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8F8648" w14:textId="348E0676" w:rsidR="0047225B" w:rsidRPr="00600E84" w:rsidRDefault="002362D3" w:rsidP="005B326A">
      <w:pPr>
        <w:ind w:left="2160" w:firstLine="720"/>
        <w:rPr>
          <w:rFonts w:ascii="Times New Roman" w:hAnsi="Times New Roman" w:cs="Times New Roman"/>
          <w:sz w:val="24"/>
          <w:szCs w:val="24"/>
          <w:u w:val="single"/>
        </w:rPr>
      </w:pPr>
      <w:r w:rsidRPr="00600E84">
        <w:rPr>
          <w:rFonts w:ascii="Times New Roman" w:hAnsi="Times New Roman" w:cs="Times New Roman"/>
          <w:sz w:val="24"/>
          <w:szCs w:val="24"/>
          <w:u w:val="single"/>
        </w:rPr>
        <w:t>Benefits of bilingualism</w:t>
      </w:r>
      <w:r w:rsidR="001F4EFB" w:rsidRPr="00600E84">
        <w:rPr>
          <w:rFonts w:ascii="Times New Roman" w:hAnsi="Times New Roman" w:cs="Times New Roman"/>
          <w:sz w:val="24"/>
          <w:szCs w:val="24"/>
          <w:u w:val="single"/>
        </w:rPr>
        <w:t xml:space="preserve">. </w:t>
      </w:r>
      <w:r w:rsidRPr="00600E84">
        <w:rPr>
          <w:rFonts w:ascii="Times New Roman" w:hAnsi="Times New Roman" w:cs="Times New Roman"/>
          <w:sz w:val="24"/>
          <w:szCs w:val="24"/>
          <w:u w:val="single"/>
        </w:rPr>
        <w:t xml:space="preserve"> </w:t>
      </w:r>
    </w:p>
    <w:p w14:paraId="2674F08B" w14:textId="1CF392B6" w:rsidR="00440B03" w:rsidRPr="00600E84" w:rsidRDefault="002362D3" w:rsidP="002362D3">
      <w:pPr>
        <w:rPr>
          <w:rFonts w:ascii="Times New Roman" w:hAnsi="Times New Roman" w:cs="Times New Roman"/>
          <w:sz w:val="24"/>
          <w:szCs w:val="24"/>
        </w:rPr>
      </w:pPr>
      <w:r w:rsidRPr="00600E84">
        <w:rPr>
          <w:rFonts w:ascii="Times New Roman" w:hAnsi="Times New Roman" w:cs="Times New Roman"/>
          <w:sz w:val="24"/>
          <w:szCs w:val="24"/>
        </w:rPr>
        <w:t xml:space="preserve">The term bilingualism is defined as using at least two languages. There are two types of bilingualism, these are: simultaneous bilingualism which is when a child </w:t>
      </w:r>
      <w:r w:rsidR="00CC21E4">
        <w:rPr>
          <w:rFonts w:ascii="Times New Roman" w:hAnsi="Times New Roman" w:cs="Times New Roman"/>
          <w:sz w:val="24"/>
          <w:szCs w:val="24"/>
        </w:rPr>
        <w:t xml:space="preserve">experienced a lot of </w:t>
      </w:r>
      <w:r w:rsidR="00E867F9" w:rsidRPr="00600E84">
        <w:rPr>
          <w:rFonts w:ascii="Times New Roman" w:hAnsi="Times New Roman" w:cs="Times New Roman"/>
          <w:sz w:val="24"/>
          <w:szCs w:val="24"/>
        </w:rPr>
        <w:t xml:space="preserve">exposure to two languages from birth, preferably the child will have equal experiences in both languages. The second type of bilingualism is sequential bilingualism which is when a child has significant exposure to a second language, this is usually after </w:t>
      </w:r>
      <w:r w:rsidR="00CC21E4">
        <w:rPr>
          <w:rFonts w:ascii="Times New Roman" w:hAnsi="Times New Roman" w:cs="Times New Roman"/>
          <w:sz w:val="24"/>
          <w:szCs w:val="24"/>
        </w:rPr>
        <w:t xml:space="preserve">children turn three years old </w:t>
      </w:r>
      <w:bookmarkStart w:id="0" w:name="_GoBack"/>
      <w:bookmarkEnd w:id="0"/>
      <w:r w:rsidR="00E867F9" w:rsidRPr="00600E84">
        <w:rPr>
          <w:rFonts w:ascii="Times New Roman" w:hAnsi="Times New Roman" w:cs="Times New Roman"/>
          <w:sz w:val="24"/>
          <w:szCs w:val="24"/>
        </w:rPr>
        <w:t xml:space="preserve">and after the first language has been instilled </w:t>
      </w:r>
      <w:r w:rsidR="00440B03" w:rsidRPr="00600E84">
        <w:rPr>
          <w:rFonts w:ascii="Times New Roman" w:hAnsi="Times New Roman" w:cs="Times New Roman"/>
          <w:sz w:val="24"/>
          <w:szCs w:val="24"/>
        </w:rPr>
        <w:t>(American Speech – Language -Hearing Association, 2004)</w:t>
      </w:r>
      <w:r w:rsidR="001F4EFB" w:rsidRPr="00600E84">
        <w:rPr>
          <w:rFonts w:ascii="Times New Roman" w:hAnsi="Times New Roman" w:cs="Times New Roman"/>
          <w:sz w:val="24"/>
          <w:szCs w:val="24"/>
        </w:rPr>
        <w:t>.</w:t>
      </w:r>
    </w:p>
    <w:p w14:paraId="189FE4DC" w14:textId="2565E74F" w:rsidR="001F4EFB" w:rsidRPr="00600E84" w:rsidRDefault="008E6ECB" w:rsidP="002362D3">
      <w:pPr>
        <w:rPr>
          <w:rFonts w:ascii="Times New Roman" w:hAnsi="Times New Roman" w:cs="Times New Roman"/>
          <w:sz w:val="24"/>
          <w:szCs w:val="24"/>
        </w:rPr>
      </w:pPr>
      <w:r w:rsidRPr="00600E84">
        <w:rPr>
          <w:rFonts w:ascii="Times New Roman" w:hAnsi="Times New Roman" w:cs="Times New Roman"/>
          <w:sz w:val="24"/>
          <w:szCs w:val="24"/>
        </w:rPr>
        <w:t>Hickey and De- Mejia (2016) explain that e</w:t>
      </w:r>
      <w:r w:rsidR="001F4EFB" w:rsidRPr="00600E84">
        <w:rPr>
          <w:rFonts w:ascii="Times New Roman" w:hAnsi="Times New Roman" w:cs="Times New Roman"/>
          <w:sz w:val="24"/>
          <w:szCs w:val="24"/>
        </w:rPr>
        <w:t xml:space="preserve">arly years setting which offer immersion </w:t>
      </w:r>
      <w:r w:rsidRPr="00600E84">
        <w:rPr>
          <w:rFonts w:ascii="Times New Roman" w:hAnsi="Times New Roman" w:cs="Times New Roman"/>
          <w:sz w:val="24"/>
          <w:szCs w:val="24"/>
        </w:rPr>
        <w:t xml:space="preserve">education to children are promoting and supporting bilingualism in the early years. The number of children receiving this at their setting has become more popular amongst parents recently. </w:t>
      </w:r>
      <w:r w:rsidR="004A6364" w:rsidRPr="000156AC">
        <w:rPr>
          <w:rFonts w:ascii="Times New Roman" w:hAnsi="Times New Roman" w:cs="Times New Roman"/>
          <w:sz w:val="24"/>
          <w:szCs w:val="24"/>
        </w:rPr>
        <w:t>Pearson (2013) argues that children learn their first language without being taught it, she explains that it is learnt naturally through experiences from care givers and their environment.</w:t>
      </w:r>
      <w:r w:rsidR="004A6364" w:rsidRPr="00600E84">
        <w:rPr>
          <w:rFonts w:ascii="Times New Roman" w:hAnsi="Times New Roman" w:cs="Times New Roman"/>
          <w:sz w:val="24"/>
          <w:szCs w:val="24"/>
        </w:rPr>
        <w:t xml:space="preserve"> </w:t>
      </w:r>
      <w:r w:rsidR="005858B8" w:rsidRPr="00600E84">
        <w:rPr>
          <w:rFonts w:ascii="Times New Roman" w:hAnsi="Times New Roman" w:cs="Times New Roman"/>
          <w:sz w:val="24"/>
          <w:szCs w:val="24"/>
        </w:rPr>
        <w:t xml:space="preserve"> </w:t>
      </w:r>
      <w:r w:rsidR="002F5B41">
        <w:rPr>
          <w:rFonts w:ascii="Times New Roman" w:hAnsi="Times New Roman" w:cs="Times New Roman"/>
          <w:sz w:val="24"/>
          <w:szCs w:val="24"/>
        </w:rPr>
        <w:t>McLeod (2016</w:t>
      </w:r>
      <w:r w:rsidR="000156AC">
        <w:rPr>
          <w:rFonts w:ascii="Times New Roman" w:hAnsi="Times New Roman" w:cs="Times New Roman"/>
          <w:sz w:val="24"/>
          <w:szCs w:val="24"/>
        </w:rPr>
        <w:t>) e</w:t>
      </w:r>
      <w:r w:rsidR="002F5B41">
        <w:rPr>
          <w:rFonts w:ascii="Times New Roman" w:hAnsi="Times New Roman" w:cs="Times New Roman"/>
          <w:sz w:val="24"/>
          <w:szCs w:val="24"/>
        </w:rPr>
        <w:t xml:space="preserve">xplains that this links to Bandura’s social learning theory as </w:t>
      </w:r>
      <w:r w:rsidR="000156AC">
        <w:rPr>
          <w:rFonts w:ascii="Times New Roman" w:hAnsi="Times New Roman" w:cs="Times New Roman"/>
          <w:sz w:val="24"/>
          <w:szCs w:val="24"/>
        </w:rPr>
        <w:t xml:space="preserve">he believed that children needed a more experienced other to model behaviour or in this case language to them for them to be able to develop their language effectively. </w:t>
      </w:r>
    </w:p>
    <w:p w14:paraId="11D0D86D" w14:textId="52F37AEA" w:rsidR="001F4EFB" w:rsidRPr="00600E84" w:rsidRDefault="00B60AFF" w:rsidP="002362D3">
      <w:pPr>
        <w:rPr>
          <w:rFonts w:ascii="Times New Roman" w:hAnsi="Times New Roman" w:cs="Times New Roman"/>
          <w:sz w:val="24"/>
          <w:szCs w:val="24"/>
        </w:rPr>
      </w:pPr>
      <w:r w:rsidRPr="002F5B41">
        <w:rPr>
          <w:rFonts w:ascii="Times New Roman" w:hAnsi="Times New Roman" w:cs="Times New Roman"/>
          <w:sz w:val="24"/>
          <w:szCs w:val="24"/>
        </w:rPr>
        <w:t xml:space="preserve">Schmid (2016) reports that </w:t>
      </w:r>
      <w:r w:rsidR="006F703B" w:rsidRPr="002F5B41">
        <w:rPr>
          <w:rFonts w:ascii="Times New Roman" w:hAnsi="Times New Roman" w:cs="Times New Roman"/>
          <w:sz w:val="24"/>
          <w:szCs w:val="24"/>
        </w:rPr>
        <w:t>research has shown that it is better to learn languages before a certain age.</w:t>
      </w:r>
      <w:r w:rsidR="002F5B41">
        <w:rPr>
          <w:rFonts w:ascii="Times New Roman" w:hAnsi="Times New Roman" w:cs="Times New Roman"/>
          <w:sz w:val="24"/>
          <w:szCs w:val="24"/>
        </w:rPr>
        <w:t xml:space="preserve"> This links to Chomsky’s theory on language acquisition as he believed that children are born with the instinct to learn languages rather than needing an experienced other to model. Bandura argues against this and believes there is a need for the more able other. (Lemetyinen, 2012). </w:t>
      </w:r>
      <w:r w:rsidR="006F703B" w:rsidRPr="00600E84">
        <w:rPr>
          <w:rFonts w:ascii="Times New Roman" w:hAnsi="Times New Roman" w:cs="Times New Roman"/>
          <w:sz w:val="24"/>
          <w:szCs w:val="24"/>
        </w:rPr>
        <w:t xml:space="preserve"> This means that it children are more likely to be able to learn a second language than an adult. </w:t>
      </w:r>
      <w:r w:rsidR="00F27F1D" w:rsidRPr="00600E84">
        <w:rPr>
          <w:rFonts w:ascii="Times New Roman" w:hAnsi="Times New Roman" w:cs="Times New Roman"/>
          <w:sz w:val="24"/>
          <w:szCs w:val="24"/>
        </w:rPr>
        <w:t xml:space="preserve">Vanhoe (2014) supports this view and explains that research has shown that children who start to learn a second language at an early age, </w:t>
      </w:r>
      <w:r w:rsidR="001F27B2" w:rsidRPr="00600E84">
        <w:rPr>
          <w:rFonts w:ascii="Times New Roman" w:hAnsi="Times New Roman" w:cs="Times New Roman"/>
          <w:sz w:val="24"/>
          <w:szCs w:val="24"/>
        </w:rPr>
        <w:t>outperform</w:t>
      </w:r>
      <w:r w:rsidR="00F27F1D" w:rsidRPr="00600E84">
        <w:rPr>
          <w:rFonts w:ascii="Times New Roman" w:hAnsi="Times New Roman" w:cs="Times New Roman"/>
          <w:sz w:val="24"/>
          <w:szCs w:val="24"/>
        </w:rPr>
        <w:t xml:space="preserve"> children who learn a second language later in life. </w:t>
      </w:r>
      <w:r w:rsidR="00E37C58" w:rsidRPr="00600E84">
        <w:rPr>
          <w:rFonts w:ascii="Times New Roman" w:hAnsi="Times New Roman" w:cs="Times New Roman"/>
          <w:sz w:val="24"/>
          <w:szCs w:val="24"/>
        </w:rPr>
        <w:t xml:space="preserve"> </w:t>
      </w:r>
    </w:p>
    <w:p w14:paraId="410FD54C" w14:textId="7DF3EA95" w:rsidR="00224FF8" w:rsidRPr="00600E84" w:rsidRDefault="00224FF8" w:rsidP="002362D3">
      <w:pPr>
        <w:rPr>
          <w:rFonts w:ascii="Times New Roman" w:hAnsi="Times New Roman" w:cs="Times New Roman"/>
          <w:sz w:val="24"/>
          <w:szCs w:val="24"/>
        </w:rPr>
      </w:pPr>
      <w:r w:rsidRPr="00600E84">
        <w:rPr>
          <w:rFonts w:ascii="Times New Roman" w:hAnsi="Times New Roman" w:cs="Times New Roman"/>
          <w:sz w:val="24"/>
          <w:szCs w:val="24"/>
        </w:rPr>
        <w:t xml:space="preserve">Baker and Sienkewicz (2017) explain that there has been a shift in opinions on bilingualism. They explain that up until the 1960’s there was a negative view on bilingualism as it was said to hinder a child’s intelligence however they also explain that in 1962 research had shown that bilingualism was not negative and actually could have cognitive advantages and this is how children learning a second language became more popular. </w:t>
      </w:r>
    </w:p>
    <w:p w14:paraId="0DE216D0" w14:textId="044B5771" w:rsidR="002F5B41" w:rsidRPr="00600E84" w:rsidRDefault="007F2633" w:rsidP="002F5B41">
      <w:pPr>
        <w:rPr>
          <w:rFonts w:ascii="Times New Roman" w:hAnsi="Times New Roman" w:cs="Times New Roman"/>
          <w:sz w:val="24"/>
          <w:szCs w:val="24"/>
        </w:rPr>
      </w:pPr>
      <w:r w:rsidRPr="00600E84">
        <w:rPr>
          <w:rFonts w:ascii="Times New Roman" w:hAnsi="Times New Roman" w:cs="Times New Roman"/>
          <w:sz w:val="24"/>
          <w:szCs w:val="24"/>
        </w:rPr>
        <w:t xml:space="preserve">Marian and Shook (2012) suggest that children who are bilingual are usually able to concentrate easier than children who are monolingual because of this, it suggests that children who are bilingual will be able to learn a third language easier than a monolingual child would be able to learn a second language. As well as this, they suggest that a bilingual child has a better ability to process information than a monolingual child, allowing them to do well in education. </w:t>
      </w:r>
      <w:r w:rsidR="002F5B41" w:rsidRPr="00600E84">
        <w:rPr>
          <w:rFonts w:ascii="Times New Roman" w:hAnsi="Times New Roman" w:cs="Times New Roman"/>
          <w:sz w:val="24"/>
          <w:szCs w:val="24"/>
        </w:rPr>
        <w:t>McElroy (2016) argues that babies who are brought up in bilingual families keep their brain open to new sounds longer than children from monolingual families. This means that the child ‘s brain is more active in certain areas than the monolingual child’s. Costa and Sebastian-Galles (2014) supports this view and explains that during an experiment, it was revealed that a bilingual’s brain ha</w:t>
      </w:r>
      <w:r w:rsidR="001F27B2">
        <w:rPr>
          <w:rFonts w:ascii="Times New Roman" w:hAnsi="Times New Roman" w:cs="Times New Roman"/>
          <w:sz w:val="24"/>
          <w:szCs w:val="24"/>
        </w:rPr>
        <w:t>d</w:t>
      </w:r>
      <w:r w:rsidR="002F5B41" w:rsidRPr="00600E84">
        <w:rPr>
          <w:rFonts w:ascii="Times New Roman" w:hAnsi="Times New Roman" w:cs="Times New Roman"/>
          <w:sz w:val="24"/>
          <w:szCs w:val="24"/>
        </w:rPr>
        <w:t xml:space="preserve"> increased activity in five left hemisphere language areas although it also explains that during this experiment it was also revealed that the monolingual brain also showed increased activity in the same five areas, but it was when they were completing different tasks. This showed that the main difference between the two was the processing demand and activity being undertaken. </w:t>
      </w:r>
    </w:p>
    <w:p w14:paraId="117B5117" w14:textId="0C0911AD" w:rsidR="005C7DAF" w:rsidRPr="00600E84" w:rsidRDefault="005C7DAF" w:rsidP="002362D3">
      <w:pPr>
        <w:rPr>
          <w:rFonts w:ascii="Times New Roman" w:hAnsi="Times New Roman" w:cs="Times New Roman"/>
          <w:sz w:val="24"/>
          <w:szCs w:val="24"/>
        </w:rPr>
      </w:pPr>
    </w:p>
    <w:p w14:paraId="52F7CA1A" w14:textId="4392475C" w:rsidR="004527E4" w:rsidRPr="00600E84" w:rsidRDefault="004527E4" w:rsidP="002362D3">
      <w:pPr>
        <w:rPr>
          <w:rFonts w:ascii="Times New Roman" w:hAnsi="Times New Roman" w:cs="Times New Roman"/>
          <w:sz w:val="24"/>
          <w:szCs w:val="24"/>
        </w:rPr>
      </w:pPr>
      <w:r w:rsidRPr="00600E84">
        <w:rPr>
          <w:rFonts w:ascii="Times New Roman" w:hAnsi="Times New Roman" w:cs="Times New Roman"/>
          <w:sz w:val="24"/>
          <w:szCs w:val="24"/>
        </w:rPr>
        <w:lastRenderedPageBreak/>
        <w:t>Rodriguez et al</w:t>
      </w:r>
      <w:r w:rsidR="00B5442F">
        <w:rPr>
          <w:rFonts w:ascii="Times New Roman" w:hAnsi="Times New Roman" w:cs="Times New Roman"/>
          <w:sz w:val="24"/>
          <w:szCs w:val="24"/>
        </w:rPr>
        <w:t>.</w:t>
      </w:r>
      <w:r w:rsidRPr="00600E84">
        <w:rPr>
          <w:rFonts w:ascii="Times New Roman" w:hAnsi="Times New Roman" w:cs="Times New Roman"/>
          <w:sz w:val="24"/>
          <w:szCs w:val="24"/>
        </w:rPr>
        <w:t xml:space="preserve"> (2014) suggests that children who are bilingual have a better understanding and respect of other cultures and religions. By understanding and respecting other cultures, Rodriguez et</w:t>
      </w:r>
      <w:r w:rsidR="001400E0" w:rsidRPr="00600E84">
        <w:rPr>
          <w:rFonts w:ascii="Times New Roman" w:hAnsi="Times New Roman" w:cs="Times New Roman"/>
          <w:sz w:val="24"/>
          <w:szCs w:val="24"/>
        </w:rPr>
        <w:t xml:space="preserve"> </w:t>
      </w:r>
      <w:r w:rsidRPr="00600E84">
        <w:rPr>
          <w:rFonts w:ascii="Times New Roman" w:hAnsi="Times New Roman" w:cs="Times New Roman"/>
          <w:sz w:val="24"/>
          <w:szCs w:val="24"/>
        </w:rPr>
        <w:t>al</w:t>
      </w:r>
      <w:r w:rsidR="00B5442F">
        <w:rPr>
          <w:rFonts w:ascii="Times New Roman" w:hAnsi="Times New Roman" w:cs="Times New Roman"/>
          <w:sz w:val="24"/>
          <w:szCs w:val="24"/>
        </w:rPr>
        <w:t>. (2014)</w:t>
      </w:r>
      <w:r w:rsidRPr="00600E84">
        <w:rPr>
          <w:rFonts w:ascii="Times New Roman" w:hAnsi="Times New Roman" w:cs="Times New Roman"/>
          <w:sz w:val="24"/>
          <w:szCs w:val="24"/>
        </w:rPr>
        <w:t xml:space="preserve"> argues that children who are bilingual communicate and build positive relationships with people </w:t>
      </w:r>
      <w:r w:rsidR="001F27B2" w:rsidRPr="00600E84">
        <w:rPr>
          <w:rFonts w:ascii="Times New Roman" w:hAnsi="Times New Roman" w:cs="Times New Roman"/>
          <w:sz w:val="24"/>
          <w:szCs w:val="24"/>
        </w:rPr>
        <w:t>from</w:t>
      </w:r>
      <w:r w:rsidRPr="00600E84">
        <w:rPr>
          <w:rFonts w:ascii="Times New Roman" w:hAnsi="Times New Roman" w:cs="Times New Roman"/>
          <w:sz w:val="24"/>
          <w:szCs w:val="24"/>
        </w:rPr>
        <w:t xml:space="preserve"> other communities and cultures. </w:t>
      </w:r>
    </w:p>
    <w:p w14:paraId="0F838804" w14:textId="5E5C9981" w:rsidR="00B45065" w:rsidRPr="00600E84" w:rsidRDefault="007B1DA9" w:rsidP="00B45065">
      <w:pPr>
        <w:rPr>
          <w:rFonts w:ascii="Times New Roman" w:hAnsi="Times New Roman" w:cs="Times New Roman"/>
          <w:sz w:val="24"/>
          <w:szCs w:val="24"/>
        </w:rPr>
      </w:pPr>
      <w:r w:rsidRPr="00600E84">
        <w:rPr>
          <w:rFonts w:ascii="Times New Roman" w:hAnsi="Times New Roman" w:cs="Times New Roman"/>
          <w:sz w:val="24"/>
          <w:szCs w:val="24"/>
        </w:rPr>
        <w:t xml:space="preserve">Hommel et al (2011) explain that divergent thinking is based around the process that enables people to produce as many responses as they can when provided with a stimulant. For example, being shown an object and being asked to provide as many uses for the object as they can. </w:t>
      </w:r>
      <w:r w:rsidR="00F177F8" w:rsidRPr="00600E84">
        <w:rPr>
          <w:rFonts w:ascii="Times New Roman" w:hAnsi="Times New Roman" w:cs="Times New Roman"/>
          <w:sz w:val="24"/>
          <w:szCs w:val="24"/>
        </w:rPr>
        <w:t>Kecskes and Albertazzi (2007) argue that bilinguals could have an increase in divergent thinking because of their cross- linguistic experience. This may be because they are constantly crossing between two languages. Baker</w:t>
      </w:r>
      <w:r w:rsidR="00FB0C71" w:rsidRPr="00600E84">
        <w:rPr>
          <w:rFonts w:ascii="Times New Roman" w:hAnsi="Times New Roman" w:cs="Times New Roman"/>
          <w:sz w:val="24"/>
          <w:szCs w:val="24"/>
        </w:rPr>
        <w:t xml:space="preserve"> </w:t>
      </w:r>
      <w:r w:rsidR="00F177F8" w:rsidRPr="00600E84">
        <w:rPr>
          <w:rFonts w:ascii="Times New Roman" w:hAnsi="Times New Roman" w:cs="Times New Roman"/>
          <w:sz w:val="24"/>
          <w:szCs w:val="24"/>
        </w:rPr>
        <w:t>(2006) supports this view and explains that bilingual children usually have an increased ability in divergent thinking as well as creative thinking and problem solving.</w:t>
      </w:r>
    </w:p>
    <w:p w14:paraId="5B749299" w14:textId="77777777" w:rsidR="00FB0C71" w:rsidRPr="00600E84" w:rsidRDefault="00FB0C71" w:rsidP="00B45065">
      <w:pPr>
        <w:ind w:left="2160"/>
        <w:rPr>
          <w:rFonts w:ascii="Times New Roman" w:hAnsi="Times New Roman" w:cs="Times New Roman"/>
          <w:sz w:val="24"/>
          <w:szCs w:val="24"/>
          <w:u w:val="single"/>
        </w:rPr>
      </w:pPr>
    </w:p>
    <w:p w14:paraId="1635A889" w14:textId="77777777" w:rsidR="00FB0C71" w:rsidRPr="00600E84" w:rsidRDefault="00FB0C71" w:rsidP="00B45065">
      <w:pPr>
        <w:ind w:left="2160"/>
        <w:rPr>
          <w:rFonts w:ascii="Times New Roman" w:hAnsi="Times New Roman" w:cs="Times New Roman"/>
          <w:sz w:val="24"/>
          <w:szCs w:val="24"/>
          <w:u w:val="single"/>
        </w:rPr>
      </w:pPr>
    </w:p>
    <w:p w14:paraId="49C03D4F" w14:textId="77777777" w:rsidR="00FB0C71" w:rsidRPr="00600E84" w:rsidRDefault="00FB0C71" w:rsidP="00B45065">
      <w:pPr>
        <w:ind w:left="2160"/>
        <w:rPr>
          <w:rFonts w:ascii="Times New Roman" w:hAnsi="Times New Roman" w:cs="Times New Roman"/>
          <w:sz w:val="24"/>
          <w:szCs w:val="24"/>
          <w:u w:val="single"/>
        </w:rPr>
      </w:pPr>
    </w:p>
    <w:p w14:paraId="75CAADF3" w14:textId="77777777" w:rsidR="00FB0C71" w:rsidRPr="00600E84" w:rsidRDefault="00FB0C71" w:rsidP="00B45065">
      <w:pPr>
        <w:ind w:left="2160"/>
        <w:rPr>
          <w:rFonts w:ascii="Times New Roman" w:hAnsi="Times New Roman" w:cs="Times New Roman"/>
          <w:sz w:val="24"/>
          <w:szCs w:val="24"/>
          <w:u w:val="single"/>
        </w:rPr>
      </w:pPr>
    </w:p>
    <w:p w14:paraId="7E9EC5FC" w14:textId="77777777" w:rsidR="00FB0C71" w:rsidRPr="00600E84" w:rsidRDefault="00FB0C71" w:rsidP="00B45065">
      <w:pPr>
        <w:ind w:left="2160"/>
        <w:rPr>
          <w:rFonts w:ascii="Times New Roman" w:hAnsi="Times New Roman" w:cs="Times New Roman"/>
          <w:sz w:val="24"/>
          <w:szCs w:val="24"/>
          <w:u w:val="single"/>
        </w:rPr>
      </w:pPr>
    </w:p>
    <w:p w14:paraId="21C025D8" w14:textId="77777777" w:rsidR="00FB0C71" w:rsidRPr="00600E84" w:rsidRDefault="00FB0C71" w:rsidP="00B45065">
      <w:pPr>
        <w:ind w:left="2160"/>
        <w:rPr>
          <w:rFonts w:ascii="Times New Roman" w:hAnsi="Times New Roman" w:cs="Times New Roman"/>
          <w:sz w:val="24"/>
          <w:szCs w:val="24"/>
          <w:u w:val="single"/>
        </w:rPr>
      </w:pPr>
    </w:p>
    <w:p w14:paraId="25A83D05" w14:textId="77777777" w:rsidR="00FB0C71" w:rsidRPr="00600E84" w:rsidRDefault="00FB0C71" w:rsidP="00B45065">
      <w:pPr>
        <w:ind w:left="2160"/>
        <w:rPr>
          <w:rFonts w:ascii="Times New Roman" w:hAnsi="Times New Roman" w:cs="Times New Roman"/>
          <w:sz w:val="24"/>
          <w:szCs w:val="24"/>
          <w:u w:val="single"/>
        </w:rPr>
      </w:pPr>
    </w:p>
    <w:p w14:paraId="3CD9599C" w14:textId="77777777" w:rsidR="00FB0C71" w:rsidRPr="00600E84" w:rsidRDefault="00FB0C71" w:rsidP="00B45065">
      <w:pPr>
        <w:ind w:left="2160"/>
        <w:rPr>
          <w:rFonts w:ascii="Times New Roman" w:hAnsi="Times New Roman" w:cs="Times New Roman"/>
          <w:sz w:val="24"/>
          <w:szCs w:val="24"/>
          <w:u w:val="single"/>
        </w:rPr>
      </w:pPr>
    </w:p>
    <w:p w14:paraId="7AC31775" w14:textId="77777777" w:rsidR="00FB0C71" w:rsidRPr="00600E84" w:rsidRDefault="00FB0C71" w:rsidP="00B45065">
      <w:pPr>
        <w:ind w:left="2160"/>
        <w:rPr>
          <w:rFonts w:ascii="Times New Roman" w:hAnsi="Times New Roman" w:cs="Times New Roman"/>
          <w:sz w:val="24"/>
          <w:szCs w:val="24"/>
          <w:u w:val="single"/>
        </w:rPr>
      </w:pPr>
    </w:p>
    <w:p w14:paraId="132F9624" w14:textId="77777777" w:rsidR="00FB0C71" w:rsidRPr="00600E84" w:rsidRDefault="00FB0C71" w:rsidP="00B45065">
      <w:pPr>
        <w:ind w:left="2160"/>
        <w:rPr>
          <w:rFonts w:ascii="Times New Roman" w:hAnsi="Times New Roman" w:cs="Times New Roman"/>
          <w:sz w:val="24"/>
          <w:szCs w:val="24"/>
          <w:u w:val="single"/>
        </w:rPr>
      </w:pPr>
    </w:p>
    <w:p w14:paraId="3BE3FCD2" w14:textId="77777777" w:rsidR="00FB0C71" w:rsidRPr="00600E84" w:rsidRDefault="00FB0C71" w:rsidP="00B45065">
      <w:pPr>
        <w:ind w:left="2160"/>
        <w:rPr>
          <w:rFonts w:ascii="Times New Roman" w:hAnsi="Times New Roman" w:cs="Times New Roman"/>
          <w:sz w:val="24"/>
          <w:szCs w:val="24"/>
          <w:u w:val="single"/>
        </w:rPr>
      </w:pPr>
    </w:p>
    <w:p w14:paraId="6722A3A7" w14:textId="77777777" w:rsidR="00FB0C71" w:rsidRPr="00600E84" w:rsidRDefault="00FB0C71" w:rsidP="00B45065">
      <w:pPr>
        <w:ind w:left="2160"/>
        <w:rPr>
          <w:rFonts w:ascii="Times New Roman" w:hAnsi="Times New Roman" w:cs="Times New Roman"/>
          <w:sz w:val="24"/>
          <w:szCs w:val="24"/>
          <w:u w:val="single"/>
        </w:rPr>
      </w:pPr>
    </w:p>
    <w:p w14:paraId="6EDB4D5C" w14:textId="77777777" w:rsidR="00FB0C71" w:rsidRPr="00600E84" w:rsidRDefault="00FB0C71" w:rsidP="00B45065">
      <w:pPr>
        <w:ind w:left="2160"/>
        <w:rPr>
          <w:rFonts w:ascii="Times New Roman" w:hAnsi="Times New Roman" w:cs="Times New Roman"/>
          <w:sz w:val="24"/>
          <w:szCs w:val="24"/>
          <w:u w:val="single"/>
        </w:rPr>
      </w:pPr>
    </w:p>
    <w:p w14:paraId="4F1DCF92" w14:textId="77777777" w:rsidR="00FB0C71" w:rsidRPr="00600E84" w:rsidRDefault="00FB0C71" w:rsidP="00B45065">
      <w:pPr>
        <w:ind w:left="2160"/>
        <w:rPr>
          <w:rFonts w:ascii="Times New Roman" w:hAnsi="Times New Roman" w:cs="Times New Roman"/>
          <w:sz w:val="24"/>
          <w:szCs w:val="24"/>
          <w:u w:val="single"/>
        </w:rPr>
      </w:pPr>
    </w:p>
    <w:p w14:paraId="2DD6B71B" w14:textId="77777777" w:rsidR="00FB0C71" w:rsidRPr="00600E84" w:rsidRDefault="00FB0C71" w:rsidP="00B45065">
      <w:pPr>
        <w:ind w:left="2160"/>
        <w:rPr>
          <w:rFonts w:ascii="Times New Roman" w:hAnsi="Times New Roman" w:cs="Times New Roman"/>
          <w:sz w:val="24"/>
          <w:szCs w:val="24"/>
          <w:u w:val="single"/>
        </w:rPr>
      </w:pPr>
    </w:p>
    <w:p w14:paraId="793A888D" w14:textId="77777777" w:rsidR="00FB0C71" w:rsidRPr="00600E84" w:rsidRDefault="00FB0C71" w:rsidP="00B45065">
      <w:pPr>
        <w:ind w:left="2160"/>
        <w:rPr>
          <w:rFonts w:ascii="Times New Roman" w:hAnsi="Times New Roman" w:cs="Times New Roman"/>
          <w:sz w:val="24"/>
          <w:szCs w:val="24"/>
          <w:u w:val="single"/>
        </w:rPr>
      </w:pPr>
    </w:p>
    <w:p w14:paraId="60DD9959" w14:textId="77777777" w:rsidR="00FB0C71" w:rsidRPr="00600E84" w:rsidRDefault="00FB0C71" w:rsidP="00B45065">
      <w:pPr>
        <w:ind w:left="2160"/>
        <w:rPr>
          <w:rFonts w:ascii="Times New Roman" w:hAnsi="Times New Roman" w:cs="Times New Roman"/>
          <w:sz w:val="24"/>
          <w:szCs w:val="24"/>
          <w:u w:val="single"/>
        </w:rPr>
      </w:pPr>
    </w:p>
    <w:p w14:paraId="28D6760F" w14:textId="77777777" w:rsidR="00FB0C71" w:rsidRPr="00600E84" w:rsidRDefault="00FB0C71" w:rsidP="00B45065">
      <w:pPr>
        <w:ind w:left="2160"/>
        <w:rPr>
          <w:rFonts w:ascii="Times New Roman" w:hAnsi="Times New Roman" w:cs="Times New Roman"/>
          <w:sz w:val="24"/>
          <w:szCs w:val="24"/>
          <w:u w:val="single"/>
        </w:rPr>
      </w:pPr>
    </w:p>
    <w:p w14:paraId="1A6C1ED8" w14:textId="77777777" w:rsidR="00FB0C71" w:rsidRPr="00600E84" w:rsidRDefault="00FB0C71" w:rsidP="00B45065">
      <w:pPr>
        <w:ind w:left="2160"/>
        <w:rPr>
          <w:rFonts w:ascii="Times New Roman" w:hAnsi="Times New Roman" w:cs="Times New Roman"/>
          <w:sz w:val="24"/>
          <w:szCs w:val="24"/>
          <w:u w:val="single"/>
        </w:rPr>
      </w:pPr>
    </w:p>
    <w:p w14:paraId="21E2C544" w14:textId="77777777" w:rsidR="00FB0C71" w:rsidRPr="00600E84" w:rsidRDefault="00FB0C71" w:rsidP="00B45065">
      <w:pPr>
        <w:ind w:left="2160"/>
        <w:rPr>
          <w:rFonts w:ascii="Times New Roman" w:hAnsi="Times New Roman" w:cs="Times New Roman"/>
          <w:sz w:val="24"/>
          <w:szCs w:val="24"/>
          <w:u w:val="single"/>
        </w:rPr>
      </w:pPr>
    </w:p>
    <w:p w14:paraId="59BD1741" w14:textId="77777777" w:rsidR="00FB0C71" w:rsidRPr="00600E84" w:rsidRDefault="00FB0C71" w:rsidP="00B45065">
      <w:pPr>
        <w:ind w:left="2160"/>
        <w:rPr>
          <w:rFonts w:ascii="Times New Roman" w:hAnsi="Times New Roman" w:cs="Times New Roman"/>
          <w:sz w:val="24"/>
          <w:szCs w:val="24"/>
          <w:u w:val="single"/>
        </w:rPr>
      </w:pPr>
    </w:p>
    <w:p w14:paraId="047FC5B5" w14:textId="77777777" w:rsidR="00FB0C71" w:rsidRPr="00600E84" w:rsidRDefault="00FB0C71" w:rsidP="00B45065">
      <w:pPr>
        <w:ind w:left="2160"/>
        <w:rPr>
          <w:rFonts w:ascii="Times New Roman" w:hAnsi="Times New Roman" w:cs="Times New Roman"/>
          <w:sz w:val="24"/>
          <w:szCs w:val="24"/>
          <w:u w:val="single"/>
        </w:rPr>
      </w:pPr>
    </w:p>
    <w:p w14:paraId="36FE7B7F" w14:textId="77777777" w:rsidR="00FB0C71" w:rsidRPr="00600E84" w:rsidRDefault="00FB0C71" w:rsidP="00B45065">
      <w:pPr>
        <w:ind w:left="2160"/>
        <w:rPr>
          <w:rFonts w:ascii="Times New Roman" w:hAnsi="Times New Roman" w:cs="Times New Roman"/>
          <w:sz w:val="24"/>
          <w:szCs w:val="24"/>
          <w:u w:val="single"/>
        </w:rPr>
      </w:pPr>
    </w:p>
    <w:p w14:paraId="193C6164" w14:textId="27BEB9C0" w:rsidR="007F3E72" w:rsidRPr="00600E84" w:rsidRDefault="007F3E72" w:rsidP="001F27B2">
      <w:pPr>
        <w:ind w:left="1440" w:firstLine="720"/>
        <w:rPr>
          <w:rFonts w:ascii="Times New Roman" w:hAnsi="Times New Roman" w:cs="Times New Roman"/>
          <w:sz w:val="24"/>
          <w:szCs w:val="24"/>
        </w:rPr>
      </w:pPr>
      <w:r w:rsidRPr="00600E84">
        <w:rPr>
          <w:rFonts w:ascii="Times New Roman" w:hAnsi="Times New Roman" w:cs="Times New Roman"/>
          <w:sz w:val="24"/>
          <w:szCs w:val="24"/>
          <w:u w:val="single"/>
        </w:rPr>
        <w:lastRenderedPageBreak/>
        <w:t xml:space="preserve">English as an additional language. </w:t>
      </w:r>
    </w:p>
    <w:p w14:paraId="1352F8C6" w14:textId="0A7359F6" w:rsidR="007F3E72" w:rsidRPr="00600E84" w:rsidRDefault="00C17D58" w:rsidP="007F3E72">
      <w:pPr>
        <w:rPr>
          <w:rFonts w:ascii="Times New Roman" w:hAnsi="Times New Roman" w:cs="Times New Roman"/>
          <w:sz w:val="24"/>
          <w:szCs w:val="24"/>
        </w:rPr>
      </w:pPr>
      <w:r w:rsidRPr="002F5B41">
        <w:rPr>
          <w:rFonts w:ascii="Times New Roman" w:hAnsi="Times New Roman" w:cs="Times New Roman"/>
          <w:sz w:val="24"/>
          <w:szCs w:val="24"/>
        </w:rPr>
        <w:t>Mistry and Sood</w:t>
      </w:r>
      <w:r w:rsidR="002F5B41">
        <w:rPr>
          <w:rFonts w:ascii="Times New Roman" w:hAnsi="Times New Roman" w:cs="Times New Roman"/>
          <w:sz w:val="24"/>
          <w:szCs w:val="24"/>
        </w:rPr>
        <w:t xml:space="preserve"> (2015)</w:t>
      </w:r>
      <w:r w:rsidRPr="00600E84">
        <w:rPr>
          <w:rFonts w:ascii="Times New Roman" w:hAnsi="Times New Roman" w:cs="Times New Roman"/>
          <w:sz w:val="24"/>
          <w:szCs w:val="24"/>
        </w:rPr>
        <w:t xml:space="preserve"> explain that the number of children who are learning English as an additional language (EAL) has increased. This means that children are starting early years education with little or no English</w:t>
      </w:r>
      <w:r w:rsidR="00423469" w:rsidRPr="00600E84">
        <w:rPr>
          <w:rFonts w:ascii="Times New Roman" w:hAnsi="Times New Roman" w:cs="Times New Roman"/>
          <w:sz w:val="24"/>
          <w:szCs w:val="24"/>
        </w:rPr>
        <w:t xml:space="preserve">. </w:t>
      </w:r>
      <w:r w:rsidR="00B5442F">
        <w:rPr>
          <w:rFonts w:ascii="Times New Roman" w:hAnsi="Times New Roman" w:cs="Times New Roman"/>
          <w:sz w:val="24"/>
          <w:szCs w:val="24"/>
        </w:rPr>
        <w:t>P</w:t>
      </w:r>
      <w:r w:rsidR="00423469" w:rsidRPr="00600E84">
        <w:rPr>
          <w:rFonts w:ascii="Times New Roman" w:hAnsi="Times New Roman" w:cs="Times New Roman"/>
          <w:sz w:val="24"/>
          <w:szCs w:val="24"/>
        </w:rPr>
        <w:t>ractitioners need to become knowledgeable in supporting children with EAL</w:t>
      </w:r>
      <w:r w:rsidR="00563D58" w:rsidRPr="00600E84">
        <w:rPr>
          <w:rFonts w:ascii="Times New Roman" w:hAnsi="Times New Roman" w:cs="Times New Roman"/>
          <w:sz w:val="24"/>
          <w:szCs w:val="24"/>
        </w:rPr>
        <w:t>. Deverakonda (20</w:t>
      </w:r>
      <w:r w:rsidR="00A46AFB" w:rsidRPr="00600E84">
        <w:rPr>
          <w:rFonts w:ascii="Times New Roman" w:hAnsi="Times New Roman" w:cs="Times New Roman"/>
          <w:sz w:val="24"/>
          <w:szCs w:val="24"/>
        </w:rPr>
        <w:t>13</w:t>
      </w:r>
      <w:r w:rsidR="00563D58" w:rsidRPr="00600E84">
        <w:rPr>
          <w:rFonts w:ascii="Times New Roman" w:hAnsi="Times New Roman" w:cs="Times New Roman"/>
          <w:sz w:val="24"/>
          <w:szCs w:val="24"/>
        </w:rPr>
        <w:t xml:space="preserve">) suggests that children who have EAL tend to </w:t>
      </w:r>
      <w:r w:rsidR="00A46AFB" w:rsidRPr="00600E84">
        <w:rPr>
          <w:rFonts w:ascii="Times New Roman" w:hAnsi="Times New Roman" w:cs="Times New Roman"/>
          <w:sz w:val="24"/>
          <w:szCs w:val="24"/>
        </w:rPr>
        <w:t xml:space="preserve">struggle more with tests, especially verbal tests and can affect the child’s abilities when </w:t>
      </w:r>
      <w:r w:rsidR="00B5442F">
        <w:rPr>
          <w:rFonts w:ascii="Times New Roman" w:hAnsi="Times New Roman" w:cs="Times New Roman"/>
          <w:sz w:val="24"/>
          <w:szCs w:val="24"/>
        </w:rPr>
        <w:t>i</w:t>
      </w:r>
      <w:r w:rsidR="00A46AFB" w:rsidRPr="00600E84">
        <w:rPr>
          <w:rFonts w:ascii="Times New Roman" w:hAnsi="Times New Roman" w:cs="Times New Roman"/>
          <w:sz w:val="24"/>
          <w:szCs w:val="24"/>
        </w:rPr>
        <w:t xml:space="preserve">t comes to literacy and numeracy. </w:t>
      </w:r>
      <w:r w:rsidR="005B326A" w:rsidRPr="00600E84">
        <w:rPr>
          <w:rFonts w:ascii="Times New Roman" w:hAnsi="Times New Roman" w:cs="Times New Roman"/>
          <w:sz w:val="24"/>
          <w:szCs w:val="24"/>
        </w:rPr>
        <w:t>Crosse (2007) recognises the importance of acknowledging that children with EAL will com</w:t>
      </w:r>
      <w:r w:rsidR="00B5442F">
        <w:rPr>
          <w:rFonts w:ascii="Times New Roman" w:hAnsi="Times New Roman" w:cs="Times New Roman"/>
          <w:sz w:val="24"/>
          <w:szCs w:val="24"/>
        </w:rPr>
        <w:t>e</w:t>
      </w:r>
      <w:r w:rsidR="005B326A" w:rsidRPr="00600E84">
        <w:rPr>
          <w:rFonts w:ascii="Times New Roman" w:hAnsi="Times New Roman" w:cs="Times New Roman"/>
          <w:sz w:val="24"/>
          <w:szCs w:val="24"/>
        </w:rPr>
        <w:t xml:space="preserve"> from many different backgrounds. For example, children who have been born in Britain but are only introduced to English when they start school or children who are new to Britain and have not been introduced to English yet. This means that children with EAL will all have different needs, and different volumes of support to help them</w:t>
      </w:r>
      <w:r w:rsidR="00B5442F">
        <w:rPr>
          <w:rFonts w:ascii="Times New Roman" w:hAnsi="Times New Roman" w:cs="Times New Roman"/>
          <w:sz w:val="24"/>
          <w:szCs w:val="24"/>
        </w:rPr>
        <w:t xml:space="preserve"> (</w:t>
      </w:r>
      <w:r w:rsidR="00B5442F" w:rsidRPr="002F5B41">
        <w:rPr>
          <w:rFonts w:ascii="Times New Roman" w:hAnsi="Times New Roman" w:cs="Times New Roman"/>
          <w:sz w:val="24"/>
          <w:szCs w:val="24"/>
        </w:rPr>
        <w:t>Mistry and Sood,</w:t>
      </w:r>
      <w:r w:rsidR="00B5442F">
        <w:rPr>
          <w:rFonts w:ascii="Times New Roman" w:hAnsi="Times New Roman" w:cs="Times New Roman"/>
          <w:sz w:val="24"/>
          <w:szCs w:val="24"/>
        </w:rPr>
        <w:t xml:space="preserve"> </w:t>
      </w:r>
      <w:r w:rsidR="002F5B41">
        <w:rPr>
          <w:rFonts w:ascii="Times New Roman" w:hAnsi="Times New Roman" w:cs="Times New Roman"/>
          <w:sz w:val="24"/>
          <w:szCs w:val="24"/>
        </w:rPr>
        <w:t>2015</w:t>
      </w:r>
      <w:r w:rsidR="00B5442F">
        <w:rPr>
          <w:rFonts w:ascii="Times New Roman" w:hAnsi="Times New Roman" w:cs="Times New Roman"/>
          <w:sz w:val="24"/>
          <w:szCs w:val="24"/>
        </w:rPr>
        <w:t>)</w:t>
      </w:r>
      <w:r w:rsidR="005B326A" w:rsidRPr="00600E84">
        <w:rPr>
          <w:rFonts w:ascii="Times New Roman" w:hAnsi="Times New Roman" w:cs="Times New Roman"/>
          <w:sz w:val="24"/>
          <w:szCs w:val="24"/>
        </w:rPr>
        <w:t xml:space="preserve">. </w:t>
      </w:r>
    </w:p>
    <w:p w14:paraId="01C228C9" w14:textId="7C2EDF19" w:rsidR="007933DD" w:rsidRPr="00600E84" w:rsidRDefault="007933DD" w:rsidP="002362D3">
      <w:pPr>
        <w:rPr>
          <w:rFonts w:ascii="Times New Roman" w:hAnsi="Times New Roman" w:cs="Times New Roman"/>
          <w:sz w:val="24"/>
          <w:szCs w:val="24"/>
        </w:rPr>
      </w:pPr>
      <w:r w:rsidRPr="00600E84">
        <w:rPr>
          <w:rFonts w:ascii="Times New Roman" w:hAnsi="Times New Roman" w:cs="Times New Roman"/>
          <w:sz w:val="24"/>
          <w:szCs w:val="24"/>
        </w:rPr>
        <w:t xml:space="preserve">When supporting a child with EAL, it is important to understand the background of the child. For example, </w:t>
      </w:r>
      <w:r w:rsidR="001F27B2" w:rsidRPr="00600E84">
        <w:rPr>
          <w:rFonts w:ascii="Times New Roman" w:hAnsi="Times New Roman" w:cs="Times New Roman"/>
          <w:sz w:val="24"/>
          <w:szCs w:val="24"/>
        </w:rPr>
        <w:t>it</w:t>
      </w:r>
      <w:r w:rsidR="001F27B2">
        <w:rPr>
          <w:rFonts w:ascii="Times New Roman" w:hAnsi="Times New Roman" w:cs="Times New Roman"/>
          <w:sz w:val="24"/>
          <w:szCs w:val="24"/>
        </w:rPr>
        <w:t xml:space="preserve"> is</w:t>
      </w:r>
      <w:r w:rsidRPr="00600E84">
        <w:rPr>
          <w:rFonts w:ascii="Times New Roman" w:hAnsi="Times New Roman" w:cs="Times New Roman"/>
          <w:sz w:val="24"/>
          <w:szCs w:val="24"/>
        </w:rPr>
        <w:t xml:space="preserve"> important to know what language the child’s family speak, whether the child has attended previous settings, and what they like to do or play with. This will allow the practitioner to provide the best support for the child </w:t>
      </w:r>
      <w:r w:rsidR="00B5442F">
        <w:rPr>
          <w:rFonts w:ascii="Times New Roman" w:hAnsi="Times New Roman" w:cs="Times New Roman"/>
          <w:sz w:val="24"/>
          <w:szCs w:val="24"/>
        </w:rPr>
        <w:t>(</w:t>
      </w:r>
      <w:r w:rsidRPr="00600E84">
        <w:rPr>
          <w:rFonts w:ascii="Times New Roman" w:hAnsi="Times New Roman" w:cs="Times New Roman"/>
          <w:sz w:val="24"/>
          <w:szCs w:val="24"/>
        </w:rPr>
        <w:t>Siraj-Blatchford and Clarke</w:t>
      </w:r>
      <w:r w:rsidR="00B5442F">
        <w:rPr>
          <w:rFonts w:ascii="Times New Roman" w:hAnsi="Times New Roman" w:cs="Times New Roman"/>
          <w:sz w:val="24"/>
          <w:szCs w:val="24"/>
        </w:rPr>
        <w:t xml:space="preserve">, </w:t>
      </w:r>
      <w:r w:rsidRPr="00600E84">
        <w:rPr>
          <w:rFonts w:ascii="Times New Roman" w:hAnsi="Times New Roman" w:cs="Times New Roman"/>
          <w:sz w:val="24"/>
          <w:szCs w:val="24"/>
        </w:rPr>
        <w:t>2000)</w:t>
      </w:r>
      <w:r w:rsidR="00AE4806" w:rsidRPr="00600E84">
        <w:rPr>
          <w:rFonts w:ascii="Times New Roman" w:hAnsi="Times New Roman" w:cs="Times New Roman"/>
          <w:sz w:val="24"/>
          <w:szCs w:val="24"/>
        </w:rPr>
        <w:t xml:space="preserve">. As the National Association for Language development in Curriculum or NALDIC (2015) explain, play is important for children, especially children with EAL. This is because children can be themselves when they play, and children learn through play. </w:t>
      </w:r>
    </w:p>
    <w:p w14:paraId="1E255561" w14:textId="1BC941B8" w:rsidR="00C44BC9" w:rsidRPr="00600E84" w:rsidRDefault="00C44BC9" w:rsidP="002362D3">
      <w:pPr>
        <w:rPr>
          <w:rFonts w:ascii="Times New Roman" w:hAnsi="Times New Roman" w:cs="Times New Roman"/>
          <w:sz w:val="24"/>
          <w:szCs w:val="24"/>
        </w:rPr>
      </w:pPr>
      <w:r w:rsidRPr="00600E84">
        <w:rPr>
          <w:rFonts w:ascii="Times New Roman" w:hAnsi="Times New Roman" w:cs="Times New Roman"/>
          <w:sz w:val="24"/>
          <w:szCs w:val="24"/>
        </w:rPr>
        <w:t>As the United Nations Convention on the Rights of the Child (UNCRC) states in article 30 that a child from a minority group has the right to enjoy their own culture, practice their own religion and they have the right to use their own language. This means that practitioners should allow children to use their own language as well as supporting them in learning English as their home language is just as important</w:t>
      </w:r>
      <w:r w:rsidR="00B5442F">
        <w:rPr>
          <w:rFonts w:ascii="Times New Roman" w:hAnsi="Times New Roman" w:cs="Times New Roman"/>
          <w:sz w:val="24"/>
          <w:szCs w:val="24"/>
        </w:rPr>
        <w:t xml:space="preserve"> (</w:t>
      </w:r>
      <w:r w:rsidRPr="00600E84">
        <w:rPr>
          <w:rFonts w:ascii="Times New Roman" w:hAnsi="Times New Roman" w:cs="Times New Roman"/>
          <w:sz w:val="24"/>
          <w:szCs w:val="24"/>
        </w:rPr>
        <w:t>Children and Young People’s Commissioner Scotland</w:t>
      </w:r>
      <w:r w:rsidR="00B5442F">
        <w:rPr>
          <w:rFonts w:ascii="Times New Roman" w:hAnsi="Times New Roman" w:cs="Times New Roman"/>
          <w:sz w:val="24"/>
          <w:szCs w:val="24"/>
        </w:rPr>
        <w:t xml:space="preserve">, </w:t>
      </w:r>
      <w:r w:rsidRPr="00600E84">
        <w:rPr>
          <w:rFonts w:ascii="Times New Roman" w:hAnsi="Times New Roman" w:cs="Times New Roman"/>
          <w:sz w:val="24"/>
          <w:szCs w:val="24"/>
        </w:rPr>
        <w:t xml:space="preserve">2018). </w:t>
      </w:r>
      <w:r w:rsidR="00B404BE" w:rsidRPr="00600E84">
        <w:rPr>
          <w:rFonts w:ascii="Times New Roman" w:hAnsi="Times New Roman" w:cs="Times New Roman"/>
          <w:sz w:val="24"/>
          <w:szCs w:val="24"/>
        </w:rPr>
        <w:t xml:space="preserve"> </w:t>
      </w:r>
    </w:p>
    <w:p w14:paraId="7F69CCCA" w14:textId="12EAE7E5" w:rsidR="006B7AF5" w:rsidRPr="00600E84" w:rsidRDefault="006B7AF5" w:rsidP="002362D3">
      <w:pPr>
        <w:rPr>
          <w:rFonts w:ascii="Times New Roman" w:hAnsi="Times New Roman" w:cs="Times New Roman"/>
          <w:sz w:val="24"/>
          <w:szCs w:val="24"/>
        </w:rPr>
      </w:pPr>
      <w:r w:rsidRPr="00600E84">
        <w:rPr>
          <w:rFonts w:ascii="Times New Roman" w:hAnsi="Times New Roman" w:cs="Times New Roman"/>
          <w:sz w:val="24"/>
          <w:szCs w:val="24"/>
        </w:rPr>
        <w:t xml:space="preserve">Brodie and Savage (2015) explain the importance of inclusion when it comes to supporting children and families with EAL by explaining that all settings should have a plan in place for when a child with EAL attends the setting. This will allow the practitioners to provide the child with the support that they need and will ensure that they are included in learning. As well as this Graf (2011) recognises that it is important to include families with EAL as well as the children. This is because </w:t>
      </w:r>
      <w:r w:rsidR="00067A35" w:rsidRPr="00600E84">
        <w:rPr>
          <w:rFonts w:ascii="Times New Roman" w:hAnsi="Times New Roman" w:cs="Times New Roman"/>
          <w:sz w:val="24"/>
          <w:szCs w:val="24"/>
        </w:rPr>
        <w:t xml:space="preserve">it is important to have positive links with parents. Including parents with the children’s learning means ensuring good communication which may involve providing information in the parent’s home language, regular meetings with the parents and providing support for them to allow them to help their child at home. </w:t>
      </w:r>
    </w:p>
    <w:p w14:paraId="3C25C951" w14:textId="58CEEA92" w:rsidR="00B45065" w:rsidRPr="00600E84" w:rsidRDefault="00A66A30" w:rsidP="00B45065">
      <w:pPr>
        <w:rPr>
          <w:rFonts w:ascii="Times New Roman" w:hAnsi="Times New Roman" w:cs="Times New Roman"/>
          <w:sz w:val="24"/>
          <w:szCs w:val="24"/>
        </w:rPr>
      </w:pPr>
      <w:r w:rsidRPr="00600E84">
        <w:rPr>
          <w:rFonts w:ascii="Times New Roman" w:hAnsi="Times New Roman" w:cs="Times New Roman"/>
          <w:sz w:val="24"/>
          <w:szCs w:val="24"/>
        </w:rPr>
        <w:t xml:space="preserve">Mistry and Sood (2015) explain the importance of ensuring good partnerships with other agencies, this ensures the child receives extra support from other professionals. This also allows the practitioners to have partnerships with staff who are trained in other areas, they can then gain knowledge from them to support the child.  Swansea Virtual School (no date) explain the organisation Ethnic Minority Achievement Unit (EMAU) support children aged 3-19 from ethnic minority backgrounds in schools. They provide bilingual teaching assistants </w:t>
      </w:r>
      <w:r w:rsidR="002F2C31" w:rsidRPr="00600E84">
        <w:rPr>
          <w:rFonts w:ascii="Times New Roman" w:hAnsi="Times New Roman" w:cs="Times New Roman"/>
          <w:sz w:val="24"/>
          <w:szCs w:val="24"/>
        </w:rPr>
        <w:t>who can speak the child’s language to support them in school as well as communicate with the family to keep them informed of the child’s development and school information for example informing them of upcoming events or trips.  EMAU also provide teachers and other practitioners with activities and visual aids to support the child when they are not there. For example, they provide picture fans which the child can use to communicate their wants or needs</w:t>
      </w:r>
      <w:r w:rsidR="00B5442F">
        <w:rPr>
          <w:rFonts w:ascii="Times New Roman" w:hAnsi="Times New Roman" w:cs="Times New Roman"/>
          <w:sz w:val="24"/>
          <w:szCs w:val="24"/>
        </w:rPr>
        <w:t>.</w:t>
      </w:r>
    </w:p>
    <w:p w14:paraId="6883EC64" w14:textId="288B166D" w:rsidR="00E867F9" w:rsidRPr="00600E84" w:rsidRDefault="00B45065" w:rsidP="001F27B2">
      <w:pPr>
        <w:ind w:left="2880" w:firstLine="720"/>
        <w:rPr>
          <w:rFonts w:ascii="Times New Roman" w:hAnsi="Times New Roman" w:cs="Times New Roman"/>
          <w:sz w:val="24"/>
          <w:szCs w:val="24"/>
        </w:rPr>
      </w:pPr>
      <w:r w:rsidRPr="00600E84">
        <w:rPr>
          <w:rFonts w:ascii="Times New Roman" w:hAnsi="Times New Roman" w:cs="Times New Roman"/>
          <w:sz w:val="24"/>
          <w:szCs w:val="24"/>
          <w:u w:val="single"/>
        </w:rPr>
        <w:lastRenderedPageBreak/>
        <w:t>Frameworks</w:t>
      </w:r>
      <w:r w:rsidR="00512622" w:rsidRPr="00600E84">
        <w:rPr>
          <w:rFonts w:ascii="Times New Roman" w:hAnsi="Times New Roman" w:cs="Times New Roman"/>
          <w:sz w:val="24"/>
          <w:szCs w:val="24"/>
          <w:u w:val="single"/>
        </w:rPr>
        <w:t xml:space="preserve">. </w:t>
      </w:r>
    </w:p>
    <w:p w14:paraId="41E0C119" w14:textId="5720C007" w:rsidR="004B4C34" w:rsidRPr="00600E84" w:rsidRDefault="00512622" w:rsidP="002362D3">
      <w:pPr>
        <w:rPr>
          <w:rFonts w:ascii="Times New Roman" w:hAnsi="Times New Roman" w:cs="Times New Roman"/>
          <w:sz w:val="24"/>
          <w:szCs w:val="24"/>
        </w:rPr>
      </w:pPr>
      <w:r w:rsidRPr="00600E84">
        <w:rPr>
          <w:rFonts w:ascii="Times New Roman" w:hAnsi="Times New Roman" w:cs="Times New Roman"/>
          <w:sz w:val="24"/>
          <w:szCs w:val="24"/>
        </w:rPr>
        <w:t>In practice today, there are many frameworks that are used to promote the use of a second language. In Wales, a framework called Curriculum Cymreig</w:t>
      </w:r>
      <w:r w:rsidR="00E27ED2">
        <w:rPr>
          <w:rFonts w:ascii="Times New Roman" w:hAnsi="Times New Roman" w:cs="Times New Roman"/>
          <w:sz w:val="24"/>
          <w:szCs w:val="24"/>
        </w:rPr>
        <w:t xml:space="preserve"> (Welsh Government, 2003)</w:t>
      </w:r>
      <w:r w:rsidRPr="00600E84">
        <w:rPr>
          <w:rFonts w:ascii="Times New Roman" w:hAnsi="Times New Roman" w:cs="Times New Roman"/>
          <w:sz w:val="24"/>
          <w:szCs w:val="24"/>
        </w:rPr>
        <w:t xml:space="preserve"> is used. Curriculum Cymreig has five areas including cultural and linguistic. Practitioners can use Curriculum Cymreig to plan and implement activities to promote the Welsh language </w:t>
      </w:r>
      <w:r w:rsidR="00E27ED2">
        <w:rPr>
          <w:rFonts w:ascii="Times New Roman" w:hAnsi="Times New Roman" w:cs="Times New Roman"/>
          <w:sz w:val="24"/>
          <w:szCs w:val="24"/>
        </w:rPr>
        <w:t>(</w:t>
      </w:r>
      <w:r w:rsidRPr="00600E84">
        <w:rPr>
          <w:rFonts w:ascii="Times New Roman" w:hAnsi="Times New Roman" w:cs="Times New Roman"/>
          <w:sz w:val="24"/>
          <w:szCs w:val="24"/>
        </w:rPr>
        <w:t>Welsh Government</w:t>
      </w:r>
      <w:r w:rsidR="00E27ED2">
        <w:rPr>
          <w:rFonts w:ascii="Times New Roman" w:hAnsi="Times New Roman" w:cs="Times New Roman"/>
          <w:sz w:val="24"/>
          <w:szCs w:val="24"/>
        </w:rPr>
        <w:t xml:space="preserve">, </w:t>
      </w:r>
      <w:r w:rsidRPr="00600E84">
        <w:rPr>
          <w:rFonts w:ascii="Times New Roman" w:hAnsi="Times New Roman" w:cs="Times New Roman"/>
          <w:sz w:val="24"/>
          <w:szCs w:val="24"/>
        </w:rPr>
        <w:t>2003).  In early years settings, the Curriculum Cymreig would be used in many ways. For example, the cul</w:t>
      </w:r>
      <w:r w:rsidR="004B4C34" w:rsidRPr="00600E84">
        <w:rPr>
          <w:rFonts w:ascii="Times New Roman" w:hAnsi="Times New Roman" w:cs="Times New Roman"/>
          <w:sz w:val="24"/>
          <w:szCs w:val="24"/>
        </w:rPr>
        <w:t>tural section would be promoted through celebrating Saint David’s day, many schools provide an eisteddfod to celebrate in which they look at the history of Wales and celebrate it by singing songs and listening to stories.  As well as this, settings promote the linguistic section by using incidental Welsh. For example, practitioners will instruct the children to sit down in Welsh by saying ‘Eisteddwch.</w:t>
      </w:r>
      <w:r w:rsidR="00E27ED2">
        <w:rPr>
          <w:rFonts w:ascii="Times New Roman" w:hAnsi="Times New Roman" w:cs="Times New Roman"/>
          <w:sz w:val="24"/>
          <w:szCs w:val="24"/>
        </w:rPr>
        <w:t>’</w:t>
      </w:r>
      <w:r w:rsidR="004B4C34" w:rsidRPr="00600E84">
        <w:rPr>
          <w:rFonts w:ascii="Times New Roman" w:hAnsi="Times New Roman" w:cs="Times New Roman"/>
          <w:sz w:val="24"/>
          <w:szCs w:val="24"/>
        </w:rPr>
        <w:t xml:space="preserve"> In settings incidental Welsh is imbedded in to most of the routines (Hofkins 2007)</w:t>
      </w:r>
      <w:r w:rsidR="007253C9" w:rsidRPr="00600E84">
        <w:rPr>
          <w:rFonts w:ascii="Times New Roman" w:hAnsi="Times New Roman" w:cs="Times New Roman"/>
          <w:sz w:val="24"/>
          <w:szCs w:val="24"/>
        </w:rPr>
        <w:t>.</w:t>
      </w:r>
      <w:r w:rsidR="004B4C34" w:rsidRPr="00600E84">
        <w:rPr>
          <w:rFonts w:ascii="Times New Roman" w:hAnsi="Times New Roman" w:cs="Times New Roman"/>
          <w:sz w:val="24"/>
          <w:szCs w:val="24"/>
        </w:rPr>
        <w:t xml:space="preserve"> </w:t>
      </w:r>
    </w:p>
    <w:p w14:paraId="1C457BA8" w14:textId="00991456" w:rsidR="00B45065" w:rsidRPr="00600E84" w:rsidRDefault="004B4C34" w:rsidP="00440B03">
      <w:pPr>
        <w:rPr>
          <w:rFonts w:ascii="Times New Roman" w:hAnsi="Times New Roman" w:cs="Times New Roman"/>
          <w:sz w:val="24"/>
          <w:szCs w:val="24"/>
        </w:rPr>
      </w:pPr>
      <w:r w:rsidRPr="00600E84">
        <w:rPr>
          <w:rFonts w:ascii="Times New Roman" w:hAnsi="Times New Roman" w:cs="Times New Roman"/>
          <w:sz w:val="24"/>
          <w:szCs w:val="24"/>
        </w:rPr>
        <w:t xml:space="preserve">Another framework used in the early years to promote Welsh is the Foundation Phase Profile (FPP). As the Welsh Government (2017) explains, within the </w:t>
      </w:r>
      <w:r w:rsidR="00E27ED2">
        <w:rPr>
          <w:rFonts w:ascii="Times New Roman" w:hAnsi="Times New Roman" w:cs="Times New Roman"/>
          <w:sz w:val="24"/>
          <w:szCs w:val="24"/>
        </w:rPr>
        <w:t>F</w:t>
      </w:r>
      <w:r w:rsidRPr="00600E84">
        <w:rPr>
          <w:rFonts w:ascii="Times New Roman" w:hAnsi="Times New Roman" w:cs="Times New Roman"/>
          <w:sz w:val="24"/>
          <w:szCs w:val="24"/>
        </w:rPr>
        <w:t xml:space="preserve">oundation </w:t>
      </w:r>
      <w:r w:rsidR="00E27ED2">
        <w:rPr>
          <w:rFonts w:ascii="Times New Roman" w:hAnsi="Times New Roman" w:cs="Times New Roman"/>
          <w:sz w:val="24"/>
          <w:szCs w:val="24"/>
        </w:rPr>
        <w:t>P</w:t>
      </w:r>
      <w:r w:rsidRPr="00600E84">
        <w:rPr>
          <w:rFonts w:ascii="Times New Roman" w:hAnsi="Times New Roman" w:cs="Times New Roman"/>
          <w:sz w:val="24"/>
          <w:szCs w:val="24"/>
        </w:rPr>
        <w:t>hase is a section on Welsh language development. Practitioners use this to promote and asse</w:t>
      </w:r>
      <w:r w:rsidR="00E27ED2">
        <w:rPr>
          <w:rFonts w:ascii="Times New Roman" w:hAnsi="Times New Roman" w:cs="Times New Roman"/>
          <w:sz w:val="24"/>
          <w:szCs w:val="24"/>
        </w:rPr>
        <w:t>s</w:t>
      </w:r>
      <w:r w:rsidRPr="00600E84">
        <w:rPr>
          <w:rFonts w:ascii="Times New Roman" w:hAnsi="Times New Roman" w:cs="Times New Roman"/>
          <w:sz w:val="24"/>
          <w:szCs w:val="24"/>
        </w:rPr>
        <w:t xml:space="preserve">s the children’s Welsh development. </w:t>
      </w:r>
      <w:r w:rsidR="000C18EC" w:rsidRPr="00600E84">
        <w:rPr>
          <w:rFonts w:ascii="Times New Roman" w:hAnsi="Times New Roman" w:cs="Times New Roman"/>
          <w:sz w:val="24"/>
          <w:szCs w:val="24"/>
        </w:rPr>
        <w:t xml:space="preserve"> It explains that the promotion of the Welsh language can be completed through many areas including songs and rhymes, modelling from practitioners and stories. For example, in the activity the use of a ‘Tedi Twt’ story was used, as well as modelling from the practitioner when naming objects or colours in both English and Welsh for the children to copy and the use of songs in Welsh and English. This was all used to support and promote the children’s Welsh development at a level suitable for the children’s age.  Monmouth Schools (2018) explains it is also important for Welsh to be promoted holistically through many activities and play. For example, practitioner should be promoting Welsh through indoor and outdoor play, linking it to other subjects and allowing Welsh resources to be available during free play. In the activity, the practitioner used mathematical development to promote Welsh by encouraging the children to count in English and then in Welsh.</w:t>
      </w:r>
    </w:p>
    <w:p w14:paraId="5BAFF230"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45CEA1"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B8FC71"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4BAAED"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B5B9D7"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C050E3"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2F7DE3"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AB3842"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322E5A"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C3D38F"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CA9767"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57A553"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B77580" w14:textId="77777777" w:rsidR="00B45065" w:rsidRPr="00600E84" w:rsidRDefault="00B45065" w:rsidP="00440B03">
      <w:pP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0331B" w14:textId="0B822933" w:rsidR="00E867F9" w:rsidRPr="00600E84" w:rsidRDefault="00E867F9" w:rsidP="001F27B2">
      <w:pPr>
        <w:ind w:left="2160" w:firstLine="720"/>
        <w:rPr>
          <w:rFonts w:ascii="Times New Roman" w:hAnsi="Times New Roman" w:cs="Times New Roman"/>
          <w:sz w:val="24"/>
          <w:szCs w:val="24"/>
        </w:rPr>
      </w:pPr>
      <w:r w:rsidRPr="00600E84">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Reference list. </w:t>
      </w:r>
    </w:p>
    <w:p w14:paraId="14F6DA4E" w14:textId="77777777" w:rsidR="00B45065" w:rsidRPr="00600E84" w:rsidRDefault="00B45065" w:rsidP="00F27F1D">
      <w:pPr>
        <w:jc w:val="left"/>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American Speech-Language-Hearing Association (2004)’Knowledge and Skills Needed by Speech- Language Pathologists and Audiologists to Provide Culturally and Linguistically Appropriate Services.</w:t>
      </w:r>
      <w:hyperlink r:id="rId6" w:history="1">
        <w:r w:rsidRPr="00600E84">
          <w:rPr>
            <w:rStyle w:val="Hyperlink"/>
            <w:rFonts w:ascii="Times New Roman" w:hAnsi="Times New Roman" w:cs="Times New Roman"/>
            <w:sz w:val="24"/>
            <w:szCs w:val="24"/>
            <w14:textOutline w14:w="0" w14:cap="flat" w14:cmpd="sng" w14:algn="ctr">
              <w14:noFill/>
              <w14:prstDash w14:val="solid"/>
              <w14:round/>
            </w14:textOutline>
          </w:rPr>
          <w:t>https://www.asha.org/practice/multicultural/issues/bll.htm</w:t>
        </w:r>
      </w:hyperlink>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[Accessed:20th March 2018].</w:t>
      </w:r>
    </w:p>
    <w:p w14:paraId="5D218FF7"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Baker, C.  and Sienkewicz, A.  (2002) </w:t>
      </w:r>
      <w:r w:rsidRPr="00600E84">
        <w:rPr>
          <w:b w:val="0"/>
          <w:i/>
          <w:color w:val="000000"/>
          <w:sz w:val="24"/>
          <w:szCs w:val="24"/>
        </w:rPr>
        <w:t xml:space="preserve">The Care and Education of Young Bilinguals: An Introduction for Professionals. </w:t>
      </w:r>
      <w:r w:rsidRPr="00600E84">
        <w:rPr>
          <w:b w:val="0"/>
          <w:color w:val="000000"/>
          <w:sz w:val="24"/>
          <w:szCs w:val="24"/>
        </w:rPr>
        <w:t xml:space="preserve">UK: Multilingual Matters Ltd. </w:t>
      </w:r>
    </w:p>
    <w:p w14:paraId="6B9CE852" w14:textId="77777777" w:rsidR="00B45065" w:rsidRPr="00600E84" w:rsidRDefault="00B45065" w:rsidP="00F177F8">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Baker, C. (2006) </w:t>
      </w:r>
      <w:r w:rsidRPr="00600E84">
        <w:rPr>
          <w:b w:val="0"/>
          <w:i/>
          <w:color w:val="000000"/>
          <w:sz w:val="24"/>
          <w:szCs w:val="24"/>
        </w:rPr>
        <w:t xml:space="preserve">Foundations of Bilingual Education and Bilingualism. </w:t>
      </w:r>
      <w:r w:rsidRPr="00600E84">
        <w:rPr>
          <w:b w:val="0"/>
          <w:color w:val="000000"/>
          <w:sz w:val="24"/>
          <w:szCs w:val="24"/>
        </w:rPr>
        <w:t>(4</w:t>
      </w:r>
      <w:r w:rsidRPr="00600E84">
        <w:rPr>
          <w:b w:val="0"/>
          <w:color w:val="000000"/>
          <w:sz w:val="24"/>
          <w:szCs w:val="24"/>
          <w:vertAlign w:val="superscript"/>
        </w:rPr>
        <w:t>th</w:t>
      </w:r>
      <w:r w:rsidRPr="00600E84">
        <w:rPr>
          <w:b w:val="0"/>
          <w:color w:val="000000"/>
          <w:sz w:val="24"/>
          <w:szCs w:val="24"/>
        </w:rPr>
        <w:t xml:space="preserve"> ed) Clevedon: Multilingual Matters. </w:t>
      </w:r>
    </w:p>
    <w:p w14:paraId="7D8979B6"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Brodie, K. and Savage, K. (2015) </w:t>
      </w:r>
      <w:r w:rsidRPr="00600E84">
        <w:rPr>
          <w:b w:val="0"/>
          <w:i/>
          <w:color w:val="000000"/>
          <w:sz w:val="24"/>
          <w:szCs w:val="24"/>
        </w:rPr>
        <w:t xml:space="preserve">Inclusion and Early Years Practice. </w:t>
      </w:r>
      <w:r w:rsidRPr="00600E84">
        <w:rPr>
          <w:b w:val="0"/>
          <w:color w:val="000000"/>
          <w:sz w:val="24"/>
          <w:szCs w:val="24"/>
        </w:rPr>
        <w:t xml:space="preserve">London: Routledge. </w:t>
      </w:r>
    </w:p>
    <w:p w14:paraId="1E0F38ED"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Children and Young People’s Commissioner Scotland. (2018) ‘UNCRC Articles.’ </w:t>
      </w:r>
      <w:hyperlink r:id="rId7" w:history="1">
        <w:r w:rsidRPr="00600E84">
          <w:rPr>
            <w:rStyle w:val="Hyperlink"/>
            <w:b w:val="0"/>
            <w:sz w:val="24"/>
            <w:szCs w:val="24"/>
          </w:rPr>
          <w:t>https://www.cypcs.org.uk/rights/uncrcarticles</w:t>
        </w:r>
      </w:hyperlink>
      <w:r w:rsidRPr="00600E84">
        <w:rPr>
          <w:b w:val="0"/>
          <w:color w:val="000000"/>
          <w:sz w:val="24"/>
          <w:szCs w:val="24"/>
        </w:rPr>
        <w:t xml:space="preserve"> [Accessed: 24</w:t>
      </w:r>
      <w:r w:rsidRPr="00600E84">
        <w:rPr>
          <w:b w:val="0"/>
          <w:color w:val="000000"/>
          <w:sz w:val="24"/>
          <w:szCs w:val="24"/>
          <w:vertAlign w:val="superscript"/>
        </w:rPr>
        <w:t>th</w:t>
      </w:r>
      <w:r w:rsidRPr="00600E84">
        <w:rPr>
          <w:b w:val="0"/>
          <w:color w:val="000000"/>
          <w:sz w:val="24"/>
          <w:szCs w:val="24"/>
        </w:rPr>
        <w:t xml:space="preserve"> March 2018]. </w:t>
      </w:r>
    </w:p>
    <w:p w14:paraId="49078EAD"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Costa, A. and Sebastian-Galles, N. (2014) ‘How does the bilingual experience sculpt the brain?’, </w:t>
      </w:r>
      <w:r w:rsidRPr="00600E84">
        <w:rPr>
          <w:b w:val="0"/>
          <w:i/>
          <w:color w:val="000000"/>
          <w:sz w:val="24"/>
          <w:szCs w:val="24"/>
        </w:rPr>
        <w:t xml:space="preserve">Nature Reviews Neuroscience, </w:t>
      </w:r>
      <w:r w:rsidRPr="00600E84">
        <w:rPr>
          <w:b w:val="0"/>
          <w:color w:val="000000"/>
          <w:sz w:val="24"/>
          <w:szCs w:val="24"/>
        </w:rPr>
        <w:t xml:space="preserve">15, 5, May, </w:t>
      </w:r>
      <w:r w:rsidRPr="00600E84">
        <w:rPr>
          <w:b w:val="0"/>
          <w:color w:val="000000"/>
          <w:sz w:val="24"/>
          <w:szCs w:val="24"/>
        </w:rPr>
        <w:tab/>
        <w:t xml:space="preserve">[On-line]. </w:t>
      </w:r>
      <w:hyperlink r:id="rId8" w:history="1">
        <w:r w:rsidRPr="00600E84">
          <w:rPr>
            <w:rStyle w:val="Hyperlink"/>
            <w:b w:val="0"/>
            <w:sz w:val="24"/>
            <w:szCs w:val="24"/>
          </w:rPr>
          <w:t>https://www.ncbi.nlm.nih.gov/pmc/articles/PMC4295724/</w:t>
        </w:r>
      </w:hyperlink>
      <w:r w:rsidRPr="00600E84">
        <w:rPr>
          <w:b w:val="0"/>
          <w:color w:val="000000"/>
          <w:sz w:val="24"/>
          <w:szCs w:val="24"/>
        </w:rPr>
        <w:t xml:space="preserve"> [Accessed: 25</w:t>
      </w:r>
      <w:r w:rsidRPr="00600E84">
        <w:rPr>
          <w:b w:val="0"/>
          <w:color w:val="000000"/>
          <w:sz w:val="24"/>
          <w:szCs w:val="24"/>
          <w:vertAlign w:val="superscript"/>
        </w:rPr>
        <w:t>th</w:t>
      </w:r>
      <w:r w:rsidRPr="00600E84">
        <w:rPr>
          <w:b w:val="0"/>
          <w:color w:val="000000"/>
          <w:sz w:val="24"/>
          <w:szCs w:val="24"/>
        </w:rPr>
        <w:t xml:space="preserve"> March 2018]. </w:t>
      </w:r>
    </w:p>
    <w:p w14:paraId="41F94DA0"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Crosse, K. (2007) </w:t>
      </w:r>
      <w:r w:rsidRPr="00600E84">
        <w:rPr>
          <w:b w:val="0"/>
          <w:i/>
          <w:color w:val="000000"/>
          <w:sz w:val="24"/>
          <w:szCs w:val="24"/>
        </w:rPr>
        <w:t xml:space="preserve">Introducing English as an Additional Language to Young Children. </w:t>
      </w:r>
      <w:r w:rsidRPr="00600E84">
        <w:rPr>
          <w:b w:val="0"/>
          <w:color w:val="000000"/>
          <w:sz w:val="24"/>
          <w:szCs w:val="24"/>
        </w:rPr>
        <w:t xml:space="preserve">London: Paul Chapman Publishing. </w:t>
      </w:r>
    </w:p>
    <w:p w14:paraId="1423D79B"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Deverakonda (2013) </w:t>
      </w:r>
      <w:r w:rsidRPr="00600E84">
        <w:rPr>
          <w:b w:val="0"/>
          <w:i/>
          <w:color w:val="000000"/>
          <w:sz w:val="24"/>
          <w:szCs w:val="24"/>
        </w:rPr>
        <w:t xml:space="preserve">Diversity and Inclusion in Early Childhood. </w:t>
      </w:r>
      <w:r w:rsidRPr="00600E84">
        <w:rPr>
          <w:b w:val="0"/>
          <w:color w:val="000000"/>
          <w:sz w:val="24"/>
          <w:szCs w:val="24"/>
        </w:rPr>
        <w:t xml:space="preserve">London: SAGE. </w:t>
      </w:r>
    </w:p>
    <w:p w14:paraId="3E131F0A"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Graf, M. (2011) </w:t>
      </w:r>
      <w:r w:rsidRPr="00600E84">
        <w:rPr>
          <w:b w:val="0"/>
          <w:i/>
          <w:color w:val="000000"/>
          <w:sz w:val="24"/>
          <w:szCs w:val="24"/>
        </w:rPr>
        <w:t xml:space="preserve">Including and Supporting Learners of English as an Additional Language. </w:t>
      </w:r>
      <w:r w:rsidRPr="00600E84">
        <w:rPr>
          <w:b w:val="0"/>
          <w:color w:val="000000"/>
          <w:sz w:val="24"/>
          <w:szCs w:val="24"/>
        </w:rPr>
        <w:t xml:space="preserve">London: Continuum. </w:t>
      </w:r>
    </w:p>
    <w:p w14:paraId="7E9A9247" w14:textId="77777777" w:rsidR="00B45065" w:rsidRPr="00600E84" w:rsidRDefault="00B45065" w:rsidP="00440B03">
      <w:pPr>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Hickey, T. and De- Mejia, A. (eds) (2016) </w:t>
      </w:r>
      <w:r w:rsidRPr="00600E84">
        <w:rPr>
          <w:rFonts w:ascii="Times New Roman" w:hAnsi="Times New Roman" w:cs="Times New Roman"/>
          <w:i/>
          <w:color w:val="000000" w:themeColor="text1"/>
          <w:sz w:val="24"/>
          <w:szCs w:val="24"/>
          <w14:textOutline w14:w="0" w14:cap="flat" w14:cmpd="sng" w14:algn="ctr">
            <w14:noFill/>
            <w14:prstDash w14:val="solid"/>
            <w14:round/>
          </w14:textOutline>
        </w:rPr>
        <w:t xml:space="preserve">Immersion Education in the Early Years. </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London: Routledge. </w:t>
      </w:r>
    </w:p>
    <w:p w14:paraId="0AEAB139" w14:textId="77777777" w:rsidR="00B45065" w:rsidRPr="00600E84" w:rsidRDefault="00B45065" w:rsidP="00F177F8">
      <w:pPr>
        <w:pStyle w:val="Heading1"/>
        <w:shd w:val="clear" w:color="auto" w:fill="FFFFFF"/>
        <w:spacing w:before="240" w:beforeAutospacing="0" w:after="120" w:afterAutospacing="0" w:line="324" w:lineRule="atLeast"/>
        <w:rPr>
          <w:b w:val="0"/>
          <w:sz w:val="24"/>
          <w:szCs w:val="24"/>
        </w:rPr>
      </w:pPr>
      <w:r w:rsidRPr="00600E84">
        <w:rPr>
          <w:b w:val="0"/>
          <w:sz w:val="24"/>
          <w:szCs w:val="24"/>
        </w:rPr>
        <w:t xml:space="preserve">Hofkins, D. (2007) ‘Wales Watching.’ </w:t>
      </w:r>
      <w:hyperlink r:id="rId9" w:history="1">
        <w:r w:rsidRPr="00600E84">
          <w:rPr>
            <w:rStyle w:val="Hyperlink"/>
            <w:b w:val="0"/>
            <w:sz w:val="24"/>
            <w:szCs w:val="24"/>
          </w:rPr>
          <w:t>https://www.theguardian.com/education/2007/may/01/schools.uk3</w:t>
        </w:r>
      </w:hyperlink>
      <w:r w:rsidRPr="00600E84">
        <w:rPr>
          <w:b w:val="0"/>
          <w:sz w:val="24"/>
          <w:szCs w:val="24"/>
        </w:rPr>
        <w:t xml:space="preserve"> [Accessed: 25</w:t>
      </w:r>
      <w:r w:rsidRPr="00600E84">
        <w:rPr>
          <w:b w:val="0"/>
          <w:sz w:val="24"/>
          <w:szCs w:val="24"/>
          <w:vertAlign w:val="superscript"/>
        </w:rPr>
        <w:t>th</w:t>
      </w:r>
      <w:r w:rsidRPr="00600E84">
        <w:rPr>
          <w:b w:val="0"/>
          <w:sz w:val="24"/>
          <w:szCs w:val="24"/>
        </w:rPr>
        <w:t xml:space="preserve"> March 2018]. </w:t>
      </w:r>
    </w:p>
    <w:p w14:paraId="689D7BE5" w14:textId="77777777" w:rsidR="00B45065" w:rsidRPr="00600E84" w:rsidRDefault="00B45065" w:rsidP="00F177F8">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Hommel, B., </w:t>
      </w:r>
      <w:proofErr w:type="spellStart"/>
      <w:r w:rsidRPr="00600E84">
        <w:rPr>
          <w:b w:val="0"/>
          <w:color w:val="000000"/>
          <w:sz w:val="24"/>
          <w:szCs w:val="24"/>
        </w:rPr>
        <w:t>Colzato</w:t>
      </w:r>
      <w:proofErr w:type="spellEnd"/>
      <w:r w:rsidRPr="00600E84">
        <w:rPr>
          <w:b w:val="0"/>
          <w:color w:val="000000"/>
          <w:sz w:val="24"/>
          <w:szCs w:val="24"/>
        </w:rPr>
        <w:t xml:space="preserve">, L., Fischer, R. and </w:t>
      </w:r>
      <w:proofErr w:type="spellStart"/>
      <w:r w:rsidRPr="00600E84">
        <w:rPr>
          <w:b w:val="0"/>
          <w:color w:val="000000"/>
          <w:sz w:val="24"/>
          <w:szCs w:val="24"/>
        </w:rPr>
        <w:t>Christoffels</w:t>
      </w:r>
      <w:proofErr w:type="spellEnd"/>
      <w:r w:rsidRPr="00600E84">
        <w:rPr>
          <w:b w:val="0"/>
          <w:color w:val="000000"/>
          <w:sz w:val="24"/>
          <w:szCs w:val="24"/>
        </w:rPr>
        <w:t xml:space="preserve">, I. (2011) ‘Bilingualism and Creativity: Benefits in Convergent Thinking Come with Losses in Divergent Thinking’, </w:t>
      </w:r>
      <w:r w:rsidRPr="00600E84">
        <w:rPr>
          <w:b w:val="0"/>
          <w:i/>
          <w:color w:val="000000"/>
          <w:sz w:val="24"/>
          <w:szCs w:val="24"/>
        </w:rPr>
        <w:t xml:space="preserve">Frontiers I psychology, </w:t>
      </w:r>
      <w:r w:rsidRPr="00600E84">
        <w:rPr>
          <w:b w:val="0"/>
          <w:color w:val="000000"/>
          <w:sz w:val="24"/>
          <w:szCs w:val="24"/>
        </w:rPr>
        <w:t xml:space="preserve">2, 273, November, [on-line]. </w:t>
      </w:r>
      <w:hyperlink r:id="rId10" w:history="1">
        <w:r w:rsidRPr="00600E84">
          <w:rPr>
            <w:rStyle w:val="Hyperlink"/>
            <w:b w:val="0"/>
            <w:sz w:val="24"/>
            <w:szCs w:val="24"/>
          </w:rPr>
          <w:t>https://www.ncbi.nlm.nih.gov/pmc/articles/PMC3212749/</w:t>
        </w:r>
      </w:hyperlink>
      <w:r w:rsidRPr="00600E84">
        <w:rPr>
          <w:b w:val="0"/>
          <w:color w:val="000000"/>
          <w:sz w:val="24"/>
          <w:szCs w:val="24"/>
        </w:rPr>
        <w:t xml:space="preserve"> [Accessed:25</w:t>
      </w:r>
      <w:r w:rsidRPr="00600E84">
        <w:rPr>
          <w:b w:val="0"/>
          <w:color w:val="000000"/>
          <w:sz w:val="24"/>
          <w:szCs w:val="24"/>
          <w:vertAlign w:val="superscript"/>
        </w:rPr>
        <w:t>th</w:t>
      </w:r>
      <w:r w:rsidRPr="00600E84">
        <w:rPr>
          <w:b w:val="0"/>
          <w:color w:val="000000"/>
          <w:sz w:val="24"/>
          <w:szCs w:val="24"/>
        </w:rPr>
        <w:t xml:space="preserve"> March 2018]. </w:t>
      </w:r>
    </w:p>
    <w:p w14:paraId="7CA6F620" w14:textId="38D0A92B" w:rsidR="00B45065" w:rsidRDefault="00B45065" w:rsidP="00F177F8">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Kecskes, I. and Albertazzi, L. (2007) </w:t>
      </w:r>
      <w:r w:rsidRPr="00600E84">
        <w:rPr>
          <w:b w:val="0"/>
          <w:i/>
          <w:color w:val="000000"/>
          <w:sz w:val="24"/>
          <w:szCs w:val="24"/>
        </w:rPr>
        <w:t>Cognitive Aspects of Bilingualism.</w:t>
      </w:r>
      <w:r w:rsidRPr="00600E84">
        <w:rPr>
          <w:b w:val="0"/>
          <w:color w:val="000000"/>
          <w:sz w:val="24"/>
          <w:szCs w:val="24"/>
        </w:rPr>
        <w:t xml:space="preserve"> Netherlands: Springer. </w:t>
      </w:r>
    </w:p>
    <w:p w14:paraId="37F6A3CC" w14:textId="5532E190" w:rsidR="002F5B41" w:rsidRPr="002F5B41" w:rsidRDefault="002F5B41" w:rsidP="00F177F8">
      <w:pPr>
        <w:pStyle w:val="Heading1"/>
        <w:shd w:val="clear" w:color="auto" w:fill="FFFFFF"/>
        <w:spacing w:before="240" w:beforeAutospacing="0" w:after="120" w:afterAutospacing="0" w:line="324" w:lineRule="atLeast"/>
        <w:rPr>
          <w:b w:val="0"/>
          <w:sz w:val="24"/>
          <w:szCs w:val="24"/>
        </w:rPr>
      </w:pPr>
      <w:r>
        <w:rPr>
          <w:b w:val="0"/>
          <w:color w:val="000000"/>
          <w:sz w:val="24"/>
          <w:szCs w:val="24"/>
        </w:rPr>
        <w:t xml:space="preserve">Lemetyinen, H. (2012) ‘Language acquisition.’ </w:t>
      </w:r>
      <w:hyperlink r:id="rId11" w:history="1">
        <w:r w:rsidRPr="00404F15">
          <w:rPr>
            <w:rStyle w:val="Hyperlink"/>
            <w:b w:val="0"/>
            <w:sz w:val="24"/>
            <w:szCs w:val="24"/>
          </w:rPr>
          <w:t>https://www.simplypsychology.org/language.html</w:t>
        </w:r>
      </w:hyperlink>
      <w:r>
        <w:t xml:space="preserve"> </w:t>
      </w:r>
      <w:r>
        <w:rPr>
          <w:b w:val="0"/>
          <w:sz w:val="24"/>
          <w:szCs w:val="24"/>
        </w:rPr>
        <w:t>[Accessed: 28</w:t>
      </w:r>
      <w:r w:rsidRPr="002F5B41">
        <w:rPr>
          <w:b w:val="0"/>
          <w:sz w:val="24"/>
          <w:szCs w:val="24"/>
          <w:vertAlign w:val="superscript"/>
        </w:rPr>
        <w:t>th</w:t>
      </w:r>
      <w:r>
        <w:rPr>
          <w:b w:val="0"/>
          <w:sz w:val="24"/>
          <w:szCs w:val="24"/>
        </w:rPr>
        <w:t xml:space="preserve"> March 2018]. </w:t>
      </w:r>
    </w:p>
    <w:p w14:paraId="2C3D2615"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lastRenderedPageBreak/>
        <w:t xml:space="preserve">Marian V. and Shook, A. ‘The cognitive Benefits of Being Bilingual’, </w:t>
      </w:r>
      <w:r w:rsidRPr="00600E84">
        <w:rPr>
          <w:b w:val="0"/>
          <w:i/>
          <w:color w:val="000000"/>
          <w:sz w:val="24"/>
          <w:szCs w:val="24"/>
        </w:rPr>
        <w:t>Cerebrum</w:t>
      </w:r>
      <w:r w:rsidRPr="00600E84">
        <w:rPr>
          <w:b w:val="0"/>
          <w:color w:val="000000"/>
          <w:sz w:val="24"/>
          <w:szCs w:val="24"/>
        </w:rPr>
        <w:t xml:space="preserve">: </w:t>
      </w:r>
      <w:r w:rsidRPr="00600E84">
        <w:rPr>
          <w:b w:val="0"/>
          <w:i/>
          <w:color w:val="000000"/>
          <w:sz w:val="24"/>
          <w:szCs w:val="24"/>
        </w:rPr>
        <w:t xml:space="preserve">The Dana Forum on Brain Science. </w:t>
      </w:r>
      <w:r w:rsidRPr="00600E84">
        <w:rPr>
          <w:b w:val="0"/>
          <w:color w:val="000000"/>
          <w:sz w:val="24"/>
          <w:szCs w:val="24"/>
        </w:rPr>
        <w:t>October 13</w:t>
      </w:r>
      <w:proofErr w:type="gramStart"/>
      <w:r w:rsidRPr="00600E84">
        <w:rPr>
          <w:b w:val="0"/>
          <w:color w:val="000000"/>
          <w:sz w:val="24"/>
          <w:szCs w:val="24"/>
          <w:vertAlign w:val="superscript"/>
        </w:rPr>
        <w:t xml:space="preserve">th </w:t>
      </w:r>
      <w:r w:rsidRPr="00600E84">
        <w:rPr>
          <w:b w:val="0"/>
          <w:color w:val="000000"/>
          <w:sz w:val="24"/>
          <w:szCs w:val="24"/>
        </w:rPr>
        <w:t>,</w:t>
      </w:r>
      <w:proofErr w:type="gramEnd"/>
      <w:r w:rsidRPr="00600E84">
        <w:rPr>
          <w:b w:val="0"/>
          <w:color w:val="000000"/>
          <w:sz w:val="24"/>
          <w:szCs w:val="24"/>
        </w:rPr>
        <w:t xml:space="preserve"> [On – line]. </w:t>
      </w:r>
      <w:hyperlink r:id="rId12" w:history="1">
        <w:r w:rsidRPr="00600E84">
          <w:rPr>
            <w:rStyle w:val="Hyperlink"/>
            <w:b w:val="0"/>
            <w:sz w:val="24"/>
            <w:szCs w:val="24"/>
          </w:rPr>
          <w:t>https://www.ncbi.nlm.nih.gov/pmc/articles/PMC3583091/</w:t>
        </w:r>
      </w:hyperlink>
      <w:r w:rsidRPr="00600E84">
        <w:rPr>
          <w:b w:val="0"/>
          <w:color w:val="000000"/>
          <w:sz w:val="24"/>
          <w:szCs w:val="24"/>
        </w:rPr>
        <w:t xml:space="preserve"> [Accessed: 25</w:t>
      </w:r>
      <w:r w:rsidRPr="00600E84">
        <w:rPr>
          <w:b w:val="0"/>
          <w:color w:val="000000"/>
          <w:sz w:val="24"/>
          <w:szCs w:val="24"/>
          <w:vertAlign w:val="superscript"/>
        </w:rPr>
        <w:t>th</w:t>
      </w:r>
      <w:r w:rsidRPr="00600E84">
        <w:rPr>
          <w:b w:val="0"/>
          <w:color w:val="000000"/>
          <w:sz w:val="24"/>
          <w:szCs w:val="24"/>
        </w:rPr>
        <w:t xml:space="preserve"> March 2018]. </w:t>
      </w:r>
    </w:p>
    <w:p w14:paraId="40EAC23B" w14:textId="51679851" w:rsidR="00B45065"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McElroy, M. (2016) ‘Bilingual baby brains show increased activity in executive function regions.’ </w:t>
      </w:r>
      <w:hyperlink r:id="rId13" w:history="1">
        <w:r w:rsidRPr="00600E84">
          <w:rPr>
            <w:rStyle w:val="Hyperlink"/>
            <w:b w:val="0"/>
            <w:sz w:val="24"/>
            <w:szCs w:val="24"/>
          </w:rPr>
          <w:t>http://www.washington.edu/news/2016/04/04/bilingual-baby-brains-show-increased-activity-in-executive-function-regions/</w:t>
        </w:r>
      </w:hyperlink>
      <w:r w:rsidRPr="00600E84">
        <w:rPr>
          <w:b w:val="0"/>
          <w:color w:val="000000"/>
          <w:sz w:val="24"/>
          <w:szCs w:val="24"/>
        </w:rPr>
        <w:t xml:space="preserve"> [Accessed: 25</w:t>
      </w:r>
      <w:r w:rsidRPr="00600E84">
        <w:rPr>
          <w:b w:val="0"/>
          <w:color w:val="000000"/>
          <w:sz w:val="24"/>
          <w:szCs w:val="24"/>
          <w:vertAlign w:val="superscript"/>
        </w:rPr>
        <w:t>th</w:t>
      </w:r>
      <w:r w:rsidRPr="00600E84">
        <w:rPr>
          <w:b w:val="0"/>
          <w:color w:val="000000"/>
          <w:sz w:val="24"/>
          <w:szCs w:val="24"/>
        </w:rPr>
        <w:t xml:space="preserve"> March 2018]. </w:t>
      </w:r>
    </w:p>
    <w:p w14:paraId="0E4B345E" w14:textId="3CA03BEC" w:rsidR="000156AC" w:rsidRPr="00600E84" w:rsidRDefault="000156AC" w:rsidP="00F27F1D">
      <w:pPr>
        <w:pStyle w:val="Heading1"/>
        <w:shd w:val="clear" w:color="auto" w:fill="FFFFFF"/>
        <w:spacing w:before="240" w:beforeAutospacing="0" w:after="120" w:afterAutospacing="0" w:line="324" w:lineRule="atLeast"/>
        <w:rPr>
          <w:b w:val="0"/>
          <w:color w:val="000000"/>
          <w:sz w:val="24"/>
          <w:szCs w:val="24"/>
        </w:rPr>
      </w:pPr>
      <w:r>
        <w:rPr>
          <w:b w:val="0"/>
          <w:color w:val="000000"/>
          <w:sz w:val="24"/>
          <w:szCs w:val="24"/>
        </w:rPr>
        <w:t xml:space="preserve">McLeod, S. (2016) ‘Bandura-Social Learning Theory.’ </w:t>
      </w:r>
      <w:hyperlink r:id="rId14" w:history="1">
        <w:r w:rsidRPr="00404F15">
          <w:rPr>
            <w:rStyle w:val="Hyperlink"/>
            <w:b w:val="0"/>
            <w:sz w:val="24"/>
            <w:szCs w:val="24"/>
          </w:rPr>
          <w:t>https://www.simplypsychology.org/bandura.html</w:t>
        </w:r>
      </w:hyperlink>
      <w:r>
        <w:rPr>
          <w:b w:val="0"/>
          <w:color w:val="000000"/>
          <w:sz w:val="24"/>
          <w:szCs w:val="24"/>
        </w:rPr>
        <w:t xml:space="preserve"> [Accessed: 28h March 2018]. </w:t>
      </w:r>
    </w:p>
    <w:p w14:paraId="092A19AB"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Mistry, M. and Sood, K. (2015) </w:t>
      </w:r>
      <w:r w:rsidRPr="00600E84">
        <w:rPr>
          <w:b w:val="0"/>
          <w:i/>
          <w:color w:val="000000"/>
          <w:sz w:val="24"/>
          <w:szCs w:val="24"/>
        </w:rPr>
        <w:t xml:space="preserve">English as an Additional Language in the Early Years: Linking Theory to Practice. </w:t>
      </w:r>
      <w:r w:rsidRPr="00600E84">
        <w:rPr>
          <w:b w:val="0"/>
          <w:color w:val="000000"/>
          <w:sz w:val="24"/>
          <w:szCs w:val="24"/>
        </w:rPr>
        <w:t xml:space="preserve">London: Routledge. </w:t>
      </w:r>
    </w:p>
    <w:p w14:paraId="2F276C7F" w14:textId="752385DA" w:rsidR="00B45065" w:rsidRPr="00600E84" w:rsidRDefault="00B45065" w:rsidP="00F177F8">
      <w:pPr>
        <w:pStyle w:val="Heading1"/>
        <w:shd w:val="clear" w:color="auto" w:fill="FFFFFF"/>
        <w:spacing w:before="240" w:beforeAutospacing="0" w:after="120" w:afterAutospacing="0" w:line="324" w:lineRule="atLeast"/>
        <w:rPr>
          <w:b w:val="0"/>
          <w:sz w:val="24"/>
          <w:szCs w:val="24"/>
        </w:rPr>
      </w:pPr>
      <w:r w:rsidRPr="00600E84">
        <w:rPr>
          <w:b w:val="0"/>
          <w:sz w:val="24"/>
          <w:szCs w:val="24"/>
        </w:rPr>
        <w:t xml:space="preserve">Monmouth Schools (2018) </w:t>
      </w:r>
      <w:r w:rsidR="002F5B41" w:rsidRPr="00600E84">
        <w:rPr>
          <w:b w:val="0"/>
          <w:sz w:val="24"/>
          <w:szCs w:val="24"/>
        </w:rPr>
        <w:t>‘Curriculum</w:t>
      </w:r>
      <w:r w:rsidRPr="00600E84">
        <w:rPr>
          <w:b w:val="0"/>
          <w:sz w:val="24"/>
          <w:szCs w:val="24"/>
        </w:rPr>
        <w:t xml:space="preserve"> – 7 Areas of Learning.’ https://www.habsmonmouth.org/pre-prep/nursery/curriculum-7-areas-of-learning/ [Accessed:25</w:t>
      </w:r>
      <w:r w:rsidRPr="00600E84">
        <w:rPr>
          <w:b w:val="0"/>
          <w:sz w:val="24"/>
          <w:szCs w:val="24"/>
          <w:vertAlign w:val="superscript"/>
        </w:rPr>
        <w:t>th</w:t>
      </w:r>
      <w:r w:rsidRPr="00600E84">
        <w:rPr>
          <w:b w:val="0"/>
          <w:sz w:val="24"/>
          <w:szCs w:val="24"/>
        </w:rPr>
        <w:t xml:space="preserve"> March 2018]. </w:t>
      </w:r>
    </w:p>
    <w:p w14:paraId="167A0088"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National Association for Language Development in Curriculum. (2015) ‘EYFS and EAL.’</w:t>
      </w:r>
      <w:r w:rsidRPr="00600E84">
        <w:rPr>
          <w:sz w:val="24"/>
          <w:szCs w:val="24"/>
        </w:rPr>
        <w:t xml:space="preserve"> </w:t>
      </w:r>
      <w:hyperlink r:id="rId15" w:history="1">
        <w:r w:rsidRPr="00600E84">
          <w:rPr>
            <w:rStyle w:val="Hyperlink"/>
            <w:b w:val="0"/>
            <w:sz w:val="24"/>
            <w:szCs w:val="24"/>
          </w:rPr>
          <w:t>https://www.naldic.org.uk/eal-teaching-and-learning/outline-guidance/early-years/</w:t>
        </w:r>
      </w:hyperlink>
      <w:r w:rsidRPr="00600E84">
        <w:rPr>
          <w:b w:val="0"/>
          <w:color w:val="000000"/>
          <w:sz w:val="24"/>
          <w:szCs w:val="24"/>
        </w:rPr>
        <w:t xml:space="preserve"> [Accessed: 24</w:t>
      </w:r>
      <w:r w:rsidRPr="00600E84">
        <w:rPr>
          <w:b w:val="0"/>
          <w:color w:val="000000"/>
          <w:sz w:val="24"/>
          <w:szCs w:val="24"/>
          <w:vertAlign w:val="superscript"/>
        </w:rPr>
        <w:t>th</w:t>
      </w:r>
      <w:r w:rsidRPr="00600E84">
        <w:rPr>
          <w:b w:val="0"/>
          <w:color w:val="000000"/>
          <w:sz w:val="24"/>
          <w:szCs w:val="24"/>
        </w:rPr>
        <w:t xml:space="preserve"> March 2018]. </w:t>
      </w:r>
    </w:p>
    <w:p w14:paraId="61732451" w14:textId="77777777" w:rsidR="00B45065" w:rsidRPr="00600E84" w:rsidRDefault="00B45065" w:rsidP="00440B03">
      <w:pPr>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Pearson, B. (2013) </w:t>
      </w:r>
      <w:r w:rsidRPr="00600E84">
        <w:rPr>
          <w:rFonts w:ascii="Times New Roman" w:hAnsi="Times New Roman" w:cs="Times New Roman"/>
          <w:i/>
          <w:color w:val="000000" w:themeColor="text1"/>
          <w:sz w:val="24"/>
          <w:szCs w:val="24"/>
          <w14:textOutline w14:w="0" w14:cap="flat" w14:cmpd="sng" w14:algn="ctr">
            <w14:noFill/>
            <w14:prstDash w14:val="solid"/>
            <w14:round/>
          </w14:textOutline>
        </w:rPr>
        <w:t>Raising a bilingual child.</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New York: Random House USA Inc. </w:t>
      </w:r>
    </w:p>
    <w:p w14:paraId="19451923"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Rodriguez, D., </w:t>
      </w:r>
      <w:proofErr w:type="spellStart"/>
      <w:r w:rsidRPr="00600E84">
        <w:rPr>
          <w:b w:val="0"/>
          <w:color w:val="000000"/>
          <w:sz w:val="24"/>
          <w:szCs w:val="24"/>
        </w:rPr>
        <w:t>Carrasquillo</w:t>
      </w:r>
      <w:proofErr w:type="spellEnd"/>
      <w:r w:rsidRPr="00600E84">
        <w:rPr>
          <w:b w:val="0"/>
          <w:color w:val="000000"/>
          <w:sz w:val="24"/>
          <w:szCs w:val="24"/>
        </w:rPr>
        <w:t xml:space="preserve">, A. and Lee, K. (2014) </w:t>
      </w:r>
      <w:r w:rsidRPr="00600E84">
        <w:rPr>
          <w:b w:val="0"/>
          <w:i/>
          <w:color w:val="000000"/>
          <w:sz w:val="24"/>
          <w:szCs w:val="24"/>
        </w:rPr>
        <w:t xml:space="preserve">The Bilingual Advantage: Promoting Academic Development, Biliteracy, and Native Language in the Classroom. </w:t>
      </w:r>
      <w:r w:rsidRPr="00600E84">
        <w:rPr>
          <w:b w:val="0"/>
          <w:color w:val="000000"/>
          <w:sz w:val="24"/>
          <w:szCs w:val="24"/>
        </w:rPr>
        <w:t xml:space="preserve">London: Teachers College Press. </w:t>
      </w:r>
    </w:p>
    <w:p w14:paraId="0AE201CD" w14:textId="77777777" w:rsidR="00B45065" w:rsidRPr="00600E84" w:rsidRDefault="00B45065" w:rsidP="00440B03">
      <w:pPr>
        <w:rPr>
          <w:rFonts w:ascii="Times New Roman" w:hAnsi="Times New Roman" w:cs="Times New Roman"/>
          <w:color w:val="000000" w:themeColor="text1"/>
          <w:sz w:val="24"/>
          <w:szCs w:val="24"/>
          <w14:textOutline w14:w="0" w14:cap="flat" w14:cmpd="sng" w14:algn="ctr">
            <w14:noFill/>
            <w14:prstDash w14:val="solid"/>
            <w14:round/>
          </w14:textOutline>
        </w:rPr>
      </w:pP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Schmid, M. (2016) ‘The best age to learn a second language.’ </w:t>
      </w:r>
      <w:r w:rsidRPr="00600E84">
        <w:rPr>
          <w:rFonts w:ascii="Times New Roman" w:hAnsi="Times New Roman" w:cs="Times New Roman"/>
          <w:i/>
          <w:color w:val="000000" w:themeColor="text1"/>
          <w:sz w:val="24"/>
          <w:szCs w:val="24"/>
          <w14:textOutline w14:w="0" w14:cap="flat" w14:cmpd="sng" w14:algn="ctr">
            <w14:noFill/>
            <w14:prstDash w14:val="solid"/>
            <w14:round/>
          </w14:textOutline>
        </w:rPr>
        <w:t xml:space="preserve">The Independent. </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8</w:t>
      </w:r>
      <w:r w:rsidRPr="00600E84">
        <w:rPr>
          <w:rFonts w:ascii="Times New Roman" w:hAnsi="Times New Roman" w:cs="Times New Roman"/>
          <w:color w:val="000000" w:themeColor="text1"/>
          <w:sz w:val="24"/>
          <w:szCs w:val="24"/>
          <w:vertAlign w:val="superscript"/>
          <w14:textOutline w14:w="0" w14:cap="flat" w14:cmpd="sng" w14:algn="ctr">
            <w14:noFill/>
            <w14:prstDash w14:val="solid"/>
            <w14:round/>
          </w14:textOutline>
        </w:rPr>
        <w:t>th</w:t>
      </w:r>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February. pp.1 [on-line]. Available at: </w:t>
      </w:r>
      <w:hyperlink r:id="rId16" w:history="1">
        <w:r w:rsidRPr="00600E84">
          <w:rPr>
            <w:rStyle w:val="Hyperlink"/>
            <w:rFonts w:ascii="Times New Roman" w:hAnsi="Times New Roman" w:cs="Times New Roman"/>
            <w:sz w:val="24"/>
            <w:szCs w:val="24"/>
            <w14:textOutline w14:w="0" w14:cap="flat" w14:cmpd="sng" w14:algn="ctr">
              <w14:noFill/>
              <w14:prstDash w14:val="solid"/>
              <w14:round/>
            </w14:textOutline>
          </w:rPr>
          <w:t>https://www.independent.co.uk/news/education/the-best-age-to-learn-a-second-language-a6860886.html</w:t>
        </w:r>
      </w:hyperlink>
      <w:r w:rsidRPr="00600E84">
        <w:rPr>
          <w:rFonts w:ascii="Times New Roman" w:hAnsi="Times New Roman" w:cs="Times New Roman"/>
          <w:color w:val="000000" w:themeColor="text1"/>
          <w:sz w:val="24"/>
          <w:szCs w:val="24"/>
          <w14:textOutline w14:w="0" w14:cap="flat" w14:cmpd="sng" w14:algn="ctr">
            <w14:noFill/>
            <w14:prstDash w14:val="solid"/>
            <w14:round/>
          </w14:textOutline>
        </w:rPr>
        <w:t xml:space="preserve"> [Accessed: 22nd March 2018]. </w:t>
      </w:r>
    </w:p>
    <w:p w14:paraId="1B6BBDC9"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Siraj-Blatchford, I. and Clarke, P. (2000) </w:t>
      </w:r>
      <w:r w:rsidRPr="00600E84">
        <w:rPr>
          <w:b w:val="0"/>
          <w:i/>
          <w:color w:val="000000"/>
          <w:sz w:val="24"/>
          <w:szCs w:val="24"/>
        </w:rPr>
        <w:t xml:space="preserve">Supporting Identity, Diversity </w:t>
      </w:r>
      <w:proofErr w:type="gramStart"/>
      <w:r w:rsidRPr="00600E84">
        <w:rPr>
          <w:b w:val="0"/>
          <w:i/>
          <w:color w:val="000000"/>
          <w:sz w:val="24"/>
          <w:szCs w:val="24"/>
        </w:rPr>
        <w:t>And</w:t>
      </w:r>
      <w:proofErr w:type="gramEnd"/>
      <w:r w:rsidRPr="00600E84">
        <w:rPr>
          <w:b w:val="0"/>
          <w:i/>
          <w:color w:val="000000"/>
          <w:sz w:val="24"/>
          <w:szCs w:val="24"/>
        </w:rPr>
        <w:t xml:space="preserve"> Language In the Early Years. </w:t>
      </w:r>
      <w:r w:rsidRPr="00600E84">
        <w:rPr>
          <w:b w:val="0"/>
          <w:color w:val="000000"/>
          <w:sz w:val="24"/>
          <w:szCs w:val="24"/>
        </w:rPr>
        <w:t xml:space="preserve">Buckingham: Open University Press. </w:t>
      </w:r>
    </w:p>
    <w:p w14:paraId="0F5C9739"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sz w:val="24"/>
          <w:szCs w:val="24"/>
        </w:rPr>
        <w:t xml:space="preserve">Swansea Virtual School (no date) ‘EMAU’ </w:t>
      </w:r>
      <w:hyperlink r:id="rId17" w:history="1">
        <w:r w:rsidRPr="00600E84">
          <w:rPr>
            <w:rStyle w:val="Hyperlink"/>
            <w:b w:val="0"/>
            <w:sz w:val="24"/>
            <w:szCs w:val="24"/>
          </w:rPr>
          <w:t>https://lac.swansea.education/list-of-teams/ethnic-minority-language-achievement-unit-emlau/</w:t>
        </w:r>
      </w:hyperlink>
      <w:r w:rsidRPr="00600E84">
        <w:rPr>
          <w:b w:val="0"/>
          <w:color w:val="000000"/>
          <w:sz w:val="24"/>
          <w:szCs w:val="24"/>
        </w:rPr>
        <w:t xml:space="preserve"> [Accessed:24</w:t>
      </w:r>
      <w:r w:rsidRPr="00600E84">
        <w:rPr>
          <w:b w:val="0"/>
          <w:color w:val="000000"/>
          <w:sz w:val="24"/>
          <w:szCs w:val="24"/>
          <w:vertAlign w:val="superscript"/>
        </w:rPr>
        <w:t>th</w:t>
      </w:r>
      <w:r w:rsidRPr="00600E84">
        <w:rPr>
          <w:b w:val="0"/>
          <w:color w:val="000000"/>
          <w:sz w:val="24"/>
          <w:szCs w:val="24"/>
        </w:rPr>
        <w:t xml:space="preserve"> March 2018].</w:t>
      </w:r>
    </w:p>
    <w:p w14:paraId="6E2218F5" w14:textId="77777777" w:rsidR="00B45065" w:rsidRPr="00600E84" w:rsidRDefault="00B45065" w:rsidP="00F27F1D">
      <w:pPr>
        <w:pStyle w:val="Heading1"/>
        <w:shd w:val="clear" w:color="auto" w:fill="FFFFFF"/>
        <w:spacing w:before="240" w:beforeAutospacing="0" w:after="120" w:afterAutospacing="0" w:line="324" w:lineRule="atLeast"/>
        <w:rPr>
          <w:b w:val="0"/>
          <w:color w:val="000000"/>
          <w:sz w:val="24"/>
          <w:szCs w:val="24"/>
        </w:rPr>
      </w:pPr>
      <w:r w:rsidRPr="00600E84">
        <w:rPr>
          <w:b w:val="0"/>
          <w:color w:val="000000" w:themeColor="text1"/>
          <w:sz w:val="24"/>
          <w:szCs w:val="24"/>
          <w14:textOutline w14:w="0" w14:cap="flat" w14:cmpd="sng" w14:algn="ctr">
            <w14:noFill/>
            <w14:prstDash w14:val="solid"/>
            <w14:round/>
          </w14:textOutline>
        </w:rPr>
        <w:t>Vanhoe, J. (2014) ‘</w:t>
      </w:r>
      <w:r w:rsidRPr="00600E84">
        <w:rPr>
          <w:b w:val="0"/>
          <w:color w:val="000000"/>
          <w:sz w:val="24"/>
          <w:szCs w:val="24"/>
        </w:rPr>
        <w:t xml:space="preserve">The Critical Period Hypothesis in Second Language Acquisition: A Statistical Critique and a Reanalysis’, </w:t>
      </w:r>
      <w:proofErr w:type="spellStart"/>
      <w:proofErr w:type="gramStart"/>
      <w:r w:rsidRPr="00600E84">
        <w:rPr>
          <w:b w:val="0"/>
          <w:i/>
          <w:color w:val="000000"/>
          <w:sz w:val="24"/>
          <w:szCs w:val="24"/>
        </w:rPr>
        <w:t>PLoS,</w:t>
      </w:r>
      <w:r w:rsidRPr="00600E84">
        <w:rPr>
          <w:b w:val="0"/>
          <w:color w:val="000000"/>
          <w:sz w:val="24"/>
          <w:szCs w:val="24"/>
        </w:rPr>
        <w:t>Volume</w:t>
      </w:r>
      <w:proofErr w:type="spellEnd"/>
      <w:proofErr w:type="gramEnd"/>
      <w:r w:rsidRPr="00600E84">
        <w:rPr>
          <w:b w:val="0"/>
          <w:color w:val="000000"/>
          <w:sz w:val="24"/>
          <w:szCs w:val="24"/>
        </w:rPr>
        <w:t xml:space="preserve"> 8</w:t>
      </w:r>
      <w:r w:rsidRPr="00600E84">
        <w:rPr>
          <w:b w:val="0"/>
          <w:i/>
          <w:color w:val="000000"/>
          <w:sz w:val="24"/>
          <w:szCs w:val="24"/>
        </w:rPr>
        <w:t xml:space="preserve">, </w:t>
      </w:r>
      <w:r w:rsidRPr="00600E84">
        <w:rPr>
          <w:b w:val="0"/>
          <w:color w:val="000000"/>
          <w:sz w:val="24"/>
          <w:szCs w:val="24"/>
        </w:rPr>
        <w:t xml:space="preserve">July, pp.1. [On-Line] Available at </w:t>
      </w:r>
      <w:hyperlink r:id="rId18" w:history="1">
        <w:r w:rsidRPr="00600E84">
          <w:rPr>
            <w:rStyle w:val="Hyperlink"/>
            <w:b w:val="0"/>
            <w:sz w:val="24"/>
            <w:szCs w:val="24"/>
          </w:rPr>
          <w:t>https://www.ncbi.nlm.nih.gov/pmc/articles/PMC3723803/citedby/</w:t>
        </w:r>
      </w:hyperlink>
      <w:r w:rsidRPr="00600E84">
        <w:rPr>
          <w:b w:val="0"/>
          <w:color w:val="000000"/>
          <w:sz w:val="24"/>
          <w:szCs w:val="24"/>
        </w:rPr>
        <w:t xml:space="preserve">  [Accessed: 23</w:t>
      </w:r>
      <w:r w:rsidRPr="00600E84">
        <w:rPr>
          <w:b w:val="0"/>
          <w:color w:val="000000"/>
          <w:sz w:val="24"/>
          <w:szCs w:val="24"/>
          <w:vertAlign w:val="superscript"/>
        </w:rPr>
        <w:t>rd</w:t>
      </w:r>
      <w:r w:rsidRPr="00600E84">
        <w:rPr>
          <w:b w:val="0"/>
          <w:color w:val="000000"/>
          <w:sz w:val="24"/>
          <w:szCs w:val="24"/>
        </w:rPr>
        <w:t xml:space="preserve"> March 2018].  </w:t>
      </w:r>
    </w:p>
    <w:p w14:paraId="2D245223" w14:textId="77777777" w:rsidR="00B45065" w:rsidRPr="00600E84" w:rsidRDefault="00B45065" w:rsidP="00F177F8">
      <w:pPr>
        <w:pStyle w:val="Heading1"/>
        <w:shd w:val="clear" w:color="auto" w:fill="FFFFFF"/>
        <w:spacing w:before="240" w:beforeAutospacing="0" w:after="120" w:afterAutospacing="0" w:line="324" w:lineRule="atLeast"/>
        <w:rPr>
          <w:b w:val="0"/>
          <w:sz w:val="24"/>
          <w:szCs w:val="24"/>
        </w:rPr>
      </w:pPr>
      <w:r w:rsidRPr="00600E84">
        <w:rPr>
          <w:b w:val="0"/>
          <w:color w:val="000000"/>
          <w:sz w:val="24"/>
          <w:szCs w:val="24"/>
        </w:rPr>
        <w:t xml:space="preserve">Welsh Government (2003) ‘Developing the Curriculum Cymreig.’ </w:t>
      </w:r>
      <w:hyperlink r:id="rId19" w:history="1">
        <w:r w:rsidRPr="00600E84">
          <w:rPr>
            <w:rStyle w:val="Hyperlink"/>
            <w:b w:val="0"/>
            <w:sz w:val="24"/>
            <w:szCs w:val="24"/>
          </w:rPr>
          <w:t>http://learning.gov.wales/docs/learningwales/publications/130424-developing-the-curriculum-cymreig-en.pdf</w:t>
        </w:r>
      </w:hyperlink>
      <w:r w:rsidRPr="00600E84">
        <w:rPr>
          <w:sz w:val="24"/>
          <w:szCs w:val="24"/>
        </w:rPr>
        <w:t xml:space="preserve"> </w:t>
      </w:r>
      <w:r w:rsidRPr="00600E84">
        <w:rPr>
          <w:b w:val="0"/>
          <w:sz w:val="24"/>
          <w:szCs w:val="24"/>
        </w:rPr>
        <w:t xml:space="preserve">[Accessed:25th March 2018]. </w:t>
      </w:r>
    </w:p>
    <w:p w14:paraId="656FC82D" w14:textId="77777777" w:rsidR="00B45065" w:rsidRDefault="00B45065" w:rsidP="00F177F8">
      <w:pPr>
        <w:pStyle w:val="Heading1"/>
        <w:shd w:val="clear" w:color="auto" w:fill="FFFFFF"/>
        <w:spacing w:before="240" w:beforeAutospacing="0" w:after="120" w:afterAutospacing="0" w:line="324" w:lineRule="atLeast"/>
        <w:rPr>
          <w:rFonts w:ascii="Arial" w:hAnsi="Arial" w:cs="Arial"/>
          <w:b w:val="0"/>
          <w:sz w:val="22"/>
          <w:szCs w:val="22"/>
        </w:rPr>
      </w:pPr>
      <w:r w:rsidRPr="00600E84">
        <w:rPr>
          <w:b w:val="0"/>
          <w:sz w:val="24"/>
          <w:szCs w:val="24"/>
        </w:rPr>
        <w:lastRenderedPageBreak/>
        <w:t xml:space="preserve">Welsh Government (2017) ‘Foundation Phase.’ </w:t>
      </w:r>
      <w:hyperlink r:id="rId20" w:history="1">
        <w:r w:rsidRPr="00600E84">
          <w:rPr>
            <w:rStyle w:val="Hyperlink"/>
            <w:b w:val="0"/>
            <w:sz w:val="24"/>
            <w:szCs w:val="24"/>
          </w:rPr>
          <w:t>http://gov.wales/docs/dcells/publications/141111-welsh-language-development-en.pdf</w:t>
        </w:r>
      </w:hyperlink>
      <w:r w:rsidRPr="00600E84">
        <w:rPr>
          <w:sz w:val="24"/>
          <w:szCs w:val="24"/>
        </w:rPr>
        <w:t xml:space="preserve"> </w:t>
      </w:r>
      <w:r w:rsidRPr="00600E84">
        <w:rPr>
          <w:b w:val="0"/>
          <w:sz w:val="24"/>
          <w:szCs w:val="24"/>
        </w:rPr>
        <w:t>[Accessed:25th March 2018].</w:t>
      </w:r>
      <w:r>
        <w:rPr>
          <w:rFonts w:ascii="Arial" w:hAnsi="Arial" w:cs="Arial"/>
          <w:b w:val="0"/>
          <w:sz w:val="22"/>
          <w:szCs w:val="22"/>
        </w:rPr>
        <w:t xml:space="preserve"> </w:t>
      </w:r>
    </w:p>
    <w:p w14:paraId="66AD702B" w14:textId="77777777" w:rsidR="00B45065" w:rsidRPr="004B4C34" w:rsidRDefault="00B45065" w:rsidP="00F177F8">
      <w:pPr>
        <w:pStyle w:val="Heading1"/>
        <w:shd w:val="clear" w:color="auto" w:fill="FFFFFF"/>
        <w:spacing w:before="240" w:beforeAutospacing="0" w:after="120" w:afterAutospacing="0" w:line="324" w:lineRule="atLeast"/>
        <w:rPr>
          <w:rFonts w:ascii="Arial" w:hAnsi="Arial" w:cs="Arial"/>
          <w:b w:val="0"/>
          <w:sz w:val="22"/>
          <w:szCs w:val="22"/>
        </w:rPr>
      </w:pPr>
    </w:p>
    <w:p w14:paraId="55E100A2" w14:textId="77777777" w:rsidR="004B4C34" w:rsidRPr="00512622" w:rsidRDefault="004B4C34" w:rsidP="00F177F8">
      <w:pPr>
        <w:pStyle w:val="Heading1"/>
        <w:shd w:val="clear" w:color="auto" w:fill="FFFFFF"/>
        <w:spacing w:before="240" w:beforeAutospacing="0" w:after="120" w:afterAutospacing="0" w:line="324" w:lineRule="atLeast"/>
        <w:rPr>
          <w:rFonts w:ascii="Arial" w:hAnsi="Arial" w:cs="Arial"/>
          <w:b w:val="0"/>
          <w:sz w:val="22"/>
          <w:szCs w:val="22"/>
        </w:rPr>
      </w:pPr>
    </w:p>
    <w:p w14:paraId="454CC604" w14:textId="77777777" w:rsidR="00F177F8" w:rsidRPr="00F177F8" w:rsidRDefault="00F177F8" w:rsidP="00F177F8">
      <w:pPr>
        <w:pStyle w:val="Heading1"/>
        <w:shd w:val="clear" w:color="auto" w:fill="FFFFFF"/>
        <w:spacing w:before="240" w:beforeAutospacing="0" w:after="120" w:afterAutospacing="0" w:line="324" w:lineRule="atLeast"/>
        <w:rPr>
          <w:rFonts w:ascii="Arial" w:hAnsi="Arial" w:cs="Arial"/>
          <w:color w:val="000000"/>
          <w:sz w:val="37"/>
          <w:szCs w:val="37"/>
        </w:rPr>
      </w:pPr>
    </w:p>
    <w:p w14:paraId="04C3C7D6" w14:textId="6B526E13" w:rsidR="00F177F8" w:rsidRDefault="00F177F8"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46D4C962" w14:textId="77777777" w:rsidR="001400E0" w:rsidRDefault="001400E0"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08A66D58" w14:textId="77777777" w:rsidR="004527E4" w:rsidRPr="004527E4" w:rsidRDefault="004527E4"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0F996D76" w14:textId="77777777" w:rsidR="004527E4" w:rsidRDefault="004527E4"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0EB6B159" w14:textId="77777777" w:rsidR="004527E4" w:rsidRPr="007F2633" w:rsidRDefault="004527E4"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3E767B60" w14:textId="1B84E9DD" w:rsidR="002F2C31" w:rsidRDefault="002F2C31"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1C66D1D5" w14:textId="77777777" w:rsidR="002F2C31" w:rsidRDefault="002F2C31"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6D9D3C7E" w14:textId="77777777" w:rsidR="00067A35" w:rsidRPr="006B7AF5" w:rsidRDefault="00067A35"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1BBAD36F" w14:textId="1CEBE45F" w:rsidR="00AE4806" w:rsidRDefault="00AE4806"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r>
        <w:rPr>
          <w:rFonts w:ascii="Arial" w:hAnsi="Arial" w:cs="Arial"/>
          <w:b w:val="0"/>
          <w:color w:val="000000"/>
          <w:sz w:val="22"/>
          <w:szCs w:val="22"/>
        </w:rPr>
        <w:t xml:space="preserve"> </w:t>
      </w:r>
    </w:p>
    <w:p w14:paraId="120ABBA9" w14:textId="77777777" w:rsidR="00AE4806" w:rsidRPr="00AE4806" w:rsidRDefault="00AE4806"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50F60050" w14:textId="77777777" w:rsidR="005B326A" w:rsidRPr="005B326A" w:rsidRDefault="005B326A"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44E4CEE1" w14:textId="77777777" w:rsidR="00423469" w:rsidRPr="00423469" w:rsidRDefault="00423469"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266A634F" w14:textId="77777777" w:rsidR="00224FF8" w:rsidRPr="00224FF8" w:rsidRDefault="00224FF8" w:rsidP="00F27F1D">
      <w:pPr>
        <w:pStyle w:val="Heading1"/>
        <w:shd w:val="clear" w:color="auto" w:fill="FFFFFF"/>
        <w:spacing w:before="240" w:beforeAutospacing="0" w:after="120" w:afterAutospacing="0" w:line="324" w:lineRule="atLeast"/>
        <w:rPr>
          <w:rFonts w:ascii="Arial" w:hAnsi="Arial" w:cs="Arial"/>
          <w:b w:val="0"/>
          <w:color w:val="000000"/>
          <w:sz w:val="22"/>
          <w:szCs w:val="22"/>
        </w:rPr>
      </w:pPr>
    </w:p>
    <w:p w14:paraId="49160980" w14:textId="77777777" w:rsidR="00E37C58" w:rsidRPr="00E37C58" w:rsidRDefault="00E37C58" w:rsidP="00F27F1D">
      <w:pPr>
        <w:pStyle w:val="Heading1"/>
        <w:shd w:val="clear" w:color="auto" w:fill="FFFFFF"/>
        <w:spacing w:before="240" w:beforeAutospacing="0" w:after="120" w:afterAutospacing="0" w:line="324" w:lineRule="atLeast"/>
      </w:pPr>
    </w:p>
    <w:p w14:paraId="16980FF8" w14:textId="05F5581B" w:rsidR="00F27F1D" w:rsidRDefault="00F27F1D" w:rsidP="00440B03">
      <w:pPr>
        <w:rPr>
          <w:rFonts w:ascii="Arial" w:hAnsi="Arial" w:cs="Arial"/>
          <w:color w:val="000000" w:themeColor="text1"/>
          <w14:textOutline w14:w="0" w14:cap="flat" w14:cmpd="sng" w14:algn="ctr">
            <w14:noFill/>
            <w14:prstDash w14:val="solid"/>
            <w14:round/>
          </w14:textOutline>
        </w:rPr>
      </w:pPr>
    </w:p>
    <w:p w14:paraId="6909B83C" w14:textId="77777777" w:rsidR="00F27F1D" w:rsidRPr="006F703B" w:rsidRDefault="00F27F1D" w:rsidP="00440B03">
      <w:pPr>
        <w:rPr>
          <w:rFonts w:ascii="Arial" w:hAnsi="Arial" w:cs="Arial"/>
          <w:color w:val="000000" w:themeColor="text1"/>
          <w14:textOutline w14:w="0" w14:cap="flat" w14:cmpd="sng" w14:algn="ctr">
            <w14:noFill/>
            <w14:prstDash w14:val="solid"/>
            <w14:round/>
          </w14:textOutline>
        </w:rPr>
      </w:pPr>
    </w:p>
    <w:p w14:paraId="74F07830" w14:textId="77777777" w:rsidR="004A6364" w:rsidRPr="004A6364" w:rsidRDefault="004A6364" w:rsidP="00440B03">
      <w:pPr>
        <w:rPr>
          <w:rFonts w:ascii="Arial" w:hAnsi="Arial" w:cs="Arial"/>
          <w:color w:val="000000" w:themeColor="text1"/>
          <w14:textOutline w14:w="0" w14:cap="flat" w14:cmpd="sng" w14:algn="ctr">
            <w14:noFill/>
            <w14:prstDash w14:val="solid"/>
            <w14:round/>
          </w14:textOutline>
        </w:rPr>
      </w:pPr>
    </w:p>
    <w:p w14:paraId="78942B89" w14:textId="77777777" w:rsidR="00440B03" w:rsidRDefault="00440B03" w:rsidP="00440B03">
      <w:pPr>
        <w:rPr>
          <w:rFonts w:ascii="Arial" w:hAnsi="Arial" w:cs="Arial"/>
          <w:color w:val="000000" w:themeColor="text1"/>
          <w14:textOutline w14:w="0" w14:cap="flat" w14:cmpd="sng" w14:algn="ctr">
            <w14:noFill/>
            <w14:prstDash w14:val="solid"/>
            <w14:round/>
          </w14:textOutline>
        </w:rPr>
      </w:pPr>
    </w:p>
    <w:p w14:paraId="67571A3B" w14:textId="77777777" w:rsidR="00440B03" w:rsidRPr="00E867F9" w:rsidRDefault="00440B03" w:rsidP="00440B03">
      <w:pPr>
        <w:rPr>
          <w:rFonts w:ascii="Arial" w:hAnsi="Arial" w:cs="Arial"/>
          <w:color w:val="000000" w:themeColor="text1"/>
          <w14:textOutline w14:w="0" w14:cap="flat" w14:cmpd="sng" w14:algn="ctr">
            <w14:noFill/>
            <w14:prstDash w14:val="solid"/>
            <w14:round/>
          </w14:textOutline>
        </w:rPr>
      </w:pPr>
    </w:p>
    <w:sectPr w:rsidR="00440B03" w:rsidRPr="00E867F9">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22BA8" w14:textId="77777777" w:rsidR="00DD55EB" w:rsidRDefault="00DD55EB" w:rsidP="00B45065">
      <w:pPr>
        <w:spacing w:after="0" w:line="240" w:lineRule="auto"/>
      </w:pPr>
      <w:r>
        <w:separator/>
      </w:r>
    </w:p>
  </w:endnote>
  <w:endnote w:type="continuationSeparator" w:id="0">
    <w:p w14:paraId="32C92D92" w14:textId="77777777" w:rsidR="00DD55EB" w:rsidRDefault="00DD55EB" w:rsidP="00B45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825AAB" w14:textId="77777777" w:rsidR="00B45065" w:rsidRDefault="00B450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87FD0" w14:textId="77777777" w:rsidR="00B45065" w:rsidRDefault="00B450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17959" w14:textId="77777777" w:rsidR="00B45065" w:rsidRDefault="00B45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C3478" w14:textId="77777777" w:rsidR="00DD55EB" w:rsidRDefault="00DD55EB" w:rsidP="00B45065">
      <w:pPr>
        <w:spacing w:after="0" w:line="240" w:lineRule="auto"/>
      </w:pPr>
      <w:r>
        <w:separator/>
      </w:r>
    </w:p>
  </w:footnote>
  <w:footnote w:type="continuationSeparator" w:id="0">
    <w:p w14:paraId="456C18F6" w14:textId="77777777" w:rsidR="00DD55EB" w:rsidRDefault="00DD55EB" w:rsidP="00B45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6AA18" w14:textId="77777777" w:rsidR="00B45065" w:rsidRDefault="00B450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291476" w14:textId="6334D6F7" w:rsidR="00B45065" w:rsidRDefault="000524B1">
    <w:pPr>
      <w:pStyle w:val="Header"/>
    </w:pPr>
    <w:r>
      <w:t>1704941</w:t>
    </w:r>
  </w:p>
  <w:p w14:paraId="7D27BE55" w14:textId="10187B17" w:rsidR="000524B1" w:rsidRDefault="000524B1">
    <w:pPr>
      <w:pStyle w:val="Header"/>
    </w:pPr>
    <w:r>
      <w:t>EAEE4006/C</w:t>
    </w:r>
  </w:p>
  <w:p w14:paraId="00D8AD30" w14:textId="4A0BF40E" w:rsidR="000524B1" w:rsidRDefault="000524B1">
    <w:pPr>
      <w:pStyle w:val="Header"/>
    </w:pPr>
    <w:r>
      <w:t xml:space="preserve">Word count: </w:t>
    </w:r>
    <w:r w:rsidR="000156AC">
      <w:t>2207</w:t>
    </w:r>
  </w:p>
  <w:p w14:paraId="56254AE1" w14:textId="77777777" w:rsidR="00B45065" w:rsidRDefault="00B450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3BDC9" w14:textId="77777777" w:rsidR="00B45065" w:rsidRDefault="00B450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2D3"/>
    <w:rsid w:val="000156AC"/>
    <w:rsid w:val="00037D46"/>
    <w:rsid w:val="0004469B"/>
    <w:rsid w:val="000524B1"/>
    <w:rsid w:val="00067A35"/>
    <w:rsid w:val="000C18EC"/>
    <w:rsid w:val="0012409A"/>
    <w:rsid w:val="001400E0"/>
    <w:rsid w:val="001F27B2"/>
    <w:rsid w:val="001F4EFB"/>
    <w:rsid w:val="00224FF8"/>
    <w:rsid w:val="002362D3"/>
    <w:rsid w:val="002F2C31"/>
    <w:rsid w:val="002F5B41"/>
    <w:rsid w:val="003E558E"/>
    <w:rsid w:val="00423469"/>
    <w:rsid w:val="00440B03"/>
    <w:rsid w:val="004527E4"/>
    <w:rsid w:val="00465644"/>
    <w:rsid w:val="0047225B"/>
    <w:rsid w:val="004A6364"/>
    <w:rsid w:val="004B4C34"/>
    <w:rsid w:val="004C6380"/>
    <w:rsid w:val="00512622"/>
    <w:rsid w:val="00563D58"/>
    <w:rsid w:val="005858B8"/>
    <w:rsid w:val="005B326A"/>
    <w:rsid w:val="005C7DAF"/>
    <w:rsid w:val="00600E84"/>
    <w:rsid w:val="006B7AF5"/>
    <w:rsid w:val="006F703B"/>
    <w:rsid w:val="007253C9"/>
    <w:rsid w:val="00742FF2"/>
    <w:rsid w:val="007933DD"/>
    <w:rsid w:val="007A5718"/>
    <w:rsid w:val="007B1DA9"/>
    <w:rsid w:val="007F2633"/>
    <w:rsid w:val="007F3E72"/>
    <w:rsid w:val="008A6285"/>
    <w:rsid w:val="008E6ECB"/>
    <w:rsid w:val="00A46AFB"/>
    <w:rsid w:val="00A66A30"/>
    <w:rsid w:val="00AE4806"/>
    <w:rsid w:val="00B03685"/>
    <w:rsid w:val="00B404BE"/>
    <w:rsid w:val="00B45065"/>
    <w:rsid w:val="00B5442F"/>
    <w:rsid w:val="00B60AFF"/>
    <w:rsid w:val="00C17D58"/>
    <w:rsid w:val="00C44BC9"/>
    <w:rsid w:val="00CC21E4"/>
    <w:rsid w:val="00D53A77"/>
    <w:rsid w:val="00DD55EB"/>
    <w:rsid w:val="00E27ED2"/>
    <w:rsid w:val="00E37C58"/>
    <w:rsid w:val="00E867F9"/>
    <w:rsid w:val="00F177F8"/>
    <w:rsid w:val="00F27F1D"/>
    <w:rsid w:val="00FB0C71"/>
    <w:rsid w:val="00FF6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F89D7"/>
  <w15:chartTrackingRefBased/>
  <w15:docId w15:val="{AD80D934-CCF0-45AA-ABEE-A366943E1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0" w:lineRule="atLeast"/>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27F1D"/>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867F9"/>
    <w:rPr>
      <w:i/>
      <w:iCs/>
    </w:rPr>
  </w:style>
  <w:style w:type="character" w:styleId="Hyperlink">
    <w:name w:val="Hyperlink"/>
    <w:basedOn w:val="DefaultParagraphFont"/>
    <w:uiPriority w:val="99"/>
    <w:unhideWhenUsed/>
    <w:rsid w:val="00E867F9"/>
    <w:rPr>
      <w:color w:val="0000FF"/>
      <w:u w:val="single"/>
    </w:rPr>
  </w:style>
  <w:style w:type="character" w:styleId="UnresolvedMention">
    <w:name w:val="Unresolved Mention"/>
    <w:basedOn w:val="DefaultParagraphFont"/>
    <w:uiPriority w:val="99"/>
    <w:semiHidden/>
    <w:unhideWhenUsed/>
    <w:rsid w:val="00440B03"/>
    <w:rPr>
      <w:color w:val="808080"/>
      <w:shd w:val="clear" w:color="auto" w:fill="E6E6E6"/>
    </w:rPr>
  </w:style>
  <w:style w:type="character" w:styleId="FollowedHyperlink">
    <w:name w:val="FollowedHyperlink"/>
    <w:basedOn w:val="DefaultParagraphFont"/>
    <w:uiPriority w:val="99"/>
    <w:semiHidden/>
    <w:unhideWhenUsed/>
    <w:rsid w:val="00440B03"/>
    <w:rPr>
      <w:color w:val="954F72" w:themeColor="followedHyperlink"/>
      <w:u w:val="single"/>
    </w:rPr>
  </w:style>
  <w:style w:type="character" w:customStyle="1" w:styleId="Heading1Char">
    <w:name w:val="Heading 1 Char"/>
    <w:basedOn w:val="DefaultParagraphFont"/>
    <w:link w:val="Heading1"/>
    <w:uiPriority w:val="9"/>
    <w:rsid w:val="00F27F1D"/>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B45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065"/>
  </w:style>
  <w:style w:type="paragraph" w:styleId="Footer">
    <w:name w:val="footer"/>
    <w:basedOn w:val="Normal"/>
    <w:link w:val="FooterChar"/>
    <w:uiPriority w:val="99"/>
    <w:unhideWhenUsed/>
    <w:rsid w:val="00B45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065"/>
  </w:style>
  <w:style w:type="character" w:styleId="CommentReference">
    <w:name w:val="annotation reference"/>
    <w:basedOn w:val="DefaultParagraphFont"/>
    <w:uiPriority w:val="99"/>
    <w:semiHidden/>
    <w:unhideWhenUsed/>
    <w:rsid w:val="00B5442F"/>
    <w:rPr>
      <w:sz w:val="16"/>
      <w:szCs w:val="16"/>
    </w:rPr>
  </w:style>
  <w:style w:type="paragraph" w:styleId="CommentText">
    <w:name w:val="annotation text"/>
    <w:basedOn w:val="Normal"/>
    <w:link w:val="CommentTextChar"/>
    <w:uiPriority w:val="99"/>
    <w:semiHidden/>
    <w:unhideWhenUsed/>
    <w:rsid w:val="00B5442F"/>
    <w:pPr>
      <w:spacing w:line="240" w:lineRule="auto"/>
    </w:pPr>
    <w:rPr>
      <w:sz w:val="20"/>
      <w:szCs w:val="20"/>
    </w:rPr>
  </w:style>
  <w:style w:type="character" w:customStyle="1" w:styleId="CommentTextChar">
    <w:name w:val="Comment Text Char"/>
    <w:basedOn w:val="DefaultParagraphFont"/>
    <w:link w:val="CommentText"/>
    <w:uiPriority w:val="99"/>
    <w:semiHidden/>
    <w:rsid w:val="00B5442F"/>
    <w:rPr>
      <w:sz w:val="20"/>
      <w:szCs w:val="20"/>
    </w:rPr>
  </w:style>
  <w:style w:type="paragraph" w:styleId="CommentSubject">
    <w:name w:val="annotation subject"/>
    <w:basedOn w:val="CommentText"/>
    <w:next w:val="CommentText"/>
    <w:link w:val="CommentSubjectChar"/>
    <w:uiPriority w:val="99"/>
    <w:semiHidden/>
    <w:unhideWhenUsed/>
    <w:rsid w:val="00B5442F"/>
    <w:rPr>
      <w:b/>
      <w:bCs/>
    </w:rPr>
  </w:style>
  <w:style w:type="character" w:customStyle="1" w:styleId="CommentSubjectChar">
    <w:name w:val="Comment Subject Char"/>
    <w:basedOn w:val="CommentTextChar"/>
    <w:link w:val="CommentSubject"/>
    <w:uiPriority w:val="99"/>
    <w:semiHidden/>
    <w:rsid w:val="00B5442F"/>
    <w:rPr>
      <w:b/>
      <w:bCs/>
      <w:sz w:val="20"/>
      <w:szCs w:val="20"/>
    </w:rPr>
  </w:style>
  <w:style w:type="paragraph" w:styleId="BalloonText">
    <w:name w:val="Balloon Text"/>
    <w:basedOn w:val="Normal"/>
    <w:link w:val="BalloonTextChar"/>
    <w:uiPriority w:val="99"/>
    <w:semiHidden/>
    <w:unhideWhenUsed/>
    <w:rsid w:val="00B544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442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318830">
      <w:bodyDiv w:val="1"/>
      <w:marLeft w:val="0"/>
      <w:marRight w:val="0"/>
      <w:marTop w:val="0"/>
      <w:marBottom w:val="0"/>
      <w:divBdr>
        <w:top w:val="none" w:sz="0" w:space="0" w:color="auto"/>
        <w:left w:val="none" w:sz="0" w:space="0" w:color="auto"/>
        <w:bottom w:val="none" w:sz="0" w:space="0" w:color="auto"/>
        <w:right w:val="none" w:sz="0" w:space="0" w:color="auto"/>
      </w:divBdr>
    </w:div>
    <w:div w:id="1490442796">
      <w:bodyDiv w:val="1"/>
      <w:marLeft w:val="0"/>
      <w:marRight w:val="0"/>
      <w:marTop w:val="0"/>
      <w:marBottom w:val="0"/>
      <w:divBdr>
        <w:top w:val="none" w:sz="0" w:space="0" w:color="auto"/>
        <w:left w:val="none" w:sz="0" w:space="0" w:color="auto"/>
        <w:bottom w:val="none" w:sz="0" w:space="0" w:color="auto"/>
        <w:right w:val="none" w:sz="0" w:space="0" w:color="auto"/>
      </w:divBdr>
    </w:div>
    <w:div w:id="1806045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295724/" TargetMode="External"/><Relationship Id="rId13" Type="http://schemas.openxmlformats.org/officeDocument/2006/relationships/hyperlink" Target="http://www.washington.edu/news/2016/04/04/bilingual-baby-brains-show-increased-activity-in-executive-function-regions/" TargetMode="External"/><Relationship Id="rId18" Type="http://schemas.openxmlformats.org/officeDocument/2006/relationships/hyperlink" Target="https://www.ncbi.nlm.nih.gov/pmc/articles/PMC3723803/citedby/" TargetMode="External"/><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cypcs.org.uk/rights/uncrcarticles" TargetMode="External"/><Relationship Id="rId12" Type="http://schemas.openxmlformats.org/officeDocument/2006/relationships/hyperlink" Target="https://www.ncbi.nlm.nih.gov/pmc/articles/PMC3583091/" TargetMode="External"/><Relationship Id="rId17" Type="http://schemas.openxmlformats.org/officeDocument/2006/relationships/hyperlink" Target="https://lac.swansea.education/list-of-teams/ethnic-minority-language-achievement-unit-emlau/" TargetMode="External"/><Relationship Id="rId25"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independent.co.uk/news/education/the-best-age-to-learn-a-second-language-a6860886.html" TargetMode="External"/><Relationship Id="rId20" Type="http://schemas.openxmlformats.org/officeDocument/2006/relationships/hyperlink" Target="http://gov.wales/docs/dcells/publications/141111-welsh-language-development-en.pdf" TargetMode="External"/><Relationship Id="rId1" Type="http://schemas.openxmlformats.org/officeDocument/2006/relationships/styles" Target="styles.xml"/><Relationship Id="rId6" Type="http://schemas.openxmlformats.org/officeDocument/2006/relationships/hyperlink" Target="https://www.asha.org/practice/multicultural/issues/bll.htm" TargetMode="External"/><Relationship Id="rId11" Type="http://schemas.openxmlformats.org/officeDocument/2006/relationships/hyperlink" Target="https://www.simplypsychology.org/language.html"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naldic.org.uk/eal-teaching-and-learning/outline-guidance/early-year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ncbi.nlm.nih.gov/pmc/articles/PMC3212749/" TargetMode="External"/><Relationship Id="rId19" Type="http://schemas.openxmlformats.org/officeDocument/2006/relationships/hyperlink" Target="http://learning.gov.wales/docs/learningwales/publications/130424-developing-the-curriculum-cymreig-en.pdf" TargetMode="External"/><Relationship Id="rId4" Type="http://schemas.openxmlformats.org/officeDocument/2006/relationships/footnotes" Target="footnotes.xml"/><Relationship Id="rId9" Type="http://schemas.openxmlformats.org/officeDocument/2006/relationships/hyperlink" Target="https://www.theguardian.com/education/2007/may/01/schools.uk3" TargetMode="External"/><Relationship Id="rId14" Type="http://schemas.openxmlformats.org/officeDocument/2006/relationships/hyperlink" Target="https://www.simplypsychology.org/bandura.htm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TotalTime>
  <Pages>1</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Penman</dc:creator>
  <cp:keywords/>
  <dc:description/>
  <cp:lastModifiedBy>Courtney Penman</cp:lastModifiedBy>
  <cp:revision>16</cp:revision>
  <dcterms:created xsi:type="dcterms:W3CDTF">2018-03-20T18:36:00Z</dcterms:created>
  <dcterms:modified xsi:type="dcterms:W3CDTF">2018-03-28T17:07:00Z</dcterms:modified>
</cp:coreProperties>
</file>