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647CE0" w14:textId="77777777" w:rsidR="00711918" w:rsidRPr="00711918" w:rsidRDefault="00711918">
      <w:pPr>
        <w:spacing w:after="200"/>
        <w:jc w:val="center"/>
        <w:rPr>
          <w:rFonts w:ascii="Times New Roman" w:eastAsia="宋体" w:hAnsi="Times New Roman" w:cs="Times New Roman"/>
          <w:b/>
          <w:sz w:val="24"/>
          <w:lang w:eastAsia="zh-CN"/>
        </w:rPr>
      </w:pPr>
    </w:p>
    <w:p w14:paraId="7A3C7F87" w14:textId="77777777" w:rsidR="00711918" w:rsidRPr="00711918" w:rsidRDefault="00711918">
      <w:pPr>
        <w:spacing w:after="200"/>
        <w:jc w:val="center"/>
        <w:rPr>
          <w:rFonts w:ascii="Times New Roman" w:eastAsia="宋体" w:hAnsi="Times New Roman" w:cs="Times New Roman"/>
          <w:b/>
          <w:sz w:val="24"/>
          <w:lang w:eastAsia="zh-CN"/>
        </w:rPr>
      </w:pPr>
    </w:p>
    <w:p w14:paraId="47BD7930" w14:textId="77777777" w:rsidR="00711918" w:rsidRPr="00711918" w:rsidRDefault="00711918">
      <w:pPr>
        <w:spacing w:after="200"/>
        <w:jc w:val="center"/>
        <w:rPr>
          <w:rFonts w:ascii="Times New Roman" w:eastAsia="宋体" w:hAnsi="Times New Roman" w:cs="Times New Roman"/>
          <w:b/>
          <w:sz w:val="24"/>
          <w:lang w:eastAsia="zh-CN"/>
        </w:rPr>
      </w:pPr>
    </w:p>
    <w:p w14:paraId="67A77AA3" w14:textId="77777777" w:rsidR="00711918" w:rsidRPr="00711918" w:rsidRDefault="00711918">
      <w:pPr>
        <w:spacing w:after="200"/>
        <w:jc w:val="center"/>
        <w:rPr>
          <w:rFonts w:ascii="Times New Roman" w:eastAsia="宋体" w:hAnsi="Times New Roman" w:cs="Times New Roman"/>
          <w:b/>
          <w:sz w:val="24"/>
          <w:lang w:eastAsia="zh-CN"/>
        </w:rPr>
      </w:pPr>
    </w:p>
    <w:p w14:paraId="0F582CE1" w14:textId="77777777" w:rsidR="00711918" w:rsidRPr="00711918" w:rsidRDefault="00711918">
      <w:pPr>
        <w:spacing w:after="200"/>
        <w:jc w:val="center"/>
        <w:rPr>
          <w:rFonts w:ascii="Times New Roman" w:eastAsia="宋体" w:hAnsi="Times New Roman" w:cs="Times New Roman"/>
          <w:b/>
          <w:sz w:val="24"/>
          <w:lang w:eastAsia="zh-CN"/>
        </w:rPr>
      </w:pPr>
    </w:p>
    <w:p w14:paraId="594AE67A" w14:textId="77777777" w:rsidR="00711918" w:rsidRPr="00711918" w:rsidRDefault="00711918">
      <w:pPr>
        <w:spacing w:after="200"/>
        <w:jc w:val="center"/>
        <w:rPr>
          <w:rFonts w:ascii="Times New Roman" w:eastAsia="宋体" w:hAnsi="Times New Roman" w:cs="Times New Roman"/>
          <w:b/>
          <w:sz w:val="24"/>
          <w:lang w:eastAsia="zh-CN"/>
        </w:rPr>
      </w:pPr>
    </w:p>
    <w:p w14:paraId="3DECFCB2" w14:textId="77777777" w:rsidR="00711918" w:rsidRPr="00711918" w:rsidRDefault="00711918">
      <w:pPr>
        <w:spacing w:after="200"/>
        <w:jc w:val="center"/>
        <w:rPr>
          <w:rFonts w:ascii="Times New Roman" w:eastAsia="宋体" w:hAnsi="Times New Roman" w:cs="Times New Roman"/>
          <w:b/>
          <w:sz w:val="24"/>
          <w:lang w:eastAsia="zh-CN"/>
        </w:rPr>
      </w:pPr>
    </w:p>
    <w:p w14:paraId="1220AC55" w14:textId="77777777" w:rsidR="00711918" w:rsidRPr="00711918" w:rsidRDefault="00711918">
      <w:pPr>
        <w:spacing w:after="200"/>
        <w:jc w:val="center"/>
        <w:rPr>
          <w:rFonts w:ascii="Times New Roman" w:eastAsia="宋体" w:hAnsi="Times New Roman" w:cs="Times New Roman"/>
          <w:b/>
          <w:sz w:val="24"/>
          <w:lang w:eastAsia="zh-CN"/>
        </w:rPr>
      </w:pPr>
    </w:p>
    <w:p w14:paraId="6775FDEB" w14:textId="77777777" w:rsidR="00711918" w:rsidRPr="00711918" w:rsidRDefault="00711918">
      <w:pPr>
        <w:spacing w:after="200"/>
        <w:jc w:val="center"/>
        <w:rPr>
          <w:rFonts w:ascii="Times New Roman" w:eastAsia="宋体" w:hAnsi="Times New Roman" w:cs="Times New Roman"/>
          <w:b/>
          <w:sz w:val="24"/>
          <w:lang w:eastAsia="zh-CN"/>
        </w:rPr>
      </w:pPr>
    </w:p>
    <w:p w14:paraId="3200C6E1" w14:textId="0A7FE4B7" w:rsidR="00A11F86" w:rsidRPr="00A36562" w:rsidRDefault="00000000" w:rsidP="00711918">
      <w:pPr>
        <w:spacing w:after="200" w:line="360" w:lineRule="auto"/>
        <w:jc w:val="center"/>
        <w:rPr>
          <w:rFonts w:ascii="Times New Roman" w:hAnsi="Times New Roman" w:cs="Times New Roman"/>
          <w:sz w:val="28"/>
          <w:szCs w:val="28"/>
        </w:rPr>
      </w:pPr>
      <w:r w:rsidRPr="00A36562">
        <w:rPr>
          <w:rFonts w:ascii="Times New Roman" w:hAnsi="Times New Roman" w:cs="Times New Roman"/>
          <w:b/>
          <w:sz w:val="28"/>
          <w:szCs w:val="28"/>
        </w:rPr>
        <w:t>BMMB7006 Global Business Challenges</w:t>
      </w:r>
    </w:p>
    <w:p w14:paraId="62DA85DF" w14:textId="09CEAA5C" w:rsidR="00A11F86" w:rsidRPr="00A36562" w:rsidRDefault="00000000" w:rsidP="00711918">
      <w:pPr>
        <w:spacing w:after="200" w:line="360" w:lineRule="auto"/>
        <w:jc w:val="center"/>
        <w:rPr>
          <w:rFonts w:ascii="Times New Roman" w:hAnsi="Times New Roman" w:cs="Times New Roman"/>
          <w:sz w:val="28"/>
          <w:szCs w:val="28"/>
        </w:rPr>
      </w:pPr>
      <w:r w:rsidRPr="00A36562">
        <w:rPr>
          <w:rFonts w:ascii="Times New Roman" w:hAnsi="Times New Roman" w:cs="Times New Roman"/>
          <w:b/>
          <w:sz w:val="28"/>
          <w:szCs w:val="28"/>
        </w:rPr>
        <w:t>Global Challenges Report</w:t>
      </w:r>
    </w:p>
    <w:p w14:paraId="744E9792" w14:textId="0168B34C" w:rsidR="00A11F86" w:rsidRPr="00A36562" w:rsidRDefault="00000000" w:rsidP="00711918">
      <w:pPr>
        <w:spacing w:after="200" w:line="360" w:lineRule="auto"/>
        <w:jc w:val="center"/>
        <w:rPr>
          <w:rFonts w:ascii="Times New Roman" w:hAnsi="Times New Roman" w:cs="Times New Roman"/>
          <w:color w:val="000000" w:themeColor="text1"/>
          <w:sz w:val="32"/>
          <w:szCs w:val="32"/>
        </w:rPr>
      </w:pPr>
      <w:r w:rsidRPr="00A36562">
        <w:rPr>
          <w:rFonts w:ascii="Times New Roman" w:hAnsi="Times New Roman" w:cs="Times New Roman"/>
          <w:b/>
          <w:color w:val="000000" w:themeColor="text1"/>
          <w:sz w:val="32"/>
          <w:szCs w:val="32"/>
        </w:rPr>
        <w:t>Managing AI-Driven Risk at HSBC: Data Governance, Ethical AI, Regulatory Compliance and Customer Trust in the UK and Hong Kong</w:t>
      </w:r>
    </w:p>
    <w:p w14:paraId="0619BAE6" w14:textId="7109AF4C" w:rsidR="00A11F86" w:rsidRPr="00A36562" w:rsidRDefault="00000000" w:rsidP="00711918">
      <w:pPr>
        <w:spacing w:after="200" w:line="360" w:lineRule="auto"/>
        <w:jc w:val="center"/>
        <w:rPr>
          <w:rFonts w:ascii="Times New Roman" w:eastAsia="宋体" w:hAnsi="Times New Roman" w:cs="Times New Roman"/>
          <w:b/>
          <w:bCs/>
          <w:sz w:val="28"/>
          <w:szCs w:val="28"/>
          <w:lang w:eastAsia="zh-CN"/>
        </w:rPr>
      </w:pPr>
      <w:r w:rsidRPr="00A36562">
        <w:rPr>
          <w:rFonts w:ascii="Times New Roman" w:hAnsi="Times New Roman" w:cs="Times New Roman"/>
          <w:b/>
          <w:bCs/>
          <w:sz w:val="28"/>
          <w:szCs w:val="28"/>
        </w:rPr>
        <w:t xml:space="preserve">Student Name: </w:t>
      </w:r>
      <w:proofErr w:type="spellStart"/>
      <w:r w:rsidR="00711918" w:rsidRPr="00A36562">
        <w:rPr>
          <w:rFonts w:ascii="Times New Roman" w:eastAsia="宋体" w:hAnsi="Times New Roman" w:cs="Times New Roman"/>
          <w:sz w:val="28"/>
          <w:szCs w:val="28"/>
          <w:lang w:eastAsia="zh-CN"/>
        </w:rPr>
        <w:t>Yanmo</w:t>
      </w:r>
      <w:proofErr w:type="spellEnd"/>
      <w:r w:rsidR="00711918" w:rsidRPr="00A36562">
        <w:rPr>
          <w:rFonts w:ascii="Times New Roman" w:eastAsia="宋体" w:hAnsi="Times New Roman" w:cs="Times New Roman"/>
          <w:sz w:val="28"/>
          <w:szCs w:val="28"/>
          <w:lang w:eastAsia="zh-CN"/>
        </w:rPr>
        <w:t xml:space="preserve"> Liu</w:t>
      </w:r>
    </w:p>
    <w:p w14:paraId="2423AA9A" w14:textId="593929F3" w:rsidR="00A11F86" w:rsidRPr="00A36562" w:rsidRDefault="00000000" w:rsidP="00711918">
      <w:pPr>
        <w:spacing w:after="200" w:line="360" w:lineRule="auto"/>
        <w:jc w:val="center"/>
        <w:rPr>
          <w:rFonts w:ascii="Times New Roman" w:eastAsia="宋体" w:hAnsi="Times New Roman" w:cs="Times New Roman"/>
          <w:b/>
          <w:bCs/>
          <w:sz w:val="28"/>
          <w:szCs w:val="28"/>
          <w:lang w:eastAsia="zh-CN"/>
        </w:rPr>
      </w:pPr>
      <w:r w:rsidRPr="00A36562">
        <w:rPr>
          <w:rFonts w:ascii="Times New Roman" w:hAnsi="Times New Roman" w:cs="Times New Roman"/>
          <w:b/>
          <w:bCs/>
          <w:sz w:val="28"/>
          <w:szCs w:val="28"/>
        </w:rPr>
        <w:t xml:space="preserve">Student ID: </w:t>
      </w:r>
      <w:r w:rsidR="00711918" w:rsidRPr="00A36562">
        <w:rPr>
          <w:rFonts w:ascii="Times New Roman" w:eastAsia="宋体" w:hAnsi="Times New Roman" w:cs="Times New Roman"/>
          <w:sz w:val="28"/>
          <w:szCs w:val="28"/>
          <w:lang w:eastAsia="zh-CN"/>
        </w:rPr>
        <w:t>2519987</w:t>
      </w:r>
    </w:p>
    <w:p w14:paraId="0900E576" w14:textId="77777777" w:rsidR="00A11F86" w:rsidRPr="00711918" w:rsidRDefault="00000000" w:rsidP="00711918">
      <w:pPr>
        <w:pStyle w:val="1"/>
        <w:pageBreakBefore/>
        <w:spacing w:line="360" w:lineRule="auto"/>
        <w:jc w:val="both"/>
        <w:rPr>
          <w:rFonts w:ascii="Times New Roman" w:hAnsi="Times New Roman" w:cs="Times New Roman"/>
          <w:color w:val="000000" w:themeColor="text1"/>
        </w:rPr>
      </w:pPr>
      <w:bookmarkStart w:id="0" w:name="_Toc228019219"/>
      <w:r w:rsidRPr="00711918">
        <w:rPr>
          <w:rFonts w:ascii="Times New Roman" w:hAnsi="Times New Roman" w:cs="Times New Roman"/>
          <w:color w:val="000000" w:themeColor="text1"/>
        </w:rPr>
        <w:lastRenderedPageBreak/>
        <w:t>Executive Summary</w:t>
      </w:r>
      <w:bookmarkEnd w:id="0"/>
    </w:p>
    <w:p w14:paraId="6A840E07" w14:textId="73D7AD3B" w:rsidR="00711918" w:rsidRPr="00711918" w:rsidRDefault="00711918" w:rsidP="00711918">
      <w:pPr>
        <w:spacing w:line="360" w:lineRule="auto"/>
        <w:jc w:val="both"/>
        <w:rPr>
          <w:rFonts w:ascii="Times New Roman" w:eastAsia="宋体" w:hAnsi="Times New Roman" w:cs="Times New Roman" w:hint="eastAsia"/>
          <w:sz w:val="24"/>
          <w:szCs w:val="24"/>
          <w:lang w:eastAsia="zh-CN"/>
        </w:rPr>
      </w:pPr>
      <w:r w:rsidRPr="00711918">
        <w:rPr>
          <w:rFonts w:ascii="Times New Roman" w:hAnsi="Times New Roman" w:cs="Times New Roman"/>
          <w:sz w:val="24"/>
          <w:szCs w:val="24"/>
        </w:rPr>
        <w:t xml:space="preserve">This report assesses how HSBC should address the risks arising from the fast-growing adoption of artificial intelligence throughout its business in the UK and Hong Kong. HSBC is a compelling example because AI is no longer a marginal experiment at the firm. It is becoming increasingly embedded in customer service, software engineering, credit assessment, financial crime controls and internal </w:t>
      </w:r>
      <w:r w:rsidRPr="00711918">
        <w:rPr>
          <w:rFonts w:ascii="Times New Roman" w:hAnsi="Times New Roman" w:cs="Times New Roman"/>
          <w:sz w:val="24"/>
          <w:szCs w:val="24"/>
        </w:rPr>
        <w:t>decision-making</w:t>
      </w:r>
      <w:r w:rsidRPr="00711918">
        <w:rPr>
          <w:rFonts w:ascii="Times New Roman" w:hAnsi="Times New Roman" w:cs="Times New Roman"/>
          <w:sz w:val="24"/>
          <w:szCs w:val="24"/>
        </w:rPr>
        <w:t xml:space="preserve"> support. HSBC describes itself as serving around 41 million customers across 56 markets and from 1 January 2025 has operated through four main businesses, including separate UK and Hong Kong entities. In March 2026, it also appointed its first Chief AI Officer, marking the point at which AI became an enterprise-wide strategic issue rather than a narrow digital trial.</w:t>
      </w:r>
    </w:p>
    <w:p w14:paraId="12D23BF2" w14:textId="4E4BE283" w:rsidR="00711918" w:rsidRPr="00711918" w:rsidRDefault="00711918" w:rsidP="00711918">
      <w:pPr>
        <w:spacing w:line="360" w:lineRule="auto"/>
        <w:jc w:val="both"/>
        <w:rPr>
          <w:rFonts w:ascii="Times New Roman" w:eastAsia="宋体" w:hAnsi="Times New Roman" w:cs="Times New Roman" w:hint="eastAsia"/>
          <w:sz w:val="24"/>
          <w:szCs w:val="24"/>
          <w:lang w:eastAsia="zh-CN"/>
        </w:rPr>
      </w:pPr>
      <w:r w:rsidRPr="00711918">
        <w:rPr>
          <w:rFonts w:ascii="Times New Roman" w:hAnsi="Times New Roman" w:cs="Times New Roman"/>
          <w:sz w:val="24"/>
          <w:szCs w:val="24"/>
        </w:rPr>
        <w:t>The main thesis of this report is that AI risk should not be viewed as a technical issue at HSBC. The risk of AI in the context of multinational banking is linked with data governance, conduct, regulatory accountability, customer trust, operational resilience and international business strategy. The comparison between the UK and Hong Kong is especially helpful since both jurisdictions are the centres of HSBC, yet they generate various pressures on governance. In the UK, the regulatory framework is still principles-based and outcome-oriented, and FCA focuses on applying the existing rules instead of having a specific rulebook on AI. The legal framework in Hong Kong is also principle-based, but supervisory expectations of banks are more specific in terms of governance, fairness, transparency, data privacy, human oversight and customer opt-out rights in early customer-facing GenAI implementation.</w:t>
      </w:r>
    </w:p>
    <w:p w14:paraId="4598B4AF" w14:textId="6E84B79F" w:rsidR="00711918" w:rsidRPr="00711918" w:rsidRDefault="00711918" w:rsidP="00711918">
      <w:pPr>
        <w:spacing w:line="360" w:lineRule="auto"/>
        <w:jc w:val="both"/>
        <w:rPr>
          <w:rFonts w:ascii="Times New Roman" w:eastAsia="宋体" w:hAnsi="Times New Roman" w:cs="Times New Roman" w:hint="eastAsia"/>
          <w:sz w:val="24"/>
          <w:szCs w:val="24"/>
          <w:lang w:eastAsia="zh-CN"/>
        </w:rPr>
      </w:pPr>
      <w:r w:rsidRPr="00711918">
        <w:rPr>
          <w:rFonts w:ascii="Times New Roman" w:hAnsi="Times New Roman" w:cs="Times New Roman"/>
          <w:sz w:val="24"/>
          <w:szCs w:val="24"/>
        </w:rPr>
        <w:t xml:space="preserve">The report has discovered that the HSBC already possesses a sound basis on the responsible AI. It released the guidelines of ethics in the data and AI, associated the use of AI with the interests of the customers, and indicated that the human judgement, decision-making and responsibility are still relevant. But the more important issue is not whether there are principles at all of HSBC. It is how such principles can be implemented in terms of consistent, auditable and cross-border controls in business units, jurisdictions and </w:t>
      </w:r>
      <w:r w:rsidRPr="00711918">
        <w:rPr>
          <w:rFonts w:ascii="Times New Roman" w:hAnsi="Times New Roman" w:cs="Times New Roman"/>
          <w:sz w:val="24"/>
          <w:szCs w:val="24"/>
        </w:rPr>
        <w:t>third-party</w:t>
      </w:r>
      <w:r w:rsidRPr="00711918">
        <w:rPr>
          <w:rFonts w:ascii="Times New Roman" w:hAnsi="Times New Roman" w:cs="Times New Roman"/>
          <w:sz w:val="24"/>
          <w:szCs w:val="24"/>
        </w:rPr>
        <w:t xml:space="preserve"> providers. The actual threat to HSBC is thus not merely the bad AI but the lack of institutional control over the rapid growth of AI.</w:t>
      </w:r>
    </w:p>
    <w:p w14:paraId="51112DB3" w14:textId="2A1FE1B7" w:rsidR="00711918" w:rsidRPr="00711918" w:rsidRDefault="00711918" w:rsidP="00711918">
      <w:pPr>
        <w:spacing w:line="360" w:lineRule="auto"/>
        <w:jc w:val="both"/>
        <w:rPr>
          <w:rFonts w:ascii="Times New Roman" w:eastAsia="宋体" w:hAnsi="Times New Roman" w:cs="Times New Roman" w:hint="eastAsia"/>
          <w:sz w:val="24"/>
          <w:szCs w:val="24"/>
          <w:lang w:eastAsia="zh-CN"/>
        </w:rPr>
      </w:pPr>
      <w:r w:rsidRPr="00711918">
        <w:rPr>
          <w:rFonts w:ascii="Times New Roman" w:hAnsi="Times New Roman" w:cs="Times New Roman"/>
          <w:sz w:val="24"/>
          <w:szCs w:val="24"/>
        </w:rPr>
        <w:t xml:space="preserve">The current report suggests that the AI expansion should be controlled instead of being allowed to grow at an unlimited rate. The following five areas should be given the </w:t>
      </w:r>
      <w:r w:rsidRPr="00711918">
        <w:rPr>
          <w:rFonts w:ascii="Times New Roman" w:hAnsi="Times New Roman" w:cs="Times New Roman"/>
          <w:sz w:val="24"/>
          <w:szCs w:val="24"/>
        </w:rPr>
        <w:t>priority</w:t>
      </w:r>
      <w:r w:rsidRPr="00711918">
        <w:rPr>
          <w:rFonts w:ascii="Times New Roman" w:hAnsi="Times New Roman" w:cs="Times New Roman"/>
          <w:sz w:val="24"/>
          <w:szCs w:val="24"/>
        </w:rPr>
        <w:t xml:space="preserve"> by HSBC: AI risk-tiering across the group; cross-border data governance; high-impact applications based on responsible AI, which would provide assurance in the management of these operations; control over customer </w:t>
      </w:r>
      <w:r w:rsidRPr="00711918">
        <w:rPr>
          <w:rFonts w:ascii="Times New Roman" w:hAnsi="Times New Roman" w:cs="Times New Roman"/>
          <w:sz w:val="24"/>
          <w:szCs w:val="24"/>
        </w:rPr>
        <w:lastRenderedPageBreak/>
        <w:t>trust; and restriction of third-party use of AI. This is because it would allow HSBC to enjoy the advantages of AI with the lowest possible risks associated with prudential and conduct issues, privacy and reputation within both the UK and Hong Kong.</w:t>
      </w:r>
    </w:p>
    <w:sdt>
      <w:sdtPr>
        <w:rPr>
          <w:lang w:val="zh-CN" w:eastAsia="zh-CN"/>
        </w:rPr>
        <w:id w:val="-252898216"/>
        <w:docPartObj>
          <w:docPartGallery w:val="Table of Contents"/>
          <w:docPartUnique/>
        </w:docPartObj>
      </w:sdtPr>
      <w:sdtEndPr>
        <w:rPr>
          <w:rFonts w:ascii="Arial" w:eastAsia="Arial" w:hAnsi="Arial" w:cstheme="minorBidi"/>
          <w:color w:val="auto"/>
          <w:sz w:val="22"/>
          <w:szCs w:val="22"/>
          <w:lang w:eastAsia="en-US"/>
        </w:rPr>
      </w:sdtEndPr>
      <w:sdtContent>
        <w:p w14:paraId="736CE0DE" w14:textId="1B71EDF3" w:rsidR="00711918" w:rsidRPr="00A36562" w:rsidRDefault="00711918" w:rsidP="00711918">
          <w:pPr>
            <w:pStyle w:val="TOC"/>
            <w:pageBreakBefore/>
            <w:rPr>
              <w:rFonts w:ascii="Times New Roman" w:hAnsi="Times New Roman" w:cs="Times New Roman"/>
              <w:color w:val="000000" w:themeColor="text1"/>
              <w:szCs w:val="32"/>
            </w:rPr>
          </w:pPr>
          <w:r w:rsidRPr="00A36562">
            <w:rPr>
              <w:rFonts w:ascii="Times New Roman" w:hAnsi="Times New Roman" w:cs="Times New Roman"/>
              <w:color w:val="000000" w:themeColor="text1"/>
              <w:szCs w:val="32"/>
              <w:lang w:val="zh-CN" w:eastAsia="zh-CN"/>
            </w:rPr>
            <w:t>Table of Contents</w:t>
          </w:r>
        </w:p>
        <w:p w14:paraId="1B22417A" w14:textId="29A30EAA" w:rsidR="00A36562" w:rsidRDefault="00711918">
          <w:pPr>
            <w:pStyle w:val="TOC1"/>
            <w:tabs>
              <w:tab w:val="right" w:leader="dot" w:pos="9782"/>
            </w:tabs>
            <w:rPr>
              <w:rFonts w:cstheme="minorBidi" w:hint="eastAsia"/>
              <w:noProof/>
              <w:kern w:val="2"/>
              <w:szCs w:val="24"/>
              <w14:ligatures w14:val="standardContextual"/>
            </w:rPr>
          </w:pPr>
          <w:r w:rsidRPr="00711918">
            <w:rPr>
              <w:rFonts w:ascii="Times New Roman" w:hAnsi="Times New Roman"/>
              <w:sz w:val="24"/>
              <w:szCs w:val="24"/>
            </w:rPr>
            <w:fldChar w:fldCharType="begin"/>
          </w:r>
          <w:r w:rsidRPr="00711918">
            <w:rPr>
              <w:rFonts w:ascii="Times New Roman" w:hAnsi="Times New Roman"/>
              <w:sz w:val="24"/>
              <w:szCs w:val="24"/>
            </w:rPr>
            <w:instrText xml:space="preserve"> TOC \o "1-3" \h \z \u </w:instrText>
          </w:r>
          <w:r w:rsidRPr="00711918">
            <w:rPr>
              <w:rFonts w:ascii="Times New Roman" w:hAnsi="Times New Roman"/>
              <w:sz w:val="24"/>
              <w:szCs w:val="24"/>
            </w:rPr>
            <w:fldChar w:fldCharType="separate"/>
          </w:r>
          <w:hyperlink w:anchor="_Toc228019219" w:history="1">
            <w:r w:rsidR="00A36562" w:rsidRPr="001F133F">
              <w:rPr>
                <w:rStyle w:val="aff9"/>
                <w:rFonts w:ascii="Times New Roman" w:hAnsi="Times New Roman"/>
                <w:noProof/>
              </w:rPr>
              <w:t>Executive Summary</w:t>
            </w:r>
            <w:r w:rsidR="00A36562">
              <w:rPr>
                <w:rFonts w:hint="eastAsia"/>
                <w:noProof/>
                <w:webHidden/>
              </w:rPr>
              <w:tab/>
            </w:r>
            <w:r w:rsidR="00A36562">
              <w:rPr>
                <w:rFonts w:hint="eastAsia"/>
                <w:noProof/>
                <w:webHidden/>
              </w:rPr>
              <w:fldChar w:fldCharType="begin"/>
            </w:r>
            <w:r w:rsidR="00A36562">
              <w:rPr>
                <w:rFonts w:hint="eastAsia"/>
                <w:noProof/>
                <w:webHidden/>
              </w:rPr>
              <w:instrText xml:space="preserve"> </w:instrText>
            </w:r>
            <w:r w:rsidR="00A36562">
              <w:rPr>
                <w:noProof/>
                <w:webHidden/>
              </w:rPr>
              <w:instrText>PAGEREF _Toc228019219 \h</w:instrText>
            </w:r>
            <w:r w:rsidR="00A36562">
              <w:rPr>
                <w:rFonts w:hint="eastAsia"/>
                <w:noProof/>
                <w:webHidden/>
              </w:rPr>
              <w:instrText xml:space="preserve"> </w:instrText>
            </w:r>
            <w:r w:rsidR="00A36562">
              <w:rPr>
                <w:rFonts w:hint="eastAsia"/>
                <w:noProof/>
                <w:webHidden/>
              </w:rPr>
            </w:r>
            <w:r w:rsidR="00A36562">
              <w:rPr>
                <w:rFonts w:hint="eastAsia"/>
                <w:noProof/>
                <w:webHidden/>
              </w:rPr>
              <w:fldChar w:fldCharType="separate"/>
            </w:r>
            <w:r w:rsidR="00A36562">
              <w:rPr>
                <w:noProof/>
                <w:webHidden/>
              </w:rPr>
              <w:t>2</w:t>
            </w:r>
            <w:r w:rsidR="00A36562">
              <w:rPr>
                <w:rFonts w:hint="eastAsia"/>
                <w:noProof/>
                <w:webHidden/>
              </w:rPr>
              <w:fldChar w:fldCharType="end"/>
            </w:r>
          </w:hyperlink>
        </w:p>
        <w:p w14:paraId="0C36B439" w14:textId="284017FC" w:rsidR="00A36562" w:rsidRDefault="00A36562">
          <w:pPr>
            <w:pStyle w:val="TOC1"/>
            <w:tabs>
              <w:tab w:val="right" w:leader="dot" w:pos="9782"/>
            </w:tabs>
            <w:rPr>
              <w:rFonts w:cstheme="minorBidi" w:hint="eastAsia"/>
              <w:noProof/>
              <w:kern w:val="2"/>
              <w:szCs w:val="24"/>
              <w14:ligatures w14:val="standardContextual"/>
            </w:rPr>
          </w:pPr>
          <w:hyperlink w:anchor="_Toc228019220" w:history="1">
            <w:r w:rsidRPr="001F133F">
              <w:rPr>
                <w:rStyle w:val="aff9"/>
                <w:rFonts w:ascii="Times New Roman" w:hAnsi="Times New Roman"/>
                <w:b/>
                <w:bCs/>
                <w:noProof/>
              </w:rPr>
              <w:t>1. Introduction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_Toc228019220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5</w:t>
            </w:r>
            <w:r>
              <w:rPr>
                <w:rFonts w:hint="eastAsia"/>
                <w:noProof/>
                <w:webHidden/>
              </w:rPr>
              <w:fldChar w:fldCharType="end"/>
            </w:r>
          </w:hyperlink>
        </w:p>
        <w:p w14:paraId="29ACAC73" w14:textId="13E0423A" w:rsidR="00A36562" w:rsidRDefault="00A36562">
          <w:pPr>
            <w:pStyle w:val="TOC1"/>
            <w:tabs>
              <w:tab w:val="right" w:leader="dot" w:pos="9782"/>
            </w:tabs>
            <w:rPr>
              <w:rFonts w:cstheme="minorBidi" w:hint="eastAsia"/>
              <w:noProof/>
              <w:kern w:val="2"/>
              <w:szCs w:val="24"/>
              <w14:ligatures w14:val="standardContextual"/>
            </w:rPr>
          </w:pPr>
          <w:hyperlink w:anchor="_Toc228019221" w:history="1">
            <w:r w:rsidRPr="001F133F">
              <w:rPr>
                <w:rStyle w:val="aff9"/>
                <w:rFonts w:ascii="Times New Roman" w:hAnsi="Times New Roman"/>
                <w:noProof/>
              </w:rPr>
              <w:t>2. Main Findings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_Toc228019221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6</w:t>
            </w:r>
            <w:r>
              <w:rPr>
                <w:rFonts w:hint="eastAsia"/>
                <w:noProof/>
                <w:webHidden/>
              </w:rPr>
              <w:fldChar w:fldCharType="end"/>
            </w:r>
          </w:hyperlink>
        </w:p>
        <w:p w14:paraId="60608507" w14:textId="0956297B" w:rsidR="00A36562" w:rsidRDefault="00A36562">
          <w:pPr>
            <w:pStyle w:val="TOC2"/>
            <w:tabs>
              <w:tab w:val="right" w:leader="dot" w:pos="9782"/>
            </w:tabs>
            <w:rPr>
              <w:rFonts w:cstheme="minorBidi" w:hint="eastAsia"/>
              <w:noProof/>
              <w:kern w:val="2"/>
              <w:szCs w:val="24"/>
              <w14:ligatures w14:val="standardContextual"/>
            </w:rPr>
          </w:pPr>
          <w:hyperlink w:anchor="_Toc228019222" w:history="1">
            <w:r w:rsidRPr="001F133F">
              <w:rPr>
                <w:rStyle w:val="aff9"/>
                <w:rFonts w:ascii="Times New Roman" w:hAnsi="Times New Roman"/>
                <w:noProof/>
              </w:rPr>
              <w:t>2.1 HSBC’s international position and AI expansion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_Toc228019222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6</w:t>
            </w:r>
            <w:r>
              <w:rPr>
                <w:rFonts w:hint="eastAsia"/>
                <w:noProof/>
                <w:webHidden/>
              </w:rPr>
              <w:fldChar w:fldCharType="end"/>
            </w:r>
          </w:hyperlink>
        </w:p>
        <w:p w14:paraId="71DC41CB" w14:textId="1F0B6288" w:rsidR="00A36562" w:rsidRDefault="00A36562">
          <w:pPr>
            <w:pStyle w:val="TOC2"/>
            <w:tabs>
              <w:tab w:val="right" w:leader="dot" w:pos="9782"/>
            </w:tabs>
            <w:rPr>
              <w:rFonts w:cstheme="minorBidi" w:hint="eastAsia"/>
              <w:noProof/>
              <w:kern w:val="2"/>
              <w:szCs w:val="24"/>
              <w14:ligatures w14:val="standardContextual"/>
            </w:rPr>
          </w:pPr>
          <w:hyperlink w:anchor="_Toc228019223" w:history="1">
            <w:r w:rsidRPr="001F133F">
              <w:rPr>
                <w:rStyle w:val="aff9"/>
                <w:rFonts w:ascii="Times New Roman" w:hAnsi="Times New Roman"/>
                <w:noProof/>
              </w:rPr>
              <w:t>2.2 Data governance and information risk</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_Toc228019223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7</w:t>
            </w:r>
            <w:r>
              <w:rPr>
                <w:rFonts w:hint="eastAsia"/>
                <w:noProof/>
                <w:webHidden/>
              </w:rPr>
              <w:fldChar w:fldCharType="end"/>
            </w:r>
          </w:hyperlink>
        </w:p>
        <w:p w14:paraId="29D50A4C" w14:textId="45A59811" w:rsidR="00A36562" w:rsidRDefault="00A36562">
          <w:pPr>
            <w:pStyle w:val="TOC2"/>
            <w:tabs>
              <w:tab w:val="right" w:leader="dot" w:pos="9782"/>
            </w:tabs>
            <w:rPr>
              <w:rFonts w:cstheme="minorBidi" w:hint="eastAsia"/>
              <w:noProof/>
              <w:kern w:val="2"/>
              <w:szCs w:val="24"/>
              <w14:ligatures w14:val="standardContextual"/>
            </w:rPr>
          </w:pPr>
          <w:hyperlink w:anchor="_Toc228019224" w:history="1">
            <w:r w:rsidRPr="001F133F">
              <w:rPr>
                <w:rStyle w:val="aff9"/>
                <w:rFonts w:ascii="Times New Roman" w:hAnsi="Times New Roman"/>
                <w:noProof/>
              </w:rPr>
              <w:t>2.3 Ethical AI, model risk and accountability</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_Toc228019224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9</w:t>
            </w:r>
            <w:r>
              <w:rPr>
                <w:rFonts w:hint="eastAsia"/>
                <w:noProof/>
                <w:webHidden/>
              </w:rPr>
              <w:fldChar w:fldCharType="end"/>
            </w:r>
          </w:hyperlink>
        </w:p>
        <w:p w14:paraId="6CF8E1B2" w14:textId="0EBB6B83" w:rsidR="00A36562" w:rsidRDefault="00A36562">
          <w:pPr>
            <w:pStyle w:val="TOC2"/>
            <w:tabs>
              <w:tab w:val="right" w:leader="dot" w:pos="9782"/>
            </w:tabs>
            <w:rPr>
              <w:rFonts w:cstheme="minorBidi" w:hint="eastAsia"/>
              <w:noProof/>
              <w:kern w:val="2"/>
              <w:szCs w:val="24"/>
              <w14:ligatures w14:val="standardContextual"/>
            </w:rPr>
          </w:pPr>
          <w:hyperlink w:anchor="_Toc228019225" w:history="1">
            <w:r w:rsidRPr="001F133F">
              <w:rPr>
                <w:rStyle w:val="aff9"/>
                <w:rFonts w:ascii="Times New Roman" w:hAnsi="Times New Roman"/>
                <w:noProof/>
              </w:rPr>
              <w:t>2.4 Regulatory compliance in the UK and Hong Kong</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_Toc228019225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11</w:t>
            </w:r>
            <w:r>
              <w:rPr>
                <w:rFonts w:hint="eastAsia"/>
                <w:noProof/>
                <w:webHidden/>
              </w:rPr>
              <w:fldChar w:fldCharType="end"/>
            </w:r>
          </w:hyperlink>
        </w:p>
        <w:p w14:paraId="22F74C92" w14:textId="0608480F" w:rsidR="00A36562" w:rsidRDefault="00A36562">
          <w:pPr>
            <w:pStyle w:val="TOC2"/>
            <w:tabs>
              <w:tab w:val="right" w:leader="dot" w:pos="9782"/>
            </w:tabs>
            <w:rPr>
              <w:rFonts w:cstheme="minorBidi" w:hint="eastAsia"/>
              <w:noProof/>
              <w:kern w:val="2"/>
              <w:szCs w:val="24"/>
              <w14:ligatures w14:val="standardContextual"/>
            </w:rPr>
          </w:pPr>
          <w:hyperlink w:anchor="_Toc228019226" w:history="1">
            <w:r w:rsidRPr="001F133F">
              <w:rPr>
                <w:rStyle w:val="aff9"/>
                <w:rFonts w:ascii="Times New Roman" w:hAnsi="Times New Roman"/>
                <w:noProof/>
              </w:rPr>
              <w:t>2.5 Customer trust, conduct and reputation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_Toc228019226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13</w:t>
            </w:r>
            <w:r>
              <w:rPr>
                <w:rFonts w:hint="eastAsia"/>
                <w:noProof/>
                <w:webHidden/>
              </w:rPr>
              <w:fldChar w:fldCharType="end"/>
            </w:r>
          </w:hyperlink>
        </w:p>
        <w:p w14:paraId="04414DE4" w14:textId="3A077E33" w:rsidR="00A36562" w:rsidRDefault="00A36562">
          <w:pPr>
            <w:pStyle w:val="TOC2"/>
            <w:tabs>
              <w:tab w:val="right" w:leader="dot" w:pos="9782"/>
            </w:tabs>
            <w:rPr>
              <w:rFonts w:cstheme="minorBidi" w:hint="eastAsia"/>
              <w:noProof/>
              <w:kern w:val="2"/>
              <w:szCs w:val="24"/>
              <w14:ligatures w14:val="standardContextual"/>
            </w:rPr>
          </w:pPr>
          <w:hyperlink w:anchor="_Toc228019227" w:history="1">
            <w:r w:rsidRPr="001F133F">
              <w:rPr>
                <w:rStyle w:val="aff9"/>
                <w:rFonts w:ascii="Times New Roman" w:hAnsi="Times New Roman"/>
                <w:noProof/>
              </w:rPr>
              <w:t>2.6 Macroeconomic and international business context</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_Toc228019227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15</w:t>
            </w:r>
            <w:r>
              <w:rPr>
                <w:rFonts w:hint="eastAsia"/>
                <w:noProof/>
                <w:webHidden/>
              </w:rPr>
              <w:fldChar w:fldCharType="end"/>
            </w:r>
          </w:hyperlink>
        </w:p>
        <w:p w14:paraId="5855D6EE" w14:textId="1662193D" w:rsidR="00A36562" w:rsidRDefault="00A36562">
          <w:pPr>
            <w:pStyle w:val="TOC1"/>
            <w:tabs>
              <w:tab w:val="right" w:leader="dot" w:pos="9782"/>
            </w:tabs>
            <w:rPr>
              <w:rFonts w:cstheme="minorBidi" w:hint="eastAsia"/>
              <w:noProof/>
              <w:kern w:val="2"/>
              <w:szCs w:val="24"/>
              <w14:ligatures w14:val="standardContextual"/>
            </w:rPr>
          </w:pPr>
          <w:hyperlink w:anchor="_Toc228019228" w:history="1">
            <w:r w:rsidRPr="001F133F">
              <w:rPr>
                <w:rStyle w:val="aff9"/>
                <w:rFonts w:ascii="Times New Roman" w:hAnsi="Times New Roman"/>
                <w:noProof/>
              </w:rPr>
              <w:t>3. Strategic Recommendations and Implementation Plan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_Toc228019228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17</w:t>
            </w:r>
            <w:r>
              <w:rPr>
                <w:rFonts w:hint="eastAsia"/>
                <w:noProof/>
                <w:webHidden/>
              </w:rPr>
              <w:fldChar w:fldCharType="end"/>
            </w:r>
          </w:hyperlink>
        </w:p>
        <w:p w14:paraId="70233DA7" w14:textId="558D457E" w:rsidR="00A36562" w:rsidRDefault="00A36562">
          <w:pPr>
            <w:pStyle w:val="TOC1"/>
            <w:tabs>
              <w:tab w:val="right" w:leader="dot" w:pos="9782"/>
            </w:tabs>
            <w:rPr>
              <w:rFonts w:cstheme="minorBidi" w:hint="eastAsia"/>
              <w:noProof/>
              <w:kern w:val="2"/>
              <w:szCs w:val="24"/>
              <w14:ligatures w14:val="standardContextual"/>
            </w:rPr>
          </w:pPr>
          <w:hyperlink w:anchor="_Toc228019229" w:history="1">
            <w:r w:rsidRPr="001F133F">
              <w:rPr>
                <w:rStyle w:val="aff9"/>
                <w:rFonts w:ascii="Times New Roman" w:hAnsi="Times New Roman"/>
                <w:noProof/>
              </w:rPr>
              <w:t>4. Conclusion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_Toc228019229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18</w:t>
            </w:r>
            <w:r>
              <w:rPr>
                <w:rFonts w:hint="eastAsia"/>
                <w:noProof/>
                <w:webHidden/>
              </w:rPr>
              <w:fldChar w:fldCharType="end"/>
            </w:r>
          </w:hyperlink>
        </w:p>
        <w:p w14:paraId="13011DAA" w14:textId="1D1E8229" w:rsidR="00A36562" w:rsidRDefault="00A36562">
          <w:pPr>
            <w:pStyle w:val="TOC1"/>
            <w:tabs>
              <w:tab w:val="right" w:leader="dot" w:pos="9782"/>
            </w:tabs>
            <w:rPr>
              <w:rFonts w:cstheme="minorBidi" w:hint="eastAsia"/>
              <w:noProof/>
              <w:kern w:val="2"/>
              <w:szCs w:val="24"/>
              <w14:ligatures w14:val="standardContextual"/>
            </w:rPr>
          </w:pPr>
          <w:hyperlink w:anchor="_Toc228019230" w:history="1">
            <w:r w:rsidRPr="001F133F">
              <w:rPr>
                <w:rStyle w:val="aff9"/>
                <w:rFonts w:ascii="Times New Roman" w:hAnsi="Times New Roman"/>
                <w:noProof/>
              </w:rPr>
              <w:t>Bibliography</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_Toc228019230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20</w:t>
            </w:r>
            <w:r>
              <w:rPr>
                <w:rFonts w:hint="eastAsia"/>
                <w:noProof/>
                <w:webHidden/>
              </w:rPr>
              <w:fldChar w:fldCharType="end"/>
            </w:r>
          </w:hyperlink>
        </w:p>
        <w:p w14:paraId="32FB9DBC" w14:textId="2CDBCF1C" w:rsidR="00711918" w:rsidRDefault="00711918">
          <w:pPr>
            <w:rPr>
              <w:rFonts w:hint="eastAsia"/>
            </w:rPr>
          </w:pPr>
          <w:r w:rsidRPr="00711918">
            <w:rPr>
              <w:rFonts w:ascii="Times New Roman" w:hAnsi="Times New Roman" w:cs="Times New Roman"/>
              <w:b/>
              <w:bCs/>
              <w:sz w:val="24"/>
              <w:szCs w:val="24"/>
              <w:lang w:val="zh-CN"/>
            </w:rPr>
            <w:fldChar w:fldCharType="end"/>
          </w:r>
        </w:p>
      </w:sdtContent>
    </w:sdt>
    <w:p w14:paraId="1944E731" w14:textId="769ED981" w:rsidR="00711918" w:rsidRPr="00711918" w:rsidRDefault="00711918" w:rsidP="00711918">
      <w:pPr>
        <w:keepNext/>
        <w:keepLines/>
        <w:pageBreakBefore/>
        <w:outlineLvl w:val="0"/>
        <w:rPr>
          <w:rFonts w:ascii="Times New Roman" w:eastAsia="宋体" w:hAnsi="Times New Roman" w:cs="Times New Roman" w:hint="eastAsia"/>
          <w:b/>
          <w:bCs/>
          <w:sz w:val="32"/>
          <w:szCs w:val="32"/>
          <w:lang w:eastAsia="zh-CN"/>
        </w:rPr>
      </w:pPr>
      <w:bookmarkStart w:id="1" w:name="_Toc228019220"/>
      <w:r w:rsidRPr="00711918">
        <w:rPr>
          <w:rFonts w:ascii="Times New Roman" w:hAnsi="Times New Roman" w:cs="Times New Roman"/>
          <w:b/>
          <w:bCs/>
          <w:sz w:val="32"/>
          <w:szCs w:val="32"/>
        </w:rPr>
        <w:lastRenderedPageBreak/>
        <w:t>1. Introduction</w:t>
      </w:r>
      <w:bookmarkEnd w:id="1"/>
    </w:p>
    <w:p w14:paraId="115392A9" w14:textId="6DCB04F4" w:rsidR="00711918" w:rsidRPr="00711918" w:rsidRDefault="00711918" w:rsidP="00711918">
      <w:pPr>
        <w:spacing w:line="360" w:lineRule="auto"/>
        <w:jc w:val="both"/>
        <w:rPr>
          <w:rFonts w:ascii="Times New Roman" w:eastAsia="宋体" w:hAnsi="Times New Roman" w:cs="Times New Roman"/>
          <w:sz w:val="24"/>
          <w:szCs w:val="24"/>
          <w:lang w:eastAsia="zh-CN"/>
        </w:rPr>
      </w:pPr>
      <w:r w:rsidRPr="00711918">
        <w:rPr>
          <w:rFonts w:ascii="Times New Roman" w:eastAsia="宋体" w:hAnsi="Times New Roman" w:cs="Times New Roman"/>
          <w:sz w:val="24"/>
          <w:szCs w:val="24"/>
          <w:lang w:eastAsia="zh-CN"/>
        </w:rPr>
        <w:t>Artificial intelligence has become a key strategic issue for financial institutions. In banking, it is increasingly applied to support fraud detection, anti-money laundering, customer service, software development, compliance monitoring, decision support and productivity enhancement. These opportunities can reduce costs, accelerate internal processes, improve service latency and increase the speed at which a bank can identify risks or generate insights. For a multinational group confronted with digital competition, productivity pressure and increasing customer expectations, AI seems to provide both efficiency and strategic differentiation. However, these opportunities are inextricably linked with new and heightened forms of risk. AI systems can exacerbate bias, generate erroneous or opaque results, erode privacy safeguards, foster over-dependence on external vendors, obfuscate accountability and damage customer trust when decisions or interactions are inadequately explained or controlled (Bank of England and Financial Conduct Authority, 2024; Financial Conduct Authority, 2026a).</w:t>
      </w:r>
    </w:p>
    <w:p w14:paraId="57C5D2A2" w14:textId="7DB522A2" w:rsidR="00711918" w:rsidRPr="00711918" w:rsidRDefault="00711918" w:rsidP="00711918">
      <w:pPr>
        <w:spacing w:line="360" w:lineRule="auto"/>
        <w:jc w:val="both"/>
        <w:rPr>
          <w:rFonts w:ascii="Times New Roman" w:eastAsia="宋体" w:hAnsi="Times New Roman" w:cs="Times New Roman"/>
          <w:sz w:val="24"/>
          <w:szCs w:val="24"/>
          <w:lang w:eastAsia="zh-CN"/>
        </w:rPr>
      </w:pPr>
      <w:r w:rsidRPr="00711918">
        <w:rPr>
          <w:rFonts w:ascii="Times New Roman" w:eastAsia="宋体" w:hAnsi="Times New Roman" w:cs="Times New Roman"/>
          <w:sz w:val="24"/>
          <w:szCs w:val="24"/>
          <w:lang w:eastAsia="zh-CN"/>
        </w:rPr>
        <w:t xml:space="preserve">HSBC is the most appropriate organisation to examine this. It has its headquarters in </w:t>
      </w:r>
      <w:r w:rsidRPr="00711918">
        <w:rPr>
          <w:rFonts w:ascii="Times New Roman" w:eastAsia="宋体" w:hAnsi="Times New Roman" w:cs="Times New Roman"/>
          <w:sz w:val="24"/>
          <w:szCs w:val="24"/>
          <w:lang w:eastAsia="zh-CN"/>
        </w:rPr>
        <w:t>London;</w:t>
      </w:r>
      <w:r w:rsidRPr="00711918">
        <w:rPr>
          <w:rFonts w:ascii="Times New Roman" w:eastAsia="宋体" w:hAnsi="Times New Roman" w:cs="Times New Roman"/>
          <w:sz w:val="24"/>
          <w:szCs w:val="24"/>
          <w:lang w:eastAsia="zh-CN"/>
        </w:rPr>
        <w:t xml:space="preserve"> it is a Hong Kong based company and operates as an international bank that also has a significant history of operation in Hong Kong. Since 1 January 2025, HSBC will be operating with four business lines which are: Hong Kong, UK, Corporate and Institutional Banking, and International Wealth and Premier Banking. This means that the two countries chosen by the writer to make comparison between them can be considered as convenient countries to use when writing the paper. They are essential members of the group and accordingly they should be taken into consideration regarding how multinational banks </w:t>
      </w:r>
      <w:r w:rsidRPr="00711918">
        <w:rPr>
          <w:rFonts w:ascii="Times New Roman" w:eastAsia="宋体" w:hAnsi="Times New Roman" w:cs="Times New Roman"/>
          <w:sz w:val="24"/>
          <w:szCs w:val="24"/>
          <w:lang w:eastAsia="zh-CN"/>
        </w:rPr>
        <w:t>must</w:t>
      </w:r>
      <w:r w:rsidRPr="00711918">
        <w:rPr>
          <w:rFonts w:ascii="Times New Roman" w:eastAsia="宋体" w:hAnsi="Times New Roman" w:cs="Times New Roman"/>
          <w:sz w:val="24"/>
          <w:szCs w:val="24"/>
          <w:lang w:eastAsia="zh-CN"/>
        </w:rPr>
        <w:t xml:space="preserve"> deal with AI risks in the context of different regulatory frameworks and approaches to supervision (HSBC Holdings plc, 2025; HSBC Holdings plc, 2026a; HSBC Holdings plc, 2026d).</w:t>
      </w:r>
    </w:p>
    <w:p w14:paraId="1E585EA1" w14:textId="4B334ABB" w:rsidR="00711918" w:rsidRPr="00711918" w:rsidRDefault="00711918" w:rsidP="00711918">
      <w:pPr>
        <w:spacing w:line="360" w:lineRule="auto"/>
        <w:jc w:val="both"/>
        <w:rPr>
          <w:rFonts w:ascii="Times New Roman" w:eastAsia="宋体" w:hAnsi="Times New Roman" w:cs="Times New Roman"/>
          <w:sz w:val="24"/>
          <w:szCs w:val="24"/>
          <w:lang w:eastAsia="zh-CN"/>
        </w:rPr>
      </w:pPr>
      <w:r w:rsidRPr="00711918">
        <w:rPr>
          <w:rFonts w:ascii="Times New Roman" w:eastAsia="宋体" w:hAnsi="Times New Roman" w:cs="Times New Roman"/>
          <w:sz w:val="24"/>
          <w:szCs w:val="24"/>
          <w:lang w:eastAsia="zh-CN"/>
        </w:rPr>
        <w:t xml:space="preserve">The report suggests that HSBC should view AI as a joined-up enterprise-risk issue, rather than as a narrow technology programme. Data governance, ethical use of AI, regulatory compliance and customer trust are not siloed topics sitting next to </w:t>
      </w:r>
      <w:r w:rsidRPr="00711918">
        <w:rPr>
          <w:rFonts w:ascii="Times New Roman" w:eastAsia="宋体" w:hAnsi="Times New Roman" w:cs="Times New Roman"/>
          <w:sz w:val="24"/>
          <w:szCs w:val="24"/>
          <w:lang w:eastAsia="zh-CN"/>
        </w:rPr>
        <w:t>one another but</w:t>
      </w:r>
      <w:r w:rsidRPr="00711918">
        <w:rPr>
          <w:rFonts w:ascii="Times New Roman" w:eastAsia="宋体" w:hAnsi="Times New Roman" w:cs="Times New Roman"/>
          <w:sz w:val="24"/>
          <w:szCs w:val="24"/>
          <w:lang w:eastAsia="zh-CN"/>
        </w:rPr>
        <w:t xml:space="preserve"> instead interact continuously. Weak data governance can lead to unfair or unlawful outcomes. Poor explainability can exacerbate both conduct risk and customer disquiet. Inconsistent oversight can broaden model risk. Over-reliance on a few technology providers can undermine operational resilience and give rise to concentration risk. In the banking sector, these issues are more pertinent than in many other industries due to the unusually high expectations placed upon banks in terms of accountability, fairness, prudence and customer protection.</w:t>
      </w:r>
    </w:p>
    <w:p w14:paraId="4748E02C" w14:textId="54F4DF22" w:rsidR="00711918" w:rsidRPr="00711918" w:rsidRDefault="00711918" w:rsidP="00711918">
      <w:pPr>
        <w:spacing w:line="360" w:lineRule="auto"/>
        <w:jc w:val="both"/>
        <w:rPr>
          <w:rFonts w:ascii="Times New Roman" w:eastAsia="宋体" w:hAnsi="Times New Roman" w:cs="Times New Roman"/>
          <w:sz w:val="24"/>
          <w:szCs w:val="24"/>
          <w:lang w:eastAsia="zh-CN"/>
        </w:rPr>
      </w:pPr>
      <w:r w:rsidRPr="00711918">
        <w:rPr>
          <w:rFonts w:ascii="Times New Roman" w:eastAsia="宋体" w:hAnsi="Times New Roman" w:cs="Times New Roman"/>
          <w:sz w:val="24"/>
          <w:szCs w:val="24"/>
          <w:lang w:eastAsia="zh-CN"/>
        </w:rPr>
        <w:lastRenderedPageBreak/>
        <w:t xml:space="preserve">The PESTLE logic is also used in the analysis, since the AI risk of HSBC cannot be </w:t>
      </w:r>
      <w:r w:rsidRPr="00711918">
        <w:rPr>
          <w:rFonts w:ascii="Times New Roman" w:eastAsia="宋体" w:hAnsi="Times New Roman" w:cs="Times New Roman"/>
          <w:sz w:val="24"/>
          <w:szCs w:val="24"/>
          <w:lang w:eastAsia="zh-CN"/>
        </w:rPr>
        <w:t>analysed</w:t>
      </w:r>
      <w:r w:rsidRPr="00711918">
        <w:rPr>
          <w:rFonts w:ascii="Times New Roman" w:eastAsia="宋体" w:hAnsi="Times New Roman" w:cs="Times New Roman"/>
          <w:sz w:val="24"/>
          <w:szCs w:val="24"/>
          <w:lang w:eastAsia="zh-CN"/>
        </w:rPr>
        <w:t xml:space="preserve"> with the help of technology only. The risk profile is influenced by political pressure concerning financial resilience, economic pressure to enhance productivity, social expectations of equal treatment, technological reliance on rapidly evolving models, legal obligations regarding privacy and </w:t>
      </w:r>
      <w:r w:rsidRPr="00711918">
        <w:rPr>
          <w:rFonts w:ascii="Times New Roman" w:eastAsia="宋体" w:hAnsi="Times New Roman" w:cs="Times New Roman"/>
          <w:sz w:val="24"/>
          <w:szCs w:val="24"/>
          <w:lang w:eastAsia="zh-CN"/>
        </w:rPr>
        <w:t>behaviour</w:t>
      </w:r>
      <w:r w:rsidRPr="00711918">
        <w:rPr>
          <w:rFonts w:ascii="Times New Roman" w:eastAsia="宋体" w:hAnsi="Times New Roman" w:cs="Times New Roman"/>
          <w:sz w:val="24"/>
          <w:szCs w:val="24"/>
          <w:lang w:eastAsia="zh-CN"/>
        </w:rPr>
        <w:t>, and environmental demands associated with digital infrastructure. This framing relates AI governance to the broader international business context and clarifies why the same technology can generate varying priorities in the UK and Hong Kong.</w:t>
      </w:r>
    </w:p>
    <w:p w14:paraId="57EFA882" w14:textId="77777777" w:rsidR="00A11F86" w:rsidRPr="00711918" w:rsidRDefault="00000000" w:rsidP="00A87BAD">
      <w:pPr>
        <w:pStyle w:val="1"/>
        <w:spacing w:line="360" w:lineRule="auto"/>
        <w:rPr>
          <w:rFonts w:ascii="Times New Roman" w:hAnsi="Times New Roman" w:cs="Times New Roman"/>
          <w:color w:val="000000" w:themeColor="text1"/>
        </w:rPr>
      </w:pPr>
      <w:bookmarkStart w:id="2" w:name="_Toc228019221"/>
      <w:r w:rsidRPr="00711918">
        <w:rPr>
          <w:rFonts w:ascii="Times New Roman" w:hAnsi="Times New Roman" w:cs="Times New Roman"/>
          <w:color w:val="000000" w:themeColor="text1"/>
        </w:rPr>
        <w:t>2. Main Findings</w:t>
      </w:r>
      <w:bookmarkEnd w:id="2"/>
    </w:p>
    <w:p w14:paraId="20206815" w14:textId="77777777" w:rsidR="00A11F86" w:rsidRDefault="00000000" w:rsidP="00A87BAD">
      <w:pPr>
        <w:pStyle w:val="21"/>
        <w:spacing w:line="360" w:lineRule="auto"/>
        <w:rPr>
          <w:rFonts w:ascii="Times New Roman" w:eastAsia="宋体" w:hAnsi="Times New Roman" w:cs="Times New Roman"/>
          <w:color w:val="000000" w:themeColor="text1"/>
          <w:lang w:eastAsia="zh-CN"/>
        </w:rPr>
      </w:pPr>
      <w:bookmarkStart w:id="3" w:name="_Toc228019222"/>
      <w:r w:rsidRPr="00711918">
        <w:rPr>
          <w:rFonts w:ascii="Times New Roman" w:hAnsi="Times New Roman" w:cs="Times New Roman"/>
          <w:color w:val="000000" w:themeColor="text1"/>
        </w:rPr>
        <w:t>2.1 HSBC’s international position and AI expansion</w:t>
      </w:r>
      <w:bookmarkEnd w:id="3"/>
    </w:p>
    <w:p w14:paraId="6C9C4425" w14:textId="3BEBC797" w:rsidR="00711918" w:rsidRPr="00711918" w:rsidRDefault="00711918" w:rsidP="00A87BAD">
      <w:pPr>
        <w:spacing w:line="360" w:lineRule="auto"/>
        <w:jc w:val="both"/>
        <w:rPr>
          <w:rFonts w:ascii="Times New Roman" w:eastAsia="宋体" w:hAnsi="Times New Roman" w:cs="Times New Roman" w:hint="eastAsia"/>
          <w:sz w:val="24"/>
          <w:szCs w:val="24"/>
          <w:lang w:eastAsia="zh-CN"/>
        </w:rPr>
      </w:pPr>
      <w:r w:rsidRPr="00711918">
        <w:rPr>
          <w:rFonts w:ascii="Times New Roman" w:eastAsia="宋体" w:hAnsi="Times New Roman" w:cs="Times New Roman"/>
          <w:sz w:val="24"/>
          <w:szCs w:val="24"/>
          <w:lang w:eastAsia="zh-CN"/>
        </w:rPr>
        <w:t>HSBC is a good example as the AI challenge of the bank cannot be separated with its international structure. According to HSBC, it has approximately 41 million customers in 56 markets and the fact that the public group structure is clear implies that the bank has consciously restructured itself into a more focused model where the UK and Hong Kong are core operating units. This is important since the governance of AI in a multinational bank does not simply entail deploying tools on a large scale. It concerns managing technology in various legal, regulatory, cultural and business settings but still being able to keep coherence in groups. The governance framework that seems sufficient in one market can be inadequate, too general or too strict in another. HSBC thus has a more challenging AI governance issue than a domestic bank that has one main regulator and smaller footprint (HSBC Holdings plc, 2026a; HSBC Holdings plc, 2026d).</w:t>
      </w:r>
    </w:p>
    <w:p w14:paraId="121BD21C" w14:textId="4EFAF453" w:rsidR="00711918" w:rsidRPr="00711918" w:rsidRDefault="00711918" w:rsidP="00A87BAD">
      <w:pPr>
        <w:spacing w:line="360" w:lineRule="auto"/>
        <w:jc w:val="both"/>
        <w:rPr>
          <w:rFonts w:ascii="Times New Roman" w:eastAsia="宋体" w:hAnsi="Times New Roman" w:cs="Times New Roman" w:hint="eastAsia"/>
          <w:sz w:val="24"/>
          <w:szCs w:val="24"/>
          <w:lang w:eastAsia="zh-CN"/>
        </w:rPr>
      </w:pPr>
      <w:r w:rsidRPr="00711918">
        <w:rPr>
          <w:rFonts w:ascii="Times New Roman" w:eastAsia="宋体" w:hAnsi="Times New Roman" w:cs="Times New Roman"/>
          <w:sz w:val="24"/>
          <w:szCs w:val="24"/>
          <w:lang w:eastAsia="zh-CN"/>
        </w:rPr>
        <w:t xml:space="preserve">HSBC is not an AI user in the future anymore. The bank has its own pages of AI where the generative AI is applied to credit analysis and customer support operations. Its wider online content portrays the AI as the core aspect of the change in the operation of HSBC and its service to customers. The fact that David Rice was appointed as the first Chief AI Officer in March 2026 indicates that there will be no more marginal innovation stream, which will be treated as AI. It was clearly a position offered by HSBC with the purpose of making it the enterprise leader in terms of AI </w:t>
      </w:r>
      <w:r w:rsidR="00A87BAD" w:rsidRPr="00711918">
        <w:rPr>
          <w:rFonts w:ascii="Times New Roman" w:eastAsia="宋体" w:hAnsi="Times New Roman" w:cs="Times New Roman"/>
          <w:sz w:val="24"/>
          <w:szCs w:val="24"/>
          <w:lang w:eastAsia="zh-CN"/>
        </w:rPr>
        <w:t>implementation and</w:t>
      </w:r>
      <w:r w:rsidRPr="00711918">
        <w:rPr>
          <w:rFonts w:ascii="Times New Roman" w:eastAsia="宋体" w:hAnsi="Times New Roman" w:cs="Times New Roman"/>
          <w:sz w:val="24"/>
          <w:szCs w:val="24"/>
          <w:lang w:eastAsia="zh-CN"/>
        </w:rPr>
        <w:t xml:space="preserve"> still making it part of the company in such a way as to serve colleagues and clients alike. This is one of the organisational signs. This implies that the management of AI will also be considered alongside other priorities in the enterprises including risk management, transformation, resilience and customer experience and not only left at the disposal of technology departments (HSBC Holdings plc, 2026b; HSBC Holdings plc, 2026c).</w:t>
      </w:r>
    </w:p>
    <w:p w14:paraId="6184EC59" w14:textId="67A3B77C" w:rsidR="00711918" w:rsidRPr="00711918" w:rsidRDefault="00711918" w:rsidP="00A87BAD">
      <w:pPr>
        <w:spacing w:line="360" w:lineRule="auto"/>
        <w:jc w:val="both"/>
        <w:rPr>
          <w:rFonts w:ascii="Times New Roman" w:eastAsia="宋体" w:hAnsi="Times New Roman" w:cs="Times New Roman" w:hint="eastAsia"/>
          <w:sz w:val="24"/>
          <w:szCs w:val="24"/>
          <w:lang w:eastAsia="zh-CN"/>
        </w:rPr>
      </w:pPr>
      <w:r w:rsidRPr="00711918">
        <w:rPr>
          <w:rFonts w:ascii="Times New Roman" w:eastAsia="宋体" w:hAnsi="Times New Roman" w:cs="Times New Roman"/>
          <w:sz w:val="24"/>
          <w:szCs w:val="24"/>
          <w:lang w:eastAsia="zh-CN"/>
        </w:rPr>
        <w:lastRenderedPageBreak/>
        <w:t xml:space="preserve">This is a good move in the right direction as far as the bank is concerned. Banks have been forced to improve their productivity, streamline their operations and be more responsive to the demands of their customers and financial crime. All these can be done with the help of AI. It will only create a new set of risks though. The closer you get to customer services, credit management, compliance or any other back-office operation the less it will look like an artificial intelligence solution. At that </w:t>
      </w:r>
      <w:r w:rsidR="00A87BAD" w:rsidRPr="00711918">
        <w:rPr>
          <w:rFonts w:ascii="Times New Roman" w:eastAsia="宋体" w:hAnsi="Times New Roman" w:cs="Times New Roman"/>
          <w:sz w:val="24"/>
          <w:szCs w:val="24"/>
          <w:lang w:eastAsia="zh-CN"/>
        </w:rPr>
        <w:t>time,</w:t>
      </w:r>
      <w:r w:rsidRPr="00711918">
        <w:rPr>
          <w:rFonts w:ascii="Times New Roman" w:eastAsia="宋体" w:hAnsi="Times New Roman" w:cs="Times New Roman"/>
          <w:sz w:val="24"/>
          <w:szCs w:val="24"/>
          <w:lang w:eastAsia="zh-CN"/>
        </w:rPr>
        <w:t xml:space="preserve"> it would become part of the banking system. This means that there will not be just one failure but multiple failures at the same time in different places.</w:t>
      </w:r>
    </w:p>
    <w:p w14:paraId="337EF3AE" w14:textId="436BF071" w:rsidR="00711918" w:rsidRPr="00711918" w:rsidRDefault="00711918" w:rsidP="00A87BAD">
      <w:pPr>
        <w:spacing w:line="360" w:lineRule="auto"/>
        <w:jc w:val="both"/>
        <w:rPr>
          <w:rFonts w:ascii="Times New Roman" w:eastAsia="宋体" w:hAnsi="Times New Roman" w:cs="Times New Roman"/>
          <w:sz w:val="24"/>
          <w:szCs w:val="24"/>
          <w:lang w:eastAsia="zh-CN"/>
        </w:rPr>
      </w:pPr>
      <w:r w:rsidRPr="00711918">
        <w:rPr>
          <w:rFonts w:ascii="Times New Roman" w:eastAsia="宋体" w:hAnsi="Times New Roman" w:cs="Times New Roman"/>
          <w:sz w:val="24"/>
          <w:szCs w:val="24"/>
          <w:lang w:eastAsia="zh-CN"/>
        </w:rPr>
        <w:t>A short peer benchmark supports why HSBC has an unusually difficult AI governance issue. Barclays is also growing in AI and publicly frames it around customer experience, productivity and efficiency gains. Standard Chartered is a closer international comparator because it combines cross-border banking with more visible AI expansion, and its 2025 Annual Report highlights a strategic partnership with Alibaba to increase the use of AI across client service, sales intelligence, risk management and compliance. Even so, HSBCs governance burden remains distinctive. Since January 2025, its group structure has placed both the UK and Hong Kong at the core of the bank, while its public AI strategy emphasises deployment at scale under continued human judgement and accountability. As a result, HSBC must simultaneously manage a major UK conduct agenda and a Hong Kong framework with more explicit expectations for customer-facing GenAI. This makes HSBC less comparable to a mainly domestic retail bank and more exposed than peers whose AI expansion is not anchored so clearly in two tightly supervised home markets (Barclays, 2025; Barclays PLC, 2026; Standard Chartered PLC, 2026; HSBC Holdings plc, 2026a; HSBC Holdings plc, 2026b).</w:t>
      </w:r>
    </w:p>
    <w:p w14:paraId="04F104FE" w14:textId="77777777" w:rsidR="00A11F86" w:rsidRPr="00A87BAD" w:rsidRDefault="00000000" w:rsidP="00A87BAD">
      <w:pPr>
        <w:pStyle w:val="21"/>
        <w:spacing w:line="360" w:lineRule="auto"/>
        <w:jc w:val="both"/>
        <w:rPr>
          <w:rFonts w:ascii="Times New Roman" w:eastAsia="宋体" w:hAnsi="Times New Roman" w:cs="Times New Roman"/>
          <w:color w:val="000000" w:themeColor="text1"/>
          <w:sz w:val="24"/>
          <w:szCs w:val="24"/>
          <w:lang w:eastAsia="zh-CN"/>
        </w:rPr>
      </w:pPr>
      <w:bookmarkStart w:id="4" w:name="_Toc228019223"/>
      <w:r w:rsidRPr="00A87BAD">
        <w:rPr>
          <w:rFonts w:ascii="Times New Roman" w:hAnsi="Times New Roman" w:cs="Times New Roman"/>
          <w:color w:val="000000" w:themeColor="text1"/>
          <w:sz w:val="24"/>
          <w:szCs w:val="24"/>
        </w:rPr>
        <w:t>2.2 Data governance and information risk</w:t>
      </w:r>
      <w:bookmarkEnd w:id="4"/>
    </w:p>
    <w:p w14:paraId="6ADDF113" w14:textId="55D87613" w:rsidR="00A87BAD" w:rsidRPr="00A87BAD" w:rsidRDefault="00A87BAD" w:rsidP="00A87BAD">
      <w:pPr>
        <w:spacing w:line="360" w:lineRule="auto"/>
        <w:jc w:val="both"/>
        <w:rPr>
          <w:rFonts w:ascii="Times New Roman" w:eastAsia="宋体" w:hAnsi="Times New Roman" w:cs="Times New Roman"/>
          <w:sz w:val="24"/>
          <w:szCs w:val="24"/>
          <w:lang w:eastAsia="zh-CN"/>
        </w:rPr>
      </w:pPr>
      <w:r w:rsidRPr="00A87BAD">
        <w:rPr>
          <w:rFonts w:ascii="Times New Roman" w:eastAsia="宋体" w:hAnsi="Times New Roman" w:cs="Times New Roman"/>
          <w:sz w:val="24"/>
          <w:szCs w:val="24"/>
          <w:lang w:eastAsia="zh-CN"/>
        </w:rPr>
        <w:t>The quality of the data, as well as fairness and legality and explainability are also very much dependent on the quality of the model that is fed into the system, which is why responsible AI in the context of banking is based on data governance. In this regard, the Principles of Ethical Use of Data and Artificial Intelligence by HSBC is rather explicit. It says it wants to use only those data relevant to the task at hand, protect and regulate the access to the data, make privacy a part of its design in using data and AI, be open as far as possible, and be held responsible in case of the consequences of its data and AI usage. It has further mentioned that it will place itself in the shoes of the customer, data subject or employee and ask what would have been reasonable. These are the key promises that can shift the discussion towards efficiency to legitimacy (HSBC Holdings plc, 2024).</w:t>
      </w:r>
    </w:p>
    <w:p w14:paraId="59524CEC" w14:textId="31A303E0" w:rsidR="00A87BAD" w:rsidRPr="00A87BAD" w:rsidRDefault="00A87BAD" w:rsidP="00A87BAD">
      <w:pPr>
        <w:spacing w:line="360" w:lineRule="auto"/>
        <w:jc w:val="both"/>
        <w:rPr>
          <w:rFonts w:ascii="Times New Roman" w:eastAsia="宋体" w:hAnsi="Times New Roman" w:cs="Times New Roman"/>
          <w:sz w:val="24"/>
          <w:szCs w:val="24"/>
          <w:lang w:eastAsia="zh-CN"/>
        </w:rPr>
      </w:pPr>
      <w:r w:rsidRPr="00A87BAD">
        <w:rPr>
          <w:rFonts w:ascii="Times New Roman" w:eastAsia="宋体" w:hAnsi="Times New Roman" w:cs="Times New Roman"/>
          <w:sz w:val="24"/>
          <w:szCs w:val="24"/>
          <w:lang w:eastAsia="zh-CN"/>
        </w:rPr>
        <w:lastRenderedPageBreak/>
        <w:t xml:space="preserve">The problem is not of values, but implementation. </w:t>
      </w:r>
      <w:proofErr w:type="gramStart"/>
      <w:r w:rsidRPr="00A87BAD">
        <w:rPr>
          <w:rFonts w:ascii="Times New Roman" w:eastAsia="宋体" w:hAnsi="Times New Roman" w:cs="Times New Roman"/>
          <w:sz w:val="24"/>
          <w:szCs w:val="24"/>
          <w:lang w:eastAsia="zh-CN"/>
        </w:rPr>
        <w:t>In reality, AI</w:t>
      </w:r>
      <w:proofErr w:type="gramEnd"/>
      <w:r w:rsidRPr="00A87BAD">
        <w:rPr>
          <w:rFonts w:ascii="Times New Roman" w:eastAsia="宋体" w:hAnsi="Times New Roman" w:cs="Times New Roman"/>
          <w:sz w:val="24"/>
          <w:szCs w:val="24"/>
          <w:lang w:eastAsia="zh-CN"/>
        </w:rPr>
        <w:t xml:space="preserve"> governance tends to be unsuccessful due to fragmentation: business lines can employ various tools, datasets, vendor terms and review standards. This is particularly probable in a multinational organisation reacting to local commercial and supervisory pressures. Fragmentation may thus be a danger on its own since HSBC might look locally compliant but still has no consistent and auditable group standard.  This issue aligns with broader literature on the accountability of algorithms which claims that transparency is feeble unless organisations are also able to demonstrate who had control over the system, how it was tested and how the resultant decision could be questioned (Kroll et al., 2017).</w:t>
      </w:r>
    </w:p>
    <w:p w14:paraId="3AE0E7B4" w14:textId="553A1E23" w:rsidR="00A87BAD" w:rsidRPr="00A87BAD" w:rsidRDefault="00A87BAD" w:rsidP="00A87BAD">
      <w:pPr>
        <w:spacing w:line="360" w:lineRule="auto"/>
        <w:jc w:val="both"/>
        <w:rPr>
          <w:rFonts w:ascii="Times New Roman" w:eastAsia="宋体" w:hAnsi="Times New Roman" w:cs="Times New Roman"/>
          <w:sz w:val="24"/>
          <w:szCs w:val="24"/>
          <w:lang w:eastAsia="zh-CN"/>
        </w:rPr>
      </w:pPr>
      <w:r w:rsidRPr="00A87BAD">
        <w:rPr>
          <w:rFonts w:ascii="Times New Roman" w:eastAsia="宋体" w:hAnsi="Times New Roman" w:cs="Times New Roman"/>
          <w:sz w:val="24"/>
          <w:szCs w:val="24"/>
          <w:lang w:eastAsia="zh-CN"/>
        </w:rPr>
        <w:t>This is supported by the UK framework that regards AI application as inseparable to broader data-protection responsibilities. The guidance of the ICO on AI and data protection presents AI as a problem of fairness, transparency, legal processing and safeguarding of the rights and freedoms of individuals. Its AI and data protection risk toolkit then drives organisations to certain governance questions such as security, data minimisation and individual rights. The implication is that AI does not get evaluated simply based on whether it works or not but based on whether the organisational process around it is lawful, fair and accountable. In the case of HSBC, this is important since AI systems in banking tend to be implemented using sensitive and behaviourally significant information. Otherwise, high-performing system can remain problematic when the provenance of data is weak, privacy logic is not clear, or explainability is low (Information Commissioners Office, 2023a; Information Commissioners Office, 2023b).</w:t>
      </w:r>
    </w:p>
    <w:p w14:paraId="01DFB983" w14:textId="259160C5" w:rsidR="00A87BAD" w:rsidRPr="00A87BAD" w:rsidRDefault="00A87BAD" w:rsidP="00A87BAD">
      <w:pPr>
        <w:spacing w:line="360" w:lineRule="auto"/>
        <w:jc w:val="both"/>
        <w:rPr>
          <w:rFonts w:ascii="Times New Roman" w:eastAsia="宋体" w:hAnsi="Times New Roman" w:cs="Times New Roman"/>
          <w:sz w:val="24"/>
          <w:szCs w:val="24"/>
          <w:lang w:eastAsia="zh-CN"/>
        </w:rPr>
      </w:pPr>
      <w:r w:rsidRPr="00A87BAD">
        <w:rPr>
          <w:rFonts w:ascii="Times New Roman" w:eastAsia="宋体" w:hAnsi="Times New Roman" w:cs="Times New Roman"/>
          <w:sz w:val="24"/>
          <w:szCs w:val="24"/>
          <w:lang w:eastAsia="zh-CN"/>
        </w:rPr>
        <w:t>Hong Kong follows the same course, although it has a somewhat more flexible attitude to regulation. The Hong Kong model of Personal Data Protection is also very focused on AI strategy and management, procurement, control, training, risk analysis and human resource controls. Its 2025 list of what generative AI can be used by employees in an organisation will encourage them to adopt internal regulations that are aimed at the use of tools, privacy protection, safe practice within the company. This is important since this means that the method applied in Hong Kong is not just the high-level statement about privacy. It is becoming more operational as well as governance centric. In the case of HSBC, this would imply that the issue of data governance in Hong Kong does not necessarily boil down to a broad-based regime of privacy; rather, it entails the need to establish a formalised system of organisational constraints on how to choose, access, monitor, and restrict the use of such tools (Office of the Privacy Commissioner for Personal Data, 2024; Office of the Privacy Commissioner for Personal Data, 2025).</w:t>
      </w:r>
    </w:p>
    <w:p w14:paraId="6DF15C9D" w14:textId="369C4F0C" w:rsidR="00A87BAD" w:rsidRPr="00A87BAD" w:rsidRDefault="00A87BAD" w:rsidP="00A87BAD">
      <w:pPr>
        <w:spacing w:line="360" w:lineRule="auto"/>
        <w:jc w:val="both"/>
        <w:rPr>
          <w:rFonts w:ascii="Times New Roman" w:eastAsia="宋体" w:hAnsi="Times New Roman" w:cs="Times New Roman"/>
          <w:sz w:val="24"/>
          <w:szCs w:val="24"/>
          <w:lang w:eastAsia="zh-CN"/>
        </w:rPr>
      </w:pPr>
      <w:r w:rsidRPr="00A87BAD">
        <w:rPr>
          <w:rFonts w:ascii="Times New Roman" w:eastAsia="宋体" w:hAnsi="Times New Roman" w:cs="Times New Roman"/>
          <w:sz w:val="24"/>
          <w:szCs w:val="24"/>
          <w:lang w:eastAsia="zh-CN"/>
        </w:rPr>
        <w:lastRenderedPageBreak/>
        <w:t>Four data-governance issues are operational. HSBC should have clear data lineage, quality of data that is reliable, access and retention under control, and defensible cross-border data handling. Without these controls, a model can appear to be accurate but still hard to explain, legally weak or unfair in its effects. These are not abstract technical issues; they determine whether HSBC can defend AI-enabled decisions under regulatory or customer scrutiny.</w:t>
      </w:r>
    </w:p>
    <w:p w14:paraId="0A428360" w14:textId="437690C3" w:rsidR="00A87BAD" w:rsidRPr="00A87BAD" w:rsidRDefault="00A87BAD" w:rsidP="00A87BAD">
      <w:pPr>
        <w:spacing w:line="360" w:lineRule="auto"/>
        <w:jc w:val="both"/>
        <w:rPr>
          <w:rFonts w:ascii="Times New Roman" w:eastAsia="宋体" w:hAnsi="Times New Roman" w:cs="Times New Roman"/>
          <w:sz w:val="24"/>
          <w:szCs w:val="24"/>
          <w:lang w:eastAsia="zh-CN"/>
        </w:rPr>
      </w:pPr>
      <w:r w:rsidRPr="00A87BAD">
        <w:rPr>
          <w:rFonts w:ascii="Times New Roman" w:eastAsia="宋体" w:hAnsi="Times New Roman" w:cs="Times New Roman"/>
          <w:sz w:val="24"/>
          <w:szCs w:val="24"/>
          <w:lang w:eastAsia="zh-CN"/>
        </w:rPr>
        <w:t>The issue is heightened by the prudential dimension. The 2024 Bank of England and FCA survey revealed that 75% of respondents were already applying AI, which demonstrates that AI is quickly becoming normalised in UK financial services. The macroprudential implications of more widespread and changing AI use was then highlighted by the Bank of England 2025 Financial Stability in Focus report, whereas the model-risk principles of the PRA indicate that banks are supposed to identify, manage and control risk in a strategic and disciplined manner. All these indicators imply that HSBC should not consider data governance as an issue of privacy-compliance. It is also one of the components of prudential discipline, operational resilience and justifiable management judgement (Bank of England and Financial Conduct Authority, 2024; Bank of England, 2025; Prudential Regulation Authority, 2023).</w:t>
      </w:r>
    </w:p>
    <w:p w14:paraId="6D10987B" w14:textId="34B6C21B" w:rsidR="00A87BAD" w:rsidRPr="00A87BAD" w:rsidRDefault="00A87BAD" w:rsidP="00A87BAD">
      <w:pPr>
        <w:spacing w:line="360" w:lineRule="auto"/>
        <w:jc w:val="both"/>
        <w:rPr>
          <w:rFonts w:ascii="Times New Roman" w:eastAsia="宋体" w:hAnsi="Times New Roman" w:cs="Times New Roman"/>
          <w:sz w:val="24"/>
          <w:szCs w:val="24"/>
          <w:lang w:eastAsia="zh-CN"/>
        </w:rPr>
      </w:pPr>
      <w:r w:rsidRPr="00A87BAD">
        <w:rPr>
          <w:rFonts w:ascii="Times New Roman" w:eastAsia="宋体" w:hAnsi="Times New Roman" w:cs="Times New Roman"/>
          <w:sz w:val="24"/>
          <w:szCs w:val="24"/>
          <w:lang w:eastAsia="zh-CN"/>
        </w:rPr>
        <w:t>The main point is that the HSBC published principles are believable, but not a good indication of its control. The responsible data governance at the scale of HSBC should be shown in the form of inventories, the approval history, the evidence of lineage, access to the information, vendor limitation and post-deployment audit. The subsequent step is then to ensure that the principles already existing can be auditable in daily life.</w:t>
      </w:r>
    </w:p>
    <w:p w14:paraId="43D9A3DA" w14:textId="77777777" w:rsidR="00A11F86" w:rsidRPr="00A87BAD" w:rsidRDefault="00000000" w:rsidP="00A87BAD">
      <w:pPr>
        <w:pStyle w:val="21"/>
        <w:spacing w:line="360" w:lineRule="auto"/>
        <w:jc w:val="both"/>
        <w:rPr>
          <w:rFonts w:ascii="Times New Roman" w:eastAsia="宋体" w:hAnsi="Times New Roman" w:cs="Times New Roman"/>
          <w:color w:val="000000" w:themeColor="text1"/>
          <w:sz w:val="24"/>
          <w:szCs w:val="24"/>
          <w:lang w:eastAsia="zh-CN"/>
        </w:rPr>
      </w:pPr>
      <w:bookmarkStart w:id="5" w:name="_Toc228019224"/>
      <w:r w:rsidRPr="00A87BAD">
        <w:rPr>
          <w:rFonts w:ascii="Times New Roman" w:hAnsi="Times New Roman" w:cs="Times New Roman"/>
          <w:color w:val="000000" w:themeColor="text1"/>
          <w:sz w:val="24"/>
          <w:szCs w:val="24"/>
        </w:rPr>
        <w:t>2.3 Ethical AI, model risk and accountability</w:t>
      </w:r>
      <w:bookmarkEnd w:id="5"/>
    </w:p>
    <w:p w14:paraId="367C6E46" w14:textId="77777777" w:rsidR="00A87BAD" w:rsidRPr="00A87BAD" w:rsidRDefault="00A87BAD" w:rsidP="00A87BAD">
      <w:pPr>
        <w:spacing w:line="360" w:lineRule="auto"/>
        <w:jc w:val="both"/>
        <w:rPr>
          <w:rFonts w:ascii="Times New Roman" w:eastAsia="宋体" w:hAnsi="Times New Roman" w:cs="Times New Roman"/>
          <w:sz w:val="24"/>
          <w:szCs w:val="24"/>
          <w:lang w:eastAsia="zh-CN"/>
        </w:rPr>
      </w:pPr>
      <w:r w:rsidRPr="00A87BAD">
        <w:rPr>
          <w:rFonts w:ascii="Times New Roman" w:eastAsia="宋体" w:hAnsi="Times New Roman" w:cs="Times New Roman"/>
          <w:sz w:val="24"/>
          <w:szCs w:val="24"/>
          <w:lang w:eastAsia="zh-CN"/>
        </w:rPr>
        <w:t xml:space="preserve">The ethical AI has been defined as a values matter in the corporate communication. That is too narrow in banking. The ethics is a control environment. According to </w:t>
      </w:r>
      <w:proofErr w:type="spellStart"/>
      <w:r w:rsidRPr="00A87BAD">
        <w:rPr>
          <w:rFonts w:ascii="Times New Roman" w:eastAsia="宋体" w:hAnsi="Times New Roman" w:cs="Times New Roman"/>
          <w:sz w:val="24"/>
          <w:szCs w:val="24"/>
          <w:lang w:eastAsia="zh-CN"/>
        </w:rPr>
        <w:t>Floridi</w:t>
      </w:r>
      <w:proofErr w:type="spellEnd"/>
      <w:r w:rsidRPr="00A87BAD">
        <w:rPr>
          <w:rFonts w:ascii="Times New Roman" w:eastAsia="宋体" w:hAnsi="Times New Roman" w:cs="Times New Roman"/>
          <w:sz w:val="24"/>
          <w:szCs w:val="24"/>
          <w:lang w:eastAsia="zh-CN"/>
        </w:rPr>
        <w:t xml:space="preserve"> and Cowls, the most important ethical concepts of artificial intelligence are beneficence, non-maleficence, autonomy, justice and explicability. The authors also note that the principles of transparency, justice and fairness, non-maleficence, responsibility and privacy have found a wide consensus with the </w:t>
      </w:r>
      <w:proofErr w:type="spellStart"/>
      <w:r w:rsidRPr="00A87BAD">
        <w:rPr>
          <w:rFonts w:ascii="Times New Roman" w:eastAsia="宋体" w:hAnsi="Times New Roman" w:cs="Times New Roman"/>
          <w:sz w:val="24"/>
          <w:szCs w:val="24"/>
          <w:lang w:eastAsia="zh-CN"/>
        </w:rPr>
        <w:t>jobin</w:t>
      </w:r>
      <w:proofErr w:type="spellEnd"/>
      <w:r w:rsidRPr="00A87BAD">
        <w:rPr>
          <w:rFonts w:ascii="Times New Roman" w:eastAsia="宋体" w:hAnsi="Times New Roman" w:cs="Times New Roman"/>
          <w:sz w:val="24"/>
          <w:szCs w:val="24"/>
          <w:lang w:eastAsia="zh-CN"/>
        </w:rPr>
        <w:t xml:space="preserve">, Ienca and </w:t>
      </w:r>
      <w:proofErr w:type="spellStart"/>
      <w:r w:rsidRPr="00A87BAD">
        <w:rPr>
          <w:rFonts w:ascii="Times New Roman" w:eastAsia="宋体" w:hAnsi="Times New Roman" w:cs="Times New Roman"/>
          <w:sz w:val="24"/>
          <w:szCs w:val="24"/>
          <w:lang w:eastAsia="zh-CN"/>
        </w:rPr>
        <w:t>Vayena</w:t>
      </w:r>
      <w:proofErr w:type="spellEnd"/>
      <w:r w:rsidRPr="00A87BAD">
        <w:rPr>
          <w:rFonts w:ascii="Times New Roman" w:eastAsia="宋体" w:hAnsi="Times New Roman" w:cs="Times New Roman"/>
          <w:sz w:val="24"/>
          <w:szCs w:val="24"/>
          <w:lang w:eastAsia="zh-CN"/>
        </w:rPr>
        <w:t xml:space="preserve">, but there is a warning that the principles may not always be consistent when it comes to translating them into action by organisations. These concepts can be applied in the context of a bank. The question of whether AI should be used is beneficial; the question of whether any harm is being caused; the question of whether the result is fair or unfair; the question of why the output is produced. </w:t>
      </w:r>
      <w:r w:rsidRPr="00A87BAD">
        <w:rPr>
          <w:rFonts w:ascii="Times New Roman" w:eastAsia="宋体" w:hAnsi="Times New Roman" w:cs="Times New Roman"/>
          <w:sz w:val="24"/>
          <w:szCs w:val="24"/>
          <w:lang w:eastAsia="zh-CN"/>
        </w:rPr>
        <w:lastRenderedPageBreak/>
        <w:t>To a bank these are not just moral supplements. It is also directly related to the issues of conduct, accountability and protection of customers (</w:t>
      </w:r>
      <w:proofErr w:type="spellStart"/>
      <w:r w:rsidRPr="00A87BAD">
        <w:rPr>
          <w:rFonts w:ascii="Times New Roman" w:eastAsia="宋体" w:hAnsi="Times New Roman" w:cs="Times New Roman"/>
          <w:sz w:val="24"/>
          <w:szCs w:val="24"/>
          <w:lang w:eastAsia="zh-CN"/>
        </w:rPr>
        <w:t>Floridi</w:t>
      </w:r>
      <w:proofErr w:type="spellEnd"/>
      <w:r w:rsidRPr="00A87BAD">
        <w:rPr>
          <w:rFonts w:ascii="Times New Roman" w:eastAsia="宋体" w:hAnsi="Times New Roman" w:cs="Times New Roman"/>
          <w:sz w:val="24"/>
          <w:szCs w:val="24"/>
          <w:lang w:eastAsia="zh-CN"/>
        </w:rPr>
        <w:t xml:space="preserve"> and Cowls, 2019; Jobin, Ienca and </w:t>
      </w:r>
      <w:proofErr w:type="spellStart"/>
      <w:r w:rsidRPr="00A87BAD">
        <w:rPr>
          <w:rFonts w:ascii="Times New Roman" w:eastAsia="宋体" w:hAnsi="Times New Roman" w:cs="Times New Roman"/>
          <w:sz w:val="24"/>
          <w:szCs w:val="24"/>
          <w:lang w:eastAsia="zh-CN"/>
        </w:rPr>
        <w:t>Vayena</w:t>
      </w:r>
      <w:proofErr w:type="spellEnd"/>
      <w:r w:rsidRPr="00A87BAD">
        <w:rPr>
          <w:rFonts w:ascii="Times New Roman" w:eastAsia="宋体" w:hAnsi="Times New Roman" w:cs="Times New Roman"/>
          <w:sz w:val="24"/>
          <w:szCs w:val="24"/>
          <w:lang w:eastAsia="zh-CN"/>
        </w:rPr>
        <w:t>, 2019).</w:t>
      </w:r>
    </w:p>
    <w:p w14:paraId="5E9F4493" w14:textId="77777777" w:rsidR="00A87BAD" w:rsidRPr="00A87BAD" w:rsidRDefault="00A87BAD" w:rsidP="00A87BAD">
      <w:pPr>
        <w:spacing w:line="360" w:lineRule="auto"/>
        <w:jc w:val="both"/>
        <w:rPr>
          <w:rFonts w:ascii="Times New Roman" w:eastAsia="宋体" w:hAnsi="Times New Roman" w:cs="Times New Roman"/>
          <w:sz w:val="24"/>
          <w:szCs w:val="24"/>
          <w:lang w:eastAsia="zh-CN"/>
        </w:rPr>
      </w:pPr>
    </w:p>
    <w:p w14:paraId="44872DBC" w14:textId="48D8EED8" w:rsidR="00A87BAD" w:rsidRPr="00A87BAD" w:rsidRDefault="00A87BAD" w:rsidP="00A87BAD">
      <w:pPr>
        <w:spacing w:line="360" w:lineRule="auto"/>
        <w:jc w:val="both"/>
        <w:rPr>
          <w:rFonts w:ascii="Times New Roman" w:eastAsia="宋体" w:hAnsi="Times New Roman" w:cs="Times New Roman"/>
          <w:sz w:val="24"/>
          <w:szCs w:val="24"/>
          <w:lang w:eastAsia="zh-CN"/>
        </w:rPr>
      </w:pPr>
      <w:r w:rsidRPr="00A87BAD">
        <w:rPr>
          <w:rFonts w:ascii="Times New Roman" w:eastAsia="宋体" w:hAnsi="Times New Roman" w:cs="Times New Roman"/>
          <w:sz w:val="24"/>
          <w:szCs w:val="24"/>
          <w:lang w:eastAsia="zh-CN"/>
        </w:rPr>
        <w:t xml:space="preserve">The question of ethics is also made more acute by the </w:t>
      </w:r>
      <w:proofErr w:type="gramStart"/>
      <w:r w:rsidRPr="00A87BAD">
        <w:rPr>
          <w:rFonts w:ascii="Times New Roman" w:eastAsia="宋体" w:hAnsi="Times New Roman" w:cs="Times New Roman"/>
          <w:sz w:val="24"/>
          <w:szCs w:val="24"/>
          <w:lang w:eastAsia="zh-CN"/>
        </w:rPr>
        <w:t>manner in which</w:t>
      </w:r>
      <w:proofErr w:type="gramEnd"/>
      <w:r w:rsidRPr="00A87BAD">
        <w:rPr>
          <w:rFonts w:ascii="Times New Roman" w:eastAsia="宋体" w:hAnsi="Times New Roman" w:cs="Times New Roman"/>
          <w:sz w:val="24"/>
          <w:szCs w:val="24"/>
          <w:lang w:eastAsia="zh-CN"/>
        </w:rPr>
        <w:t xml:space="preserve"> damage can be caused to the AI. It is helpful that the framework developed by Suresh and Guttag demonstrates how a harm can occur at all stages of the machine-learning process, including data collection and selection of labels, development and deployment. This is necessary in the case of HSBC since it will not resolve the issue of bias or inaccuracy with the introduction of fairness test at the end of the process. The harm may already be present upstream in the form of the assembly of datasets, definition of categories, framing of decision problems etc. In a financial institution, this has clear implications on customer profiling, fraud scoring, triage of communication, or even internal credit-supporting applications (Suresh and Guttag, 2021).</w:t>
      </w:r>
    </w:p>
    <w:p w14:paraId="3AB7903A" w14:textId="4FAA06EF" w:rsidR="00A87BAD" w:rsidRPr="00A87BAD" w:rsidRDefault="00A87BAD" w:rsidP="00A87BAD">
      <w:pPr>
        <w:spacing w:line="360" w:lineRule="auto"/>
        <w:jc w:val="both"/>
        <w:rPr>
          <w:rFonts w:ascii="Times New Roman" w:eastAsia="宋体" w:hAnsi="Times New Roman" w:cs="Times New Roman"/>
          <w:sz w:val="24"/>
          <w:szCs w:val="24"/>
          <w:lang w:eastAsia="zh-CN"/>
        </w:rPr>
      </w:pPr>
      <w:r w:rsidRPr="00A87BAD">
        <w:rPr>
          <w:rFonts w:ascii="Times New Roman" w:eastAsia="宋体" w:hAnsi="Times New Roman" w:cs="Times New Roman"/>
          <w:sz w:val="24"/>
          <w:szCs w:val="24"/>
          <w:lang w:eastAsia="zh-CN"/>
        </w:rPr>
        <w:t xml:space="preserve">According to the public statements of HSBC itself, there is some level of awareness here. The bank claims that it has developed standards </w:t>
      </w:r>
      <w:proofErr w:type="gramStart"/>
      <w:r w:rsidRPr="00A87BAD">
        <w:rPr>
          <w:rFonts w:ascii="Times New Roman" w:eastAsia="宋体" w:hAnsi="Times New Roman" w:cs="Times New Roman"/>
          <w:sz w:val="24"/>
          <w:szCs w:val="24"/>
          <w:lang w:eastAsia="zh-CN"/>
        </w:rPr>
        <w:t>so as to</w:t>
      </w:r>
      <w:proofErr w:type="gramEnd"/>
      <w:r w:rsidRPr="00A87BAD">
        <w:rPr>
          <w:rFonts w:ascii="Times New Roman" w:eastAsia="宋体" w:hAnsi="Times New Roman" w:cs="Times New Roman"/>
          <w:sz w:val="24"/>
          <w:szCs w:val="24"/>
          <w:lang w:eastAsia="zh-CN"/>
        </w:rPr>
        <w:t xml:space="preserve"> make sure that it applies data and AI appropriately and in the interests of customers. It also stresses that human judgement, decision-making and accountability are still at the core. These are meaningful statements. However, the more important question is whether these promises are built into practices robust enough to resist organisational demands on speed, scale and efficiency. A bank may seem to be ethically responsible yet have excessive ambiguity regarding who approves which use case, what testing is required, what constitutes acceptable explainability or what occurs when outputs of a tool start drifting in practice. Ethical AI is thus less about rhetoric than institutional design (HSBC Holdings plc, 2024; HSBC Holdings plc, 2026b).</w:t>
      </w:r>
    </w:p>
    <w:p w14:paraId="339B9211" w14:textId="72A2191B" w:rsidR="00A87BAD" w:rsidRPr="00A87BAD" w:rsidRDefault="00A87BAD" w:rsidP="00A87BAD">
      <w:pPr>
        <w:spacing w:line="360" w:lineRule="auto"/>
        <w:jc w:val="both"/>
        <w:rPr>
          <w:rFonts w:ascii="Times New Roman" w:eastAsia="宋体" w:hAnsi="Times New Roman" w:cs="Times New Roman"/>
          <w:sz w:val="24"/>
          <w:szCs w:val="24"/>
          <w:lang w:eastAsia="zh-CN"/>
        </w:rPr>
      </w:pPr>
      <w:r w:rsidRPr="00A87BAD">
        <w:rPr>
          <w:rFonts w:ascii="Times New Roman" w:eastAsia="宋体" w:hAnsi="Times New Roman" w:cs="Times New Roman"/>
          <w:sz w:val="24"/>
          <w:szCs w:val="24"/>
          <w:lang w:eastAsia="zh-CN"/>
        </w:rPr>
        <w:t>This is why internal algorithmic auditing is important. Raji et al. argue that accountability is stronger when organisations create end-to-end audit processes across the AI lifecycle, producing evidence about design, testing, deployment and monitoring rather than relying on post-hoc explanations. For HSBC, this supports the move from ethical principles to assurance evidence. A high-impact AI system should have a documented purpose, accountable owner, testing record, fairness and explainability assessment, incident response procedure and review cycle. Without this audit trail, the bank may struggle to prove that senior management has exercised meaningful control (Raji et al., 2020).</w:t>
      </w:r>
    </w:p>
    <w:p w14:paraId="07517446" w14:textId="74CE11D9" w:rsidR="00A87BAD" w:rsidRPr="00A87BAD" w:rsidRDefault="00A87BAD" w:rsidP="00A87BAD">
      <w:pPr>
        <w:spacing w:line="360" w:lineRule="auto"/>
        <w:jc w:val="both"/>
        <w:rPr>
          <w:rFonts w:ascii="Times New Roman" w:eastAsia="宋体" w:hAnsi="Times New Roman" w:cs="Times New Roman"/>
          <w:sz w:val="24"/>
          <w:szCs w:val="24"/>
          <w:lang w:eastAsia="zh-CN"/>
        </w:rPr>
      </w:pPr>
      <w:r w:rsidRPr="00A87BAD">
        <w:rPr>
          <w:rFonts w:ascii="Times New Roman" w:eastAsia="宋体" w:hAnsi="Times New Roman" w:cs="Times New Roman"/>
          <w:sz w:val="24"/>
          <w:szCs w:val="24"/>
          <w:lang w:eastAsia="zh-CN"/>
        </w:rPr>
        <w:lastRenderedPageBreak/>
        <w:t xml:space="preserve">This is where the risk of the model will be in focus. SS1/23 of PRA notes that banks need to make a strategic decision on how to manage the issue of the model risk as a discipline, which is not to be left to quants and developers. That expression counts. It indicates that the issue of model risk cannot be simply an issue of technicality, it is left to quants or developers. It is a managerial issue which needs to be policy, governed, challenged and managed. The more dynamic, complicated, even generative AI systems become, the more significant this area of study is becoming rather than less. There are some applications of AI at HSBC that will be </w:t>
      </w:r>
      <w:r w:rsidRPr="00A87BAD">
        <w:rPr>
          <w:rFonts w:ascii="Times New Roman" w:eastAsia="宋体" w:hAnsi="Times New Roman" w:cs="Times New Roman"/>
          <w:sz w:val="24"/>
          <w:szCs w:val="24"/>
          <w:lang w:eastAsia="zh-CN"/>
        </w:rPr>
        <w:t>low risk</w:t>
      </w:r>
      <w:r w:rsidRPr="00A87BAD">
        <w:rPr>
          <w:rFonts w:ascii="Times New Roman" w:eastAsia="宋体" w:hAnsi="Times New Roman" w:cs="Times New Roman"/>
          <w:sz w:val="24"/>
          <w:szCs w:val="24"/>
          <w:lang w:eastAsia="zh-CN"/>
        </w:rPr>
        <w:t>, like coding support, or drafting. Others are more likely to influence regulated judgement, customer experience or control role. This requires differentiated governance in the bank. It would be either too simple or too complex to have one-size-fits-all process of approval of AI (Prudential Regulation Authority, 2023).</w:t>
      </w:r>
    </w:p>
    <w:p w14:paraId="5309064B" w14:textId="41802E1B" w:rsidR="00A87BAD" w:rsidRPr="00A87BAD" w:rsidRDefault="00A87BAD" w:rsidP="00A87BAD">
      <w:pPr>
        <w:spacing w:line="360" w:lineRule="auto"/>
        <w:jc w:val="both"/>
        <w:rPr>
          <w:rFonts w:ascii="Times New Roman" w:eastAsia="宋体" w:hAnsi="Times New Roman" w:cs="Times New Roman"/>
          <w:sz w:val="24"/>
          <w:szCs w:val="24"/>
          <w:lang w:eastAsia="zh-CN"/>
        </w:rPr>
      </w:pPr>
      <w:r w:rsidRPr="00A87BAD">
        <w:rPr>
          <w:rFonts w:ascii="Times New Roman" w:eastAsia="宋体" w:hAnsi="Times New Roman" w:cs="Times New Roman"/>
          <w:sz w:val="24"/>
          <w:szCs w:val="24"/>
          <w:lang w:eastAsia="zh-CN"/>
        </w:rPr>
        <w:t xml:space="preserve">This is </w:t>
      </w:r>
      <w:proofErr w:type="gramStart"/>
      <w:r w:rsidRPr="00A87BAD">
        <w:rPr>
          <w:rFonts w:ascii="Times New Roman" w:eastAsia="宋体" w:hAnsi="Times New Roman" w:cs="Times New Roman"/>
          <w:sz w:val="24"/>
          <w:szCs w:val="24"/>
          <w:lang w:eastAsia="zh-CN"/>
        </w:rPr>
        <w:t>because of the fact that</w:t>
      </w:r>
      <w:proofErr w:type="gramEnd"/>
      <w:r w:rsidRPr="00A87BAD">
        <w:rPr>
          <w:rFonts w:ascii="Times New Roman" w:eastAsia="宋体" w:hAnsi="Times New Roman" w:cs="Times New Roman"/>
          <w:sz w:val="24"/>
          <w:szCs w:val="24"/>
          <w:lang w:eastAsia="zh-CN"/>
        </w:rPr>
        <w:t xml:space="preserve"> it will be difficult to hold banks accountable when AI comes into play. The supervisory language in Hong Kong is clear on the subject and boards as well as top management are expected to make decisions and programmes based on GenAI and human-in-the-loop approach. This also results in a practical outcome in the UK, as the FCA has been principles-based: any firm needs to be able to state how it used the existing governance and accountability requirements in its AI-related activities. The model </w:t>
      </w:r>
      <w:r w:rsidRPr="00A87BAD">
        <w:rPr>
          <w:rFonts w:ascii="Times New Roman" w:eastAsia="宋体" w:hAnsi="Times New Roman" w:cs="Times New Roman"/>
          <w:sz w:val="24"/>
          <w:szCs w:val="24"/>
          <w:lang w:eastAsia="zh-CN"/>
        </w:rPr>
        <w:t>cannot</w:t>
      </w:r>
      <w:r w:rsidRPr="00A87BAD">
        <w:rPr>
          <w:rFonts w:ascii="Times New Roman" w:eastAsia="宋体" w:hAnsi="Times New Roman" w:cs="Times New Roman"/>
          <w:sz w:val="24"/>
          <w:szCs w:val="24"/>
          <w:lang w:eastAsia="zh-CN"/>
        </w:rPr>
        <w:t xml:space="preserve"> be the responsible party of HSBC. It is still an institutional and managerial responsibility. The consequences of this will </w:t>
      </w:r>
      <w:proofErr w:type="gramStart"/>
      <w:r w:rsidRPr="00A87BAD">
        <w:rPr>
          <w:rFonts w:ascii="Times New Roman" w:eastAsia="宋体" w:hAnsi="Times New Roman" w:cs="Times New Roman"/>
          <w:sz w:val="24"/>
          <w:szCs w:val="24"/>
          <w:lang w:eastAsia="zh-CN"/>
        </w:rPr>
        <w:t>have an effect on</w:t>
      </w:r>
      <w:proofErr w:type="gramEnd"/>
      <w:r w:rsidRPr="00A87BAD">
        <w:rPr>
          <w:rFonts w:ascii="Times New Roman" w:eastAsia="宋体" w:hAnsi="Times New Roman" w:cs="Times New Roman"/>
          <w:sz w:val="24"/>
          <w:szCs w:val="24"/>
          <w:lang w:eastAsia="zh-CN"/>
        </w:rPr>
        <w:t xml:space="preserve"> escalation routes, internal audit, reporting by board and local management (Hong Kong Monetary Authority, 2024; Financial Conduct Authority, 2026a).</w:t>
      </w:r>
    </w:p>
    <w:p w14:paraId="5984D1C5" w14:textId="214F61BD" w:rsidR="00A87BAD" w:rsidRPr="00A87BAD" w:rsidRDefault="00A87BAD" w:rsidP="00A87BAD">
      <w:pPr>
        <w:spacing w:line="360" w:lineRule="auto"/>
        <w:jc w:val="both"/>
        <w:rPr>
          <w:rFonts w:ascii="Times New Roman" w:eastAsia="宋体" w:hAnsi="Times New Roman" w:cs="Times New Roman"/>
          <w:sz w:val="24"/>
          <w:szCs w:val="24"/>
          <w:lang w:eastAsia="zh-CN"/>
        </w:rPr>
      </w:pPr>
      <w:r w:rsidRPr="00A87BAD">
        <w:rPr>
          <w:rFonts w:ascii="Times New Roman" w:eastAsia="宋体" w:hAnsi="Times New Roman" w:cs="Times New Roman"/>
          <w:sz w:val="24"/>
          <w:szCs w:val="24"/>
          <w:lang w:eastAsia="zh-CN"/>
        </w:rPr>
        <w:t xml:space="preserve">This is also the case of customer asymmetry. The customers are not going to reward a bank with AI, but they will be very sensitive to the fact that the results may be </w:t>
      </w:r>
      <w:r w:rsidRPr="00A87BAD">
        <w:rPr>
          <w:rFonts w:ascii="Times New Roman" w:eastAsia="宋体" w:hAnsi="Times New Roman" w:cs="Times New Roman"/>
          <w:sz w:val="24"/>
          <w:szCs w:val="24"/>
          <w:lang w:eastAsia="zh-CN"/>
        </w:rPr>
        <w:t>confusing,</w:t>
      </w:r>
      <w:r w:rsidRPr="00A87BAD">
        <w:rPr>
          <w:rFonts w:ascii="Times New Roman" w:eastAsia="宋体" w:hAnsi="Times New Roman" w:cs="Times New Roman"/>
          <w:sz w:val="24"/>
          <w:szCs w:val="24"/>
          <w:lang w:eastAsia="zh-CN"/>
        </w:rPr>
        <w:t xml:space="preserve"> and the bank may fail to provide the human decision-maker or have insufficient access to it. This can be a matter of conduct and trust because ethical breakdown can become an issue in a short period of time. High impact AI systems such as sensitive control system should be controlled by HSBC which has its purpose limited, testing, override by human, audit trails and challenge.</w:t>
      </w:r>
    </w:p>
    <w:p w14:paraId="06A1C614" w14:textId="77777777" w:rsidR="00A11F86" w:rsidRPr="00A87BAD" w:rsidRDefault="00000000" w:rsidP="00A87BAD">
      <w:pPr>
        <w:pStyle w:val="21"/>
        <w:spacing w:line="360" w:lineRule="auto"/>
        <w:jc w:val="both"/>
        <w:rPr>
          <w:rFonts w:ascii="Times New Roman" w:eastAsia="宋体" w:hAnsi="Times New Roman" w:cs="Times New Roman"/>
          <w:color w:val="000000" w:themeColor="text1"/>
          <w:sz w:val="24"/>
          <w:szCs w:val="24"/>
          <w:lang w:eastAsia="zh-CN"/>
        </w:rPr>
      </w:pPr>
      <w:bookmarkStart w:id="6" w:name="_Toc228019225"/>
      <w:r w:rsidRPr="00A87BAD">
        <w:rPr>
          <w:rFonts w:ascii="Times New Roman" w:hAnsi="Times New Roman" w:cs="Times New Roman"/>
          <w:color w:val="000000" w:themeColor="text1"/>
          <w:sz w:val="24"/>
          <w:szCs w:val="24"/>
        </w:rPr>
        <w:t>2.4 Regulatory compliance in the UK and Hong Kong</w:t>
      </w:r>
      <w:bookmarkEnd w:id="6"/>
    </w:p>
    <w:p w14:paraId="6C3BD4C3" w14:textId="07881D41" w:rsidR="00A87BAD" w:rsidRPr="00A87BAD" w:rsidRDefault="00A87BAD" w:rsidP="00A87BAD">
      <w:pPr>
        <w:spacing w:line="360" w:lineRule="auto"/>
        <w:jc w:val="both"/>
        <w:rPr>
          <w:rFonts w:ascii="Times New Roman" w:eastAsia="宋体" w:hAnsi="Times New Roman" w:cs="Times New Roman" w:hint="eastAsia"/>
          <w:sz w:val="24"/>
          <w:szCs w:val="24"/>
          <w:lang w:eastAsia="zh-CN"/>
        </w:rPr>
      </w:pPr>
      <w:r w:rsidRPr="00A87BAD">
        <w:rPr>
          <w:rFonts w:ascii="Times New Roman" w:eastAsia="宋体" w:hAnsi="Times New Roman" w:cs="Times New Roman"/>
          <w:sz w:val="24"/>
          <w:szCs w:val="24"/>
          <w:lang w:eastAsia="zh-CN"/>
        </w:rPr>
        <w:t xml:space="preserve">Both the UK and Hong Kong are dynamic AI-governance settings, but they impose different managerial costs on HSBC. The official direction of the government in the UK is still pro-innovation and principles based. In its white paper on AI regulation, a proportionate and future-proof framework was described instead of a rigid standalone AI code. Recently, this focus on encouraging responsible innovation under safeguards was continued by the proposal of the government AI Growth Lab. The </w:t>
      </w:r>
      <w:r w:rsidRPr="00A87BAD">
        <w:rPr>
          <w:rFonts w:ascii="Times New Roman" w:eastAsia="宋体" w:hAnsi="Times New Roman" w:cs="Times New Roman"/>
          <w:sz w:val="24"/>
          <w:szCs w:val="24"/>
          <w:lang w:eastAsia="zh-CN"/>
        </w:rPr>
        <w:lastRenderedPageBreak/>
        <w:t>FCA has made its stance particularly clear in financial services: it wants to facilitate safe and responsible adoption of AI, yet it does not intend to add additional AI-specific regulation. Rather, it anticipates companies to use current regulations smartly (Department for Science, Innovation and Technology, 2023; Department for Science, Innovation and Technology, 2025; Financial Conduct Authority, 2026a).</w:t>
      </w:r>
    </w:p>
    <w:p w14:paraId="104D2143" w14:textId="0BD706AE" w:rsidR="00A87BAD" w:rsidRPr="00A87BAD" w:rsidRDefault="00A87BAD" w:rsidP="00A87BAD">
      <w:pPr>
        <w:spacing w:line="360" w:lineRule="auto"/>
        <w:jc w:val="both"/>
        <w:rPr>
          <w:rFonts w:ascii="Times New Roman" w:eastAsia="宋体" w:hAnsi="Times New Roman" w:cs="Times New Roman" w:hint="eastAsia"/>
          <w:sz w:val="24"/>
          <w:szCs w:val="24"/>
          <w:lang w:eastAsia="zh-CN"/>
        </w:rPr>
      </w:pPr>
      <w:r w:rsidRPr="00A87BAD">
        <w:rPr>
          <w:rFonts w:ascii="Times New Roman" w:eastAsia="宋体" w:hAnsi="Times New Roman" w:cs="Times New Roman"/>
          <w:sz w:val="24"/>
          <w:szCs w:val="24"/>
          <w:lang w:eastAsia="zh-CN"/>
        </w:rPr>
        <w:t xml:space="preserve">It might seem that to the firms, this would be more convenient than a specific prescriptive system. It is </w:t>
      </w:r>
      <w:proofErr w:type="gramStart"/>
      <w:r w:rsidRPr="00A87BAD">
        <w:rPr>
          <w:rFonts w:ascii="Times New Roman" w:eastAsia="宋体" w:hAnsi="Times New Roman" w:cs="Times New Roman"/>
          <w:sz w:val="24"/>
          <w:szCs w:val="24"/>
          <w:lang w:eastAsia="zh-CN"/>
        </w:rPr>
        <w:t>actually shifting</w:t>
      </w:r>
      <w:proofErr w:type="gramEnd"/>
      <w:r w:rsidRPr="00A87BAD">
        <w:rPr>
          <w:rFonts w:ascii="Times New Roman" w:eastAsia="宋体" w:hAnsi="Times New Roman" w:cs="Times New Roman"/>
          <w:sz w:val="24"/>
          <w:szCs w:val="24"/>
          <w:lang w:eastAsia="zh-CN"/>
        </w:rPr>
        <w:t xml:space="preserve"> it further to them in terms of interpretation. HSBC should determine whether or not there is proportionate governance, what are the Consumer Duty requirements on AI-related interactions, how much documentation should be provided and what is required to be done with regard to human oversight in practice, as well as the way model-risk and data-protection responsibilities can be demonstrated within the organization. This has been further confirmed by the FCA long-term investigation into the issue of AI and retail financial services which indicates that the regulator will continue its efforts to understand the potential impact of AI on the companies, consumers, and markets. Thus, the regime of the UK is not necessarily as strict as other regimes but at least it does not allow the reduction of responsibility. It demands that the businesses must make and defend better decisions (Financial Conduct Authority, 2026a; Financial Conduct Authority, 2026b).</w:t>
      </w:r>
    </w:p>
    <w:p w14:paraId="32DB2DE5" w14:textId="5328004D" w:rsidR="00A87BAD" w:rsidRPr="00A87BAD" w:rsidRDefault="00A87BAD" w:rsidP="00A87BAD">
      <w:pPr>
        <w:spacing w:line="360" w:lineRule="auto"/>
        <w:jc w:val="both"/>
        <w:rPr>
          <w:rFonts w:ascii="Times New Roman" w:eastAsia="宋体" w:hAnsi="Times New Roman" w:cs="Times New Roman" w:hint="eastAsia"/>
          <w:sz w:val="24"/>
          <w:szCs w:val="24"/>
          <w:lang w:eastAsia="zh-CN"/>
        </w:rPr>
      </w:pPr>
      <w:r w:rsidRPr="00A87BAD">
        <w:rPr>
          <w:rFonts w:ascii="Times New Roman" w:eastAsia="宋体" w:hAnsi="Times New Roman" w:cs="Times New Roman"/>
          <w:sz w:val="24"/>
          <w:szCs w:val="24"/>
          <w:lang w:eastAsia="zh-CN"/>
        </w:rPr>
        <w:t xml:space="preserve">Hong Kong is not in the same style. It is also principles-based on the level of formal law, but supervisory expectations of banks have become more direct and operational. According to HKMA, guidance on GenAI in customer-facing applications seeks to maintain governance and accountability, fairness, transparency and disclosure, and data privacy and protection. It has further indicated that at the initial phase of deployment, human-in-the-loop will be used by banks, and customers should have an option to opt out and demand a human intervention on decisions produced by GenAI. These are not vague aspirations. They give specific anticipations that management </w:t>
      </w:r>
      <w:proofErr w:type="gramStart"/>
      <w:r w:rsidRPr="00A87BAD">
        <w:rPr>
          <w:rFonts w:ascii="Times New Roman" w:eastAsia="宋体" w:hAnsi="Times New Roman" w:cs="Times New Roman"/>
          <w:sz w:val="24"/>
          <w:szCs w:val="24"/>
          <w:lang w:eastAsia="zh-CN"/>
        </w:rPr>
        <w:t>has to</w:t>
      </w:r>
      <w:proofErr w:type="gramEnd"/>
      <w:r w:rsidRPr="00A87BAD">
        <w:rPr>
          <w:rFonts w:ascii="Times New Roman" w:eastAsia="宋体" w:hAnsi="Times New Roman" w:cs="Times New Roman"/>
          <w:sz w:val="24"/>
          <w:szCs w:val="24"/>
          <w:lang w:eastAsia="zh-CN"/>
        </w:rPr>
        <w:t xml:space="preserve"> convert into control processes (Hong Kong Monetary Authority, 2024).</w:t>
      </w:r>
    </w:p>
    <w:p w14:paraId="4CF337CD" w14:textId="40A06190" w:rsidR="00A87BAD" w:rsidRPr="00A87BAD" w:rsidRDefault="00A87BAD" w:rsidP="00A87BAD">
      <w:pPr>
        <w:spacing w:line="360" w:lineRule="auto"/>
        <w:jc w:val="both"/>
        <w:rPr>
          <w:rFonts w:ascii="Times New Roman" w:eastAsia="宋体" w:hAnsi="Times New Roman" w:cs="Times New Roman" w:hint="eastAsia"/>
          <w:sz w:val="24"/>
          <w:szCs w:val="24"/>
          <w:lang w:eastAsia="zh-CN"/>
        </w:rPr>
      </w:pPr>
      <w:r w:rsidRPr="00A87BAD">
        <w:rPr>
          <w:rFonts w:ascii="Times New Roman" w:eastAsia="宋体" w:hAnsi="Times New Roman" w:cs="Times New Roman"/>
          <w:sz w:val="24"/>
          <w:szCs w:val="24"/>
          <w:lang w:eastAsia="zh-CN"/>
        </w:rPr>
        <w:t xml:space="preserve">The Hong Kong ecosystem also has a more operational testing infrastructure. The </w:t>
      </w:r>
      <w:proofErr w:type="spellStart"/>
      <w:r w:rsidRPr="00A87BAD">
        <w:rPr>
          <w:rFonts w:ascii="Times New Roman" w:eastAsia="宋体" w:hAnsi="Times New Roman" w:cs="Times New Roman"/>
          <w:sz w:val="24"/>
          <w:szCs w:val="24"/>
          <w:lang w:eastAsia="zh-CN"/>
        </w:rPr>
        <w:t>GenA.I</w:t>
      </w:r>
      <w:proofErr w:type="spellEnd"/>
      <w:r w:rsidRPr="00A87BAD">
        <w:rPr>
          <w:rFonts w:ascii="Times New Roman" w:eastAsia="宋体" w:hAnsi="Times New Roman" w:cs="Times New Roman"/>
          <w:sz w:val="24"/>
          <w:szCs w:val="24"/>
          <w:lang w:eastAsia="zh-CN"/>
        </w:rPr>
        <w:t xml:space="preserve">. Sandbox and then Sandbox++ offers an experimental environment with risk management and feedback by supervisors in financial sectors. This is helpful as it demonstrates that the approach of Hong Kong is not merely restrictive. It promotes innovation, though within growing governance expectations which are becoming more apparent. In the case of HSBC, local supervisory involvement in Hong Kong might uncover weaknesses in governance design sooner than under a less strict setting. A bank that has failed to consider human override, disclosure, customer recourse or data processing may find it </w:t>
      </w:r>
      <w:r w:rsidRPr="00A87BAD">
        <w:rPr>
          <w:rFonts w:ascii="Times New Roman" w:eastAsia="宋体" w:hAnsi="Times New Roman" w:cs="Times New Roman"/>
          <w:sz w:val="24"/>
          <w:szCs w:val="24"/>
          <w:lang w:eastAsia="zh-CN"/>
        </w:rPr>
        <w:lastRenderedPageBreak/>
        <w:t>difficult to demonstrate that it is employing GenAI responsibly in customer-facing applications (Hong Kong Monetary Authority, 2025; Hong Kong Monetary Authority, 2026).</w:t>
      </w:r>
    </w:p>
    <w:p w14:paraId="7723F0F8" w14:textId="63CBB81D" w:rsidR="00A87BAD" w:rsidRPr="00A87BAD" w:rsidRDefault="00A87BAD" w:rsidP="00A87BAD">
      <w:pPr>
        <w:spacing w:line="360" w:lineRule="auto"/>
        <w:jc w:val="both"/>
        <w:rPr>
          <w:rFonts w:ascii="Times New Roman" w:eastAsia="宋体" w:hAnsi="Times New Roman" w:cs="Times New Roman" w:hint="eastAsia"/>
          <w:sz w:val="24"/>
          <w:szCs w:val="24"/>
          <w:lang w:eastAsia="zh-CN"/>
        </w:rPr>
      </w:pPr>
      <w:r w:rsidRPr="00A87BAD">
        <w:rPr>
          <w:rFonts w:ascii="Times New Roman" w:eastAsia="宋体" w:hAnsi="Times New Roman" w:cs="Times New Roman"/>
          <w:sz w:val="24"/>
          <w:szCs w:val="24"/>
          <w:lang w:eastAsia="zh-CN"/>
        </w:rPr>
        <w:t xml:space="preserve">This is further complicated by the fact that the PCPD </w:t>
      </w:r>
      <w:proofErr w:type="gramStart"/>
      <w:r w:rsidRPr="00A87BAD">
        <w:rPr>
          <w:rFonts w:ascii="Times New Roman" w:eastAsia="宋体" w:hAnsi="Times New Roman" w:cs="Times New Roman"/>
          <w:sz w:val="24"/>
          <w:szCs w:val="24"/>
          <w:lang w:eastAsia="zh-CN"/>
        </w:rPr>
        <w:t>has to</w:t>
      </w:r>
      <w:proofErr w:type="gramEnd"/>
      <w:r w:rsidRPr="00A87BAD">
        <w:rPr>
          <w:rFonts w:ascii="Times New Roman" w:eastAsia="宋体" w:hAnsi="Times New Roman" w:cs="Times New Roman"/>
          <w:sz w:val="24"/>
          <w:szCs w:val="24"/>
          <w:lang w:eastAsia="zh-CN"/>
        </w:rPr>
        <w:t xml:space="preserve"> play a part. In other words, when it comes to AI strategy and purchase, training, risk management, and employee use, the HKMA would have been more of an authority than a guide. It implies that in Hong Kong, the bank will not be required to follow the rules set by the banking regulator. The financial control expectations should be incorporated with the privacy control expectations as part of the overall internal control system. That is more than just a requirement to modify the terms and conditions of customers or test the model (Office of the Privacy Commissioner for Personal Data, 2024; Office of the Privacy Commissioner for Personal Data, 2025).</w:t>
      </w:r>
    </w:p>
    <w:p w14:paraId="126DA1ED" w14:textId="19631278" w:rsidR="00A87BAD" w:rsidRPr="00A87BAD" w:rsidRDefault="00A87BAD" w:rsidP="00A87BAD">
      <w:pPr>
        <w:spacing w:line="360" w:lineRule="auto"/>
        <w:jc w:val="both"/>
        <w:rPr>
          <w:rFonts w:ascii="Times New Roman" w:eastAsia="宋体" w:hAnsi="Times New Roman" w:cs="Times New Roman" w:hint="eastAsia"/>
          <w:sz w:val="24"/>
          <w:szCs w:val="24"/>
          <w:lang w:eastAsia="zh-CN"/>
        </w:rPr>
      </w:pPr>
      <w:r w:rsidRPr="00A87BAD">
        <w:rPr>
          <w:rFonts w:ascii="Times New Roman" w:eastAsia="宋体" w:hAnsi="Times New Roman" w:cs="Times New Roman"/>
          <w:sz w:val="24"/>
          <w:szCs w:val="24"/>
          <w:lang w:eastAsia="zh-CN"/>
        </w:rPr>
        <w:t>The conclusion that can be drawn when the two jurisdictions are juxtaposed is of particular interest. The UK makes it easier to have flexibility and imposes a lot of pressure on the internal logic and proof. Hong Kong has developed more visible constraints in the application of banking, particularly in those involving the customers. Thus, HSBC will not be able to reach the lowest common denominator between both. It would not be a future-proof and strategically weak. The best way is to create an international standard which is as good as the more stringent practical requirement in any market and then permit local specifics to differ. In other words, the bank requires worldwide values but also group rules that are so powerful that they can overcome either of the two equally dangerous regulatory logics (Financial Conduct Authority, 2026a; Hong Kong Monetary Authority, 2024).</w:t>
      </w:r>
    </w:p>
    <w:p w14:paraId="7BC91EE0" w14:textId="12E9CDD4" w:rsidR="00A87BAD" w:rsidRPr="00A87BAD" w:rsidRDefault="00A87BAD" w:rsidP="00A87BAD">
      <w:pPr>
        <w:spacing w:line="360" w:lineRule="auto"/>
        <w:jc w:val="both"/>
        <w:rPr>
          <w:rFonts w:ascii="Times New Roman" w:eastAsia="宋体" w:hAnsi="Times New Roman" w:cs="Times New Roman"/>
          <w:sz w:val="24"/>
          <w:szCs w:val="24"/>
          <w:lang w:eastAsia="zh-CN"/>
        </w:rPr>
      </w:pPr>
      <w:r w:rsidRPr="00A87BAD">
        <w:rPr>
          <w:rFonts w:ascii="Times New Roman" w:eastAsia="宋体" w:hAnsi="Times New Roman" w:cs="Times New Roman"/>
          <w:sz w:val="24"/>
          <w:szCs w:val="24"/>
          <w:lang w:eastAsia="zh-CN"/>
        </w:rPr>
        <w:t>This comparison explains also why AI governance is getting tougher for multinational firms, regardless of the lack of unique comprehensive AI legislation. Companies need to align sector regulators, data regulators, prudential expectations and customer protection logic under uncertainty. HSBCs challenge is thus a wider international business issue: keeping control consistency whilst regulatory approaches diverge.</w:t>
      </w:r>
    </w:p>
    <w:p w14:paraId="1B8597A6" w14:textId="77777777" w:rsidR="00A11F86" w:rsidRPr="00A87BAD" w:rsidRDefault="00000000" w:rsidP="00A87BAD">
      <w:pPr>
        <w:pStyle w:val="21"/>
        <w:spacing w:line="360" w:lineRule="auto"/>
        <w:jc w:val="both"/>
        <w:rPr>
          <w:rFonts w:ascii="Times New Roman" w:eastAsia="宋体" w:hAnsi="Times New Roman" w:cs="Times New Roman"/>
          <w:color w:val="000000" w:themeColor="text1"/>
          <w:sz w:val="24"/>
          <w:szCs w:val="24"/>
          <w:lang w:eastAsia="zh-CN"/>
        </w:rPr>
      </w:pPr>
      <w:bookmarkStart w:id="7" w:name="_Toc228019226"/>
      <w:r w:rsidRPr="00A87BAD">
        <w:rPr>
          <w:rFonts w:ascii="Times New Roman" w:hAnsi="Times New Roman" w:cs="Times New Roman"/>
          <w:color w:val="000000" w:themeColor="text1"/>
          <w:sz w:val="24"/>
          <w:szCs w:val="24"/>
        </w:rPr>
        <w:t>2.5 Customer trust, conduct and reputation</w:t>
      </w:r>
      <w:bookmarkEnd w:id="7"/>
    </w:p>
    <w:p w14:paraId="3C097B4C" w14:textId="30190DD1" w:rsidR="00A87BAD" w:rsidRPr="00A87BAD" w:rsidRDefault="00A87BAD" w:rsidP="00A87BAD">
      <w:pPr>
        <w:spacing w:line="360" w:lineRule="auto"/>
        <w:jc w:val="both"/>
        <w:rPr>
          <w:rFonts w:ascii="Times New Roman" w:eastAsia="宋体" w:hAnsi="Times New Roman" w:cs="Times New Roman" w:hint="eastAsia"/>
          <w:sz w:val="24"/>
          <w:szCs w:val="24"/>
          <w:lang w:eastAsia="zh-CN"/>
        </w:rPr>
      </w:pPr>
      <w:r w:rsidRPr="00A87BAD">
        <w:rPr>
          <w:rFonts w:ascii="Times New Roman" w:eastAsia="宋体" w:hAnsi="Times New Roman" w:cs="Times New Roman"/>
          <w:sz w:val="24"/>
          <w:szCs w:val="24"/>
          <w:lang w:eastAsia="zh-CN"/>
        </w:rPr>
        <w:t xml:space="preserve">Customer trust is not a soft issue in banking. It is a strategic asset and a risk variable. The classic model of Mayer, Davis and </w:t>
      </w:r>
      <w:proofErr w:type="spellStart"/>
      <w:r w:rsidRPr="00A87BAD">
        <w:rPr>
          <w:rFonts w:ascii="Times New Roman" w:eastAsia="宋体" w:hAnsi="Times New Roman" w:cs="Times New Roman"/>
          <w:sz w:val="24"/>
          <w:szCs w:val="24"/>
          <w:lang w:eastAsia="zh-CN"/>
        </w:rPr>
        <w:t>Schoorman</w:t>
      </w:r>
      <w:proofErr w:type="spellEnd"/>
      <w:r w:rsidRPr="00A87BAD">
        <w:rPr>
          <w:rFonts w:ascii="Times New Roman" w:eastAsia="宋体" w:hAnsi="Times New Roman" w:cs="Times New Roman"/>
          <w:sz w:val="24"/>
          <w:szCs w:val="24"/>
          <w:lang w:eastAsia="zh-CN"/>
        </w:rPr>
        <w:t xml:space="preserve"> can still be used as it implies that the perception of ability, benevolence and integrity are required to build trust. AI will enhance the impression of ability by rendering service quicker, more accessible and more reactive. It may make a bank look technically competent. However, the same technology has the potential to destroy benevolence and integrity when customers believe they are being unfairly profiled, insufficiently informed or are locked within </w:t>
      </w:r>
      <w:r w:rsidRPr="00A87BAD">
        <w:rPr>
          <w:rFonts w:ascii="Times New Roman" w:eastAsia="宋体" w:hAnsi="Times New Roman" w:cs="Times New Roman"/>
          <w:sz w:val="24"/>
          <w:szCs w:val="24"/>
          <w:lang w:eastAsia="zh-CN"/>
        </w:rPr>
        <w:lastRenderedPageBreak/>
        <w:t>automated systems without any significant remedy. That tension is important in an industry where retention, complaint behaviour and brand legitimacy revolve around trust (Mayer, Davis and Schoorman, 1995).</w:t>
      </w:r>
    </w:p>
    <w:p w14:paraId="75BBF81E" w14:textId="6A71B69D" w:rsidR="00A87BAD" w:rsidRPr="00A87BAD" w:rsidRDefault="00A87BAD" w:rsidP="00A87BAD">
      <w:pPr>
        <w:spacing w:line="360" w:lineRule="auto"/>
        <w:jc w:val="both"/>
        <w:rPr>
          <w:rFonts w:ascii="Times New Roman" w:eastAsia="宋体" w:hAnsi="Times New Roman" w:cs="Times New Roman"/>
          <w:sz w:val="24"/>
          <w:szCs w:val="24"/>
          <w:lang w:eastAsia="zh-CN"/>
        </w:rPr>
      </w:pPr>
      <w:r w:rsidRPr="00A87BAD">
        <w:rPr>
          <w:rFonts w:ascii="Times New Roman" w:eastAsia="宋体" w:hAnsi="Times New Roman" w:cs="Times New Roman"/>
          <w:sz w:val="24"/>
          <w:szCs w:val="24"/>
          <w:lang w:eastAsia="zh-CN"/>
        </w:rPr>
        <w:t>This issue is sensitive to the material of HSBC itself. Its AI pages indicate that there are standards in the bank which ensure that data and AI are applied in an appropriate manner and in the interests of customers. It has ethical principles that focus on reasonableness, transparency and accountability. This language is important as it implicitly acknowledges that trust does not only rely on technological performance. It also relies on whether the customer feels that the institution is doing what is right and will be held accountable on the results. That statement is even more relevant in high-friction situations like complaints handling, fraud alerts, information triage or communications that determine whether a customer is aware of what is happening to him/her (HSBC Holdings plc, 2024; HSBC Holdings plc, 2026b).</w:t>
      </w:r>
    </w:p>
    <w:p w14:paraId="459DAD18" w14:textId="79303AAC" w:rsidR="00A87BAD" w:rsidRPr="00A87BAD" w:rsidRDefault="00A87BAD" w:rsidP="00A87BAD">
      <w:pPr>
        <w:spacing w:line="360" w:lineRule="auto"/>
        <w:jc w:val="both"/>
        <w:rPr>
          <w:rFonts w:ascii="Times New Roman" w:eastAsia="宋体" w:hAnsi="Times New Roman" w:cs="Times New Roman"/>
          <w:sz w:val="24"/>
          <w:szCs w:val="24"/>
          <w:lang w:eastAsia="zh-CN"/>
        </w:rPr>
      </w:pPr>
      <w:r w:rsidRPr="00A87BAD">
        <w:rPr>
          <w:rFonts w:ascii="Times New Roman" w:eastAsia="宋体" w:hAnsi="Times New Roman" w:cs="Times New Roman"/>
          <w:sz w:val="24"/>
          <w:szCs w:val="24"/>
          <w:lang w:eastAsia="zh-CN"/>
        </w:rPr>
        <w:t xml:space="preserve">Regulators are also homing in on the same issue. The FCAs thematic review of AI and retail financial services considers how AI could transform the consumer experience, business models and market structure over the long term. Guidance from Hong Kong on customer-facing GenAI is even more direct: customers should be able to opt out and demand human involvement. Taken together, these approaches expose a growing consensus amongst regulators that firms must not deploy AI in a way that undermines meaningful consumer agency, accountability or fairness. For HSBC, this means disclosure is not </w:t>
      </w:r>
      <w:r w:rsidRPr="00A87BAD">
        <w:rPr>
          <w:rFonts w:ascii="Times New Roman" w:eastAsia="宋体" w:hAnsi="Times New Roman" w:cs="Times New Roman"/>
          <w:sz w:val="24"/>
          <w:szCs w:val="24"/>
          <w:lang w:eastAsia="zh-CN"/>
        </w:rPr>
        <w:t>enough the</w:t>
      </w:r>
      <w:r w:rsidRPr="00A87BAD">
        <w:rPr>
          <w:rFonts w:ascii="Times New Roman" w:eastAsia="宋体" w:hAnsi="Times New Roman" w:cs="Times New Roman"/>
          <w:sz w:val="24"/>
          <w:szCs w:val="24"/>
          <w:lang w:eastAsia="zh-CN"/>
        </w:rPr>
        <w:t xml:space="preserve"> bank needs assurance that AI-powered processes still deliver fair, explainable and governable customer journeys (Financial Conduct Authority, 2026b; Hong Kong Monetary Authority, 2024).</w:t>
      </w:r>
    </w:p>
    <w:p w14:paraId="02C1BED4" w14:textId="3F737F27" w:rsidR="00A87BAD" w:rsidRPr="00A87BAD" w:rsidRDefault="00A87BAD" w:rsidP="00A87BAD">
      <w:pPr>
        <w:spacing w:line="360" w:lineRule="auto"/>
        <w:jc w:val="both"/>
        <w:rPr>
          <w:rFonts w:ascii="Times New Roman" w:eastAsia="宋体" w:hAnsi="Times New Roman" w:cs="Times New Roman"/>
          <w:sz w:val="24"/>
          <w:szCs w:val="24"/>
          <w:lang w:eastAsia="zh-CN"/>
        </w:rPr>
      </w:pPr>
      <w:r w:rsidRPr="00A87BAD">
        <w:rPr>
          <w:rFonts w:ascii="Times New Roman" w:eastAsia="宋体" w:hAnsi="Times New Roman" w:cs="Times New Roman"/>
          <w:sz w:val="24"/>
          <w:szCs w:val="24"/>
          <w:lang w:eastAsia="zh-CN"/>
        </w:rPr>
        <w:t xml:space="preserve">This is very relevant in </w:t>
      </w:r>
      <w:r w:rsidRPr="00A87BAD">
        <w:rPr>
          <w:rFonts w:ascii="Times New Roman" w:eastAsia="宋体" w:hAnsi="Times New Roman" w:cs="Times New Roman"/>
          <w:sz w:val="24"/>
          <w:szCs w:val="24"/>
          <w:lang w:eastAsia="zh-CN"/>
        </w:rPr>
        <w:t>that;</w:t>
      </w:r>
      <w:r w:rsidRPr="00A87BAD">
        <w:rPr>
          <w:rFonts w:ascii="Times New Roman" w:eastAsia="宋体" w:hAnsi="Times New Roman" w:cs="Times New Roman"/>
          <w:sz w:val="24"/>
          <w:szCs w:val="24"/>
          <w:lang w:eastAsia="zh-CN"/>
        </w:rPr>
        <w:t xml:space="preserve"> the failure of trust will be very apparent. The customers will not reward a bank </w:t>
      </w:r>
      <w:proofErr w:type="gramStart"/>
      <w:r w:rsidRPr="00A87BAD">
        <w:rPr>
          <w:rFonts w:ascii="Times New Roman" w:eastAsia="宋体" w:hAnsi="Times New Roman" w:cs="Times New Roman"/>
          <w:sz w:val="24"/>
          <w:szCs w:val="24"/>
          <w:lang w:eastAsia="zh-CN"/>
        </w:rPr>
        <w:t>to a large extent</w:t>
      </w:r>
      <w:proofErr w:type="gramEnd"/>
      <w:r w:rsidRPr="00A87BAD">
        <w:rPr>
          <w:rFonts w:ascii="Times New Roman" w:eastAsia="宋体" w:hAnsi="Times New Roman" w:cs="Times New Roman"/>
          <w:sz w:val="24"/>
          <w:szCs w:val="24"/>
          <w:lang w:eastAsia="zh-CN"/>
        </w:rPr>
        <w:t xml:space="preserve"> by the fact that it claims to have AI. However, they would be quite certain to respond and react to any situation where an AI process seems to be unhelpful, unreasonable or </w:t>
      </w:r>
      <w:proofErr w:type="spellStart"/>
      <w:r w:rsidRPr="00A87BAD">
        <w:rPr>
          <w:rFonts w:ascii="Times New Roman" w:eastAsia="宋体" w:hAnsi="Times New Roman" w:cs="Times New Roman"/>
          <w:sz w:val="24"/>
          <w:szCs w:val="24"/>
          <w:lang w:eastAsia="zh-CN"/>
        </w:rPr>
        <w:t>unchallengable</w:t>
      </w:r>
      <w:proofErr w:type="spellEnd"/>
      <w:r w:rsidRPr="00A87BAD">
        <w:rPr>
          <w:rFonts w:ascii="Times New Roman" w:eastAsia="宋体" w:hAnsi="Times New Roman" w:cs="Times New Roman"/>
          <w:sz w:val="24"/>
          <w:szCs w:val="24"/>
          <w:lang w:eastAsia="zh-CN"/>
        </w:rPr>
        <w:t>. It may be explained as hallucinated, summarized poorly, automated interaction that was confusing or escalation failure which could easily turn into a problem of conduct. In the financial services, this action is swift since the clients tend to perceive the banking institutions not based on their management structures but during the periods of service conflict. Human fallback quality becomes a governance concern and not only a service design one.</w:t>
      </w:r>
    </w:p>
    <w:p w14:paraId="07F76AE9" w14:textId="67FE7369" w:rsidR="00A87BAD" w:rsidRPr="00A87BAD" w:rsidRDefault="00A87BAD" w:rsidP="00A87BAD">
      <w:pPr>
        <w:spacing w:line="360" w:lineRule="auto"/>
        <w:jc w:val="both"/>
        <w:rPr>
          <w:rFonts w:ascii="Times New Roman" w:eastAsia="宋体" w:hAnsi="Times New Roman" w:cs="Times New Roman"/>
          <w:sz w:val="24"/>
          <w:szCs w:val="24"/>
          <w:lang w:eastAsia="zh-CN"/>
        </w:rPr>
      </w:pPr>
      <w:r w:rsidRPr="00A87BAD">
        <w:rPr>
          <w:rFonts w:ascii="Times New Roman" w:eastAsia="宋体" w:hAnsi="Times New Roman" w:cs="Times New Roman"/>
          <w:sz w:val="24"/>
          <w:szCs w:val="24"/>
          <w:lang w:eastAsia="zh-CN"/>
        </w:rPr>
        <w:t xml:space="preserve">The other reason why customer trust is important is the connection to vulnerable customers. AI may be marketed as a method of enhancing personalisation, but it may also provide a more challenging environment to the customers that require more explanation, reassurance or flexibility. In areas where </w:t>
      </w:r>
      <w:r w:rsidRPr="00A87BAD">
        <w:rPr>
          <w:rFonts w:ascii="Times New Roman" w:eastAsia="宋体" w:hAnsi="Times New Roman" w:cs="Times New Roman"/>
          <w:sz w:val="24"/>
          <w:szCs w:val="24"/>
          <w:lang w:eastAsia="zh-CN"/>
        </w:rPr>
        <w:lastRenderedPageBreak/>
        <w:t>AI alters complaint routing, fraud interventions or information delivery, the bank should not only ask whether average efficiency has improved, but also whether outcomes have deteriorated among those with lower digital confidence or higher needs complexity. An approach to risk-management that is based on average performance would thus be too shallow. HSBC requires metrics of trust which reflect the fact that AI-assisted processes are still fair and available when under pressure.</w:t>
      </w:r>
    </w:p>
    <w:p w14:paraId="553310E5" w14:textId="39CD2391" w:rsidR="00A87BAD" w:rsidRPr="00A87BAD" w:rsidRDefault="00A87BAD" w:rsidP="00A87BAD">
      <w:pPr>
        <w:spacing w:line="360" w:lineRule="auto"/>
        <w:jc w:val="both"/>
        <w:rPr>
          <w:rFonts w:ascii="Times New Roman" w:eastAsia="宋体" w:hAnsi="Times New Roman" w:cs="Times New Roman"/>
          <w:sz w:val="24"/>
          <w:szCs w:val="24"/>
          <w:lang w:eastAsia="zh-CN"/>
        </w:rPr>
      </w:pPr>
      <w:r w:rsidRPr="00A87BAD">
        <w:rPr>
          <w:rFonts w:ascii="Times New Roman" w:eastAsia="宋体" w:hAnsi="Times New Roman" w:cs="Times New Roman"/>
          <w:sz w:val="24"/>
          <w:szCs w:val="24"/>
          <w:lang w:eastAsia="zh-CN"/>
        </w:rPr>
        <w:t>This is the reputation problem. Even a bank that may be on paper compliant, can lose its credibility as it has been found to make interaction with AI seem less personal and more mechanical. The complaints, override requests, vulnerable-customer outcomes, quality of escalation and service recovery should not only be considered an aspect of customer-service data but also signals of AI governance.</w:t>
      </w:r>
    </w:p>
    <w:p w14:paraId="459F37E1" w14:textId="77777777" w:rsidR="00A11F86" w:rsidRPr="00A87BAD" w:rsidRDefault="00000000" w:rsidP="00A87BAD">
      <w:pPr>
        <w:pStyle w:val="21"/>
        <w:spacing w:line="360" w:lineRule="auto"/>
        <w:jc w:val="both"/>
        <w:rPr>
          <w:rFonts w:ascii="Times New Roman" w:eastAsia="宋体" w:hAnsi="Times New Roman" w:cs="Times New Roman"/>
          <w:color w:val="000000" w:themeColor="text1"/>
          <w:sz w:val="24"/>
          <w:szCs w:val="24"/>
          <w:lang w:eastAsia="zh-CN"/>
        </w:rPr>
      </w:pPr>
      <w:bookmarkStart w:id="8" w:name="_Toc228019227"/>
      <w:r w:rsidRPr="00A87BAD">
        <w:rPr>
          <w:rFonts w:ascii="Times New Roman" w:hAnsi="Times New Roman" w:cs="Times New Roman"/>
          <w:color w:val="000000" w:themeColor="text1"/>
          <w:sz w:val="24"/>
          <w:szCs w:val="24"/>
        </w:rPr>
        <w:t>2.6 Macroeconomic and international business context</w:t>
      </w:r>
      <w:bookmarkEnd w:id="8"/>
    </w:p>
    <w:p w14:paraId="4289D00C" w14:textId="7F1C0E3F" w:rsidR="00A87BAD" w:rsidRPr="00A87BAD" w:rsidRDefault="00A87BAD" w:rsidP="00A87BAD">
      <w:pPr>
        <w:spacing w:line="360" w:lineRule="auto"/>
        <w:jc w:val="both"/>
        <w:rPr>
          <w:rFonts w:ascii="Times New Roman" w:eastAsia="宋体" w:hAnsi="Times New Roman" w:cs="Times New Roman"/>
          <w:sz w:val="24"/>
          <w:szCs w:val="24"/>
          <w:lang w:eastAsia="zh-CN"/>
        </w:rPr>
      </w:pPr>
      <w:r w:rsidRPr="00A87BAD">
        <w:rPr>
          <w:rFonts w:ascii="Times New Roman" w:eastAsia="宋体" w:hAnsi="Times New Roman" w:cs="Times New Roman"/>
          <w:sz w:val="24"/>
          <w:szCs w:val="24"/>
          <w:lang w:eastAsia="zh-CN"/>
        </w:rPr>
        <w:t>HSBC is more likely to adopt AI due to the economic environment and its potential risks. The recovery in the UK was not a clear cut, but it has been limited by external forces and the low level of fiscal space (IMF 2025 Article IV consultation). The Hong Kong Budget 2026-27 had an average real growth rate of about 3 percent in the years 2027-2030 and reflected the situation where the country will have both opportunities to grow as well as structural and financial constraints. Such circumstances make the banks more willing to invest in the use of AI to enhance productivity, efficiency and responsiveness. Nevertheless, they are also making the cost of visible failure in governance higher since the banks are required to be innovative and resilient with the confidence of their customers even under the uncertain conditions (International Monetary Fund, 2025; Government of the Hong Kong Special Administrative Region, 2026).</w:t>
      </w:r>
    </w:p>
    <w:p w14:paraId="4A2804AE" w14:textId="6C885E0E" w:rsidR="00A87BAD" w:rsidRPr="00A87BAD" w:rsidRDefault="00A87BAD" w:rsidP="00A87BAD">
      <w:pPr>
        <w:spacing w:line="360" w:lineRule="auto"/>
        <w:jc w:val="both"/>
        <w:rPr>
          <w:rFonts w:ascii="Times New Roman" w:eastAsia="宋体" w:hAnsi="Times New Roman" w:cs="Times New Roman"/>
          <w:sz w:val="24"/>
          <w:szCs w:val="24"/>
          <w:lang w:eastAsia="zh-CN"/>
        </w:rPr>
      </w:pPr>
      <w:r w:rsidRPr="00A87BAD">
        <w:rPr>
          <w:rFonts w:ascii="Times New Roman" w:eastAsia="宋体" w:hAnsi="Times New Roman" w:cs="Times New Roman"/>
          <w:sz w:val="24"/>
          <w:szCs w:val="24"/>
          <w:lang w:eastAsia="zh-CN"/>
        </w:rPr>
        <w:t xml:space="preserve">It is more evident to read the </w:t>
      </w:r>
      <w:r w:rsidRPr="00A87BAD">
        <w:rPr>
          <w:rFonts w:ascii="Times New Roman" w:eastAsia="宋体" w:hAnsi="Times New Roman" w:cs="Times New Roman"/>
          <w:sz w:val="24"/>
          <w:szCs w:val="24"/>
          <w:lang w:eastAsia="zh-CN"/>
        </w:rPr>
        <w:t>PESTLE,</w:t>
      </w:r>
      <w:r w:rsidRPr="00A87BAD">
        <w:rPr>
          <w:rFonts w:ascii="Times New Roman" w:eastAsia="宋体" w:hAnsi="Times New Roman" w:cs="Times New Roman"/>
          <w:sz w:val="24"/>
          <w:szCs w:val="24"/>
          <w:lang w:eastAsia="zh-CN"/>
        </w:rPr>
        <w:t xml:space="preserve"> and this will explain why the AI risk of HSBC is not a matter of technology, but an international business problem. In terms of politics, HSBC is in an environment where innovation is desired by regulators and governments </w:t>
      </w:r>
      <w:proofErr w:type="gramStart"/>
      <w:r w:rsidRPr="00A87BAD">
        <w:rPr>
          <w:rFonts w:ascii="Times New Roman" w:eastAsia="宋体" w:hAnsi="Times New Roman" w:cs="Times New Roman"/>
          <w:sz w:val="24"/>
          <w:szCs w:val="24"/>
          <w:lang w:eastAsia="zh-CN"/>
        </w:rPr>
        <w:t>as long as</w:t>
      </w:r>
      <w:proofErr w:type="gramEnd"/>
      <w:r w:rsidRPr="00A87BAD">
        <w:rPr>
          <w:rFonts w:ascii="Times New Roman" w:eastAsia="宋体" w:hAnsi="Times New Roman" w:cs="Times New Roman"/>
          <w:sz w:val="24"/>
          <w:szCs w:val="24"/>
          <w:lang w:eastAsia="zh-CN"/>
        </w:rPr>
        <w:t xml:space="preserve"> it can be done without affecting the stability of finances and the consumer protection. The UK has started its economic recovery although it is still limited due to low productivity and uncertainty in trade with other countries and Hong Kong has been working on medium-term growth yet is also facing the pressure of fiscal and structural factors; in both countries AI has become the tool of choice to increase productivity but at the same time cost of failure to govern. On the social level, consumers are demanding services that are quick, personalized and always accessible, however, they do not want to be treated unfairly, have no way to appeal or make decisions. There is </w:t>
      </w:r>
      <w:proofErr w:type="gramStart"/>
      <w:r w:rsidRPr="00A87BAD">
        <w:rPr>
          <w:rFonts w:ascii="Times New Roman" w:eastAsia="宋体" w:hAnsi="Times New Roman" w:cs="Times New Roman"/>
          <w:sz w:val="24"/>
          <w:szCs w:val="24"/>
          <w:lang w:eastAsia="zh-CN"/>
        </w:rPr>
        <w:t>more and more</w:t>
      </w:r>
      <w:proofErr w:type="gramEnd"/>
      <w:r w:rsidRPr="00A87BAD">
        <w:rPr>
          <w:rFonts w:ascii="Times New Roman" w:eastAsia="宋体" w:hAnsi="Times New Roman" w:cs="Times New Roman"/>
          <w:sz w:val="24"/>
          <w:szCs w:val="24"/>
          <w:lang w:eastAsia="zh-CN"/>
        </w:rPr>
        <w:t xml:space="preserve"> technological potential in AI, and it is </w:t>
      </w:r>
      <w:r w:rsidRPr="00A87BAD">
        <w:rPr>
          <w:rFonts w:ascii="Times New Roman" w:eastAsia="宋体" w:hAnsi="Times New Roman" w:cs="Times New Roman"/>
          <w:sz w:val="24"/>
          <w:szCs w:val="24"/>
          <w:lang w:eastAsia="zh-CN"/>
        </w:rPr>
        <w:lastRenderedPageBreak/>
        <w:t>increasingly becoming a part of the core banking process, which is also accompanied by increased reliance on models, cloud and model providers, and cyber threats. In terms of regulation and supervision, the United Kingdom still adheres to the principles-based approach to regulation and supervisory judgment, and Hong Kong has already taken a step towards the explicit requirement in relation to governance, human control and protection of customers when using GenAI. All these forces together indicate that HSBC cannot simply use AI implementation as a small digital change project. It should manage AI as an intercontinental strategic power whose threat is related to macroeconomic dynamics, demand of consumers, prudential management and division into geopolitical regions (International Monetary Fund, 2025; Government of the Hong Kong Special Administrative Region, 2026; Bank of England, 2025; Financial Conduct Authority, 2026a; Hong Kong Monetary Authority, 2024).</w:t>
      </w:r>
    </w:p>
    <w:p w14:paraId="004FBAEF" w14:textId="1FD08B01" w:rsidR="00A87BAD" w:rsidRPr="00A87BAD" w:rsidRDefault="00A87BAD" w:rsidP="00A87BAD">
      <w:pPr>
        <w:spacing w:line="360" w:lineRule="auto"/>
        <w:jc w:val="both"/>
        <w:rPr>
          <w:rFonts w:ascii="Times New Roman" w:eastAsia="宋体" w:hAnsi="Times New Roman" w:cs="Times New Roman"/>
          <w:sz w:val="24"/>
          <w:szCs w:val="24"/>
          <w:lang w:eastAsia="zh-CN"/>
        </w:rPr>
      </w:pPr>
      <w:r w:rsidRPr="00A87BAD">
        <w:rPr>
          <w:rFonts w:ascii="Times New Roman" w:eastAsia="宋体" w:hAnsi="Times New Roman" w:cs="Times New Roman"/>
          <w:sz w:val="24"/>
          <w:szCs w:val="24"/>
          <w:lang w:eastAsia="zh-CN"/>
        </w:rPr>
        <w:t>The financial-stability agencies are also more sensitive to the issue of AI as a system problem than just an option at the level of the firm. The report on the 2025 Financial Stability in Focus published by the Bank of England specifically discusses the macroprudential effects of the increased and dynamic use of artificial intelligence in the financial system. The previous study by the Bank of England and FCA suggested that the growth of AI and other third-party reliance in the field of financial services is increasing. That is important to HSBC, because it does not take place in a neutral context, with its AI plan. It is happening in an atmosphere where the risk of model failure, risks of data, cyber threats and concentration of technology providers are being watched by supervisors. This argument can be seen to exist alongside the growing fear of systemic weakness among the general population policy (Bank of England, 2025; Bank of England and Financial Conduct Authority, 2024).</w:t>
      </w:r>
    </w:p>
    <w:p w14:paraId="0E07F2FF" w14:textId="18DEF8DE" w:rsidR="00A87BAD" w:rsidRPr="00A87BAD" w:rsidRDefault="00A87BAD" w:rsidP="00A87BAD">
      <w:pPr>
        <w:spacing w:line="360" w:lineRule="auto"/>
        <w:jc w:val="both"/>
        <w:rPr>
          <w:rFonts w:ascii="Times New Roman" w:eastAsia="宋体" w:hAnsi="Times New Roman" w:cs="Times New Roman"/>
          <w:sz w:val="24"/>
          <w:szCs w:val="24"/>
          <w:lang w:eastAsia="zh-CN"/>
        </w:rPr>
      </w:pPr>
      <w:r w:rsidRPr="00A87BAD">
        <w:rPr>
          <w:rFonts w:ascii="Times New Roman" w:eastAsia="宋体" w:hAnsi="Times New Roman" w:cs="Times New Roman"/>
          <w:sz w:val="24"/>
          <w:szCs w:val="24"/>
          <w:lang w:eastAsia="zh-CN"/>
        </w:rPr>
        <w:t xml:space="preserve">This is the general situation of HSBC. The group has streamlined its operations in January </w:t>
      </w:r>
      <w:r w:rsidRPr="00A87BAD">
        <w:rPr>
          <w:rFonts w:ascii="Times New Roman" w:eastAsia="宋体" w:hAnsi="Times New Roman" w:cs="Times New Roman"/>
          <w:sz w:val="24"/>
          <w:szCs w:val="24"/>
          <w:lang w:eastAsia="zh-CN"/>
        </w:rPr>
        <w:t>2025,</w:t>
      </w:r>
      <w:r w:rsidRPr="00A87BAD">
        <w:rPr>
          <w:rFonts w:ascii="Times New Roman" w:eastAsia="宋体" w:hAnsi="Times New Roman" w:cs="Times New Roman"/>
          <w:sz w:val="24"/>
          <w:szCs w:val="24"/>
          <w:lang w:eastAsia="zh-CN"/>
        </w:rPr>
        <w:t xml:space="preserve"> and it claims that it is going to be a more compact bank with fewer activities. AI is not incompatible to such strategic story, as it can be scaled and processes are made efficient. However, organisational structure should not be less complicated automatically by means of being focused. It will </w:t>
      </w:r>
      <w:proofErr w:type="gramStart"/>
      <w:r w:rsidRPr="00A87BAD">
        <w:rPr>
          <w:rFonts w:ascii="Times New Roman" w:eastAsia="宋体" w:hAnsi="Times New Roman" w:cs="Times New Roman"/>
          <w:sz w:val="24"/>
          <w:szCs w:val="24"/>
          <w:lang w:eastAsia="zh-CN"/>
        </w:rPr>
        <w:t>actually create</w:t>
      </w:r>
      <w:proofErr w:type="gramEnd"/>
      <w:r w:rsidRPr="00A87BAD">
        <w:rPr>
          <w:rFonts w:ascii="Times New Roman" w:eastAsia="宋体" w:hAnsi="Times New Roman" w:cs="Times New Roman"/>
          <w:sz w:val="24"/>
          <w:szCs w:val="24"/>
          <w:lang w:eastAsia="zh-CN"/>
        </w:rPr>
        <w:t xml:space="preserve"> pressure on how to extract value out of digital tools in a fast manner. That gives rise to the old school problem of simplification of strategy at the group level and complexity of technology at the control one. In case of HSBC, the issue lies in making sure that the implementation of AI does not proceed quicker than the capability of the bank to monitor, document and evaluate the same within the various jurisdictions (HSBC Holdings plc, 2025; HSBC Holdings plc, 2026a).</w:t>
      </w:r>
    </w:p>
    <w:p w14:paraId="7D999A8F" w14:textId="4591C4D7" w:rsidR="00A87BAD" w:rsidRPr="00A87BAD" w:rsidRDefault="00A87BAD" w:rsidP="00A87BAD">
      <w:pPr>
        <w:spacing w:line="360" w:lineRule="auto"/>
        <w:jc w:val="both"/>
        <w:rPr>
          <w:rFonts w:ascii="Times New Roman" w:eastAsia="宋体" w:hAnsi="Times New Roman" w:cs="Times New Roman"/>
          <w:sz w:val="24"/>
          <w:szCs w:val="24"/>
          <w:lang w:eastAsia="zh-CN"/>
        </w:rPr>
      </w:pPr>
      <w:r w:rsidRPr="00A87BAD">
        <w:rPr>
          <w:rFonts w:ascii="Times New Roman" w:eastAsia="宋体" w:hAnsi="Times New Roman" w:cs="Times New Roman"/>
          <w:sz w:val="24"/>
          <w:szCs w:val="24"/>
          <w:lang w:eastAsia="zh-CN"/>
        </w:rPr>
        <w:t xml:space="preserve">The international business dimension is also important. The trade, technology and regulatory environment is fragmented making it more difficult to regulate cross-border data flows, technology </w:t>
      </w:r>
      <w:r w:rsidRPr="00A87BAD">
        <w:rPr>
          <w:rFonts w:ascii="Times New Roman" w:eastAsia="宋体" w:hAnsi="Times New Roman" w:cs="Times New Roman"/>
          <w:sz w:val="24"/>
          <w:szCs w:val="24"/>
          <w:lang w:eastAsia="zh-CN"/>
        </w:rPr>
        <w:lastRenderedPageBreak/>
        <w:t>alliances and vendor dependencies. HSBCs UK-Hong Kong location puts the bank between two major financial centres with different regulatory priorities meaning that AI governance is not just an internal policy issue but part of its cross-border legitimacy.</w:t>
      </w:r>
    </w:p>
    <w:p w14:paraId="7741F1A4" w14:textId="08CB6ACC" w:rsidR="00A87BAD" w:rsidRPr="00A87BAD" w:rsidRDefault="00A87BAD" w:rsidP="00A87BAD">
      <w:pPr>
        <w:spacing w:line="360" w:lineRule="auto"/>
        <w:jc w:val="both"/>
        <w:rPr>
          <w:rFonts w:ascii="Times New Roman" w:eastAsia="宋体" w:hAnsi="Times New Roman" w:cs="Times New Roman"/>
          <w:sz w:val="24"/>
          <w:szCs w:val="24"/>
          <w:lang w:eastAsia="zh-CN"/>
        </w:rPr>
      </w:pPr>
      <w:r w:rsidRPr="00A87BAD">
        <w:rPr>
          <w:rFonts w:ascii="Times New Roman" w:eastAsia="宋体" w:hAnsi="Times New Roman" w:cs="Times New Roman"/>
          <w:sz w:val="24"/>
          <w:szCs w:val="24"/>
          <w:lang w:eastAsia="zh-CN"/>
        </w:rPr>
        <w:t>That is why AI must be perceived as an element of international strategy and organisational resilience at HSBC. The bank requires AI to stay competitive, yet it also requires governance that is robust enough to safeguard trust, meet the expectations of supervisors and handle third-party risk in a globalised system that is fragmented.</w:t>
      </w:r>
    </w:p>
    <w:p w14:paraId="0AB80706" w14:textId="77777777" w:rsidR="00A11F86" w:rsidRPr="00A87BAD" w:rsidRDefault="00000000" w:rsidP="00A87BAD">
      <w:pPr>
        <w:pStyle w:val="1"/>
        <w:spacing w:line="360" w:lineRule="auto"/>
        <w:jc w:val="both"/>
        <w:rPr>
          <w:rFonts w:ascii="Times New Roman" w:eastAsia="宋体" w:hAnsi="Times New Roman" w:cs="Times New Roman"/>
          <w:color w:val="000000" w:themeColor="text1"/>
          <w:szCs w:val="32"/>
          <w:lang w:eastAsia="zh-CN"/>
        </w:rPr>
      </w:pPr>
      <w:bookmarkStart w:id="9" w:name="_Toc228019228"/>
      <w:r w:rsidRPr="00A87BAD">
        <w:rPr>
          <w:rFonts w:ascii="Times New Roman" w:hAnsi="Times New Roman" w:cs="Times New Roman"/>
          <w:color w:val="000000" w:themeColor="text1"/>
          <w:szCs w:val="32"/>
        </w:rPr>
        <w:t>3. Strategic Recommendations and Implementation Plan</w:t>
      </w:r>
      <w:bookmarkEnd w:id="9"/>
    </w:p>
    <w:p w14:paraId="078E1C7D" w14:textId="30FC5703" w:rsidR="00A87BAD" w:rsidRPr="00A87BAD" w:rsidRDefault="00A87BAD" w:rsidP="00A87BAD">
      <w:pPr>
        <w:spacing w:line="360" w:lineRule="auto"/>
        <w:jc w:val="both"/>
        <w:rPr>
          <w:rFonts w:ascii="Times New Roman" w:eastAsia="宋体" w:hAnsi="Times New Roman" w:cs="Times New Roman"/>
          <w:sz w:val="24"/>
          <w:szCs w:val="24"/>
          <w:lang w:eastAsia="zh-CN"/>
        </w:rPr>
      </w:pPr>
      <w:r w:rsidRPr="00A87BAD">
        <w:rPr>
          <w:rFonts w:ascii="Times New Roman" w:eastAsia="宋体" w:hAnsi="Times New Roman" w:cs="Times New Roman"/>
          <w:sz w:val="24"/>
          <w:szCs w:val="24"/>
          <w:lang w:eastAsia="zh-CN"/>
        </w:rPr>
        <w:t xml:space="preserve">HSBC ought to react to AI by scaling with discipline, not either uncontrolled acceleration or overcautiousness. The essence of the recommendation is that there should be one group-wide AI control framework which can be used in both the UK and Hong Kong but at the same time allow local compliance teams to </w:t>
      </w:r>
      <w:proofErr w:type="gramStart"/>
      <w:r w:rsidRPr="00A87BAD">
        <w:rPr>
          <w:rFonts w:ascii="Times New Roman" w:eastAsia="宋体" w:hAnsi="Times New Roman" w:cs="Times New Roman"/>
          <w:sz w:val="24"/>
          <w:szCs w:val="24"/>
          <w:lang w:eastAsia="zh-CN"/>
        </w:rPr>
        <w:t>make adjustments</w:t>
      </w:r>
      <w:proofErr w:type="gramEnd"/>
      <w:r w:rsidRPr="00A87BAD">
        <w:rPr>
          <w:rFonts w:ascii="Times New Roman" w:eastAsia="宋体" w:hAnsi="Times New Roman" w:cs="Times New Roman"/>
          <w:sz w:val="24"/>
          <w:szCs w:val="24"/>
          <w:lang w:eastAsia="zh-CN"/>
        </w:rPr>
        <w:t xml:space="preserve"> due to varying supervisory expectations. This framework must prioritize five areas: risk-tiering, cross-border data governance, assurance-based responsible AI, customer-trust controls and third-party resilience.</w:t>
      </w:r>
    </w:p>
    <w:p w14:paraId="5F868D1B" w14:textId="34D6D6D4" w:rsidR="00A87BAD" w:rsidRPr="00A87BAD" w:rsidRDefault="00A87BAD" w:rsidP="00A87BAD">
      <w:pPr>
        <w:spacing w:line="360" w:lineRule="auto"/>
        <w:jc w:val="both"/>
        <w:rPr>
          <w:rFonts w:ascii="Times New Roman" w:eastAsia="宋体" w:hAnsi="Times New Roman" w:cs="Times New Roman"/>
          <w:sz w:val="24"/>
          <w:szCs w:val="24"/>
          <w:lang w:eastAsia="zh-CN"/>
        </w:rPr>
      </w:pPr>
      <w:r w:rsidRPr="00A87BAD">
        <w:rPr>
          <w:rFonts w:ascii="Times New Roman" w:eastAsia="宋体" w:hAnsi="Times New Roman" w:cs="Times New Roman"/>
          <w:sz w:val="24"/>
          <w:szCs w:val="24"/>
          <w:lang w:eastAsia="zh-CN"/>
        </w:rPr>
        <w:t>In the first three months, the Chief AI Officer, Group Risk and local UK and HK compliance teams should create a single AI-use inventory. Each material tool should be categorized by customer impact, regulatory sensitivity, autonomy, model complexity and vendor dependency. Credit, fraud, AML, compliance support and customer interaction uses with high impact should have a named accountable owner and a post-deployment review cycle. This would mitigate shadow-AI risk and provide senior management with a defensible view of exposure Bank of England and Financial Conduct Authority (2024); Prudential Regulation Authority (2023).</w:t>
      </w:r>
    </w:p>
    <w:p w14:paraId="7F1DF447" w14:textId="6B091A8B" w:rsidR="00A87BAD" w:rsidRPr="00A87BAD" w:rsidRDefault="00A87BAD" w:rsidP="00A87BAD">
      <w:pPr>
        <w:spacing w:line="360" w:lineRule="auto"/>
        <w:jc w:val="both"/>
        <w:rPr>
          <w:rFonts w:ascii="Times New Roman" w:eastAsia="宋体" w:hAnsi="Times New Roman" w:cs="Times New Roman"/>
          <w:sz w:val="24"/>
          <w:szCs w:val="24"/>
          <w:lang w:eastAsia="zh-CN"/>
        </w:rPr>
      </w:pPr>
      <w:r w:rsidRPr="00A87BAD">
        <w:rPr>
          <w:rFonts w:ascii="Times New Roman" w:eastAsia="宋体" w:hAnsi="Times New Roman" w:cs="Times New Roman"/>
          <w:sz w:val="24"/>
          <w:szCs w:val="24"/>
          <w:lang w:eastAsia="zh-CN"/>
        </w:rPr>
        <w:t xml:space="preserve">In the period of months three to six, HSBC is supposed to enhance its </w:t>
      </w:r>
      <w:r w:rsidRPr="00A87BAD">
        <w:rPr>
          <w:rFonts w:ascii="Times New Roman" w:eastAsia="宋体" w:hAnsi="Times New Roman" w:cs="Times New Roman"/>
          <w:sz w:val="24"/>
          <w:szCs w:val="24"/>
          <w:lang w:eastAsia="zh-CN"/>
        </w:rPr>
        <w:t>cross-border</w:t>
      </w:r>
      <w:r w:rsidRPr="00A87BAD">
        <w:rPr>
          <w:rFonts w:ascii="Times New Roman" w:eastAsia="宋体" w:hAnsi="Times New Roman" w:cs="Times New Roman"/>
          <w:sz w:val="24"/>
          <w:szCs w:val="24"/>
          <w:lang w:eastAsia="zh-CN"/>
        </w:rPr>
        <w:t xml:space="preserve"> data management. The Legal and Privacy and Information Security would have to be in consensus with the Data Governance on the issues of data lineage, legality, quality of data, access, retention and legal use of GenAI. It is important to consider the question as to </w:t>
      </w:r>
      <w:proofErr w:type="gramStart"/>
      <w:r w:rsidRPr="00A87BAD">
        <w:rPr>
          <w:rFonts w:ascii="Times New Roman" w:eastAsia="宋体" w:hAnsi="Times New Roman" w:cs="Times New Roman"/>
          <w:sz w:val="24"/>
          <w:szCs w:val="24"/>
          <w:lang w:eastAsia="zh-CN"/>
        </w:rPr>
        <w:t>whether or not</w:t>
      </w:r>
      <w:proofErr w:type="gramEnd"/>
      <w:r w:rsidRPr="00A87BAD">
        <w:rPr>
          <w:rFonts w:ascii="Times New Roman" w:eastAsia="宋体" w:hAnsi="Times New Roman" w:cs="Times New Roman"/>
          <w:sz w:val="24"/>
          <w:szCs w:val="24"/>
          <w:lang w:eastAsia="zh-CN"/>
        </w:rPr>
        <w:t xml:space="preserve"> customer information or sensitive information can be provided in prompts, cloud-based tools or by vendors in their workflow. The test is that the practicality of explaining to the ICO, PCPD or an internal audit team why the data was being used, who had authorized it and how the risk of using it across borders could be managed (HSBC Holdings plc, 2024; Information Commissioner Office, 2023a; Office of the Privacy Commissioner for Personal Data, 2024).</w:t>
      </w:r>
    </w:p>
    <w:p w14:paraId="6E97FCE1" w14:textId="7BB194F1" w:rsidR="00A87BAD" w:rsidRPr="00A87BAD" w:rsidRDefault="00A87BAD" w:rsidP="00A87BAD">
      <w:pPr>
        <w:spacing w:line="360" w:lineRule="auto"/>
        <w:jc w:val="both"/>
        <w:rPr>
          <w:rFonts w:ascii="Times New Roman" w:eastAsia="宋体" w:hAnsi="Times New Roman" w:cs="Times New Roman"/>
          <w:sz w:val="24"/>
          <w:szCs w:val="24"/>
          <w:lang w:eastAsia="zh-CN"/>
        </w:rPr>
      </w:pPr>
      <w:r w:rsidRPr="00A87BAD">
        <w:rPr>
          <w:rFonts w:ascii="Times New Roman" w:eastAsia="宋体" w:hAnsi="Times New Roman" w:cs="Times New Roman"/>
          <w:sz w:val="24"/>
          <w:szCs w:val="24"/>
          <w:lang w:eastAsia="zh-CN"/>
        </w:rPr>
        <w:lastRenderedPageBreak/>
        <w:t xml:space="preserve">In the period of six to nine months, it is recommended that HSBC should shift towards evidence based on assurance. The AI must not be expanded unless the Model Risk, Internal Audit and business owners are satisfied with its accuracy, fairness, strength, explainability, override by human and response to incident. This door needs to be balanced: the </w:t>
      </w:r>
      <w:r w:rsidRPr="00A87BAD">
        <w:rPr>
          <w:rFonts w:ascii="Times New Roman" w:eastAsia="宋体" w:hAnsi="Times New Roman" w:cs="Times New Roman"/>
          <w:sz w:val="24"/>
          <w:szCs w:val="24"/>
          <w:lang w:eastAsia="zh-CN"/>
        </w:rPr>
        <w:t>low-risk</w:t>
      </w:r>
      <w:r w:rsidRPr="00A87BAD">
        <w:rPr>
          <w:rFonts w:ascii="Times New Roman" w:eastAsia="宋体" w:hAnsi="Times New Roman" w:cs="Times New Roman"/>
          <w:sz w:val="24"/>
          <w:szCs w:val="24"/>
          <w:lang w:eastAsia="zh-CN"/>
        </w:rPr>
        <w:t xml:space="preserve"> productivity tool </w:t>
      </w:r>
      <w:r w:rsidRPr="00A87BAD">
        <w:rPr>
          <w:rFonts w:ascii="Times New Roman" w:eastAsia="宋体" w:hAnsi="Times New Roman" w:cs="Times New Roman"/>
          <w:sz w:val="24"/>
          <w:szCs w:val="24"/>
          <w:lang w:eastAsia="zh-CN"/>
        </w:rPr>
        <w:t>cannot</w:t>
      </w:r>
      <w:r w:rsidRPr="00A87BAD">
        <w:rPr>
          <w:rFonts w:ascii="Times New Roman" w:eastAsia="宋体" w:hAnsi="Times New Roman" w:cs="Times New Roman"/>
          <w:sz w:val="24"/>
          <w:szCs w:val="24"/>
          <w:lang w:eastAsia="zh-CN"/>
        </w:rPr>
        <w:t xml:space="preserve"> be subjected to a review like the AI in fraud or customer support. In the case of sensitive systems however, the approval document will need to indicate that responsibility has been assigned to certain managers rather than the technology itself.</w:t>
      </w:r>
    </w:p>
    <w:p w14:paraId="75B4C8C0" w14:textId="06B5D6BB" w:rsidR="00A87BAD" w:rsidRPr="00A87BAD" w:rsidRDefault="00A87BAD" w:rsidP="00A87BAD">
      <w:pPr>
        <w:spacing w:line="360" w:lineRule="auto"/>
        <w:jc w:val="both"/>
        <w:rPr>
          <w:rFonts w:ascii="Times New Roman" w:eastAsia="宋体" w:hAnsi="Times New Roman" w:cs="Times New Roman"/>
          <w:sz w:val="24"/>
          <w:szCs w:val="24"/>
          <w:lang w:eastAsia="zh-CN"/>
        </w:rPr>
      </w:pPr>
      <w:r w:rsidRPr="00A87BAD">
        <w:rPr>
          <w:rFonts w:ascii="Times New Roman" w:eastAsia="宋体" w:hAnsi="Times New Roman" w:cs="Times New Roman"/>
          <w:sz w:val="24"/>
          <w:szCs w:val="24"/>
          <w:lang w:eastAsia="zh-CN"/>
        </w:rPr>
        <w:t>From months six to twelve, customer-trust controls should be embedded into AI-supported journeys. Customer Experience, Conduct Risk, Retail Banking and the Hong Kong business should monitor complaints, escalation quality, opt-out or human-review requests, vulnerable-customer outcomes and service recovery. This is important because a technically accurate model can still generate conduct risk where the customer experiences the process as opaque or challenging to contest. Hong Kongs human-intervention expectation should be regarded as a baseline for sensitive customer-facing GenAI, with the same reasoning supporting UK conduct and Consumer Duty evidential requirements (Financial Conduct Authority, 2026b; Hong Kong Monetary Authority, 2024).</w:t>
      </w:r>
    </w:p>
    <w:p w14:paraId="1AD4AD40" w14:textId="3386614A" w:rsidR="00A87BAD" w:rsidRPr="00A87BAD" w:rsidRDefault="00A87BAD" w:rsidP="00A87BAD">
      <w:pPr>
        <w:spacing w:line="360" w:lineRule="auto"/>
        <w:jc w:val="both"/>
        <w:rPr>
          <w:rFonts w:ascii="Times New Roman" w:eastAsia="宋体" w:hAnsi="Times New Roman" w:cs="Times New Roman"/>
          <w:sz w:val="24"/>
          <w:szCs w:val="24"/>
          <w:lang w:eastAsia="zh-CN"/>
        </w:rPr>
      </w:pPr>
      <w:r w:rsidRPr="00A87BAD">
        <w:rPr>
          <w:rFonts w:ascii="Times New Roman" w:eastAsia="宋体" w:hAnsi="Times New Roman" w:cs="Times New Roman"/>
          <w:sz w:val="24"/>
          <w:szCs w:val="24"/>
          <w:lang w:eastAsia="zh-CN"/>
        </w:rPr>
        <w:t>Starting the month of nine, Procurement and Technology Risk and Operational Resilience must be enhanced in third party AI controls. Continuity, security, audit rights, model-update management, exit strategy and concentration exposure should be a part of the due diligence by the provider as well as not only cost or performance. The quarterly update on the risk of AI to the board and the regional risk committees will be an inventory, assurance outcome, customer-trust metrics and PESTLE horizon scanning. This makes HSBC practical: plot AI application, regulate information, make sure of the high impact systems, examine the customers results and keep track of the external factors. It is future-proofed since it connects innovation with empirical control within the UK and Hong Kong (Bank of England, 2025).</w:t>
      </w:r>
    </w:p>
    <w:p w14:paraId="33B94A07" w14:textId="77777777" w:rsidR="00A11F86" w:rsidRPr="00A87BAD" w:rsidRDefault="00000000" w:rsidP="00A87BAD">
      <w:pPr>
        <w:pStyle w:val="1"/>
        <w:spacing w:line="360" w:lineRule="auto"/>
        <w:rPr>
          <w:rFonts w:ascii="Times New Roman" w:hAnsi="Times New Roman" w:cs="Times New Roman"/>
          <w:color w:val="000000" w:themeColor="text1"/>
        </w:rPr>
      </w:pPr>
      <w:bookmarkStart w:id="10" w:name="_Toc228019229"/>
      <w:r w:rsidRPr="00A87BAD">
        <w:rPr>
          <w:rFonts w:ascii="Times New Roman" w:hAnsi="Times New Roman" w:cs="Times New Roman"/>
          <w:color w:val="000000" w:themeColor="text1"/>
        </w:rPr>
        <w:t>4. Conclusion</w:t>
      </w:r>
      <w:bookmarkEnd w:id="10"/>
    </w:p>
    <w:p w14:paraId="5D11DA4C" w14:textId="7663BF41" w:rsidR="00A87BAD" w:rsidRPr="00A87BAD" w:rsidRDefault="00A87BAD" w:rsidP="00A87BAD">
      <w:pPr>
        <w:pStyle w:val="af"/>
        <w:spacing w:line="360" w:lineRule="auto"/>
        <w:rPr>
          <w:rFonts w:ascii="Times New Roman" w:eastAsia="宋体" w:hAnsi="Times New Roman" w:cs="Times New Roman" w:hint="eastAsia"/>
          <w:sz w:val="24"/>
          <w:szCs w:val="24"/>
          <w:lang w:eastAsia="zh-CN"/>
        </w:rPr>
      </w:pPr>
      <w:r w:rsidRPr="00A87BAD">
        <w:rPr>
          <w:rFonts w:ascii="Times New Roman" w:eastAsia="宋体" w:hAnsi="Times New Roman" w:cs="Times New Roman"/>
          <w:sz w:val="24"/>
          <w:szCs w:val="24"/>
          <w:lang w:eastAsia="zh-CN"/>
        </w:rPr>
        <w:t xml:space="preserve">This report has explained that the AI should not be considered as an independent digital innovation in the case of HSBC, but it is a part of enterprise risk-management issue. The productivity and customer service and financial-crime controls can be enhanced by </w:t>
      </w:r>
      <w:r w:rsidRPr="00A87BAD">
        <w:rPr>
          <w:rFonts w:ascii="Times New Roman" w:eastAsia="宋体" w:hAnsi="Times New Roman" w:cs="Times New Roman"/>
          <w:sz w:val="24"/>
          <w:szCs w:val="24"/>
          <w:lang w:eastAsia="zh-CN"/>
        </w:rPr>
        <w:t>AI;</w:t>
      </w:r>
      <w:r w:rsidRPr="00A87BAD">
        <w:rPr>
          <w:rFonts w:ascii="Times New Roman" w:eastAsia="宋体" w:hAnsi="Times New Roman" w:cs="Times New Roman"/>
          <w:sz w:val="24"/>
          <w:szCs w:val="24"/>
          <w:lang w:eastAsia="zh-CN"/>
        </w:rPr>
        <w:t xml:space="preserve"> however, such benefits will depend on how the bank would control data, provide explanations to its decisions, maintain accountability, control vendors and trust across the borders.</w:t>
      </w:r>
    </w:p>
    <w:p w14:paraId="778AEB6C" w14:textId="09F2B40F" w:rsidR="00A87BAD" w:rsidRPr="00A87BAD" w:rsidRDefault="00A87BAD" w:rsidP="00A87BAD">
      <w:pPr>
        <w:pStyle w:val="af"/>
        <w:spacing w:line="360" w:lineRule="auto"/>
        <w:rPr>
          <w:rFonts w:ascii="Times New Roman" w:eastAsia="宋体" w:hAnsi="Times New Roman" w:cs="Times New Roman" w:hint="eastAsia"/>
          <w:sz w:val="24"/>
          <w:szCs w:val="24"/>
          <w:lang w:eastAsia="zh-CN"/>
        </w:rPr>
      </w:pPr>
      <w:r w:rsidRPr="00A87BAD">
        <w:rPr>
          <w:rFonts w:ascii="Times New Roman" w:eastAsia="宋体" w:hAnsi="Times New Roman" w:cs="Times New Roman"/>
          <w:sz w:val="24"/>
          <w:szCs w:val="24"/>
          <w:lang w:eastAsia="zh-CN"/>
        </w:rPr>
        <w:lastRenderedPageBreak/>
        <w:t>The UK and Hong Kong comparison reveals the necessity of global consistency and local responsiveness. The principles - based regime in the UK gives HSBC flexibility but also demands strong internal judgment and evidence. Hong Kong's customer - facing GenAI expectations are more explicit regarding governance, transparency, human oversight, and opt - out rights. As a result, HSBC needs an internal standard that is stronger than minimum compliance and can be proven in both markets (Financial Conduct Authority, 2026a; Hong Kong Monetary Authority, 2024).</w:t>
      </w:r>
    </w:p>
    <w:p w14:paraId="74C97E3A" w14:textId="27768C57" w:rsidR="00A11F86" w:rsidRPr="00A87BAD" w:rsidRDefault="00A87BAD" w:rsidP="00A87BAD">
      <w:pPr>
        <w:pStyle w:val="af"/>
        <w:spacing w:line="360" w:lineRule="auto"/>
        <w:rPr>
          <w:rFonts w:ascii="Times New Roman" w:eastAsia="宋体" w:hAnsi="Times New Roman" w:cs="Times New Roman" w:hint="eastAsia"/>
          <w:sz w:val="24"/>
          <w:szCs w:val="24"/>
          <w:lang w:eastAsia="zh-CN"/>
        </w:rPr>
      </w:pPr>
      <w:r w:rsidRPr="00A87BAD">
        <w:rPr>
          <w:rFonts w:ascii="Times New Roman" w:eastAsia="宋体" w:hAnsi="Times New Roman" w:cs="Times New Roman"/>
          <w:sz w:val="24"/>
          <w:szCs w:val="24"/>
          <w:lang w:eastAsia="zh-CN"/>
        </w:rPr>
        <w:t>HSBC has already a good base, which is ethical AI and the leadership of senior AI, as well as its strategic direction. These will be translated into risk-tiering at the group level, more effective cross-border data management, responsible AI based on assurance, measurable customer-trust metrics and improved third-party resilience. The use of AI can make the company competitive and resilient in case it is done properly. This may have been poorly executed to result in conduct, privacy, supervisory and reputational risks in both the UK and Hong Kong (HSBC Holdings plc, 2024; HSBC Holdings plc, 2026b; HSBC Holdings plc, 2026c).</w:t>
      </w:r>
    </w:p>
    <w:p w14:paraId="70FC61FE" w14:textId="73032800" w:rsidR="00A11F86" w:rsidRPr="00A87BAD" w:rsidRDefault="00A11F86">
      <w:pPr>
        <w:rPr>
          <w:rFonts w:ascii="Times New Roman" w:eastAsia="宋体" w:hAnsi="Times New Roman" w:cs="Times New Roman" w:hint="eastAsia"/>
          <w:lang w:eastAsia="zh-CN"/>
        </w:rPr>
      </w:pPr>
    </w:p>
    <w:p w14:paraId="1D482EE8" w14:textId="77777777" w:rsidR="00A11F86" w:rsidRPr="00A87BAD" w:rsidRDefault="00000000" w:rsidP="00A87BAD">
      <w:pPr>
        <w:pStyle w:val="1"/>
        <w:pageBreakBefore/>
        <w:rPr>
          <w:rFonts w:ascii="Times New Roman" w:hAnsi="Times New Roman" w:cs="Times New Roman"/>
          <w:color w:val="000000" w:themeColor="text1"/>
        </w:rPr>
      </w:pPr>
      <w:bookmarkStart w:id="11" w:name="_Toc228019230"/>
      <w:r w:rsidRPr="00A87BAD">
        <w:rPr>
          <w:rFonts w:ascii="Times New Roman" w:hAnsi="Times New Roman" w:cs="Times New Roman"/>
          <w:color w:val="000000" w:themeColor="text1"/>
        </w:rPr>
        <w:lastRenderedPageBreak/>
        <w:t>Bibliography</w:t>
      </w:r>
      <w:bookmarkEnd w:id="11"/>
    </w:p>
    <w:p w14:paraId="5A20DF5A" w14:textId="77777777" w:rsidR="00A87BAD" w:rsidRPr="00A87BAD" w:rsidRDefault="00A87BAD" w:rsidP="00A87BAD">
      <w:pPr>
        <w:pStyle w:val="af"/>
        <w:spacing w:after="0"/>
        <w:ind w:left="360" w:hanging="360"/>
        <w:jc w:val="left"/>
        <w:rPr>
          <w:rFonts w:ascii="Times New Roman" w:hAnsi="Times New Roman" w:cs="Times New Roman"/>
        </w:rPr>
      </w:pPr>
      <w:r w:rsidRPr="00A87BAD">
        <w:rPr>
          <w:rFonts w:ascii="Times New Roman" w:hAnsi="Times New Roman" w:cs="Times New Roman"/>
        </w:rPr>
        <w:t>Bank of England (2025) Financial Stability in Focus: Artificial Intelligence in the Financial System. London: Bank of England. Available at: https://www.bankofengland.co.uk/financial-stability-in-focus/2025/artificial-intelligence-in-the-financial-system (Accessed: 14 April 2026).</w:t>
      </w:r>
    </w:p>
    <w:p w14:paraId="3A2554F7" w14:textId="77777777" w:rsidR="00A87BAD" w:rsidRPr="00A87BAD" w:rsidRDefault="00A87BAD" w:rsidP="00A87BAD">
      <w:pPr>
        <w:pStyle w:val="af"/>
        <w:spacing w:after="0"/>
        <w:ind w:left="360" w:hanging="360"/>
        <w:jc w:val="left"/>
        <w:rPr>
          <w:rFonts w:ascii="Times New Roman" w:hAnsi="Times New Roman" w:cs="Times New Roman"/>
        </w:rPr>
      </w:pPr>
      <w:r w:rsidRPr="00A87BAD">
        <w:rPr>
          <w:rFonts w:ascii="Times New Roman" w:hAnsi="Times New Roman" w:cs="Times New Roman"/>
        </w:rPr>
        <w:t>Bank of England and Financial Conduct Authority (2024) Artificial Intelligence in UK Financial Services - 2024. London: Bank of England and FCA. Available at: https://www.bankofengland.co.uk/report/2024/artificial-intelligence-in-uk-financial-services-2024 (Accessed: 14 April 2026).</w:t>
      </w:r>
    </w:p>
    <w:p w14:paraId="45395655" w14:textId="77777777" w:rsidR="00A87BAD" w:rsidRPr="00A87BAD" w:rsidRDefault="00A87BAD" w:rsidP="00A87BAD">
      <w:pPr>
        <w:pStyle w:val="af"/>
        <w:spacing w:after="0"/>
        <w:ind w:left="360" w:hanging="360"/>
        <w:jc w:val="left"/>
        <w:rPr>
          <w:rFonts w:ascii="Times New Roman" w:hAnsi="Times New Roman" w:cs="Times New Roman"/>
        </w:rPr>
      </w:pPr>
      <w:r w:rsidRPr="00A87BAD">
        <w:rPr>
          <w:rFonts w:ascii="Times New Roman" w:hAnsi="Times New Roman" w:cs="Times New Roman"/>
        </w:rPr>
        <w:t>Barclays (2025) Scaling AI at Barclays. London: Barclays. Available at: https://home.barclays/insights/2025/07/scaling-AI-at-Barclays/ (Accessed: 22 April 2026).</w:t>
      </w:r>
    </w:p>
    <w:p w14:paraId="43B1C31C" w14:textId="77777777" w:rsidR="00A87BAD" w:rsidRPr="00A87BAD" w:rsidRDefault="00A87BAD" w:rsidP="00A87BAD">
      <w:pPr>
        <w:pStyle w:val="af"/>
        <w:spacing w:after="0"/>
        <w:ind w:left="360" w:hanging="360"/>
        <w:jc w:val="left"/>
        <w:rPr>
          <w:rFonts w:ascii="Times New Roman" w:hAnsi="Times New Roman" w:cs="Times New Roman"/>
        </w:rPr>
      </w:pPr>
      <w:r w:rsidRPr="00A87BAD">
        <w:rPr>
          <w:rFonts w:ascii="Times New Roman" w:hAnsi="Times New Roman" w:cs="Times New Roman"/>
        </w:rPr>
        <w:t>Barclays PLC (2026) Annual Report 2025. London: Barclays PLC. Available at: https://home.barclays/content/dam/home-barclays/documents/investor-relations/reports-and-events/annual-reports/2025/Barclays-PLC-Annual-Report-2025.pdf (Accessed: 22 April 2026).</w:t>
      </w:r>
    </w:p>
    <w:p w14:paraId="1596E6E9" w14:textId="77777777" w:rsidR="00A87BAD" w:rsidRPr="00A87BAD" w:rsidRDefault="00A87BAD" w:rsidP="00A87BAD">
      <w:pPr>
        <w:pStyle w:val="af"/>
        <w:spacing w:after="0"/>
        <w:ind w:left="360" w:hanging="360"/>
        <w:jc w:val="left"/>
        <w:rPr>
          <w:rFonts w:ascii="Times New Roman" w:hAnsi="Times New Roman" w:cs="Times New Roman"/>
        </w:rPr>
      </w:pPr>
      <w:r w:rsidRPr="00A87BAD">
        <w:rPr>
          <w:rFonts w:ascii="Times New Roman" w:hAnsi="Times New Roman" w:cs="Times New Roman"/>
        </w:rPr>
        <w:t>Department for Science, Innovation and Technology (2023) A pro-innovation approach to AI regulation. London: HM Government. Available at: https://www.gov.uk/government/publications/ai-regulation-a-pro-innovation-approach (Accessed: 14 April 2026).</w:t>
      </w:r>
    </w:p>
    <w:p w14:paraId="59253509" w14:textId="77777777" w:rsidR="00A87BAD" w:rsidRPr="00A87BAD" w:rsidRDefault="00A87BAD" w:rsidP="00A87BAD">
      <w:pPr>
        <w:pStyle w:val="af"/>
        <w:spacing w:after="0"/>
        <w:ind w:left="360" w:hanging="360"/>
        <w:jc w:val="left"/>
        <w:rPr>
          <w:rFonts w:ascii="Times New Roman" w:hAnsi="Times New Roman" w:cs="Times New Roman"/>
        </w:rPr>
      </w:pPr>
      <w:r w:rsidRPr="00A87BAD">
        <w:rPr>
          <w:rFonts w:ascii="Times New Roman" w:hAnsi="Times New Roman" w:cs="Times New Roman"/>
        </w:rPr>
        <w:t>Department for Science, Innovation and Technology (2025) AI Growth Lab: call for evidence. London: HM Government. Available at: https://www.gov.uk/government/calls-for-evidence/ai-growth-lab (Accessed: 14 April 2026).</w:t>
      </w:r>
    </w:p>
    <w:p w14:paraId="0370838C" w14:textId="77777777" w:rsidR="00A87BAD" w:rsidRPr="00A87BAD" w:rsidRDefault="00A87BAD" w:rsidP="00A87BAD">
      <w:pPr>
        <w:pStyle w:val="af"/>
        <w:spacing w:after="0"/>
        <w:ind w:left="360" w:hanging="360"/>
        <w:jc w:val="left"/>
        <w:rPr>
          <w:rFonts w:ascii="Times New Roman" w:hAnsi="Times New Roman" w:cs="Times New Roman"/>
        </w:rPr>
      </w:pPr>
      <w:r w:rsidRPr="00A87BAD">
        <w:rPr>
          <w:rFonts w:ascii="Times New Roman" w:hAnsi="Times New Roman" w:cs="Times New Roman"/>
        </w:rPr>
        <w:t>Financial Conduct Authority (2026a) AI and the FCA: Our Approach. London: FCA. Available at: https://www.fca.org.uk/firms/innovation/ai-approach (Accessed: 14 April 2026).</w:t>
      </w:r>
    </w:p>
    <w:p w14:paraId="0E734D35" w14:textId="77777777" w:rsidR="00A87BAD" w:rsidRPr="00A87BAD" w:rsidRDefault="00A87BAD" w:rsidP="00A87BAD">
      <w:pPr>
        <w:pStyle w:val="af"/>
        <w:spacing w:after="0"/>
        <w:ind w:left="360" w:hanging="360"/>
        <w:jc w:val="left"/>
        <w:rPr>
          <w:rFonts w:ascii="Times New Roman" w:hAnsi="Times New Roman" w:cs="Times New Roman"/>
        </w:rPr>
      </w:pPr>
      <w:r w:rsidRPr="00A87BAD">
        <w:rPr>
          <w:rFonts w:ascii="Times New Roman" w:hAnsi="Times New Roman" w:cs="Times New Roman"/>
        </w:rPr>
        <w:t>Financial Conduct Authority (2026b) The FCA’s long-term review into AI and retail financial services: designing for the unknown. London: FCA. Available at: https://www.fca.org.uk/news/speeches/fca-long-term-review-ai-retail-financial-services-designing-unknown (Accessed: 22 April 2026).</w:t>
      </w:r>
    </w:p>
    <w:p w14:paraId="78659855" w14:textId="77777777" w:rsidR="00A87BAD" w:rsidRPr="00A87BAD" w:rsidRDefault="00A87BAD" w:rsidP="00A87BAD">
      <w:pPr>
        <w:pStyle w:val="af"/>
        <w:spacing w:after="0"/>
        <w:ind w:left="360" w:hanging="360"/>
        <w:jc w:val="left"/>
        <w:rPr>
          <w:rFonts w:ascii="Times New Roman" w:hAnsi="Times New Roman" w:cs="Times New Roman"/>
        </w:rPr>
      </w:pPr>
      <w:proofErr w:type="spellStart"/>
      <w:r w:rsidRPr="00A87BAD">
        <w:rPr>
          <w:rFonts w:ascii="Times New Roman" w:hAnsi="Times New Roman" w:cs="Times New Roman"/>
        </w:rPr>
        <w:t>Floridi</w:t>
      </w:r>
      <w:proofErr w:type="spellEnd"/>
      <w:r w:rsidRPr="00A87BAD">
        <w:rPr>
          <w:rFonts w:ascii="Times New Roman" w:hAnsi="Times New Roman" w:cs="Times New Roman"/>
        </w:rPr>
        <w:t xml:space="preserve">, L. and Cowls, J. (2019) ‘A unified framework of five principles for AI in society’, Harvard Data Science Review, 1(1). </w:t>
      </w:r>
      <w:proofErr w:type="spellStart"/>
      <w:r w:rsidRPr="00A87BAD">
        <w:rPr>
          <w:rFonts w:ascii="Times New Roman" w:hAnsi="Times New Roman" w:cs="Times New Roman"/>
        </w:rPr>
        <w:t>doi</w:t>
      </w:r>
      <w:proofErr w:type="spellEnd"/>
      <w:r w:rsidRPr="00A87BAD">
        <w:rPr>
          <w:rFonts w:ascii="Times New Roman" w:hAnsi="Times New Roman" w:cs="Times New Roman"/>
        </w:rPr>
        <w:t>: 10.1162/99608f92.8cd550d1.</w:t>
      </w:r>
    </w:p>
    <w:p w14:paraId="6C91E9EA" w14:textId="77777777" w:rsidR="00A87BAD" w:rsidRPr="00A87BAD" w:rsidRDefault="00A87BAD" w:rsidP="00A87BAD">
      <w:pPr>
        <w:pStyle w:val="af"/>
        <w:spacing w:after="0"/>
        <w:ind w:left="360" w:hanging="360"/>
        <w:jc w:val="left"/>
        <w:rPr>
          <w:rFonts w:ascii="Times New Roman" w:hAnsi="Times New Roman" w:cs="Times New Roman"/>
        </w:rPr>
      </w:pPr>
      <w:r w:rsidRPr="00A87BAD">
        <w:rPr>
          <w:rFonts w:ascii="Times New Roman" w:hAnsi="Times New Roman" w:cs="Times New Roman"/>
        </w:rPr>
        <w:t>Government of the Hong Kong Special Administrative Region (2026) The 2026-27 Budget: Budget Speech. Hong Kong: HKSAR Government. Available at: https://www.budget.gov.hk/2026/eng/budget03.html (Accessed: 14 April 2026).</w:t>
      </w:r>
    </w:p>
    <w:p w14:paraId="34C7ABB9" w14:textId="77777777" w:rsidR="00A87BAD" w:rsidRPr="00A87BAD" w:rsidRDefault="00A87BAD" w:rsidP="00A87BAD">
      <w:pPr>
        <w:pStyle w:val="af"/>
        <w:spacing w:after="0"/>
        <w:ind w:left="360" w:hanging="360"/>
        <w:jc w:val="left"/>
        <w:rPr>
          <w:rFonts w:ascii="Times New Roman" w:hAnsi="Times New Roman" w:cs="Times New Roman"/>
        </w:rPr>
      </w:pPr>
      <w:r w:rsidRPr="00A87BAD">
        <w:rPr>
          <w:rFonts w:ascii="Times New Roman" w:hAnsi="Times New Roman" w:cs="Times New Roman"/>
        </w:rPr>
        <w:t>Hong Kong Monetary Authority (2024) Consumer Protection in respect of Use of Generative Artificial Intelligence. Hong Kong: HKMA. Available at: https://brdr.hkma.gov.hk/eng/doc-ldg/docId/20241107-1-EN (Accessed: 14 April 2026).</w:t>
      </w:r>
    </w:p>
    <w:p w14:paraId="6B139978" w14:textId="77777777" w:rsidR="00A87BAD" w:rsidRPr="00A87BAD" w:rsidRDefault="00A87BAD" w:rsidP="00A87BAD">
      <w:pPr>
        <w:pStyle w:val="af"/>
        <w:spacing w:after="0"/>
        <w:ind w:left="360" w:hanging="360"/>
        <w:jc w:val="left"/>
        <w:rPr>
          <w:rFonts w:ascii="Times New Roman" w:hAnsi="Times New Roman" w:cs="Times New Roman"/>
        </w:rPr>
      </w:pPr>
      <w:r w:rsidRPr="00A87BAD">
        <w:rPr>
          <w:rFonts w:ascii="Times New Roman" w:hAnsi="Times New Roman" w:cs="Times New Roman"/>
        </w:rPr>
        <w:t>Hong Kong Monetary Authority (2025) Opening Remarks at HKMA-</w:t>
      </w:r>
      <w:proofErr w:type="spellStart"/>
      <w:r w:rsidRPr="00A87BAD">
        <w:rPr>
          <w:rFonts w:ascii="Times New Roman" w:hAnsi="Times New Roman" w:cs="Times New Roman"/>
        </w:rPr>
        <w:t>AoF</w:t>
      </w:r>
      <w:proofErr w:type="spellEnd"/>
      <w:r w:rsidRPr="00A87BAD">
        <w:rPr>
          <w:rFonts w:ascii="Times New Roman" w:hAnsi="Times New Roman" w:cs="Times New Roman"/>
        </w:rPr>
        <w:t>/HKIMR-CEPR International Conference on Generative Artificial Intelligence. Hong Kong: HKMA. Available at: https://www.hkma.gov.hk/eng/news-and-media/speeches/2025/04/20250411-1/ (Accessed: 22 April 2026).</w:t>
      </w:r>
    </w:p>
    <w:p w14:paraId="69F37273" w14:textId="77777777" w:rsidR="00A87BAD" w:rsidRPr="00A87BAD" w:rsidRDefault="00A87BAD" w:rsidP="00A87BAD">
      <w:pPr>
        <w:pStyle w:val="af"/>
        <w:spacing w:after="0"/>
        <w:ind w:left="360" w:hanging="360"/>
        <w:jc w:val="left"/>
        <w:rPr>
          <w:rFonts w:ascii="Times New Roman" w:hAnsi="Times New Roman" w:cs="Times New Roman"/>
        </w:rPr>
      </w:pPr>
      <w:r w:rsidRPr="00A87BAD">
        <w:rPr>
          <w:rFonts w:ascii="Times New Roman" w:hAnsi="Times New Roman" w:cs="Times New Roman"/>
        </w:rPr>
        <w:t xml:space="preserve">Hong Kong Monetary Authority (2026) Regulators launch </w:t>
      </w:r>
      <w:proofErr w:type="spellStart"/>
      <w:r w:rsidRPr="00A87BAD">
        <w:rPr>
          <w:rFonts w:ascii="Times New Roman" w:hAnsi="Times New Roman" w:cs="Times New Roman"/>
        </w:rPr>
        <w:t>GenA.I</w:t>
      </w:r>
      <w:proofErr w:type="spellEnd"/>
      <w:r w:rsidRPr="00A87BAD">
        <w:rPr>
          <w:rFonts w:ascii="Times New Roman" w:hAnsi="Times New Roman" w:cs="Times New Roman"/>
        </w:rPr>
        <w:t>. Sandbox++ to foster A.I. innovation across financial services. Hong Kong: HKMA. Available at: https://www.hkma.gov.hk/eng/news-and-media/press-releases/2026/03/20260305-3/ (Accessed: 14 April 2026).</w:t>
      </w:r>
    </w:p>
    <w:p w14:paraId="3B7A884F" w14:textId="77777777" w:rsidR="00A87BAD" w:rsidRPr="00A87BAD" w:rsidRDefault="00A87BAD" w:rsidP="00A87BAD">
      <w:pPr>
        <w:pStyle w:val="af"/>
        <w:spacing w:after="0"/>
        <w:ind w:left="360" w:hanging="360"/>
        <w:jc w:val="left"/>
        <w:rPr>
          <w:rFonts w:ascii="Times New Roman" w:hAnsi="Times New Roman" w:cs="Times New Roman"/>
        </w:rPr>
      </w:pPr>
      <w:r w:rsidRPr="00A87BAD">
        <w:rPr>
          <w:rFonts w:ascii="Times New Roman" w:hAnsi="Times New Roman" w:cs="Times New Roman"/>
        </w:rPr>
        <w:t>HSBC Holdings plc (2024) HSBC’s Principles for the Ethical Use of Data and AI. London: HSBC. Available at: https://www.hsbc.com/who-we-are/hsbc-and-digital/our-principles-for-the-ethical-use-of-data-and-ai (Accessed: 14 April 2026).</w:t>
      </w:r>
    </w:p>
    <w:p w14:paraId="66CC1311" w14:textId="77777777" w:rsidR="00A87BAD" w:rsidRPr="00A87BAD" w:rsidRDefault="00A87BAD" w:rsidP="00A87BAD">
      <w:pPr>
        <w:pStyle w:val="af"/>
        <w:spacing w:after="0"/>
        <w:ind w:left="360" w:hanging="360"/>
        <w:jc w:val="left"/>
        <w:rPr>
          <w:rFonts w:ascii="Times New Roman" w:hAnsi="Times New Roman" w:cs="Times New Roman"/>
        </w:rPr>
      </w:pPr>
      <w:r w:rsidRPr="00A87BAD">
        <w:rPr>
          <w:rFonts w:ascii="Times New Roman" w:hAnsi="Times New Roman" w:cs="Times New Roman"/>
        </w:rPr>
        <w:t>HSBC Holdings plc (2025) Our Strategy. London: HSBC. Available at: https://www.hsbc.com/investors/results-and-announcements/strategy (Accessed: 14 April 2026).</w:t>
      </w:r>
    </w:p>
    <w:p w14:paraId="3E04613F" w14:textId="77777777" w:rsidR="00A87BAD" w:rsidRPr="00A87BAD" w:rsidRDefault="00A87BAD" w:rsidP="00A87BAD">
      <w:pPr>
        <w:pStyle w:val="af"/>
        <w:spacing w:after="0"/>
        <w:ind w:left="360" w:hanging="360"/>
        <w:jc w:val="left"/>
        <w:rPr>
          <w:rFonts w:ascii="Times New Roman" w:hAnsi="Times New Roman" w:cs="Times New Roman"/>
        </w:rPr>
      </w:pPr>
      <w:r w:rsidRPr="00A87BAD">
        <w:rPr>
          <w:rFonts w:ascii="Times New Roman" w:hAnsi="Times New Roman" w:cs="Times New Roman"/>
        </w:rPr>
        <w:t>HSBC Holdings plc (2026a) Group Structure. London: HSBC. Available at: https://www.hsbc.com/who-we-are/group-structure (Accessed: 14 April 2026).</w:t>
      </w:r>
    </w:p>
    <w:p w14:paraId="49138135" w14:textId="77777777" w:rsidR="00A87BAD" w:rsidRPr="00A87BAD" w:rsidRDefault="00A87BAD" w:rsidP="00A87BAD">
      <w:pPr>
        <w:pStyle w:val="af"/>
        <w:spacing w:after="0"/>
        <w:ind w:left="360" w:hanging="360"/>
        <w:jc w:val="left"/>
        <w:rPr>
          <w:rFonts w:ascii="Times New Roman" w:hAnsi="Times New Roman" w:cs="Times New Roman"/>
        </w:rPr>
      </w:pPr>
      <w:r w:rsidRPr="00A87BAD">
        <w:rPr>
          <w:rFonts w:ascii="Times New Roman" w:hAnsi="Times New Roman" w:cs="Times New Roman"/>
        </w:rPr>
        <w:lastRenderedPageBreak/>
        <w:t>HSBC Holdings plc (2026b) HSBC and AI. London: HSBC. Available at: https://www.hsbc.com/who-we-are/hsbc-and-digital/hsbc-and-ai (Accessed: 14 April 2026).</w:t>
      </w:r>
    </w:p>
    <w:p w14:paraId="0C50A77F" w14:textId="77777777" w:rsidR="00A87BAD" w:rsidRPr="00A87BAD" w:rsidRDefault="00A87BAD" w:rsidP="00A87BAD">
      <w:pPr>
        <w:pStyle w:val="af"/>
        <w:spacing w:after="0"/>
        <w:ind w:left="360" w:hanging="360"/>
        <w:jc w:val="left"/>
        <w:rPr>
          <w:rFonts w:ascii="Times New Roman" w:hAnsi="Times New Roman" w:cs="Times New Roman"/>
        </w:rPr>
      </w:pPr>
      <w:r w:rsidRPr="00A87BAD">
        <w:rPr>
          <w:rFonts w:ascii="Times New Roman" w:hAnsi="Times New Roman" w:cs="Times New Roman"/>
        </w:rPr>
        <w:t>HSBC Holdings plc (2026c) HSBC announces David Rice as its first Chief AI Officer. London: HSBC. Available at: https://www.hsbc.com/news-and-views/news/media-releases/2026/david-rice-announced-as-chief-ai-officer (Accessed: 14 April 2026).</w:t>
      </w:r>
    </w:p>
    <w:p w14:paraId="0D36736E" w14:textId="77777777" w:rsidR="00A87BAD" w:rsidRPr="00A87BAD" w:rsidRDefault="00A87BAD" w:rsidP="00A87BAD">
      <w:pPr>
        <w:pStyle w:val="af"/>
        <w:spacing w:after="0"/>
        <w:ind w:left="360" w:hanging="360"/>
        <w:jc w:val="left"/>
        <w:rPr>
          <w:rFonts w:ascii="Times New Roman" w:hAnsi="Times New Roman" w:cs="Times New Roman"/>
        </w:rPr>
      </w:pPr>
      <w:r w:rsidRPr="00A87BAD">
        <w:rPr>
          <w:rFonts w:ascii="Times New Roman" w:hAnsi="Times New Roman" w:cs="Times New Roman"/>
        </w:rPr>
        <w:t>HSBC Holdings plc (2026d) Our Markets: Where we do business. London: HSBC. Available at: https://www.hsbc.com/who-we-are/our-markets (Accessed: 14 April 2026).</w:t>
      </w:r>
    </w:p>
    <w:p w14:paraId="7CF6F097" w14:textId="77777777" w:rsidR="00A87BAD" w:rsidRPr="00A87BAD" w:rsidRDefault="00A87BAD" w:rsidP="00A87BAD">
      <w:pPr>
        <w:pStyle w:val="af"/>
        <w:spacing w:after="0"/>
        <w:ind w:left="360" w:hanging="360"/>
        <w:jc w:val="left"/>
        <w:rPr>
          <w:rFonts w:ascii="Times New Roman" w:hAnsi="Times New Roman" w:cs="Times New Roman"/>
        </w:rPr>
      </w:pPr>
      <w:r w:rsidRPr="00A87BAD">
        <w:rPr>
          <w:rFonts w:ascii="Times New Roman" w:hAnsi="Times New Roman" w:cs="Times New Roman"/>
        </w:rPr>
        <w:t>Information Commissioner’s Office (2023a) Guidance on AI and data protection. Wilmslow: ICO. Available at: https://ico.org.uk/for-organisations/uk-gdpr-guidance-and-resources/artificial-intelligence/guidance-on-ai-and-data-protection/ (Accessed: 14 April 2026).</w:t>
      </w:r>
    </w:p>
    <w:p w14:paraId="2878C273" w14:textId="77777777" w:rsidR="00A87BAD" w:rsidRPr="00A87BAD" w:rsidRDefault="00A87BAD" w:rsidP="00A87BAD">
      <w:pPr>
        <w:pStyle w:val="af"/>
        <w:spacing w:after="0"/>
        <w:ind w:left="360" w:hanging="360"/>
        <w:jc w:val="left"/>
        <w:rPr>
          <w:rFonts w:ascii="Times New Roman" w:hAnsi="Times New Roman" w:cs="Times New Roman"/>
        </w:rPr>
      </w:pPr>
      <w:r w:rsidRPr="00A87BAD">
        <w:rPr>
          <w:rFonts w:ascii="Times New Roman" w:hAnsi="Times New Roman" w:cs="Times New Roman"/>
        </w:rPr>
        <w:t>Information Commissioner’s Office (2023b) AI and data protection risk toolkit. Wilmslow: ICO. Available at: https://ico.org.uk/for-organisations/uk-gdpr-guidance-and-resources/artificial-intelligence/ai-and-data-protection-risk-toolkit/ (Accessed: 14 April 2026).</w:t>
      </w:r>
    </w:p>
    <w:p w14:paraId="3BC87757" w14:textId="77777777" w:rsidR="00A87BAD" w:rsidRPr="00A87BAD" w:rsidRDefault="00A87BAD" w:rsidP="00A87BAD">
      <w:pPr>
        <w:pStyle w:val="af"/>
        <w:spacing w:after="0"/>
        <w:ind w:left="360" w:hanging="360"/>
        <w:jc w:val="left"/>
        <w:rPr>
          <w:rFonts w:ascii="Times New Roman" w:hAnsi="Times New Roman" w:cs="Times New Roman"/>
        </w:rPr>
      </w:pPr>
      <w:r w:rsidRPr="00A87BAD">
        <w:rPr>
          <w:rFonts w:ascii="Times New Roman" w:hAnsi="Times New Roman" w:cs="Times New Roman"/>
        </w:rPr>
        <w:t>International Monetary Fund (2025) United Kingdom: 2025 Article IV Consultation-Press Release; Staff Report; and Statement by the Executive Director for United Kingdom. Washington, DC: IMF. Available at: https://www.imf.org/en/Publications/CR/Issues/2025/07/24/united-kingdom-2025-article-iv-consultation-press-release-staff-report-and-statement-by-the-568905 (Accessed: 22 April 2026).</w:t>
      </w:r>
    </w:p>
    <w:p w14:paraId="14971BFA" w14:textId="77777777" w:rsidR="00A87BAD" w:rsidRPr="00A87BAD" w:rsidRDefault="00A87BAD" w:rsidP="00A87BAD">
      <w:pPr>
        <w:pStyle w:val="af"/>
        <w:spacing w:after="0"/>
        <w:ind w:left="360" w:hanging="360"/>
        <w:jc w:val="left"/>
        <w:rPr>
          <w:rFonts w:ascii="Times New Roman" w:hAnsi="Times New Roman" w:cs="Times New Roman"/>
        </w:rPr>
      </w:pPr>
      <w:r w:rsidRPr="00A87BAD">
        <w:rPr>
          <w:rFonts w:ascii="Times New Roman" w:hAnsi="Times New Roman" w:cs="Times New Roman"/>
        </w:rPr>
        <w:t xml:space="preserve">Jobin, A., Ienca, M. and </w:t>
      </w:r>
      <w:proofErr w:type="spellStart"/>
      <w:r w:rsidRPr="00A87BAD">
        <w:rPr>
          <w:rFonts w:ascii="Times New Roman" w:hAnsi="Times New Roman" w:cs="Times New Roman"/>
        </w:rPr>
        <w:t>Vayena</w:t>
      </w:r>
      <w:proofErr w:type="spellEnd"/>
      <w:r w:rsidRPr="00A87BAD">
        <w:rPr>
          <w:rFonts w:ascii="Times New Roman" w:hAnsi="Times New Roman" w:cs="Times New Roman"/>
        </w:rPr>
        <w:t xml:space="preserve">, E. (2019) ‘The global landscape of AI ethics guidelines’, Nature Machine Intelligence, 1, pp. 389-399. </w:t>
      </w:r>
      <w:proofErr w:type="spellStart"/>
      <w:r w:rsidRPr="00A87BAD">
        <w:rPr>
          <w:rFonts w:ascii="Times New Roman" w:hAnsi="Times New Roman" w:cs="Times New Roman"/>
        </w:rPr>
        <w:t>doi</w:t>
      </w:r>
      <w:proofErr w:type="spellEnd"/>
      <w:r w:rsidRPr="00A87BAD">
        <w:rPr>
          <w:rFonts w:ascii="Times New Roman" w:hAnsi="Times New Roman" w:cs="Times New Roman"/>
        </w:rPr>
        <w:t>: 10.1038/s42256-019-0088-2.</w:t>
      </w:r>
    </w:p>
    <w:p w14:paraId="0418F15C" w14:textId="77777777" w:rsidR="00A87BAD" w:rsidRPr="00A87BAD" w:rsidRDefault="00A87BAD" w:rsidP="00A87BAD">
      <w:pPr>
        <w:pStyle w:val="af"/>
        <w:spacing w:after="0"/>
        <w:ind w:left="360" w:hanging="360"/>
        <w:jc w:val="left"/>
        <w:rPr>
          <w:rFonts w:ascii="Times New Roman" w:hAnsi="Times New Roman" w:cs="Times New Roman"/>
        </w:rPr>
      </w:pPr>
      <w:r w:rsidRPr="00A87BAD">
        <w:rPr>
          <w:rFonts w:ascii="Times New Roman" w:hAnsi="Times New Roman" w:cs="Times New Roman"/>
        </w:rPr>
        <w:t xml:space="preserve">Kroll, J.A., Huey, J., Barocas, S., Felten, E.W., </w:t>
      </w:r>
      <w:proofErr w:type="spellStart"/>
      <w:r w:rsidRPr="00A87BAD">
        <w:rPr>
          <w:rFonts w:ascii="Times New Roman" w:hAnsi="Times New Roman" w:cs="Times New Roman"/>
        </w:rPr>
        <w:t>Reidenberg</w:t>
      </w:r>
      <w:proofErr w:type="spellEnd"/>
      <w:r w:rsidRPr="00A87BAD">
        <w:rPr>
          <w:rFonts w:ascii="Times New Roman" w:hAnsi="Times New Roman" w:cs="Times New Roman"/>
        </w:rPr>
        <w:t>, J.R., Robinson, D.G. and Yu, H. (2017) ‘Accountable algorithms’, University of Pennsylvania Law Review, 165(3), pp. 633-705. Available at: https://scholarship.law.upenn.edu/penn_law_review/vol165/iss3/3 (Accessed: 14 April 2026).</w:t>
      </w:r>
    </w:p>
    <w:p w14:paraId="4BEFF7FD" w14:textId="77777777" w:rsidR="00A87BAD" w:rsidRPr="00A87BAD" w:rsidRDefault="00A87BAD" w:rsidP="00A87BAD">
      <w:pPr>
        <w:pStyle w:val="af"/>
        <w:spacing w:after="0"/>
        <w:ind w:left="360" w:hanging="360"/>
        <w:jc w:val="left"/>
        <w:rPr>
          <w:rFonts w:ascii="Times New Roman" w:hAnsi="Times New Roman" w:cs="Times New Roman"/>
        </w:rPr>
      </w:pPr>
      <w:r w:rsidRPr="00A87BAD">
        <w:rPr>
          <w:rFonts w:ascii="Times New Roman" w:hAnsi="Times New Roman" w:cs="Times New Roman"/>
        </w:rPr>
        <w:t xml:space="preserve">Mayer, R.C., Davis, J.H. and </w:t>
      </w:r>
      <w:proofErr w:type="spellStart"/>
      <w:r w:rsidRPr="00A87BAD">
        <w:rPr>
          <w:rFonts w:ascii="Times New Roman" w:hAnsi="Times New Roman" w:cs="Times New Roman"/>
        </w:rPr>
        <w:t>Schoorman</w:t>
      </w:r>
      <w:proofErr w:type="spellEnd"/>
      <w:r w:rsidRPr="00A87BAD">
        <w:rPr>
          <w:rFonts w:ascii="Times New Roman" w:hAnsi="Times New Roman" w:cs="Times New Roman"/>
        </w:rPr>
        <w:t>, F.D. (1995) ‘An integrative model of organizational trust’, Academy of Management Review, 20(3), pp. 709-734.</w:t>
      </w:r>
    </w:p>
    <w:p w14:paraId="50098D22" w14:textId="77777777" w:rsidR="00A87BAD" w:rsidRPr="00A87BAD" w:rsidRDefault="00A87BAD" w:rsidP="00A87BAD">
      <w:pPr>
        <w:pStyle w:val="af"/>
        <w:spacing w:after="0"/>
        <w:ind w:left="360" w:hanging="360"/>
        <w:jc w:val="left"/>
        <w:rPr>
          <w:rFonts w:ascii="Times New Roman" w:hAnsi="Times New Roman" w:cs="Times New Roman"/>
        </w:rPr>
      </w:pPr>
      <w:r w:rsidRPr="00A87BAD">
        <w:rPr>
          <w:rFonts w:ascii="Times New Roman" w:hAnsi="Times New Roman" w:cs="Times New Roman"/>
        </w:rPr>
        <w:t>Office of the Privacy Commissioner for Personal Data (2024) Artificial Intelligence: Model Personal Data Protection Framework. Hong Kong: PCPD. Available at: https://www.pcpd.org.hk/english/resources_centre/publications/files/ai_protection_framework.pdf (Accessed: 14 April 2026).</w:t>
      </w:r>
    </w:p>
    <w:p w14:paraId="19784498" w14:textId="77777777" w:rsidR="00A87BAD" w:rsidRPr="00A87BAD" w:rsidRDefault="00A87BAD" w:rsidP="00A87BAD">
      <w:pPr>
        <w:pStyle w:val="af"/>
        <w:spacing w:after="0"/>
        <w:ind w:left="360" w:hanging="360"/>
        <w:jc w:val="left"/>
        <w:rPr>
          <w:rFonts w:ascii="Times New Roman" w:hAnsi="Times New Roman" w:cs="Times New Roman"/>
        </w:rPr>
      </w:pPr>
      <w:r w:rsidRPr="00A87BAD">
        <w:rPr>
          <w:rFonts w:ascii="Times New Roman" w:hAnsi="Times New Roman" w:cs="Times New Roman"/>
        </w:rPr>
        <w:t>Office of the Privacy Commissioner for Personal Data (2025) Checklist on Guidelines for the Use of Generative AI by Employees. Hong Kong: PCPD. Available at: https://www.pcpd.org.hk/english/resources_centre/publications/files/gen_ai_checklist.pdf (Accessed: 14 April 2026).</w:t>
      </w:r>
    </w:p>
    <w:p w14:paraId="35EC3CA2" w14:textId="77777777" w:rsidR="00A87BAD" w:rsidRPr="00A87BAD" w:rsidRDefault="00A87BAD" w:rsidP="00A87BAD">
      <w:pPr>
        <w:pStyle w:val="af"/>
        <w:spacing w:after="0"/>
        <w:ind w:left="360" w:hanging="360"/>
        <w:jc w:val="left"/>
        <w:rPr>
          <w:rFonts w:ascii="Times New Roman" w:hAnsi="Times New Roman" w:cs="Times New Roman"/>
        </w:rPr>
      </w:pPr>
      <w:r w:rsidRPr="00A87BAD">
        <w:rPr>
          <w:rFonts w:ascii="Times New Roman" w:hAnsi="Times New Roman" w:cs="Times New Roman"/>
        </w:rPr>
        <w:t>Prudential Regulation Authority (2023) SS1/23 - Model risk management principles for banks. London: Bank of England. Available at: https://www.bankofengland.co.uk/prudential-regulation/publication/2023/may/model-risk-management-principles-for-banks-ss (Accessed: 14 April 2026).</w:t>
      </w:r>
    </w:p>
    <w:p w14:paraId="42DEDC48" w14:textId="77777777" w:rsidR="00A87BAD" w:rsidRPr="00A87BAD" w:rsidRDefault="00A87BAD" w:rsidP="00A87BAD">
      <w:pPr>
        <w:pStyle w:val="af"/>
        <w:spacing w:after="0"/>
        <w:ind w:left="360" w:hanging="360"/>
        <w:jc w:val="left"/>
        <w:rPr>
          <w:rFonts w:ascii="Times New Roman" w:hAnsi="Times New Roman" w:cs="Times New Roman"/>
        </w:rPr>
      </w:pPr>
      <w:r w:rsidRPr="00A87BAD">
        <w:rPr>
          <w:rFonts w:ascii="Times New Roman" w:hAnsi="Times New Roman" w:cs="Times New Roman"/>
        </w:rPr>
        <w:t xml:space="preserve">Raji, I.D., Smart, A., White, R.N., Mitchell, M., Gebru, T., Hutchinson, B., Smith-Loud, J., Theron, D. and Barnes, P. (2020) ‘Closing the AI accountability gap: defining an end-to-end framework for internal algorithmic auditing’, Proceedings of the 2020 Conference on Fairness, Accountability, and Transparency, pp. 33-44. </w:t>
      </w:r>
      <w:proofErr w:type="spellStart"/>
      <w:r w:rsidRPr="00A87BAD">
        <w:rPr>
          <w:rFonts w:ascii="Times New Roman" w:hAnsi="Times New Roman" w:cs="Times New Roman"/>
        </w:rPr>
        <w:t>doi</w:t>
      </w:r>
      <w:proofErr w:type="spellEnd"/>
      <w:r w:rsidRPr="00A87BAD">
        <w:rPr>
          <w:rFonts w:ascii="Times New Roman" w:hAnsi="Times New Roman" w:cs="Times New Roman"/>
        </w:rPr>
        <w:t>: 10.1145/3351095.3372873.</w:t>
      </w:r>
    </w:p>
    <w:p w14:paraId="7AB5904B" w14:textId="77777777" w:rsidR="00A87BAD" w:rsidRPr="00A87BAD" w:rsidRDefault="00A87BAD" w:rsidP="00A87BAD">
      <w:pPr>
        <w:pStyle w:val="af"/>
        <w:spacing w:after="0"/>
        <w:ind w:left="360" w:hanging="360"/>
        <w:jc w:val="left"/>
        <w:rPr>
          <w:rFonts w:ascii="Times New Roman" w:hAnsi="Times New Roman" w:cs="Times New Roman"/>
        </w:rPr>
      </w:pPr>
      <w:r w:rsidRPr="00A87BAD">
        <w:rPr>
          <w:rFonts w:ascii="Times New Roman" w:hAnsi="Times New Roman" w:cs="Times New Roman"/>
        </w:rPr>
        <w:t>Standard Chartered PLC (2026) Annual Report 2025. London: Standard Chartered PLC. Available at: https://www.sc.com/en/uploads/sites/66/content/docs/standard-chartered-plc-2025-annual-report.pdf (Accessed: 22 April 2026).</w:t>
      </w:r>
    </w:p>
    <w:p w14:paraId="2B005397" w14:textId="769C0716" w:rsidR="00A11F86" w:rsidRPr="00A87BAD" w:rsidRDefault="00A87BAD" w:rsidP="00A87BAD">
      <w:pPr>
        <w:pStyle w:val="af"/>
        <w:spacing w:after="0"/>
        <w:ind w:left="360" w:hanging="360"/>
        <w:jc w:val="left"/>
        <w:rPr>
          <w:rFonts w:ascii="Times New Roman" w:eastAsia="宋体" w:hAnsi="Times New Roman" w:cs="Times New Roman" w:hint="eastAsia"/>
          <w:lang w:eastAsia="zh-CN"/>
        </w:rPr>
      </w:pPr>
      <w:r w:rsidRPr="00A87BAD">
        <w:rPr>
          <w:rFonts w:ascii="Times New Roman" w:hAnsi="Times New Roman" w:cs="Times New Roman"/>
        </w:rPr>
        <w:t xml:space="preserve">Suresh, H. and Guttag, J. (2021) ‘A framework for understanding sources of harm throughout the machine learning life cycle’, EAAMO ’21: Equity and Access in Algorithms, Mechanisms, and Optimization. </w:t>
      </w:r>
      <w:proofErr w:type="spellStart"/>
      <w:r w:rsidRPr="00A87BAD">
        <w:rPr>
          <w:rFonts w:ascii="Times New Roman" w:hAnsi="Times New Roman" w:cs="Times New Roman"/>
        </w:rPr>
        <w:t>doi</w:t>
      </w:r>
      <w:proofErr w:type="spellEnd"/>
      <w:r w:rsidRPr="00A87BAD">
        <w:rPr>
          <w:rFonts w:ascii="Times New Roman" w:hAnsi="Times New Roman" w:cs="Times New Roman"/>
        </w:rPr>
        <w:t>: 10.1145/3465416.3483305.</w:t>
      </w:r>
    </w:p>
    <w:sectPr w:rsidR="00A11F86" w:rsidRPr="00A87BAD">
      <w:footerReference w:type="default" r:id="rId8"/>
      <w:pgSz w:w="12240" w:h="15840"/>
      <w:pgMar w:top="1152" w:right="1224" w:bottom="1080" w:left="122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A9CECF" w14:textId="77777777" w:rsidR="001B5AB6" w:rsidRPr="00711918" w:rsidRDefault="001B5AB6">
      <w:pPr>
        <w:spacing w:after="0" w:line="240" w:lineRule="auto"/>
      </w:pPr>
      <w:r w:rsidRPr="00711918">
        <w:separator/>
      </w:r>
    </w:p>
  </w:endnote>
  <w:endnote w:type="continuationSeparator" w:id="0">
    <w:p w14:paraId="3ECB77EC" w14:textId="77777777" w:rsidR="001B5AB6" w:rsidRPr="00711918" w:rsidRDefault="001B5AB6">
      <w:pPr>
        <w:spacing w:after="0" w:line="240" w:lineRule="auto"/>
      </w:pPr>
      <w:r w:rsidRPr="00711918">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w:panose1 w:val="02070409020205020404"/>
    <w:charset w:val="00"/>
    <w:family w:val="auto"/>
    <w:pitch w:val="variable"/>
    <w:sig w:usb0="00000003" w:usb1="00000000" w:usb2="00000000" w:usb3="00000000" w:csb0="00000001" w:csb1="00000000"/>
  </w:font>
  <w:font w:name="宋体">
    <w:altName w:val="SimSun"/>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971EBC" w14:textId="77777777" w:rsidR="00A11F86" w:rsidRPr="00711918" w:rsidRDefault="00000000">
    <w:pPr>
      <w:pStyle w:val="a7"/>
      <w:jc w:val="center"/>
    </w:pPr>
    <w:r w:rsidRPr="00711918">
      <w:t xml:space="preserve">Page </w:t>
    </w:r>
    <w:r w:rsidRPr="00711918">
      <w:fldChar w:fldCharType="begin"/>
    </w:r>
    <w:r w:rsidRPr="00711918">
      <w:instrText>PAGE</w:instrText>
    </w:r>
    <w:r w:rsidRPr="00711918">
      <w:fldChar w:fldCharType="separate"/>
    </w:r>
    <w:r w:rsidR="00AD7E8E" w:rsidRPr="00711918">
      <w:t>1</w:t>
    </w:r>
    <w:r w:rsidRPr="00711918">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63E95D" w14:textId="77777777" w:rsidR="001B5AB6" w:rsidRPr="00711918" w:rsidRDefault="001B5AB6">
      <w:pPr>
        <w:spacing w:after="0" w:line="240" w:lineRule="auto"/>
      </w:pPr>
      <w:r w:rsidRPr="00711918">
        <w:separator/>
      </w:r>
    </w:p>
  </w:footnote>
  <w:footnote w:type="continuationSeparator" w:id="0">
    <w:p w14:paraId="021339FC" w14:textId="77777777" w:rsidR="001B5AB6" w:rsidRPr="00711918" w:rsidRDefault="001B5AB6">
      <w:pPr>
        <w:spacing w:after="0" w:line="240" w:lineRule="auto"/>
      </w:pPr>
      <w:r w:rsidRPr="00711918">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30"/>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20"/>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a"/>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a0"/>
      <w:lvlText w:val=""/>
      <w:lvlJc w:val="left"/>
      <w:pPr>
        <w:tabs>
          <w:tab w:val="num" w:pos="360"/>
        </w:tabs>
        <w:ind w:left="360" w:hanging="360"/>
      </w:pPr>
      <w:rPr>
        <w:rFonts w:ascii="Symbol" w:hAnsi="Symbol" w:hint="default"/>
      </w:rPr>
    </w:lvl>
  </w:abstractNum>
  <w:abstractNum w:abstractNumId="9" w15:restartNumberingAfterBreak="0">
    <w:nsid w:val="133178D4"/>
    <w:multiLevelType w:val="hybridMultilevel"/>
    <w:tmpl w:val="95D80322"/>
    <w:lvl w:ilvl="0" w:tplc="801657EC">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0" w15:restartNumberingAfterBreak="0">
    <w:nsid w:val="3DCE4B74"/>
    <w:multiLevelType w:val="hybridMultilevel"/>
    <w:tmpl w:val="C4AEE11A"/>
    <w:lvl w:ilvl="0" w:tplc="8D509E70">
      <w:start w:val="1"/>
      <w:numFmt w:val="decimal"/>
      <w:lvlText w:val="%1."/>
      <w:lvlJc w:val="left"/>
      <w:pPr>
        <w:ind w:left="360" w:hanging="360"/>
      </w:pPr>
      <w:rPr>
        <w:rFonts w:eastAsiaTheme="majorEastAsia"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num w:numId="1" w16cid:durableId="299923023">
    <w:abstractNumId w:val="8"/>
  </w:num>
  <w:num w:numId="2" w16cid:durableId="1135180015">
    <w:abstractNumId w:val="6"/>
  </w:num>
  <w:num w:numId="3" w16cid:durableId="1160385081">
    <w:abstractNumId w:val="5"/>
  </w:num>
  <w:num w:numId="4" w16cid:durableId="1448087808">
    <w:abstractNumId w:val="4"/>
  </w:num>
  <w:num w:numId="5" w16cid:durableId="1854998387">
    <w:abstractNumId w:val="7"/>
  </w:num>
  <w:num w:numId="6" w16cid:durableId="850029979">
    <w:abstractNumId w:val="3"/>
  </w:num>
  <w:num w:numId="7" w16cid:durableId="245575752">
    <w:abstractNumId w:val="2"/>
  </w:num>
  <w:num w:numId="8" w16cid:durableId="24379592">
    <w:abstractNumId w:val="1"/>
  </w:num>
  <w:num w:numId="9" w16cid:durableId="1275671279">
    <w:abstractNumId w:val="0"/>
  </w:num>
  <w:num w:numId="10" w16cid:durableId="2107577359">
    <w:abstractNumId w:val="10"/>
  </w:num>
  <w:num w:numId="11" w16cid:durableId="156698991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bordersDoNotSurroundHeader/>
  <w:bordersDoNotSurroundFooter/>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5074B"/>
    <w:rsid w:val="001B5AB6"/>
    <w:rsid w:val="0029639D"/>
    <w:rsid w:val="00326F90"/>
    <w:rsid w:val="00711918"/>
    <w:rsid w:val="007B5598"/>
    <w:rsid w:val="00986AF7"/>
    <w:rsid w:val="00A11F86"/>
    <w:rsid w:val="00A36562"/>
    <w:rsid w:val="00A87BAD"/>
    <w:rsid w:val="00AA1D8D"/>
    <w:rsid w:val="00AD7E8E"/>
    <w:rsid w:val="00B47730"/>
    <w:rsid w:val="00CB0664"/>
    <w:rsid w:val="00CD697F"/>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6D400393"/>
  <w14:defaultImageDpi w14:val="300"/>
  <w15:docId w15:val="{77E4A16D-EF95-47EE-96D1-ED6D7BCC1B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1">
    <w:name w:val="Normal"/>
    <w:qFormat/>
    <w:rsid w:val="00FC693F"/>
    <w:pPr>
      <w:spacing w:after="120"/>
    </w:pPr>
    <w:rPr>
      <w:rFonts w:ascii="Arial" w:eastAsia="Arial" w:hAnsi="Arial"/>
      <w:lang w:val="en-GB"/>
    </w:rPr>
  </w:style>
  <w:style w:type="paragraph" w:styleId="1">
    <w:name w:val="heading 1"/>
    <w:basedOn w:val="a1"/>
    <w:next w:val="a1"/>
    <w:link w:val="10"/>
    <w:uiPriority w:val="9"/>
    <w:qFormat/>
    <w:rsid w:val="00FC693F"/>
    <w:pPr>
      <w:keepNext/>
      <w:keepLines/>
      <w:spacing w:before="320"/>
      <w:outlineLvl w:val="0"/>
    </w:pPr>
    <w:rPr>
      <w:rFonts w:asciiTheme="majorHAnsi" w:eastAsiaTheme="majorEastAsia" w:hAnsiTheme="majorHAnsi" w:cstheme="majorBidi"/>
      <w:b/>
      <w:bCs/>
      <w:color w:val="1F4E79"/>
      <w:sz w:val="32"/>
      <w:szCs w:val="28"/>
    </w:rPr>
  </w:style>
  <w:style w:type="paragraph" w:styleId="21">
    <w:name w:val="heading 2"/>
    <w:basedOn w:val="a1"/>
    <w:next w:val="a1"/>
    <w:link w:val="22"/>
    <w:uiPriority w:val="9"/>
    <w:unhideWhenUsed/>
    <w:qFormat/>
    <w:rsid w:val="00FC693F"/>
    <w:pPr>
      <w:keepNext/>
      <w:keepLines/>
      <w:spacing w:before="240"/>
      <w:outlineLvl w:val="1"/>
    </w:pPr>
    <w:rPr>
      <w:rFonts w:asciiTheme="majorHAnsi" w:eastAsiaTheme="majorEastAsia" w:hAnsiTheme="majorHAnsi" w:cstheme="majorBidi"/>
      <w:b/>
      <w:bCs/>
      <w:color w:val="1F4E79"/>
      <w:sz w:val="26"/>
      <w:szCs w:val="26"/>
    </w:rPr>
  </w:style>
  <w:style w:type="paragraph" w:styleId="31">
    <w:name w:val="heading 3"/>
    <w:basedOn w:val="a1"/>
    <w:next w:val="a1"/>
    <w:link w:val="32"/>
    <w:uiPriority w:val="9"/>
    <w:unhideWhenUsed/>
    <w:qFormat/>
    <w:rsid w:val="00FC693F"/>
    <w:pPr>
      <w:keepNext/>
      <w:keepLines/>
      <w:spacing w:before="240"/>
      <w:outlineLvl w:val="2"/>
    </w:pPr>
    <w:rPr>
      <w:rFonts w:asciiTheme="majorHAnsi" w:eastAsiaTheme="majorEastAsia" w:hAnsiTheme="majorHAnsi" w:cstheme="majorBidi"/>
      <w:b/>
      <w:bCs/>
      <w:color w:val="2F5496"/>
      <w:sz w:val="23"/>
    </w:rPr>
  </w:style>
  <w:style w:type="paragraph" w:styleId="4">
    <w:name w:val="heading 4"/>
    <w:basedOn w:val="a1"/>
    <w:next w:val="a1"/>
    <w:link w:val="40"/>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5">
    <w:name w:val="heading 5"/>
    <w:basedOn w:val="a1"/>
    <w:next w:val="a1"/>
    <w:link w:val="50"/>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6">
    <w:name w:val="heading 6"/>
    <w:basedOn w:val="a1"/>
    <w:next w:val="a1"/>
    <w:link w:val="60"/>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7">
    <w:name w:val="heading 7"/>
    <w:basedOn w:val="a1"/>
    <w:next w:val="a1"/>
    <w:link w:val="70"/>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8">
    <w:name w:val="heading 8"/>
    <w:basedOn w:val="a1"/>
    <w:next w:val="a1"/>
    <w:link w:val="80"/>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9">
    <w:name w:val="heading 9"/>
    <w:basedOn w:val="a1"/>
    <w:next w:val="a1"/>
    <w:link w:val="90"/>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a2">
    <w:name w:val="Default Paragraph Font"/>
    <w:uiPriority w:val="1"/>
    <w:semiHidden/>
    <w:unhideWhenUsed/>
  </w:style>
  <w:style w:type="table" w:default="1" w:styleId="a3">
    <w:name w:val="Normal Table"/>
    <w:uiPriority w:val="99"/>
    <w:semiHidden/>
    <w:unhideWhenUsed/>
    <w:tblPr>
      <w:tblInd w:w="0" w:type="dxa"/>
      <w:tblCellMar>
        <w:top w:w="0" w:type="dxa"/>
        <w:left w:w="108" w:type="dxa"/>
        <w:bottom w:w="0" w:type="dxa"/>
        <w:right w:w="108" w:type="dxa"/>
      </w:tblCellMar>
    </w:tblPr>
  </w:style>
  <w:style w:type="numbering" w:default="1" w:styleId="a4">
    <w:name w:val="No List"/>
    <w:uiPriority w:val="99"/>
    <w:semiHidden/>
    <w:unhideWhenUsed/>
  </w:style>
  <w:style w:type="paragraph" w:styleId="a5">
    <w:name w:val="header"/>
    <w:basedOn w:val="a1"/>
    <w:link w:val="a6"/>
    <w:uiPriority w:val="99"/>
    <w:unhideWhenUsed/>
    <w:rsid w:val="00E618BF"/>
    <w:pPr>
      <w:tabs>
        <w:tab w:val="center" w:pos="4680"/>
        <w:tab w:val="right" w:pos="9360"/>
      </w:tabs>
      <w:spacing w:after="0" w:line="240" w:lineRule="auto"/>
    </w:pPr>
  </w:style>
  <w:style w:type="character" w:customStyle="1" w:styleId="a6">
    <w:name w:val="页眉 字符"/>
    <w:basedOn w:val="a2"/>
    <w:link w:val="a5"/>
    <w:uiPriority w:val="99"/>
    <w:rsid w:val="00E618BF"/>
  </w:style>
  <w:style w:type="paragraph" w:styleId="a7">
    <w:name w:val="footer"/>
    <w:basedOn w:val="a1"/>
    <w:link w:val="a8"/>
    <w:uiPriority w:val="99"/>
    <w:unhideWhenUsed/>
    <w:rsid w:val="00E618BF"/>
    <w:pPr>
      <w:tabs>
        <w:tab w:val="center" w:pos="4680"/>
        <w:tab w:val="right" w:pos="9360"/>
      </w:tabs>
      <w:spacing w:after="0" w:line="240" w:lineRule="auto"/>
    </w:pPr>
  </w:style>
  <w:style w:type="character" w:customStyle="1" w:styleId="a8">
    <w:name w:val="页脚 字符"/>
    <w:basedOn w:val="a2"/>
    <w:link w:val="a7"/>
    <w:uiPriority w:val="99"/>
    <w:rsid w:val="00E618BF"/>
  </w:style>
  <w:style w:type="paragraph" w:styleId="a9">
    <w:name w:val="No Spacing"/>
    <w:uiPriority w:val="1"/>
    <w:qFormat/>
    <w:rsid w:val="00FC693F"/>
    <w:pPr>
      <w:spacing w:after="0" w:line="240" w:lineRule="auto"/>
    </w:pPr>
  </w:style>
  <w:style w:type="character" w:customStyle="1" w:styleId="10">
    <w:name w:val="标题 1 字符"/>
    <w:basedOn w:val="a2"/>
    <w:link w:val="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22">
    <w:name w:val="标题 2 字符"/>
    <w:basedOn w:val="a2"/>
    <w:link w:val="21"/>
    <w:uiPriority w:val="9"/>
    <w:rsid w:val="00FC693F"/>
    <w:rPr>
      <w:rFonts w:asciiTheme="majorHAnsi" w:eastAsiaTheme="majorEastAsia" w:hAnsiTheme="majorHAnsi" w:cstheme="majorBidi"/>
      <w:b/>
      <w:bCs/>
      <w:color w:val="4F81BD" w:themeColor="accent1"/>
      <w:sz w:val="26"/>
      <w:szCs w:val="26"/>
    </w:rPr>
  </w:style>
  <w:style w:type="character" w:customStyle="1" w:styleId="32">
    <w:name w:val="标题 3 字符"/>
    <w:basedOn w:val="a2"/>
    <w:link w:val="31"/>
    <w:uiPriority w:val="9"/>
    <w:rsid w:val="00FC693F"/>
    <w:rPr>
      <w:rFonts w:asciiTheme="majorHAnsi" w:eastAsiaTheme="majorEastAsia" w:hAnsiTheme="majorHAnsi" w:cstheme="majorBidi"/>
      <w:b/>
      <w:bCs/>
      <w:color w:val="4F81BD" w:themeColor="accent1"/>
    </w:rPr>
  </w:style>
  <w:style w:type="paragraph" w:styleId="aa">
    <w:name w:val="Title"/>
    <w:basedOn w:val="a1"/>
    <w:next w:val="a1"/>
    <w:link w:val="ab"/>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ab">
    <w:name w:val="标题 字符"/>
    <w:basedOn w:val="a2"/>
    <w:link w:val="aa"/>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ac">
    <w:name w:val="Subtitle"/>
    <w:basedOn w:val="a1"/>
    <w:next w:val="a1"/>
    <w:link w:val="ad"/>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ad">
    <w:name w:val="副标题 字符"/>
    <w:basedOn w:val="a2"/>
    <w:link w:val="ac"/>
    <w:uiPriority w:val="11"/>
    <w:rsid w:val="00FC693F"/>
    <w:rPr>
      <w:rFonts w:asciiTheme="majorHAnsi" w:eastAsiaTheme="majorEastAsia" w:hAnsiTheme="majorHAnsi" w:cstheme="majorBidi"/>
      <w:i/>
      <w:iCs/>
      <w:color w:val="4F81BD" w:themeColor="accent1"/>
      <w:spacing w:val="15"/>
      <w:sz w:val="24"/>
      <w:szCs w:val="24"/>
    </w:rPr>
  </w:style>
  <w:style w:type="paragraph" w:styleId="ae">
    <w:name w:val="List Paragraph"/>
    <w:basedOn w:val="a1"/>
    <w:uiPriority w:val="34"/>
    <w:qFormat/>
    <w:rsid w:val="00FC693F"/>
    <w:pPr>
      <w:ind w:left="720"/>
      <w:contextualSpacing/>
    </w:pPr>
  </w:style>
  <w:style w:type="paragraph" w:styleId="af">
    <w:name w:val="Body Text"/>
    <w:basedOn w:val="a1"/>
    <w:link w:val="af0"/>
    <w:uiPriority w:val="99"/>
    <w:unhideWhenUsed/>
    <w:rsid w:val="00AA1D8D"/>
    <w:pPr>
      <w:spacing w:after="140"/>
      <w:jc w:val="both"/>
    </w:pPr>
  </w:style>
  <w:style w:type="character" w:customStyle="1" w:styleId="af0">
    <w:name w:val="正文文本 字符"/>
    <w:basedOn w:val="a2"/>
    <w:link w:val="af"/>
    <w:uiPriority w:val="99"/>
    <w:rsid w:val="00AA1D8D"/>
  </w:style>
  <w:style w:type="paragraph" w:styleId="23">
    <w:name w:val="Body Text 2"/>
    <w:basedOn w:val="a1"/>
    <w:link w:val="24"/>
    <w:uiPriority w:val="99"/>
    <w:unhideWhenUsed/>
    <w:rsid w:val="00AA1D8D"/>
    <w:pPr>
      <w:spacing w:line="480" w:lineRule="auto"/>
    </w:pPr>
  </w:style>
  <w:style w:type="character" w:customStyle="1" w:styleId="24">
    <w:name w:val="正文文本 2 字符"/>
    <w:basedOn w:val="a2"/>
    <w:link w:val="23"/>
    <w:uiPriority w:val="99"/>
    <w:rsid w:val="00AA1D8D"/>
  </w:style>
  <w:style w:type="paragraph" w:styleId="33">
    <w:name w:val="Body Text 3"/>
    <w:basedOn w:val="a1"/>
    <w:link w:val="34"/>
    <w:uiPriority w:val="99"/>
    <w:unhideWhenUsed/>
    <w:rsid w:val="00AA1D8D"/>
    <w:rPr>
      <w:sz w:val="16"/>
      <w:szCs w:val="16"/>
    </w:rPr>
  </w:style>
  <w:style w:type="character" w:customStyle="1" w:styleId="34">
    <w:name w:val="正文文本 3 字符"/>
    <w:basedOn w:val="a2"/>
    <w:link w:val="33"/>
    <w:uiPriority w:val="99"/>
    <w:rsid w:val="00AA1D8D"/>
    <w:rPr>
      <w:sz w:val="16"/>
      <w:szCs w:val="16"/>
    </w:rPr>
  </w:style>
  <w:style w:type="paragraph" w:styleId="af1">
    <w:name w:val="List"/>
    <w:basedOn w:val="a1"/>
    <w:uiPriority w:val="99"/>
    <w:unhideWhenUsed/>
    <w:rsid w:val="00AA1D8D"/>
    <w:pPr>
      <w:ind w:left="360" w:hanging="360"/>
      <w:contextualSpacing/>
    </w:pPr>
  </w:style>
  <w:style w:type="paragraph" w:styleId="25">
    <w:name w:val="List 2"/>
    <w:basedOn w:val="a1"/>
    <w:uiPriority w:val="99"/>
    <w:unhideWhenUsed/>
    <w:rsid w:val="00326F90"/>
    <w:pPr>
      <w:ind w:left="720" w:hanging="360"/>
      <w:contextualSpacing/>
    </w:pPr>
  </w:style>
  <w:style w:type="paragraph" w:styleId="35">
    <w:name w:val="List 3"/>
    <w:basedOn w:val="a1"/>
    <w:uiPriority w:val="99"/>
    <w:unhideWhenUsed/>
    <w:rsid w:val="00326F90"/>
    <w:pPr>
      <w:ind w:left="1080" w:hanging="360"/>
      <w:contextualSpacing/>
    </w:pPr>
  </w:style>
  <w:style w:type="paragraph" w:styleId="a0">
    <w:name w:val="List Bullet"/>
    <w:basedOn w:val="a1"/>
    <w:uiPriority w:val="99"/>
    <w:unhideWhenUsed/>
    <w:rsid w:val="00326F90"/>
    <w:pPr>
      <w:numPr>
        <w:numId w:val="1"/>
      </w:numPr>
      <w:contextualSpacing/>
    </w:pPr>
  </w:style>
  <w:style w:type="paragraph" w:styleId="20">
    <w:name w:val="List Bullet 2"/>
    <w:basedOn w:val="a1"/>
    <w:uiPriority w:val="99"/>
    <w:unhideWhenUsed/>
    <w:rsid w:val="00326F90"/>
    <w:pPr>
      <w:numPr>
        <w:numId w:val="2"/>
      </w:numPr>
      <w:contextualSpacing/>
    </w:pPr>
  </w:style>
  <w:style w:type="paragraph" w:styleId="30">
    <w:name w:val="List Bullet 3"/>
    <w:basedOn w:val="a1"/>
    <w:uiPriority w:val="99"/>
    <w:unhideWhenUsed/>
    <w:rsid w:val="00326F90"/>
    <w:pPr>
      <w:numPr>
        <w:numId w:val="3"/>
      </w:numPr>
      <w:contextualSpacing/>
    </w:pPr>
  </w:style>
  <w:style w:type="paragraph" w:styleId="a">
    <w:name w:val="List Number"/>
    <w:basedOn w:val="a1"/>
    <w:uiPriority w:val="99"/>
    <w:unhideWhenUsed/>
    <w:rsid w:val="00326F90"/>
    <w:pPr>
      <w:numPr>
        <w:numId w:val="5"/>
      </w:numPr>
      <w:contextualSpacing/>
    </w:pPr>
  </w:style>
  <w:style w:type="paragraph" w:styleId="2">
    <w:name w:val="List Number 2"/>
    <w:basedOn w:val="a1"/>
    <w:uiPriority w:val="99"/>
    <w:unhideWhenUsed/>
    <w:rsid w:val="0029639D"/>
    <w:pPr>
      <w:numPr>
        <w:numId w:val="6"/>
      </w:numPr>
      <w:contextualSpacing/>
    </w:pPr>
  </w:style>
  <w:style w:type="paragraph" w:styleId="3">
    <w:name w:val="List Number 3"/>
    <w:basedOn w:val="a1"/>
    <w:uiPriority w:val="99"/>
    <w:unhideWhenUsed/>
    <w:rsid w:val="0029639D"/>
    <w:pPr>
      <w:numPr>
        <w:numId w:val="7"/>
      </w:numPr>
      <w:contextualSpacing/>
    </w:pPr>
  </w:style>
  <w:style w:type="paragraph" w:styleId="af2">
    <w:name w:val="List Continue"/>
    <w:basedOn w:val="a1"/>
    <w:uiPriority w:val="99"/>
    <w:unhideWhenUsed/>
    <w:rsid w:val="0029639D"/>
    <w:pPr>
      <w:ind w:left="360"/>
      <w:contextualSpacing/>
    </w:pPr>
  </w:style>
  <w:style w:type="paragraph" w:styleId="26">
    <w:name w:val="List Continue 2"/>
    <w:basedOn w:val="a1"/>
    <w:uiPriority w:val="99"/>
    <w:unhideWhenUsed/>
    <w:rsid w:val="0029639D"/>
    <w:pPr>
      <w:ind w:left="720"/>
      <w:contextualSpacing/>
    </w:pPr>
  </w:style>
  <w:style w:type="paragraph" w:styleId="36">
    <w:name w:val="List Continue 3"/>
    <w:basedOn w:val="a1"/>
    <w:uiPriority w:val="99"/>
    <w:unhideWhenUsed/>
    <w:rsid w:val="0029639D"/>
    <w:pPr>
      <w:ind w:left="1080"/>
      <w:contextualSpacing/>
    </w:pPr>
  </w:style>
  <w:style w:type="paragraph" w:styleId="af3">
    <w:name w:val="macro"/>
    <w:link w:val="af4"/>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af4">
    <w:name w:val="宏文本 字符"/>
    <w:basedOn w:val="a2"/>
    <w:link w:val="af3"/>
    <w:uiPriority w:val="99"/>
    <w:rsid w:val="0029639D"/>
    <w:rPr>
      <w:rFonts w:ascii="Courier" w:hAnsi="Courier"/>
      <w:sz w:val="20"/>
      <w:szCs w:val="20"/>
    </w:rPr>
  </w:style>
  <w:style w:type="paragraph" w:styleId="af5">
    <w:name w:val="Quote"/>
    <w:basedOn w:val="a1"/>
    <w:next w:val="a1"/>
    <w:link w:val="af6"/>
    <w:uiPriority w:val="29"/>
    <w:qFormat/>
    <w:rsid w:val="00FC693F"/>
    <w:rPr>
      <w:i/>
      <w:iCs/>
      <w:color w:val="000000" w:themeColor="text1"/>
    </w:rPr>
  </w:style>
  <w:style w:type="character" w:customStyle="1" w:styleId="af6">
    <w:name w:val="引用 字符"/>
    <w:basedOn w:val="a2"/>
    <w:link w:val="af5"/>
    <w:uiPriority w:val="29"/>
    <w:rsid w:val="00FC693F"/>
    <w:rPr>
      <w:i/>
      <w:iCs/>
      <w:color w:val="000000" w:themeColor="text1"/>
    </w:rPr>
  </w:style>
  <w:style w:type="character" w:customStyle="1" w:styleId="40">
    <w:name w:val="标题 4 字符"/>
    <w:basedOn w:val="a2"/>
    <w:link w:val="4"/>
    <w:uiPriority w:val="9"/>
    <w:semiHidden/>
    <w:rsid w:val="00FC693F"/>
    <w:rPr>
      <w:rFonts w:asciiTheme="majorHAnsi" w:eastAsiaTheme="majorEastAsia" w:hAnsiTheme="majorHAnsi" w:cstheme="majorBidi"/>
      <w:b/>
      <w:bCs/>
      <w:i/>
      <w:iCs/>
      <w:color w:val="4F81BD" w:themeColor="accent1"/>
    </w:rPr>
  </w:style>
  <w:style w:type="character" w:customStyle="1" w:styleId="50">
    <w:name w:val="标题 5 字符"/>
    <w:basedOn w:val="a2"/>
    <w:link w:val="5"/>
    <w:uiPriority w:val="9"/>
    <w:semiHidden/>
    <w:rsid w:val="00FC693F"/>
    <w:rPr>
      <w:rFonts w:asciiTheme="majorHAnsi" w:eastAsiaTheme="majorEastAsia" w:hAnsiTheme="majorHAnsi" w:cstheme="majorBidi"/>
      <w:color w:val="243F60" w:themeColor="accent1" w:themeShade="7F"/>
    </w:rPr>
  </w:style>
  <w:style w:type="character" w:customStyle="1" w:styleId="60">
    <w:name w:val="标题 6 字符"/>
    <w:basedOn w:val="a2"/>
    <w:link w:val="6"/>
    <w:uiPriority w:val="9"/>
    <w:semiHidden/>
    <w:rsid w:val="00FC693F"/>
    <w:rPr>
      <w:rFonts w:asciiTheme="majorHAnsi" w:eastAsiaTheme="majorEastAsia" w:hAnsiTheme="majorHAnsi" w:cstheme="majorBidi"/>
      <w:i/>
      <w:iCs/>
      <w:color w:val="243F60" w:themeColor="accent1" w:themeShade="7F"/>
    </w:rPr>
  </w:style>
  <w:style w:type="character" w:customStyle="1" w:styleId="70">
    <w:name w:val="标题 7 字符"/>
    <w:basedOn w:val="a2"/>
    <w:link w:val="7"/>
    <w:uiPriority w:val="9"/>
    <w:semiHidden/>
    <w:rsid w:val="00FC693F"/>
    <w:rPr>
      <w:rFonts w:asciiTheme="majorHAnsi" w:eastAsiaTheme="majorEastAsia" w:hAnsiTheme="majorHAnsi" w:cstheme="majorBidi"/>
      <w:i/>
      <w:iCs/>
      <w:color w:val="404040" w:themeColor="text1" w:themeTint="BF"/>
    </w:rPr>
  </w:style>
  <w:style w:type="character" w:customStyle="1" w:styleId="80">
    <w:name w:val="标题 8 字符"/>
    <w:basedOn w:val="a2"/>
    <w:link w:val="8"/>
    <w:uiPriority w:val="9"/>
    <w:semiHidden/>
    <w:rsid w:val="00FC693F"/>
    <w:rPr>
      <w:rFonts w:asciiTheme="majorHAnsi" w:eastAsiaTheme="majorEastAsia" w:hAnsiTheme="majorHAnsi" w:cstheme="majorBidi"/>
      <w:color w:val="4F81BD" w:themeColor="accent1"/>
      <w:sz w:val="20"/>
      <w:szCs w:val="20"/>
    </w:rPr>
  </w:style>
  <w:style w:type="character" w:customStyle="1" w:styleId="90">
    <w:name w:val="标题 9 字符"/>
    <w:basedOn w:val="a2"/>
    <w:link w:val="9"/>
    <w:uiPriority w:val="9"/>
    <w:semiHidden/>
    <w:rsid w:val="00FC693F"/>
    <w:rPr>
      <w:rFonts w:asciiTheme="majorHAnsi" w:eastAsiaTheme="majorEastAsia" w:hAnsiTheme="majorHAnsi" w:cstheme="majorBidi"/>
      <w:i/>
      <w:iCs/>
      <w:color w:val="404040" w:themeColor="text1" w:themeTint="BF"/>
      <w:sz w:val="20"/>
      <w:szCs w:val="20"/>
    </w:rPr>
  </w:style>
  <w:style w:type="paragraph" w:styleId="af7">
    <w:name w:val="caption"/>
    <w:basedOn w:val="a1"/>
    <w:next w:val="a1"/>
    <w:uiPriority w:val="35"/>
    <w:semiHidden/>
    <w:unhideWhenUsed/>
    <w:qFormat/>
    <w:rsid w:val="00FC693F"/>
    <w:pPr>
      <w:spacing w:line="240" w:lineRule="auto"/>
    </w:pPr>
    <w:rPr>
      <w:b/>
      <w:bCs/>
      <w:color w:val="4F81BD" w:themeColor="accent1"/>
      <w:sz w:val="18"/>
      <w:szCs w:val="18"/>
    </w:rPr>
  </w:style>
  <w:style w:type="character" w:styleId="af8">
    <w:name w:val="Strong"/>
    <w:basedOn w:val="a2"/>
    <w:uiPriority w:val="22"/>
    <w:qFormat/>
    <w:rsid w:val="00FC693F"/>
    <w:rPr>
      <w:b/>
      <w:bCs/>
    </w:rPr>
  </w:style>
  <w:style w:type="character" w:styleId="af9">
    <w:name w:val="Emphasis"/>
    <w:basedOn w:val="a2"/>
    <w:uiPriority w:val="20"/>
    <w:qFormat/>
    <w:rsid w:val="00FC693F"/>
    <w:rPr>
      <w:i/>
      <w:iCs/>
    </w:rPr>
  </w:style>
  <w:style w:type="paragraph" w:styleId="afa">
    <w:name w:val="Intense Quote"/>
    <w:basedOn w:val="a1"/>
    <w:next w:val="a1"/>
    <w:link w:val="afb"/>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afb">
    <w:name w:val="明显引用 字符"/>
    <w:basedOn w:val="a2"/>
    <w:link w:val="afa"/>
    <w:uiPriority w:val="30"/>
    <w:rsid w:val="00FC693F"/>
    <w:rPr>
      <w:b/>
      <w:bCs/>
      <w:i/>
      <w:iCs/>
      <w:color w:val="4F81BD" w:themeColor="accent1"/>
    </w:rPr>
  </w:style>
  <w:style w:type="character" w:styleId="afc">
    <w:name w:val="Subtle Emphasis"/>
    <w:basedOn w:val="a2"/>
    <w:uiPriority w:val="19"/>
    <w:qFormat/>
    <w:rsid w:val="00FC693F"/>
    <w:rPr>
      <w:i/>
      <w:iCs/>
      <w:color w:val="808080" w:themeColor="text1" w:themeTint="7F"/>
    </w:rPr>
  </w:style>
  <w:style w:type="character" w:styleId="afd">
    <w:name w:val="Intense Emphasis"/>
    <w:basedOn w:val="a2"/>
    <w:uiPriority w:val="21"/>
    <w:qFormat/>
    <w:rsid w:val="00FC693F"/>
    <w:rPr>
      <w:b/>
      <w:bCs/>
      <w:i/>
      <w:iCs/>
      <w:color w:val="4F81BD" w:themeColor="accent1"/>
    </w:rPr>
  </w:style>
  <w:style w:type="character" w:styleId="afe">
    <w:name w:val="Subtle Reference"/>
    <w:basedOn w:val="a2"/>
    <w:uiPriority w:val="31"/>
    <w:qFormat/>
    <w:rsid w:val="00FC693F"/>
    <w:rPr>
      <w:smallCaps/>
      <w:color w:val="C0504D" w:themeColor="accent2"/>
      <w:u w:val="single"/>
    </w:rPr>
  </w:style>
  <w:style w:type="character" w:styleId="aff">
    <w:name w:val="Intense Reference"/>
    <w:basedOn w:val="a2"/>
    <w:uiPriority w:val="32"/>
    <w:qFormat/>
    <w:rsid w:val="00FC693F"/>
    <w:rPr>
      <w:b/>
      <w:bCs/>
      <w:smallCaps/>
      <w:color w:val="C0504D" w:themeColor="accent2"/>
      <w:spacing w:val="5"/>
      <w:u w:val="single"/>
    </w:rPr>
  </w:style>
  <w:style w:type="character" w:styleId="aff0">
    <w:name w:val="Book Title"/>
    <w:basedOn w:val="a2"/>
    <w:uiPriority w:val="33"/>
    <w:qFormat/>
    <w:rsid w:val="00FC693F"/>
    <w:rPr>
      <w:b/>
      <w:bCs/>
      <w:smallCaps/>
      <w:spacing w:val="5"/>
    </w:rPr>
  </w:style>
  <w:style w:type="paragraph" w:styleId="TOC">
    <w:name w:val="TOC Heading"/>
    <w:basedOn w:val="1"/>
    <w:next w:val="a1"/>
    <w:uiPriority w:val="39"/>
    <w:unhideWhenUsed/>
    <w:qFormat/>
    <w:rsid w:val="00FC693F"/>
    <w:pPr>
      <w:outlineLvl w:val="9"/>
    </w:pPr>
  </w:style>
  <w:style w:type="table" w:styleId="aff1">
    <w:name w:val="Table Grid"/>
    <w:basedOn w:val="a3"/>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aff2">
    <w:name w:val="Light Shading"/>
    <w:basedOn w:val="a3"/>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1">
    <w:name w:val="Light Shading Accent 1"/>
    <w:basedOn w:val="a3"/>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2">
    <w:name w:val="Light Shading Accent 2"/>
    <w:basedOn w:val="a3"/>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3">
    <w:name w:val="Light Shading Accent 3"/>
    <w:basedOn w:val="a3"/>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4">
    <w:name w:val="Light Shading Accent 4"/>
    <w:basedOn w:val="a3"/>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5">
    <w:name w:val="Light Shading Accent 5"/>
    <w:basedOn w:val="a3"/>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6">
    <w:name w:val="Light Shading Accent 6"/>
    <w:basedOn w:val="a3"/>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aff3">
    <w:name w:val="Light List"/>
    <w:basedOn w:val="a3"/>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10">
    <w:name w:val="Light List Accent 1"/>
    <w:basedOn w:val="a3"/>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20">
    <w:name w:val="Light List Accent 2"/>
    <w:basedOn w:val="a3"/>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30">
    <w:name w:val="Light List Accent 3"/>
    <w:basedOn w:val="a3"/>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40">
    <w:name w:val="Light List Accent 4"/>
    <w:basedOn w:val="a3"/>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50">
    <w:name w:val="Light List Accent 5"/>
    <w:basedOn w:val="a3"/>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60">
    <w:name w:val="Light List Accent 6"/>
    <w:basedOn w:val="a3"/>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aff4">
    <w:name w:val="Light Grid"/>
    <w:basedOn w:val="a3"/>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11">
    <w:name w:val="Light Grid Accent 1"/>
    <w:basedOn w:val="a3"/>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21">
    <w:name w:val="Light Grid Accent 2"/>
    <w:basedOn w:val="a3"/>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31">
    <w:name w:val="Light Grid Accent 3"/>
    <w:basedOn w:val="a3"/>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41">
    <w:name w:val="Light Grid Accent 4"/>
    <w:basedOn w:val="a3"/>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51">
    <w:name w:val="Light Grid Accent 5"/>
    <w:basedOn w:val="a3"/>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61">
    <w:name w:val="Light Grid Accent 6"/>
    <w:basedOn w:val="a3"/>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11">
    <w:name w:val="Medium Shading 1"/>
    <w:basedOn w:val="a3"/>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1-1">
    <w:name w:val="Medium Shading 1 Accent 1"/>
    <w:basedOn w:val="a3"/>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1-2">
    <w:name w:val="Medium Shading 1 Accent 2"/>
    <w:basedOn w:val="a3"/>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1-3">
    <w:name w:val="Medium Shading 1 Accent 3"/>
    <w:basedOn w:val="a3"/>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1-4">
    <w:name w:val="Medium Shading 1 Accent 4"/>
    <w:basedOn w:val="a3"/>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1-5">
    <w:name w:val="Medium Shading 1 Accent 5"/>
    <w:basedOn w:val="a3"/>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1-6">
    <w:name w:val="Medium Shading 1 Accent 6"/>
    <w:basedOn w:val="a3"/>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27">
    <w:name w:val="Medium Shading 2"/>
    <w:basedOn w:val="a3"/>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2-1">
    <w:name w:val="Medium Shading 2 Accent 1"/>
    <w:basedOn w:val="a3"/>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2-2">
    <w:name w:val="Medium Shading 2 Accent 2"/>
    <w:basedOn w:val="a3"/>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2-3">
    <w:name w:val="Medium Shading 2 Accent 3"/>
    <w:basedOn w:val="a3"/>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2-4">
    <w:name w:val="Medium Shading 2 Accent 4"/>
    <w:basedOn w:val="a3"/>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2-5">
    <w:name w:val="Medium Shading 2 Accent 5"/>
    <w:basedOn w:val="a3"/>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2-6">
    <w:name w:val="Medium Shading 2 Accent 6"/>
    <w:basedOn w:val="a3"/>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12">
    <w:name w:val="Medium List 1"/>
    <w:basedOn w:val="a3"/>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1-10">
    <w:name w:val="Medium List 1 Accent 1"/>
    <w:basedOn w:val="a3"/>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1-20">
    <w:name w:val="Medium List 1 Accent 2"/>
    <w:basedOn w:val="a3"/>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1-30">
    <w:name w:val="Medium List 1 Accent 3"/>
    <w:basedOn w:val="a3"/>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1-40">
    <w:name w:val="Medium List 1 Accent 4"/>
    <w:basedOn w:val="a3"/>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1-50">
    <w:name w:val="Medium List 1 Accent 5"/>
    <w:basedOn w:val="a3"/>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1-60">
    <w:name w:val="Medium List 1 Accent 6"/>
    <w:basedOn w:val="a3"/>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28">
    <w:name w:val="Medium List 2"/>
    <w:basedOn w:val="a3"/>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2-10">
    <w:name w:val="Medium List 2 Accent 1"/>
    <w:basedOn w:val="a3"/>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2-20">
    <w:name w:val="Medium List 2 Accent 2"/>
    <w:basedOn w:val="a3"/>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2-30">
    <w:name w:val="Medium List 2 Accent 3"/>
    <w:basedOn w:val="a3"/>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2-40">
    <w:name w:val="Medium List 2 Accent 4"/>
    <w:basedOn w:val="a3"/>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2-50">
    <w:name w:val="Medium List 2 Accent 5"/>
    <w:basedOn w:val="a3"/>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2-60">
    <w:name w:val="Medium List 2 Accent 6"/>
    <w:basedOn w:val="a3"/>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13">
    <w:name w:val="Medium Grid 1"/>
    <w:basedOn w:val="a3"/>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1-11">
    <w:name w:val="Medium Grid 1 Accent 1"/>
    <w:basedOn w:val="a3"/>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1-21">
    <w:name w:val="Medium Grid 1 Accent 2"/>
    <w:basedOn w:val="a3"/>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1-31">
    <w:name w:val="Medium Grid 1 Accent 3"/>
    <w:basedOn w:val="a3"/>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1-41">
    <w:name w:val="Medium Grid 1 Accent 4"/>
    <w:basedOn w:val="a3"/>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1-51">
    <w:name w:val="Medium Grid 1 Accent 5"/>
    <w:basedOn w:val="a3"/>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1-61">
    <w:name w:val="Medium Grid 1 Accent 6"/>
    <w:basedOn w:val="a3"/>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29">
    <w:name w:val="Medium Grid 2"/>
    <w:basedOn w:val="a3"/>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2-11">
    <w:name w:val="Medium Grid 2 Accent 1"/>
    <w:basedOn w:val="a3"/>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2-21">
    <w:name w:val="Medium Grid 2 Accent 2"/>
    <w:basedOn w:val="a3"/>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2-31">
    <w:name w:val="Medium Grid 2 Accent 3"/>
    <w:basedOn w:val="a3"/>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2-41">
    <w:name w:val="Medium Grid 2 Accent 4"/>
    <w:basedOn w:val="a3"/>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2-51">
    <w:name w:val="Medium Grid 2 Accent 5"/>
    <w:basedOn w:val="a3"/>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2-61">
    <w:name w:val="Medium Grid 2 Accent 6"/>
    <w:basedOn w:val="a3"/>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37">
    <w:name w:val="Medium Grid 3"/>
    <w:basedOn w:val="a3"/>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3-1">
    <w:name w:val="Medium Grid 3 Accent 1"/>
    <w:basedOn w:val="a3"/>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3-2">
    <w:name w:val="Medium Grid 3 Accent 2"/>
    <w:basedOn w:val="a3"/>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3-3">
    <w:name w:val="Medium Grid 3 Accent 3"/>
    <w:basedOn w:val="a3"/>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3-4">
    <w:name w:val="Medium Grid 3 Accent 4"/>
    <w:basedOn w:val="a3"/>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3-5">
    <w:name w:val="Medium Grid 3 Accent 5"/>
    <w:basedOn w:val="a3"/>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3-6">
    <w:name w:val="Medium Grid 3 Accent 6"/>
    <w:basedOn w:val="a3"/>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aff5">
    <w:name w:val="Dark List"/>
    <w:basedOn w:val="a3"/>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12">
    <w:name w:val="Dark List Accent 1"/>
    <w:basedOn w:val="a3"/>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22">
    <w:name w:val="Dark List Accent 2"/>
    <w:basedOn w:val="a3"/>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32">
    <w:name w:val="Dark List Accent 3"/>
    <w:basedOn w:val="a3"/>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42">
    <w:name w:val="Dark List Accent 4"/>
    <w:basedOn w:val="a3"/>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52">
    <w:name w:val="Dark List Accent 5"/>
    <w:basedOn w:val="a3"/>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62">
    <w:name w:val="Dark List Accent 6"/>
    <w:basedOn w:val="a3"/>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aff6">
    <w:name w:val="Colorful Shading"/>
    <w:basedOn w:val="a3"/>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13">
    <w:name w:val="Colorful Shading Accent 1"/>
    <w:basedOn w:val="a3"/>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23">
    <w:name w:val="Colorful Shading Accent 2"/>
    <w:basedOn w:val="a3"/>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33">
    <w:name w:val="Colorful Shading Accent 3"/>
    <w:basedOn w:val="a3"/>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43">
    <w:name w:val="Colorful Shading Accent 4"/>
    <w:basedOn w:val="a3"/>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53">
    <w:name w:val="Colorful Shading Accent 5"/>
    <w:basedOn w:val="a3"/>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63">
    <w:name w:val="Colorful Shading Accent 6"/>
    <w:basedOn w:val="a3"/>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aff7">
    <w:name w:val="Colorful List"/>
    <w:basedOn w:val="a3"/>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14">
    <w:name w:val="Colorful List Accent 1"/>
    <w:basedOn w:val="a3"/>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24">
    <w:name w:val="Colorful List Accent 2"/>
    <w:basedOn w:val="a3"/>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34">
    <w:name w:val="Colorful List Accent 3"/>
    <w:basedOn w:val="a3"/>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44">
    <w:name w:val="Colorful List Accent 4"/>
    <w:basedOn w:val="a3"/>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54">
    <w:name w:val="Colorful List Accent 5"/>
    <w:basedOn w:val="a3"/>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64">
    <w:name w:val="Colorful List Accent 6"/>
    <w:basedOn w:val="a3"/>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aff8">
    <w:name w:val="Colorful Grid"/>
    <w:basedOn w:val="a3"/>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15">
    <w:name w:val="Colorful Grid Accent 1"/>
    <w:basedOn w:val="a3"/>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25">
    <w:name w:val="Colorful Grid Accent 2"/>
    <w:basedOn w:val="a3"/>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35">
    <w:name w:val="Colorful Grid Accent 3"/>
    <w:basedOn w:val="a3"/>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45">
    <w:name w:val="Colorful Grid Accent 4"/>
    <w:basedOn w:val="a3"/>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55">
    <w:name w:val="Colorful Grid Accent 5"/>
    <w:basedOn w:val="a3"/>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65">
    <w:name w:val="Colorful Grid Accent 6"/>
    <w:basedOn w:val="a3"/>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2">
    <w:name w:val="toc 2"/>
    <w:basedOn w:val="a1"/>
    <w:next w:val="a1"/>
    <w:autoRedefine/>
    <w:uiPriority w:val="39"/>
    <w:unhideWhenUsed/>
    <w:rsid w:val="00711918"/>
    <w:pPr>
      <w:spacing w:after="100" w:line="259" w:lineRule="auto"/>
      <w:ind w:left="220"/>
    </w:pPr>
    <w:rPr>
      <w:rFonts w:asciiTheme="minorHAnsi" w:eastAsiaTheme="minorEastAsia" w:hAnsiTheme="minorHAnsi" w:cs="Times New Roman"/>
      <w:lang w:val="en-US" w:eastAsia="zh-CN"/>
    </w:rPr>
  </w:style>
  <w:style w:type="paragraph" w:styleId="TOC1">
    <w:name w:val="toc 1"/>
    <w:basedOn w:val="a1"/>
    <w:next w:val="a1"/>
    <w:autoRedefine/>
    <w:uiPriority w:val="39"/>
    <w:unhideWhenUsed/>
    <w:rsid w:val="00711918"/>
    <w:pPr>
      <w:spacing w:after="100" w:line="259" w:lineRule="auto"/>
    </w:pPr>
    <w:rPr>
      <w:rFonts w:asciiTheme="minorHAnsi" w:eastAsiaTheme="minorEastAsia" w:hAnsiTheme="minorHAnsi" w:cs="Times New Roman"/>
      <w:lang w:val="en-US" w:eastAsia="zh-CN"/>
    </w:rPr>
  </w:style>
  <w:style w:type="paragraph" w:styleId="TOC3">
    <w:name w:val="toc 3"/>
    <w:basedOn w:val="a1"/>
    <w:next w:val="a1"/>
    <w:autoRedefine/>
    <w:uiPriority w:val="39"/>
    <w:unhideWhenUsed/>
    <w:rsid w:val="00711918"/>
    <w:pPr>
      <w:spacing w:after="100" w:line="259" w:lineRule="auto"/>
      <w:ind w:left="440"/>
    </w:pPr>
    <w:rPr>
      <w:rFonts w:asciiTheme="minorHAnsi" w:eastAsiaTheme="minorEastAsia" w:hAnsiTheme="minorHAnsi" w:cs="Times New Roman"/>
      <w:lang w:val="en-US" w:eastAsia="zh-CN"/>
    </w:rPr>
  </w:style>
  <w:style w:type="character" w:styleId="aff9">
    <w:name w:val="Hyperlink"/>
    <w:basedOn w:val="a2"/>
    <w:uiPriority w:val="99"/>
    <w:unhideWhenUsed/>
    <w:rsid w:val="00711918"/>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TotalTime>
  <Pages>21</Pages>
  <Words>7810</Words>
  <Characters>44517</Characters>
  <Application>Microsoft Office Word</Application>
  <DocSecurity>0</DocSecurity>
  <Lines>370</Lines>
  <Paragraphs>104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52223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generated by python-docx</dc:description>
  <cp:lastModifiedBy>a96929</cp:lastModifiedBy>
  <cp:revision>4</cp:revision>
  <dcterms:created xsi:type="dcterms:W3CDTF">2013-12-23T23:15:00Z</dcterms:created>
  <dcterms:modified xsi:type="dcterms:W3CDTF">2026-04-25T13:20:00Z</dcterms:modified>
  <cp:category/>
</cp:coreProperties>
</file>