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spacing w:before="200" w:lineRule="auto"/>
        <w:jc w:val="center"/>
        <w:rPr>
          <w:b w:val="1"/>
          <w:bCs w:val="1"/>
        </w:rPr>
      </w:pPr>
      <w:r w:rsidDel="00000000" w:rsidR="00000000" w:rsidRPr="00000000">
        <w:rPr>
          <w:b w:val="1"/>
          <w:bCs w:val="1"/>
          <w:rtl w:val="0"/>
        </w:rPr>
        <w:t xml:space="preserve">Communication, Record-Keeping and Collaborative Practice in Health and Social Care: The Case of Mr Ahmed</w:t>
      </w:r>
    </w:p>
    <w:p w:rsidR="00000000" w:rsidDel="00000000" w:rsidP="00000000" w:rsidRDefault="00000000" w:rsidRPr="00000000" w14:paraId="00000007">
      <w:pPr>
        <w:spacing w:after="0" w:before="0" w:lineRule="auto"/>
        <w:jc w:val="center"/>
        <w:rPr/>
      </w:pPr>
      <w:r w:rsidDel="00000000" w:rsidR="00000000" w:rsidRPr="00000000">
        <w:rPr>
          <w:rtl w:val="0"/>
        </w:rPr>
        <w:t xml:space="preserve">Name: Naila Hasan </w:t>
      </w:r>
    </w:p>
    <w:p w:rsidR="00000000" w:rsidDel="00000000" w:rsidP="00000000" w:rsidRDefault="00000000" w:rsidRPr="00000000" w14:paraId="00000008">
      <w:pPr>
        <w:spacing w:after="0" w:before="0" w:lineRule="auto"/>
        <w:jc w:val="center"/>
        <w:rPr/>
      </w:pPr>
      <w:r w:rsidDel="00000000" w:rsidR="00000000" w:rsidRPr="00000000">
        <w:rPr>
          <w:rtl w:val="0"/>
        </w:rPr>
        <w:t xml:space="preserve">Student ID: 2520503</w:t>
      </w:r>
    </w:p>
    <w:p w:rsidR="00000000" w:rsidDel="00000000" w:rsidP="00000000" w:rsidRDefault="00000000" w:rsidRPr="00000000" w14:paraId="00000009">
      <w:pPr>
        <w:spacing w:after="0" w:before="0" w:lineRule="auto"/>
        <w:jc w:val="center"/>
        <w:rPr/>
      </w:pPr>
      <w:r w:rsidDel="00000000" w:rsidR="00000000" w:rsidRPr="00000000">
        <w:rPr>
          <w:rtl w:val="0"/>
        </w:rPr>
        <w:t xml:space="preserve">Module Code:  LCHS4003</w:t>
      </w:r>
    </w:p>
    <w:p w:rsidR="00000000" w:rsidDel="00000000" w:rsidP="00000000" w:rsidRDefault="00000000" w:rsidRPr="00000000" w14:paraId="0000000A">
      <w:pPr>
        <w:spacing w:after="0" w:before="0" w:lineRule="auto"/>
        <w:jc w:val="center"/>
        <w:rPr/>
      </w:pPr>
      <w:r w:rsidDel="00000000" w:rsidR="00000000" w:rsidRPr="00000000">
        <w:rPr>
          <w:rtl w:val="0"/>
        </w:rPr>
        <w:t xml:space="preserve">Module: Introduction to Health and social care</w:t>
      </w:r>
    </w:p>
    <w:p w:rsidR="00000000" w:rsidDel="00000000" w:rsidP="00000000" w:rsidRDefault="00000000" w:rsidRPr="00000000" w14:paraId="0000000B">
      <w:pPr>
        <w:spacing w:after="0" w:before="0" w:lineRule="auto"/>
        <w:jc w:val="center"/>
        <w:rPr/>
      </w:pPr>
      <w:r w:rsidDel="00000000" w:rsidR="00000000" w:rsidRPr="00000000">
        <w:rPr>
          <w:rtl w:val="0"/>
        </w:rPr>
        <w:t xml:space="preserve">Lecturer: Dr Azora Hurd </w:t>
      </w:r>
    </w:p>
    <w:p w:rsidR="00000000" w:rsidDel="00000000" w:rsidP="00000000" w:rsidRDefault="00000000" w:rsidRPr="00000000" w14:paraId="0000000C">
      <w:pPr>
        <w:spacing w:after="0" w:before="0" w:lineRule="auto"/>
        <w:jc w:val="center"/>
        <w:rPr/>
      </w:pPr>
      <w:r w:rsidDel="00000000" w:rsidR="00000000" w:rsidRPr="00000000">
        <w:rPr>
          <w:rtl w:val="0"/>
        </w:rPr>
        <w:t xml:space="preserve">    Submitted on:  27 March 2026</w:t>
      </w:r>
    </w:p>
    <w:p w:rsidR="00000000" w:rsidDel="00000000" w:rsidP="00000000" w:rsidRDefault="00000000" w:rsidRPr="00000000" w14:paraId="0000000D">
      <w:pPr>
        <w:jc w:val="center"/>
        <w:rPr>
          <w:b w:val="1"/>
          <w:bCs w:val="1"/>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jc w:val="center"/>
        <w:rPr>
          <w:b w:val="1"/>
          <w:bCs w:val="1"/>
        </w:rPr>
      </w:pPr>
      <w:r w:rsidDel="00000000" w:rsidR="00000000" w:rsidRPr="00000000">
        <w:rPr>
          <w:rtl w:val="0"/>
        </w:rPr>
      </w:r>
    </w:p>
    <w:p w:rsidR="00000000" w:rsidDel="00000000" w:rsidP="00000000" w:rsidRDefault="00000000" w:rsidRPr="00000000" w14:paraId="00000010">
      <w:pPr>
        <w:jc w:val="center"/>
        <w:rPr>
          <w:b w:val="1"/>
          <w:bCs w:val="1"/>
        </w:rPr>
      </w:pPr>
      <w:r w:rsidDel="00000000" w:rsidR="00000000" w:rsidRPr="00000000">
        <w:rPr>
          <w:rtl w:val="0"/>
        </w:rPr>
      </w:r>
    </w:p>
    <w:p w:rsidR="00000000" w:rsidDel="00000000" w:rsidP="00000000" w:rsidRDefault="00000000" w:rsidRPr="00000000" w14:paraId="00000011">
      <w:pPr>
        <w:jc w:val="center"/>
        <w:rPr>
          <w:b w:val="1"/>
          <w:bCs w:val="1"/>
        </w:rPr>
      </w:pPr>
      <w:r w:rsidDel="00000000" w:rsidR="00000000" w:rsidRPr="00000000">
        <w:rPr>
          <w:rtl w:val="0"/>
        </w:rPr>
      </w:r>
    </w:p>
    <w:p w:rsidR="00000000" w:rsidDel="00000000" w:rsidP="00000000" w:rsidRDefault="00000000" w:rsidRPr="00000000" w14:paraId="00000012">
      <w:pPr>
        <w:jc w:val="center"/>
        <w:rPr>
          <w:b w:val="1"/>
          <w:bCs w:val="1"/>
        </w:rPr>
      </w:pPr>
      <w:r w:rsidDel="00000000" w:rsidR="00000000" w:rsidRPr="00000000">
        <w:rPr>
          <w:rtl w:val="0"/>
        </w:rPr>
      </w:r>
    </w:p>
    <w:p w:rsidR="00000000" w:rsidDel="00000000" w:rsidP="00000000" w:rsidRDefault="00000000" w:rsidRPr="00000000" w14:paraId="00000013">
      <w:pPr>
        <w:jc w:val="center"/>
        <w:rPr>
          <w:b w:val="1"/>
          <w:bCs w:val="1"/>
        </w:rPr>
      </w:pPr>
      <w:r w:rsidDel="00000000" w:rsidR="00000000" w:rsidRPr="00000000">
        <w:rPr>
          <w:rtl w:val="0"/>
        </w:rPr>
      </w:r>
    </w:p>
    <w:p w:rsidR="00000000" w:rsidDel="00000000" w:rsidP="00000000" w:rsidRDefault="00000000" w:rsidRPr="00000000" w14:paraId="00000014">
      <w:pPr>
        <w:jc w:val="center"/>
        <w:rPr>
          <w:b w:val="1"/>
          <w:bCs w:val="1"/>
        </w:rPr>
      </w:pPr>
      <w:r w:rsidDel="00000000" w:rsidR="00000000" w:rsidRPr="00000000">
        <w:rPr>
          <w:rtl w:val="0"/>
        </w:rPr>
      </w:r>
    </w:p>
    <w:p w:rsidR="00000000" w:rsidDel="00000000" w:rsidP="00000000" w:rsidRDefault="00000000" w:rsidRPr="00000000" w14:paraId="00000015">
      <w:pPr>
        <w:jc w:val="center"/>
        <w:rPr>
          <w:b w:val="1"/>
          <w:bCs w:val="1"/>
        </w:rPr>
      </w:pPr>
      <w:r w:rsidDel="00000000" w:rsidR="00000000" w:rsidRPr="00000000">
        <w:rPr>
          <w:rtl w:val="0"/>
        </w:rPr>
      </w:r>
    </w:p>
    <w:p w:rsidR="00000000" w:rsidDel="00000000" w:rsidP="00000000" w:rsidRDefault="00000000" w:rsidRPr="00000000" w14:paraId="00000016">
      <w:pPr>
        <w:jc w:val="left"/>
        <w:rPr>
          <w:b w:val="1"/>
          <w:bCs w:val="1"/>
        </w:rPr>
      </w:pPr>
      <w:r w:rsidDel="00000000" w:rsidR="00000000" w:rsidRPr="00000000">
        <w:rPr>
          <w:rtl w:val="0"/>
        </w:rPr>
      </w:r>
    </w:p>
    <w:p w:rsidR="00000000" w:rsidDel="00000000" w:rsidP="00000000" w:rsidRDefault="00000000" w:rsidRPr="00000000" w14:paraId="00000017">
      <w:pPr>
        <w:jc w:val="center"/>
        <w:rPr>
          <w:b w:val="1"/>
          <w:bCs w:val="1"/>
        </w:rPr>
      </w:pPr>
      <w:r w:rsidDel="00000000" w:rsidR="00000000" w:rsidRPr="00000000">
        <w:rPr>
          <w:b w:val="1"/>
          <w:bCs w:val="1"/>
          <w:rtl w:val="0"/>
        </w:rPr>
        <w:t xml:space="preserve">TABLE OF CONTENTS </w:t>
      </w:r>
    </w:p>
    <w:sdt>
      <w:sdtPr>
        <w:id w:val="-78051804"/>
        <w:docPartObj>
          <w:docPartGallery w:val="Table of Contents"/>
          <w:docPartUnique w:val="1"/>
        </w:docPartObj>
      </w:sdtPr>
      <w:sdtContent>
        <w:p w:rsidR="00000000" w:rsidDel="00000000" w:rsidP="00000000" w:rsidRDefault="00000000" w:rsidRPr="00000000" w14:paraId="00000018">
          <w:pPr>
            <w:widowControl w:val="0"/>
            <w:tabs>
              <w:tab w:val="right" w:leader="dot" w:pos="9360"/>
            </w:tabs>
            <w:spacing w:before="60" w:line="240" w:lineRule="auto"/>
            <w:jc w:val="left"/>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kflyqh5a3z66">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_kflyqh5a3z66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dot" w:pos="9360"/>
            </w:tabs>
            <w:spacing w:before="60" w:line="240" w:lineRule="auto"/>
            <w:jc w:val="left"/>
            <w:rPr>
              <w:b w:val="1"/>
              <w:bCs w:val="1"/>
              <w:color w:val="000000"/>
              <w:u w:val="none"/>
            </w:rPr>
          </w:pPr>
          <w:hyperlink w:anchor="_nrf26xpp1rq3">
            <w:r w:rsidDel="00000000" w:rsidR="00000000" w:rsidRPr="00000000">
              <w:rPr>
                <w:b w:val="1"/>
                <w:bCs w:val="1"/>
                <w:color w:val="000000"/>
                <w:u w:val="none"/>
                <w:rtl w:val="0"/>
              </w:rPr>
              <w:t xml:space="preserve">Effective Communication in Mr Ahmed’s Care</w:t>
              <w:tab/>
            </w:r>
          </w:hyperlink>
          <w:r w:rsidDel="00000000" w:rsidR="00000000" w:rsidRPr="00000000">
            <w:fldChar w:fldCharType="begin"/>
            <w:instrText xml:space="preserve"> PAGEREF _nrf26xpp1rq3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9360"/>
            </w:tabs>
            <w:spacing w:before="60" w:line="240" w:lineRule="auto"/>
            <w:jc w:val="left"/>
            <w:rPr>
              <w:b w:val="1"/>
              <w:bCs w:val="1"/>
              <w:color w:val="000000"/>
              <w:u w:val="none"/>
            </w:rPr>
          </w:pPr>
          <w:hyperlink w:anchor="_9z90mcrx99gp">
            <w:r w:rsidDel="00000000" w:rsidR="00000000" w:rsidRPr="00000000">
              <w:rPr>
                <w:b w:val="1"/>
                <w:bCs w:val="1"/>
                <w:color w:val="000000"/>
                <w:u w:val="none"/>
                <w:rtl w:val="0"/>
              </w:rPr>
              <w:t xml:space="preserve">Administrative Skills and Record-Keeping</w:t>
              <w:tab/>
            </w:r>
          </w:hyperlink>
          <w:r w:rsidDel="00000000" w:rsidR="00000000" w:rsidRPr="00000000">
            <w:fldChar w:fldCharType="begin"/>
            <w:instrText xml:space="preserve"> PAGEREF _9z90mcrx99gp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360"/>
            </w:tabs>
            <w:spacing w:before="60" w:line="240" w:lineRule="auto"/>
            <w:jc w:val="left"/>
            <w:rPr>
              <w:b w:val="1"/>
              <w:bCs w:val="1"/>
              <w:color w:val="000000"/>
              <w:u w:val="none"/>
            </w:rPr>
          </w:pPr>
          <w:hyperlink w:anchor="_mnq1hq4t3bej">
            <w:r w:rsidDel="00000000" w:rsidR="00000000" w:rsidRPr="00000000">
              <w:rPr>
                <w:b w:val="1"/>
                <w:bCs w:val="1"/>
                <w:color w:val="000000"/>
                <w:u w:val="none"/>
                <w:rtl w:val="0"/>
              </w:rPr>
              <w:t xml:space="preserve">Collaborative Working in Mr Ahmed’s Care</w:t>
              <w:tab/>
            </w:r>
          </w:hyperlink>
          <w:r w:rsidDel="00000000" w:rsidR="00000000" w:rsidRPr="00000000">
            <w:fldChar w:fldCharType="begin"/>
            <w:instrText xml:space="preserve"> PAGEREF _mnq1hq4t3bej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360"/>
            </w:tabs>
            <w:spacing w:before="60" w:line="240" w:lineRule="auto"/>
            <w:jc w:val="left"/>
            <w:rPr>
              <w:b w:val="1"/>
              <w:bCs w:val="1"/>
              <w:color w:val="000000"/>
              <w:u w:val="none"/>
            </w:rPr>
          </w:pPr>
          <w:hyperlink w:anchor="_dbmx3efr1fzd">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_dbmx3efr1fzd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360"/>
            </w:tabs>
            <w:spacing w:before="60" w:line="240" w:lineRule="auto"/>
            <w:jc w:val="left"/>
            <w:rPr>
              <w:b w:val="1"/>
              <w:bCs w:val="1"/>
              <w:color w:val="000000"/>
              <w:u w:val="none"/>
            </w:rPr>
          </w:pPr>
          <w:hyperlink w:anchor="_ixvc6nvkv5zi">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_ixvc6nvkv5zi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jc w:val="left"/>
        <w:rPr>
          <w:b w:val="1"/>
          <w:bCs w:val="1"/>
        </w:rPr>
      </w:pPr>
      <w:r w:rsidDel="00000000" w:rsidR="00000000" w:rsidRPr="00000000">
        <w:rPr>
          <w:rtl w:val="0"/>
        </w:rPr>
      </w:r>
    </w:p>
    <w:p w:rsidR="00000000" w:rsidDel="00000000" w:rsidP="00000000" w:rsidRDefault="00000000" w:rsidRPr="00000000" w14:paraId="0000001F">
      <w:pPr>
        <w:jc w:val="left"/>
        <w:rPr>
          <w:b w:val="1"/>
          <w:bCs w:val="1"/>
        </w:rPr>
      </w:pPr>
      <w:r w:rsidDel="00000000" w:rsidR="00000000" w:rsidRPr="00000000">
        <w:rPr>
          <w:rtl w:val="0"/>
        </w:rPr>
      </w:r>
    </w:p>
    <w:p w:rsidR="00000000" w:rsidDel="00000000" w:rsidP="00000000" w:rsidRDefault="00000000" w:rsidRPr="00000000" w14:paraId="00000020">
      <w:pPr>
        <w:jc w:val="left"/>
        <w:rPr>
          <w:b w:val="1"/>
          <w:bCs w:val="1"/>
        </w:rPr>
      </w:pPr>
      <w:r w:rsidDel="00000000" w:rsidR="00000000" w:rsidRPr="00000000">
        <w:rPr>
          <w:rtl w:val="0"/>
        </w:rPr>
      </w:r>
    </w:p>
    <w:p w:rsidR="00000000" w:rsidDel="00000000" w:rsidP="00000000" w:rsidRDefault="00000000" w:rsidRPr="00000000" w14:paraId="00000021">
      <w:pPr>
        <w:jc w:val="left"/>
        <w:rPr>
          <w:b w:val="1"/>
          <w:bCs w:val="1"/>
        </w:rPr>
      </w:pPr>
      <w:r w:rsidDel="00000000" w:rsidR="00000000" w:rsidRPr="00000000">
        <w:rPr>
          <w:rtl w:val="0"/>
        </w:rPr>
      </w:r>
    </w:p>
    <w:p w:rsidR="00000000" w:rsidDel="00000000" w:rsidP="00000000" w:rsidRDefault="00000000" w:rsidRPr="00000000" w14:paraId="00000022">
      <w:pPr>
        <w:jc w:val="left"/>
        <w:rPr>
          <w:b w:val="1"/>
          <w:bCs w:val="1"/>
        </w:rPr>
      </w:pPr>
      <w:r w:rsidDel="00000000" w:rsidR="00000000" w:rsidRPr="00000000">
        <w:rPr>
          <w:rtl w:val="0"/>
        </w:rPr>
      </w:r>
    </w:p>
    <w:p w:rsidR="00000000" w:rsidDel="00000000" w:rsidP="00000000" w:rsidRDefault="00000000" w:rsidRPr="00000000" w14:paraId="00000023">
      <w:pPr>
        <w:jc w:val="left"/>
        <w:rPr>
          <w:b w:val="1"/>
          <w:bCs w:val="1"/>
        </w:rPr>
      </w:pPr>
      <w:r w:rsidDel="00000000" w:rsidR="00000000" w:rsidRPr="00000000">
        <w:rPr>
          <w:rtl w:val="0"/>
        </w:rPr>
      </w:r>
    </w:p>
    <w:p w:rsidR="00000000" w:rsidDel="00000000" w:rsidP="00000000" w:rsidRDefault="00000000" w:rsidRPr="00000000" w14:paraId="00000024">
      <w:pPr>
        <w:jc w:val="left"/>
        <w:rPr>
          <w:b w:val="1"/>
          <w:bCs w:val="1"/>
        </w:rPr>
      </w:pPr>
      <w:r w:rsidDel="00000000" w:rsidR="00000000" w:rsidRPr="00000000">
        <w:rPr>
          <w:rtl w:val="0"/>
        </w:rPr>
      </w:r>
    </w:p>
    <w:p w:rsidR="00000000" w:rsidDel="00000000" w:rsidP="00000000" w:rsidRDefault="00000000" w:rsidRPr="00000000" w14:paraId="00000025">
      <w:pPr>
        <w:jc w:val="left"/>
        <w:rPr>
          <w:b w:val="1"/>
          <w:bCs w:val="1"/>
        </w:rPr>
      </w:pPr>
      <w:r w:rsidDel="00000000" w:rsidR="00000000" w:rsidRPr="00000000">
        <w:rPr>
          <w:rtl w:val="0"/>
        </w:rPr>
      </w:r>
    </w:p>
    <w:p w:rsidR="00000000" w:rsidDel="00000000" w:rsidP="00000000" w:rsidRDefault="00000000" w:rsidRPr="00000000" w14:paraId="00000026">
      <w:pPr>
        <w:jc w:val="left"/>
        <w:rPr>
          <w:b w:val="1"/>
          <w:bCs w:val="1"/>
        </w:rPr>
      </w:pPr>
      <w:r w:rsidDel="00000000" w:rsidR="00000000" w:rsidRPr="00000000">
        <w:rPr>
          <w:rtl w:val="0"/>
        </w:rPr>
      </w:r>
    </w:p>
    <w:p w:rsidR="00000000" w:rsidDel="00000000" w:rsidP="00000000" w:rsidRDefault="00000000" w:rsidRPr="00000000" w14:paraId="00000027">
      <w:pPr>
        <w:jc w:val="left"/>
        <w:rPr>
          <w:b w:val="1"/>
          <w:bCs w:val="1"/>
        </w:rPr>
      </w:pPr>
      <w:r w:rsidDel="00000000" w:rsidR="00000000" w:rsidRPr="00000000">
        <w:rPr>
          <w:rtl w:val="0"/>
        </w:rPr>
      </w:r>
    </w:p>
    <w:p w:rsidR="00000000" w:rsidDel="00000000" w:rsidP="00000000" w:rsidRDefault="00000000" w:rsidRPr="00000000" w14:paraId="00000028">
      <w:pPr>
        <w:jc w:val="left"/>
        <w:rPr>
          <w:b w:val="1"/>
          <w:bCs w:val="1"/>
        </w:rPr>
      </w:pPr>
      <w:r w:rsidDel="00000000" w:rsidR="00000000" w:rsidRPr="00000000">
        <w:rPr>
          <w:rtl w:val="0"/>
        </w:rPr>
      </w:r>
    </w:p>
    <w:p w:rsidR="00000000" w:rsidDel="00000000" w:rsidP="00000000" w:rsidRDefault="00000000" w:rsidRPr="00000000" w14:paraId="00000029">
      <w:pPr>
        <w:jc w:val="left"/>
        <w:rPr>
          <w:b w:val="1"/>
          <w:bCs w:val="1"/>
        </w:rPr>
      </w:pPr>
      <w:r w:rsidDel="00000000" w:rsidR="00000000" w:rsidRPr="00000000">
        <w:rPr>
          <w:rtl w:val="0"/>
        </w:rPr>
      </w:r>
    </w:p>
    <w:p w:rsidR="00000000" w:rsidDel="00000000" w:rsidP="00000000" w:rsidRDefault="00000000" w:rsidRPr="00000000" w14:paraId="0000002A">
      <w:pPr>
        <w:jc w:val="left"/>
        <w:rPr>
          <w:b w:val="1"/>
          <w:bCs w:val="1"/>
        </w:rPr>
      </w:pPr>
      <w:r w:rsidDel="00000000" w:rsidR="00000000" w:rsidRPr="00000000">
        <w:rPr>
          <w:rtl w:val="0"/>
        </w:rPr>
      </w:r>
    </w:p>
    <w:p w:rsidR="00000000" w:rsidDel="00000000" w:rsidP="00000000" w:rsidRDefault="00000000" w:rsidRPr="00000000" w14:paraId="0000002B">
      <w:pPr>
        <w:jc w:val="left"/>
        <w:rPr>
          <w:b w:val="1"/>
          <w:bCs w:val="1"/>
        </w:rPr>
      </w:pPr>
      <w:r w:rsidDel="00000000" w:rsidR="00000000" w:rsidRPr="00000000">
        <w:rPr>
          <w:rtl w:val="0"/>
        </w:rPr>
      </w:r>
    </w:p>
    <w:p w:rsidR="00000000" w:rsidDel="00000000" w:rsidP="00000000" w:rsidRDefault="00000000" w:rsidRPr="00000000" w14:paraId="0000002C">
      <w:pPr>
        <w:jc w:val="left"/>
        <w:rPr>
          <w:b w:val="1"/>
          <w:bCs w:val="1"/>
        </w:rPr>
      </w:pPr>
      <w:r w:rsidDel="00000000" w:rsidR="00000000" w:rsidRPr="00000000">
        <w:rPr>
          <w:rtl w:val="0"/>
        </w:rPr>
      </w:r>
    </w:p>
    <w:p w:rsidR="00000000" w:rsidDel="00000000" w:rsidP="00000000" w:rsidRDefault="00000000" w:rsidRPr="00000000" w14:paraId="0000002D">
      <w:pPr>
        <w:jc w:val="left"/>
        <w:rPr>
          <w:b w:val="1"/>
          <w:bCs w:val="1"/>
        </w:rPr>
      </w:pPr>
      <w:r w:rsidDel="00000000" w:rsidR="00000000" w:rsidRPr="00000000">
        <w:rPr>
          <w:rtl w:val="0"/>
        </w:rPr>
      </w:r>
    </w:p>
    <w:p w:rsidR="00000000" w:rsidDel="00000000" w:rsidP="00000000" w:rsidRDefault="00000000" w:rsidRPr="00000000" w14:paraId="0000002E">
      <w:pPr>
        <w:jc w:val="left"/>
        <w:rPr>
          <w:b w:val="1"/>
          <w:bCs w:val="1"/>
        </w:rPr>
      </w:pPr>
      <w:r w:rsidDel="00000000" w:rsidR="00000000" w:rsidRPr="00000000">
        <w:rPr>
          <w:rtl w:val="0"/>
        </w:rPr>
      </w:r>
    </w:p>
    <w:p w:rsidR="00000000" w:rsidDel="00000000" w:rsidP="00000000" w:rsidRDefault="00000000" w:rsidRPr="00000000" w14:paraId="0000002F">
      <w:pPr>
        <w:pStyle w:val="Heading1"/>
        <w:rPr/>
      </w:pPr>
      <w:bookmarkStart w:colFirst="0" w:colLast="0" w:name="_kflyqh5a3z66" w:id="0"/>
      <w:bookmarkEnd w:id="0"/>
      <w:r w:rsidDel="00000000" w:rsidR="00000000" w:rsidRPr="00000000">
        <w:rPr>
          <w:rtl w:val="0"/>
        </w:rPr>
        <w:t xml:space="preserve">Introduction</w:t>
      </w:r>
    </w:p>
    <w:p w:rsidR="00000000" w:rsidDel="00000000" w:rsidP="00000000" w:rsidRDefault="00000000" w:rsidRPr="00000000" w14:paraId="00000030">
      <w:pPr>
        <w:rPr/>
      </w:pPr>
      <w:r w:rsidDel="00000000" w:rsidR="00000000" w:rsidRPr="00000000">
        <w:rPr>
          <w:rtl w:val="0"/>
        </w:rPr>
        <w:t xml:space="preserve">The key aspects of safe, person-centred care in the UK health and social care system are proper communication, record-keeping, and teamwork. These aspects are especially important in advocating for the needs of people with complexities who have various professionals to take care of them. The case in this report is about Mr Ahmed, a 68-year-old male, who was recently discharged after suffering a stroke, and now receives domiciliary services in personal care, medication administration, and meals. He speaks Bengali as his first language, has communication problems, and is helped by his wife. A multidisciplinary team comprises a GP, a district nurse, a speech and language therapist and domiciliary workers. The report provides a discussion on three main areas of care of Mr Ahmed, including effective communication, record-keeping skills and administration, and teamworking. The sections each include the incorporation of relevant legislation, policy frameworks, and even models of professionals to show the evidence-based practice.</w:t>
      </w:r>
    </w:p>
    <w:p w:rsidR="00000000" w:rsidDel="00000000" w:rsidP="00000000" w:rsidRDefault="00000000" w:rsidRPr="00000000" w14:paraId="00000031">
      <w:pPr>
        <w:pStyle w:val="Heading1"/>
        <w:rPr/>
      </w:pPr>
      <w:bookmarkStart w:colFirst="0" w:colLast="0" w:name="_nrf26xpp1rq3" w:id="1"/>
      <w:bookmarkEnd w:id="1"/>
      <w:r w:rsidDel="00000000" w:rsidR="00000000" w:rsidRPr="00000000">
        <w:rPr>
          <w:rtl w:val="0"/>
        </w:rPr>
        <w:t xml:space="preserve">Effective Communication in Mr Ahmed’s Care</w:t>
      </w:r>
    </w:p>
    <w:p w:rsidR="00000000" w:rsidDel="00000000" w:rsidP="00000000" w:rsidRDefault="00000000" w:rsidRPr="00000000" w14:paraId="00000032">
      <w:pPr>
        <w:rPr/>
      </w:pPr>
      <w:r w:rsidDel="00000000" w:rsidR="00000000" w:rsidRPr="00000000">
        <w:rPr>
          <w:rtl w:val="0"/>
        </w:rPr>
        <w:t xml:space="preserve">In health and social care, communication plays a core role as it helps professionals to recognise the needs of patients, provide relevant services, and enhance positive patient outcomes. Poor communications might result in misunderstanding, treatment mistakes, and less compliance with care plans (Hamilton and Chou, 2014; Schwei et al., 2019). The stroke has impacted his speech and understanding, and his low level of English is another challenge to Mr Ahmed. Clear communication strategies are important in this scenario in order to achieve person-centred care, which is safe.</w:t>
      </w:r>
    </w:p>
    <w:p w:rsidR="00000000" w:rsidDel="00000000" w:rsidP="00000000" w:rsidRDefault="00000000" w:rsidRPr="00000000" w14:paraId="00000033">
      <w:pPr>
        <w:rPr/>
      </w:pPr>
      <w:r w:rsidDel="00000000" w:rsidR="00000000" w:rsidRPr="00000000">
        <w:rPr>
          <w:rtl w:val="0"/>
        </w:rPr>
        <w:t xml:space="preserve">The means of understanding the diagnosis, treatment, and care plan requires professional interpreter services and translated materials in Bengali. It has been found that interpreter services enhance the correctness of communication and minimise the misunderstanding between patients and healthcare professionals (Karliner et al., 2007). Besides, professionals must talk in plain language, not use medical terminology, and apply the teaching-back technique, requesting Mr Ahmed to paraphrase the instructions to make sure he understands them. Gestures, written instructions, and visual aids (non-verbal strategies) are especially useful with patients with impaired speech after a stroke (Murrell et al., 2021).</w:t>
      </w:r>
    </w:p>
    <w:p w:rsidR="00000000" w:rsidDel="00000000" w:rsidP="00000000" w:rsidRDefault="00000000" w:rsidRPr="00000000" w14:paraId="00000034">
      <w:pPr>
        <w:rPr/>
      </w:pPr>
      <w:r w:rsidDel="00000000" w:rsidR="00000000" w:rsidRPr="00000000">
        <w:rPr>
          <w:rtl w:val="0"/>
        </w:rPr>
        <w:t xml:space="preserve">Effective communication can also occur as a result of family involvement. The wife of Mr Ahmed helps in clearing up information, and compliance with care instructions. Nonetheless, medical practitioners should make sure that Mr Ahmed is the major decision-maker concerning his care, and his wishes are considered without demeaning him. This shows the ideas of person-centred care, which entail active involvement and attention to the needs of a person (McCormack and McCance, 2016).</w:t>
      </w:r>
    </w:p>
    <w:p w:rsidR="00000000" w:rsidDel="00000000" w:rsidP="00000000" w:rsidRDefault="00000000" w:rsidRPr="00000000" w14:paraId="00000035">
      <w:pPr>
        <w:rPr/>
      </w:pPr>
      <w:r w:rsidDel="00000000" w:rsidR="00000000" w:rsidRPr="00000000">
        <w:rPr>
          <w:rtl w:val="0"/>
        </w:rPr>
        <w:t xml:space="preserve">Equality Act 2010 directly comes into play since it mandates organisations to avoid discrimination and offer decent adjustment to persons with different cultural and linguistic orientations (McCrudden, 2023). This is done by providing interpreters and culturally acceptable communication in order to provide Mr Ahmed with fair access to services.</w:t>
      </w:r>
    </w:p>
    <w:p w:rsidR="00000000" w:rsidDel="00000000" w:rsidP="00000000" w:rsidRDefault="00000000" w:rsidRPr="00000000" w14:paraId="00000036">
      <w:pPr>
        <w:rPr/>
      </w:pPr>
      <w:r w:rsidDel="00000000" w:rsidR="00000000" w:rsidRPr="00000000">
        <w:rPr>
          <w:rtl w:val="0"/>
        </w:rPr>
        <w:t xml:space="preserve">The communication model of Shannon and Weaver reveals potential obstacles to communication, like noise that incorporates language complications or cognitive handicaps (Littlejohn and Foss, 2010). These barriers can be reduced in the care of Mr Ahmed through the use of interpreters, language understanding, the use of visual aids, and repetitive clarification to ensure that there is proper understanding and involvement. Communication, in this regard, facilitates safe care, enhanced compliance with treatment, and patient satisfaction.</w:t>
      </w:r>
    </w:p>
    <w:p w:rsidR="00000000" w:rsidDel="00000000" w:rsidP="00000000" w:rsidRDefault="00000000" w:rsidRPr="00000000" w14:paraId="00000037">
      <w:pPr>
        <w:pStyle w:val="Heading1"/>
        <w:rPr/>
      </w:pPr>
      <w:bookmarkStart w:colFirst="0" w:colLast="0" w:name="_9z90mcrx99gp" w:id="2"/>
      <w:bookmarkEnd w:id="2"/>
      <w:r w:rsidDel="00000000" w:rsidR="00000000" w:rsidRPr="00000000">
        <w:rPr>
          <w:rtl w:val="0"/>
        </w:rPr>
        <w:t xml:space="preserve">Administrative Skills and Record-Keeping</w:t>
      </w:r>
    </w:p>
    <w:p w:rsidR="00000000" w:rsidDel="00000000" w:rsidP="00000000" w:rsidRDefault="00000000" w:rsidRPr="00000000" w14:paraId="00000038">
      <w:pPr>
        <w:rPr/>
      </w:pPr>
      <w:r w:rsidDel="00000000" w:rsidR="00000000" w:rsidRPr="00000000">
        <w:rPr>
          <w:rtl w:val="0"/>
        </w:rPr>
        <w:t xml:space="preserve">Administrative efficiency and proper record keeping are essential in health and social care with regard to patient safety, accountability and continuity of care. Administrative practices facilitate the organisation and flow of information regarding appointments, care plans and patient information among the professionals (Rudresh and Mathew, 2023). In the situation of Mr Ahmed, proper records would be critical since several persons will be involved, and Mr Ahmed will also depend on planned domiciliary visits to take medications and to be provided with personal care.</w:t>
      </w:r>
    </w:p>
    <w:p w:rsidR="00000000" w:rsidDel="00000000" w:rsidP="00000000" w:rsidRDefault="00000000" w:rsidRPr="00000000" w14:paraId="00000039">
      <w:pPr>
        <w:rPr/>
      </w:pPr>
      <w:r w:rsidDel="00000000" w:rsidR="00000000" w:rsidRPr="00000000">
        <w:rPr>
          <w:rtl w:val="0"/>
        </w:rPr>
        <w:t xml:space="preserve">It is a missed home visit in the case of Mr Ahmed that points to the possible outcome of poor administrative systems. Absence of visit created delays in medication provision, which can explain the dangers of bad scheduling, communication, or records. Such risks can be minimised through effective administrative systems, such as strong scheduling, electronic care records, and effective communication between the staff, and ensure effective, coordinated care (Bates and Singh, 2018).</w:t>
      </w:r>
    </w:p>
    <w:p w:rsidR="00000000" w:rsidDel="00000000" w:rsidP="00000000" w:rsidRDefault="00000000" w:rsidRPr="00000000" w14:paraId="0000003A">
      <w:pPr>
        <w:rPr/>
      </w:pPr>
      <w:r w:rsidDel="00000000" w:rsidR="00000000" w:rsidRPr="00000000">
        <w:rPr>
          <w:rtl w:val="0"/>
        </w:rPr>
        <w:t xml:space="preserve">The record keeping needs to be accurate, timely, and clear, taking into account medication administration, care visits, condition changes, and incidents. In the case of Mr Ahmed, the effective documentation will enable professionals to examine the oversights on visits and put measures to prevent the same.</w:t>
      </w:r>
    </w:p>
    <w:p w:rsidR="00000000" w:rsidDel="00000000" w:rsidP="00000000" w:rsidRDefault="00000000" w:rsidRPr="00000000" w14:paraId="0000003B">
      <w:pPr>
        <w:rPr/>
      </w:pPr>
      <w:r w:rsidDel="00000000" w:rsidR="00000000" w:rsidRPr="00000000">
        <w:rPr>
          <w:rtl w:val="0"/>
        </w:rPr>
        <w:t xml:space="preserve">It is also essential to comply with the Data Protection Act 2018, which governs the collection, storage, and processing of personal data in the UK. Medication history, personal data, and patient records have to be safely stored and provided to authorised practitioners working with patients (Shahid et al., 2022). The policies and legislations, including the Health and Social Care Act 2012, encourage professionals to share information and provide integrated services, and the Care Act 2014 advances the ideas of person-centred care, safeguarding, and a sense of accountability in adult social care (Carey, 2019). Moreover, the requirement of secure, accurate, and auditable record-keeping as the means of protecting vulnerable individuals and ensuring continuity of care is strengthened by the guidance of the Care Quality Commission (CQC) and NHS Digital Information Governance standards.</w:t>
      </w:r>
    </w:p>
    <w:p w:rsidR="00000000" w:rsidDel="00000000" w:rsidP="00000000" w:rsidRDefault="00000000" w:rsidRPr="00000000" w14:paraId="0000003C">
      <w:pPr>
        <w:rPr/>
      </w:pPr>
      <w:r w:rsidDel="00000000" w:rsidR="00000000" w:rsidRPr="00000000">
        <w:rPr>
          <w:rtl w:val="0"/>
        </w:rPr>
        <w:t xml:space="preserve">Policy frameworks are essential to facilitate administrative skills, which are central to coordinated care. Precise records enable professionals to follow improvements, be able to assess interventions and make future care plans. Effective administration, in the case of Mr Ahmed, will reduce risks related to missed visits, adherence to treatment, and data transfer among the multidisciplinary team.</w:t>
      </w:r>
    </w:p>
    <w:p w:rsidR="00000000" w:rsidDel="00000000" w:rsidP="00000000" w:rsidRDefault="00000000" w:rsidRPr="00000000" w14:paraId="0000003D">
      <w:pPr>
        <w:pStyle w:val="Heading1"/>
        <w:rPr/>
      </w:pPr>
      <w:bookmarkStart w:colFirst="0" w:colLast="0" w:name="_mnq1hq4t3bej" w:id="3"/>
      <w:bookmarkEnd w:id="3"/>
      <w:r w:rsidDel="00000000" w:rsidR="00000000" w:rsidRPr="00000000">
        <w:rPr>
          <w:rtl w:val="0"/>
        </w:rPr>
        <w:t xml:space="preserve">Collaborative Working in Mr Ahmed’s Care</w:t>
      </w:r>
    </w:p>
    <w:p w:rsidR="00000000" w:rsidDel="00000000" w:rsidP="00000000" w:rsidRDefault="00000000" w:rsidRPr="00000000" w14:paraId="0000003E">
      <w:pPr>
        <w:rPr/>
      </w:pPr>
      <w:r w:rsidDel="00000000" w:rsidR="00000000" w:rsidRPr="00000000">
        <w:rPr>
          <w:rtl w:val="0"/>
        </w:rPr>
        <w:t xml:space="preserve">The teamwork of specialists in various fields of experience is vital to provide comprehensive treatment to patients in the context of complex requirements. The GP, the district nurse, the speech and language therapist, and domiciliary care workers are all involved in the care of Mr Ahmed. Every professional gives a touch on various facets of his recovery: GP takes care of general health and medicine, the district nurse takes care of vital signs and wound care, the speech and language therapist handles the communication and swallowing challenges, and domiciliary care workers provide assistance with daily living. Through collaborative working, Mr Ahmed will be well cared for, and no gaps or duplication of service provision will be experienced (Reeves et al., 2018).</w:t>
      </w:r>
    </w:p>
    <w:p w:rsidR="00000000" w:rsidDel="00000000" w:rsidP="00000000" w:rsidRDefault="00000000" w:rsidRPr="00000000" w14:paraId="0000003F">
      <w:pPr>
        <w:rPr/>
      </w:pPr>
      <w:r w:rsidDel="00000000" w:rsidR="00000000" w:rsidRPr="00000000">
        <w:rPr>
          <w:rtl w:val="0"/>
        </w:rPr>
        <w:t xml:space="preserve">The methods that can be used to encourage collaboration are frequent multidisciplinary team (MDT) meetings, shared electronic health records, and communication channels. Such plans enable practitioners to talk about the progress, revise care plans, and redistribute responsibilities. Effective leadership, interprofessional training, and standardised reporting processes also provide an improved level of teamwork and reduce misunderstandings (Carey, 2019).</w:t>
      </w:r>
    </w:p>
    <w:p w:rsidR="00000000" w:rsidDel="00000000" w:rsidP="00000000" w:rsidRDefault="00000000" w:rsidRPr="00000000" w14:paraId="00000040">
      <w:pPr>
        <w:rPr/>
      </w:pPr>
      <w:r w:rsidDel="00000000" w:rsidR="00000000" w:rsidRPr="00000000">
        <w:rPr>
          <w:rtl w:val="0"/>
        </w:rPr>
        <w:t xml:space="preserve">In policy frameworks, like the NHS Long Term Plan (2019), integrated care is prioritised, and thus facilitates shared accountability and enhanced coordination of health and social care providers. The NICE Guidelines Stroke Rehabilitation (2021) also favour evidence-based interventions as well as emphasise collaborative care planning as crucial in a patient who has survived a stroke (Inglis Humphrey et al., 2022). They are structures that help professionals to provide effective and coordinated care by managing the organisational and communication challenges involved in multi-agency working.</w:t>
      </w:r>
    </w:p>
    <w:p w:rsidR="00000000" w:rsidDel="00000000" w:rsidP="00000000" w:rsidRDefault="00000000" w:rsidRPr="00000000" w14:paraId="00000041">
      <w:pPr>
        <w:rPr/>
      </w:pPr>
      <w:r w:rsidDel="00000000" w:rsidR="00000000" w:rsidRPr="00000000">
        <w:rPr>
          <w:rtl w:val="0"/>
        </w:rPr>
        <w:t xml:space="preserve">The problems that face collaborative practice are the differences in organisational process, the nature of communication and workplace professional interests. They may result in sluggishness, ineffective communication, or inconsistency (Rudesh and Mathew, 2023). They can be overcome with strategies that cover interprofessional training, leaders of supporting teams and sharing electronic records so that every team member is working towards the best interests of the patient.</w:t>
      </w:r>
    </w:p>
    <w:p w:rsidR="00000000" w:rsidDel="00000000" w:rsidP="00000000" w:rsidRDefault="00000000" w:rsidRPr="00000000" w14:paraId="00000042">
      <w:pPr>
        <w:pStyle w:val="Heading1"/>
        <w:rPr/>
      </w:pPr>
      <w:bookmarkStart w:colFirst="0" w:colLast="0" w:name="_dbmx3efr1fzd" w:id="4"/>
      <w:bookmarkEnd w:id="4"/>
      <w:r w:rsidDel="00000000" w:rsidR="00000000" w:rsidRPr="00000000">
        <w:rPr>
          <w:rtl w:val="0"/>
        </w:rPr>
        <w:t xml:space="preserve">Conclusion</w:t>
      </w:r>
    </w:p>
    <w:p w:rsidR="00000000" w:rsidDel="00000000" w:rsidP="00000000" w:rsidRDefault="00000000" w:rsidRPr="00000000" w14:paraId="00000043">
      <w:pPr>
        <w:rPr/>
      </w:pPr>
      <w:r w:rsidDel="00000000" w:rsidR="00000000" w:rsidRPr="00000000">
        <w:rPr>
          <w:rtl w:val="0"/>
        </w:rPr>
        <w:t xml:space="preserve">The case of Mr Ahmed highlights that effective communication, administrative competency and working cooperation are critical to provide person-centred care that is safe and effective within the UK health and social care system. Favoured communication approaches with the aid of the Equality Act 2010 cover the language obstacle and encourage patients to engage. Having continuity of care, accountability, and patient safety requires accurate record-keeping, which is directed by the Data Protection Act 2018, Care Act 2014 and Health and Social Care Act 2012. The coordinated, holistic care of the patient would be facilitated by the collaboration of the GP, district nurse, speech and language therapist, and domiciliary care workers, who would be reinforced by the NHS Long Term Plan and NICE Guidelines. These practices will be effectively implemented to make sure that the needs of Mr Ahmed are met in a holistic way, and any risks related to the communication breakdowns, missed visits, or multi-agency issues will be minimised.</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1"/>
        <w:rPr/>
      </w:pPr>
      <w:bookmarkStart w:colFirst="0" w:colLast="0" w:name="_ixvc6nvkv5zi" w:id="5"/>
      <w:bookmarkEnd w:id="5"/>
      <w:r w:rsidDel="00000000" w:rsidR="00000000" w:rsidRPr="00000000">
        <w:rPr>
          <w:rtl w:val="0"/>
        </w:rPr>
        <w:t xml:space="preserve">References </w:t>
      </w:r>
    </w:p>
    <w:p w:rsidR="00000000" w:rsidDel="00000000" w:rsidP="00000000" w:rsidRDefault="00000000" w:rsidRPr="00000000" w14:paraId="00000058">
      <w:pPr>
        <w:spacing w:after="120" w:before="120" w:lineRule="auto"/>
        <w:rPr/>
      </w:pPr>
      <w:r w:rsidDel="00000000" w:rsidR="00000000" w:rsidRPr="00000000">
        <w:rPr>
          <w:rtl w:val="0"/>
        </w:rPr>
        <w:t xml:space="preserve">Bates, D.W. and Singh, H., 2018. Two decades since to err is human: an assessment of progress and emerging priorities in patient safety. </w:t>
      </w:r>
      <w:r w:rsidDel="00000000" w:rsidR="00000000" w:rsidRPr="00000000">
        <w:rPr>
          <w:i w:val="1"/>
          <w:iCs w:val="1"/>
          <w:rtl w:val="0"/>
        </w:rPr>
        <w:t xml:space="preserve">Health Affairs</w:t>
      </w:r>
      <w:r w:rsidDel="00000000" w:rsidR="00000000" w:rsidRPr="00000000">
        <w:rPr>
          <w:rtl w:val="0"/>
        </w:rPr>
        <w:t xml:space="preserve">, </w:t>
      </w:r>
      <w:r w:rsidDel="00000000" w:rsidR="00000000" w:rsidRPr="00000000">
        <w:rPr>
          <w:i w:val="1"/>
          <w:iCs w:val="1"/>
          <w:rtl w:val="0"/>
        </w:rPr>
        <w:t xml:space="preserve">37</w:t>
      </w:r>
      <w:r w:rsidDel="00000000" w:rsidR="00000000" w:rsidRPr="00000000">
        <w:rPr>
          <w:rtl w:val="0"/>
        </w:rPr>
        <w:t xml:space="preserve">(11), pp.1736-1743.</w:t>
      </w:r>
    </w:p>
    <w:p w:rsidR="00000000" w:rsidDel="00000000" w:rsidP="00000000" w:rsidRDefault="00000000" w:rsidRPr="00000000" w14:paraId="00000059">
      <w:pPr>
        <w:spacing w:after="120" w:before="120" w:lineRule="auto"/>
        <w:rPr/>
      </w:pPr>
      <w:r w:rsidDel="00000000" w:rsidR="00000000" w:rsidRPr="00000000">
        <w:rPr>
          <w:rtl w:val="0"/>
        </w:rPr>
        <w:t xml:space="preserve">Carey, M., 2019. Some ethical limitations of privatising and marketizing social care and social work provision in England for children and young people. </w:t>
      </w:r>
      <w:r w:rsidDel="00000000" w:rsidR="00000000" w:rsidRPr="00000000">
        <w:rPr>
          <w:i w:val="1"/>
          <w:iCs w:val="1"/>
          <w:rtl w:val="0"/>
        </w:rPr>
        <w:t xml:space="preserve">Ethics and Social Welfare</w:t>
      </w:r>
      <w:r w:rsidDel="00000000" w:rsidR="00000000" w:rsidRPr="00000000">
        <w:rPr>
          <w:rtl w:val="0"/>
        </w:rPr>
        <w:t xml:space="preserve">, </w:t>
      </w:r>
      <w:r w:rsidDel="00000000" w:rsidR="00000000" w:rsidRPr="00000000">
        <w:rPr>
          <w:i w:val="1"/>
          <w:iCs w:val="1"/>
          <w:rtl w:val="0"/>
        </w:rPr>
        <w:t xml:space="preserve">13</w:t>
      </w:r>
      <w:r w:rsidDel="00000000" w:rsidR="00000000" w:rsidRPr="00000000">
        <w:rPr>
          <w:rtl w:val="0"/>
        </w:rPr>
        <w:t xml:space="preserve">(3), pp.272-287.</w:t>
      </w:r>
    </w:p>
    <w:p w:rsidR="00000000" w:rsidDel="00000000" w:rsidP="00000000" w:rsidRDefault="00000000" w:rsidRPr="00000000" w14:paraId="0000005A">
      <w:pPr>
        <w:spacing w:after="120" w:before="120" w:lineRule="auto"/>
        <w:rPr/>
      </w:pPr>
      <w:r w:rsidDel="00000000" w:rsidR="00000000" w:rsidRPr="00000000">
        <w:rPr>
          <w:rtl w:val="0"/>
        </w:rPr>
        <w:t xml:space="preserve">Hamilton, H. and Chou, W.Y.S., 2014. </w:t>
      </w:r>
      <w:r w:rsidDel="00000000" w:rsidR="00000000" w:rsidRPr="00000000">
        <w:rPr>
          <w:i w:val="1"/>
          <w:iCs w:val="1"/>
          <w:rtl w:val="0"/>
        </w:rPr>
        <w:t xml:space="preserve">The Routledge handbook of language and health communication</w:t>
      </w:r>
      <w:r w:rsidDel="00000000" w:rsidR="00000000" w:rsidRPr="00000000">
        <w:rPr>
          <w:rtl w:val="0"/>
        </w:rPr>
        <w:t xml:space="preserve">. Routledge.</w:t>
      </w:r>
    </w:p>
    <w:p w:rsidR="00000000" w:rsidDel="00000000" w:rsidP="00000000" w:rsidRDefault="00000000" w:rsidRPr="00000000" w14:paraId="0000005B">
      <w:pPr>
        <w:spacing w:after="120" w:before="120" w:lineRule="auto"/>
        <w:rPr/>
      </w:pPr>
      <w:r w:rsidDel="00000000" w:rsidR="00000000" w:rsidRPr="00000000">
        <w:rPr>
          <w:rtl w:val="0"/>
        </w:rPr>
        <w:t xml:space="preserve">Inglis Humphrey, W., Smithies, A., Prestt, J., Fletcher, M. and Cresswell, K., 2022. The NHS Digital Academy Digital Health Leadership Programme. In </w:t>
      </w:r>
      <w:r w:rsidDel="00000000" w:rsidR="00000000" w:rsidRPr="00000000">
        <w:rPr>
          <w:i w:val="1"/>
          <w:iCs w:val="1"/>
          <w:rtl w:val="0"/>
        </w:rPr>
        <w:t xml:space="preserve">Digital Professionalism in Health and Care: Developing the Workforce, Building the Future: Proceedings of the EFMI Special Topic Conference 2022</w:t>
      </w:r>
      <w:r w:rsidDel="00000000" w:rsidR="00000000" w:rsidRPr="00000000">
        <w:rPr>
          <w:rtl w:val="0"/>
        </w:rPr>
        <w:t xml:space="preserve"> (pp. 24-28). 1 Oliver's Yard, 55 City Road, London, EC1Y 1SP: SAGE Publications.</w:t>
      </w:r>
    </w:p>
    <w:p w:rsidR="00000000" w:rsidDel="00000000" w:rsidP="00000000" w:rsidRDefault="00000000" w:rsidRPr="00000000" w14:paraId="0000005C">
      <w:pPr>
        <w:spacing w:after="120" w:before="120" w:lineRule="auto"/>
        <w:rPr/>
      </w:pPr>
      <w:r w:rsidDel="00000000" w:rsidR="00000000" w:rsidRPr="00000000">
        <w:rPr>
          <w:rtl w:val="0"/>
        </w:rPr>
        <w:t xml:space="preserve">Littlejohn, S.W. and Foss, K.A., 2010. </w:t>
      </w:r>
      <w:r w:rsidDel="00000000" w:rsidR="00000000" w:rsidRPr="00000000">
        <w:rPr>
          <w:i w:val="1"/>
          <w:iCs w:val="1"/>
          <w:rtl w:val="0"/>
        </w:rPr>
        <w:t xml:space="preserve">Theories of human communication</w:t>
      </w:r>
      <w:r w:rsidDel="00000000" w:rsidR="00000000" w:rsidRPr="00000000">
        <w:rPr>
          <w:rtl w:val="0"/>
        </w:rPr>
        <w:t xml:space="preserve">. Waveland press.</w:t>
      </w:r>
    </w:p>
    <w:p w:rsidR="00000000" w:rsidDel="00000000" w:rsidP="00000000" w:rsidRDefault="00000000" w:rsidRPr="00000000" w14:paraId="0000005D">
      <w:pPr>
        <w:spacing w:after="120" w:before="120" w:lineRule="auto"/>
        <w:rPr/>
      </w:pPr>
      <w:r w:rsidDel="00000000" w:rsidR="00000000" w:rsidRPr="00000000">
        <w:rPr>
          <w:rtl w:val="0"/>
        </w:rPr>
        <w:t xml:space="preserve">McCrudden, C., 2023. </w:t>
      </w:r>
      <w:r w:rsidDel="00000000" w:rsidR="00000000" w:rsidRPr="00000000">
        <w:rPr>
          <w:i w:val="1"/>
          <w:iCs w:val="1"/>
          <w:rtl w:val="0"/>
        </w:rPr>
        <w:t xml:space="preserve">Equality in Law: United Kingdom</w:t>
      </w:r>
      <w:r w:rsidDel="00000000" w:rsidR="00000000" w:rsidRPr="00000000">
        <w:rPr>
          <w:rtl w:val="0"/>
        </w:rPr>
        <w:t xml:space="preserve"> (Vol. 2). Martinus Nijhoff Publishers.</w:t>
      </w:r>
    </w:p>
    <w:p w:rsidR="00000000" w:rsidDel="00000000" w:rsidP="00000000" w:rsidRDefault="00000000" w:rsidRPr="00000000" w14:paraId="0000005E">
      <w:pPr>
        <w:spacing w:after="120" w:before="120" w:lineRule="auto"/>
        <w:rPr/>
      </w:pPr>
      <w:r w:rsidDel="00000000" w:rsidR="00000000" w:rsidRPr="00000000">
        <w:rPr>
          <w:rtl w:val="0"/>
        </w:rPr>
        <w:t xml:space="preserve">Karliner, L.S., Jacobs, E.A., Chen, A.H. and Mutha, S., 2007. Do professional interpreters improve clinical care for patients with limited English proficiency? A systematic review of the literature. </w:t>
      </w:r>
      <w:r w:rsidDel="00000000" w:rsidR="00000000" w:rsidRPr="00000000">
        <w:rPr>
          <w:i w:val="1"/>
          <w:iCs w:val="1"/>
          <w:rtl w:val="0"/>
        </w:rPr>
        <w:t xml:space="preserve">Health services research</w:t>
      </w:r>
      <w:r w:rsidDel="00000000" w:rsidR="00000000" w:rsidRPr="00000000">
        <w:rPr>
          <w:rtl w:val="0"/>
        </w:rPr>
        <w:t xml:space="preserve">, </w:t>
      </w:r>
      <w:r w:rsidDel="00000000" w:rsidR="00000000" w:rsidRPr="00000000">
        <w:rPr>
          <w:i w:val="1"/>
          <w:iCs w:val="1"/>
          <w:rtl w:val="0"/>
        </w:rPr>
        <w:t xml:space="preserve">42</w:t>
      </w:r>
      <w:r w:rsidDel="00000000" w:rsidR="00000000" w:rsidRPr="00000000">
        <w:rPr>
          <w:rtl w:val="0"/>
        </w:rPr>
        <w:t xml:space="preserve">(2), pp.727-754.</w:t>
      </w:r>
    </w:p>
    <w:p w:rsidR="00000000" w:rsidDel="00000000" w:rsidP="00000000" w:rsidRDefault="00000000" w:rsidRPr="00000000" w14:paraId="0000005F">
      <w:pPr>
        <w:spacing w:after="120" w:before="120" w:lineRule="auto"/>
        <w:rPr/>
      </w:pPr>
      <w:r w:rsidDel="00000000" w:rsidR="00000000" w:rsidRPr="00000000">
        <w:rPr>
          <w:rtl w:val="0"/>
        </w:rPr>
        <w:t xml:space="preserve">McCormack, B. and McCance, T. eds., 2016. </w:t>
      </w:r>
      <w:r w:rsidDel="00000000" w:rsidR="00000000" w:rsidRPr="00000000">
        <w:rPr>
          <w:i w:val="1"/>
          <w:iCs w:val="1"/>
          <w:rtl w:val="0"/>
        </w:rPr>
        <w:t xml:space="preserve">Person-centred practice in nursing and health care: theory and practice</w:t>
      </w:r>
      <w:r w:rsidDel="00000000" w:rsidR="00000000" w:rsidRPr="00000000">
        <w:rPr>
          <w:rtl w:val="0"/>
        </w:rPr>
        <w:t xml:space="preserve">. John Wiley &amp; Sons.</w:t>
      </w:r>
    </w:p>
    <w:p w:rsidR="00000000" w:rsidDel="00000000" w:rsidP="00000000" w:rsidRDefault="00000000" w:rsidRPr="00000000" w14:paraId="00000060">
      <w:pPr>
        <w:spacing w:after="120" w:before="120" w:lineRule="auto"/>
        <w:rPr/>
      </w:pPr>
      <w:r w:rsidDel="00000000" w:rsidR="00000000" w:rsidRPr="00000000">
        <w:rPr>
          <w:rtl w:val="0"/>
        </w:rPr>
        <w:t xml:space="preserve">Murrell, J.E., Pisegna, J.L. and Juckett, L.A., 2021. Implementation strategies and outcomes for occupational therapy in adult stroke rehabilitation: a scoping review. </w:t>
      </w:r>
      <w:r w:rsidDel="00000000" w:rsidR="00000000" w:rsidRPr="00000000">
        <w:rPr>
          <w:i w:val="1"/>
          <w:iCs w:val="1"/>
          <w:rtl w:val="0"/>
        </w:rPr>
        <w:t xml:space="preserve">Implementation Science</w:t>
      </w:r>
      <w:r w:rsidDel="00000000" w:rsidR="00000000" w:rsidRPr="00000000">
        <w:rPr>
          <w:rtl w:val="0"/>
        </w:rPr>
        <w:t xml:space="preserve">, </w:t>
      </w:r>
      <w:r w:rsidDel="00000000" w:rsidR="00000000" w:rsidRPr="00000000">
        <w:rPr>
          <w:i w:val="1"/>
          <w:iCs w:val="1"/>
          <w:rtl w:val="0"/>
        </w:rPr>
        <w:t xml:space="preserve">16</w:t>
      </w:r>
      <w:r w:rsidDel="00000000" w:rsidR="00000000" w:rsidRPr="00000000">
        <w:rPr>
          <w:rtl w:val="0"/>
        </w:rPr>
        <w:t xml:space="preserve">(1), p.105.</w:t>
      </w:r>
    </w:p>
    <w:p w:rsidR="00000000" w:rsidDel="00000000" w:rsidP="00000000" w:rsidRDefault="00000000" w:rsidRPr="00000000" w14:paraId="00000061">
      <w:pPr>
        <w:spacing w:after="120" w:before="120" w:lineRule="auto"/>
        <w:rPr/>
      </w:pPr>
      <w:r w:rsidDel="00000000" w:rsidR="00000000" w:rsidRPr="00000000">
        <w:rPr>
          <w:rtl w:val="0"/>
        </w:rPr>
        <w:t xml:space="preserve">Reeves, S., Pelone, F., Harrison, R., Goldman, J. and Zwarenstein, M., 2018. Interprofessional collaboration: Effects on patient outcomes. </w:t>
      </w:r>
      <w:r w:rsidDel="00000000" w:rsidR="00000000" w:rsidRPr="00000000">
        <w:rPr>
          <w:i w:val="1"/>
          <w:iCs w:val="1"/>
          <w:rtl w:val="0"/>
        </w:rPr>
        <w:t xml:space="preserve">Cochrane Database of Systematic Reviews</w:t>
      </w:r>
      <w:r w:rsidDel="00000000" w:rsidR="00000000" w:rsidRPr="00000000">
        <w:rPr>
          <w:rtl w:val="0"/>
        </w:rPr>
        <w:t xml:space="preserve">.</w:t>
      </w:r>
    </w:p>
    <w:p w:rsidR="00000000" w:rsidDel="00000000" w:rsidP="00000000" w:rsidRDefault="00000000" w:rsidRPr="00000000" w14:paraId="00000062">
      <w:pPr>
        <w:spacing w:after="120" w:before="120" w:lineRule="auto"/>
        <w:rPr/>
      </w:pPr>
      <w:r w:rsidDel="00000000" w:rsidR="00000000" w:rsidRPr="00000000">
        <w:rPr>
          <w:rtl w:val="0"/>
        </w:rPr>
        <w:t xml:space="preserve">Rudresh, S.A. and Mathew, S.P., 2023. Medical record keeping for quality patient care: An observational study. </w:t>
      </w:r>
      <w:r w:rsidDel="00000000" w:rsidR="00000000" w:rsidRPr="00000000">
        <w:rPr>
          <w:i w:val="1"/>
          <w:iCs w:val="1"/>
          <w:rtl w:val="0"/>
        </w:rPr>
        <w:t xml:space="preserve">Acta Medica International</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(1), pp.1-8.</w:t>
      </w:r>
    </w:p>
    <w:p w:rsidR="00000000" w:rsidDel="00000000" w:rsidP="00000000" w:rsidRDefault="00000000" w:rsidRPr="00000000" w14:paraId="00000063">
      <w:pPr>
        <w:spacing w:after="120" w:before="120" w:lineRule="auto"/>
        <w:rPr/>
      </w:pPr>
      <w:r w:rsidDel="00000000" w:rsidR="00000000" w:rsidRPr="00000000">
        <w:rPr>
          <w:rtl w:val="0"/>
        </w:rPr>
        <w:t xml:space="preserve">Schwei, R.J., Guerrero, N., Small, A.L. and Jacobs, E.A., 2019. Physician perceptions of the types of roles interpreters play in limited English proficient pediatric encounters and how they evaluate the quality of interpretation. </w:t>
      </w:r>
      <w:r w:rsidDel="00000000" w:rsidR="00000000" w:rsidRPr="00000000">
        <w:rPr>
          <w:i w:val="1"/>
          <w:iCs w:val="1"/>
          <w:rtl w:val="0"/>
        </w:rPr>
        <w:t xml:space="preserve">Primary health care research &amp; development</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 p.e25.</w:t>
      </w:r>
    </w:p>
    <w:p w:rsidR="00000000" w:rsidDel="00000000" w:rsidP="00000000" w:rsidRDefault="00000000" w:rsidRPr="00000000" w14:paraId="00000064">
      <w:pPr>
        <w:spacing w:after="120" w:before="120" w:lineRule="auto"/>
        <w:rPr/>
      </w:pPr>
      <w:r w:rsidDel="00000000" w:rsidR="00000000" w:rsidRPr="00000000">
        <w:rPr>
          <w:rtl w:val="0"/>
        </w:rPr>
        <w:t xml:space="preserve">Shahid, J., Ahmad, R., Kiani, A.K., Ahmad, T., Saeed, S. and Almuhaideb, A.M., 2022. Data protection and privacy of the internet of healthcare things (IoHTs). </w:t>
      </w:r>
      <w:r w:rsidDel="00000000" w:rsidR="00000000" w:rsidRPr="00000000">
        <w:rPr>
          <w:i w:val="1"/>
          <w:iCs w:val="1"/>
          <w:rtl w:val="0"/>
        </w:rPr>
        <w:t xml:space="preserve">Applied sciences</w:t>
      </w:r>
      <w:r w:rsidDel="00000000" w:rsidR="00000000" w:rsidRPr="00000000">
        <w:rPr>
          <w:rtl w:val="0"/>
        </w:rPr>
        <w:t xml:space="preserve">, </w:t>
      </w:r>
      <w:r w:rsidDel="00000000" w:rsidR="00000000" w:rsidRPr="00000000">
        <w:rPr>
          <w:i w:val="1"/>
          <w:iCs w:val="1"/>
          <w:rtl w:val="0"/>
        </w:rPr>
        <w:t xml:space="preserve">12</w:t>
      </w:r>
      <w:r w:rsidDel="00000000" w:rsidR="00000000" w:rsidRPr="00000000">
        <w:rPr>
          <w:rtl w:val="0"/>
        </w:rPr>
        <w:t xml:space="preserve">(4), p.1927.</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i w:val="1"/>
      <w:iCs w:val="1"/>
    </w:rPr>
  </w:style>
  <w:style w:type="paragraph" w:styleId="Heading2">
    <w:name w:val="heading 2"/>
    <w:basedOn w:val="Normal"/>
    <w:next w:val="Normal"/>
    <w:pPr>
      <w:spacing w:after="0" w:before="280" w:lineRule="auto"/>
    </w:pPr>
    <w:rPr>
      <w:color w:val="366091"/>
      <w:sz w:val="26"/>
      <w:szCs w:val="26"/>
    </w:rPr>
  </w:style>
  <w:style w:type="paragraph" w:styleId="Heading3">
    <w:name w:val="heading 3"/>
    <w:basedOn w:val="Normal"/>
    <w:next w:val="Normal"/>
    <w:pPr>
      <w:keepNext w:val="1"/>
      <w:keepLines w:val="1"/>
      <w:spacing w:after="0" w:before="40" w:lineRule="auto"/>
    </w:pPr>
    <w:rPr>
      <w:color w:val="366091"/>
      <w:sz w:val="24"/>
      <w:szCs w:val="24"/>
    </w:rPr>
  </w:style>
  <w:style w:type="paragraph" w:styleId="Heading4">
    <w:name w:val="heading 4"/>
    <w:basedOn w:val="Normal"/>
    <w:next w:val="Normal"/>
    <w:pPr>
      <w:keepNext w:val="1"/>
      <w:keepLines w:val="1"/>
      <w:spacing w:after="0" w:before="40" w:lineRule="auto"/>
    </w:pPr>
    <w:rPr>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