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lang w:val="en-US"/>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077897F0" w:rsidR="00C558B0" w:rsidRPr="00AF41E0" w:rsidRDefault="00C558B0" w:rsidP="00594FAC">
      <w:pPr>
        <w:tabs>
          <w:tab w:val="left" w:pos="6540"/>
        </w:tabs>
        <w:spacing w:line="360" w:lineRule="auto"/>
        <w:rPr>
          <w:rFonts w:ascii="Arial" w:hAnsi="Arial" w:cs="Arial"/>
          <w:b/>
          <w:bCs/>
          <w:sz w:val="28"/>
          <w:szCs w:val="28"/>
        </w:rPr>
      </w:pPr>
      <w:r w:rsidRPr="00AF41E0">
        <w:rPr>
          <w:rFonts w:ascii="Arial" w:hAnsi="Arial" w:cs="Arial"/>
          <w:b/>
          <w:bCs/>
          <w:sz w:val="28"/>
          <w:szCs w:val="28"/>
        </w:rPr>
        <w:t>Student name:</w:t>
      </w:r>
      <w:r w:rsidR="00AF41E0" w:rsidRPr="00AF41E0">
        <w:rPr>
          <w:rFonts w:ascii="Arial" w:hAnsi="Arial" w:cs="Arial"/>
          <w:b/>
          <w:bCs/>
          <w:sz w:val="28"/>
          <w:szCs w:val="28"/>
        </w:rPr>
        <w:t xml:space="preserve"> Paula Gavriloaei</w:t>
      </w:r>
    </w:p>
    <w:p w14:paraId="18D88AE2" w14:textId="15A13EF4" w:rsidR="00C558B0" w:rsidRPr="00AF41E0" w:rsidRDefault="00C558B0" w:rsidP="00594FAC">
      <w:pPr>
        <w:tabs>
          <w:tab w:val="left" w:pos="6540"/>
        </w:tabs>
        <w:spacing w:line="360" w:lineRule="auto"/>
        <w:rPr>
          <w:rFonts w:ascii="Arial" w:hAnsi="Arial" w:cs="Arial"/>
          <w:b/>
          <w:bCs/>
          <w:sz w:val="28"/>
          <w:szCs w:val="28"/>
        </w:rPr>
      </w:pPr>
      <w:r w:rsidRPr="00AF41E0">
        <w:rPr>
          <w:rFonts w:ascii="Arial" w:hAnsi="Arial" w:cs="Arial"/>
          <w:b/>
          <w:bCs/>
          <w:sz w:val="28"/>
          <w:szCs w:val="28"/>
        </w:rPr>
        <w:t>Student ID:</w:t>
      </w:r>
      <w:r w:rsidR="00AF41E0" w:rsidRPr="00AF41E0">
        <w:rPr>
          <w:rFonts w:ascii="Arial" w:hAnsi="Arial" w:cs="Arial"/>
          <w:b/>
          <w:bCs/>
          <w:sz w:val="28"/>
          <w:szCs w:val="28"/>
        </w:rPr>
        <w:t xml:space="preserve"> 241</w:t>
      </w:r>
      <w:r w:rsidR="0063729E">
        <w:rPr>
          <w:rFonts w:ascii="Arial" w:hAnsi="Arial" w:cs="Arial"/>
          <w:b/>
          <w:bCs/>
          <w:sz w:val="28"/>
          <w:szCs w:val="28"/>
        </w:rPr>
        <w:t>5803</w:t>
      </w:r>
    </w:p>
    <w:p w14:paraId="4654C81C" w14:textId="77777777" w:rsidR="00C558B0" w:rsidRPr="00AF41E0" w:rsidRDefault="00C558B0" w:rsidP="00594FAC">
      <w:pPr>
        <w:tabs>
          <w:tab w:val="left" w:pos="6540"/>
        </w:tabs>
        <w:spacing w:line="360" w:lineRule="auto"/>
        <w:rPr>
          <w:rFonts w:ascii="Arial" w:hAnsi="Arial" w:cs="Arial"/>
          <w:sz w:val="28"/>
          <w:szCs w:val="28"/>
        </w:rPr>
      </w:pPr>
    </w:p>
    <w:p w14:paraId="3D8DA301" w14:textId="0D9F4626" w:rsidR="00C558B0" w:rsidRPr="00AF41E0" w:rsidRDefault="00C558B0" w:rsidP="00594FAC">
      <w:pPr>
        <w:tabs>
          <w:tab w:val="left" w:pos="6540"/>
        </w:tabs>
        <w:spacing w:line="360" w:lineRule="auto"/>
        <w:rPr>
          <w:rFonts w:ascii="Arial" w:hAnsi="Arial" w:cs="Arial"/>
          <w:b/>
          <w:bCs/>
          <w:sz w:val="28"/>
          <w:szCs w:val="28"/>
        </w:rPr>
      </w:pPr>
      <w:r w:rsidRPr="00AF41E0">
        <w:rPr>
          <w:rFonts w:ascii="Arial" w:hAnsi="Arial" w:cs="Arial"/>
          <w:b/>
          <w:bCs/>
          <w:sz w:val="28"/>
          <w:szCs w:val="28"/>
        </w:rPr>
        <w:t>Module name</w:t>
      </w:r>
      <w:r w:rsidRPr="00AF41E0">
        <w:rPr>
          <w:rFonts w:ascii="Arial" w:hAnsi="Arial" w:cs="Arial"/>
          <w:sz w:val="28"/>
          <w:szCs w:val="28"/>
        </w:rPr>
        <w:t xml:space="preserve">: </w:t>
      </w:r>
      <w:r w:rsidR="00887FBB" w:rsidRPr="00AF41E0">
        <w:rPr>
          <w:rFonts w:ascii="Arial" w:hAnsi="Arial" w:cs="Arial"/>
          <w:b/>
          <w:bCs/>
          <w:sz w:val="28"/>
          <w:szCs w:val="28"/>
        </w:rPr>
        <w:t>Principles of Health and Social Care Practice</w:t>
      </w:r>
    </w:p>
    <w:p w14:paraId="3E48CEF6" w14:textId="34265016" w:rsidR="00887FBB" w:rsidRPr="00AF41E0" w:rsidRDefault="00887FBB" w:rsidP="00594FAC">
      <w:pPr>
        <w:tabs>
          <w:tab w:val="left" w:pos="6540"/>
        </w:tabs>
        <w:spacing w:line="360" w:lineRule="auto"/>
        <w:rPr>
          <w:rFonts w:ascii="Arial" w:hAnsi="Arial" w:cs="Arial"/>
          <w:sz w:val="28"/>
          <w:szCs w:val="28"/>
        </w:rPr>
      </w:pPr>
      <w:r w:rsidRPr="00AF41E0">
        <w:rPr>
          <w:rFonts w:ascii="Arial" w:hAnsi="Arial" w:cs="Arial"/>
          <w:b/>
          <w:bCs/>
          <w:sz w:val="28"/>
          <w:szCs w:val="28"/>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049106F6" w:rsidR="00C558B0" w:rsidRPr="008C5715" w:rsidRDefault="00C558B0" w:rsidP="00594FAC">
      <w:pPr>
        <w:tabs>
          <w:tab w:val="left" w:pos="6540"/>
        </w:tabs>
        <w:spacing w:line="360" w:lineRule="auto"/>
        <w:rPr>
          <w:rFonts w:ascii="Arial" w:hAnsi="Arial" w:cs="Arial"/>
          <w:b/>
          <w:bCs/>
          <w:sz w:val="28"/>
          <w:szCs w:val="28"/>
        </w:rPr>
      </w:pPr>
      <w:r w:rsidRPr="008C5715">
        <w:rPr>
          <w:rFonts w:ascii="Arial" w:hAnsi="Arial" w:cs="Arial"/>
          <w:b/>
          <w:bCs/>
          <w:sz w:val="28"/>
          <w:szCs w:val="28"/>
        </w:rPr>
        <w:t>Lecturer name:</w:t>
      </w:r>
      <w:r w:rsidR="00421C3D">
        <w:rPr>
          <w:rFonts w:ascii="Arial" w:hAnsi="Arial" w:cs="Arial"/>
          <w:b/>
          <w:bCs/>
          <w:sz w:val="28"/>
          <w:szCs w:val="28"/>
        </w:rPr>
        <w:t xml:space="preserve"> </w:t>
      </w:r>
      <w:r w:rsidR="00273031" w:rsidRPr="008C5715">
        <w:rPr>
          <w:rFonts w:ascii="Arial" w:hAnsi="Arial" w:cs="Arial"/>
          <w:b/>
          <w:bCs/>
          <w:sz w:val="28"/>
          <w:szCs w:val="28"/>
        </w:rPr>
        <w:t>I</w:t>
      </w:r>
      <w:r w:rsidR="001579E6" w:rsidRPr="008C5715">
        <w:rPr>
          <w:rFonts w:ascii="Arial" w:hAnsi="Arial" w:cs="Arial"/>
          <w:b/>
          <w:bCs/>
          <w:sz w:val="28"/>
          <w:szCs w:val="28"/>
        </w:rPr>
        <w:t>t</w:t>
      </w:r>
      <w:r w:rsidR="008C5715" w:rsidRPr="008C5715">
        <w:rPr>
          <w:rFonts w:ascii="Arial" w:hAnsi="Arial" w:cs="Arial"/>
          <w:b/>
          <w:bCs/>
          <w:sz w:val="28"/>
          <w:szCs w:val="28"/>
        </w:rPr>
        <w:t>se Olaoye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sdt>
      <w:sdtPr>
        <w:rPr>
          <w:rFonts w:ascii="Arial" w:eastAsiaTheme="minorHAnsi" w:hAnsi="Arial" w:cs="Arial"/>
          <w:b/>
          <w:noProof/>
          <w:color w:val="000000" w:themeColor="text1"/>
          <w:sz w:val="28"/>
          <w:szCs w:val="28"/>
          <w:lang w:val="en-GB"/>
        </w:rPr>
        <w:id w:val="-1692980352"/>
        <w:docPartObj>
          <w:docPartGallery w:val="Table of Contents"/>
          <w:docPartUnique/>
        </w:docPartObj>
      </w:sdtPr>
      <w:sdtEndPr>
        <w:rPr>
          <w:bCs/>
          <w:color w:val="auto"/>
          <w:sz w:val="24"/>
          <w:szCs w:val="22"/>
        </w:rPr>
      </w:sdtEndPr>
      <w:sdtContent>
        <w:p w14:paraId="77FCD78C" w14:textId="0F12567A" w:rsidR="004E0F71" w:rsidRPr="00BD3632" w:rsidRDefault="004E0F71" w:rsidP="00BD3632">
          <w:pPr>
            <w:pStyle w:val="TOCHeading"/>
            <w:jc w:val="center"/>
            <w:rPr>
              <w:rFonts w:ascii="Arial" w:hAnsi="Arial" w:cs="Arial"/>
              <w:b/>
              <w:color w:val="000000" w:themeColor="text1"/>
              <w:sz w:val="28"/>
              <w:szCs w:val="28"/>
            </w:rPr>
          </w:pPr>
          <w:r w:rsidRPr="00BD3632">
            <w:rPr>
              <w:rFonts w:ascii="Arial" w:hAnsi="Arial" w:cs="Arial"/>
              <w:b/>
              <w:color w:val="000000" w:themeColor="text1"/>
              <w:sz w:val="28"/>
              <w:szCs w:val="28"/>
            </w:rPr>
            <w:t>Table of Contents</w:t>
          </w:r>
        </w:p>
        <w:p w14:paraId="778DABA2" w14:textId="77777777" w:rsidR="00BD3632" w:rsidRPr="00BD3632" w:rsidRDefault="004E0F71" w:rsidP="00BD3632">
          <w:pPr>
            <w:pStyle w:val="TOC1"/>
            <w:tabs>
              <w:tab w:val="right" w:leader="dot" w:pos="9016"/>
            </w:tabs>
            <w:spacing w:line="360" w:lineRule="auto"/>
            <w:jc w:val="both"/>
            <w:rPr>
              <w:rFonts w:ascii="Arial" w:hAnsi="Arial" w:cs="Arial"/>
              <w:noProof/>
            </w:rPr>
          </w:pPr>
          <w:r w:rsidRPr="00BD3632">
            <w:rPr>
              <w:rFonts w:ascii="Arial" w:hAnsi="Arial" w:cs="Arial"/>
            </w:rPr>
            <w:fldChar w:fldCharType="begin"/>
          </w:r>
          <w:r w:rsidRPr="00BD3632">
            <w:rPr>
              <w:rFonts w:ascii="Arial" w:hAnsi="Arial" w:cs="Arial"/>
            </w:rPr>
            <w:instrText xml:space="preserve"> TOC \o "1-3" \h \z \u </w:instrText>
          </w:r>
          <w:r w:rsidRPr="00BD3632">
            <w:rPr>
              <w:rFonts w:ascii="Arial" w:hAnsi="Arial" w:cs="Arial"/>
            </w:rPr>
            <w:fldChar w:fldCharType="separate"/>
          </w:r>
          <w:hyperlink w:anchor="_Toc223308592" w:history="1">
            <w:r w:rsidR="00BD3632" w:rsidRPr="00BD3632">
              <w:rPr>
                <w:rStyle w:val="Hyperlink"/>
                <w:rFonts w:ascii="Arial" w:hAnsi="Arial" w:cs="Arial"/>
                <w:noProof/>
              </w:rPr>
              <w:t>Introduction</w:t>
            </w:r>
            <w:r w:rsidR="00BD3632" w:rsidRPr="00BD3632">
              <w:rPr>
                <w:rFonts w:ascii="Arial" w:hAnsi="Arial" w:cs="Arial"/>
                <w:noProof/>
                <w:webHidden/>
              </w:rPr>
              <w:tab/>
            </w:r>
            <w:r w:rsidR="00BD3632" w:rsidRPr="00BD3632">
              <w:rPr>
                <w:rFonts w:ascii="Arial" w:hAnsi="Arial" w:cs="Arial"/>
                <w:noProof/>
                <w:webHidden/>
              </w:rPr>
              <w:fldChar w:fldCharType="begin"/>
            </w:r>
            <w:r w:rsidR="00BD3632" w:rsidRPr="00BD3632">
              <w:rPr>
                <w:rFonts w:ascii="Arial" w:hAnsi="Arial" w:cs="Arial"/>
                <w:noProof/>
                <w:webHidden/>
              </w:rPr>
              <w:instrText xml:space="preserve"> PAGEREF _Toc223308592 \h </w:instrText>
            </w:r>
            <w:r w:rsidR="00BD3632" w:rsidRPr="00BD3632">
              <w:rPr>
                <w:rFonts w:ascii="Arial" w:hAnsi="Arial" w:cs="Arial"/>
                <w:noProof/>
                <w:webHidden/>
              </w:rPr>
            </w:r>
            <w:r w:rsidR="00BD3632" w:rsidRPr="00BD3632">
              <w:rPr>
                <w:rFonts w:ascii="Arial" w:hAnsi="Arial" w:cs="Arial"/>
                <w:noProof/>
                <w:webHidden/>
              </w:rPr>
              <w:fldChar w:fldCharType="separate"/>
            </w:r>
            <w:r w:rsidR="00BD3632" w:rsidRPr="00BD3632">
              <w:rPr>
                <w:rFonts w:ascii="Arial" w:hAnsi="Arial" w:cs="Arial"/>
                <w:noProof/>
                <w:webHidden/>
              </w:rPr>
              <w:t>3</w:t>
            </w:r>
            <w:r w:rsidR="00BD3632" w:rsidRPr="00BD3632">
              <w:rPr>
                <w:rFonts w:ascii="Arial" w:hAnsi="Arial" w:cs="Arial"/>
                <w:noProof/>
                <w:webHidden/>
              </w:rPr>
              <w:fldChar w:fldCharType="end"/>
            </w:r>
          </w:hyperlink>
        </w:p>
        <w:p w14:paraId="10FE6682"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593" w:history="1">
            <w:r w:rsidRPr="00BD3632">
              <w:rPr>
                <w:rStyle w:val="Hyperlink"/>
                <w:rFonts w:ascii="Arial" w:hAnsi="Arial" w:cs="Arial"/>
                <w:noProof/>
              </w:rPr>
              <w:t>Task 1: Reflection on the Importance of Principles of Health and Social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_Toc223308593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3</w:t>
            </w:r>
            <w:r w:rsidRPr="00BD3632">
              <w:rPr>
                <w:rFonts w:ascii="Arial" w:hAnsi="Arial" w:cs="Arial"/>
                <w:noProof/>
                <w:webHidden/>
              </w:rPr>
              <w:fldChar w:fldCharType="end"/>
            </w:r>
          </w:hyperlink>
        </w:p>
        <w:p w14:paraId="0AAF380F"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4" w:history="1">
            <w:r w:rsidRPr="00BD3632">
              <w:rPr>
                <w:rStyle w:val="Hyperlink"/>
                <w:rFonts w:ascii="Arial" w:hAnsi="Arial" w:cs="Arial"/>
                <w:noProof/>
              </w:rPr>
              <w:t>1.1 Person centred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_Toc223308594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3</w:t>
            </w:r>
            <w:r w:rsidRPr="00BD3632">
              <w:rPr>
                <w:rFonts w:ascii="Arial" w:hAnsi="Arial" w:cs="Arial"/>
                <w:noProof/>
                <w:webHidden/>
              </w:rPr>
              <w:fldChar w:fldCharType="end"/>
            </w:r>
          </w:hyperlink>
        </w:p>
        <w:p w14:paraId="7F065F14"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5" w:history="1">
            <w:r w:rsidRPr="00BD3632">
              <w:rPr>
                <w:rStyle w:val="Hyperlink"/>
                <w:rFonts w:ascii="Arial" w:hAnsi="Arial" w:cs="Arial"/>
                <w:noProof/>
              </w:rPr>
              <w:t>1.2 Partnership working</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_Toc223308595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4</w:t>
            </w:r>
            <w:r w:rsidRPr="00BD3632">
              <w:rPr>
                <w:rFonts w:ascii="Arial" w:hAnsi="Arial" w:cs="Arial"/>
                <w:noProof/>
                <w:webHidden/>
              </w:rPr>
              <w:fldChar w:fldCharType="end"/>
            </w:r>
          </w:hyperlink>
        </w:p>
        <w:p w14:paraId="327A74FB"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6" w:history="1">
            <w:r w:rsidRPr="00BD3632">
              <w:rPr>
                <w:rStyle w:val="Hyperlink"/>
                <w:rFonts w:ascii="Arial" w:hAnsi="Arial" w:cs="Arial"/>
                <w:noProof/>
              </w:rPr>
              <w:t>1.3 The ethics in Health and social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_Toc223308596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5</w:t>
            </w:r>
            <w:r w:rsidRPr="00BD3632">
              <w:rPr>
                <w:rFonts w:ascii="Arial" w:hAnsi="Arial" w:cs="Arial"/>
                <w:noProof/>
                <w:webHidden/>
              </w:rPr>
              <w:fldChar w:fldCharType="end"/>
            </w:r>
          </w:hyperlink>
        </w:p>
        <w:p w14:paraId="1EE69E9F"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597" w:history="1">
            <w:r w:rsidRPr="00BD3632">
              <w:rPr>
                <w:rStyle w:val="Hyperlink"/>
                <w:rFonts w:ascii="Arial" w:hAnsi="Arial" w:cs="Arial"/>
                <w:noProof/>
              </w:rPr>
              <w:t>Task 2: Practical Examples of Concepts in Practice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_Toc223308597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5</w:t>
            </w:r>
            <w:r w:rsidRPr="00BD3632">
              <w:rPr>
                <w:rFonts w:ascii="Arial" w:hAnsi="Arial" w:cs="Arial"/>
                <w:noProof/>
                <w:webHidden/>
              </w:rPr>
              <w:fldChar w:fldCharType="end"/>
            </w:r>
          </w:hyperlink>
        </w:p>
        <w:p w14:paraId="106000A6"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8" w:history="1">
            <w:r w:rsidRPr="00BD3632">
              <w:rPr>
                <w:rStyle w:val="Hyperlink"/>
                <w:rFonts w:ascii="Arial" w:hAnsi="Arial" w:cs="Arial"/>
                <w:noProof/>
              </w:rPr>
              <w:t>2.1 Overview of the practical example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_Toc223308598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5</w:t>
            </w:r>
            <w:r w:rsidRPr="00BD3632">
              <w:rPr>
                <w:rFonts w:ascii="Arial" w:hAnsi="Arial" w:cs="Arial"/>
                <w:noProof/>
                <w:webHidden/>
              </w:rPr>
              <w:fldChar w:fldCharType="end"/>
            </w:r>
          </w:hyperlink>
        </w:p>
        <w:p w14:paraId="4E058D56"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9" w:history="1">
            <w:r w:rsidRPr="00BD3632">
              <w:rPr>
                <w:rStyle w:val="Hyperlink"/>
                <w:rFonts w:ascii="Arial" w:hAnsi="Arial" w:cs="Arial"/>
                <w:noProof/>
              </w:rPr>
              <w:t>2.2 Application of person-centred care in dementia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_Toc223308599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6</w:t>
            </w:r>
            <w:r w:rsidRPr="00BD3632">
              <w:rPr>
                <w:rFonts w:ascii="Arial" w:hAnsi="Arial" w:cs="Arial"/>
                <w:noProof/>
                <w:webHidden/>
              </w:rPr>
              <w:fldChar w:fldCharType="end"/>
            </w:r>
          </w:hyperlink>
        </w:p>
        <w:p w14:paraId="460BFC73"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600" w:history="1">
            <w:r w:rsidRPr="00BD3632">
              <w:rPr>
                <w:rStyle w:val="Hyperlink"/>
                <w:rFonts w:ascii="Arial" w:hAnsi="Arial" w:cs="Arial"/>
                <w:noProof/>
              </w:rPr>
              <w:t>2.3 Partnership working in dementia support</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_Toc223308600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6</w:t>
            </w:r>
            <w:r w:rsidRPr="00BD3632">
              <w:rPr>
                <w:rFonts w:ascii="Arial" w:hAnsi="Arial" w:cs="Arial"/>
                <w:noProof/>
                <w:webHidden/>
              </w:rPr>
              <w:fldChar w:fldCharType="end"/>
            </w:r>
          </w:hyperlink>
        </w:p>
        <w:p w14:paraId="54E0AA4F"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601" w:history="1">
            <w:r w:rsidRPr="00BD3632">
              <w:rPr>
                <w:rStyle w:val="Hyperlink"/>
                <w:rFonts w:ascii="Arial" w:hAnsi="Arial" w:cs="Arial"/>
                <w:noProof/>
              </w:rPr>
              <w:t>2.4 Ethical considerations in dementia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_Toc223308601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7</w:t>
            </w:r>
            <w:r w:rsidRPr="00BD3632">
              <w:rPr>
                <w:rFonts w:ascii="Arial" w:hAnsi="Arial" w:cs="Arial"/>
                <w:noProof/>
                <w:webHidden/>
              </w:rPr>
              <w:fldChar w:fldCharType="end"/>
            </w:r>
          </w:hyperlink>
        </w:p>
        <w:p w14:paraId="49F26D11"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602" w:history="1">
            <w:r w:rsidRPr="00BD3632">
              <w:rPr>
                <w:rStyle w:val="Hyperlink"/>
                <w:rFonts w:ascii="Arial" w:hAnsi="Arial" w:cs="Arial"/>
                <w:noProof/>
              </w:rPr>
              <w:t>Task 3: Self-Reflection as a Health and Social Care Professional</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_Toc223308602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7</w:t>
            </w:r>
            <w:r w:rsidRPr="00BD3632">
              <w:rPr>
                <w:rFonts w:ascii="Arial" w:hAnsi="Arial" w:cs="Arial"/>
                <w:noProof/>
                <w:webHidden/>
              </w:rPr>
              <w:fldChar w:fldCharType="end"/>
            </w:r>
          </w:hyperlink>
        </w:p>
        <w:p w14:paraId="744F133E"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603" w:history="1">
            <w:r w:rsidRPr="00BD3632">
              <w:rPr>
                <w:rStyle w:val="Hyperlink"/>
                <w:rFonts w:ascii="Arial" w:hAnsi="Arial" w:cs="Arial"/>
                <w:noProof/>
              </w:rPr>
              <w:t>Conclusion</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_Toc223308603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9</w:t>
            </w:r>
            <w:r w:rsidRPr="00BD3632">
              <w:rPr>
                <w:rFonts w:ascii="Arial" w:hAnsi="Arial" w:cs="Arial"/>
                <w:noProof/>
                <w:webHidden/>
              </w:rPr>
              <w:fldChar w:fldCharType="end"/>
            </w:r>
          </w:hyperlink>
        </w:p>
        <w:p w14:paraId="18A22B36"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604" w:history="1">
            <w:r w:rsidRPr="00BD3632">
              <w:rPr>
                <w:rStyle w:val="Hyperlink"/>
                <w:rFonts w:ascii="Arial" w:hAnsi="Arial" w:cs="Arial"/>
                <w:noProof/>
              </w:rPr>
              <w:t>References</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_Toc223308604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10</w:t>
            </w:r>
            <w:r w:rsidRPr="00BD3632">
              <w:rPr>
                <w:rFonts w:ascii="Arial" w:hAnsi="Arial" w:cs="Arial"/>
                <w:noProof/>
                <w:webHidden/>
              </w:rPr>
              <w:fldChar w:fldCharType="end"/>
            </w:r>
          </w:hyperlink>
        </w:p>
        <w:p w14:paraId="39E61E28" w14:textId="633F50F9" w:rsidR="004E0F71" w:rsidRPr="00BD3632" w:rsidRDefault="004E0F71" w:rsidP="00BD3632">
          <w:pPr>
            <w:spacing w:line="360" w:lineRule="auto"/>
            <w:jc w:val="both"/>
            <w:rPr>
              <w:rFonts w:ascii="Arial" w:hAnsi="Arial" w:cs="Arial"/>
            </w:rPr>
          </w:pPr>
          <w:r w:rsidRPr="00BD3632">
            <w:rPr>
              <w:rFonts w:ascii="Arial" w:hAnsi="Arial" w:cs="Arial"/>
              <w:b/>
              <w:bCs/>
            </w:rPr>
            <w:fldChar w:fldCharType="end"/>
          </w:r>
        </w:p>
      </w:sdtContent>
    </w:sdt>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480DEF55" w14:textId="77777777" w:rsidR="002565AC" w:rsidRPr="002565AC" w:rsidRDefault="002565AC" w:rsidP="00DB2155">
      <w:pPr>
        <w:pStyle w:val="Heading1"/>
      </w:pPr>
      <w:bookmarkStart w:id="0" w:name="_Toc223308592"/>
      <w:r w:rsidRPr="002565AC">
        <w:lastRenderedPageBreak/>
        <w:t>Introduction</w:t>
      </w:r>
      <w:bookmarkEnd w:id="0"/>
    </w:p>
    <w:p w14:paraId="1E67012B" w14:textId="60D490F3" w:rsidR="002D6319" w:rsidRPr="000828C7" w:rsidRDefault="002565AC" w:rsidP="000828C7">
      <w:pPr>
        <w:spacing w:after="0" w:line="360" w:lineRule="auto"/>
        <w:jc w:val="both"/>
        <w:rPr>
          <w:rFonts w:ascii="Arial" w:eastAsia="Arial" w:hAnsi="Arial" w:cs="Arial"/>
          <w:sz w:val="22"/>
          <w:lang w:val="en-US"/>
        </w:rPr>
      </w:pPr>
      <w:r w:rsidRPr="002565AC">
        <w:rPr>
          <w:rFonts w:ascii="Arial" w:eastAsia="Arial" w:hAnsi="Arial" w:cs="Arial"/>
          <w:sz w:val="22"/>
          <w:lang w:val="en-US"/>
        </w:rPr>
        <w:t>The ethical practice of health and social care encourages safe, effective and caring practices based on dignity, wellbeing, protection, and person-centred values. The UK Care Act 2014 and Health and Care Act 2022 among other standards assist practitioners to work collectively, honour freedom, and hold responsibility as well as promote reflection and professiona</w:t>
      </w:r>
      <w:r w:rsidR="009245B3">
        <w:rPr>
          <w:rFonts w:ascii="Arial" w:eastAsia="Arial" w:hAnsi="Arial" w:cs="Arial"/>
          <w:sz w:val="22"/>
          <w:lang w:val="en-US"/>
        </w:rPr>
        <w:t xml:space="preserve">l </w:t>
      </w:r>
      <w:r w:rsidRPr="002565AC">
        <w:rPr>
          <w:rFonts w:ascii="Arial" w:eastAsia="Arial" w:hAnsi="Arial" w:cs="Arial"/>
          <w:sz w:val="22"/>
          <w:lang w:val="en-US"/>
        </w:rPr>
        <w:t>growth.</w:t>
      </w:r>
      <w:r w:rsidR="009A0500">
        <w:rPr>
          <w:rFonts w:ascii="Arial" w:eastAsia="Arial" w:hAnsi="Arial" w:cs="Arial"/>
          <w:sz w:val="22"/>
          <w:lang w:val="en-US"/>
        </w:rPr>
        <w:t>Th</w:t>
      </w:r>
      <w:r w:rsidR="009245B3">
        <w:rPr>
          <w:rFonts w:ascii="Arial" w:eastAsia="Arial" w:hAnsi="Arial" w:cs="Arial"/>
          <w:sz w:val="22"/>
          <w:lang w:val="en-US"/>
        </w:rPr>
        <w:t>ese standars also encorage</w:t>
      </w:r>
      <w:r w:rsidR="00BA5E5F">
        <w:rPr>
          <w:rFonts w:ascii="Arial" w:eastAsia="Arial" w:hAnsi="Arial" w:cs="Arial"/>
          <w:sz w:val="22"/>
          <w:lang w:val="en-US"/>
        </w:rPr>
        <w:t xml:space="preserve"> reflective practice and continuouse proffesional development </w:t>
      </w:r>
      <w:r w:rsidR="00953EC5">
        <w:rPr>
          <w:rFonts w:ascii="Arial" w:eastAsia="Arial" w:hAnsi="Arial" w:cs="Arial"/>
          <w:sz w:val="22"/>
          <w:lang w:val="en-US"/>
        </w:rPr>
        <w:t xml:space="preserve">,ensuring that care remains accountable ,responsive and </w:t>
      </w:r>
      <w:r w:rsidR="00DD3BEA">
        <w:rPr>
          <w:rFonts w:ascii="Arial" w:eastAsia="Arial" w:hAnsi="Arial" w:cs="Arial"/>
          <w:sz w:val="22"/>
          <w:lang w:val="en-US"/>
        </w:rPr>
        <w:t xml:space="preserve">aligned with ethical peinciple.Togheder </w:t>
      </w:r>
      <w:r w:rsidR="00082A5E">
        <w:rPr>
          <w:rFonts w:ascii="Arial" w:eastAsia="Arial" w:hAnsi="Arial" w:cs="Arial"/>
          <w:sz w:val="22"/>
          <w:lang w:val="en-US"/>
        </w:rPr>
        <w:t>these elementes create a robust fundation high-</w:t>
      </w:r>
      <w:r w:rsidR="007D0B10">
        <w:rPr>
          <w:rFonts w:ascii="Arial" w:eastAsia="Arial" w:hAnsi="Arial" w:cs="Arial"/>
          <w:sz w:val="22"/>
          <w:lang w:val="en-US"/>
        </w:rPr>
        <w:t xml:space="preserve">quality , person-centredcare across the </w:t>
      </w:r>
      <w:r w:rsidR="000610A6">
        <w:rPr>
          <w:rFonts w:ascii="Arial" w:eastAsia="Arial" w:hAnsi="Arial" w:cs="Arial"/>
          <w:sz w:val="22"/>
          <w:lang w:val="en-US"/>
        </w:rPr>
        <w:t>sector.</w:t>
      </w:r>
    </w:p>
    <w:p w14:paraId="49F71F4B" w14:textId="2F5BE57E" w:rsidR="00032F36" w:rsidRPr="00032F36" w:rsidRDefault="00A11336" w:rsidP="00DB2155">
      <w:pPr>
        <w:pStyle w:val="Heading1"/>
        <w:rPr>
          <w:sz w:val="24"/>
          <w:szCs w:val="24"/>
          <w:lang w:val="en-GB"/>
        </w:rPr>
      </w:pPr>
      <w:bookmarkStart w:id="1" w:name="_Toc223308593"/>
      <w:r>
        <w:rPr>
          <w:szCs w:val="24"/>
        </w:rPr>
        <w:t xml:space="preserve">Task 1: </w:t>
      </w:r>
      <w:r w:rsidR="00032F36" w:rsidRPr="00032F36">
        <w:t>Reflection on the Importance of Principles of He</w:t>
      </w:r>
      <w:r w:rsidR="00005871">
        <w:t xml:space="preserve">alth and </w:t>
      </w:r>
      <w:r w:rsidR="00032F36" w:rsidRPr="00032F36">
        <w:t>Social Care</w:t>
      </w:r>
      <w:bookmarkEnd w:id="1"/>
    </w:p>
    <w:p w14:paraId="28786DDE" w14:textId="77777777" w:rsidR="00032F36" w:rsidRPr="00032F36" w:rsidRDefault="00032F36" w:rsidP="00DB2155">
      <w:pPr>
        <w:pStyle w:val="Heading2"/>
      </w:pPr>
      <w:bookmarkStart w:id="2" w:name="_u7d2jpyjsmim" w:colFirst="0" w:colLast="0"/>
      <w:bookmarkStart w:id="3" w:name="_Toc223308594"/>
      <w:bookmarkEnd w:id="2"/>
      <w:r w:rsidRPr="00032F36">
        <w:t>1.1 Person centred care</w:t>
      </w:r>
      <w:bookmarkEnd w:id="3"/>
      <w:r w:rsidRPr="00032F36">
        <w:t xml:space="preserve"> </w:t>
      </w:r>
    </w:p>
    <w:p w14:paraId="2F1BAD86" w14:textId="1054CD48"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 xml:space="preserve">The principles outline the practise of health and social care and equally provide individuals with qualified respectful and ethical assistance. Partnering working and ethical practice along with person-centred care are </w:t>
      </w:r>
      <w:r w:rsidR="00300D1E">
        <w:rPr>
          <w:rFonts w:ascii="Arial" w:eastAsia="Arial" w:hAnsi="Arial" w:cs="Arial"/>
          <w:sz w:val="22"/>
          <w:lang w:val="en-US"/>
        </w:rPr>
        <w:t xml:space="preserve">among </w:t>
      </w:r>
      <w:r w:rsidR="002331EE">
        <w:rPr>
          <w:rFonts w:ascii="Arial" w:eastAsia="Arial" w:hAnsi="Arial" w:cs="Arial"/>
          <w:sz w:val="22"/>
          <w:lang w:val="en-US"/>
        </w:rPr>
        <w:t xml:space="preserve">the most essential value shaping modern </w:t>
      </w:r>
      <w:r w:rsidR="00E34114">
        <w:rPr>
          <w:rFonts w:ascii="Arial" w:eastAsia="Arial" w:hAnsi="Arial" w:cs="Arial"/>
          <w:sz w:val="22"/>
          <w:lang w:val="en-US"/>
        </w:rPr>
        <w:t>service delivary</w:t>
      </w:r>
      <w:r w:rsidRPr="00032F36">
        <w:rPr>
          <w:rFonts w:ascii="Arial" w:eastAsia="Arial" w:hAnsi="Arial" w:cs="Arial"/>
          <w:sz w:val="22"/>
          <w:lang w:val="en-US"/>
        </w:rPr>
        <w:t>. The UK laws and professional codes</w:t>
      </w:r>
      <w:r w:rsidR="009027AB">
        <w:rPr>
          <w:rFonts w:ascii="Arial" w:eastAsia="Arial" w:hAnsi="Arial" w:cs="Arial"/>
          <w:sz w:val="22"/>
          <w:lang w:val="en-US"/>
        </w:rPr>
        <w:t>-su</w:t>
      </w:r>
      <w:r w:rsidR="008F0456">
        <w:rPr>
          <w:rFonts w:ascii="Arial" w:eastAsia="Arial" w:hAnsi="Arial" w:cs="Arial"/>
          <w:sz w:val="22"/>
          <w:lang w:val="en-US"/>
        </w:rPr>
        <w:t>ch</w:t>
      </w:r>
      <w:r w:rsidR="009027AB">
        <w:rPr>
          <w:rFonts w:ascii="Arial" w:eastAsia="Arial" w:hAnsi="Arial" w:cs="Arial"/>
          <w:sz w:val="22"/>
          <w:lang w:val="en-US"/>
        </w:rPr>
        <w:t xml:space="preserve"> </w:t>
      </w:r>
      <w:r w:rsidR="00F73DDC">
        <w:rPr>
          <w:rFonts w:ascii="Arial" w:eastAsia="Arial" w:hAnsi="Arial" w:cs="Arial"/>
          <w:sz w:val="22"/>
          <w:lang w:val="en-US"/>
        </w:rPr>
        <w:t xml:space="preserve">as </w:t>
      </w:r>
      <w:r w:rsidR="006E435C">
        <w:rPr>
          <w:rFonts w:ascii="Arial" w:eastAsia="Arial" w:hAnsi="Arial" w:cs="Arial"/>
          <w:sz w:val="22"/>
          <w:lang w:val="en-US"/>
        </w:rPr>
        <w:t xml:space="preserve">those discusse </w:t>
      </w:r>
      <w:r w:rsidR="00C041B4">
        <w:rPr>
          <w:rFonts w:ascii="Arial" w:eastAsia="Arial" w:hAnsi="Arial" w:cs="Arial"/>
          <w:sz w:val="22"/>
          <w:lang w:val="en-US"/>
        </w:rPr>
        <w:t>by Trebilcock (2022)</w:t>
      </w:r>
      <w:r w:rsidR="00336F17">
        <w:rPr>
          <w:rFonts w:ascii="Arial" w:eastAsia="Arial" w:hAnsi="Arial" w:cs="Arial"/>
          <w:sz w:val="22"/>
          <w:lang w:val="en-US"/>
        </w:rPr>
        <w:t xml:space="preserve">- provide a framework that </w:t>
      </w:r>
      <w:r w:rsidR="00B91796">
        <w:rPr>
          <w:rFonts w:ascii="Arial" w:eastAsia="Arial" w:hAnsi="Arial" w:cs="Arial"/>
          <w:sz w:val="22"/>
          <w:lang w:val="en-US"/>
        </w:rPr>
        <w:t xml:space="preserve">ensures practitioners offer safe </w:t>
      </w:r>
      <w:r w:rsidRPr="00032F36">
        <w:rPr>
          <w:rFonts w:ascii="Arial" w:eastAsia="Arial" w:hAnsi="Arial" w:cs="Arial"/>
          <w:sz w:val="22"/>
          <w:lang w:val="en-US"/>
        </w:rPr>
        <w:t xml:space="preserve"> which guide the practises of providing professionals with safe and effective services, are entrenched with these values</w:t>
      </w:r>
      <w:r w:rsidR="00DB56D5">
        <w:rPr>
          <w:rFonts w:ascii="Arial" w:eastAsia="Arial" w:hAnsi="Arial" w:cs="Arial"/>
          <w:sz w:val="22"/>
          <w:lang w:val="en-US"/>
        </w:rPr>
        <w:t>.</w:t>
      </w:r>
    </w:p>
    <w:p w14:paraId="53DCB948" w14:textId="446E62C1"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Modern practice has been concerned primarily with person-centred care. It involves the necessity to know people as they are, respect their preferences and engage them in taking decisions about their care. Person-centred practice is not task oriented as it is concerned with the whole being- that is, physical, emotional and social</w:t>
      </w:r>
      <w:r w:rsidR="00B008E3">
        <w:rPr>
          <w:rFonts w:ascii="Arial" w:eastAsia="Arial" w:hAnsi="Arial" w:cs="Arial"/>
          <w:sz w:val="22"/>
          <w:lang w:val="en-US"/>
        </w:rPr>
        <w:t xml:space="preserve"> </w:t>
      </w:r>
      <w:r w:rsidR="003D09E2">
        <w:rPr>
          <w:rFonts w:ascii="Arial" w:eastAsia="Arial" w:hAnsi="Arial" w:cs="Arial"/>
          <w:sz w:val="22"/>
          <w:lang w:val="en-US"/>
        </w:rPr>
        <w:t>dimensions of wellbeing.</w:t>
      </w:r>
      <w:r w:rsidRPr="00032F36">
        <w:rPr>
          <w:rFonts w:ascii="Arial" w:eastAsia="Arial" w:hAnsi="Arial" w:cs="Arial"/>
          <w:sz w:val="22"/>
          <w:lang w:val="en-US"/>
        </w:rPr>
        <w:t xml:space="preserve">The values of compassion, dignity and respect supported by the National Health Service confirm the importance of shared decision-making. In theory, person-centred care </w:t>
      </w:r>
      <w:r w:rsidR="008A187B">
        <w:rPr>
          <w:rFonts w:ascii="Arial" w:eastAsia="Arial" w:hAnsi="Arial" w:cs="Arial"/>
          <w:sz w:val="22"/>
          <w:lang w:val="en-US"/>
        </w:rPr>
        <w:t xml:space="preserve">align closely with </w:t>
      </w:r>
      <w:r w:rsidRPr="00032F36">
        <w:rPr>
          <w:rFonts w:ascii="Arial" w:eastAsia="Arial" w:hAnsi="Arial" w:cs="Arial"/>
          <w:sz w:val="22"/>
          <w:lang w:val="en-US"/>
        </w:rPr>
        <w:t>Maslows hierarchy of needs, which pays a lot of attention to the psychological safety, belonging and esteem</w:t>
      </w:r>
      <w:r w:rsidR="00051152">
        <w:rPr>
          <w:rFonts w:ascii="Arial" w:eastAsia="Arial" w:hAnsi="Arial" w:cs="Arial"/>
          <w:sz w:val="22"/>
          <w:lang w:val="en-US"/>
        </w:rPr>
        <w:t xml:space="preserve"> co</w:t>
      </w:r>
      <w:r w:rsidR="008C1815">
        <w:rPr>
          <w:rFonts w:ascii="Arial" w:eastAsia="Arial" w:hAnsi="Arial" w:cs="Arial"/>
          <w:sz w:val="22"/>
          <w:lang w:val="en-US"/>
        </w:rPr>
        <w:t xml:space="preserve">mponent </w:t>
      </w:r>
      <w:r w:rsidRPr="00032F36">
        <w:rPr>
          <w:rFonts w:ascii="Arial" w:eastAsia="Arial" w:hAnsi="Arial" w:cs="Arial"/>
          <w:sz w:val="22"/>
          <w:lang w:val="en-US"/>
        </w:rPr>
        <w:t>of the overall wellbeing. Practitioners promote autonomy and independence whereby they make people express themselves, take decisions and this elevates the confidence</w:t>
      </w:r>
      <w:r w:rsidR="009A52FA">
        <w:rPr>
          <w:rFonts w:ascii="Arial" w:eastAsia="Arial" w:hAnsi="Arial" w:cs="Arial"/>
          <w:sz w:val="22"/>
          <w:lang w:val="en-US"/>
        </w:rPr>
        <w:t>-</w:t>
      </w:r>
      <w:r w:rsidR="00A375FD">
        <w:rPr>
          <w:rFonts w:ascii="Arial" w:eastAsia="Arial" w:hAnsi="Arial" w:cs="Arial"/>
          <w:sz w:val="22"/>
          <w:lang w:val="en-US"/>
        </w:rPr>
        <w:t xml:space="preserve">ultimately </w:t>
      </w:r>
      <w:r w:rsidR="00B87CFD">
        <w:rPr>
          <w:rFonts w:ascii="Arial" w:eastAsia="Arial" w:hAnsi="Arial" w:cs="Arial"/>
          <w:sz w:val="22"/>
          <w:lang w:val="en-US"/>
        </w:rPr>
        <w:t xml:space="preserve">enhancing their </w:t>
      </w:r>
      <w:r w:rsidRPr="00032F36">
        <w:rPr>
          <w:rFonts w:ascii="Arial" w:eastAsia="Arial" w:hAnsi="Arial" w:cs="Arial"/>
          <w:sz w:val="22"/>
          <w:lang w:val="en-US"/>
        </w:rPr>
        <w:t>quality of life.</w:t>
      </w:r>
      <w:r w:rsidR="00AB5B9F" w:rsidRPr="00AB5B9F">
        <w:t xml:space="preserve"> </w:t>
      </w:r>
      <w:r w:rsidR="00AB5B9F" w:rsidRPr="00AB5B9F">
        <w:rPr>
          <w:rFonts w:ascii="Arial" w:eastAsia="Arial" w:hAnsi="Arial" w:cs="Arial"/>
          <w:sz w:val="22"/>
          <w:lang w:val="en-US"/>
        </w:rPr>
        <w:tab/>
        <w:t xml:space="preserve">Maslow, A. (1943) </w:t>
      </w:r>
    </w:p>
    <w:p w14:paraId="55BCE38F" w14:textId="77777777" w:rsidR="00032F36" w:rsidRPr="00032F36" w:rsidRDefault="00032F36" w:rsidP="00032F36">
      <w:pPr>
        <w:spacing w:after="0" w:line="360" w:lineRule="auto"/>
        <w:jc w:val="center"/>
        <w:rPr>
          <w:rFonts w:ascii="Arial" w:eastAsia="Arial" w:hAnsi="Arial" w:cs="Arial"/>
          <w:sz w:val="22"/>
          <w:lang w:val="en-US"/>
        </w:rPr>
      </w:pPr>
      <w:r w:rsidRPr="00032F36">
        <w:rPr>
          <w:rFonts w:ascii="Arial" w:eastAsia="Arial" w:hAnsi="Arial" w:cs="Arial"/>
          <w:sz w:val="22"/>
          <w:lang w:val="en-US"/>
        </w:rPr>
        <w:lastRenderedPageBreak/>
        <w:drawing>
          <wp:inline distT="114300" distB="114300" distL="114300" distR="114300" wp14:anchorId="3BAB16D0" wp14:editId="2D96FB29">
            <wp:extent cx="4710113" cy="3700803"/>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10113" cy="3700803"/>
                    </a:xfrm>
                    <a:prstGeom prst="rect">
                      <a:avLst/>
                    </a:prstGeom>
                    <a:ln w="25400">
                      <a:solidFill>
                        <a:srgbClr val="000000"/>
                      </a:solidFill>
                      <a:prstDash val="solid"/>
                    </a:ln>
                  </pic:spPr>
                </pic:pic>
              </a:graphicData>
            </a:graphic>
          </wp:inline>
        </w:drawing>
      </w:r>
    </w:p>
    <w:p w14:paraId="4A72CE13" w14:textId="77777777" w:rsidR="00032F36" w:rsidRPr="00032F36" w:rsidRDefault="00032F36" w:rsidP="00032F36">
      <w:pPr>
        <w:spacing w:after="0" w:line="360" w:lineRule="auto"/>
        <w:jc w:val="center"/>
        <w:rPr>
          <w:rFonts w:ascii="Arial" w:eastAsia="Arial" w:hAnsi="Arial" w:cs="Arial"/>
          <w:b/>
          <w:bCs/>
          <w:sz w:val="22"/>
          <w:lang w:val="en-US"/>
        </w:rPr>
      </w:pPr>
      <w:r w:rsidRPr="00032F36">
        <w:rPr>
          <w:rFonts w:ascii="Arial" w:eastAsia="Arial" w:hAnsi="Arial" w:cs="Arial"/>
          <w:b/>
          <w:bCs/>
          <w:sz w:val="22"/>
          <w:lang w:val="en-US"/>
        </w:rPr>
        <w:t>Figure 1: 8 Principles of Patient-centred care</w:t>
      </w:r>
    </w:p>
    <w:p w14:paraId="315882AC" w14:textId="77777777" w:rsidR="00032F36" w:rsidRPr="00032F36" w:rsidRDefault="00032F36" w:rsidP="00032F36">
      <w:pPr>
        <w:spacing w:after="0" w:line="360" w:lineRule="auto"/>
        <w:ind w:left="720"/>
        <w:jc w:val="center"/>
        <w:rPr>
          <w:rFonts w:ascii="Arial" w:eastAsia="Arial" w:hAnsi="Arial" w:cs="Arial"/>
          <w:sz w:val="22"/>
          <w:lang w:val="en-US"/>
        </w:rPr>
      </w:pPr>
      <w:r w:rsidRPr="00032F36">
        <w:rPr>
          <w:rFonts w:ascii="Arial" w:eastAsia="Arial" w:hAnsi="Arial" w:cs="Arial"/>
          <w:sz w:val="22"/>
          <w:lang w:val="en-US"/>
        </w:rPr>
        <w:t>(Source: O’Neill, 2022)</w:t>
      </w:r>
    </w:p>
    <w:p w14:paraId="2B99DD2C" w14:textId="77777777" w:rsidR="00032F36" w:rsidRPr="00032F36" w:rsidRDefault="00032F36" w:rsidP="00DB2155">
      <w:pPr>
        <w:pStyle w:val="Heading2"/>
      </w:pPr>
      <w:bookmarkStart w:id="4" w:name="_2ulv5s3kdy93" w:colFirst="0" w:colLast="0"/>
      <w:bookmarkStart w:id="5" w:name="_Toc223308595"/>
      <w:bookmarkEnd w:id="4"/>
      <w:r w:rsidRPr="00032F36">
        <w:t>1.2 Partnership working</w:t>
      </w:r>
      <w:bookmarkEnd w:id="5"/>
      <w:r w:rsidRPr="00032F36">
        <w:t xml:space="preserve"> </w:t>
      </w:r>
    </w:p>
    <w:p w14:paraId="48C6AEE9" w14:textId="77777777"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One more principle is working in partnership. It is the multidisciplinary cooperation between the service users, the multidisciplinary professionals and families, and the external agencies. Collaborative working will assist in overcoming interrupted care and continuity will be given. The National Institute of Health and Care Excellence provides assistance that concentrates on care coordination; as well as service integration (Youn et al. 2022). Where there will be communication between nurses and social workers, this will help in minimising risks and increasing results. Exchange of information within participating working also improves the procedures within the protection process by exchanging information in a proper and timely manner.</w:t>
      </w:r>
    </w:p>
    <w:p w14:paraId="0930F6E4" w14:textId="77777777" w:rsidR="00032F36" w:rsidRPr="00032F36" w:rsidRDefault="00032F36" w:rsidP="00DB2155">
      <w:pPr>
        <w:pStyle w:val="Heading2"/>
      </w:pPr>
      <w:bookmarkStart w:id="6" w:name="_gqt008vjcqt8" w:colFirst="0" w:colLast="0"/>
      <w:bookmarkStart w:id="7" w:name="_Toc223308596"/>
      <w:bookmarkEnd w:id="6"/>
      <w:r w:rsidRPr="00032F36">
        <w:lastRenderedPageBreak/>
        <w:t>1.3 The ethics in Health and social care</w:t>
      </w:r>
      <w:bookmarkEnd w:id="7"/>
    </w:p>
    <w:p w14:paraId="367C3EED" w14:textId="77777777" w:rsidR="00032F36" w:rsidRPr="00032F36" w:rsidRDefault="00032F36" w:rsidP="00032F36">
      <w:pPr>
        <w:spacing w:after="0" w:line="360" w:lineRule="auto"/>
        <w:jc w:val="center"/>
        <w:rPr>
          <w:rFonts w:ascii="Arial" w:eastAsia="Arial" w:hAnsi="Arial" w:cs="Arial"/>
          <w:sz w:val="22"/>
          <w:lang w:val="en-US"/>
        </w:rPr>
      </w:pPr>
      <w:r w:rsidRPr="00032F36">
        <w:rPr>
          <w:rFonts w:ascii="Arial" w:eastAsia="Arial" w:hAnsi="Arial" w:cs="Arial"/>
          <w:sz w:val="22"/>
          <w:lang w:val="en-US"/>
        </w:rPr>
        <w:drawing>
          <wp:inline distT="114300" distB="114300" distL="114300" distR="114300" wp14:anchorId="142E31C8" wp14:editId="4B388FFC">
            <wp:extent cx="4300538" cy="2678906"/>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300538" cy="2678906"/>
                    </a:xfrm>
                    <a:prstGeom prst="rect">
                      <a:avLst/>
                    </a:prstGeom>
                    <a:ln w="25400">
                      <a:solidFill>
                        <a:srgbClr val="000000"/>
                      </a:solidFill>
                      <a:prstDash val="solid"/>
                    </a:ln>
                  </pic:spPr>
                </pic:pic>
              </a:graphicData>
            </a:graphic>
          </wp:inline>
        </w:drawing>
      </w:r>
    </w:p>
    <w:p w14:paraId="5786E97B" w14:textId="77777777" w:rsidR="00032F36" w:rsidRPr="00032F36" w:rsidRDefault="00032F36" w:rsidP="00032F36">
      <w:pPr>
        <w:spacing w:after="0" w:line="360" w:lineRule="auto"/>
        <w:jc w:val="center"/>
        <w:rPr>
          <w:rFonts w:ascii="Arial" w:eastAsia="Arial" w:hAnsi="Arial" w:cs="Arial"/>
          <w:b/>
          <w:bCs/>
          <w:sz w:val="22"/>
          <w:lang w:val="en-US"/>
        </w:rPr>
      </w:pPr>
      <w:r w:rsidRPr="00032F36">
        <w:rPr>
          <w:rFonts w:ascii="Arial" w:eastAsia="Arial" w:hAnsi="Arial" w:cs="Arial"/>
          <w:b/>
          <w:bCs/>
          <w:sz w:val="22"/>
          <w:lang w:val="en-US"/>
        </w:rPr>
        <w:t>Figure 2: Four pillars of medical ethics</w:t>
      </w:r>
    </w:p>
    <w:p w14:paraId="6DB7F649" w14:textId="77777777" w:rsidR="00032F36" w:rsidRPr="00032F36" w:rsidRDefault="00032F36" w:rsidP="00032F36">
      <w:pPr>
        <w:spacing w:after="0" w:line="360" w:lineRule="auto"/>
        <w:jc w:val="center"/>
        <w:rPr>
          <w:rFonts w:ascii="Arial" w:eastAsia="Arial" w:hAnsi="Arial" w:cs="Arial"/>
          <w:sz w:val="22"/>
          <w:lang w:val="en-US"/>
        </w:rPr>
      </w:pPr>
      <w:r w:rsidRPr="00032F36">
        <w:rPr>
          <w:rFonts w:ascii="Arial" w:eastAsia="Arial" w:hAnsi="Arial" w:cs="Arial"/>
          <w:sz w:val="22"/>
          <w:lang w:val="en-US"/>
        </w:rPr>
        <w:t>(Source: In2Med, 2024)</w:t>
      </w:r>
    </w:p>
    <w:p w14:paraId="45705038" w14:textId="5F2FBF2F"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 xml:space="preserve">Ethical </w:t>
      </w:r>
      <w:r w:rsidR="00C365F1">
        <w:rPr>
          <w:rFonts w:ascii="Arial" w:eastAsia="Arial" w:hAnsi="Arial" w:cs="Arial"/>
          <w:sz w:val="22"/>
          <w:lang w:val="en-US"/>
        </w:rPr>
        <w:t>in healt</w:t>
      </w:r>
      <w:r w:rsidR="00C70CEC">
        <w:rPr>
          <w:rFonts w:ascii="Arial" w:eastAsia="Arial" w:hAnsi="Arial" w:cs="Arial"/>
          <w:sz w:val="22"/>
          <w:lang w:val="en-US"/>
        </w:rPr>
        <w:t>h</w:t>
      </w:r>
      <w:r w:rsidR="00C365F1">
        <w:rPr>
          <w:rFonts w:ascii="Arial" w:eastAsia="Arial" w:hAnsi="Arial" w:cs="Arial"/>
          <w:sz w:val="22"/>
          <w:lang w:val="en-US"/>
        </w:rPr>
        <w:t xml:space="preserve"> </w:t>
      </w:r>
      <w:r w:rsidR="00435390">
        <w:rPr>
          <w:rFonts w:ascii="Arial" w:eastAsia="Arial" w:hAnsi="Arial" w:cs="Arial"/>
          <w:sz w:val="22"/>
          <w:lang w:val="en-US"/>
        </w:rPr>
        <w:t xml:space="preserve">and social care provides the fundation for </w:t>
      </w:r>
      <w:r w:rsidR="00220920">
        <w:rPr>
          <w:rFonts w:ascii="Arial" w:eastAsia="Arial" w:hAnsi="Arial" w:cs="Arial"/>
          <w:sz w:val="22"/>
          <w:lang w:val="en-US"/>
        </w:rPr>
        <w:t>safe ,respectful and copassi</w:t>
      </w:r>
      <w:r w:rsidR="00386251">
        <w:rPr>
          <w:rFonts w:ascii="Arial" w:eastAsia="Arial" w:hAnsi="Arial" w:cs="Arial"/>
          <w:sz w:val="22"/>
          <w:lang w:val="en-US"/>
        </w:rPr>
        <w:t xml:space="preserve">onate practice </w:t>
      </w:r>
      <w:r w:rsidR="00305B55">
        <w:rPr>
          <w:rFonts w:ascii="Arial" w:eastAsia="Arial" w:hAnsi="Arial" w:cs="Arial"/>
          <w:sz w:val="22"/>
          <w:lang w:val="en-US"/>
        </w:rPr>
        <w:t>.</w:t>
      </w:r>
      <w:r w:rsidRPr="00032F36">
        <w:rPr>
          <w:rFonts w:ascii="Arial" w:eastAsia="Arial" w:hAnsi="Arial" w:cs="Arial"/>
          <w:sz w:val="22"/>
          <w:lang w:val="en-US"/>
        </w:rPr>
        <w:t xml:space="preserve">The most important rules that can be used in making a decision in complex cases include autonomy, beneficence, </w:t>
      </w:r>
      <w:r w:rsidR="00B322A6">
        <w:rPr>
          <w:rFonts w:ascii="Arial" w:eastAsia="Arial" w:hAnsi="Arial" w:cs="Arial"/>
          <w:sz w:val="22"/>
          <w:lang w:val="en-US"/>
        </w:rPr>
        <w:t>safeguarding</w:t>
      </w:r>
      <w:r w:rsidR="00654A7B">
        <w:rPr>
          <w:rFonts w:ascii="Arial" w:eastAsia="Arial" w:hAnsi="Arial" w:cs="Arial"/>
          <w:sz w:val="22"/>
          <w:lang w:val="en-US"/>
        </w:rPr>
        <w:t xml:space="preserve"> </w:t>
      </w:r>
      <w:r w:rsidRPr="00032F36">
        <w:rPr>
          <w:rFonts w:ascii="Arial" w:eastAsia="Arial" w:hAnsi="Arial" w:cs="Arial"/>
          <w:sz w:val="22"/>
          <w:lang w:val="en-US"/>
        </w:rPr>
        <w:t>and justice. One of them is respecting autonomy, the meaning of which is respect for the right of the person to make an informed choice, but it is linked with certain risks. Beneficence and non-maleficence also dictate that the practitioners do all that is in the best interest of the individual but not harm any person. Justice introduces equity and equality in delivering service. Health and Care professions council stipulates professional guidelines which support confidentiality and accountability besides integrity. It typically occurs that an ethical dilemma exists in the consent, safeguarding and capacity evaluation and thus it is significant that the practitioners put legislation in effect (Raza and Neuberger 2022).</w:t>
      </w:r>
    </w:p>
    <w:p w14:paraId="0768F640" w14:textId="53F89794"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Overall, these principles are related. The person-centred care cannot exist without ethical practise and partnership working could advance the practise. They are applicable since they reflect in terms of their appearance that they are functional tools, rather than abstract in that they induce dignity, safety and quality in the service delivering process. Without or with noncompliance with these principles, the care will result in impersonality, non-safety and ineffectiveness.</w:t>
      </w:r>
    </w:p>
    <w:p w14:paraId="20CC347E" w14:textId="3AA984AF" w:rsidR="00DB2155" w:rsidRPr="00DB2155" w:rsidRDefault="009E1E71" w:rsidP="009E1E71">
      <w:pPr>
        <w:pStyle w:val="Heading1"/>
      </w:pPr>
      <w:bookmarkStart w:id="8" w:name="_Toc223308597"/>
      <w:r>
        <w:t xml:space="preserve">Task 2: </w:t>
      </w:r>
      <w:r w:rsidR="00DB2155" w:rsidRPr="00DB2155">
        <w:t>Practical Examples o</w:t>
      </w:r>
      <w:r>
        <w:t>f Concepts in Practice</w:t>
      </w:r>
      <w:bookmarkEnd w:id="8"/>
    </w:p>
    <w:p w14:paraId="55068144" w14:textId="77777777" w:rsidR="00DB2155" w:rsidRPr="00DB2155" w:rsidRDefault="00DB2155" w:rsidP="007D0404">
      <w:pPr>
        <w:pStyle w:val="Heading2"/>
      </w:pPr>
      <w:bookmarkStart w:id="9" w:name="_gv0gz3w2alhw" w:colFirst="0" w:colLast="0"/>
      <w:bookmarkStart w:id="10" w:name="_Toc223308598"/>
      <w:bookmarkEnd w:id="9"/>
      <w:r w:rsidRPr="00DB2155">
        <w:t>2.1 Overview of the practical example</w:t>
      </w:r>
      <w:bookmarkEnd w:id="10"/>
    </w:p>
    <w:p w14:paraId="7599F015" w14:textId="20EB1477" w:rsidR="00DB2155" w:rsidRPr="00DB2155" w:rsidRDefault="00D67558"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 xml:space="preserve">The case specified in this assignment is a community health and social care case, in the UK that concerns an older adult patient with physical health conditions and an early to moderate severity of dementia. Dementia is a </w:t>
      </w:r>
      <w:r w:rsidR="0039171D">
        <w:rPr>
          <w:rFonts w:ascii="Arial" w:eastAsia="Arial" w:hAnsi="Arial" w:cs="Arial"/>
          <w:sz w:val="22"/>
          <w:lang w:val="en-US"/>
        </w:rPr>
        <w:t xml:space="preserve">complex </w:t>
      </w:r>
      <w:r w:rsidR="00954127">
        <w:rPr>
          <w:rFonts w:ascii="Arial" w:eastAsia="Arial" w:hAnsi="Arial" w:cs="Arial"/>
          <w:sz w:val="22"/>
          <w:lang w:val="en-US"/>
        </w:rPr>
        <w:t>condition</w:t>
      </w:r>
      <w:r w:rsidR="000454A4">
        <w:rPr>
          <w:rFonts w:ascii="Arial" w:eastAsia="Arial" w:hAnsi="Arial" w:cs="Arial"/>
          <w:sz w:val="22"/>
          <w:lang w:val="en-US"/>
        </w:rPr>
        <w:t xml:space="preserve"> characte</w:t>
      </w:r>
      <w:r w:rsidR="00CF6C76">
        <w:rPr>
          <w:rFonts w:ascii="Arial" w:eastAsia="Arial" w:hAnsi="Arial" w:cs="Arial"/>
          <w:sz w:val="22"/>
          <w:lang w:val="en-US"/>
        </w:rPr>
        <w:t xml:space="preserve">rised by memory </w:t>
      </w:r>
      <w:r w:rsidR="00B51722">
        <w:rPr>
          <w:rFonts w:ascii="Arial" w:eastAsia="Arial" w:hAnsi="Arial" w:cs="Arial"/>
          <w:sz w:val="22"/>
          <w:lang w:val="en-US"/>
        </w:rPr>
        <w:t xml:space="preserve">loss </w:t>
      </w:r>
      <w:r w:rsidRPr="00DB2155">
        <w:rPr>
          <w:rFonts w:ascii="Arial" w:eastAsia="Arial" w:hAnsi="Arial" w:cs="Arial"/>
          <w:sz w:val="22"/>
          <w:lang w:val="en-US"/>
        </w:rPr>
        <w:t xml:space="preserve"> reduced </w:t>
      </w:r>
      <w:r w:rsidRPr="00DB2155">
        <w:rPr>
          <w:rFonts w:ascii="Arial" w:eastAsia="Arial" w:hAnsi="Arial" w:cs="Arial"/>
          <w:sz w:val="22"/>
          <w:lang w:val="en-US"/>
        </w:rPr>
        <w:lastRenderedPageBreak/>
        <w:t xml:space="preserve">decision-making </w:t>
      </w:r>
      <w:r w:rsidR="00F849F9">
        <w:rPr>
          <w:rFonts w:ascii="Arial" w:eastAsia="Arial" w:hAnsi="Arial" w:cs="Arial"/>
          <w:sz w:val="22"/>
          <w:lang w:val="en-US"/>
        </w:rPr>
        <w:t xml:space="preserve">and </w:t>
      </w:r>
      <w:r w:rsidR="00016A5A">
        <w:rPr>
          <w:rFonts w:ascii="Arial" w:eastAsia="Arial" w:hAnsi="Arial" w:cs="Arial"/>
          <w:sz w:val="22"/>
          <w:lang w:val="en-US"/>
        </w:rPr>
        <w:t>increased vulerability</w:t>
      </w:r>
      <w:r w:rsidR="00592618">
        <w:rPr>
          <w:rFonts w:ascii="Arial" w:eastAsia="Arial" w:hAnsi="Arial" w:cs="Arial"/>
          <w:sz w:val="22"/>
          <w:lang w:val="en-US"/>
        </w:rPr>
        <w:t xml:space="preserve"> all </w:t>
      </w:r>
      <w:r w:rsidRPr="00DB2155">
        <w:rPr>
          <w:rFonts w:ascii="Arial" w:eastAsia="Arial" w:hAnsi="Arial" w:cs="Arial"/>
          <w:sz w:val="22"/>
          <w:lang w:val="en-US"/>
        </w:rPr>
        <w:t>which invol</w:t>
      </w:r>
      <w:r w:rsidR="00E52BA1">
        <w:rPr>
          <w:rFonts w:ascii="Arial" w:eastAsia="Arial" w:hAnsi="Arial" w:cs="Arial"/>
          <w:sz w:val="22"/>
          <w:lang w:val="en-US"/>
        </w:rPr>
        <w:t xml:space="preserve">ves </w:t>
      </w:r>
      <w:r w:rsidR="00DB2155" w:rsidRPr="00DB2155">
        <w:rPr>
          <w:rFonts w:ascii="Arial" w:eastAsia="Arial" w:hAnsi="Arial" w:cs="Arial"/>
          <w:sz w:val="22"/>
          <w:lang w:val="en-US"/>
        </w:rPr>
        <w:t xml:space="preserve">the provision of sensitive and coordinated care (Sorrentino et al. 2025). </w:t>
      </w:r>
      <w:r w:rsidR="00E07857" w:rsidRPr="00E07857">
        <w:rPr>
          <w:rFonts w:ascii="Arial" w:eastAsia="Arial" w:hAnsi="Arial" w:cs="Arial"/>
          <w:sz w:val="22"/>
          <w:lang w:val="en-US"/>
        </w:rPr>
        <w:t>In this context, it was essential for professionals to apply person</w:t>
      </w:r>
      <w:r w:rsidR="00E07857" w:rsidRPr="00E07857">
        <w:rPr>
          <w:rFonts w:ascii="Cambria Math" w:eastAsia="Arial" w:hAnsi="Cambria Math" w:cs="Cambria Math"/>
          <w:sz w:val="22"/>
          <w:lang w:val="en-US"/>
        </w:rPr>
        <w:t>‑</w:t>
      </w:r>
      <w:r w:rsidR="00E07857" w:rsidRPr="00E07857">
        <w:rPr>
          <w:rFonts w:ascii="Arial" w:eastAsia="Arial" w:hAnsi="Arial" w:cs="Arial"/>
          <w:sz w:val="22"/>
          <w:lang w:val="en-US"/>
        </w:rPr>
        <w:t>centred care, partnership working, and ethical practice to promote safety, dignity, and wellbeing.</w:t>
      </w:r>
      <w:r w:rsidR="00FD15CF" w:rsidRPr="00FD15CF">
        <w:t xml:space="preserve"> </w:t>
      </w:r>
      <w:r w:rsidR="00FD15CF" w:rsidRPr="00FD15CF">
        <w:rPr>
          <w:rFonts w:ascii="Arial" w:eastAsia="Arial" w:hAnsi="Arial" w:cs="Arial"/>
          <w:sz w:val="22"/>
          <w:lang w:val="en-US"/>
        </w:rPr>
        <w:t>These approaches also supported the individual’s autonomy, particularly their expressed wish to remain at home and continue living as independently as possible.</w:t>
      </w:r>
    </w:p>
    <w:p w14:paraId="2D9C426D" w14:textId="77777777" w:rsidR="00DB2155" w:rsidRPr="00DB2155" w:rsidRDefault="00DB2155" w:rsidP="007D0404">
      <w:pPr>
        <w:pStyle w:val="Heading2"/>
      </w:pPr>
      <w:bookmarkStart w:id="11" w:name="_796qe9z6w4zg" w:colFirst="0" w:colLast="0"/>
      <w:bookmarkStart w:id="12" w:name="_Toc223308599"/>
      <w:bookmarkEnd w:id="11"/>
      <w:r w:rsidRPr="00DB2155">
        <w:t>2.2 Application of person-centred care in dementia care</w:t>
      </w:r>
      <w:bookmarkEnd w:id="12"/>
    </w:p>
    <w:p w14:paraId="41A32C3E" w14:textId="77777777" w:rsidR="00DB2155" w:rsidRDefault="00DB2155" w:rsidP="007D0404">
      <w:pPr>
        <w:pStyle w:val="Heading2"/>
      </w:pPr>
      <w:bookmarkStart w:id="13" w:name="_7zab56mwkucf" w:colFirst="0" w:colLast="0"/>
      <w:bookmarkStart w:id="14" w:name="_Toc223308600"/>
      <w:bookmarkEnd w:id="13"/>
      <w:r w:rsidRPr="00DB2155">
        <w:t>2.3 Partnership working in dementia support</w:t>
      </w:r>
      <w:bookmarkEnd w:id="14"/>
      <w:r w:rsidRPr="00DB2155">
        <w:t xml:space="preserve"> </w:t>
      </w:r>
    </w:p>
    <w:p w14:paraId="0991FFCA" w14:textId="2CC5D927" w:rsidR="00802391" w:rsidRPr="00DB2155" w:rsidRDefault="00802391" w:rsidP="00802391">
      <w:pPr>
        <w:spacing w:after="0" w:line="360" w:lineRule="auto"/>
        <w:jc w:val="both"/>
        <w:rPr>
          <w:rFonts w:ascii="Arial" w:eastAsia="Arial" w:hAnsi="Arial" w:cs="Arial"/>
          <w:sz w:val="22"/>
          <w:lang w:val="en-US"/>
        </w:rPr>
      </w:pPr>
      <w:r w:rsidRPr="00DB2155">
        <w:rPr>
          <w:rFonts w:ascii="Arial" w:eastAsia="Arial" w:hAnsi="Arial" w:cs="Arial"/>
          <w:sz w:val="22"/>
          <w:lang w:val="en-US"/>
        </w:rPr>
        <w:t>The use of person-centred care is especially significant to dementia care since the disorder impairs cognition, communication, and emotional states. In this case, the professionals were concerned with learning the life histor and routines of the patient, preferences, and values as they needed to make sure that the care provided was friendly to the individual and not to the diagnosis. All of these support plans were meant to support familiarity and minimise anxiety, including regular care routines and memory aids at home.</w:t>
      </w:r>
    </w:p>
    <w:p w14:paraId="410E921E" w14:textId="77777777" w:rsidR="00802391" w:rsidRPr="00DB2155" w:rsidRDefault="00802391" w:rsidP="00802391">
      <w:pPr>
        <w:spacing w:after="0" w:line="360" w:lineRule="auto"/>
        <w:jc w:val="both"/>
        <w:rPr>
          <w:rFonts w:ascii="Arial" w:eastAsia="Arial" w:hAnsi="Arial" w:cs="Arial"/>
          <w:sz w:val="22"/>
          <w:lang w:val="en-US"/>
        </w:rPr>
      </w:pPr>
      <w:r w:rsidRPr="00DB2155">
        <w:rPr>
          <w:rFonts w:ascii="Arial" w:eastAsia="Arial" w:hAnsi="Arial" w:cs="Arial"/>
          <w:sz w:val="22"/>
          <w:lang w:val="en-US"/>
        </w:rPr>
        <w:t>Care would firstly satisfy physiological and safety needs using the Hierarchy of Needs of Maslow by providing sufficient nutrition, drug administration, and fall prevention (</w:t>
      </w:r>
      <w:r w:rsidRPr="00DB2155">
        <w:rPr>
          <w:rFonts w:ascii="Arial" w:eastAsia="Arial" w:hAnsi="Arial" w:cs="Arial"/>
          <w:color w:val="222222"/>
          <w:sz w:val="22"/>
          <w:highlight w:val="white"/>
          <w:lang w:val="en-US"/>
        </w:rPr>
        <w:t>Xu et al. 2021</w:t>
      </w:r>
      <w:r w:rsidRPr="00DB2155">
        <w:rPr>
          <w:rFonts w:ascii="Arial" w:eastAsia="Arial" w:hAnsi="Arial" w:cs="Arial"/>
          <w:sz w:val="22"/>
          <w:lang w:val="en-US"/>
        </w:rPr>
        <w:t xml:space="preserve">). Then, meaningful activities and social interaction supported psychological needs to minimise isolation and distress, which are essential in dementia care. </w:t>
      </w:r>
    </w:p>
    <w:p w14:paraId="0CC80263" w14:textId="77777777" w:rsidR="00802391" w:rsidRPr="00802391" w:rsidRDefault="00802391" w:rsidP="00802391">
      <w:pPr>
        <w:rPr>
          <w:lang w:val="en-US"/>
        </w:rPr>
      </w:pPr>
    </w:p>
    <w:p w14:paraId="2BE53006" w14:textId="77777777" w:rsidR="00DB2155" w:rsidRPr="00DB2155" w:rsidRDefault="00DB2155" w:rsidP="00DB2155">
      <w:pPr>
        <w:spacing w:after="0" w:line="360" w:lineRule="auto"/>
        <w:jc w:val="center"/>
        <w:rPr>
          <w:rFonts w:ascii="Arial" w:eastAsia="Arial" w:hAnsi="Arial" w:cs="Arial"/>
          <w:sz w:val="22"/>
          <w:lang w:val="en-US"/>
        </w:rPr>
      </w:pPr>
      <w:r w:rsidRPr="00DB2155">
        <w:rPr>
          <w:rFonts w:ascii="Arial" w:eastAsia="Arial" w:hAnsi="Arial" w:cs="Arial"/>
          <w:sz w:val="22"/>
          <w:lang w:val="en-US"/>
        </w:rPr>
        <w:drawing>
          <wp:inline distT="114300" distB="114300" distL="114300" distR="114300" wp14:anchorId="4ACA3DC8" wp14:editId="4BB109A8">
            <wp:extent cx="4762500" cy="3305175"/>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762500" cy="3305175"/>
                    </a:xfrm>
                    <a:prstGeom prst="rect">
                      <a:avLst/>
                    </a:prstGeom>
                    <a:ln w="25400">
                      <a:solidFill>
                        <a:srgbClr val="000000"/>
                      </a:solidFill>
                      <a:prstDash val="solid"/>
                    </a:ln>
                  </pic:spPr>
                </pic:pic>
              </a:graphicData>
            </a:graphic>
          </wp:inline>
        </w:drawing>
      </w:r>
    </w:p>
    <w:p w14:paraId="1270266E" w14:textId="77777777" w:rsidR="00DB2155" w:rsidRPr="00DB2155" w:rsidRDefault="00DB2155" w:rsidP="00DB2155">
      <w:pPr>
        <w:spacing w:after="0" w:line="360" w:lineRule="auto"/>
        <w:jc w:val="center"/>
        <w:rPr>
          <w:rFonts w:ascii="Arial" w:eastAsia="Arial" w:hAnsi="Arial" w:cs="Arial"/>
          <w:b/>
          <w:bCs/>
          <w:sz w:val="22"/>
          <w:lang w:val="en-US"/>
        </w:rPr>
      </w:pPr>
      <w:r w:rsidRPr="00DB2155">
        <w:rPr>
          <w:rFonts w:ascii="Arial" w:eastAsia="Arial" w:hAnsi="Arial" w:cs="Arial"/>
          <w:b/>
          <w:bCs/>
          <w:sz w:val="22"/>
          <w:lang w:val="en-US"/>
        </w:rPr>
        <w:t>Figure 3: Care partners for dementia patients</w:t>
      </w:r>
    </w:p>
    <w:p w14:paraId="737F120A" w14:textId="77777777" w:rsidR="00DB2155" w:rsidRPr="00DB2155" w:rsidRDefault="00DB2155" w:rsidP="00DB2155">
      <w:pPr>
        <w:spacing w:after="0" w:line="360" w:lineRule="auto"/>
        <w:jc w:val="center"/>
        <w:rPr>
          <w:rFonts w:ascii="Arial" w:eastAsia="Arial" w:hAnsi="Arial" w:cs="Arial"/>
          <w:sz w:val="22"/>
          <w:lang w:val="en-US"/>
        </w:rPr>
      </w:pPr>
      <w:r w:rsidRPr="00DB2155">
        <w:rPr>
          <w:rFonts w:ascii="Arial" w:eastAsia="Arial" w:hAnsi="Arial" w:cs="Arial"/>
          <w:sz w:val="22"/>
          <w:lang w:val="en-US"/>
        </w:rPr>
        <w:t xml:space="preserve">(Source: </w:t>
      </w:r>
      <w:r w:rsidRPr="00DB2155">
        <w:rPr>
          <w:rFonts w:ascii="Arial" w:eastAsia="Arial" w:hAnsi="Arial" w:cs="Arial"/>
          <w:color w:val="222222"/>
          <w:sz w:val="22"/>
          <w:highlight w:val="white"/>
          <w:lang w:val="en-US"/>
        </w:rPr>
        <w:t>Gelmon et al. 2025)</w:t>
      </w:r>
    </w:p>
    <w:p w14:paraId="6CE3FFCB" w14:textId="77777777" w:rsidR="00DB2155" w:rsidRPr="00DB2155" w:rsidRDefault="00DB2155" w:rsidP="00B57C84">
      <w:pPr>
        <w:spacing w:after="0" w:line="360" w:lineRule="auto"/>
        <w:jc w:val="both"/>
        <w:rPr>
          <w:rFonts w:ascii="Arial" w:eastAsia="Arial" w:hAnsi="Arial" w:cs="Arial"/>
          <w:sz w:val="22"/>
          <w:lang w:val="en-US"/>
        </w:rPr>
      </w:pPr>
      <w:r w:rsidRPr="00DB2155">
        <w:rPr>
          <w:rFonts w:ascii="Arial" w:eastAsia="Arial" w:hAnsi="Arial" w:cs="Arial"/>
          <w:sz w:val="22"/>
          <w:lang w:val="en-US"/>
        </w:rPr>
        <w:lastRenderedPageBreak/>
        <w:t>Teamwork was critical in addressing the numerous needs of dementia. A multidisciplinary team that included the community nurses, social workers, occupational therapists, mental health professionals, and voluntary dementia services provided coordinated care (</w:t>
      </w:r>
      <w:r w:rsidRPr="00DB2155">
        <w:rPr>
          <w:rFonts w:ascii="Arial" w:eastAsia="Arial" w:hAnsi="Arial" w:cs="Arial"/>
          <w:color w:val="222222"/>
          <w:sz w:val="22"/>
          <w:highlight w:val="white"/>
          <w:lang w:val="en-US"/>
        </w:rPr>
        <w:t>Österholm et al. 2022</w:t>
      </w:r>
      <w:r w:rsidRPr="00DB2155">
        <w:rPr>
          <w:rFonts w:ascii="Arial" w:eastAsia="Arial" w:hAnsi="Arial" w:cs="Arial"/>
          <w:sz w:val="22"/>
          <w:lang w:val="en-US"/>
        </w:rPr>
        <w:t>). Informal caregivers and family members were also actively engaged, and their opinions were greatly appreciated as they gave a clear understanding regarding the needs of the person and the behaviours which would influence care planning. Multidisciplinary reviews made on a regular basis allowed the detection of cognitive and physical changes at a young age. This is an integrated practice aligned to the objectives of the Health and Care Act 2022, which is to promote health and social care, lessen the hospitalisation rates, and ensure continuity of dementia services.</w:t>
      </w:r>
    </w:p>
    <w:p w14:paraId="01D8F9D3" w14:textId="77777777" w:rsidR="00DB2155" w:rsidRPr="00DB2155" w:rsidRDefault="00DB2155" w:rsidP="007D0404">
      <w:pPr>
        <w:pStyle w:val="Heading2"/>
      </w:pPr>
      <w:bookmarkStart w:id="15" w:name="_61kn8pjo63pl" w:colFirst="0" w:colLast="0"/>
      <w:bookmarkStart w:id="16" w:name="_Toc223308601"/>
      <w:bookmarkEnd w:id="15"/>
      <w:r w:rsidRPr="00DB2155">
        <w:t>2.4 Ethical considerations in dementia care</w:t>
      </w:r>
      <w:bookmarkEnd w:id="16"/>
      <w:r w:rsidRPr="00DB2155">
        <w:t xml:space="preserve"> </w:t>
      </w:r>
    </w:p>
    <w:p w14:paraId="7BF4B67E" w14:textId="77777777" w:rsidR="00DB2155" w:rsidRPr="00DB2155" w:rsidRDefault="00DB2155" w:rsidP="00B57C84">
      <w:pPr>
        <w:spacing w:after="0" w:line="360" w:lineRule="auto"/>
        <w:rPr>
          <w:rFonts w:ascii="Arial" w:eastAsia="Arial" w:hAnsi="Arial" w:cs="Arial"/>
          <w:sz w:val="22"/>
          <w:lang w:val="en-US"/>
        </w:rPr>
      </w:pPr>
      <w:r w:rsidRPr="00DB2155">
        <w:rPr>
          <w:rFonts w:ascii="Arial" w:eastAsia="Arial" w:hAnsi="Arial" w:cs="Arial"/>
          <w:sz w:val="22"/>
          <w:lang w:val="en-US"/>
        </w:rPr>
        <w:t>This case was mostly about ethical decision-making, especially with regard to autonomy, capacity, and safeguarding (Muñoz et al. 2023). Since dementia may impair the decision-making capacity of an individual, professionals adhered to ethical and legal standards to determine the mental capacity of an individual, in addition to consulting them as much as they can on such matters.</w:t>
      </w:r>
    </w:p>
    <w:p w14:paraId="7609EB5F" w14:textId="77777777" w:rsidR="00DB2155" w:rsidRPr="00DB2155" w:rsidRDefault="00DB2155" w:rsidP="00B57C84">
      <w:pPr>
        <w:spacing w:after="0" w:line="360" w:lineRule="auto"/>
        <w:rPr>
          <w:rFonts w:ascii="Arial" w:eastAsia="Arial" w:hAnsi="Arial" w:cs="Arial"/>
          <w:sz w:val="22"/>
          <w:lang w:val="en-US"/>
        </w:rPr>
      </w:pPr>
      <w:r w:rsidRPr="00DB2155">
        <w:rPr>
          <w:rFonts w:ascii="Arial" w:eastAsia="Arial" w:hAnsi="Arial" w:cs="Arial"/>
          <w:sz w:val="22"/>
          <w:lang w:val="en-US"/>
        </w:rPr>
        <w:t>Finding a balance between autonomy and beneficence, as well as non-maleficence, was necessary, particularly in dealing with risks like wandering or failure to take medicine. Ethical practise meant that interventions which are restraining were not applied unless absolutely necessary, and they were made in the least restrictive manner. Confidentiality, dignity and respect were governed by professional codes of conduct as the Care Act 2014 assisted in making lawful and person-focused decisions.</w:t>
      </w:r>
    </w:p>
    <w:p w14:paraId="75978622" w14:textId="0D0E9C71" w:rsidR="00DB2155" w:rsidRDefault="00DB2155" w:rsidP="009E1E71">
      <w:pPr>
        <w:pStyle w:val="Heading1"/>
      </w:pPr>
      <w:bookmarkStart w:id="17" w:name="_2yft1xyli29" w:colFirst="0" w:colLast="0"/>
      <w:bookmarkStart w:id="18" w:name="_Toc223308602"/>
      <w:bookmarkEnd w:id="17"/>
      <w:r w:rsidRPr="00DB2155">
        <w:t>Task 3: Self-Reflection as a Health and Social Care Professional</w:t>
      </w:r>
      <w:bookmarkEnd w:id="18"/>
    </w:p>
    <w:p w14:paraId="4F616E00" w14:textId="34F4CD49" w:rsidR="00922D2B" w:rsidRPr="002E12DA" w:rsidRDefault="00922D2B" w:rsidP="00922D2B">
      <w:pPr>
        <w:rPr>
          <w:rFonts w:ascii="Arial" w:hAnsi="Arial" w:cs="Arial"/>
          <w:b/>
          <w:bCs/>
          <w:lang w:val="en-US"/>
        </w:rPr>
      </w:pPr>
      <w:r w:rsidRPr="002E12DA">
        <w:rPr>
          <w:rFonts w:ascii="Arial" w:hAnsi="Arial" w:cs="Arial"/>
          <w:b/>
          <w:bCs/>
          <w:lang w:val="en-US"/>
        </w:rPr>
        <w:t>Definition</w:t>
      </w:r>
    </w:p>
    <w:p w14:paraId="4A95E4F6" w14:textId="0E1C355F" w:rsidR="009811E0" w:rsidRPr="009F2E3D" w:rsidRDefault="009F2E3D" w:rsidP="00EA7418">
      <w:pPr>
        <w:spacing w:line="360" w:lineRule="auto"/>
        <w:rPr>
          <w:rFonts w:ascii="Arial" w:hAnsi="Arial" w:cs="Arial"/>
          <w:sz w:val="22"/>
          <w:lang w:val="en-US"/>
        </w:rPr>
      </w:pPr>
      <w:r>
        <w:rPr>
          <w:rFonts w:ascii="Arial" w:hAnsi="Arial" w:cs="Arial"/>
          <w:sz w:val="22"/>
          <w:lang w:val="en-US"/>
        </w:rPr>
        <w:t xml:space="preserve">Self-reflection in health </w:t>
      </w:r>
      <w:r w:rsidR="00EE7137">
        <w:rPr>
          <w:rFonts w:ascii="Arial" w:hAnsi="Arial" w:cs="Arial"/>
          <w:sz w:val="22"/>
          <w:lang w:val="en-US"/>
        </w:rPr>
        <w:t>and social care is the ongoing ,deli</w:t>
      </w:r>
      <w:r w:rsidR="002A7907">
        <w:rPr>
          <w:rFonts w:ascii="Arial" w:hAnsi="Arial" w:cs="Arial"/>
          <w:sz w:val="22"/>
          <w:lang w:val="en-US"/>
        </w:rPr>
        <w:t xml:space="preserve">barete process of </w:t>
      </w:r>
      <w:r w:rsidR="007632D2">
        <w:rPr>
          <w:rFonts w:ascii="Arial" w:hAnsi="Arial" w:cs="Arial"/>
          <w:sz w:val="22"/>
          <w:lang w:val="en-US"/>
        </w:rPr>
        <w:t>examining you own action,decisi</w:t>
      </w:r>
      <w:r w:rsidR="00E120F7">
        <w:rPr>
          <w:rFonts w:ascii="Arial" w:hAnsi="Arial" w:cs="Arial"/>
          <w:sz w:val="22"/>
          <w:lang w:val="en-US"/>
        </w:rPr>
        <w:t xml:space="preserve">ons,values and experience to </w:t>
      </w:r>
      <w:r w:rsidR="00EA7418">
        <w:rPr>
          <w:rFonts w:ascii="Arial" w:hAnsi="Arial" w:cs="Arial"/>
          <w:sz w:val="22"/>
          <w:lang w:val="en-US"/>
        </w:rPr>
        <w:t xml:space="preserve">undestande their impact </w:t>
      </w:r>
      <w:r w:rsidR="00415AAF">
        <w:rPr>
          <w:rFonts w:ascii="Arial" w:hAnsi="Arial" w:cs="Arial"/>
          <w:sz w:val="22"/>
          <w:lang w:val="en-US"/>
        </w:rPr>
        <w:t xml:space="preserve"> on service users </w:t>
      </w:r>
      <w:r w:rsidR="008E7671">
        <w:rPr>
          <w:rFonts w:ascii="Arial" w:hAnsi="Arial" w:cs="Arial"/>
          <w:sz w:val="22"/>
          <w:lang w:val="en-US"/>
        </w:rPr>
        <w:t>and to improve future practice .It str</w:t>
      </w:r>
      <w:r w:rsidR="00181466">
        <w:rPr>
          <w:rFonts w:ascii="Arial" w:hAnsi="Arial" w:cs="Arial"/>
          <w:sz w:val="22"/>
          <w:lang w:val="en-US"/>
        </w:rPr>
        <w:t xml:space="preserve">engthens self-awareness </w:t>
      </w:r>
      <w:r w:rsidR="00547CEC">
        <w:rPr>
          <w:rFonts w:ascii="Arial" w:hAnsi="Arial" w:cs="Arial"/>
          <w:sz w:val="22"/>
          <w:lang w:val="en-US"/>
        </w:rPr>
        <w:t>,proffesional judgement ,emotional resili</w:t>
      </w:r>
      <w:r w:rsidR="00922D2B">
        <w:rPr>
          <w:rFonts w:ascii="Arial" w:hAnsi="Arial" w:cs="Arial"/>
          <w:sz w:val="22"/>
          <w:lang w:val="en-US"/>
        </w:rPr>
        <w:t>ence and person -centred care.</w:t>
      </w:r>
      <w:r w:rsidR="00915C68">
        <w:rPr>
          <w:rFonts w:ascii="Arial" w:hAnsi="Arial" w:cs="Arial"/>
          <w:sz w:val="22"/>
          <w:lang w:val="en-US"/>
        </w:rPr>
        <w:t>(</w:t>
      </w:r>
      <w:r w:rsidR="009C71B2">
        <w:rPr>
          <w:rFonts w:ascii="Arial" w:hAnsi="Arial" w:cs="Arial"/>
          <w:sz w:val="22"/>
          <w:lang w:val="en-US"/>
        </w:rPr>
        <w:t>HCPC)</w:t>
      </w:r>
    </w:p>
    <w:p w14:paraId="5101B279"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b/>
          <w:bCs/>
          <w:i/>
          <w:iCs/>
          <w:sz w:val="22"/>
          <w:lang w:val="en-US"/>
        </w:rPr>
        <w:t>Description</w:t>
      </w:r>
    </w:p>
    <w:p w14:paraId="4928A9FE" w14:textId="39176CDD" w:rsidR="00DB2155" w:rsidRPr="00DB2155" w:rsidRDefault="00DB2155" w:rsidP="001A5949">
      <w:pPr>
        <w:spacing w:after="0" w:line="360" w:lineRule="auto"/>
        <w:jc w:val="both"/>
        <w:rPr>
          <w:rFonts w:ascii="Arial" w:eastAsia="Arial" w:hAnsi="Arial" w:cs="Arial"/>
          <w:sz w:val="22"/>
          <w:lang w:val="en-US"/>
        </w:rPr>
      </w:pPr>
      <w:r w:rsidRPr="00DB2155">
        <w:rPr>
          <w:rFonts w:ascii="Arial" w:eastAsia="Arial" w:hAnsi="Arial" w:cs="Arial"/>
          <w:sz w:val="22"/>
          <w:lang w:val="en-US"/>
        </w:rPr>
        <w:t xml:space="preserve">As a health and social care professional, I  work </w:t>
      </w:r>
      <w:r w:rsidR="00FF45BE">
        <w:rPr>
          <w:rFonts w:ascii="Arial" w:eastAsia="Arial" w:hAnsi="Arial" w:cs="Arial"/>
          <w:sz w:val="22"/>
          <w:lang w:val="en-US"/>
        </w:rPr>
        <w:t>clo</w:t>
      </w:r>
      <w:r w:rsidR="00A130DE">
        <w:rPr>
          <w:rFonts w:ascii="Arial" w:eastAsia="Arial" w:hAnsi="Arial" w:cs="Arial"/>
          <w:sz w:val="22"/>
          <w:lang w:val="en-US"/>
        </w:rPr>
        <w:t xml:space="preserve">sely </w:t>
      </w:r>
      <w:r w:rsidRPr="00DB2155">
        <w:rPr>
          <w:rFonts w:ascii="Arial" w:eastAsia="Arial" w:hAnsi="Arial" w:cs="Arial"/>
          <w:sz w:val="22"/>
          <w:lang w:val="en-US"/>
        </w:rPr>
        <w:t xml:space="preserve">with individuals </w:t>
      </w:r>
      <w:r w:rsidR="00FF45BE">
        <w:rPr>
          <w:rFonts w:ascii="Arial" w:eastAsia="Arial" w:hAnsi="Arial" w:cs="Arial"/>
          <w:sz w:val="22"/>
          <w:lang w:val="en-US"/>
        </w:rPr>
        <w:t xml:space="preserve">who have complex </w:t>
      </w:r>
      <w:r w:rsidRPr="00DB2155">
        <w:rPr>
          <w:rFonts w:ascii="Arial" w:eastAsia="Arial" w:hAnsi="Arial" w:cs="Arial"/>
          <w:sz w:val="22"/>
          <w:lang w:val="en-US"/>
        </w:rPr>
        <w:t xml:space="preserve">needs, </w:t>
      </w:r>
      <w:r w:rsidR="00B0609F">
        <w:rPr>
          <w:rFonts w:ascii="Arial" w:eastAsia="Arial" w:hAnsi="Arial" w:cs="Arial"/>
          <w:sz w:val="22"/>
          <w:lang w:val="en-US"/>
        </w:rPr>
        <w:t>including those</w:t>
      </w:r>
      <w:r w:rsidR="003C642E">
        <w:rPr>
          <w:rFonts w:ascii="Arial" w:eastAsia="Arial" w:hAnsi="Arial" w:cs="Arial"/>
          <w:sz w:val="22"/>
          <w:lang w:val="en-US"/>
        </w:rPr>
        <w:t xml:space="preserve"> living </w:t>
      </w:r>
      <w:r w:rsidRPr="00DB2155">
        <w:rPr>
          <w:rFonts w:ascii="Arial" w:eastAsia="Arial" w:hAnsi="Arial" w:cs="Arial"/>
          <w:sz w:val="22"/>
          <w:lang w:val="en-US"/>
        </w:rPr>
        <w:t xml:space="preserve"> with dementia. My daily </w:t>
      </w:r>
      <w:r w:rsidR="00431A2E">
        <w:rPr>
          <w:rFonts w:ascii="Arial" w:eastAsia="Arial" w:hAnsi="Arial" w:cs="Arial"/>
          <w:sz w:val="22"/>
          <w:lang w:val="en-US"/>
        </w:rPr>
        <w:t xml:space="preserve">responsibility </w:t>
      </w:r>
      <w:r w:rsidRPr="00DB2155">
        <w:rPr>
          <w:rFonts w:ascii="Arial" w:eastAsia="Arial" w:hAnsi="Arial" w:cs="Arial"/>
          <w:sz w:val="22"/>
          <w:lang w:val="en-US"/>
        </w:rPr>
        <w:t>involve helping with care provision, interacting with people and their families, and collaborating with multi-disciplinary teams to see to it that care plans are adhered to. The provision of care to people with dementia involves sensitivity, flexibility, and wide knowledge of person-centred care, partnership working, and ethics (Abbott et al. 2022). This experience has been used to indicate how these principles directly inform my practice work.</w:t>
      </w:r>
    </w:p>
    <w:p w14:paraId="380E4D8A" w14:textId="6DC3CDD6"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b/>
          <w:bCs/>
          <w:i/>
          <w:iCs/>
          <w:sz w:val="22"/>
          <w:lang w:val="en-US"/>
        </w:rPr>
        <w:lastRenderedPageBreak/>
        <w:t>Feelings</w:t>
      </w:r>
      <w:r w:rsidR="00EE2FBA" w:rsidRPr="00EE2FBA">
        <w:rPr>
          <w:rFonts w:ascii="Arial" w:eastAsia="Arial" w:hAnsi="Arial" w:cs="Arial"/>
          <w:sz w:val="22"/>
          <w:lang w:val="en-US"/>
        </w:rPr>
        <w:t xml:space="preserve"> </w:t>
      </w:r>
    </w:p>
    <w:p w14:paraId="17C17FED" w14:textId="4EF66E00" w:rsidR="00DB2155" w:rsidRPr="00DB2155" w:rsidRDefault="00046993" w:rsidP="00DB2155">
      <w:pPr>
        <w:spacing w:after="0" w:line="360" w:lineRule="auto"/>
        <w:jc w:val="both"/>
        <w:rPr>
          <w:rFonts w:ascii="Arial" w:eastAsia="Arial" w:hAnsi="Arial" w:cs="Arial"/>
          <w:sz w:val="22"/>
          <w:lang w:val="en-US"/>
        </w:rPr>
      </w:pPr>
      <w:r w:rsidRPr="00046993">
        <w:rPr>
          <w:rFonts w:ascii="Arial" w:eastAsia="Arial" w:hAnsi="Arial" w:cs="Arial"/>
          <w:sz w:val="22"/>
          <w:lang w:val="en-US"/>
        </w:rPr>
        <w:t>At the beginning of my practice, I often felt anxious and uncertain when supporting people living with dementia, particularly when faced with ethical dilemmas involving autonomy, risk, and safeguarding</w:t>
      </w:r>
      <w:r w:rsidR="00DB2155" w:rsidRPr="00DB2155">
        <w:rPr>
          <w:rFonts w:ascii="Arial" w:eastAsia="Arial" w:hAnsi="Arial" w:cs="Arial"/>
          <w:sz w:val="22"/>
          <w:lang w:val="en-US"/>
        </w:rPr>
        <w:t xml:space="preserve"> feared </w:t>
      </w:r>
      <w:r w:rsidR="00D90083">
        <w:rPr>
          <w:rFonts w:ascii="Arial" w:eastAsia="Arial" w:hAnsi="Arial" w:cs="Arial"/>
          <w:sz w:val="22"/>
          <w:lang w:val="en-US"/>
        </w:rPr>
        <w:t>.</w:t>
      </w:r>
      <w:r w:rsidR="00DB2155" w:rsidRPr="00DB2155">
        <w:rPr>
          <w:rFonts w:ascii="Arial" w:eastAsia="Arial" w:hAnsi="Arial" w:cs="Arial"/>
          <w:sz w:val="22"/>
          <w:lang w:val="en-US"/>
        </w:rPr>
        <w:t xml:space="preserve"> </w:t>
      </w:r>
      <w:r>
        <w:rPr>
          <w:rFonts w:ascii="Arial" w:eastAsia="Arial" w:hAnsi="Arial" w:cs="Arial"/>
          <w:sz w:val="22"/>
          <w:lang w:val="en-US"/>
        </w:rPr>
        <w:t>A</w:t>
      </w:r>
      <w:r w:rsidR="00DB2155" w:rsidRPr="00DB2155">
        <w:rPr>
          <w:rFonts w:ascii="Arial" w:eastAsia="Arial" w:hAnsi="Arial" w:cs="Arial"/>
          <w:sz w:val="22"/>
          <w:lang w:val="en-US"/>
        </w:rPr>
        <w:t xml:space="preserve">lso experienced some heartache, most particularly when people were upset or lost since I would not want to force anything on them, but </w:t>
      </w:r>
      <w:r w:rsidR="00B421F1">
        <w:rPr>
          <w:rFonts w:ascii="Arial" w:eastAsia="Arial" w:hAnsi="Arial" w:cs="Arial"/>
          <w:sz w:val="22"/>
          <w:lang w:val="en-US"/>
        </w:rPr>
        <w:t xml:space="preserve"> </w:t>
      </w:r>
      <w:r w:rsidR="00DB2155" w:rsidRPr="00DB2155">
        <w:rPr>
          <w:rFonts w:ascii="Arial" w:eastAsia="Arial" w:hAnsi="Arial" w:cs="Arial"/>
          <w:sz w:val="22"/>
          <w:lang w:val="en-US"/>
        </w:rPr>
        <w:t xml:space="preserve">would care to offer them some encouragement and still remember that they are independent. With time, as I acquired experience and advice with fellow co-workers, </w:t>
      </w:r>
      <w:r w:rsidR="00944E26">
        <w:rPr>
          <w:rFonts w:ascii="Arial" w:eastAsia="Arial" w:hAnsi="Arial" w:cs="Arial"/>
          <w:sz w:val="22"/>
          <w:lang w:val="en-US"/>
        </w:rPr>
        <w:t xml:space="preserve">to </w:t>
      </w:r>
      <w:r w:rsidR="00DB2155" w:rsidRPr="00DB2155">
        <w:rPr>
          <w:rFonts w:ascii="Arial" w:eastAsia="Arial" w:hAnsi="Arial" w:cs="Arial"/>
          <w:sz w:val="22"/>
          <w:lang w:val="en-US"/>
        </w:rPr>
        <w:t xml:space="preserve">began to have increasing confidence. Nevertheless, </w:t>
      </w:r>
      <w:r w:rsidR="000322A3">
        <w:rPr>
          <w:rFonts w:ascii="Arial" w:eastAsia="Arial" w:hAnsi="Arial" w:cs="Arial"/>
          <w:sz w:val="22"/>
          <w:lang w:val="en-US"/>
        </w:rPr>
        <w:t>over time throug</w:t>
      </w:r>
      <w:r w:rsidR="005E7422">
        <w:rPr>
          <w:rFonts w:ascii="Arial" w:eastAsia="Arial" w:hAnsi="Arial" w:cs="Arial"/>
          <w:sz w:val="22"/>
          <w:lang w:val="en-US"/>
        </w:rPr>
        <w:t xml:space="preserve">h </w:t>
      </w:r>
      <w:r w:rsidR="00DB2155" w:rsidRPr="00DB2155">
        <w:rPr>
          <w:rFonts w:ascii="Arial" w:eastAsia="Arial" w:hAnsi="Arial" w:cs="Arial"/>
          <w:sz w:val="22"/>
          <w:lang w:val="en-US"/>
        </w:rPr>
        <w:t>experience a certain degree of professional responsibility and pressure to make my actions ethically correct, legal, and guided by the best interests of a person.</w:t>
      </w:r>
    </w:p>
    <w:p w14:paraId="755563F0"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b/>
          <w:bCs/>
          <w:i/>
          <w:iCs/>
          <w:sz w:val="22"/>
          <w:lang w:val="en-US"/>
        </w:rPr>
        <w:t>Evaluation</w:t>
      </w:r>
    </w:p>
    <w:p w14:paraId="67E7DAE8" w14:textId="3A104009" w:rsidR="00DB2155" w:rsidRPr="00DB2155" w:rsidRDefault="00DB2155" w:rsidP="00C50FB9">
      <w:pPr>
        <w:spacing w:after="0" w:line="360" w:lineRule="auto"/>
        <w:jc w:val="both"/>
        <w:rPr>
          <w:rFonts w:ascii="Arial" w:eastAsia="Arial" w:hAnsi="Arial" w:cs="Arial"/>
          <w:sz w:val="22"/>
          <w:lang w:val="en-US"/>
        </w:rPr>
      </w:pPr>
      <w:r w:rsidRPr="00DB2155">
        <w:rPr>
          <w:rFonts w:ascii="Arial" w:eastAsia="Arial" w:hAnsi="Arial" w:cs="Arial"/>
          <w:sz w:val="22"/>
          <w:lang w:val="en-US"/>
        </w:rPr>
        <w:t>The experience identified positive points of my practise and the areas to focus on to improve my practise. Person-centred care is part of my constant practice, where it engages with individuals by listening to what they have to say, respecting their preferences, and changing the way they communicate in accordance with their needs (Cavaco et al. 2023). I have a good working relationship with partners as well, since I can give information to my fellow workers and participate in group discussions.</w:t>
      </w:r>
      <w:r w:rsidR="00E65F21" w:rsidRPr="00E65F21">
        <w:t xml:space="preserve"> </w:t>
      </w:r>
      <w:r w:rsidR="00E65F21" w:rsidRPr="00E65F21">
        <w:rPr>
          <w:rFonts w:ascii="Arial" w:eastAsia="Arial" w:hAnsi="Arial" w:cs="Arial"/>
          <w:sz w:val="22"/>
          <w:lang w:val="en-US"/>
        </w:rPr>
        <w:t>However, I am not always confident in my role within multidisciplinary decision</w:t>
      </w:r>
      <w:r w:rsidR="00E65F21" w:rsidRPr="00E65F21">
        <w:rPr>
          <w:rFonts w:ascii="Cambria Math" w:eastAsia="Arial" w:hAnsi="Cambria Math" w:cs="Cambria Math"/>
          <w:sz w:val="22"/>
          <w:lang w:val="en-US"/>
        </w:rPr>
        <w:t>‑</w:t>
      </w:r>
      <w:r w:rsidR="00E65F21" w:rsidRPr="00E65F21">
        <w:rPr>
          <w:rFonts w:ascii="Arial" w:eastAsia="Arial" w:hAnsi="Arial" w:cs="Arial"/>
          <w:sz w:val="22"/>
          <w:lang w:val="en-US"/>
        </w:rPr>
        <w:t>making, and I often rely on the guidance of senior staff when complex ethical or legal considerations arise.</w:t>
      </w:r>
    </w:p>
    <w:p w14:paraId="7709E1AF"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t>Analysis</w:t>
      </w:r>
    </w:p>
    <w:p w14:paraId="5123F8B9"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sz w:val="22"/>
          <w:lang w:val="en-US"/>
        </w:rPr>
        <w:t>This experience has shown that person-centred care, partnership working, and ethics are direct impacts on effective practise in health and social welfare. Marking person-centred care enabled me to consider people as individuals and enhanced dignity, autonomy and wellbeing, which is in line with the Care Act 2014. The Hierarchy of Needs proposed by Maslow enhanced the holistic perspective because the safety and basic needs were given the first priority before psychological well-being. The use of partnership working facilitated coordinated care, in terms of shared decisions and communication, which is the intention of the Health and Care Act 2022 (Khatri et al. 2023). Professional judgement was guided by ethics like beneficence, non-maleficence, and respect of autonomy, where it was necessary that decisions were legal and safe and were in the best interest of individuals.</w:t>
      </w:r>
    </w:p>
    <w:p w14:paraId="6C09BEAD"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t>Identified Skills and Strengths.</w:t>
      </w:r>
    </w:p>
    <w:p w14:paraId="4CE4DB26"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Empathy, patience, and effective communication is one of my main strengths since I can establish trusting relationships with people. I am respectful of dignity and individuality, which promotes person-centred care. I also have an opportunity to collaborate with colleagues and lead to partnership working and continuity of care. Safe and respectful practice is also reinforced by my sensitivity to ethical roles, including the levels of confidentiality and protection.</w:t>
      </w:r>
    </w:p>
    <w:p w14:paraId="02B814A7"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lastRenderedPageBreak/>
        <w:t>Areas for Improvement</w:t>
      </w:r>
    </w:p>
    <w:p w14:paraId="6AFD07F5" w14:textId="4D2D0F4F" w:rsidR="00DB2155" w:rsidRPr="00DB2155" w:rsidRDefault="004211C5" w:rsidP="00DB2155">
      <w:pPr>
        <w:spacing w:after="0" w:line="360" w:lineRule="auto"/>
        <w:jc w:val="both"/>
        <w:rPr>
          <w:rFonts w:ascii="Arial" w:eastAsia="Arial" w:hAnsi="Arial" w:cs="Arial"/>
          <w:sz w:val="22"/>
          <w:lang w:val="en-US"/>
        </w:rPr>
      </w:pPr>
      <w:r w:rsidRPr="004211C5">
        <w:rPr>
          <w:rFonts w:ascii="Arial" w:eastAsia="Arial" w:hAnsi="Arial" w:cs="Arial"/>
          <w:sz w:val="22"/>
          <w:lang w:val="en-US"/>
        </w:rPr>
        <w:t>Despite these strengths, the experience also highlighted areas where I need to further develop my professional practice</w:t>
      </w:r>
      <w:r>
        <w:rPr>
          <w:rFonts w:ascii="Arial" w:eastAsia="Arial" w:hAnsi="Arial" w:cs="Arial"/>
          <w:sz w:val="22"/>
          <w:lang w:val="en-US"/>
        </w:rPr>
        <w:t>.</w:t>
      </w:r>
      <w:r w:rsidR="00DB2155" w:rsidRPr="00DB2155">
        <w:rPr>
          <w:rFonts w:ascii="Arial" w:eastAsia="Arial" w:hAnsi="Arial" w:cs="Arial"/>
          <w:sz w:val="22"/>
          <w:lang w:val="en-US"/>
        </w:rPr>
        <w:t xml:space="preserve"> The implementing legislation and ethical processes in making judgments, especially in dementia care, where capacity and consent may be complicated (Gjellestad et al. 2022). I should also work on my skills of playing a role in multidisciplinary discussions and care planning instead of referring to more senior colleagues.</w:t>
      </w:r>
    </w:p>
    <w:p w14:paraId="0827322D"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t>Conclusion</w:t>
      </w:r>
    </w:p>
    <w:p w14:paraId="62BCAF9A"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This reflection has revealed that person-centred care, partnership working and ethical practices have an impact on my day-to-day working activities. Although I have acquired valuable skills, I realise that there are weaknesses in my knowledge and confidence. The practice of reflection has assisted me in understanding the needs of learning and the significance of professional growth in the provision of quality care.</w:t>
      </w:r>
    </w:p>
    <w:p w14:paraId="7BA99D2E"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t>Plan of Professional Development.</w:t>
      </w:r>
    </w:p>
    <w:p w14:paraId="34FFDFAE"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To correct the effects of the areas I identified as problematic, I will take up dementia specific training that will help enhance my knowledge of communication strategies, capacity, and ethical decision-making. Moreover, by undertaking continuous professional development activities and reading on my own, I will also raise my awareness about the current legislation and professional guidelines.</w:t>
      </w:r>
    </w:p>
    <w:p w14:paraId="5734D453"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Furthermore, I will also contribute effectively to multidisciplinary meetings to enhance my belief in collaborative working and decision-making. The continuous personal evaluation and development will be assisted by regular reflections with the help of the Gibbs Reflective Cycle (Dutta et al. 2023). By these measures, I will be able to increase my professional competence and practise more confident, ethical, and person-centred care in the future. Finally, effective health and social care delivery depends on such practices as person-centred care, partnering in work, and ethical practice. Reflective practice has made me understand all these principles and has also given me areas that I need to improve. Constant personal and professional growth, such as training, reflective learning, and teamwork, will make me a more competent, more confident, and more capable professional in my future work environment as I assist patients with compassion, legal, and high-quality care.</w:t>
      </w:r>
    </w:p>
    <w:p w14:paraId="20C2643F" w14:textId="5554B476" w:rsidR="00DB2155" w:rsidRPr="00DB2155" w:rsidRDefault="009E1E71" w:rsidP="00DB2155">
      <w:pPr>
        <w:pStyle w:val="Heading1"/>
      </w:pPr>
      <w:bookmarkStart w:id="19" w:name="_f2vmu33iqpv6" w:colFirst="0" w:colLast="0"/>
      <w:bookmarkStart w:id="20" w:name="_Toc223308603"/>
      <w:bookmarkEnd w:id="19"/>
      <w:r>
        <w:t>Conclusion</w:t>
      </w:r>
      <w:bookmarkEnd w:id="20"/>
    </w:p>
    <w:p w14:paraId="5C8C9489"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Finally, to deliver effective health and social care, it is important to have person-centred care, partnership working, and ethical practice. These principles have become clearer to me through reflective practice, justifying the areas of professional growth, and deepening my concern with providing compassionate, lawful, and high-quality care in my further practice.</w:t>
      </w:r>
    </w:p>
    <w:p w14:paraId="182B28D5" w14:textId="77777777" w:rsidR="00DB2155" w:rsidRPr="00DB2155" w:rsidRDefault="00DB2155" w:rsidP="00DB2155">
      <w:pPr>
        <w:spacing w:after="0" w:line="360" w:lineRule="auto"/>
        <w:jc w:val="both"/>
        <w:rPr>
          <w:rFonts w:ascii="Arial" w:eastAsia="Arial" w:hAnsi="Arial" w:cs="Arial"/>
          <w:sz w:val="22"/>
          <w:lang w:val="en-US"/>
        </w:rPr>
      </w:pPr>
    </w:p>
    <w:p w14:paraId="08049B93" w14:textId="5AAC5881" w:rsidR="004F5B88" w:rsidRDefault="00594FAC" w:rsidP="00594FAC">
      <w:pPr>
        <w:spacing w:line="360" w:lineRule="auto"/>
        <w:rPr>
          <w:rFonts w:ascii="Arial" w:hAnsi="Arial" w:cs="Arial"/>
          <w:color w:val="0070C0"/>
          <w:sz w:val="22"/>
        </w:rPr>
      </w:pPr>
      <w:r w:rsidRPr="00594FAC">
        <w:rPr>
          <w:rFonts w:ascii="Arial" w:hAnsi="Arial" w:cs="Arial"/>
          <w:color w:val="0070C0"/>
          <w:sz w:val="22"/>
        </w:rPr>
        <w:t xml:space="preserve">. </w:t>
      </w:r>
    </w:p>
    <w:p w14:paraId="7633F3EC" w14:textId="77777777" w:rsidR="00DB2155" w:rsidRDefault="00DB2155">
      <w:pPr>
        <w:spacing w:line="259" w:lineRule="auto"/>
        <w:rPr>
          <w:rFonts w:ascii="Arial" w:eastAsia="Arial" w:hAnsi="Arial" w:cs="Arial"/>
          <w:b/>
          <w:bCs/>
          <w:sz w:val="28"/>
          <w:szCs w:val="28"/>
          <w:lang w:val="en-US"/>
        </w:rPr>
      </w:pPr>
      <w:r>
        <w:lastRenderedPageBreak/>
        <w:br w:type="page"/>
      </w:r>
    </w:p>
    <w:p w14:paraId="5A789721" w14:textId="61CC505D" w:rsidR="006D2F2D" w:rsidRPr="001D345E" w:rsidRDefault="006D2F2D" w:rsidP="00DB2155">
      <w:pPr>
        <w:pStyle w:val="Heading1"/>
      </w:pPr>
      <w:bookmarkStart w:id="21" w:name="_Toc223308604"/>
      <w:r w:rsidRPr="001D345E">
        <w:lastRenderedPageBreak/>
        <w:t>Reference</w:t>
      </w:r>
      <w:r w:rsidR="001D345E" w:rsidRPr="001D345E">
        <w:t>s</w:t>
      </w:r>
      <w:bookmarkEnd w:id="21"/>
    </w:p>
    <w:p w14:paraId="6F0A5117"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Abbott, R.A., Rogers, M., Lourida, I., Green, C., Ball, S., Hemsley, A., Cheeseman, D., Clare, L., Moore, D., Hussey, C. and Coxon, G., (2022). New horizons for caring for people with dementia in hospital: the DEMENTIA CARE pointers for service change. </w:t>
      </w:r>
      <w:r w:rsidRPr="00CC0591">
        <w:rPr>
          <w:rFonts w:ascii="Arial" w:eastAsia="Arial" w:hAnsi="Arial" w:cs="Arial"/>
          <w:i/>
          <w:iCs/>
          <w:sz w:val="22"/>
          <w:lang w:val="en-US"/>
        </w:rPr>
        <w:t>Age and Ageing,</w:t>
      </w:r>
      <w:r w:rsidRPr="00CC0591">
        <w:rPr>
          <w:rFonts w:ascii="Arial" w:eastAsia="Arial" w:hAnsi="Arial" w:cs="Arial"/>
          <w:sz w:val="22"/>
          <w:lang w:val="en-US"/>
        </w:rPr>
        <w:t xml:space="preserve"> 51(9), p.afac190.</w:t>
      </w:r>
    </w:p>
    <w:p w14:paraId="79D5D66A"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Cavaco, A.M., Quitério, C.F., Félix, I.B. and Guerreiro, M.P., (2023). Communication and person-centred behaviour change. In</w:t>
      </w:r>
      <w:r w:rsidRPr="00CC0591">
        <w:rPr>
          <w:rFonts w:ascii="Arial" w:eastAsia="Arial" w:hAnsi="Arial" w:cs="Arial"/>
          <w:i/>
          <w:iCs/>
          <w:sz w:val="22"/>
          <w:lang w:val="en-US"/>
        </w:rPr>
        <w:t xml:space="preserve"> A practical guide on behaviour change support for self-managing chronic disease </w:t>
      </w:r>
      <w:r w:rsidRPr="00CC0591">
        <w:rPr>
          <w:rFonts w:ascii="Arial" w:eastAsia="Arial" w:hAnsi="Arial" w:cs="Arial"/>
          <w:sz w:val="22"/>
          <w:lang w:val="en-US"/>
        </w:rPr>
        <w:t>(pp. 81-112). Cham: Springer International Publishing.</w:t>
      </w:r>
    </w:p>
    <w:p w14:paraId="1B8F927A"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Dutta, S., He, M. and Tsang, D.C., (2023). Reflection and peer assessment to promote self-directed learning in higher education. </w:t>
      </w:r>
      <w:r w:rsidRPr="00CC0591">
        <w:rPr>
          <w:rFonts w:ascii="Arial" w:eastAsia="Arial" w:hAnsi="Arial" w:cs="Arial"/>
          <w:i/>
          <w:iCs/>
          <w:sz w:val="22"/>
          <w:lang w:val="en-US"/>
        </w:rPr>
        <w:t xml:space="preserve">Journal of Educational Research and Reviews, </w:t>
      </w:r>
      <w:r w:rsidRPr="00CC0591">
        <w:rPr>
          <w:rFonts w:ascii="Arial" w:eastAsia="Arial" w:hAnsi="Arial" w:cs="Arial"/>
          <w:sz w:val="22"/>
          <w:lang w:val="en-US"/>
        </w:rPr>
        <w:t>11(3), pp.35-46.</w:t>
      </w:r>
    </w:p>
    <w:p w14:paraId="6DF3106F"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Gelmon, S.B., Reed, J. and Dawson, W.D., (2025). The Dementia Care Partner Hub: An innovative approach to addressing unmet social and health needs. Alzheimer's &amp; Dementia: </w:t>
      </w:r>
      <w:r w:rsidRPr="00CC0591">
        <w:rPr>
          <w:rFonts w:ascii="Arial" w:eastAsia="Arial" w:hAnsi="Arial" w:cs="Arial"/>
          <w:i/>
          <w:iCs/>
          <w:sz w:val="22"/>
          <w:lang w:val="en-US"/>
        </w:rPr>
        <w:t>Behavior &amp; Socioeconomics of Aging, 1</w:t>
      </w:r>
      <w:r w:rsidRPr="00CC0591">
        <w:rPr>
          <w:rFonts w:ascii="Arial" w:eastAsia="Arial" w:hAnsi="Arial" w:cs="Arial"/>
          <w:sz w:val="22"/>
          <w:lang w:val="en-US"/>
        </w:rPr>
        <w:t>(2), p.e70010.</w:t>
      </w:r>
    </w:p>
    <w:p w14:paraId="20CA626B" w14:textId="77777777" w:rsid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Gjellestad, Å., Oksholm, T., Alvsvåg, H. and Bruvik, F., (2022). Autonomy conquers all: a thematic analysis of nurses’ professional judgement encountering resistance to care from home-dwelling persons with dementia. </w:t>
      </w:r>
      <w:r w:rsidRPr="00CC0591">
        <w:rPr>
          <w:rFonts w:ascii="Arial" w:eastAsia="Arial" w:hAnsi="Arial" w:cs="Arial"/>
          <w:i/>
          <w:iCs/>
          <w:sz w:val="22"/>
          <w:lang w:val="en-US"/>
        </w:rPr>
        <w:t xml:space="preserve">BMC health services research, </w:t>
      </w:r>
      <w:r w:rsidRPr="00CC0591">
        <w:rPr>
          <w:rFonts w:ascii="Arial" w:eastAsia="Arial" w:hAnsi="Arial" w:cs="Arial"/>
          <w:sz w:val="22"/>
          <w:lang w:val="en-US"/>
        </w:rPr>
        <w:t>22(1), p.749.</w:t>
      </w:r>
    </w:p>
    <w:p w14:paraId="31B10E0B" w14:textId="664F252B" w:rsidR="00642251" w:rsidRPr="00CC0591" w:rsidRDefault="00642251" w:rsidP="00CC0591">
      <w:pPr>
        <w:spacing w:before="200" w:after="200" w:line="360" w:lineRule="auto"/>
        <w:jc w:val="both"/>
        <w:rPr>
          <w:rFonts w:ascii="Arial" w:eastAsia="Arial" w:hAnsi="Arial" w:cs="Arial"/>
          <w:sz w:val="22"/>
          <w:lang w:val="en-US"/>
        </w:rPr>
      </w:pPr>
      <w:r w:rsidRPr="00642251">
        <w:rPr>
          <w:rFonts w:ascii="Arial" w:eastAsia="Arial" w:hAnsi="Arial" w:cs="Arial"/>
          <w:sz w:val="22"/>
          <w:lang w:val="en-US"/>
        </w:rPr>
        <w:t>Health and Care Professions Council (2021) Reflective practice. Available at: https://www.hcpc-uk.org/ (Accessed: [</w:t>
      </w:r>
      <w:r w:rsidR="00537E09">
        <w:rPr>
          <w:rFonts w:ascii="Arial" w:eastAsia="Arial" w:hAnsi="Arial" w:cs="Arial"/>
          <w:sz w:val="22"/>
          <w:lang w:val="en-US"/>
        </w:rPr>
        <w:t>0</w:t>
      </w:r>
      <w:r w:rsidR="00564C5B">
        <w:rPr>
          <w:rFonts w:ascii="Arial" w:eastAsia="Arial" w:hAnsi="Arial" w:cs="Arial"/>
          <w:sz w:val="22"/>
          <w:lang w:val="en-US"/>
        </w:rPr>
        <w:t>9 A</w:t>
      </w:r>
      <w:r w:rsidR="000A6962">
        <w:rPr>
          <w:rFonts w:ascii="Arial" w:eastAsia="Arial" w:hAnsi="Arial" w:cs="Arial"/>
          <w:sz w:val="22"/>
          <w:lang w:val="en-US"/>
        </w:rPr>
        <w:t>pril</w:t>
      </w:r>
      <w:r w:rsidR="006F6A10">
        <w:rPr>
          <w:rFonts w:ascii="Arial" w:eastAsia="Arial" w:hAnsi="Arial" w:cs="Arial"/>
          <w:sz w:val="22"/>
          <w:lang w:val="en-US"/>
        </w:rPr>
        <w:t xml:space="preserve"> </w:t>
      </w:r>
      <w:r w:rsidR="00564C5B">
        <w:rPr>
          <w:rFonts w:ascii="Arial" w:eastAsia="Arial" w:hAnsi="Arial" w:cs="Arial"/>
          <w:sz w:val="22"/>
          <w:lang w:val="en-US"/>
        </w:rPr>
        <w:t>2026</w:t>
      </w:r>
      <w:r w:rsidRPr="00642251">
        <w:rPr>
          <w:rFonts w:ascii="Arial" w:eastAsia="Arial" w:hAnsi="Arial" w:cs="Arial"/>
          <w:sz w:val="22"/>
          <w:lang w:val="en-US"/>
        </w:rPr>
        <w:t>]).</w:t>
      </w:r>
    </w:p>
    <w:p w14:paraId="0F2E7286" w14:textId="77777777" w:rsidR="00CC0591" w:rsidRPr="00CC0591" w:rsidRDefault="00CC0591" w:rsidP="00CC0591">
      <w:pPr>
        <w:spacing w:before="200" w:after="200" w:line="360" w:lineRule="auto"/>
        <w:jc w:val="both"/>
        <w:rPr>
          <w:rFonts w:ascii="Arial" w:eastAsia="Arial" w:hAnsi="Arial" w:cs="Arial"/>
          <w:sz w:val="20"/>
          <w:szCs w:val="20"/>
          <w:highlight w:val="white"/>
          <w:lang w:val="en-US"/>
        </w:rPr>
      </w:pPr>
      <w:r w:rsidRPr="00CC0591">
        <w:rPr>
          <w:rFonts w:ascii="Arial" w:eastAsia="Arial" w:hAnsi="Arial" w:cs="Arial"/>
          <w:sz w:val="22"/>
          <w:lang w:val="en-US"/>
        </w:rPr>
        <w:t xml:space="preserve">In2Med, A. (2024) </w:t>
      </w:r>
      <w:r w:rsidRPr="00CC0591">
        <w:rPr>
          <w:rFonts w:ascii="Arial" w:eastAsia="Arial" w:hAnsi="Arial" w:cs="Arial"/>
          <w:i/>
          <w:iCs/>
          <w:sz w:val="22"/>
          <w:lang w:val="en-US"/>
        </w:rPr>
        <w:t>Medical ethics</w:t>
      </w:r>
      <w:r w:rsidRPr="00CC0591">
        <w:rPr>
          <w:rFonts w:ascii="Arial" w:eastAsia="Arial" w:hAnsi="Arial" w:cs="Arial"/>
          <w:sz w:val="22"/>
          <w:lang w:val="en-US"/>
        </w:rPr>
        <w:t xml:space="preserve">, </w:t>
      </w:r>
      <w:r w:rsidRPr="00CC0591">
        <w:rPr>
          <w:rFonts w:ascii="Arial" w:eastAsia="Arial" w:hAnsi="Arial" w:cs="Arial"/>
          <w:i/>
          <w:iCs/>
          <w:sz w:val="22"/>
          <w:lang w:val="en-US"/>
        </w:rPr>
        <w:t>In2Med</w:t>
      </w:r>
      <w:r w:rsidRPr="00CC0591">
        <w:rPr>
          <w:rFonts w:ascii="Arial" w:eastAsia="Arial" w:hAnsi="Arial" w:cs="Arial"/>
          <w:sz w:val="22"/>
          <w:lang w:val="en-US"/>
        </w:rPr>
        <w:t>. Available at: https://in2med.co.uk/medical-ethics-summary/ (Accessed: 2 March 2026).</w:t>
      </w:r>
    </w:p>
    <w:p w14:paraId="58F3D893" w14:textId="77777777" w:rsidR="00E84DEB" w:rsidRDefault="00CC0591" w:rsidP="00CC0591">
      <w:pPr>
        <w:spacing w:before="200" w:after="200" w:line="360" w:lineRule="auto"/>
        <w:jc w:val="both"/>
      </w:pPr>
      <w:r w:rsidRPr="00CC0591">
        <w:rPr>
          <w:rFonts w:ascii="Arial" w:eastAsia="Arial" w:hAnsi="Arial" w:cs="Arial"/>
          <w:sz w:val="22"/>
          <w:lang w:val="en-US"/>
        </w:rPr>
        <w:t xml:space="preserve">Khatri, R., Endalamaw, A., Erku, D., Wolka, E., Nigatu, F., Zewdie, A. and Assefa, Y., (2023). Continuity and care coordination of primary health care: a scoping review. </w:t>
      </w:r>
      <w:r w:rsidRPr="00CC0591">
        <w:rPr>
          <w:rFonts w:ascii="Arial" w:eastAsia="Arial" w:hAnsi="Arial" w:cs="Arial"/>
          <w:i/>
          <w:iCs/>
          <w:sz w:val="22"/>
          <w:lang w:val="en-US"/>
        </w:rPr>
        <w:t>BMC Health S</w:t>
      </w:r>
      <w:r w:rsidR="00F23FCB" w:rsidRPr="00F23FCB">
        <w:t xml:space="preserve"> </w:t>
      </w:r>
    </w:p>
    <w:p w14:paraId="623A913F" w14:textId="7AF660FE" w:rsidR="00F23FCB" w:rsidRPr="00CC0591" w:rsidRDefault="00F23FCB" w:rsidP="00CC0591">
      <w:pPr>
        <w:spacing w:before="200" w:after="200" w:line="360" w:lineRule="auto"/>
        <w:jc w:val="both"/>
        <w:rPr>
          <w:rFonts w:ascii="Arial" w:eastAsia="Arial" w:hAnsi="Arial" w:cs="Arial"/>
          <w:sz w:val="22"/>
          <w:lang w:val="en-US"/>
        </w:rPr>
      </w:pPr>
      <w:r w:rsidRPr="00F23FCB">
        <w:rPr>
          <w:rFonts w:ascii="Arial" w:eastAsia="Arial" w:hAnsi="Arial" w:cs="Arial"/>
          <w:i/>
          <w:iCs/>
          <w:sz w:val="22"/>
          <w:lang w:val="en-US"/>
        </w:rPr>
        <w:t>Maslow, A. (1943) ‘A theory of human motivation’, Psychological Review, 50(4), pp. 370–396.</w:t>
      </w:r>
      <w:r w:rsidR="00CC0591" w:rsidRPr="00CC0591">
        <w:rPr>
          <w:rFonts w:ascii="Arial" w:eastAsia="Arial" w:hAnsi="Arial" w:cs="Arial"/>
          <w:i/>
          <w:iCs/>
          <w:sz w:val="22"/>
          <w:lang w:val="en-US"/>
        </w:rPr>
        <w:t xml:space="preserve">ervices Research, </w:t>
      </w:r>
      <w:r w:rsidR="00CC0591" w:rsidRPr="00CC0591">
        <w:rPr>
          <w:rFonts w:ascii="Arial" w:eastAsia="Arial" w:hAnsi="Arial" w:cs="Arial"/>
          <w:sz w:val="22"/>
          <w:lang w:val="en-US"/>
        </w:rPr>
        <w:t>23(1), p.750.</w:t>
      </w:r>
    </w:p>
    <w:p w14:paraId="0894C17B" w14:textId="1446A8B0" w:rsidR="000C0C5D"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Muñoz, J.M., Bernácer, J. and Güell, F., (2023). A conceptual framework to safeguard the neuroright to personal autonomy. </w:t>
      </w:r>
      <w:r w:rsidRPr="00CC0591">
        <w:rPr>
          <w:rFonts w:ascii="Arial" w:eastAsia="Arial" w:hAnsi="Arial" w:cs="Arial"/>
          <w:i/>
          <w:iCs/>
          <w:sz w:val="22"/>
          <w:lang w:val="en-US"/>
        </w:rPr>
        <w:t>Neuroethics</w:t>
      </w:r>
      <w:r w:rsidRPr="00CC0591">
        <w:rPr>
          <w:rFonts w:ascii="Arial" w:eastAsia="Arial" w:hAnsi="Arial" w:cs="Arial"/>
          <w:sz w:val="22"/>
          <w:lang w:val="en-US"/>
        </w:rPr>
        <w:t>, 16(3), p.18.</w:t>
      </w:r>
    </w:p>
    <w:p w14:paraId="04FB3F95"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O’Neill, N. (2022) </w:t>
      </w:r>
      <w:r w:rsidRPr="00CC0591">
        <w:rPr>
          <w:rFonts w:ascii="Arial" w:eastAsia="Arial" w:hAnsi="Arial" w:cs="Arial"/>
          <w:i/>
          <w:iCs/>
          <w:sz w:val="22"/>
          <w:lang w:val="en-US"/>
        </w:rPr>
        <w:t>The Eight Principles of Patient-Centered Care</w:t>
      </w:r>
      <w:r w:rsidRPr="00CC0591">
        <w:rPr>
          <w:rFonts w:ascii="Arial" w:eastAsia="Arial" w:hAnsi="Arial" w:cs="Arial"/>
          <w:sz w:val="22"/>
          <w:lang w:val="en-US"/>
        </w:rPr>
        <w:t xml:space="preserve">, </w:t>
      </w:r>
      <w:r w:rsidRPr="00CC0591">
        <w:rPr>
          <w:rFonts w:ascii="Arial" w:eastAsia="Arial" w:hAnsi="Arial" w:cs="Arial"/>
          <w:i/>
          <w:iCs/>
          <w:sz w:val="22"/>
          <w:lang w:val="en-US"/>
        </w:rPr>
        <w:t>Oneview</w:t>
      </w:r>
      <w:r w:rsidRPr="00CC0591">
        <w:rPr>
          <w:rFonts w:ascii="Arial" w:eastAsia="Arial" w:hAnsi="Arial" w:cs="Arial"/>
          <w:sz w:val="22"/>
          <w:lang w:val="en-US"/>
        </w:rPr>
        <w:t>. Available at: https://www.oneviewhealthcare.com/blog/the-eight-principles-of-patient-centered-care/ (Accessed: 2 March 2026).</w:t>
      </w:r>
    </w:p>
    <w:p w14:paraId="35C2EF1A" w14:textId="77777777" w:rsidR="00CC0591" w:rsidRPr="00CC0591" w:rsidRDefault="00CC0591" w:rsidP="00CC0591">
      <w:pPr>
        <w:spacing w:before="200" w:after="200" w:line="360" w:lineRule="auto"/>
        <w:jc w:val="both"/>
        <w:rPr>
          <w:rFonts w:ascii="Arial" w:eastAsia="Arial" w:hAnsi="Arial" w:cs="Arial"/>
          <w:szCs w:val="24"/>
          <w:lang w:val="en-US"/>
        </w:rPr>
      </w:pPr>
      <w:r w:rsidRPr="00CC0591">
        <w:rPr>
          <w:rFonts w:ascii="Arial" w:eastAsia="Arial" w:hAnsi="Arial" w:cs="Arial"/>
          <w:color w:val="222222"/>
          <w:sz w:val="22"/>
          <w:highlight w:val="white"/>
          <w:lang w:val="en-US"/>
        </w:rPr>
        <w:lastRenderedPageBreak/>
        <w:t xml:space="preserve">Österholm, J., Nedlund, A.C. and Ranada, Å.L., 2022. Collaboration and coordination of health and care services for older people with dementia by multidisciplinary health and care providers: a scoping review protocol. </w:t>
      </w:r>
      <w:r w:rsidRPr="00CC0591">
        <w:rPr>
          <w:rFonts w:ascii="Arial" w:eastAsia="Arial" w:hAnsi="Arial" w:cs="Arial"/>
          <w:i/>
          <w:iCs/>
          <w:color w:val="222222"/>
          <w:sz w:val="22"/>
          <w:highlight w:val="white"/>
          <w:lang w:val="en-US"/>
        </w:rPr>
        <w:t>BMJ open</w:t>
      </w:r>
      <w:r w:rsidRPr="00CC0591">
        <w:rPr>
          <w:rFonts w:ascii="Arial" w:eastAsia="Arial" w:hAnsi="Arial" w:cs="Arial"/>
          <w:color w:val="222222"/>
          <w:sz w:val="22"/>
          <w:highlight w:val="white"/>
          <w:lang w:val="en-US"/>
        </w:rPr>
        <w:t xml:space="preserve">, </w:t>
      </w:r>
      <w:r w:rsidRPr="00CC0591">
        <w:rPr>
          <w:rFonts w:ascii="Arial" w:eastAsia="Arial" w:hAnsi="Arial" w:cs="Arial"/>
          <w:i/>
          <w:iCs/>
          <w:color w:val="222222"/>
          <w:sz w:val="22"/>
          <w:highlight w:val="white"/>
          <w:lang w:val="en-US"/>
        </w:rPr>
        <w:t>12</w:t>
      </w:r>
      <w:r w:rsidRPr="00CC0591">
        <w:rPr>
          <w:rFonts w:ascii="Arial" w:eastAsia="Arial" w:hAnsi="Arial" w:cs="Arial"/>
          <w:color w:val="222222"/>
          <w:sz w:val="22"/>
          <w:highlight w:val="white"/>
          <w:lang w:val="en-US"/>
        </w:rPr>
        <w:t>(12), p.e066578.</w:t>
      </w:r>
    </w:p>
    <w:p w14:paraId="125B8639"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Raza, F. and Neuberger, J., (2022). Consent in organ transplantation: putting legal obligations and guidelines into practice. </w:t>
      </w:r>
      <w:r w:rsidRPr="00CC0591">
        <w:rPr>
          <w:rFonts w:ascii="Arial" w:eastAsia="Arial" w:hAnsi="Arial" w:cs="Arial"/>
          <w:i/>
          <w:iCs/>
          <w:sz w:val="22"/>
          <w:lang w:val="en-US"/>
        </w:rPr>
        <w:t xml:space="preserve">BMC medical ethics, </w:t>
      </w:r>
      <w:r w:rsidRPr="00CC0591">
        <w:rPr>
          <w:rFonts w:ascii="Arial" w:eastAsia="Arial" w:hAnsi="Arial" w:cs="Arial"/>
          <w:sz w:val="22"/>
          <w:lang w:val="en-US"/>
        </w:rPr>
        <w:t>23(1), p.69.</w:t>
      </w:r>
    </w:p>
    <w:p w14:paraId="5C390103"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Sorrentino, M., Fiorilla, C., Mercogliano, M., Stilo, I., Esposito, F., Moccia, M., Lavorgna, L., Salvatore, E., Sormani, M.P., Majeed, A. and Triassi, M., (2025). Barriers for access and utilization of dementia care services in Europe: a systematic review.</w:t>
      </w:r>
      <w:r w:rsidRPr="00CC0591">
        <w:rPr>
          <w:rFonts w:ascii="Arial" w:eastAsia="Arial" w:hAnsi="Arial" w:cs="Arial"/>
          <w:i/>
          <w:iCs/>
          <w:sz w:val="22"/>
          <w:lang w:val="en-US"/>
        </w:rPr>
        <w:t xml:space="preserve"> BMC geriatrics, </w:t>
      </w:r>
      <w:r w:rsidRPr="00CC0591">
        <w:rPr>
          <w:rFonts w:ascii="Arial" w:eastAsia="Arial" w:hAnsi="Arial" w:cs="Arial"/>
          <w:sz w:val="22"/>
          <w:lang w:val="en-US"/>
        </w:rPr>
        <w:t>25(1), p.162.</w:t>
      </w:r>
    </w:p>
    <w:p w14:paraId="11E8B4CC"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Trebilcock, M.J., (2022). Paradoxes of professional regulation: in search of regulatory principles. University of Toronto Press.</w:t>
      </w:r>
    </w:p>
    <w:p w14:paraId="276CAE62" w14:textId="77777777" w:rsidR="00CC0591" w:rsidRPr="00CC0591" w:rsidRDefault="00CC0591" w:rsidP="00CC0591">
      <w:pPr>
        <w:spacing w:before="200" w:after="200" w:line="360" w:lineRule="auto"/>
        <w:jc w:val="both"/>
        <w:rPr>
          <w:rFonts w:ascii="Arial" w:eastAsia="Arial" w:hAnsi="Arial" w:cs="Arial"/>
          <w:szCs w:val="24"/>
          <w:lang w:val="en-US"/>
        </w:rPr>
      </w:pPr>
      <w:r w:rsidRPr="00CC0591">
        <w:rPr>
          <w:rFonts w:ascii="Arial" w:eastAsia="Arial" w:hAnsi="Arial" w:cs="Arial"/>
          <w:color w:val="222222"/>
          <w:sz w:val="22"/>
          <w:highlight w:val="white"/>
          <w:lang w:val="en-US"/>
        </w:rPr>
        <w:t xml:space="preserve">Xu, J.X., Wu, L.X., Jiang, W. and Fan, G.H., 2021. Effect of nursing intervention based on Maslow's hierarchy of needs in patients with coronary heart disease interventional surgery. </w:t>
      </w:r>
      <w:r w:rsidRPr="00CC0591">
        <w:rPr>
          <w:rFonts w:ascii="Arial" w:eastAsia="Arial" w:hAnsi="Arial" w:cs="Arial"/>
          <w:i/>
          <w:iCs/>
          <w:color w:val="222222"/>
          <w:sz w:val="22"/>
          <w:highlight w:val="white"/>
          <w:lang w:val="en-US"/>
        </w:rPr>
        <w:t>World Journal of Clinical Cases</w:t>
      </w:r>
      <w:r w:rsidRPr="00CC0591">
        <w:rPr>
          <w:rFonts w:ascii="Arial" w:eastAsia="Arial" w:hAnsi="Arial" w:cs="Arial"/>
          <w:color w:val="222222"/>
          <w:sz w:val="22"/>
          <w:highlight w:val="white"/>
          <w:lang w:val="en-US"/>
        </w:rPr>
        <w:t xml:space="preserve">, </w:t>
      </w:r>
      <w:r w:rsidRPr="00CC0591">
        <w:rPr>
          <w:rFonts w:ascii="Arial" w:eastAsia="Arial" w:hAnsi="Arial" w:cs="Arial"/>
          <w:i/>
          <w:iCs/>
          <w:color w:val="222222"/>
          <w:sz w:val="22"/>
          <w:highlight w:val="white"/>
          <w:lang w:val="en-US"/>
        </w:rPr>
        <w:t>9</w:t>
      </w:r>
      <w:r w:rsidRPr="00CC0591">
        <w:rPr>
          <w:rFonts w:ascii="Arial" w:eastAsia="Arial" w:hAnsi="Arial" w:cs="Arial"/>
          <w:color w:val="222222"/>
          <w:sz w:val="22"/>
          <w:highlight w:val="white"/>
          <w:lang w:val="en-US"/>
        </w:rPr>
        <w:t>(33), p.10189.</w:t>
      </w:r>
    </w:p>
    <w:p w14:paraId="0F6AA8E4"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Youn, S., Geismar, H.N. and Pinedo, M., (2022). Planning and scheduling in healthcare for better care coordination: Current understanding, trending topics, and future opportunities. </w:t>
      </w:r>
      <w:r w:rsidRPr="00CC0591">
        <w:rPr>
          <w:rFonts w:ascii="Arial" w:eastAsia="Arial" w:hAnsi="Arial" w:cs="Arial"/>
          <w:i/>
          <w:iCs/>
          <w:sz w:val="22"/>
          <w:lang w:val="en-US"/>
        </w:rPr>
        <w:t>Production and Operations Management,</w:t>
      </w:r>
      <w:r w:rsidRPr="00CC0591">
        <w:rPr>
          <w:rFonts w:ascii="Arial" w:eastAsia="Arial" w:hAnsi="Arial" w:cs="Arial"/>
          <w:sz w:val="22"/>
          <w:lang w:val="en-US"/>
        </w:rPr>
        <w:t xml:space="preserve"> 31(12), pp.4407-4423.</w:t>
      </w:r>
    </w:p>
    <w:p w14:paraId="1E243764" w14:textId="77777777" w:rsidR="006D2F2D" w:rsidRDefault="006D2F2D" w:rsidP="00594FAC">
      <w:pPr>
        <w:spacing w:line="360" w:lineRule="auto"/>
        <w:rPr>
          <w:rFonts w:ascii="Arial" w:hAnsi="Arial" w:cs="Arial"/>
          <w:color w:val="0070C0"/>
          <w:sz w:val="22"/>
        </w:rPr>
      </w:pPr>
    </w:p>
    <w:p w14:paraId="7A83ACCE" w14:textId="77777777" w:rsidR="000A0E08" w:rsidRPr="001D345E" w:rsidRDefault="000A0E08" w:rsidP="00594FAC">
      <w:pPr>
        <w:spacing w:line="360" w:lineRule="auto"/>
        <w:rPr>
          <w:rFonts w:ascii="Arial" w:hAnsi="Arial" w:cs="Arial"/>
          <w:sz w:val="22"/>
        </w:rPr>
      </w:pPr>
    </w:p>
    <w:sectPr w:rsidR="000A0E08" w:rsidRPr="001D345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A81EF7" w14:textId="77777777" w:rsidR="00EE35A9" w:rsidRDefault="00EE35A9" w:rsidP="00B21FE6">
      <w:pPr>
        <w:spacing w:after="0" w:line="240" w:lineRule="auto"/>
      </w:pPr>
      <w:r>
        <w:separator/>
      </w:r>
    </w:p>
  </w:endnote>
  <w:endnote w:type="continuationSeparator" w:id="0">
    <w:p w14:paraId="5A752448" w14:textId="77777777" w:rsidR="00EE35A9" w:rsidRDefault="00EE35A9"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411884126"/>
      <w:docPartObj>
        <w:docPartGallery w:val="Page Numbers (Bottom of Page)"/>
        <w:docPartUnique/>
      </w:docPartObj>
    </w:sdtPr>
    <w:sdtEndPr>
      <w:rPr>
        <w:noProof/>
        <w:sz w:val="20"/>
        <w:szCs w:val="20"/>
      </w:rPr>
    </w:sdtEndPr>
    <w:sdtContent>
      <w:p w14:paraId="2AE847E2" w14:textId="0B0DC38D" w:rsidR="00A71EDA" w:rsidRPr="00A71EDA" w:rsidRDefault="00A71EDA">
        <w:pPr>
          <w:pStyle w:val="Footer"/>
          <w:jc w:val="right"/>
          <w:rPr>
            <w:sz w:val="20"/>
            <w:szCs w:val="20"/>
          </w:rPr>
        </w:pPr>
        <w:r w:rsidRPr="00A71EDA">
          <w:rPr>
            <w:noProof w:val="0"/>
            <w:sz w:val="20"/>
            <w:szCs w:val="20"/>
          </w:rPr>
          <w:fldChar w:fldCharType="begin"/>
        </w:r>
        <w:r w:rsidRPr="00A71EDA">
          <w:rPr>
            <w:sz w:val="20"/>
            <w:szCs w:val="20"/>
          </w:rPr>
          <w:instrText xml:space="preserve"> PAGE   \* MERGEFORMAT </w:instrText>
        </w:r>
        <w:r w:rsidRPr="00A71EDA">
          <w:rPr>
            <w:noProof w:val="0"/>
            <w:sz w:val="20"/>
            <w:szCs w:val="20"/>
          </w:rPr>
          <w:fldChar w:fldCharType="separate"/>
        </w:r>
        <w:r w:rsidR="005146B0">
          <w:rPr>
            <w:sz w:val="20"/>
            <w:szCs w:val="20"/>
          </w:rPr>
          <w:t>1</w:t>
        </w:r>
        <w:r w:rsidRPr="00A71EDA">
          <w:rPr>
            <w:sz w:val="20"/>
            <w:szCs w:val="20"/>
          </w:rPr>
          <w:fldChar w:fldCharType="end"/>
        </w:r>
      </w:p>
    </w:sdtContent>
  </w:sdt>
  <w:p w14:paraId="084F8CE6" w14:textId="77777777" w:rsidR="00A71EDA" w:rsidRDefault="00A71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96760" w14:textId="77777777" w:rsidR="00EE35A9" w:rsidRDefault="00EE35A9" w:rsidP="00B21FE6">
      <w:pPr>
        <w:spacing w:after="0" w:line="240" w:lineRule="auto"/>
      </w:pPr>
      <w:r>
        <w:separator/>
      </w:r>
    </w:p>
  </w:footnote>
  <w:footnote w:type="continuationSeparator" w:id="0">
    <w:p w14:paraId="55102766" w14:textId="77777777" w:rsidR="00EE35A9" w:rsidRDefault="00EE35A9"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220212">
    <w:abstractNumId w:val="4"/>
  </w:num>
  <w:num w:numId="2" w16cid:durableId="650914696">
    <w:abstractNumId w:val="1"/>
  </w:num>
  <w:num w:numId="3" w16cid:durableId="1489399362">
    <w:abstractNumId w:val="0"/>
  </w:num>
  <w:num w:numId="4" w16cid:durableId="1691839321">
    <w:abstractNumId w:val="2"/>
  </w:num>
  <w:num w:numId="5" w16cid:durableId="4893726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8B0"/>
    <w:rsid w:val="000022F5"/>
    <w:rsid w:val="00005871"/>
    <w:rsid w:val="00016A5A"/>
    <w:rsid w:val="000322A3"/>
    <w:rsid w:val="00032F36"/>
    <w:rsid w:val="00033E12"/>
    <w:rsid w:val="000454A4"/>
    <w:rsid w:val="00046993"/>
    <w:rsid w:val="00051152"/>
    <w:rsid w:val="00052089"/>
    <w:rsid w:val="000610A6"/>
    <w:rsid w:val="000828C7"/>
    <w:rsid w:val="00082A5E"/>
    <w:rsid w:val="000A0E08"/>
    <w:rsid w:val="000A6962"/>
    <w:rsid w:val="000C0C5D"/>
    <w:rsid w:val="00120340"/>
    <w:rsid w:val="001333C2"/>
    <w:rsid w:val="001579E6"/>
    <w:rsid w:val="00172AE3"/>
    <w:rsid w:val="00181466"/>
    <w:rsid w:val="001844F6"/>
    <w:rsid w:val="001A5949"/>
    <w:rsid w:val="001D345E"/>
    <w:rsid w:val="00220640"/>
    <w:rsid w:val="00220920"/>
    <w:rsid w:val="002331EE"/>
    <w:rsid w:val="00245600"/>
    <w:rsid w:val="00250FD1"/>
    <w:rsid w:val="002565AC"/>
    <w:rsid w:val="002572BF"/>
    <w:rsid w:val="00273031"/>
    <w:rsid w:val="002A7907"/>
    <w:rsid w:val="002D39BD"/>
    <w:rsid w:val="002D6319"/>
    <w:rsid w:val="002E12DA"/>
    <w:rsid w:val="00300D1E"/>
    <w:rsid w:val="00305B55"/>
    <w:rsid w:val="00317E3D"/>
    <w:rsid w:val="00336F17"/>
    <w:rsid w:val="00350D4F"/>
    <w:rsid w:val="00386251"/>
    <w:rsid w:val="0039171D"/>
    <w:rsid w:val="003C642E"/>
    <w:rsid w:val="003D09E2"/>
    <w:rsid w:val="00415AAF"/>
    <w:rsid w:val="004211C5"/>
    <w:rsid w:val="00421C3D"/>
    <w:rsid w:val="00431A2E"/>
    <w:rsid w:val="00435390"/>
    <w:rsid w:val="00441E59"/>
    <w:rsid w:val="00470E56"/>
    <w:rsid w:val="004A7E9B"/>
    <w:rsid w:val="004E0F71"/>
    <w:rsid w:val="004F5B88"/>
    <w:rsid w:val="005146B0"/>
    <w:rsid w:val="00537E09"/>
    <w:rsid w:val="00547CEC"/>
    <w:rsid w:val="00564C5B"/>
    <w:rsid w:val="0058218C"/>
    <w:rsid w:val="00592618"/>
    <w:rsid w:val="00594FAC"/>
    <w:rsid w:val="005E7422"/>
    <w:rsid w:val="005F7FDB"/>
    <w:rsid w:val="00610A5B"/>
    <w:rsid w:val="006124BE"/>
    <w:rsid w:val="0063729E"/>
    <w:rsid w:val="00642251"/>
    <w:rsid w:val="006524ED"/>
    <w:rsid w:val="00654A7B"/>
    <w:rsid w:val="00694A79"/>
    <w:rsid w:val="006D2F2D"/>
    <w:rsid w:val="006E1FF9"/>
    <w:rsid w:val="006E38AB"/>
    <w:rsid w:val="006E3A78"/>
    <w:rsid w:val="006E435C"/>
    <w:rsid w:val="006F6A10"/>
    <w:rsid w:val="007632D2"/>
    <w:rsid w:val="00785886"/>
    <w:rsid w:val="007D0404"/>
    <w:rsid w:val="007D0B10"/>
    <w:rsid w:val="007F3A6A"/>
    <w:rsid w:val="00802391"/>
    <w:rsid w:val="00887FBB"/>
    <w:rsid w:val="008A187B"/>
    <w:rsid w:val="008C1815"/>
    <w:rsid w:val="008C5715"/>
    <w:rsid w:val="008E7671"/>
    <w:rsid w:val="008F0456"/>
    <w:rsid w:val="008F6D4B"/>
    <w:rsid w:val="009027AB"/>
    <w:rsid w:val="00906809"/>
    <w:rsid w:val="00915C68"/>
    <w:rsid w:val="00922D2B"/>
    <w:rsid w:val="009245B3"/>
    <w:rsid w:val="00944E26"/>
    <w:rsid w:val="00946320"/>
    <w:rsid w:val="009466A2"/>
    <w:rsid w:val="00953EC5"/>
    <w:rsid w:val="00954127"/>
    <w:rsid w:val="009811E0"/>
    <w:rsid w:val="009A0500"/>
    <w:rsid w:val="009A52FA"/>
    <w:rsid w:val="009C71B2"/>
    <w:rsid w:val="009E1E71"/>
    <w:rsid w:val="009E5C5F"/>
    <w:rsid w:val="009F2E3D"/>
    <w:rsid w:val="00A11336"/>
    <w:rsid w:val="00A130DE"/>
    <w:rsid w:val="00A270CB"/>
    <w:rsid w:val="00A375FD"/>
    <w:rsid w:val="00A71EDA"/>
    <w:rsid w:val="00AB5B9F"/>
    <w:rsid w:val="00AE7DDA"/>
    <w:rsid w:val="00AF41E0"/>
    <w:rsid w:val="00AF6789"/>
    <w:rsid w:val="00B008E3"/>
    <w:rsid w:val="00B0609F"/>
    <w:rsid w:val="00B21FE6"/>
    <w:rsid w:val="00B322A6"/>
    <w:rsid w:val="00B421F1"/>
    <w:rsid w:val="00B51722"/>
    <w:rsid w:val="00B57C84"/>
    <w:rsid w:val="00B741E5"/>
    <w:rsid w:val="00B837ED"/>
    <w:rsid w:val="00B87CFD"/>
    <w:rsid w:val="00B91796"/>
    <w:rsid w:val="00BA5E5F"/>
    <w:rsid w:val="00BC79FE"/>
    <w:rsid w:val="00BD2B37"/>
    <w:rsid w:val="00BD3632"/>
    <w:rsid w:val="00C041B4"/>
    <w:rsid w:val="00C365F1"/>
    <w:rsid w:val="00C50FB9"/>
    <w:rsid w:val="00C558B0"/>
    <w:rsid w:val="00C70CEC"/>
    <w:rsid w:val="00C75257"/>
    <w:rsid w:val="00CC0591"/>
    <w:rsid w:val="00CC06AF"/>
    <w:rsid w:val="00CD5C8F"/>
    <w:rsid w:val="00CF6C76"/>
    <w:rsid w:val="00D00A38"/>
    <w:rsid w:val="00D4397A"/>
    <w:rsid w:val="00D545BA"/>
    <w:rsid w:val="00D66C96"/>
    <w:rsid w:val="00D67558"/>
    <w:rsid w:val="00D90083"/>
    <w:rsid w:val="00DB2155"/>
    <w:rsid w:val="00DB56D5"/>
    <w:rsid w:val="00DD3BEA"/>
    <w:rsid w:val="00E07857"/>
    <w:rsid w:val="00E120F7"/>
    <w:rsid w:val="00E14815"/>
    <w:rsid w:val="00E34114"/>
    <w:rsid w:val="00E52BA1"/>
    <w:rsid w:val="00E6427D"/>
    <w:rsid w:val="00E65F21"/>
    <w:rsid w:val="00E70B02"/>
    <w:rsid w:val="00E75FCA"/>
    <w:rsid w:val="00E81204"/>
    <w:rsid w:val="00E84DEB"/>
    <w:rsid w:val="00EA7418"/>
    <w:rsid w:val="00EB12D8"/>
    <w:rsid w:val="00EE2FBA"/>
    <w:rsid w:val="00EE35A9"/>
    <w:rsid w:val="00EE7137"/>
    <w:rsid w:val="00EF2729"/>
    <w:rsid w:val="00F23FCB"/>
    <w:rsid w:val="00F4440A"/>
    <w:rsid w:val="00F70E34"/>
    <w:rsid w:val="00F73DDC"/>
    <w:rsid w:val="00F81510"/>
    <w:rsid w:val="00F849F9"/>
    <w:rsid w:val="00F91AC7"/>
    <w:rsid w:val="00FA6248"/>
    <w:rsid w:val="00FD15CF"/>
    <w:rsid w:val="00FF45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noProof/>
      <w:sz w:val="24"/>
    </w:rPr>
  </w:style>
  <w:style w:type="paragraph" w:styleId="Heading1">
    <w:name w:val="heading 1"/>
    <w:basedOn w:val="Normal"/>
    <w:next w:val="Normal"/>
    <w:link w:val="Heading1Char"/>
    <w:uiPriority w:val="9"/>
    <w:qFormat/>
    <w:rsid w:val="00DB2155"/>
    <w:pPr>
      <w:keepNext/>
      <w:keepLines/>
      <w:spacing w:after="0" w:line="360" w:lineRule="auto"/>
      <w:jc w:val="both"/>
      <w:outlineLvl w:val="0"/>
    </w:pPr>
    <w:rPr>
      <w:rFonts w:ascii="Arial" w:eastAsia="Arial" w:hAnsi="Arial" w:cs="Arial"/>
      <w:b/>
      <w:bCs/>
      <w:sz w:val="28"/>
      <w:szCs w:val="28"/>
      <w:lang w:val="en-US"/>
    </w:rPr>
  </w:style>
  <w:style w:type="paragraph" w:styleId="Heading2">
    <w:name w:val="heading 2"/>
    <w:basedOn w:val="Normal"/>
    <w:next w:val="Normal"/>
    <w:link w:val="Heading2Char"/>
    <w:uiPriority w:val="9"/>
    <w:unhideWhenUsed/>
    <w:qFormat/>
    <w:rsid w:val="00DB2155"/>
    <w:pPr>
      <w:keepNext/>
      <w:keepLines/>
      <w:spacing w:after="0" w:line="360" w:lineRule="auto"/>
      <w:jc w:val="both"/>
      <w:outlineLvl w:val="1"/>
    </w:pPr>
    <w:rPr>
      <w:rFonts w:ascii="Arial" w:eastAsia="Arial" w:hAnsi="Arial" w:cs="Arial"/>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DB2155"/>
    <w:rPr>
      <w:rFonts w:ascii="Arial" w:eastAsia="Arial" w:hAnsi="Arial" w:cs="Arial"/>
      <w:b/>
      <w:bCs/>
      <w:sz w:val="28"/>
      <w:szCs w:val="28"/>
      <w:lang w:val="en-US"/>
    </w:rPr>
  </w:style>
  <w:style w:type="character" w:customStyle="1" w:styleId="Heading2Char">
    <w:name w:val="Heading 2 Char"/>
    <w:basedOn w:val="DefaultParagraphFont"/>
    <w:link w:val="Heading2"/>
    <w:uiPriority w:val="9"/>
    <w:rsid w:val="00DB2155"/>
    <w:rPr>
      <w:rFonts w:ascii="Arial" w:eastAsia="Arial" w:hAnsi="Arial" w:cs="Arial"/>
      <w:b/>
      <w:bCs/>
      <w:sz w:val="24"/>
      <w:szCs w:val="24"/>
      <w:lang w:val="en-US"/>
    </w:rPr>
  </w:style>
  <w:style w:type="paragraph" w:styleId="TOCHeading">
    <w:name w:val="TOC Heading"/>
    <w:basedOn w:val="Heading1"/>
    <w:next w:val="Normal"/>
    <w:uiPriority w:val="39"/>
    <w:unhideWhenUsed/>
    <w:qFormat/>
    <w:rsid w:val="004E0F71"/>
    <w:pPr>
      <w:spacing w:before="240" w:line="259" w:lineRule="auto"/>
      <w:jc w:val="left"/>
      <w:outlineLvl w:val="9"/>
    </w:pPr>
    <w:rPr>
      <w:rFonts w:asciiTheme="majorHAnsi" w:eastAsiaTheme="majorEastAsia" w:hAnsiTheme="majorHAnsi" w:cstheme="majorBidi"/>
      <w:b w:val="0"/>
      <w:bCs w:val="0"/>
      <w:noProof w:val="0"/>
      <w:color w:val="2F5496" w:themeColor="accent1" w:themeShade="BF"/>
      <w:sz w:val="32"/>
      <w:szCs w:val="32"/>
    </w:rPr>
  </w:style>
  <w:style w:type="paragraph" w:styleId="TOC2">
    <w:name w:val="toc 2"/>
    <w:basedOn w:val="Normal"/>
    <w:next w:val="Normal"/>
    <w:autoRedefine/>
    <w:uiPriority w:val="39"/>
    <w:unhideWhenUsed/>
    <w:rsid w:val="004E0F71"/>
    <w:pPr>
      <w:spacing w:after="100" w:line="259" w:lineRule="auto"/>
      <w:ind w:left="220"/>
    </w:pPr>
    <w:rPr>
      <w:rFonts w:asciiTheme="minorHAnsi" w:eastAsiaTheme="minorEastAsia" w:hAnsiTheme="minorHAnsi" w:cs="Times New Roman"/>
      <w:noProof w:val="0"/>
      <w:sz w:val="22"/>
      <w:lang w:val="en-US"/>
    </w:rPr>
  </w:style>
  <w:style w:type="paragraph" w:styleId="TOC1">
    <w:name w:val="toc 1"/>
    <w:basedOn w:val="Normal"/>
    <w:next w:val="Normal"/>
    <w:autoRedefine/>
    <w:uiPriority w:val="39"/>
    <w:unhideWhenUsed/>
    <w:rsid w:val="004E0F71"/>
    <w:pPr>
      <w:spacing w:after="100" w:line="259" w:lineRule="auto"/>
    </w:pPr>
    <w:rPr>
      <w:rFonts w:asciiTheme="minorHAnsi" w:eastAsiaTheme="minorEastAsia" w:hAnsiTheme="minorHAnsi" w:cs="Times New Roman"/>
      <w:noProof w:val="0"/>
      <w:sz w:val="22"/>
      <w:lang w:val="en-US"/>
    </w:rPr>
  </w:style>
  <w:style w:type="paragraph" w:styleId="TOC3">
    <w:name w:val="toc 3"/>
    <w:basedOn w:val="Normal"/>
    <w:next w:val="Normal"/>
    <w:autoRedefine/>
    <w:uiPriority w:val="39"/>
    <w:unhideWhenUsed/>
    <w:rsid w:val="004E0F71"/>
    <w:pPr>
      <w:spacing w:after="100" w:line="259" w:lineRule="auto"/>
      <w:ind w:left="440"/>
    </w:pPr>
    <w:rPr>
      <w:rFonts w:asciiTheme="minorHAnsi" w:eastAsiaTheme="minorEastAsia" w:hAnsiTheme="minorHAnsi" w:cs="Times New Roman"/>
      <w:noProof w:val="0"/>
      <w:sz w:val="22"/>
      <w:lang w:val="en-US"/>
    </w:rPr>
  </w:style>
  <w:style w:type="character" w:styleId="Hyperlink">
    <w:name w:val="Hyperlink"/>
    <w:basedOn w:val="DefaultParagraphFont"/>
    <w:uiPriority w:val="99"/>
    <w:unhideWhenUsed/>
    <w:rsid w:val="004E0F71"/>
    <w:rPr>
      <w:color w:val="0563C1" w:themeColor="hyperlink"/>
      <w:u w:val="single"/>
    </w:rPr>
  </w:style>
  <w:style w:type="paragraph" w:styleId="Revision">
    <w:name w:val="Revision"/>
    <w:hidden/>
    <w:uiPriority w:val="99"/>
    <w:semiHidden/>
    <w:rsid w:val="00C75257"/>
    <w:pPr>
      <w:spacing w:after="0" w:line="240" w:lineRule="auto"/>
    </w:pPr>
    <w:rPr>
      <w:rFonts w:ascii="Times New Roman" w:hAnsi="Times New Roman"/>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48E00-8E26-475D-BFFA-D200524AB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12</Pages>
  <Words>2959</Words>
  <Characters>16867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Paula Gavriloaei</cp:lastModifiedBy>
  <cp:revision>120</cp:revision>
  <dcterms:created xsi:type="dcterms:W3CDTF">2025-06-05T11:55:00Z</dcterms:created>
  <dcterms:modified xsi:type="dcterms:W3CDTF">2026-04-10T08:58:00Z</dcterms:modified>
</cp:coreProperties>
</file>