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7655A" w:rsidRPr="0017655A" w:rsidRDefault="0017655A" w:rsidP="00DE1FED">
      <w:pPr>
        <w:jc w:val="center"/>
        <w:rPr>
          <w:b/>
          <w:u w:val="single"/>
        </w:rPr>
      </w:pPr>
      <w:r w:rsidRPr="0017655A">
        <w:rPr>
          <w:b/>
          <w:u w:val="single"/>
        </w:rPr>
        <w:t>Choosing a case study of your choice drawn from the Bronze Age East Mediterranean (Aegean, Cyprus or the Levant) consider how theoretical perspectives might help archaeologists to interpret Ritual and ceremony in palatial contexts</w:t>
      </w:r>
    </w:p>
    <w:p w:rsidR="0017655A" w:rsidRDefault="0017655A" w:rsidP="0017655A"/>
    <w:p w:rsidR="0017655A" w:rsidRDefault="0017655A" w:rsidP="0017655A">
      <w:r>
        <w:t>Mycenae is believed to have been founded by the Classical hero Perseus, it was only until Heinrich Schliemann uncovered evidence that supported the Homeric myths of the civilisation</w:t>
      </w:r>
      <w:r>
        <w:rPr>
          <w:rStyle w:val="FootnoteReference"/>
        </w:rPr>
        <w:footnoteReference w:id="1"/>
      </w:r>
      <w:r>
        <w:t xml:space="preserve"> in 1876. There are several archaeological sites at the city that has been excavated, and from these we have increased our understanding of the civilisation. However there are still several ways that can develop our perception on the Mycenaean culture; by looking at the theoretical perspectives of Bruno Latour, Paul Connerton and using the Materialities theory, archaeologists may be able to interpret and grasp a better understanding of ritual and ceremonial performances in these archaeological sites.</w:t>
      </w:r>
    </w:p>
    <w:p w:rsidR="0051115A" w:rsidRDefault="0017655A" w:rsidP="0017655A">
      <w:r>
        <w:t>The main focus of this analysis will be the palaces excavated in Mycenae, and as comparisons, a small analysis of the grave pits; this will allow us to place any objects into context that could be interpreted as a tool or even a small contribution to ritualistic ceremonies. Some of these ceremonies have been argued to have been ‘overlooked’</w:t>
      </w:r>
      <w:r>
        <w:rPr>
          <w:rStyle w:val="FootnoteReference"/>
        </w:rPr>
        <w:footnoteReference w:id="2"/>
      </w:r>
      <w:r>
        <w:t xml:space="preserve">  by archaeologists, in particular the act of feasting; this can be identified as one of the most interactive ceremonies due to the fact that it is a very communal based performance which involves the whole community and can easily be recreated by archaeologists</w:t>
      </w:r>
      <w:r w:rsidR="004B38B7">
        <w:t>.</w:t>
      </w:r>
      <w:r w:rsidR="003D2FD2">
        <w:t xml:space="preserve"> The palace that we will be looking at closely is the Palace of Nestor in Pylos; the palace has been identified to have had many feasts </w:t>
      </w:r>
      <w:r w:rsidR="00016BE3">
        <w:t xml:space="preserve">hosted from evidence of </w:t>
      </w:r>
      <w:r w:rsidR="003D2FD2">
        <w:t>translated Linear B texts</w:t>
      </w:r>
      <w:r w:rsidR="003D2FD2">
        <w:rPr>
          <w:rStyle w:val="FootnoteReference"/>
        </w:rPr>
        <w:footnoteReference w:id="3"/>
      </w:r>
      <w:r w:rsidR="00016BE3">
        <w:t xml:space="preserve"> which also identifies a religious element in the act of feasting.</w:t>
      </w:r>
      <w:r w:rsidR="0051115A">
        <w:t xml:space="preserve"> </w:t>
      </w:r>
      <w:r w:rsidR="00A01ED8">
        <w:t xml:space="preserve">By looking at some of the theoretical perspectives of scholars </w:t>
      </w:r>
      <w:r w:rsidR="0051115A">
        <w:t>such as Connerton archaeologists may be able to understand the performance of ritual ceremonies in Mycenaean culture.</w:t>
      </w:r>
    </w:p>
    <w:p w:rsidR="004B6F31" w:rsidRDefault="0051115A" w:rsidP="0017655A">
      <w:r>
        <w:t>Paul Connerton’</w:t>
      </w:r>
      <w:r w:rsidR="00543556">
        <w:t xml:space="preserve">s theory involves the exploration of social memory and how tradition is a ceremony of remembering the past. </w:t>
      </w:r>
      <w:r w:rsidR="00F82D1D">
        <w:t xml:space="preserve">In </w:t>
      </w:r>
      <w:r w:rsidR="00F82D1D">
        <w:rPr>
          <w:i/>
        </w:rPr>
        <w:t>How Societies Remember</w:t>
      </w:r>
      <w:r w:rsidR="00F82D1D">
        <w:t>, he explains how the recollection of memories act as a cult practice that turns</w:t>
      </w:r>
      <w:r w:rsidR="003F2BC0">
        <w:t xml:space="preserve"> into </w:t>
      </w:r>
      <w:r w:rsidR="00F82D1D">
        <w:t xml:space="preserve">tradition that is carried out </w:t>
      </w:r>
      <w:r w:rsidR="003F2BC0">
        <w:t>generation after generation but is performed as a ‘re-presentation’</w:t>
      </w:r>
      <w:r w:rsidR="003F2BC0">
        <w:rPr>
          <w:rStyle w:val="FootnoteReference"/>
        </w:rPr>
        <w:footnoteReference w:id="4"/>
      </w:r>
      <w:r w:rsidR="003F2BC0">
        <w:t>. Connerton uses this concept on Nazi Germany</w:t>
      </w:r>
      <w:r w:rsidR="00E366FB">
        <w:t xml:space="preserve"> and goes</w:t>
      </w:r>
      <w:r w:rsidR="0090458B">
        <w:t xml:space="preserve"> into detail about the annual ceremonies</w:t>
      </w:r>
      <w:r w:rsidR="00E366FB">
        <w:t xml:space="preserve"> that </w:t>
      </w:r>
      <w:r w:rsidR="0090458B">
        <w:t>were created to commemorate the mythic events</w:t>
      </w:r>
      <w:r w:rsidR="0090458B">
        <w:rPr>
          <w:rStyle w:val="FootnoteReference"/>
        </w:rPr>
        <w:footnoteReference w:id="5"/>
      </w:r>
      <w:r w:rsidR="0090458B">
        <w:t xml:space="preserve"> that shaped the rise of the Third Reich. </w:t>
      </w:r>
      <w:r w:rsidR="00AD7FC0">
        <w:t xml:space="preserve">The performance of these events were acted out as a re-presentation of already existing </w:t>
      </w:r>
      <w:r w:rsidR="00A27538">
        <w:t xml:space="preserve">Christian </w:t>
      </w:r>
      <w:r w:rsidR="00AD7FC0">
        <w:t>traditions that were adopted by Hitler due to the</w:t>
      </w:r>
      <w:r w:rsidR="00A27538">
        <w:t>ir</w:t>
      </w:r>
      <w:r w:rsidR="00AD7FC0">
        <w:t xml:space="preserve"> ‘</w:t>
      </w:r>
      <w:r w:rsidR="00A27538">
        <w:t xml:space="preserve">timing and </w:t>
      </w:r>
      <w:r w:rsidR="00AD7FC0">
        <w:t>intr</w:t>
      </w:r>
      <w:r w:rsidR="00841E79">
        <w:t>insic character</w:t>
      </w:r>
      <w:r w:rsidR="00A27538">
        <w:t>’</w:t>
      </w:r>
      <w:r w:rsidR="00A27538">
        <w:rPr>
          <w:rStyle w:val="FootnoteReference"/>
        </w:rPr>
        <w:footnoteReference w:id="6"/>
      </w:r>
      <w:r w:rsidR="00A27538">
        <w:t>, which Connerton compares to the adaption of Pa</w:t>
      </w:r>
      <w:r w:rsidR="00103AF8">
        <w:t>gan traditions to Christianity.</w:t>
      </w:r>
    </w:p>
    <w:p w:rsidR="00A27538" w:rsidRDefault="00B174BA" w:rsidP="0017655A">
      <w:r>
        <w:t>This theory of re-presenting traditions can still be applied to</w:t>
      </w:r>
      <w:r w:rsidR="001024BB">
        <w:t xml:space="preserve">day with several annual ceremonies. For </w:t>
      </w:r>
      <w:r w:rsidR="00926417">
        <w:t xml:space="preserve">example </w:t>
      </w:r>
      <w:r w:rsidR="001024BB">
        <w:t xml:space="preserve">the ceremony that re-enacts the events of </w:t>
      </w:r>
      <w:r w:rsidR="00926417">
        <w:t>November 5</w:t>
      </w:r>
      <w:r w:rsidR="00926417" w:rsidRPr="00926417">
        <w:rPr>
          <w:vertAlign w:val="superscript"/>
        </w:rPr>
        <w:t>t</w:t>
      </w:r>
      <w:r w:rsidR="00926417">
        <w:rPr>
          <w:vertAlign w:val="superscript"/>
        </w:rPr>
        <w:t xml:space="preserve">h </w:t>
      </w:r>
      <w:r w:rsidR="00926417">
        <w:t xml:space="preserve">1605 </w:t>
      </w:r>
      <w:r w:rsidR="00A804AF">
        <w:t>is</w:t>
      </w:r>
      <w:r w:rsidR="00926417">
        <w:t xml:space="preserve"> annually celebrated with an elaborate spectacle across Britain. </w:t>
      </w:r>
      <w:r w:rsidR="00A804AF">
        <w:t xml:space="preserve">Each year this ceremony is acted out in different ways with different types of people, but the ancestral purpose of this event is still remembered as the </w:t>
      </w:r>
      <w:r w:rsidR="00A804AF">
        <w:lastRenderedPageBreak/>
        <w:t xml:space="preserve">celebration of the King’s survival from the failure of the </w:t>
      </w:r>
      <w:r w:rsidR="00103AF8">
        <w:t xml:space="preserve">Gunpowder Plot. Connerton’s theory on social memory </w:t>
      </w:r>
      <w:r w:rsidR="009E1EE6">
        <w:t>helps explain how social memory is re-enacted through the cult-like actions</w:t>
      </w:r>
      <w:r w:rsidR="009E1EE6">
        <w:rPr>
          <w:rStyle w:val="FootnoteReference"/>
        </w:rPr>
        <w:footnoteReference w:id="7"/>
      </w:r>
      <w:r w:rsidR="009E1EE6">
        <w:t xml:space="preserve"> that commemorate the events of the past.</w:t>
      </w:r>
      <w:r w:rsidR="00CB2187">
        <w:t xml:space="preserve"> Archaeologists could use this theory and apply it by looking at ritual performances as a way of re-presenting the past</w:t>
      </w:r>
      <w:r w:rsidR="0045472B">
        <w:t xml:space="preserve">, for example feasting can be interpreted as a social ceremony that celebrates the mythological events of the ancestors. </w:t>
      </w:r>
    </w:p>
    <w:p w:rsidR="0009477B" w:rsidRDefault="0009477B" w:rsidP="0017655A">
      <w:r>
        <w:t>Another theoretical perspective that could be useful to archaeologists is the theory proposed by Bruno Latour, Act</w:t>
      </w:r>
      <w:r w:rsidR="00BE128C">
        <w:t xml:space="preserve">or Network Theory (ANT). He explains in </w:t>
      </w:r>
      <w:r w:rsidR="00BE128C">
        <w:rPr>
          <w:i/>
        </w:rPr>
        <w:t>Reassembling the Social</w:t>
      </w:r>
      <w:r w:rsidR="00BE128C">
        <w:t xml:space="preserve"> that objects shaped by people also shape the people using them, they are a part of the society they are placed in thus should be included in the understanding of how these civilisations lived. </w:t>
      </w:r>
      <w:r w:rsidR="00214F1B">
        <w:t>This is analysed and discussed in an archaeological view by Stockhammer</w:t>
      </w:r>
      <w:r w:rsidR="00214F1B">
        <w:rPr>
          <w:rStyle w:val="FootnoteReference"/>
        </w:rPr>
        <w:footnoteReference w:id="8"/>
      </w:r>
      <w:r w:rsidR="007D61D6">
        <w:t xml:space="preserve"> which </w:t>
      </w:r>
      <w:r w:rsidR="00E82F4A">
        <w:t>can aid</w:t>
      </w:r>
      <w:r w:rsidR="007D61D6">
        <w:t xml:space="preserve"> archaeologists to use Latour’s ANT to </w:t>
      </w:r>
      <w:r w:rsidR="00E82F4A">
        <w:t>look at objects as not only tools, but actants</w:t>
      </w:r>
      <w:r w:rsidR="00E82F4A">
        <w:rPr>
          <w:rStyle w:val="FootnoteReference"/>
        </w:rPr>
        <w:footnoteReference w:id="9"/>
      </w:r>
      <w:r w:rsidR="00E82F4A">
        <w:t xml:space="preserve"> that shape the lifestyle and play a fundamental role in the lives of the actors</w:t>
      </w:r>
      <w:r w:rsidR="00E82F4A">
        <w:rPr>
          <w:rStyle w:val="FootnoteReference"/>
        </w:rPr>
        <w:footnoteReference w:id="10"/>
      </w:r>
      <w:r w:rsidR="00E82F4A">
        <w:t xml:space="preserve">. </w:t>
      </w:r>
    </w:p>
    <w:p w:rsidR="0009477B" w:rsidRDefault="009F6DFD" w:rsidP="0017655A">
      <w:r>
        <w:t>Stockhammer explains by looking at Latour’s theory from an archaeologist’s viewpoint, we can see that ‘actions are not triggered by types of objects but only by the objects themselves’</w:t>
      </w:r>
      <w:r>
        <w:rPr>
          <w:rStyle w:val="FootnoteReference"/>
        </w:rPr>
        <w:footnoteReference w:id="11"/>
      </w:r>
      <w:r>
        <w:t xml:space="preserve">. This can be used to help understand the practice of ritualistic ceremonies by looking at the </w:t>
      </w:r>
      <w:r w:rsidR="00F2016C">
        <w:t xml:space="preserve">material culture as not only </w:t>
      </w:r>
      <w:r>
        <w:t>mere</w:t>
      </w:r>
      <w:r w:rsidR="00F2016C">
        <w:t xml:space="preserve"> objects, but as an important actant of the ritual that shapes the ceremony and the actors themselves. </w:t>
      </w:r>
      <w:r w:rsidR="002C545D">
        <w:t>He not only applies ANT to archaeology, but also develops the theory further by questioning the reason behind why ‘different actors are acting in a structurally similar way over and over again’</w:t>
      </w:r>
      <w:r w:rsidR="002C545D">
        <w:rPr>
          <w:rStyle w:val="FootnoteReference"/>
        </w:rPr>
        <w:footnoteReference w:id="12"/>
      </w:r>
      <w:r w:rsidR="002C545D">
        <w:t xml:space="preserve">. </w:t>
      </w:r>
      <w:r w:rsidR="004C4FE8">
        <w:t>Latour did explain how these actors and actants were ‘motivated’</w:t>
      </w:r>
      <w:r w:rsidR="004C4FE8">
        <w:rPr>
          <w:rStyle w:val="FootnoteReference"/>
        </w:rPr>
        <w:footnoteReference w:id="13"/>
      </w:r>
      <w:r w:rsidR="004C4FE8">
        <w:t xml:space="preserve"> but Stockhammer helps expand on</w:t>
      </w:r>
      <w:r w:rsidR="00AA6156">
        <w:t xml:space="preserve"> finding</w:t>
      </w:r>
      <w:r w:rsidR="004C4FE8">
        <w:t xml:space="preserve"> the reason behind the repetition of the ceremonial rituals</w:t>
      </w:r>
      <w:r w:rsidR="00AA6156">
        <w:t>. He explains that ‘every study needs to begin with a contextual analysis of individual social practices, whose regularities and structure may then be interpreted as the realisation of similar world views or identities’</w:t>
      </w:r>
      <w:r w:rsidR="00CA232C">
        <w:rPr>
          <w:rStyle w:val="FootnoteReference"/>
        </w:rPr>
        <w:footnoteReference w:id="14"/>
      </w:r>
      <w:r w:rsidR="00092227">
        <w:t>, this can be used to aid archaeologists in the study of ritual performances in Mycenae</w:t>
      </w:r>
      <w:r w:rsidR="00B5613B">
        <w:t xml:space="preserve"> which may lead to links with ritualistic ceremonies in other civilisations.</w:t>
      </w:r>
    </w:p>
    <w:p w:rsidR="00A13CA2" w:rsidRDefault="00A13CA2" w:rsidP="0017655A">
      <w:r>
        <w:t>By applying the theories of Connerton and the developed theory of Latour by Stockhammer to the study of Mycenae, archaeologists will be able to get a better interpretation of the ritualistic ceremonies that were performed as an act of social memory. As we look at the sites of Mycenae such as the Palace of Nestor we will be see how these theoretical</w:t>
      </w:r>
      <w:r w:rsidR="00847121">
        <w:t xml:space="preserve"> perspectives can be used to look at ri</w:t>
      </w:r>
      <w:r w:rsidR="00B71B2D">
        <w:t xml:space="preserve">tual performance in new </w:t>
      </w:r>
      <w:r w:rsidR="00847121">
        <w:t>way</w:t>
      </w:r>
      <w:r w:rsidR="00B71B2D">
        <w:t>s</w:t>
      </w:r>
      <w:r w:rsidR="00847121">
        <w:t xml:space="preserve"> that will create </w:t>
      </w:r>
      <w:r w:rsidR="00A576B9">
        <w:t>a range of inter</w:t>
      </w:r>
      <w:r w:rsidR="00B71B2D">
        <w:t xml:space="preserve">pretations that have not yet been explored thoroughly. </w:t>
      </w:r>
    </w:p>
    <w:p w:rsidR="004561F5" w:rsidRDefault="004561F5" w:rsidP="004561F5">
      <w:r>
        <w:t>It was clear that feasting in Mycenae was a repetitive element and acted as a ceremonial ritual that worshipped the gods</w:t>
      </w:r>
      <w:r>
        <w:rPr>
          <w:rStyle w:val="FootnoteReference"/>
        </w:rPr>
        <w:footnoteReference w:id="15"/>
      </w:r>
      <w:r>
        <w:t>. This is was no different in Mycenaean Pylos due to the abundance of animal bones that were uncovered at the Palace of Nestor</w:t>
      </w:r>
      <w:r>
        <w:rPr>
          <w:rStyle w:val="FootnoteReference"/>
        </w:rPr>
        <w:footnoteReference w:id="16"/>
      </w:r>
      <w:r>
        <w:t xml:space="preserve">. The bones discovered indicate some form of </w:t>
      </w:r>
      <w:r>
        <w:lastRenderedPageBreak/>
        <w:t>sacrificial ritual occurring before the temple’s destruction</w:t>
      </w:r>
      <w:r>
        <w:rPr>
          <w:rStyle w:val="FootnoteReference"/>
        </w:rPr>
        <w:footnoteReference w:id="17"/>
      </w:r>
      <w:r>
        <w:t xml:space="preserve">, most likely to the god Poseidon who was believed to have been in the city according to the Iliad and the Odyssey. </w:t>
      </w:r>
    </w:p>
    <w:p w:rsidR="004561F5" w:rsidRDefault="00C2411D" w:rsidP="0017655A">
      <w:r>
        <w:t>The Palace of Nestor was excavated in 1939 by the archaeologist Carl Blegen</w:t>
      </w:r>
      <w:r>
        <w:rPr>
          <w:rStyle w:val="FootnoteReference"/>
        </w:rPr>
        <w:footnoteReference w:id="18"/>
      </w:r>
      <w:r>
        <w:t xml:space="preserve"> and due to Homer’s influence, Blegen associated t</w:t>
      </w:r>
      <w:r w:rsidR="00330360">
        <w:t>he site to the ruler Nestor who</w:t>
      </w:r>
      <w:r>
        <w:t xml:space="preserve"> was portrayed in the works of Homer</w:t>
      </w:r>
      <w:r>
        <w:rPr>
          <w:rStyle w:val="FootnoteReference"/>
        </w:rPr>
        <w:footnoteReference w:id="19"/>
      </w:r>
      <w:r w:rsidR="00330360">
        <w:t>. The</w:t>
      </w:r>
      <w:r w:rsidR="00F57B7E">
        <w:t xml:space="preserve"> </w:t>
      </w:r>
      <w:r w:rsidR="00330360">
        <w:t xml:space="preserve">palace </w:t>
      </w:r>
      <w:r w:rsidR="00F57B7E">
        <w:t xml:space="preserve">can be located at </w:t>
      </w:r>
      <w:proofErr w:type="spellStart"/>
      <w:r w:rsidR="00F57B7E">
        <w:t>Ano</w:t>
      </w:r>
      <w:proofErr w:type="spellEnd"/>
      <w:r w:rsidR="00780CF2">
        <w:t xml:space="preserve"> </w:t>
      </w:r>
      <w:proofErr w:type="spellStart"/>
      <w:r w:rsidR="00780CF2">
        <w:t>Englianos</w:t>
      </w:r>
      <w:proofErr w:type="spellEnd"/>
      <w:r w:rsidR="00780CF2">
        <w:t xml:space="preserve"> near the gulf of </w:t>
      </w:r>
      <w:proofErr w:type="spellStart"/>
      <w:r w:rsidR="00780CF2">
        <w:t>Navarino</w:t>
      </w:r>
      <w:proofErr w:type="spellEnd"/>
      <w:r w:rsidR="00780CF2">
        <w:t xml:space="preserve"> which allows it to have natural protection due to </w:t>
      </w:r>
      <w:r w:rsidR="00330360">
        <w:t>the two ravines surrounding it</w:t>
      </w:r>
      <w:r w:rsidR="00780CF2">
        <w:rPr>
          <w:rStyle w:val="FootnoteReference"/>
        </w:rPr>
        <w:footnoteReference w:id="20"/>
      </w:r>
      <w:r w:rsidR="00780CF2">
        <w:t>. The palace was found surrounded by buildings which were used for storage</w:t>
      </w:r>
      <w:r w:rsidR="00780CF2">
        <w:rPr>
          <w:rStyle w:val="FootnoteReference"/>
        </w:rPr>
        <w:footnoteReference w:id="21"/>
      </w:r>
      <w:r w:rsidR="00780CF2">
        <w:t xml:space="preserve"> perhaps for the drinking vessels for the feasting ceremonies.</w:t>
      </w:r>
      <w:r w:rsidR="007D3FD2">
        <w:t xml:space="preserve"> It is the best preserved Mycenaean palace and </w:t>
      </w:r>
      <w:r w:rsidR="00330360">
        <w:t xml:space="preserve">also </w:t>
      </w:r>
      <w:r w:rsidR="007D3FD2">
        <w:t>where most</w:t>
      </w:r>
      <w:r w:rsidR="00330360">
        <w:t xml:space="preserve"> of the</w:t>
      </w:r>
      <w:r w:rsidR="007D3FD2">
        <w:t xml:space="preserve"> Linear B tablets have been discovered</w:t>
      </w:r>
      <w:r w:rsidR="0006244A">
        <w:rPr>
          <w:rStyle w:val="FootnoteReference"/>
        </w:rPr>
        <w:footnoteReference w:id="22"/>
      </w:r>
      <w:r w:rsidR="0006244A">
        <w:t xml:space="preserve">. These tablets indicate the act of feasting taking place </w:t>
      </w:r>
      <w:r w:rsidR="00EA27DA">
        <w:t xml:space="preserve">at the palace of Nestor and also explain the religious responsibilities of the </w:t>
      </w:r>
      <w:proofErr w:type="spellStart"/>
      <w:r w:rsidR="00EA27DA">
        <w:rPr>
          <w:i/>
        </w:rPr>
        <w:t>wanax</w:t>
      </w:r>
      <w:proofErr w:type="spellEnd"/>
      <w:r w:rsidR="00EA27DA">
        <w:rPr>
          <w:rStyle w:val="FootnoteReference"/>
          <w:i/>
        </w:rPr>
        <w:footnoteReference w:id="23"/>
      </w:r>
      <w:r w:rsidR="00EA27DA">
        <w:t xml:space="preserve">. According to the tablets the host of the feast was responsible </w:t>
      </w:r>
      <w:r w:rsidR="00330360">
        <w:t xml:space="preserve">for </w:t>
      </w:r>
      <w:r w:rsidR="00EA27DA">
        <w:t xml:space="preserve">providing the inventory for the sacrificial ceremonies. </w:t>
      </w:r>
    </w:p>
    <w:p w:rsidR="00815235" w:rsidRDefault="004561F5" w:rsidP="0017655A">
      <w:r>
        <w:t>From looking at the remains of objects found in the storag</w:t>
      </w:r>
      <w:r w:rsidR="003F7663">
        <w:t xml:space="preserve">e rooms of the palace, it can be seen how significant the ritual act of feasting was to </w:t>
      </w:r>
      <w:r w:rsidR="0021174E">
        <w:t>Mycenaean Pylos. There was an estimate of over 6, 000 pieces of pottery that were found in the storage pantries at the Palace of Nestor</w:t>
      </w:r>
      <w:r w:rsidR="0021174E">
        <w:rPr>
          <w:rStyle w:val="FootnoteReference"/>
        </w:rPr>
        <w:footnoteReference w:id="24"/>
      </w:r>
      <w:r w:rsidR="0021174E">
        <w:t xml:space="preserve">, these </w:t>
      </w:r>
      <w:r w:rsidR="002666C1">
        <w:t>varied from ‘</w:t>
      </w:r>
      <w:r w:rsidR="002666C1" w:rsidRPr="002666C1">
        <w:t xml:space="preserve">stemmed </w:t>
      </w:r>
      <w:proofErr w:type="spellStart"/>
      <w:r w:rsidR="002666C1" w:rsidRPr="002666C1">
        <w:t>kylikes</w:t>
      </w:r>
      <w:proofErr w:type="spellEnd"/>
      <w:r w:rsidR="002666C1" w:rsidRPr="002666C1">
        <w:t>, bowls, and large pots to small diminutive votive vessels</w:t>
      </w:r>
      <w:r w:rsidR="002666C1">
        <w:t>’</w:t>
      </w:r>
      <w:r w:rsidR="002666C1">
        <w:rPr>
          <w:rStyle w:val="FootnoteReference"/>
        </w:rPr>
        <w:footnoteReference w:id="25"/>
      </w:r>
      <w:r w:rsidR="002666C1">
        <w:t xml:space="preserve">. The variation of pottery shows how large these ritual performances were and to hold such an event </w:t>
      </w:r>
      <w:r w:rsidR="00815235">
        <w:t xml:space="preserve">one must need a large space in order to fit all of the participants. The place that would be the most suitable for such event would be the </w:t>
      </w:r>
      <w:proofErr w:type="spellStart"/>
      <w:r w:rsidR="00DD385B">
        <w:t>megaron</w:t>
      </w:r>
      <w:proofErr w:type="spellEnd"/>
      <w:r w:rsidR="00DD385B">
        <w:t xml:space="preserve"> which is located in the centre of the palace which could be due to the religious and ceremonial importance of the room itself.</w:t>
      </w:r>
      <w:bookmarkStart w:id="0" w:name="_GoBack"/>
      <w:bookmarkEnd w:id="0"/>
    </w:p>
    <w:p w:rsidR="00A576B9" w:rsidRDefault="003E506F" w:rsidP="00407980">
      <w:pPr>
        <w:tabs>
          <w:tab w:val="center" w:pos="4513"/>
        </w:tabs>
      </w:pPr>
      <w:r>
        <w:rPr>
          <w:noProof/>
          <w:lang w:eastAsia="en-GB"/>
        </w:rPr>
        <w:lastRenderedPageBreak/>
        <w:drawing>
          <wp:anchor distT="0" distB="0" distL="114300" distR="114300" simplePos="0" relativeHeight="251658240" behindDoc="1" locked="0" layoutInCell="1" allowOverlap="1" wp14:anchorId="258C8D2E" wp14:editId="1C10DAEE">
            <wp:simplePos x="0" y="0"/>
            <wp:positionH relativeFrom="column">
              <wp:posOffset>391160</wp:posOffset>
            </wp:positionH>
            <wp:positionV relativeFrom="paragraph">
              <wp:posOffset>-297180</wp:posOffset>
            </wp:positionV>
            <wp:extent cx="5034915" cy="4149090"/>
            <wp:effectExtent l="0" t="0" r="0" b="381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34915" cy="4149090"/>
                    </a:xfrm>
                    <a:prstGeom prst="rect">
                      <a:avLst/>
                    </a:prstGeom>
                    <a:noFill/>
                  </pic:spPr>
                </pic:pic>
              </a:graphicData>
            </a:graphic>
            <wp14:sizeRelH relativeFrom="page">
              <wp14:pctWidth>0</wp14:pctWidth>
            </wp14:sizeRelH>
            <wp14:sizeRelV relativeFrom="page">
              <wp14:pctHeight>0</wp14:pctHeight>
            </wp14:sizeRelV>
          </wp:anchor>
        </w:drawing>
      </w:r>
      <w:r w:rsidR="00992744">
        <w:rPr>
          <w:noProof/>
          <w:lang w:eastAsia="en-GB"/>
        </w:rPr>
        <mc:AlternateContent>
          <mc:Choice Requires="wps">
            <w:drawing>
              <wp:anchor distT="0" distB="0" distL="114300" distR="114300" simplePos="0" relativeHeight="251660288" behindDoc="0" locked="0" layoutInCell="1" allowOverlap="1" wp14:anchorId="3F820F90" wp14:editId="7B9BDD7A">
                <wp:simplePos x="0" y="0"/>
                <wp:positionH relativeFrom="column">
                  <wp:posOffset>191135</wp:posOffset>
                </wp:positionH>
                <wp:positionV relativeFrom="paragraph">
                  <wp:posOffset>3724275</wp:posOffset>
                </wp:positionV>
                <wp:extent cx="5454650" cy="635"/>
                <wp:effectExtent l="0" t="0" r="0" b="0"/>
                <wp:wrapThrough wrapText="bothSides">
                  <wp:wrapPolygon edited="0">
                    <wp:start x="0" y="0"/>
                    <wp:lineTo x="0" y="20282"/>
                    <wp:lineTo x="21499" y="20282"/>
                    <wp:lineTo x="21499" y="0"/>
                    <wp:lineTo x="0" y="0"/>
                  </wp:wrapPolygon>
                </wp:wrapThrough>
                <wp:docPr id="2" name="Text Box 2"/>
                <wp:cNvGraphicFramePr/>
                <a:graphic xmlns:a="http://schemas.openxmlformats.org/drawingml/2006/main">
                  <a:graphicData uri="http://schemas.microsoft.com/office/word/2010/wordprocessingShape">
                    <wps:wsp>
                      <wps:cNvSpPr txBox="1"/>
                      <wps:spPr>
                        <a:xfrm>
                          <a:off x="0" y="0"/>
                          <a:ext cx="5454650" cy="635"/>
                        </a:xfrm>
                        <a:prstGeom prst="rect">
                          <a:avLst/>
                        </a:prstGeom>
                        <a:solidFill>
                          <a:prstClr val="white"/>
                        </a:solidFill>
                        <a:ln>
                          <a:noFill/>
                        </a:ln>
                        <a:effectLst/>
                      </wps:spPr>
                      <wps:txbx>
                        <w:txbxContent>
                          <w:p w:rsidR="00992744" w:rsidRPr="00483137" w:rsidRDefault="00992744" w:rsidP="00992744">
                            <w:pPr>
                              <w:pStyle w:val="Caption"/>
                              <w:rPr>
                                <w:noProof/>
                              </w:rPr>
                            </w:pPr>
                            <w:proofErr w:type="gramStart"/>
                            <w:r>
                              <w:t xml:space="preserve">Figure </w:t>
                            </w:r>
                            <w:r w:rsidR="001E3AB0">
                              <w:fldChar w:fldCharType="begin"/>
                            </w:r>
                            <w:r w:rsidR="001E3AB0">
                              <w:instrText xml:space="preserve"> SEQ Figure \* ARABIC </w:instrText>
                            </w:r>
                            <w:r w:rsidR="001E3AB0">
                              <w:fldChar w:fldCharType="separate"/>
                            </w:r>
                            <w:r>
                              <w:rPr>
                                <w:noProof/>
                              </w:rPr>
                              <w:t>1</w:t>
                            </w:r>
                            <w:r w:rsidR="001E3AB0">
                              <w:rPr>
                                <w:noProof/>
                              </w:rPr>
                              <w:fldChar w:fldCharType="end"/>
                            </w:r>
                            <w:r>
                              <w:t>.</w:t>
                            </w:r>
                            <w:proofErr w:type="gramEnd"/>
                            <w:r>
                              <w:t xml:space="preserve"> Plan, Palace of Nestor. Gates. C. (2004) </w:t>
                            </w:r>
                            <w:r>
                              <w:rPr>
                                <w:i/>
                              </w:rPr>
                              <w:t>Ancient Cities: The Archaeology of Urban Life in the Ancient Near East and Egypt, Greece and Rome</w:t>
                            </w:r>
                            <w:r>
                              <w:t xml:space="preserve">. </w:t>
                            </w:r>
                            <w:r>
                              <w:rPr>
                                <w:noProof/>
                              </w:rPr>
                              <w:t>Routledge, Taylor &amp; Francis Grou</w:t>
                            </w:r>
                            <w:r w:rsidR="00407980">
                              <w:rPr>
                                <w:noProof/>
                              </w:rPr>
                              <w:t>p, London and New York. Page 138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5.05pt;margin-top:293.25pt;width:429.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7/91MAIAAGsEAAAOAAAAZHJzL2Uyb0RvYy54bWysVFGP2jAMfp+0/xDlfRTYgSZEOTFOTJPQ&#10;3Ukw3XNIUxopjTMn0LJfPydtue22p2kvwbGdz/X32Szv29qwi0KvweZ8MhpzpqyEQttTzr8dth8+&#10;ceaDsIUwYFXOr8rz+9X7d8vGLdQUKjCFQkYg1i8al/MqBLfIMi8rVQs/AqcsBUvAWgS64ikrUDSE&#10;XptsOh7PswawcAhSeU/ehy7IVwm/LJUMT2XpVWAm5/RtIZ2YzmM8s9VSLE4oXKVl/xniH76iFtpS&#10;0RvUgwiCnVH/AVVrieChDCMJdQZlqaVKPVA3k/GbbvaVcCr1QuR4d6PJ/z9Y+Xh5RqaLnE85s6Im&#10;iQ6qDewztGwa2WmcX1DS3lFaaMlNKg9+T87YdFtiHX+pHUZx4vl64zaCSXLO7mZ38xmFJMXmH2cR&#10;I3t96tCHLwpqFo2cIwmX+BSXnQ9d6pASK3kwuthqY+IlBjYG2UWQyE2lg+rBf8syNuZaiK86wM6j&#10;0pT0VWK3XVfRCu2x7Sk4QnElBhC6CfJObjWV3QkfngXSyFBntAbhiY7SQJNz6C3OKsAff/PHfFKS&#10;opw1NII599/PAhVn5qsljeO8DgYOxnEw7LneADU8oQVzMpn0AIMZzBKhfqHtWMcqFBJWUq2ch8Hc&#10;hG4RaLukWq9TEk2lE2Fn905G6IHeQ/si0PXiBNL0EYbhFIs3GnW5SSW3PgciPAkYCe1YJOHjhSY6&#10;jUC/fXFlfr2nrNf/iNVPAAAA//8DAFBLAwQUAAYACAAAACEAmmMpDeAAAAAKAQAADwAAAGRycy9k&#10;b3ducmV2LnhtbEyPwU7DMAyG70i8Q2QkLoilY1tVStNpmuAAl4myC7es8ZpC41RNupW3x3CBo39/&#10;+v25WE+uEyccQutJwXyWgECqvWmpUbB/e7rNQISoyejOEyr4wgDr8vKi0LnxZ3rFUxUbwSUUcq3A&#10;xtjnUobaotNh5nsk3h394HTkcWikGfSZy10n75IklU63xBes7nFrsf6sRqdgt3zf2Zvx+PiyWS6G&#10;5/24TT+aSqnrq2nzACLiFP9g+NFndSjZ6eBHMkF0ChbJnEkFqyxdgWAgy+45OfwmKciykP9fKL8B&#10;AAD//wMAUEsBAi0AFAAGAAgAAAAhALaDOJL+AAAA4QEAABMAAAAAAAAAAAAAAAAAAAAAAFtDb250&#10;ZW50X1R5cGVzXS54bWxQSwECLQAUAAYACAAAACEAOP0h/9YAAACUAQAACwAAAAAAAAAAAAAAAAAv&#10;AQAAX3JlbHMvLnJlbHNQSwECLQAUAAYACAAAACEAau//dTACAABrBAAADgAAAAAAAAAAAAAAAAAu&#10;AgAAZHJzL2Uyb0RvYy54bWxQSwECLQAUAAYACAAAACEAmmMpDeAAAAAKAQAADwAAAAAAAAAAAAAA&#10;AACKBAAAZHJzL2Rvd25yZXYueG1sUEsFBgAAAAAEAAQA8wAAAJcFAAAAAA==&#10;" stroked="f">
                <v:textbox style="mso-fit-shape-to-text:t" inset="0,0,0,0">
                  <w:txbxContent>
                    <w:p w:rsidR="00992744" w:rsidRPr="00483137" w:rsidRDefault="00992744" w:rsidP="00992744">
                      <w:pPr>
                        <w:pStyle w:val="Caption"/>
                        <w:rPr>
                          <w:noProof/>
                        </w:rPr>
                      </w:pPr>
                      <w:proofErr w:type="gramStart"/>
                      <w:r>
                        <w:t xml:space="preserve">Figure </w:t>
                      </w:r>
                      <w:r w:rsidR="001E3AB0">
                        <w:fldChar w:fldCharType="begin"/>
                      </w:r>
                      <w:r w:rsidR="001E3AB0">
                        <w:instrText xml:space="preserve"> SEQ Figure \* ARABIC </w:instrText>
                      </w:r>
                      <w:r w:rsidR="001E3AB0">
                        <w:fldChar w:fldCharType="separate"/>
                      </w:r>
                      <w:r>
                        <w:rPr>
                          <w:noProof/>
                        </w:rPr>
                        <w:t>1</w:t>
                      </w:r>
                      <w:r w:rsidR="001E3AB0">
                        <w:rPr>
                          <w:noProof/>
                        </w:rPr>
                        <w:fldChar w:fldCharType="end"/>
                      </w:r>
                      <w:r>
                        <w:t>.</w:t>
                      </w:r>
                      <w:proofErr w:type="gramEnd"/>
                      <w:r>
                        <w:t xml:space="preserve"> Plan, Palace of Nestor. Gates. C. (2004) </w:t>
                      </w:r>
                      <w:r>
                        <w:rPr>
                          <w:i/>
                        </w:rPr>
                        <w:t>Ancient Cities: The Archaeology of Urban Life in the Ancient Near East and Egypt, Greece and Rome</w:t>
                      </w:r>
                      <w:r>
                        <w:t xml:space="preserve">. </w:t>
                      </w:r>
                      <w:r>
                        <w:rPr>
                          <w:noProof/>
                        </w:rPr>
                        <w:t>Routledge, Taylor &amp; Francis Grou</w:t>
                      </w:r>
                      <w:r w:rsidR="00407980">
                        <w:rPr>
                          <w:noProof/>
                        </w:rPr>
                        <w:t>p, London and New York. Page 138</w:t>
                      </w:r>
                    </w:p>
                  </w:txbxContent>
                </v:textbox>
                <w10:wrap type="through"/>
              </v:shape>
            </w:pict>
          </mc:Fallback>
        </mc:AlternateContent>
      </w:r>
      <w:r w:rsidR="00407980">
        <w:t xml:space="preserve">By looking at the site plan from Gates’ </w:t>
      </w:r>
      <w:r w:rsidR="00407980">
        <w:rPr>
          <w:i/>
        </w:rPr>
        <w:t>Ancient Cities</w:t>
      </w:r>
      <w:r w:rsidR="00407980">
        <w:t xml:space="preserve"> (2004), we can see that the </w:t>
      </w:r>
      <w:proofErr w:type="spellStart"/>
      <w:r w:rsidR="00407980">
        <w:t>megaron</w:t>
      </w:r>
      <w:proofErr w:type="spellEnd"/>
      <w:r w:rsidR="00407980">
        <w:t xml:space="preserve"> is located near the back of the palace and is surrounded by ‘rooms devoted to the important economic activities of the palace’</w:t>
      </w:r>
      <w:r w:rsidR="00407980">
        <w:rPr>
          <w:rStyle w:val="FootnoteReference"/>
        </w:rPr>
        <w:footnoteReference w:id="26"/>
      </w:r>
      <w:r w:rsidR="00F8209E">
        <w:t>. Gates explains that the palace was the centre of the collection and redistribution of the regions products</w:t>
      </w:r>
      <w:r w:rsidR="00F8209E">
        <w:rPr>
          <w:rStyle w:val="FootnoteReference"/>
        </w:rPr>
        <w:footnoteReference w:id="27"/>
      </w:r>
      <w:r w:rsidR="00F8209E">
        <w:t xml:space="preserve"> and uses this as the reason behind the storage rooms made for wine, oil and grain. However it is more likely that these store rooms were used to hold the provisions for the ceremonial feasts and the </w:t>
      </w:r>
      <w:r w:rsidR="001737FB">
        <w:t>palace being the centre of trade can be seen as merely a method of obtaining the bountiful provisions needed for the ritualistic feasts.</w:t>
      </w:r>
    </w:p>
    <w:p w:rsidR="00F738BB" w:rsidRDefault="007224D3" w:rsidP="00407980">
      <w:pPr>
        <w:tabs>
          <w:tab w:val="center" w:pos="4513"/>
        </w:tabs>
      </w:pPr>
      <w:r>
        <w:t xml:space="preserve">Not only was the </w:t>
      </w:r>
      <w:proofErr w:type="spellStart"/>
      <w:r>
        <w:t>megaron</w:t>
      </w:r>
      <w:proofErr w:type="spellEnd"/>
      <w:r>
        <w:t xml:space="preserve"> one of the largest rooms of the palace, it was also the most elaborately designed.</w:t>
      </w:r>
      <w:r w:rsidR="00A02F7E">
        <w:t xml:space="preserve"> Descriptions of it claim that it would’ve been decorated and would also be ‘dark and </w:t>
      </w:r>
      <w:proofErr w:type="spellStart"/>
      <w:r w:rsidR="00A02F7E">
        <w:t>smokey</w:t>
      </w:r>
      <w:proofErr w:type="spellEnd"/>
      <w:r w:rsidR="00A02F7E">
        <w:t>’</w:t>
      </w:r>
      <w:r w:rsidR="00A02F7E">
        <w:rPr>
          <w:rStyle w:val="FootnoteReference"/>
        </w:rPr>
        <w:footnoteReference w:id="28"/>
      </w:r>
      <w:r w:rsidR="008101C3">
        <w:t xml:space="preserve">, </w:t>
      </w:r>
      <w:r w:rsidR="00A02F7E">
        <w:t>this may be due to the vast amounts of feasting taking place around the large hearth with a diameter of 4.02m</w:t>
      </w:r>
      <w:r w:rsidR="00A02F7E">
        <w:rPr>
          <w:rStyle w:val="FootnoteReference"/>
        </w:rPr>
        <w:footnoteReference w:id="29"/>
      </w:r>
      <w:r w:rsidR="008101C3">
        <w:t>. The hearth was also decorated elaborately and may have had both a religious and functional purpose</w:t>
      </w:r>
      <w:r w:rsidR="008101C3">
        <w:rPr>
          <w:rStyle w:val="FootnoteReference"/>
        </w:rPr>
        <w:footnoteReference w:id="30"/>
      </w:r>
      <w:r w:rsidR="008101C3">
        <w:t xml:space="preserve">. </w:t>
      </w:r>
      <w:r w:rsidR="00A37876">
        <w:t xml:space="preserve">According to </w:t>
      </w:r>
      <w:proofErr w:type="spellStart"/>
      <w:r w:rsidR="00A37876">
        <w:t>Taylour</w:t>
      </w:r>
      <w:proofErr w:type="spellEnd"/>
      <w:r w:rsidR="00A37876">
        <w:t xml:space="preserve"> it wasn’t until later in Greek religion that the hearth became associated with the cult of Hestia</w:t>
      </w:r>
      <w:r w:rsidR="00A37876">
        <w:rPr>
          <w:rStyle w:val="FootnoteReference"/>
        </w:rPr>
        <w:footnoteReference w:id="31"/>
      </w:r>
      <w:r w:rsidR="00A37876">
        <w:t xml:space="preserve">, the Greek goddess of the hearth. The fact that the room itself and the hearth at the centre of the </w:t>
      </w:r>
      <w:proofErr w:type="spellStart"/>
      <w:r w:rsidR="00A37876">
        <w:t>megaron</w:t>
      </w:r>
      <w:proofErr w:type="spellEnd"/>
      <w:r w:rsidR="00A37876">
        <w:t xml:space="preserve"> were both elaborately decorated shows how </w:t>
      </w:r>
      <w:r w:rsidR="00A37876">
        <w:lastRenderedPageBreak/>
        <w:t>important the ceremony of feasting was, it was more than just a communal gathering it was a ceremony that had a religious purpose which was conducted by the king</w:t>
      </w:r>
      <w:r w:rsidR="00A37876">
        <w:rPr>
          <w:rStyle w:val="FootnoteReference"/>
        </w:rPr>
        <w:footnoteReference w:id="32"/>
      </w:r>
      <w:r w:rsidR="00A37876">
        <w:t xml:space="preserve">. The small votive cups found in the throne </w:t>
      </w:r>
      <w:r w:rsidR="00F738BB">
        <w:t>room and the shallow basin lead by a channel cut into the floor indicates some form of sacrificial libations occurring during these feasts</w:t>
      </w:r>
      <w:r w:rsidR="00F738BB">
        <w:rPr>
          <w:rStyle w:val="FootnoteReference"/>
        </w:rPr>
        <w:footnoteReference w:id="33"/>
      </w:r>
      <w:r w:rsidR="00F738BB">
        <w:t>. These libations may have been done in honour of Poseidon, however the</w:t>
      </w:r>
      <w:r w:rsidR="00DA14A4">
        <w:t xml:space="preserve"> speculations of an early</w:t>
      </w:r>
      <w:r w:rsidR="00F738BB">
        <w:t xml:space="preserve"> cult</w:t>
      </w:r>
      <w:r w:rsidR="00DA14A4">
        <w:t xml:space="preserve"> of Hestia</w:t>
      </w:r>
      <w:r w:rsidR="00F738BB">
        <w:t xml:space="preserve"> hesitates the final judgement of the ceremonies’ purpose. Questions regarding whether or not these feasts were private or were made public must also be explored. </w:t>
      </w:r>
    </w:p>
    <w:p w:rsidR="00F738BB" w:rsidRDefault="00F738BB" w:rsidP="00407980">
      <w:pPr>
        <w:tabs>
          <w:tab w:val="center" w:pos="4513"/>
        </w:tabs>
      </w:pPr>
      <w:r>
        <w:t>At the palace there is a small room that was believed to have been made into a shrine, outside of this shrine</w:t>
      </w:r>
      <w:r w:rsidR="00DA14A4">
        <w:t xml:space="preserve"> </w:t>
      </w:r>
      <w:r>
        <w:t xml:space="preserve">was an ‘altar built of rubble and mud-brick, </w:t>
      </w:r>
      <w:r w:rsidR="00107AF8">
        <w:t>covered with stucco and painted on all surfaces with linear and geometric patterns’</w:t>
      </w:r>
      <w:r w:rsidR="00107AF8">
        <w:rPr>
          <w:rStyle w:val="FootnoteReference"/>
        </w:rPr>
        <w:footnoteReference w:id="34"/>
      </w:r>
      <w:r w:rsidR="00DA14A4">
        <w:t>. This shrine may have been for public use and the more elaborate ‘cult room’ may have been for the elite such as the king who would’ve been acting as more than just a provider of the ceremonial provisions, but as an initiator for the ritual itself</w:t>
      </w:r>
      <w:r w:rsidR="00DA14A4">
        <w:rPr>
          <w:rStyle w:val="FootnoteReference"/>
        </w:rPr>
        <w:footnoteReference w:id="35"/>
      </w:r>
      <w:r w:rsidR="00DA14A4">
        <w:t>. This role as a ‘priest-king’</w:t>
      </w:r>
      <w:r w:rsidR="00DA14A4">
        <w:rPr>
          <w:rStyle w:val="FootnoteReference"/>
        </w:rPr>
        <w:footnoteReference w:id="36"/>
      </w:r>
      <w:r w:rsidR="009551AD">
        <w:t xml:space="preserve"> was not accustomed to the Greeks but it may have been adopted at the Palace of Nestor at Pylos as there are already signs of an early cult practice that hadn’t been seen in Greek religion until much later so the concept of a new religious role as king is not that questionable.</w:t>
      </w:r>
    </w:p>
    <w:p w:rsidR="002C545D" w:rsidRDefault="003A7CD7" w:rsidP="0017655A">
      <w:r>
        <w:t>Th</w:t>
      </w:r>
      <w:r w:rsidR="00420E55">
        <w:t>e concept of this early cult being a private event led by the king can be further supported from looking at the Linear B tablets found at the site.</w:t>
      </w:r>
      <w:r w:rsidR="00CB06B4">
        <w:t xml:space="preserve"> However some have argued that the tablets ‘over exaggerated’ the religious role of the </w:t>
      </w:r>
      <w:proofErr w:type="spellStart"/>
      <w:r w:rsidR="00CB06B4">
        <w:rPr>
          <w:i/>
        </w:rPr>
        <w:t>wanax</w:t>
      </w:r>
      <w:proofErr w:type="spellEnd"/>
      <w:r w:rsidR="00CB06B4">
        <w:rPr>
          <w:rStyle w:val="FootnoteReference"/>
          <w:i/>
        </w:rPr>
        <w:footnoteReference w:id="37"/>
      </w:r>
      <w:r w:rsidR="00420E55">
        <w:t xml:space="preserve"> </w:t>
      </w:r>
      <w:r w:rsidR="00455B32">
        <w:t>. They say that the priest of a sacrifice would be the one receiving donations for the ceremony rather than being the one to provide them</w:t>
      </w:r>
      <w:r w:rsidR="00455B32">
        <w:rPr>
          <w:rStyle w:val="FootnoteReference"/>
        </w:rPr>
        <w:footnoteReference w:id="38"/>
      </w:r>
      <w:r w:rsidR="00455B32">
        <w:t>. This contrasts with the fact that the king had the responsibility to provide provisions for the sacrifice, perhaps it could be argued that in some cases, the king was both the initiator and the host of the sacrificial ceremonies. The Palace Of Nestor could be seen as one of these rare cases where both roles applied to the king</w:t>
      </w:r>
      <w:r w:rsidR="004F0C1D">
        <w:t xml:space="preserve">. </w:t>
      </w:r>
    </w:p>
    <w:p w:rsidR="00012B91" w:rsidRDefault="004F0C1D" w:rsidP="0017655A">
      <w:r>
        <w:t xml:space="preserve">There are some scholars that disagree with this notion and claim that the ruler of the palace was more concerned with other matters than religious ceremonies. Shear suggests that the </w:t>
      </w:r>
      <w:proofErr w:type="spellStart"/>
      <w:r>
        <w:rPr>
          <w:i/>
        </w:rPr>
        <w:t>wanax</w:t>
      </w:r>
      <w:proofErr w:type="spellEnd"/>
      <w:r>
        <w:t xml:space="preserve"> was more concerned with military reinforcement due to the abundance of chariots uncovered from the records at the Palace of Nestor</w:t>
      </w:r>
      <w:r>
        <w:rPr>
          <w:rStyle w:val="FootnoteReference"/>
        </w:rPr>
        <w:footnoteReference w:id="39"/>
      </w:r>
      <w:r>
        <w:t xml:space="preserve">. He supports this with references to the </w:t>
      </w:r>
      <w:r>
        <w:rPr>
          <w:i/>
        </w:rPr>
        <w:t>Iliad</w:t>
      </w:r>
      <w:r>
        <w:t xml:space="preserve"> by explaining that the evidence suggests a military based society and the leader of the army would of course be the king, however the </w:t>
      </w:r>
      <w:proofErr w:type="gramStart"/>
      <w:r>
        <w:t>kings</w:t>
      </w:r>
      <w:proofErr w:type="gramEnd"/>
      <w:r>
        <w:t xml:space="preserve"> son would replace him if he got too old, according to the </w:t>
      </w:r>
      <w:r>
        <w:rPr>
          <w:i/>
        </w:rPr>
        <w:t>Iliad</w:t>
      </w:r>
      <w:r w:rsidR="004D3978">
        <w:t xml:space="preserve"> Hector the son of </w:t>
      </w:r>
      <w:proofErr w:type="spellStart"/>
      <w:r w:rsidR="004D3978">
        <w:t>Priam</w:t>
      </w:r>
      <w:proofErr w:type="spellEnd"/>
      <w:r w:rsidR="004D3978">
        <w:t xml:space="preserve"> led the Trojan army</w:t>
      </w:r>
      <w:r w:rsidR="004D3978">
        <w:rPr>
          <w:rStyle w:val="FootnoteReference"/>
        </w:rPr>
        <w:footnoteReference w:id="40"/>
      </w:r>
      <w:r w:rsidR="004D3978">
        <w:t>. He also attempts to support this theory by comparing the amounts of oil that were stored and sent from the Palace of Nestor. According to Shear the amounts of oil sent from the palace and the amounts stored suggest that religious matters were a triv</w:t>
      </w:r>
      <w:r w:rsidR="00012B91">
        <w:t>ial matter to the king.</w:t>
      </w:r>
    </w:p>
    <w:p w:rsidR="00173C00" w:rsidRDefault="00012B91" w:rsidP="0017655A">
      <w:r>
        <w:lastRenderedPageBreak/>
        <w:t>T</w:t>
      </w:r>
      <w:r w:rsidR="004D3978">
        <w:t>his can be counter-argued with the fact that the Palace of Nestor was the centre of trade so the amounts of oil kept and stored at the sight were constantly changing depending on the amounts collected and redistributed</w:t>
      </w:r>
      <w:r w:rsidR="004D3978">
        <w:rPr>
          <w:rStyle w:val="FootnoteReference"/>
        </w:rPr>
        <w:footnoteReference w:id="41"/>
      </w:r>
      <w:r>
        <w:t xml:space="preserve">. It can also be said that the king had a duty to perform a sacrifice as it is portrayed by Homer. In the </w:t>
      </w:r>
      <w:r>
        <w:rPr>
          <w:i/>
        </w:rPr>
        <w:t>Odyssey</w:t>
      </w:r>
      <w:r>
        <w:t xml:space="preserve"> Odysseus offers many sacrifices to the god Zeus at his palace in </w:t>
      </w:r>
      <w:proofErr w:type="spellStart"/>
      <w:r>
        <w:t>Ithaka</w:t>
      </w:r>
      <w:proofErr w:type="spellEnd"/>
      <w:r>
        <w:rPr>
          <w:rStyle w:val="FootnoteReference"/>
        </w:rPr>
        <w:footnoteReference w:id="42"/>
      </w:r>
      <w:r>
        <w:t xml:space="preserve"> which suggests that the king has the religious duty to perform sacrifices</w:t>
      </w:r>
      <w:r>
        <w:rPr>
          <w:rStyle w:val="FootnoteReference"/>
        </w:rPr>
        <w:footnoteReference w:id="43"/>
      </w:r>
      <w:r w:rsidR="003F241A">
        <w:t>. The issue with both of these arguments is that they are both basing their judgements on the works of an author whose existence is heavily questioned, thus we should not assume the structure of a civilisation by the works of Homer. This unfortunately was already done so by the excavator of the Palace of Nestor, Blegen who named the palace after the Homeric ruler of the palace, Nestor, then after discovering the vast amounts of pottery claimed that the ‘august figure’</w:t>
      </w:r>
      <w:r w:rsidR="003F241A">
        <w:rPr>
          <w:rStyle w:val="FootnoteReference"/>
        </w:rPr>
        <w:footnoteReference w:id="44"/>
      </w:r>
      <w:r w:rsidR="003F241A">
        <w:t xml:space="preserve"> dealt in kitchenware. The carelessness of the analysis of the site and the objects uncovered has led to judgements that are solely based off the fictional works of a figure that may or may not have existed at all.</w:t>
      </w:r>
    </w:p>
    <w:p w:rsidR="004F0C1D" w:rsidRDefault="00173C00" w:rsidP="0017655A">
      <w:r>
        <w:t xml:space="preserve">By using </w:t>
      </w:r>
      <w:proofErr w:type="spellStart"/>
      <w:r>
        <w:t>Connertons</w:t>
      </w:r>
      <w:proofErr w:type="spellEnd"/>
      <w:r>
        <w:t xml:space="preserve"> theory of social memory, archaeologists can create better judgements and interpretations of sites that have been poorly analysed by excavators who base their facts from classical texts rather than the evidence that lies in front of them</w:t>
      </w:r>
      <w:r w:rsidR="00215110">
        <w:t xml:space="preserve">. By looking at the amounts of pottery, the focused decoration of the </w:t>
      </w:r>
      <w:proofErr w:type="spellStart"/>
      <w:r w:rsidR="00215110">
        <w:t>megaron</w:t>
      </w:r>
      <w:proofErr w:type="spellEnd"/>
      <w:r w:rsidR="00215110">
        <w:t xml:space="preserve"> and hearth and the fact of the palace being a centre of trade, we can see how a feasting cult could’ve been shaped at this site. </w:t>
      </w:r>
      <w:r w:rsidR="00BB55C7">
        <w:t xml:space="preserve">Looking at this palace as a potential site for an early feasting cult, we may be able to determine how these rituals were performed my looking at the remains of the palace. </w:t>
      </w:r>
    </w:p>
    <w:p w:rsidR="00BB55C7" w:rsidRDefault="00E643AA" w:rsidP="0017655A">
      <w:r>
        <w:t>It was realised that the analysis of the animal bones found at the site was completely overlooked by Blegen so it was decided in 1998 that the faunal remains were to be exami</w:t>
      </w:r>
      <w:r w:rsidR="0072448C">
        <w:t xml:space="preserve">ned by Halstead and </w:t>
      </w:r>
      <w:proofErr w:type="spellStart"/>
      <w:r w:rsidR="0072448C" w:rsidRPr="0072448C">
        <w:t>Isaakidou</w:t>
      </w:r>
      <w:proofErr w:type="spellEnd"/>
      <w:r>
        <w:rPr>
          <w:rStyle w:val="FootnoteReference"/>
        </w:rPr>
        <w:footnoteReference w:id="45"/>
      </w:r>
      <w:r w:rsidR="0072448C">
        <w:t xml:space="preserve">. From the analysis of the bones left at the site it was determined that the burnt bones had been placed with extreme care </w:t>
      </w:r>
      <w:r w:rsidR="00037763">
        <w:t>rather than being discarded as waste</w:t>
      </w:r>
      <w:r w:rsidR="00037763">
        <w:rPr>
          <w:rStyle w:val="FootnoteReference"/>
        </w:rPr>
        <w:footnoteReference w:id="46"/>
      </w:r>
      <w:r w:rsidR="00037763">
        <w:t>. The similarity that these bones shared was that they were all cattle bones and were specific parts of the animal, the mandible, femur and humerus</w:t>
      </w:r>
      <w:r w:rsidR="00037763">
        <w:rPr>
          <w:rStyle w:val="FootnoteReference"/>
        </w:rPr>
        <w:footnoteReference w:id="47"/>
      </w:r>
      <w:r w:rsidR="00037763">
        <w:t xml:space="preserve">. </w:t>
      </w:r>
      <w:r w:rsidR="00811217">
        <w:t xml:space="preserve">The specifics of these remains confirms some form of ritual occurring at the Palace of Nestor, Halstead and </w:t>
      </w:r>
      <w:proofErr w:type="spellStart"/>
      <w:r w:rsidR="00811217">
        <w:t>Isaakidou</w:t>
      </w:r>
      <w:proofErr w:type="spellEnd"/>
      <w:r w:rsidR="00811217">
        <w:t xml:space="preserve"> suggested a form of sacrificial ceremony that involved the filleting of the joints due to the clear knife cuts that were found on the bones</w:t>
      </w:r>
      <w:r w:rsidR="00811217">
        <w:rPr>
          <w:rStyle w:val="FootnoteReference"/>
        </w:rPr>
        <w:footnoteReference w:id="48"/>
      </w:r>
      <w:r w:rsidR="00C14158">
        <w:t>. They also say that ‘t</w:t>
      </w:r>
      <w:r w:rsidR="00C14158" w:rsidRPr="00C14158">
        <w:t xml:space="preserve">hree, and probably four, of the six deposits of burned bones were found in the northwest part of the site, </w:t>
      </w:r>
      <w:r w:rsidR="00C14158">
        <w:t>just outside the Main Building</w:t>
      </w:r>
      <w:r w:rsidR="00C14158" w:rsidRPr="00C14158">
        <w:t>, and it seems likely that in each of these places bones from a sac</w:t>
      </w:r>
      <w:r w:rsidR="00C14158">
        <w:t>rifice were purposely discarded’</w:t>
      </w:r>
      <w:r w:rsidR="00C14158">
        <w:rPr>
          <w:rStyle w:val="FootnoteReference"/>
        </w:rPr>
        <w:footnoteReference w:id="49"/>
      </w:r>
      <w:r w:rsidR="00C14158">
        <w:t xml:space="preserve">, this indicates a cult practice that may </w:t>
      </w:r>
      <w:r w:rsidR="00C14158">
        <w:lastRenderedPageBreak/>
        <w:t xml:space="preserve">have been a private affair as </w:t>
      </w:r>
      <w:r w:rsidR="00314185">
        <w:t>the bones would’ve shown signs of a sacrificial ceremony occurring at the palace. This may have been condoned at the time hence the purposeful disposal of the bones, to remove all signs of the ceremony taking place, also sacrificial burning of animal bones was unusual in Classical Greece, they were normally ‘swept from the altar’ and discarded after a ceremony</w:t>
      </w:r>
      <w:r w:rsidR="00314185">
        <w:rPr>
          <w:rStyle w:val="FootnoteReference"/>
        </w:rPr>
        <w:footnoteReference w:id="50"/>
      </w:r>
      <w:r w:rsidR="00314185">
        <w:t xml:space="preserve">. </w:t>
      </w:r>
    </w:p>
    <w:p w:rsidR="00D25242" w:rsidRDefault="00D25242" w:rsidP="0017655A">
      <w:r>
        <w:t>This can be further supported by the remains that are confirmed to have been placed during the time of the destruction of the Palace of Nestor. In room 7 of the palace, Blegen discovered burnt animal bones that were placed carefully in a wooden box which was also labelled</w:t>
      </w:r>
      <w:r>
        <w:rPr>
          <w:rStyle w:val="FootnoteReference"/>
        </w:rPr>
        <w:footnoteReference w:id="51"/>
      </w:r>
      <w:r>
        <w:t xml:space="preserve">. Among the wooden box were weapons and small </w:t>
      </w:r>
      <w:proofErr w:type="spellStart"/>
      <w:r>
        <w:t>kylikes</w:t>
      </w:r>
      <w:proofErr w:type="spellEnd"/>
      <w:r>
        <w:rPr>
          <w:rStyle w:val="FootnoteReference"/>
        </w:rPr>
        <w:footnoteReference w:id="52"/>
      </w:r>
      <w:r>
        <w:t xml:space="preserve"> which </w:t>
      </w:r>
      <w:r w:rsidR="00DE1FED">
        <w:t xml:space="preserve">would </w:t>
      </w:r>
      <w:r>
        <w:t>suggest a final sacrificial ritual just befor</w:t>
      </w:r>
      <w:r w:rsidR="00DE1FED">
        <w:t xml:space="preserve">e the destruction of the palace, perhaps a final act of the private cult that existed at the palace. </w:t>
      </w:r>
      <w:proofErr w:type="spellStart"/>
      <w:r w:rsidR="00C6720A">
        <w:t>Latours</w:t>
      </w:r>
      <w:proofErr w:type="spellEnd"/>
      <w:r w:rsidR="00C6720A">
        <w:t xml:space="preserve"> ANT</w:t>
      </w:r>
      <w:r w:rsidR="009E6BD7">
        <w:t xml:space="preserve"> guided by Stockhammer supports this concept </w:t>
      </w:r>
      <w:r w:rsidR="00C6720A">
        <w:t>due to the fact that the ‘cult rooms’ shaped the ceremonial rituals that were performed and thus shaped the cult that performed these rituals</w:t>
      </w:r>
      <w:r w:rsidR="004301E7">
        <w:t xml:space="preserve">. </w:t>
      </w:r>
      <w:r w:rsidR="008B1A8C">
        <w:t>The remains left at the site are the product of that shaping and they could be argued to have been not only the final ritual</w:t>
      </w:r>
      <w:r w:rsidR="00220453">
        <w:t xml:space="preserve"> of the site but also an attempt to define</w:t>
      </w:r>
      <w:r w:rsidR="008B1A8C">
        <w:t xml:space="preserve"> the Mycenaean culture at Pylos. </w:t>
      </w:r>
    </w:p>
    <w:p w:rsidR="00220453" w:rsidRDefault="00220453" w:rsidP="0017655A">
      <w:r>
        <w:t xml:space="preserve">By using various theoretical perspectives archaeologists would able to develop new theories that will aid the interpretation of sites such as the Palace of Nestor. These interpretations will improve the understanding of the civilisations as they would be based off the actual evidence found at the site rather than the fictional textual evidence written by an author whose existence is questioned and lived many years after the sites destruction. By using </w:t>
      </w:r>
      <w:proofErr w:type="spellStart"/>
      <w:r>
        <w:t>Connertons</w:t>
      </w:r>
      <w:proofErr w:type="spellEnd"/>
      <w:r>
        <w:t xml:space="preserve"> theory on social memory, we can look at the bone remains as a cult action that was repeated to set an early Hestia cult which was then privatised by the elite with evidence of the elaborate decorated </w:t>
      </w:r>
      <w:proofErr w:type="spellStart"/>
      <w:r>
        <w:t>megaron</w:t>
      </w:r>
      <w:proofErr w:type="spellEnd"/>
      <w:r>
        <w:t xml:space="preserve"> and hearth that shaped the cult and the participants of the ritual which can be examined when using </w:t>
      </w:r>
      <w:proofErr w:type="spellStart"/>
      <w:r>
        <w:t>Stockhammers</w:t>
      </w:r>
      <w:proofErr w:type="spellEnd"/>
      <w:r>
        <w:t xml:space="preserve"> guided view of </w:t>
      </w:r>
      <w:proofErr w:type="spellStart"/>
      <w:r>
        <w:t>Latours</w:t>
      </w:r>
      <w:proofErr w:type="spellEnd"/>
      <w:r>
        <w:t xml:space="preserve"> ANT.</w:t>
      </w:r>
    </w:p>
    <w:p w:rsidR="008B1A8C" w:rsidRDefault="008B1A8C" w:rsidP="0017655A"/>
    <w:p w:rsidR="00CF0338" w:rsidRDefault="00CF0338" w:rsidP="0017655A"/>
    <w:p w:rsidR="00CF0338" w:rsidRDefault="00CF0338" w:rsidP="0017655A"/>
    <w:p w:rsidR="00CF0338" w:rsidRDefault="00CF0338" w:rsidP="0017655A"/>
    <w:p w:rsidR="00CF0338" w:rsidRDefault="00CF0338" w:rsidP="0017655A"/>
    <w:p w:rsidR="00CF0338" w:rsidRDefault="00CF0338" w:rsidP="0017655A"/>
    <w:p w:rsidR="00CF0338" w:rsidRDefault="00CF0338" w:rsidP="0017655A"/>
    <w:p w:rsidR="00CF0338" w:rsidRDefault="00CF0338" w:rsidP="0017655A"/>
    <w:p w:rsidR="00CF0338" w:rsidRDefault="00CF0338" w:rsidP="0017655A"/>
    <w:p w:rsidR="00CF0338" w:rsidRDefault="00CF0338" w:rsidP="0017655A">
      <w:pPr>
        <w:rPr>
          <w:b/>
          <w:u w:val="single"/>
        </w:rPr>
      </w:pPr>
      <w:r>
        <w:rPr>
          <w:b/>
          <w:u w:val="single"/>
        </w:rPr>
        <w:lastRenderedPageBreak/>
        <w:t>Bibliography</w:t>
      </w:r>
    </w:p>
    <w:p w:rsidR="00CF0338" w:rsidRPr="00CF0338" w:rsidRDefault="00CF0338" w:rsidP="0017655A"/>
    <w:p w:rsidR="00126D15" w:rsidRDefault="00126D15" w:rsidP="00CF0338">
      <w:proofErr w:type="gramStart"/>
      <w:r>
        <w:t>Connerton.</w:t>
      </w:r>
      <w:proofErr w:type="gramEnd"/>
      <w:r>
        <w:t xml:space="preserve"> </w:t>
      </w:r>
      <w:proofErr w:type="gramStart"/>
      <w:r>
        <w:t>P. (1989).</w:t>
      </w:r>
      <w:proofErr w:type="gramEnd"/>
      <w:r>
        <w:t xml:space="preserve"> </w:t>
      </w:r>
      <w:r>
        <w:rPr>
          <w:i/>
        </w:rPr>
        <w:t>How Societies Remember</w:t>
      </w:r>
      <w:r>
        <w:t>.</w:t>
      </w:r>
      <w:r>
        <w:t xml:space="preserve"> Cambridge University Press</w:t>
      </w:r>
    </w:p>
    <w:p w:rsidR="00126D15" w:rsidRPr="00126D15" w:rsidRDefault="00126D15" w:rsidP="00CF0338">
      <w:proofErr w:type="gramStart"/>
      <w:r>
        <w:t>French.</w:t>
      </w:r>
      <w:proofErr w:type="gramEnd"/>
      <w:r>
        <w:t xml:space="preserve"> </w:t>
      </w:r>
      <w:proofErr w:type="gramStart"/>
      <w:r>
        <w:t>E. (2002)</w:t>
      </w:r>
      <w:r>
        <w:rPr>
          <w:i/>
        </w:rPr>
        <w:t>.</w:t>
      </w:r>
      <w:proofErr w:type="gramEnd"/>
      <w:r>
        <w:rPr>
          <w:i/>
        </w:rPr>
        <w:t xml:space="preserve"> Mycenae: Agamemnon’s Capital</w:t>
      </w:r>
      <w:r>
        <w:t>. Tempus Publishing Ltd</w:t>
      </w:r>
    </w:p>
    <w:p w:rsidR="00126D15" w:rsidRDefault="00126D15" w:rsidP="0017655A">
      <w:proofErr w:type="gramStart"/>
      <w:r>
        <w:t>Gates.</w:t>
      </w:r>
      <w:proofErr w:type="gramEnd"/>
      <w:r>
        <w:t xml:space="preserve"> C. (2004) </w:t>
      </w:r>
      <w:r>
        <w:rPr>
          <w:i/>
        </w:rPr>
        <w:t xml:space="preserve">Ancient Cities: The Archaeology of Urban Life in the Ancient </w:t>
      </w:r>
      <w:proofErr w:type="gramStart"/>
      <w:r>
        <w:rPr>
          <w:i/>
        </w:rPr>
        <w:t>Near</w:t>
      </w:r>
      <w:proofErr w:type="gramEnd"/>
      <w:r>
        <w:rPr>
          <w:i/>
        </w:rPr>
        <w:t xml:space="preserve"> East and Egypt, Greece and Rome</w:t>
      </w:r>
      <w:r>
        <w:t xml:space="preserve">. </w:t>
      </w:r>
      <w:r>
        <w:rPr>
          <w:noProof/>
        </w:rPr>
        <w:t>Routledge, Taylor &amp; Francis Group, London and New York</w:t>
      </w:r>
    </w:p>
    <w:p w:rsidR="00126D15" w:rsidRDefault="00126D15" w:rsidP="00CF0338">
      <w:r>
        <w:t xml:space="preserve">Homer. </w:t>
      </w:r>
      <w:proofErr w:type="gramStart"/>
      <w:r>
        <w:rPr>
          <w:i/>
        </w:rPr>
        <w:t>Odyssey</w:t>
      </w:r>
      <w:r>
        <w:t>.</w:t>
      </w:r>
      <w:proofErr w:type="gramEnd"/>
      <w:r>
        <w:t xml:space="preserve"> </w:t>
      </w:r>
      <w:proofErr w:type="gramStart"/>
      <w:r>
        <w:t>Book 1.</w:t>
      </w:r>
      <w:proofErr w:type="gramEnd"/>
    </w:p>
    <w:p w:rsidR="00126D15" w:rsidRDefault="00126D15" w:rsidP="00CF0338">
      <w:proofErr w:type="gramStart"/>
      <w:r>
        <w:t>Latour.</w:t>
      </w:r>
      <w:proofErr w:type="gramEnd"/>
      <w:r>
        <w:t xml:space="preserve"> </w:t>
      </w:r>
      <w:proofErr w:type="gramStart"/>
      <w:r>
        <w:t>B. (2005).</w:t>
      </w:r>
      <w:proofErr w:type="gramEnd"/>
      <w:r>
        <w:t xml:space="preserve"> </w:t>
      </w:r>
      <w:proofErr w:type="gramStart"/>
      <w:r>
        <w:rPr>
          <w:i/>
        </w:rPr>
        <w:t>Reassembling the Social</w:t>
      </w:r>
      <w:r>
        <w:t>.</w:t>
      </w:r>
      <w:proofErr w:type="gramEnd"/>
      <w:r>
        <w:t xml:space="preserve"> Oxford University Press</w:t>
      </w:r>
    </w:p>
    <w:p w:rsidR="00126D15" w:rsidRPr="0089167A" w:rsidRDefault="00126D15" w:rsidP="00CF0338">
      <w:r>
        <w:t xml:space="preserve">Shear. I. M. (2004). </w:t>
      </w:r>
      <w:proofErr w:type="gramStart"/>
      <w:r>
        <w:rPr>
          <w:i/>
        </w:rPr>
        <w:t>Kingship in the Mycenaean World and Its Reflections in the Oral Tradition</w:t>
      </w:r>
      <w:r>
        <w:t>.</w:t>
      </w:r>
      <w:proofErr w:type="gramEnd"/>
      <w:r>
        <w:t xml:space="preserve"> INSTAP Academic Press Philadelphia, Pennsylvania</w:t>
      </w:r>
    </w:p>
    <w:p w:rsidR="00126D15" w:rsidRDefault="00126D15" w:rsidP="0017655A">
      <w:proofErr w:type="gramStart"/>
      <w:r>
        <w:t>Stocker.</w:t>
      </w:r>
      <w:proofErr w:type="gramEnd"/>
      <w:r>
        <w:t xml:space="preserve"> S. R, Davis. J. L (2004) Hesperia: </w:t>
      </w:r>
      <w:r w:rsidRPr="0072448C">
        <w:rPr>
          <w:i/>
        </w:rPr>
        <w:t xml:space="preserve">The Journal of the American School of Classical Studies at Athens, Vol. 73, No. 2, Special Issue: The </w:t>
      </w:r>
      <w:proofErr w:type="spellStart"/>
      <w:r w:rsidRPr="0072448C">
        <w:rPr>
          <w:i/>
        </w:rPr>
        <w:t>Mycenean</w:t>
      </w:r>
      <w:proofErr w:type="spellEnd"/>
      <w:r w:rsidRPr="0072448C">
        <w:rPr>
          <w:i/>
        </w:rPr>
        <w:t xml:space="preserve"> Feast</w:t>
      </w:r>
      <w:r>
        <w:t xml:space="preserve">. </w:t>
      </w:r>
      <w:r w:rsidRPr="00CF0338">
        <w:t>The American School of Classical Studies at Athens</w:t>
      </w:r>
    </w:p>
    <w:p w:rsidR="00126D15" w:rsidRDefault="00126D15" w:rsidP="00CF0338">
      <w:proofErr w:type="gramStart"/>
      <w:r>
        <w:t>Stockhammer.</w:t>
      </w:r>
      <w:proofErr w:type="gramEnd"/>
      <w:r>
        <w:t xml:space="preserve"> P. W, Heidelberg. </w:t>
      </w:r>
      <w:proofErr w:type="gramStart"/>
      <w:r>
        <w:t>R-K-U.</w:t>
      </w:r>
      <w:proofErr w:type="gramEnd"/>
      <w:r>
        <w:t xml:space="preserve"> (2012). </w:t>
      </w:r>
      <w:r>
        <w:rPr>
          <w:i/>
        </w:rPr>
        <w:t>Performing the Practice Turn in Archaeology</w:t>
      </w:r>
      <w:r>
        <w:rPr>
          <w:i/>
        </w:rPr>
        <w:t xml:space="preserve">, Transcultural Studies </w:t>
      </w:r>
      <w:proofErr w:type="spellStart"/>
      <w:r>
        <w:rPr>
          <w:i/>
        </w:rPr>
        <w:t>Vol</w:t>
      </w:r>
      <w:proofErr w:type="spellEnd"/>
      <w:r>
        <w:rPr>
          <w:i/>
        </w:rPr>
        <w:t xml:space="preserve"> 1</w:t>
      </w:r>
      <w:r>
        <w:t xml:space="preserve">. </w:t>
      </w:r>
      <w:hyperlink r:id="rId10" w:history="1">
        <w:r w:rsidRPr="00B564C7">
          <w:rPr>
            <w:rStyle w:val="Hyperlink"/>
          </w:rPr>
          <w:t>http://heiup.uni-heidelberg.de/journals/index.php/transcultural/article/view/9263/3223</w:t>
        </w:r>
      </w:hyperlink>
    </w:p>
    <w:p w:rsidR="00126D15" w:rsidRDefault="00126D15" w:rsidP="0017655A">
      <w:proofErr w:type="spellStart"/>
      <w:proofErr w:type="gramStart"/>
      <w:r>
        <w:t>Taylour</w:t>
      </w:r>
      <w:proofErr w:type="spellEnd"/>
      <w:r>
        <w:t>.</w:t>
      </w:r>
      <w:proofErr w:type="gramEnd"/>
      <w:r>
        <w:t xml:space="preserve"> W, Chadwick. </w:t>
      </w:r>
      <w:proofErr w:type="gramStart"/>
      <w:r>
        <w:t>J. (1983).</w:t>
      </w:r>
      <w:proofErr w:type="gramEnd"/>
      <w:r>
        <w:t xml:space="preserve"> </w:t>
      </w:r>
      <w:r>
        <w:rPr>
          <w:i/>
        </w:rPr>
        <w:t xml:space="preserve">The Mycenaeans and </w:t>
      </w:r>
      <w:proofErr w:type="gramStart"/>
      <w:r>
        <w:rPr>
          <w:i/>
        </w:rPr>
        <w:t>The</w:t>
      </w:r>
      <w:proofErr w:type="gramEnd"/>
      <w:r>
        <w:rPr>
          <w:i/>
        </w:rPr>
        <w:t xml:space="preserve"> Decipherment of Linear B</w:t>
      </w:r>
      <w:r>
        <w:t>.</w:t>
      </w:r>
      <w:r>
        <w:t xml:space="preserve"> Thames &amp; Hudson Ltd, London, Cambridge University Press</w:t>
      </w:r>
    </w:p>
    <w:p w:rsidR="00126D15" w:rsidRDefault="00126D15" w:rsidP="00CF0338">
      <w:proofErr w:type="gramStart"/>
      <w:r>
        <w:t>Wardle.</w:t>
      </w:r>
      <w:proofErr w:type="gramEnd"/>
      <w:r>
        <w:t xml:space="preserve"> D, Wardle. K. A. (1998</w:t>
      </w:r>
      <w:r>
        <w:t xml:space="preserve">). </w:t>
      </w:r>
      <w:r>
        <w:rPr>
          <w:i/>
        </w:rPr>
        <w:t>Cities of Legend: The Mycenaean World</w:t>
      </w:r>
      <w:r>
        <w:t>.</w:t>
      </w:r>
      <w:r>
        <w:t xml:space="preserve"> Bloomsbury Academic</w:t>
      </w:r>
    </w:p>
    <w:p w:rsidR="00126D15" w:rsidRPr="0089167A" w:rsidRDefault="00126D15" w:rsidP="00CF0338">
      <w:pPr>
        <w:rPr>
          <w:sz w:val="28"/>
        </w:rPr>
      </w:pPr>
      <w:proofErr w:type="spellStart"/>
      <w:proofErr w:type="gramStart"/>
      <w:r>
        <w:t>Wesolowski</w:t>
      </w:r>
      <w:proofErr w:type="spellEnd"/>
      <w:r>
        <w:t>.</w:t>
      </w:r>
      <w:proofErr w:type="gramEnd"/>
      <w:r>
        <w:t xml:space="preserve"> D. L. (2006). </w:t>
      </w:r>
      <w:proofErr w:type="gramStart"/>
      <w:r>
        <w:rPr>
          <w:i/>
        </w:rPr>
        <w:t>Feas</w:t>
      </w:r>
      <w:r>
        <w:rPr>
          <w:i/>
        </w:rPr>
        <w:t xml:space="preserve">ting at Nestor’s Palace at </w:t>
      </w:r>
      <w:proofErr w:type="spellStart"/>
      <w:r>
        <w:rPr>
          <w:i/>
        </w:rPr>
        <w:t>Pylo</w:t>
      </w:r>
      <w:proofErr w:type="spellEnd"/>
      <w:r>
        <w:rPr>
          <w:i/>
        </w:rPr>
        <w:t xml:space="preserve">, </w:t>
      </w:r>
      <w:r w:rsidRPr="0089167A">
        <w:rPr>
          <w:rFonts w:cstheme="minorHAnsi"/>
          <w:i/>
          <w:iCs/>
          <w:color w:val="000000"/>
          <w:szCs w:val="18"/>
          <w:bdr w:val="none" w:sz="0" w:space="0" w:color="auto" w:frame="1"/>
          <w:shd w:val="clear" w:color="auto" w:fill="FFFFFF"/>
        </w:rPr>
        <w:t>Nebraska Anthropologist</w:t>
      </w:r>
      <w:r w:rsidRPr="0089167A">
        <w:rPr>
          <w:rFonts w:cstheme="minorHAnsi"/>
          <w:color w:val="000000"/>
          <w:szCs w:val="18"/>
          <w:shd w:val="clear" w:color="auto" w:fill="FFFFFF"/>
        </w:rPr>
        <w:t> </w:t>
      </w:r>
      <w:r w:rsidRPr="0089167A">
        <w:rPr>
          <w:rFonts w:cstheme="minorHAnsi"/>
          <w:i/>
          <w:color w:val="000000"/>
          <w:szCs w:val="18"/>
          <w:shd w:val="clear" w:color="auto" w:fill="FFFFFF"/>
        </w:rPr>
        <w:t>Vol. 21</w:t>
      </w:r>
      <w:r>
        <w:rPr>
          <w:rFonts w:cstheme="minorHAnsi"/>
          <w:color w:val="000000"/>
          <w:szCs w:val="18"/>
          <w:shd w:val="clear" w:color="auto" w:fill="FFFFFF"/>
        </w:rPr>
        <w:t>.</w:t>
      </w:r>
      <w:proofErr w:type="gramEnd"/>
      <w:r>
        <w:rPr>
          <w:rFonts w:cstheme="minorHAnsi"/>
          <w:color w:val="000000"/>
          <w:szCs w:val="18"/>
          <w:shd w:val="clear" w:color="auto" w:fill="FFFFFF"/>
        </w:rPr>
        <w:t xml:space="preserve"> </w:t>
      </w:r>
      <w:proofErr w:type="gramStart"/>
      <w:r>
        <w:rPr>
          <w:rFonts w:cstheme="minorHAnsi"/>
          <w:color w:val="000000"/>
          <w:szCs w:val="18"/>
          <w:shd w:val="clear" w:color="auto" w:fill="FFFFFF"/>
        </w:rPr>
        <w:t>T</w:t>
      </w:r>
      <w:r w:rsidRPr="0089167A">
        <w:rPr>
          <w:rFonts w:cstheme="minorHAnsi"/>
          <w:color w:val="000000"/>
          <w:szCs w:val="18"/>
          <w:shd w:val="clear" w:color="auto" w:fill="FFFFFF"/>
        </w:rPr>
        <w:t xml:space="preserve">he University of Nebraska-Lincoln </w:t>
      </w:r>
      <w:proofErr w:type="spellStart"/>
      <w:r w:rsidRPr="0089167A">
        <w:rPr>
          <w:rFonts w:cstheme="minorHAnsi"/>
          <w:color w:val="000000"/>
          <w:szCs w:val="18"/>
          <w:shd w:val="clear" w:color="auto" w:fill="FFFFFF"/>
        </w:rPr>
        <w:t>AnthroGroup</w:t>
      </w:r>
      <w:proofErr w:type="spellEnd"/>
      <w:r w:rsidRPr="0089167A">
        <w:rPr>
          <w:rFonts w:cstheme="minorHAnsi"/>
          <w:color w:val="000000"/>
          <w:szCs w:val="18"/>
          <w:shd w:val="clear" w:color="auto" w:fill="FFFFFF"/>
        </w:rPr>
        <w:t>.</w:t>
      </w:r>
      <w:proofErr w:type="gramEnd"/>
    </w:p>
    <w:sectPr w:rsidR="00126D15" w:rsidRPr="0089167A">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E3AB0" w:rsidRDefault="001E3AB0" w:rsidP="0017655A">
      <w:pPr>
        <w:spacing w:after="0" w:line="240" w:lineRule="auto"/>
      </w:pPr>
      <w:r>
        <w:separator/>
      </w:r>
    </w:p>
  </w:endnote>
  <w:endnote w:type="continuationSeparator" w:id="0">
    <w:p w:rsidR="001E3AB0" w:rsidRDefault="001E3AB0" w:rsidP="001765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E3AB0" w:rsidRDefault="001E3AB0" w:rsidP="0017655A">
      <w:pPr>
        <w:spacing w:after="0" w:line="240" w:lineRule="auto"/>
      </w:pPr>
      <w:r>
        <w:separator/>
      </w:r>
    </w:p>
  </w:footnote>
  <w:footnote w:type="continuationSeparator" w:id="0">
    <w:p w:rsidR="001E3AB0" w:rsidRDefault="001E3AB0" w:rsidP="0017655A">
      <w:pPr>
        <w:spacing w:after="0" w:line="240" w:lineRule="auto"/>
      </w:pPr>
      <w:r>
        <w:continuationSeparator/>
      </w:r>
    </w:p>
  </w:footnote>
  <w:footnote w:id="1">
    <w:p w:rsidR="0017655A" w:rsidRDefault="0017655A">
      <w:pPr>
        <w:pStyle w:val="FootnoteText"/>
      </w:pPr>
      <w:r>
        <w:rPr>
          <w:rStyle w:val="FootnoteReference"/>
        </w:rPr>
        <w:footnoteRef/>
      </w:r>
      <w:r>
        <w:t xml:space="preserve"> </w:t>
      </w:r>
      <w:proofErr w:type="gramStart"/>
      <w:r w:rsidRPr="0017655A">
        <w:t>Drosou-Panagiotou.</w:t>
      </w:r>
      <w:proofErr w:type="gramEnd"/>
      <w:r w:rsidRPr="0017655A">
        <w:t xml:space="preserve"> </w:t>
      </w:r>
      <w:proofErr w:type="gramStart"/>
      <w:r w:rsidRPr="0017655A">
        <w:t>N. (2007) Trans. Doumas.</w:t>
      </w:r>
      <w:proofErr w:type="gramEnd"/>
      <w:r w:rsidRPr="0017655A">
        <w:t xml:space="preserve"> A. </w:t>
      </w:r>
      <w:r w:rsidRPr="003D2FD2">
        <w:rPr>
          <w:i/>
        </w:rPr>
        <w:t>Ancient Greece</w:t>
      </w:r>
      <w:r w:rsidRPr="0017655A">
        <w:t xml:space="preserve">. </w:t>
      </w:r>
      <w:proofErr w:type="gramStart"/>
      <w:r w:rsidRPr="0017655A">
        <w:t>Page.</w:t>
      </w:r>
      <w:proofErr w:type="gramEnd"/>
      <w:r w:rsidRPr="0017655A">
        <w:t xml:space="preserve"> 96</w:t>
      </w:r>
    </w:p>
  </w:footnote>
  <w:footnote w:id="2">
    <w:p w:rsidR="0017655A" w:rsidRDefault="0017655A">
      <w:pPr>
        <w:pStyle w:val="FootnoteText"/>
      </w:pPr>
      <w:r>
        <w:rPr>
          <w:rStyle w:val="FootnoteReference"/>
        </w:rPr>
        <w:footnoteRef/>
      </w:r>
      <w:r>
        <w:t xml:space="preserve"> </w:t>
      </w:r>
      <w:proofErr w:type="spellStart"/>
      <w:proofErr w:type="gramStart"/>
      <w:r w:rsidRPr="0017655A">
        <w:t>Wesolowski</w:t>
      </w:r>
      <w:proofErr w:type="spellEnd"/>
      <w:r w:rsidRPr="0017655A">
        <w:t>.</w:t>
      </w:r>
      <w:proofErr w:type="gramEnd"/>
      <w:r w:rsidRPr="0017655A">
        <w:t xml:space="preserve"> D. L. (2006). </w:t>
      </w:r>
      <w:proofErr w:type="gramStart"/>
      <w:r w:rsidRPr="003D2FD2">
        <w:rPr>
          <w:i/>
        </w:rPr>
        <w:t>Feasting at Nestor's Palace at Pylos</w:t>
      </w:r>
      <w:r w:rsidRPr="0017655A">
        <w:t>.</w:t>
      </w:r>
      <w:proofErr w:type="gramEnd"/>
      <w:r w:rsidRPr="0017655A">
        <w:t xml:space="preserve"> Page 117</w:t>
      </w:r>
    </w:p>
  </w:footnote>
  <w:footnote w:id="3">
    <w:p w:rsidR="003D2FD2" w:rsidRPr="003D2FD2" w:rsidRDefault="003D2FD2">
      <w:pPr>
        <w:pStyle w:val="FootnoteText"/>
      </w:pPr>
      <w:r>
        <w:rPr>
          <w:rStyle w:val="FootnoteReference"/>
        </w:rPr>
        <w:footnoteRef/>
      </w:r>
      <w:r>
        <w:t xml:space="preserve"> </w:t>
      </w:r>
      <w:proofErr w:type="spellStart"/>
      <w:proofErr w:type="gramStart"/>
      <w:r>
        <w:t>Wesolowski</w:t>
      </w:r>
      <w:proofErr w:type="spellEnd"/>
      <w:r>
        <w:t>.</w:t>
      </w:r>
      <w:proofErr w:type="gramEnd"/>
      <w:r>
        <w:t xml:space="preserve"> D. L. (2006). </w:t>
      </w:r>
      <w:proofErr w:type="gramStart"/>
      <w:r>
        <w:rPr>
          <w:i/>
        </w:rPr>
        <w:t>Feasting at Nestor’s Palace at Pylos</w:t>
      </w:r>
      <w:r>
        <w:t>.</w:t>
      </w:r>
      <w:proofErr w:type="gramEnd"/>
      <w:r>
        <w:t xml:space="preserve"> Page 117</w:t>
      </w:r>
    </w:p>
  </w:footnote>
  <w:footnote w:id="4">
    <w:p w:rsidR="003F2BC0" w:rsidRPr="003F2BC0" w:rsidRDefault="003F2BC0">
      <w:pPr>
        <w:pStyle w:val="FootnoteText"/>
      </w:pPr>
      <w:r>
        <w:rPr>
          <w:rStyle w:val="FootnoteReference"/>
        </w:rPr>
        <w:footnoteRef/>
      </w:r>
      <w:r>
        <w:t xml:space="preserve"> </w:t>
      </w:r>
      <w:proofErr w:type="gramStart"/>
      <w:r>
        <w:t>Connerton.</w:t>
      </w:r>
      <w:proofErr w:type="gramEnd"/>
      <w:r>
        <w:t xml:space="preserve"> </w:t>
      </w:r>
      <w:proofErr w:type="gramStart"/>
      <w:r>
        <w:t>P. (1989).</w:t>
      </w:r>
      <w:proofErr w:type="gramEnd"/>
      <w:r>
        <w:t xml:space="preserve"> </w:t>
      </w:r>
      <w:r>
        <w:rPr>
          <w:i/>
        </w:rPr>
        <w:t>How Societies Remember</w:t>
      </w:r>
      <w:r>
        <w:t>. Page 43</w:t>
      </w:r>
    </w:p>
  </w:footnote>
  <w:footnote w:id="5">
    <w:p w:rsidR="0090458B" w:rsidRPr="0090458B" w:rsidRDefault="0090458B">
      <w:pPr>
        <w:pStyle w:val="FootnoteText"/>
      </w:pPr>
      <w:r>
        <w:rPr>
          <w:rStyle w:val="FootnoteReference"/>
        </w:rPr>
        <w:footnoteRef/>
      </w:r>
      <w:r>
        <w:t xml:space="preserve"> </w:t>
      </w:r>
      <w:proofErr w:type="gramStart"/>
      <w:r>
        <w:t>Connerton.</w:t>
      </w:r>
      <w:proofErr w:type="gramEnd"/>
      <w:r>
        <w:t xml:space="preserve"> </w:t>
      </w:r>
      <w:proofErr w:type="gramStart"/>
      <w:r>
        <w:t>P. (1989)</w:t>
      </w:r>
      <w:r>
        <w:rPr>
          <w:i/>
        </w:rPr>
        <w:t>.</w:t>
      </w:r>
      <w:proofErr w:type="gramEnd"/>
      <w:r>
        <w:rPr>
          <w:i/>
        </w:rPr>
        <w:t xml:space="preserve"> How Societies Remember</w:t>
      </w:r>
      <w:r>
        <w:t>. Page 43</w:t>
      </w:r>
    </w:p>
  </w:footnote>
  <w:footnote w:id="6">
    <w:p w:rsidR="00A27538" w:rsidRPr="00A27538" w:rsidRDefault="00A27538">
      <w:pPr>
        <w:pStyle w:val="FootnoteText"/>
      </w:pPr>
      <w:r>
        <w:rPr>
          <w:rStyle w:val="FootnoteReference"/>
        </w:rPr>
        <w:footnoteRef/>
      </w:r>
      <w:r>
        <w:t xml:space="preserve"> </w:t>
      </w:r>
      <w:proofErr w:type="gramStart"/>
      <w:r>
        <w:t>Connerton.</w:t>
      </w:r>
      <w:proofErr w:type="gramEnd"/>
      <w:r>
        <w:t xml:space="preserve"> </w:t>
      </w:r>
      <w:proofErr w:type="gramStart"/>
      <w:r>
        <w:t>P. (1989).</w:t>
      </w:r>
      <w:proofErr w:type="gramEnd"/>
      <w:r>
        <w:t xml:space="preserve"> </w:t>
      </w:r>
      <w:r>
        <w:rPr>
          <w:i/>
        </w:rPr>
        <w:t>How Societies Remember</w:t>
      </w:r>
      <w:r>
        <w:t>. Page 43</w:t>
      </w:r>
    </w:p>
  </w:footnote>
  <w:footnote w:id="7">
    <w:p w:rsidR="009E1EE6" w:rsidRPr="009E1EE6" w:rsidRDefault="009E1EE6">
      <w:pPr>
        <w:pStyle w:val="FootnoteText"/>
      </w:pPr>
      <w:r>
        <w:rPr>
          <w:rStyle w:val="FootnoteReference"/>
        </w:rPr>
        <w:footnoteRef/>
      </w:r>
      <w:r>
        <w:t xml:space="preserve"> </w:t>
      </w:r>
      <w:proofErr w:type="gramStart"/>
      <w:r>
        <w:t>Connerton.</w:t>
      </w:r>
      <w:proofErr w:type="gramEnd"/>
      <w:r>
        <w:t xml:space="preserve"> </w:t>
      </w:r>
      <w:proofErr w:type="gramStart"/>
      <w:r>
        <w:t>P. (1989).</w:t>
      </w:r>
      <w:proofErr w:type="gramEnd"/>
      <w:r>
        <w:t xml:space="preserve"> </w:t>
      </w:r>
      <w:r>
        <w:rPr>
          <w:i/>
        </w:rPr>
        <w:t>How Societies Remember</w:t>
      </w:r>
      <w:r>
        <w:t>. Page 43</w:t>
      </w:r>
    </w:p>
  </w:footnote>
  <w:footnote w:id="8">
    <w:p w:rsidR="00214F1B" w:rsidRPr="00214F1B" w:rsidRDefault="00214F1B">
      <w:pPr>
        <w:pStyle w:val="FootnoteText"/>
      </w:pPr>
      <w:r>
        <w:rPr>
          <w:rStyle w:val="FootnoteReference"/>
        </w:rPr>
        <w:footnoteRef/>
      </w:r>
      <w:r>
        <w:t xml:space="preserve"> </w:t>
      </w:r>
      <w:proofErr w:type="gramStart"/>
      <w:r>
        <w:t>Stockhammer.</w:t>
      </w:r>
      <w:proofErr w:type="gramEnd"/>
      <w:r>
        <w:t xml:space="preserve"> P. W, Heidelberg. </w:t>
      </w:r>
      <w:proofErr w:type="gramStart"/>
      <w:r>
        <w:t>R-K-U.</w:t>
      </w:r>
      <w:proofErr w:type="gramEnd"/>
      <w:r>
        <w:t xml:space="preserve"> (2012). </w:t>
      </w:r>
      <w:r>
        <w:rPr>
          <w:i/>
        </w:rPr>
        <w:t>Performing the Practice Turn in Archaeology</w:t>
      </w:r>
      <w:r>
        <w:t>. Pages 7 - 42</w:t>
      </w:r>
    </w:p>
  </w:footnote>
  <w:footnote w:id="9">
    <w:p w:rsidR="00E82F4A" w:rsidRPr="00E82F4A" w:rsidRDefault="00E82F4A">
      <w:pPr>
        <w:pStyle w:val="FootnoteText"/>
      </w:pPr>
      <w:r>
        <w:rPr>
          <w:rStyle w:val="FootnoteReference"/>
        </w:rPr>
        <w:footnoteRef/>
      </w:r>
      <w:r>
        <w:t xml:space="preserve"> </w:t>
      </w:r>
      <w:proofErr w:type="gramStart"/>
      <w:r>
        <w:t>Latour.</w:t>
      </w:r>
      <w:proofErr w:type="gramEnd"/>
      <w:r>
        <w:t xml:space="preserve"> </w:t>
      </w:r>
      <w:proofErr w:type="gramStart"/>
      <w:r>
        <w:t>B. (2005).</w:t>
      </w:r>
      <w:proofErr w:type="gramEnd"/>
      <w:r>
        <w:t xml:space="preserve"> </w:t>
      </w:r>
      <w:proofErr w:type="gramStart"/>
      <w:r>
        <w:rPr>
          <w:i/>
        </w:rPr>
        <w:t>Reassembling the Social</w:t>
      </w:r>
      <w:r>
        <w:t>.</w:t>
      </w:r>
      <w:proofErr w:type="gramEnd"/>
      <w:r>
        <w:t xml:space="preserve"> Page 71</w:t>
      </w:r>
    </w:p>
  </w:footnote>
  <w:footnote w:id="10">
    <w:p w:rsidR="00E82F4A" w:rsidRPr="00E82F4A" w:rsidRDefault="00E82F4A">
      <w:pPr>
        <w:pStyle w:val="FootnoteText"/>
      </w:pPr>
      <w:r>
        <w:rPr>
          <w:rStyle w:val="FootnoteReference"/>
        </w:rPr>
        <w:footnoteRef/>
      </w:r>
      <w:r>
        <w:t xml:space="preserve"> </w:t>
      </w:r>
      <w:proofErr w:type="gramStart"/>
      <w:r>
        <w:t>Latour.</w:t>
      </w:r>
      <w:proofErr w:type="gramEnd"/>
      <w:r>
        <w:t xml:space="preserve"> </w:t>
      </w:r>
      <w:proofErr w:type="gramStart"/>
      <w:r>
        <w:t>B. (2005).</w:t>
      </w:r>
      <w:proofErr w:type="gramEnd"/>
      <w:r>
        <w:t xml:space="preserve"> </w:t>
      </w:r>
      <w:proofErr w:type="gramStart"/>
      <w:r>
        <w:rPr>
          <w:i/>
        </w:rPr>
        <w:t>Reassembling the Social</w:t>
      </w:r>
      <w:r>
        <w:t>.</w:t>
      </w:r>
      <w:proofErr w:type="gramEnd"/>
      <w:r>
        <w:t xml:space="preserve"> Page 71</w:t>
      </w:r>
    </w:p>
  </w:footnote>
  <w:footnote w:id="11">
    <w:p w:rsidR="009F6DFD" w:rsidRPr="009F6DFD" w:rsidRDefault="009F6DFD">
      <w:pPr>
        <w:pStyle w:val="FootnoteText"/>
      </w:pPr>
      <w:r>
        <w:rPr>
          <w:rStyle w:val="FootnoteReference"/>
        </w:rPr>
        <w:footnoteRef/>
      </w:r>
      <w:r>
        <w:t xml:space="preserve"> </w:t>
      </w:r>
      <w:proofErr w:type="gramStart"/>
      <w:r>
        <w:t>Stockhammer.</w:t>
      </w:r>
      <w:proofErr w:type="gramEnd"/>
      <w:r>
        <w:t xml:space="preserve"> P. W, Heidelberg. </w:t>
      </w:r>
      <w:proofErr w:type="gramStart"/>
      <w:r>
        <w:t>R-K-U.</w:t>
      </w:r>
      <w:proofErr w:type="gramEnd"/>
      <w:r>
        <w:t xml:space="preserve"> (2012). </w:t>
      </w:r>
      <w:r>
        <w:rPr>
          <w:i/>
        </w:rPr>
        <w:t>Performing the Practice Turn in Archaeology</w:t>
      </w:r>
      <w:r>
        <w:t>. Page 10</w:t>
      </w:r>
    </w:p>
  </w:footnote>
  <w:footnote w:id="12">
    <w:p w:rsidR="002C545D" w:rsidRPr="002C545D" w:rsidRDefault="002C545D">
      <w:pPr>
        <w:pStyle w:val="FootnoteText"/>
      </w:pPr>
      <w:r>
        <w:rPr>
          <w:rStyle w:val="FootnoteReference"/>
        </w:rPr>
        <w:footnoteRef/>
      </w:r>
      <w:r>
        <w:t xml:space="preserve"> </w:t>
      </w:r>
      <w:proofErr w:type="gramStart"/>
      <w:r>
        <w:t>Stockhammer.</w:t>
      </w:r>
      <w:proofErr w:type="gramEnd"/>
      <w:r>
        <w:t xml:space="preserve"> P. W, Heidelberg. </w:t>
      </w:r>
      <w:proofErr w:type="gramStart"/>
      <w:r>
        <w:t>R-K-U.</w:t>
      </w:r>
      <w:proofErr w:type="gramEnd"/>
      <w:r>
        <w:t xml:space="preserve"> (2012). </w:t>
      </w:r>
      <w:r>
        <w:rPr>
          <w:i/>
        </w:rPr>
        <w:t>Performing the Practice Turn in Archaeology</w:t>
      </w:r>
      <w:r>
        <w:t>. Page 11</w:t>
      </w:r>
    </w:p>
  </w:footnote>
  <w:footnote w:id="13">
    <w:p w:rsidR="004C4FE8" w:rsidRPr="004C4FE8" w:rsidRDefault="004C4FE8">
      <w:pPr>
        <w:pStyle w:val="FootnoteText"/>
      </w:pPr>
      <w:r>
        <w:rPr>
          <w:rStyle w:val="FootnoteReference"/>
        </w:rPr>
        <w:footnoteRef/>
      </w:r>
      <w:r>
        <w:t xml:space="preserve"> </w:t>
      </w:r>
      <w:proofErr w:type="gramStart"/>
      <w:r>
        <w:t>Stockhammer.</w:t>
      </w:r>
      <w:proofErr w:type="gramEnd"/>
      <w:r>
        <w:t xml:space="preserve"> P. W, Heidelberg. </w:t>
      </w:r>
      <w:proofErr w:type="gramStart"/>
      <w:r>
        <w:t>R-K-U.</w:t>
      </w:r>
      <w:proofErr w:type="gramEnd"/>
      <w:r>
        <w:t xml:space="preserve"> (2012). </w:t>
      </w:r>
      <w:r>
        <w:rPr>
          <w:i/>
        </w:rPr>
        <w:t>Performing the Practice Turn in Archaeology</w:t>
      </w:r>
      <w:r>
        <w:t>. Page 11</w:t>
      </w:r>
    </w:p>
  </w:footnote>
  <w:footnote w:id="14">
    <w:p w:rsidR="00CA232C" w:rsidRPr="00CA232C" w:rsidRDefault="00CA232C">
      <w:pPr>
        <w:pStyle w:val="FootnoteText"/>
      </w:pPr>
      <w:r>
        <w:rPr>
          <w:rStyle w:val="FootnoteReference"/>
        </w:rPr>
        <w:footnoteRef/>
      </w:r>
      <w:r>
        <w:t xml:space="preserve"> </w:t>
      </w:r>
      <w:proofErr w:type="gramStart"/>
      <w:r>
        <w:t>Stockhammer.</w:t>
      </w:r>
      <w:proofErr w:type="gramEnd"/>
      <w:r>
        <w:t xml:space="preserve"> P. W, Heidelberg. </w:t>
      </w:r>
      <w:proofErr w:type="gramStart"/>
      <w:r>
        <w:t>R-K-U.</w:t>
      </w:r>
      <w:proofErr w:type="gramEnd"/>
      <w:r>
        <w:t xml:space="preserve"> (2012). </w:t>
      </w:r>
      <w:r>
        <w:rPr>
          <w:i/>
        </w:rPr>
        <w:t>Performing the Practice Turn in Archaeology</w:t>
      </w:r>
      <w:r>
        <w:t>. Page 11</w:t>
      </w:r>
    </w:p>
  </w:footnote>
  <w:footnote w:id="15">
    <w:p w:rsidR="004561F5" w:rsidRDefault="004561F5">
      <w:pPr>
        <w:pStyle w:val="FootnoteText"/>
      </w:pPr>
      <w:r>
        <w:rPr>
          <w:rStyle w:val="FootnoteReference"/>
        </w:rPr>
        <w:footnoteRef/>
      </w:r>
      <w:r>
        <w:t xml:space="preserve"> </w:t>
      </w:r>
      <w:proofErr w:type="spellStart"/>
      <w:proofErr w:type="gramStart"/>
      <w:r>
        <w:t>Wesolowski</w:t>
      </w:r>
      <w:proofErr w:type="spellEnd"/>
      <w:r>
        <w:t>.</w:t>
      </w:r>
      <w:proofErr w:type="gramEnd"/>
      <w:r>
        <w:t xml:space="preserve"> D. L. (2006). </w:t>
      </w:r>
      <w:proofErr w:type="gramStart"/>
      <w:r>
        <w:rPr>
          <w:i/>
        </w:rPr>
        <w:t>Feasting at Nestor’s Palace at Pylos</w:t>
      </w:r>
      <w:r>
        <w:t>.</w:t>
      </w:r>
      <w:proofErr w:type="gramEnd"/>
      <w:r>
        <w:t xml:space="preserve"> Page 117</w:t>
      </w:r>
    </w:p>
  </w:footnote>
  <w:footnote w:id="16">
    <w:p w:rsidR="004561F5" w:rsidRDefault="004561F5">
      <w:pPr>
        <w:pStyle w:val="FootnoteText"/>
      </w:pPr>
      <w:r>
        <w:rPr>
          <w:rStyle w:val="FootnoteReference"/>
        </w:rPr>
        <w:footnoteRef/>
      </w:r>
      <w:r>
        <w:t xml:space="preserve"> </w:t>
      </w:r>
      <w:proofErr w:type="spellStart"/>
      <w:proofErr w:type="gramStart"/>
      <w:r>
        <w:t>Wesolowski</w:t>
      </w:r>
      <w:proofErr w:type="spellEnd"/>
      <w:r>
        <w:t>.</w:t>
      </w:r>
      <w:proofErr w:type="gramEnd"/>
      <w:r>
        <w:t xml:space="preserve"> D. L. (2006). </w:t>
      </w:r>
      <w:proofErr w:type="gramStart"/>
      <w:r>
        <w:rPr>
          <w:i/>
        </w:rPr>
        <w:t>Feasting at Nestor’s Palace at Pylos</w:t>
      </w:r>
      <w:r>
        <w:t>.</w:t>
      </w:r>
      <w:proofErr w:type="gramEnd"/>
      <w:r>
        <w:t xml:space="preserve"> Page 117</w:t>
      </w:r>
    </w:p>
  </w:footnote>
  <w:footnote w:id="17">
    <w:p w:rsidR="004561F5" w:rsidRDefault="004561F5">
      <w:pPr>
        <w:pStyle w:val="FootnoteText"/>
      </w:pPr>
      <w:r>
        <w:rPr>
          <w:rStyle w:val="FootnoteReference"/>
        </w:rPr>
        <w:footnoteRef/>
      </w:r>
      <w:r>
        <w:t xml:space="preserve"> </w:t>
      </w:r>
      <w:proofErr w:type="spellStart"/>
      <w:proofErr w:type="gramStart"/>
      <w:r>
        <w:t>Wesolowski</w:t>
      </w:r>
      <w:proofErr w:type="spellEnd"/>
      <w:r>
        <w:t>.</w:t>
      </w:r>
      <w:proofErr w:type="gramEnd"/>
      <w:r>
        <w:t xml:space="preserve"> D. L. (2006). </w:t>
      </w:r>
      <w:proofErr w:type="gramStart"/>
      <w:r>
        <w:rPr>
          <w:i/>
        </w:rPr>
        <w:t>Feasting at Nestor’s Palace at Pylos</w:t>
      </w:r>
      <w:r>
        <w:t>.</w:t>
      </w:r>
      <w:proofErr w:type="gramEnd"/>
      <w:r>
        <w:t xml:space="preserve"> Page 118</w:t>
      </w:r>
    </w:p>
  </w:footnote>
  <w:footnote w:id="18">
    <w:p w:rsidR="00C2411D" w:rsidRPr="00C2411D" w:rsidRDefault="00C2411D">
      <w:pPr>
        <w:pStyle w:val="FootnoteText"/>
      </w:pPr>
      <w:r>
        <w:rPr>
          <w:rStyle w:val="FootnoteReference"/>
        </w:rPr>
        <w:footnoteRef/>
      </w:r>
      <w:r w:rsidR="00992744">
        <w:t xml:space="preserve"> </w:t>
      </w:r>
      <w:proofErr w:type="gramStart"/>
      <w:r w:rsidR="00992744">
        <w:t>Gates.</w:t>
      </w:r>
      <w:proofErr w:type="gramEnd"/>
      <w:r w:rsidR="00992744">
        <w:t xml:space="preserve"> </w:t>
      </w:r>
      <w:proofErr w:type="gramStart"/>
      <w:r w:rsidR="00992744">
        <w:t>C. (204</w:t>
      </w:r>
      <w:r>
        <w:t>).</w:t>
      </w:r>
      <w:proofErr w:type="gramEnd"/>
      <w:r>
        <w:t xml:space="preserve"> </w:t>
      </w:r>
      <w:r>
        <w:rPr>
          <w:i/>
        </w:rPr>
        <w:t>Ancient Cities: The Archaeology of Urban Life in the Ancient Near East and Egypt, Greece and Rome</w:t>
      </w:r>
      <w:r>
        <w:t>. Page 137</w:t>
      </w:r>
    </w:p>
  </w:footnote>
  <w:footnote w:id="19">
    <w:p w:rsidR="00C2411D" w:rsidRPr="008E479A" w:rsidRDefault="00C2411D">
      <w:pPr>
        <w:pStyle w:val="FootnoteText"/>
      </w:pPr>
      <w:r>
        <w:rPr>
          <w:rStyle w:val="FootnoteReference"/>
        </w:rPr>
        <w:footnoteRef/>
      </w:r>
      <w:r>
        <w:t xml:space="preserve"> </w:t>
      </w:r>
      <w:proofErr w:type="gramStart"/>
      <w:r>
        <w:t>Gates</w:t>
      </w:r>
      <w:r w:rsidR="00992744">
        <w:t>.</w:t>
      </w:r>
      <w:proofErr w:type="gramEnd"/>
      <w:r w:rsidR="00992744">
        <w:t xml:space="preserve"> </w:t>
      </w:r>
      <w:proofErr w:type="gramStart"/>
      <w:r w:rsidR="00992744">
        <w:t>C. (2004</w:t>
      </w:r>
      <w:r>
        <w:t>).</w:t>
      </w:r>
      <w:proofErr w:type="gramEnd"/>
      <w:r>
        <w:t xml:space="preserve"> </w:t>
      </w:r>
      <w:r>
        <w:rPr>
          <w:i/>
        </w:rPr>
        <w:t>Ancient</w:t>
      </w:r>
      <w:r w:rsidR="008E479A">
        <w:rPr>
          <w:i/>
        </w:rPr>
        <w:t xml:space="preserve"> Cities: The Archaeology of Urban Life in the Ancient Near East and Egypt, Greece and Rome</w:t>
      </w:r>
      <w:r w:rsidR="008E479A">
        <w:t>. Page 137</w:t>
      </w:r>
    </w:p>
  </w:footnote>
  <w:footnote w:id="20">
    <w:p w:rsidR="00780CF2" w:rsidRPr="00780CF2" w:rsidRDefault="00780CF2">
      <w:pPr>
        <w:pStyle w:val="FootnoteText"/>
      </w:pPr>
      <w:r>
        <w:rPr>
          <w:rStyle w:val="FootnoteReference"/>
        </w:rPr>
        <w:footnoteRef/>
      </w:r>
      <w:r w:rsidR="0089167A">
        <w:t xml:space="preserve"> </w:t>
      </w:r>
      <w:proofErr w:type="gramStart"/>
      <w:r w:rsidR="0089167A">
        <w:t>Wardle.</w:t>
      </w:r>
      <w:proofErr w:type="gramEnd"/>
      <w:r w:rsidR="0089167A">
        <w:t xml:space="preserve"> D, Wardle. K. A. (1998</w:t>
      </w:r>
      <w:r>
        <w:t xml:space="preserve">). </w:t>
      </w:r>
      <w:r>
        <w:rPr>
          <w:i/>
        </w:rPr>
        <w:t>Cities of Legend: The Mycenaean World</w:t>
      </w:r>
      <w:r>
        <w:t>. Page 19</w:t>
      </w:r>
    </w:p>
  </w:footnote>
  <w:footnote w:id="21">
    <w:p w:rsidR="00780CF2" w:rsidRPr="00780CF2" w:rsidRDefault="00780CF2">
      <w:pPr>
        <w:pStyle w:val="FootnoteText"/>
      </w:pPr>
      <w:r>
        <w:rPr>
          <w:rStyle w:val="FootnoteReference"/>
        </w:rPr>
        <w:footnoteRef/>
      </w:r>
      <w:r w:rsidR="0089167A">
        <w:t xml:space="preserve"> </w:t>
      </w:r>
      <w:proofErr w:type="gramStart"/>
      <w:r w:rsidR="0089167A">
        <w:t>Wardle.</w:t>
      </w:r>
      <w:proofErr w:type="gramEnd"/>
      <w:r w:rsidR="0089167A">
        <w:t xml:space="preserve"> D, Wardle. K. A. (1998</w:t>
      </w:r>
      <w:r>
        <w:t xml:space="preserve">). </w:t>
      </w:r>
      <w:r>
        <w:rPr>
          <w:i/>
        </w:rPr>
        <w:t>Cities of Legend: The Mycenaean World</w:t>
      </w:r>
      <w:r>
        <w:t>. Page 19</w:t>
      </w:r>
    </w:p>
  </w:footnote>
  <w:footnote w:id="22">
    <w:p w:rsidR="0006244A" w:rsidRPr="0006244A" w:rsidRDefault="0006244A">
      <w:pPr>
        <w:pStyle w:val="FootnoteText"/>
      </w:pPr>
      <w:r>
        <w:rPr>
          <w:rStyle w:val="FootnoteReference"/>
        </w:rPr>
        <w:footnoteRef/>
      </w:r>
      <w:r w:rsidR="0089167A">
        <w:t xml:space="preserve"> </w:t>
      </w:r>
      <w:proofErr w:type="gramStart"/>
      <w:r w:rsidR="0089167A">
        <w:t>Wardle.</w:t>
      </w:r>
      <w:proofErr w:type="gramEnd"/>
      <w:r w:rsidR="0089167A">
        <w:t xml:space="preserve"> D, Wardle. K. A. (1998</w:t>
      </w:r>
      <w:r>
        <w:t xml:space="preserve">). </w:t>
      </w:r>
      <w:r>
        <w:rPr>
          <w:i/>
        </w:rPr>
        <w:t>Cities of Legend: The Mycenaean World</w:t>
      </w:r>
      <w:r>
        <w:t>. Page 19</w:t>
      </w:r>
    </w:p>
  </w:footnote>
  <w:footnote w:id="23">
    <w:p w:rsidR="00EA27DA" w:rsidRPr="00EA27DA" w:rsidRDefault="00EA27DA">
      <w:pPr>
        <w:pStyle w:val="FootnoteText"/>
      </w:pPr>
      <w:r>
        <w:rPr>
          <w:rStyle w:val="FootnoteReference"/>
        </w:rPr>
        <w:footnoteRef/>
      </w:r>
      <w:r>
        <w:t xml:space="preserve"> Shear. I. M. (2004). </w:t>
      </w:r>
      <w:proofErr w:type="gramStart"/>
      <w:r>
        <w:rPr>
          <w:i/>
        </w:rPr>
        <w:t>Kingship in the Mycenaean World and Its Reflections in the Oral Tradition</w:t>
      </w:r>
      <w:r>
        <w:t>.</w:t>
      </w:r>
      <w:proofErr w:type="gramEnd"/>
      <w:r>
        <w:t xml:space="preserve"> Page 44</w:t>
      </w:r>
    </w:p>
  </w:footnote>
  <w:footnote w:id="24">
    <w:p w:rsidR="0021174E" w:rsidRPr="0021174E" w:rsidRDefault="0021174E">
      <w:pPr>
        <w:pStyle w:val="FootnoteText"/>
      </w:pPr>
      <w:r>
        <w:rPr>
          <w:rStyle w:val="FootnoteReference"/>
        </w:rPr>
        <w:footnoteRef/>
      </w:r>
      <w:r>
        <w:t xml:space="preserve"> </w:t>
      </w:r>
      <w:proofErr w:type="spellStart"/>
      <w:proofErr w:type="gramStart"/>
      <w:r>
        <w:t>Wesolowski</w:t>
      </w:r>
      <w:proofErr w:type="spellEnd"/>
      <w:r>
        <w:t>.</w:t>
      </w:r>
      <w:proofErr w:type="gramEnd"/>
      <w:r>
        <w:t xml:space="preserve"> D. L. (2006). </w:t>
      </w:r>
      <w:proofErr w:type="gramStart"/>
      <w:r>
        <w:rPr>
          <w:i/>
        </w:rPr>
        <w:t>Feasting at Nestor’s Palace at Pylos</w:t>
      </w:r>
      <w:r>
        <w:t>.</w:t>
      </w:r>
      <w:proofErr w:type="gramEnd"/>
      <w:r>
        <w:t xml:space="preserve"> Page 118</w:t>
      </w:r>
    </w:p>
  </w:footnote>
  <w:footnote w:id="25">
    <w:p w:rsidR="002666C1" w:rsidRPr="002666C1" w:rsidRDefault="002666C1">
      <w:pPr>
        <w:pStyle w:val="FootnoteText"/>
      </w:pPr>
      <w:r>
        <w:rPr>
          <w:rStyle w:val="FootnoteReference"/>
        </w:rPr>
        <w:footnoteRef/>
      </w:r>
      <w:r>
        <w:t xml:space="preserve"> </w:t>
      </w:r>
      <w:proofErr w:type="spellStart"/>
      <w:proofErr w:type="gramStart"/>
      <w:r>
        <w:t>Wesolowski</w:t>
      </w:r>
      <w:proofErr w:type="spellEnd"/>
      <w:r>
        <w:t>.</w:t>
      </w:r>
      <w:proofErr w:type="gramEnd"/>
      <w:r>
        <w:t xml:space="preserve"> D. L. (2006). </w:t>
      </w:r>
      <w:proofErr w:type="gramStart"/>
      <w:r>
        <w:rPr>
          <w:i/>
        </w:rPr>
        <w:t>Feasting at Nestor’s Palace at Pylos</w:t>
      </w:r>
      <w:r>
        <w:t>.</w:t>
      </w:r>
      <w:proofErr w:type="gramEnd"/>
      <w:r>
        <w:t xml:space="preserve"> Page 118</w:t>
      </w:r>
    </w:p>
  </w:footnote>
  <w:footnote w:id="26">
    <w:p w:rsidR="00407980" w:rsidRPr="00407980" w:rsidRDefault="00407980">
      <w:pPr>
        <w:pStyle w:val="FootnoteText"/>
      </w:pPr>
      <w:r>
        <w:rPr>
          <w:rStyle w:val="FootnoteReference"/>
        </w:rPr>
        <w:footnoteRef/>
      </w:r>
      <w:r>
        <w:t xml:space="preserve"> </w:t>
      </w:r>
      <w:proofErr w:type="gramStart"/>
      <w:r>
        <w:t>Gates.</w:t>
      </w:r>
      <w:proofErr w:type="gramEnd"/>
      <w:r>
        <w:t xml:space="preserve"> </w:t>
      </w:r>
      <w:proofErr w:type="gramStart"/>
      <w:r>
        <w:t>C. (2004).</w:t>
      </w:r>
      <w:proofErr w:type="gramEnd"/>
      <w:r>
        <w:t xml:space="preserve"> </w:t>
      </w:r>
      <w:r>
        <w:rPr>
          <w:i/>
        </w:rPr>
        <w:t>Ancient Cities: The Archaeology of Urban Life in the Ancient Near East and Egypt, Greece and Rome</w:t>
      </w:r>
      <w:r>
        <w:t>. Page 138</w:t>
      </w:r>
    </w:p>
  </w:footnote>
  <w:footnote w:id="27">
    <w:p w:rsidR="00F8209E" w:rsidRPr="00F8209E" w:rsidRDefault="00F8209E">
      <w:pPr>
        <w:pStyle w:val="FootnoteText"/>
      </w:pPr>
      <w:r>
        <w:rPr>
          <w:rStyle w:val="FootnoteReference"/>
        </w:rPr>
        <w:footnoteRef/>
      </w:r>
      <w:r>
        <w:t xml:space="preserve"> </w:t>
      </w:r>
      <w:proofErr w:type="gramStart"/>
      <w:r>
        <w:t>Gates.</w:t>
      </w:r>
      <w:proofErr w:type="gramEnd"/>
      <w:r>
        <w:t xml:space="preserve"> </w:t>
      </w:r>
      <w:proofErr w:type="gramStart"/>
      <w:r>
        <w:t>C. (2004).</w:t>
      </w:r>
      <w:proofErr w:type="gramEnd"/>
      <w:r>
        <w:t xml:space="preserve"> </w:t>
      </w:r>
      <w:r>
        <w:rPr>
          <w:i/>
        </w:rPr>
        <w:t>Ancient Cities: The Archaeology of Urban Life in the Ancient Near East and Egypt, Greece and Rome</w:t>
      </w:r>
      <w:r>
        <w:t>. Page 138</w:t>
      </w:r>
    </w:p>
  </w:footnote>
  <w:footnote w:id="28">
    <w:p w:rsidR="00A02F7E" w:rsidRPr="00A02F7E" w:rsidRDefault="00A02F7E">
      <w:pPr>
        <w:pStyle w:val="FootnoteText"/>
      </w:pPr>
      <w:r>
        <w:rPr>
          <w:rStyle w:val="FootnoteReference"/>
        </w:rPr>
        <w:footnoteRef/>
      </w:r>
      <w:r>
        <w:t xml:space="preserve"> </w:t>
      </w:r>
      <w:proofErr w:type="gramStart"/>
      <w:r>
        <w:t>Gates.</w:t>
      </w:r>
      <w:proofErr w:type="gramEnd"/>
      <w:r>
        <w:t xml:space="preserve"> </w:t>
      </w:r>
      <w:proofErr w:type="gramStart"/>
      <w:r>
        <w:t>C. (2004).</w:t>
      </w:r>
      <w:proofErr w:type="gramEnd"/>
      <w:r>
        <w:t xml:space="preserve"> </w:t>
      </w:r>
      <w:r>
        <w:rPr>
          <w:i/>
        </w:rPr>
        <w:t>Ancient Cities: The Archaeology of Urban Life in the Ancient Near East and Egypt, Greece and Rome</w:t>
      </w:r>
      <w:r>
        <w:t>. Page 138</w:t>
      </w:r>
    </w:p>
  </w:footnote>
  <w:footnote w:id="29">
    <w:p w:rsidR="00A02F7E" w:rsidRPr="008101C3" w:rsidRDefault="00A02F7E" w:rsidP="008101C3">
      <w:pPr>
        <w:pStyle w:val="FootnoteText"/>
        <w:ind w:left="720" w:hanging="720"/>
      </w:pPr>
      <w:r>
        <w:rPr>
          <w:rStyle w:val="FootnoteReference"/>
        </w:rPr>
        <w:footnoteRef/>
      </w:r>
      <w:r>
        <w:t xml:space="preserve"> </w:t>
      </w:r>
      <w:proofErr w:type="spellStart"/>
      <w:proofErr w:type="gramStart"/>
      <w:r>
        <w:t>Taylour</w:t>
      </w:r>
      <w:proofErr w:type="spellEnd"/>
      <w:r>
        <w:t>.</w:t>
      </w:r>
      <w:proofErr w:type="gramEnd"/>
      <w:r>
        <w:t xml:space="preserve"> W, Chadwick. </w:t>
      </w:r>
      <w:proofErr w:type="gramStart"/>
      <w:r>
        <w:t>J. (1983)</w:t>
      </w:r>
      <w:r w:rsidR="008101C3">
        <w:t>.</w:t>
      </w:r>
      <w:proofErr w:type="gramEnd"/>
      <w:r w:rsidR="008101C3">
        <w:t xml:space="preserve"> </w:t>
      </w:r>
      <w:r w:rsidR="008101C3">
        <w:rPr>
          <w:i/>
        </w:rPr>
        <w:t>The Mycenaeans and The Decipherment of Linear B</w:t>
      </w:r>
      <w:r w:rsidR="008101C3">
        <w:t>. Page 56</w:t>
      </w:r>
    </w:p>
  </w:footnote>
  <w:footnote w:id="30">
    <w:p w:rsidR="008101C3" w:rsidRPr="008101C3" w:rsidRDefault="008101C3" w:rsidP="008101C3">
      <w:pPr>
        <w:pStyle w:val="FootnoteText"/>
        <w:ind w:left="720" w:hanging="720"/>
      </w:pPr>
      <w:r>
        <w:rPr>
          <w:rStyle w:val="FootnoteReference"/>
        </w:rPr>
        <w:footnoteRef/>
      </w:r>
      <w:r>
        <w:t xml:space="preserve"> </w:t>
      </w:r>
      <w:proofErr w:type="spellStart"/>
      <w:proofErr w:type="gramStart"/>
      <w:r>
        <w:t>Taylour</w:t>
      </w:r>
      <w:proofErr w:type="spellEnd"/>
      <w:r>
        <w:t>.</w:t>
      </w:r>
      <w:proofErr w:type="gramEnd"/>
      <w:r>
        <w:t xml:space="preserve"> W, Chadwick. </w:t>
      </w:r>
      <w:proofErr w:type="gramStart"/>
      <w:r>
        <w:t>J. (1983).</w:t>
      </w:r>
      <w:proofErr w:type="gramEnd"/>
      <w:r>
        <w:t xml:space="preserve"> </w:t>
      </w:r>
      <w:r>
        <w:rPr>
          <w:i/>
        </w:rPr>
        <w:t>The Mycenaeans and The Decipherment of Linear B</w:t>
      </w:r>
      <w:r>
        <w:t>. Page 56</w:t>
      </w:r>
    </w:p>
    <w:p w:rsidR="008101C3" w:rsidRDefault="008101C3">
      <w:pPr>
        <w:pStyle w:val="FootnoteText"/>
      </w:pPr>
    </w:p>
  </w:footnote>
  <w:footnote w:id="31">
    <w:p w:rsidR="00A37876" w:rsidRPr="00A37876" w:rsidRDefault="00A37876">
      <w:pPr>
        <w:pStyle w:val="FootnoteText"/>
      </w:pPr>
      <w:r>
        <w:rPr>
          <w:rStyle w:val="FootnoteReference"/>
        </w:rPr>
        <w:footnoteRef/>
      </w:r>
      <w:r>
        <w:t xml:space="preserve"> </w:t>
      </w:r>
      <w:proofErr w:type="spellStart"/>
      <w:proofErr w:type="gramStart"/>
      <w:r>
        <w:t>Taylour</w:t>
      </w:r>
      <w:proofErr w:type="spellEnd"/>
      <w:r>
        <w:t>.</w:t>
      </w:r>
      <w:proofErr w:type="gramEnd"/>
      <w:r>
        <w:t xml:space="preserve"> W, Chadwick. </w:t>
      </w:r>
      <w:proofErr w:type="gramStart"/>
      <w:r>
        <w:t>J. (1983).</w:t>
      </w:r>
      <w:proofErr w:type="gramEnd"/>
      <w:r>
        <w:t xml:space="preserve"> </w:t>
      </w:r>
      <w:r>
        <w:rPr>
          <w:i/>
        </w:rPr>
        <w:t>The Mycenaeans and The Decipherment of Linear B</w:t>
      </w:r>
      <w:r>
        <w:t>. Page 56</w:t>
      </w:r>
    </w:p>
  </w:footnote>
  <w:footnote w:id="32">
    <w:p w:rsidR="00A37876" w:rsidRDefault="00A37876">
      <w:pPr>
        <w:pStyle w:val="FootnoteText"/>
      </w:pPr>
      <w:r>
        <w:rPr>
          <w:rStyle w:val="FootnoteReference"/>
        </w:rPr>
        <w:footnoteRef/>
      </w:r>
      <w:r>
        <w:t xml:space="preserve"> </w:t>
      </w:r>
      <w:proofErr w:type="spellStart"/>
      <w:proofErr w:type="gramStart"/>
      <w:r>
        <w:t>Taylour</w:t>
      </w:r>
      <w:proofErr w:type="spellEnd"/>
      <w:r>
        <w:t>.</w:t>
      </w:r>
      <w:proofErr w:type="gramEnd"/>
      <w:r>
        <w:t xml:space="preserve"> W, Chadwick. </w:t>
      </w:r>
      <w:proofErr w:type="gramStart"/>
      <w:r>
        <w:t>J. (1983).</w:t>
      </w:r>
      <w:proofErr w:type="gramEnd"/>
      <w:r>
        <w:t xml:space="preserve"> </w:t>
      </w:r>
      <w:r>
        <w:rPr>
          <w:i/>
        </w:rPr>
        <w:t>The Mycenaeans and The Decipherment of Linear B</w:t>
      </w:r>
      <w:r>
        <w:t>. Page 56</w:t>
      </w:r>
    </w:p>
  </w:footnote>
  <w:footnote w:id="33">
    <w:p w:rsidR="00F738BB" w:rsidRDefault="00F738BB">
      <w:pPr>
        <w:pStyle w:val="FootnoteText"/>
      </w:pPr>
      <w:r>
        <w:rPr>
          <w:rStyle w:val="FootnoteReference"/>
        </w:rPr>
        <w:footnoteRef/>
      </w:r>
      <w:r>
        <w:t xml:space="preserve"> </w:t>
      </w:r>
      <w:proofErr w:type="spellStart"/>
      <w:proofErr w:type="gramStart"/>
      <w:r>
        <w:t>Taylour</w:t>
      </w:r>
      <w:proofErr w:type="spellEnd"/>
      <w:r>
        <w:t>.</w:t>
      </w:r>
      <w:proofErr w:type="gramEnd"/>
      <w:r>
        <w:t xml:space="preserve"> W, Chadwick. </w:t>
      </w:r>
      <w:proofErr w:type="gramStart"/>
      <w:r>
        <w:t>J. (1983).</w:t>
      </w:r>
      <w:proofErr w:type="gramEnd"/>
      <w:r>
        <w:t xml:space="preserve"> </w:t>
      </w:r>
      <w:r>
        <w:rPr>
          <w:i/>
        </w:rPr>
        <w:t>The Mycenaeans and The Decipherment of Linear B</w:t>
      </w:r>
      <w:r>
        <w:t>. Page 56</w:t>
      </w:r>
    </w:p>
  </w:footnote>
  <w:footnote w:id="34">
    <w:p w:rsidR="00107AF8" w:rsidRDefault="00107AF8">
      <w:pPr>
        <w:pStyle w:val="FootnoteText"/>
      </w:pPr>
      <w:r>
        <w:rPr>
          <w:rStyle w:val="FootnoteReference"/>
        </w:rPr>
        <w:footnoteRef/>
      </w:r>
      <w:r>
        <w:t xml:space="preserve"> </w:t>
      </w:r>
      <w:proofErr w:type="spellStart"/>
      <w:proofErr w:type="gramStart"/>
      <w:r>
        <w:t>Taylour</w:t>
      </w:r>
      <w:proofErr w:type="spellEnd"/>
      <w:r>
        <w:t>.</w:t>
      </w:r>
      <w:proofErr w:type="gramEnd"/>
      <w:r>
        <w:t xml:space="preserve"> W, Chadwick. </w:t>
      </w:r>
      <w:proofErr w:type="gramStart"/>
      <w:r>
        <w:t>J. (1983).</w:t>
      </w:r>
      <w:proofErr w:type="gramEnd"/>
      <w:r>
        <w:t xml:space="preserve"> </w:t>
      </w:r>
      <w:r>
        <w:rPr>
          <w:i/>
        </w:rPr>
        <w:t>The Mycenaeans and The Decipherment of Linear B</w:t>
      </w:r>
      <w:r>
        <w:t>. Page 56</w:t>
      </w:r>
    </w:p>
  </w:footnote>
  <w:footnote w:id="35">
    <w:p w:rsidR="00DA14A4" w:rsidRDefault="00DA14A4">
      <w:pPr>
        <w:pStyle w:val="FootnoteText"/>
      </w:pPr>
      <w:r>
        <w:rPr>
          <w:rStyle w:val="FootnoteReference"/>
        </w:rPr>
        <w:footnoteRef/>
      </w:r>
      <w:r>
        <w:t xml:space="preserve"> </w:t>
      </w:r>
      <w:proofErr w:type="spellStart"/>
      <w:proofErr w:type="gramStart"/>
      <w:r>
        <w:t>Taylour</w:t>
      </w:r>
      <w:proofErr w:type="spellEnd"/>
      <w:r>
        <w:t>.</w:t>
      </w:r>
      <w:proofErr w:type="gramEnd"/>
      <w:r>
        <w:t xml:space="preserve"> W, Chadwick. </w:t>
      </w:r>
      <w:proofErr w:type="gramStart"/>
      <w:r>
        <w:t>J. (1983).</w:t>
      </w:r>
      <w:proofErr w:type="gramEnd"/>
      <w:r>
        <w:t xml:space="preserve"> </w:t>
      </w:r>
      <w:r>
        <w:rPr>
          <w:i/>
        </w:rPr>
        <w:t>The Mycenaeans and The Decipherment of Linear B</w:t>
      </w:r>
      <w:r>
        <w:t>. Page 56</w:t>
      </w:r>
    </w:p>
  </w:footnote>
  <w:footnote w:id="36">
    <w:p w:rsidR="00DA14A4" w:rsidRDefault="00DA14A4">
      <w:pPr>
        <w:pStyle w:val="FootnoteText"/>
      </w:pPr>
      <w:r>
        <w:rPr>
          <w:rStyle w:val="FootnoteReference"/>
        </w:rPr>
        <w:footnoteRef/>
      </w:r>
      <w:r>
        <w:t xml:space="preserve"> </w:t>
      </w:r>
      <w:proofErr w:type="spellStart"/>
      <w:proofErr w:type="gramStart"/>
      <w:r>
        <w:t>Taylour</w:t>
      </w:r>
      <w:proofErr w:type="spellEnd"/>
      <w:r>
        <w:t>.</w:t>
      </w:r>
      <w:proofErr w:type="gramEnd"/>
      <w:r>
        <w:t xml:space="preserve"> W, Chadwick. </w:t>
      </w:r>
      <w:proofErr w:type="gramStart"/>
      <w:r>
        <w:t>J. (1983).</w:t>
      </w:r>
      <w:proofErr w:type="gramEnd"/>
      <w:r>
        <w:t xml:space="preserve"> </w:t>
      </w:r>
      <w:r>
        <w:rPr>
          <w:i/>
        </w:rPr>
        <w:t>The Mycenaeans and The Decipherment of Linear B</w:t>
      </w:r>
      <w:r>
        <w:t>. Page 56</w:t>
      </w:r>
    </w:p>
  </w:footnote>
  <w:footnote w:id="37">
    <w:p w:rsidR="00CB06B4" w:rsidRDefault="00CB06B4">
      <w:pPr>
        <w:pStyle w:val="FootnoteText"/>
      </w:pPr>
      <w:r>
        <w:rPr>
          <w:rStyle w:val="FootnoteReference"/>
        </w:rPr>
        <w:footnoteRef/>
      </w:r>
      <w:r>
        <w:t xml:space="preserve"> </w:t>
      </w:r>
      <w:r>
        <w:t xml:space="preserve">Shear. I. M. (2004). </w:t>
      </w:r>
      <w:proofErr w:type="gramStart"/>
      <w:r>
        <w:rPr>
          <w:i/>
        </w:rPr>
        <w:t>Kingship in the Mycenaean World and Its Reflections in the Oral Tradition</w:t>
      </w:r>
      <w:r>
        <w:t>.</w:t>
      </w:r>
      <w:proofErr w:type="gramEnd"/>
      <w:r>
        <w:t xml:space="preserve"> Page 45</w:t>
      </w:r>
    </w:p>
  </w:footnote>
  <w:footnote w:id="38">
    <w:p w:rsidR="00455B32" w:rsidRDefault="00455B32">
      <w:pPr>
        <w:pStyle w:val="FootnoteText"/>
      </w:pPr>
      <w:r>
        <w:rPr>
          <w:rStyle w:val="FootnoteReference"/>
        </w:rPr>
        <w:footnoteRef/>
      </w:r>
      <w:r>
        <w:t xml:space="preserve"> </w:t>
      </w:r>
      <w:r>
        <w:t xml:space="preserve">Shear. I. M. (2004). </w:t>
      </w:r>
      <w:proofErr w:type="gramStart"/>
      <w:r>
        <w:rPr>
          <w:i/>
        </w:rPr>
        <w:t>Kingship in the Mycenaean World and Its Reflections in the Oral Tradition</w:t>
      </w:r>
      <w:r>
        <w:t>.</w:t>
      </w:r>
      <w:proofErr w:type="gramEnd"/>
      <w:r>
        <w:t xml:space="preserve"> Page 45</w:t>
      </w:r>
    </w:p>
  </w:footnote>
  <w:footnote w:id="39">
    <w:p w:rsidR="004F0C1D" w:rsidRDefault="004F0C1D">
      <w:pPr>
        <w:pStyle w:val="FootnoteText"/>
      </w:pPr>
      <w:r>
        <w:rPr>
          <w:rStyle w:val="FootnoteReference"/>
        </w:rPr>
        <w:footnoteRef/>
      </w:r>
      <w:r>
        <w:t xml:space="preserve"> </w:t>
      </w:r>
      <w:r>
        <w:t xml:space="preserve">Shear. I. M. (2004). </w:t>
      </w:r>
      <w:proofErr w:type="gramStart"/>
      <w:r>
        <w:rPr>
          <w:i/>
        </w:rPr>
        <w:t>Kingship in the Mycenaean World and Its Reflections in the Oral Tradition</w:t>
      </w:r>
      <w:r>
        <w:t>.</w:t>
      </w:r>
      <w:proofErr w:type="gramEnd"/>
      <w:r>
        <w:t xml:space="preserve"> Page 45</w:t>
      </w:r>
    </w:p>
  </w:footnote>
  <w:footnote w:id="40">
    <w:p w:rsidR="004D3978" w:rsidRDefault="004D3978">
      <w:pPr>
        <w:pStyle w:val="FootnoteText"/>
      </w:pPr>
      <w:r>
        <w:rPr>
          <w:rStyle w:val="FootnoteReference"/>
        </w:rPr>
        <w:footnoteRef/>
      </w:r>
      <w:r>
        <w:t xml:space="preserve"> </w:t>
      </w:r>
      <w:r>
        <w:t xml:space="preserve">Shear. I. M. (2004). </w:t>
      </w:r>
      <w:proofErr w:type="gramStart"/>
      <w:r>
        <w:rPr>
          <w:i/>
        </w:rPr>
        <w:t>Kingship in the Mycenaean World and Its Reflections in the Oral Tradition</w:t>
      </w:r>
      <w:r>
        <w:t>.</w:t>
      </w:r>
      <w:proofErr w:type="gramEnd"/>
      <w:r>
        <w:t xml:space="preserve"> Page 45</w:t>
      </w:r>
    </w:p>
  </w:footnote>
  <w:footnote w:id="41">
    <w:p w:rsidR="004D3978" w:rsidRDefault="004D3978">
      <w:pPr>
        <w:pStyle w:val="FootnoteText"/>
      </w:pPr>
      <w:r>
        <w:rPr>
          <w:rStyle w:val="FootnoteReference"/>
        </w:rPr>
        <w:footnoteRef/>
      </w:r>
      <w:r>
        <w:t xml:space="preserve"> </w:t>
      </w:r>
      <w:proofErr w:type="gramStart"/>
      <w:r>
        <w:t>Gates.</w:t>
      </w:r>
      <w:proofErr w:type="gramEnd"/>
      <w:r>
        <w:t xml:space="preserve"> </w:t>
      </w:r>
      <w:proofErr w:type="gramStart"/>
      <w:r>
        <w:t>C. (2004).</w:t>
      </w:r>
      <w:proofErr w:type="gramEnd"/>
      <w:r>
        <w:t xml:space="preserve"> </w:t>
      </w:r>
      <w:r>
        <w:rPr>
          <w:i/>
        </w:rPr>
        <w:t xml:space="preserve">Ancient Cities: The Archaeology of Urban Life in the Ancient </w:t>
      </w:r>
      <w:proofErr w:type="gramStart"/>
      <w:r>
        <w:rPr>
          <w:i/>
        </w:rPr>
        <w:t>Near</w:t>
      </w:r>
      <w:proofErr w:type="gramEnd"/>
      <w:r>
        <w:rPr>
          <w:i/>
        </w:rPr>
        <w:t xml:space="preserve"> East and Egypt, Greece and Rome</w:t>
      </w:r>
      <w:r>
        <w:t>. Page 138</w:t>
      </w:r>
    </w:p>
  </w:footnote>
  <w:footnote w:id="42">
    <w:p w:rsidR="00012B91" w:rsidRPr="00012B91" w:rsidRDefault="00012B91">
      <w:pPr>
        <w:pStyle w:val="FootnoteText"/>
      </w:pPr>
      <w:r>
        <w:rPr>
          <w:rStyle w:val="FootnoteReference"/>
        </w:rPr>
        <w:footnoteRef/>
      </w:r>
      <w:r>
        <w:t xml:space="preserve"> Homer. </w:t>
      </w:r>
      <w:proofErr w:type="gramStart"/>
      <w:r>
        <w:rPr>
          <w:i/>
        </w:rPr>
        <w:t>Odyssey</w:t>
      </w:r>
      <w:r>
        <w:t>.</w:t>
      </w:r>
      <w:proofErr w:type="gramEnd"/>
      <w:r>
        <w:t xml:space="preserve"> </w:t>
      </w:r>
      <w:proofErr w:type="gramStart"/>
      <w:r>
        <w:t>Book 1.</w:t>
      </w:r>
      <w:proofErr w:type="gramEnd"/>
      <w:r>
        <w:t xml:space="preserve"> Page 135</w:t>
      </w:r>
    </w:p>
  </w:footnote>
  <w:footnote w:id="43">
    <w:p w:rsidR="00012B91" w:rsidRDefault="00012B91">
      <w:pPr>
        <w:pStyle w:val="FootnoteText"/>
      </w:pPr>
      <w:r>
        <w:rPr>
          <w:rStyle w:val="FootnoteReference"/>
        </w:rPr>
        <w:footnoteRef/>
      </w:r>
      <w:r>
        <w:t xml:space="preserve"> </w:t>
      </w:r>
      <w:r>
        <w:t xml:space="preserve">Shear. I. M. (2004). </w:t>
      </w:r>
      <w:proofErr w:type="gramStart"/>
      <w:r>
        <w:rPr>
          <w:i/>
        </w:rPr>
        <w:t>Kingship in the Mycenaean World and Its Reflections in the Oral Tradition</w:t>
      </w:r>
      <w:r>
        <w:t>.</w:t>
      </w:r>
      <w:proofErr w:type="gramEnd"/>
      <w:r>
        <w:t xml:space="preserve"> Page 44</w:t>
      </w:r>
    </w:p>
  </w:footnote>
  <w:footnote w:id="44">
    <w:p w:rsidR="003F241A" w:rsidRDefault="003F241A">
      <w:pPr>
        <w:pStyle w:val="FootnoteText"/>
      </w:pPr>
      <w:r>
        <w:rPr>
          <w:rStyle w:val="FootnoteReference"/>
        </w:rPr>
        <w:footnoteRef/>
      </w:r>
      <w:r>
        <w:t xml:space="preserve"> </w:t>
      </w:r>
      <w:proofErr w:type="gramStart"/>
      <w:r>
        <w:t>Gates.</w:t>
      </w:r>
      <w:proofErr w:type="gramEnd"/>
      <w:r>
        <w:t xml:space="preserve"> </w:t>
      </w:r>
      <w:proofErr w:type="gramStart"/>
      <w:r>
        <w:t>C. (2004).</w:t>
      </w:r>
      <w:proofErr w:type="gramEnd"/>
      <w:r>
        <w:t xml:space="preserve"> </w:t>
      </w:r>
      <w:r>
        <w:rPr>
          <w:i/>
        </w:rPr>
        <w:t xml:space="preserve">Ancient Cities: The Archaeology of Urban Life in the Ancient </w:t>
      </w:r>
      <w:proofErr w:type="gramStart"/>
      <w:r>
        <w:rPr>
          <w:i/>
        </w:rPr>
        <w:t>Near</w:t>
      </w:r>
      <w:proofErr w:type="gramEnd"/>
      <w:r>
        <w:rPr>
          <w:i/>
        </w:rPr>
        <w:t xml:space="preserve"> East and Egypt, Greece and Rome</w:t>
      </w:r>
      <w:r>
        <w:t>. Page 139</w:t>
      </w:r>
    </w:p>
  </w:footnote>
  <w:footnote w:id="45">
    <w:p w:rsidR="00E643AA" w:rsidRDefault="00E643AA" w:rsidP="00E643AA">
      <w:pPr>
        <w:pStyle w:val="FootnoteText"/>
      </w:pPr>
      <w:r>
        <w:rPr>
          <w:rStyle w:val="FootnoteReference"/>
        </w:rPr>
        <w:footnoteRef/>
      </w:r>
      <w:r>
        <w:t xml:space="preserve"> </w:t>
      </w:r>
      <w:proofErr w:type="gramStart"/>
      <w:r w:rsidR="0072448C">
        <w:t>Stocker.</w:t>
      </w:r>
      <w:proofErr w:type="gramEnd"/>
      <w:r w:rsidR="0072448C">
        <w:t xml:space="preserve"> S. R, </w:t>
      </w:r>
      <w:r>
        <w:t>Davis.</w:t>
      </w:r>
      <w:r w:rsidR="0072448C">
        <w:t xml:space="preserve"> J. L</w:t>
      </w:r>
      <w:r>
        <w:t xml:space="preserve"> (2004) </w:t>
      </w:r>
      <w:r>
        <w:t xml:space="preserve">Hesperia: </w:t>
      </w:r>
      <w:r w:rsidRPr="0072448C">
        <w:rPr>
          <w:i/>
        </w:rPr>
        <w:t>The Journal of the American School</w:t>
      </w:r>
      <w:r w:rsidR="0072448C" w:rsidRPr="0072448C">
        <w:rPr>
          <w:i/>
        </w:rPr>
        <w:t xml:space="preserve"> of Classical Studies at Athens, </w:t>
      </w:r>
      <w:r w:rsidRPr="0072448C">
        <w:rPr>
          <w:i/>
        </w:rPr>
        <w:t xml:space="preserve">Vol. 73, No. 2, Special Issue: The </w:t>
      </w:r>
      <w:proofErr w:type="spellStart"/>
      <w:r w:rsidRPr="0072448C">
        <w:rPr>
          <w:i/>
        </w:rPr>
        <w:t>Mycenean</w:t>
      </w:r>
      <w:proofErr w:type="spellEnd"/>
      <w:r w:rsidR="0072448C" w:rsidRPr="0072448C">
        <w:rPr>
          <w:i/>
        </w:rPr>
        <w:t xml:space="preserve"> Feast</w:t>
      </w:r>
      <w:r w:rsidR="0072448C">
        <w:t xml:space="preserve"> . Pages </w:t>
      </w:r>
      <w:r>
        <w:t>179-195</w:t>
      </w:r>
    </w:p>
  </w:footnote>
  <w:footnote w:id="46">
    <w:p w:rsidR="00037763" w:rsidRDefault="00037763">
      <w:pPr>
        <w:pStyle w:val="FootnoteText"/>
      </w:pPr>
      <w:r>
        <w:rPr>
          <w:rStyle w:val="FootnoteReference"/>
        </w:rPr>
        <w:footnoteRef/>
      </w:r>
      <w:r>
        <w:t xml:space="preserve"> </w:t>
      </w:r>
      <w:proofErr w:type="gramStart"/>
      <w:r>
        <w:t>Stocker.</w:t>
      </w:r>
      <w:proofErr w:type="gramEnd"/>
      <w:r>
        <w:t xml:space="preserve"> S. R, Davis. J. L (2004) Hesperia: </w:t>
      </w:r>
      <w:r w:rsidRPr="0072448C">
        <w:rPr>
          <w:i/>
        </w:rPr>
        <w:t xml:space="preserve">The Journal of the American School of Classical Studies at Athens, Vol. 73, No. 2, Special Issue: The </w:t>
      </w:r>
      <w:proofErr w:type="spellStart"/>
      <w:r w:rsidRPr="0072448C">
        <w:rPr>
          <w:i/>
        </w:rPr>
        <w:t>Mycenean</w:t>
      </w:r>
      <w:proofErr w:type="spellEnd"/>
      <w:r w:rsidRPr="0072448C">
        <w:rPr>
          <w:i/>
        </w:rPr>
        <w:t xml:space="preserve"> Feast</w:t>
      </w:r>
      <w:r>
        <w:t xml:space="preserve"> . Pages </w:t>
      </w:r>
      <w:r>
        <w:t>182</w:t>
      </w:r>
    </w:p>
  </w:footnote>
  <w:footnote w:id="47">
    <w:p w:rsidR="00037763" w:rsidRDefault="00037763">
      <w:pPr>
        <w:pStyle w:val="FootnoteText"/>
      </w:pPr>
      <w:r>
        <w:rPr>
          <w:rStyle w:val="FootnoteReference"/>
        </w:rPr>
        <w:footnoteRef/>
      </w:r>
      <w:r>
        <w:t xml:space="preserve"> </w:t>
      </w:r>
      <w:proofErr w:type="gramStart"/>
      <w:r>
        <w:t>Stocker.</w:t>
      </w:r>
      <w:proofErr w:type="gramEnd"/>
      <w:r>
        <w:t xml:space="preserve"> S. R, Davis. J. L (2004) Hesperia: </w:t>
      </w:r>
      <w:r w:rsidRPr="0072448C">
        <w:rPr>
          <w:i/>
        </w:rPr>
        <w:t xml:space="preserve">The Journal of the American School of Classical Studies at Athens, Vol. 73, No. 2, Special Issue: The </w:t>
      </w:r>
      <w:proofErr w:type="spellStart"/>
      <w:r w:rsidRPr="0072448C">
        <w:rPr>
          <w:i/>
        </w:rPr>
        <w:t>Mycenean</w:t>
      </w:r>
      <w:proofErr w:type="spellEnd"/>
      <w:r w:rsidRPr="0072448C">
        <w:rPr>
          <w:i/>
        </w:rPr>
        <w:t xml:space="preserve"> Feast</w:t>
      </w:r>
      <w:r>
        <w:t xml:space="preserve"> . Pages 182</w:t>
      </w:r>
    </w:p>
  </w:footnote>
  <w:footnote w:id="48">
    <w:p w:rsidR="00811217" w:rsidRDefault="00811217">
      <w:pPr>
        <w:pStyle w:val="FootnoteText"/>
      </w:pPr>
      <w:r>
        <w:rPr>
          <w:rStyle w:val="FootnoteReference"/>
        </w:rPr>
        <w:footnoteRef/>
      </w:r>
      <w:r>
        <w:t xml:space="preserve"> </w:t>
      </w:r>
      <w:proofErr w:type="gramStart"/>
      <w:r>
        <w:t>Stocker.</w:t>
      </w:r>
      <w:proofErr w:type="gramEnd"/>
      <w:r>
        <w:t xml:space="preserve"> S. R, Davis. J. L (2004) Hesperia: </w:t>
      </w:r>
      <w:r w:rsidRPr="0072448C">
        <w:rPr>
          <w:i/>
        </w:rPr>
        <w:t xml:space="preserve">The Journal of the American School of Classical Studies at Athens, Vol. 73, No. 2, Special Issue: The </w:t>
      </w:r>
      <w:proofErr w:type="spellStart"/>
      <w:r w:rsidRPr="0072448C">
        <w:rPr>
          <w:i/>
        </w:rPr>
        <w:t>Mycenean</w:t>
      </w:r>
      <w:proofErr w:type="spellEnd"/>
      <w:r w:rsidRPr="0072448C">
        <w:rPr>
          <w:i/>
        </w:rPr>
        <w:t xml:space="preserve"> Feast</w:t>
      </w:r>
      <w:r>
        <w:t xml:space="preserve"> . Pages 182</w:t>
      </w:r>
    </w:p>
  </w:footnote>
  <w:footnote w:id="49">
    <w:p w:rsidR="00C14158" w:rsidRDefault="00C14158">
      <w:pPr>
        <w:pStyle w:val="FootnoteText"/>
      </w:pPr>
      <w:r>
        <w:rPr>
          <w:rStyle w:val="FootnoteReference"/>
        </w:rPr>
        <w:footnoteRef/>
      </w:r>
      <w:r>
        <w:t xml:space="preserve"> </w:t>
      </w:r>
      <w:proofErr w:type="gramStart"/>
      <w:r>
        <w:t>Stocker.</w:t>
      </w:r>
      <w:proofErr w:type="gramEnd"/>
      <w:r>
        <w:t xml:space="preserve"> S. R, Davis. J. L (2004) Hesperia: </w:t>
      </w:r>
      <w:r w:rsidRPr="0072448C">
        <w:rPr>
          <w:i/>
        </w:rPr>
        <w:t xml:space="preserve">The Journal of the American School of Classical Studies at Athens, Vol. 73, No. 2, Special Issue: The </w:t>
      </w:r>
      <w:proofErr w:type="spellStart"/>
      <w:r w:rsidRPr="0072448C">
        <w:rPr>
          <w:i/>
        </w:rPr>
        <w:t>Mycenean</w:t>
      </w:r>
      <w:proofErr w:type="spellEnd"/>
      <w:r w:rsidRPr="0072448C">
        <w:rPr>
          <w:i/>
        </w:rPr>
        <w:t xml:space="preserve"> Feast</w:t>
      </w:r>
      <w:r>
        <w:t xml:space="preserve"> . Pages </w:t>
      </w:r>
      <w:r>
        <w:t>183</w:t>
      </w:r>
    </w:p>
  </w:footnote>
  <w:footnote w:id="50">
    <w:p w:rsidR="00314185" w:rsidRDefault="00314185">
      <w:pPr>
        <w:pStyle w:val="FootnoteText"/>
      </w:pPr>
      <w:r>
        <w:rPr>
          <w:rStyle w:val="FootnoteReference"/>
        </w:rPr>
        <w:footnoteRef/>
      </w:r>
      <w:r>
        <w:t xml:space="preserve"> </w:t>
      </w:r>
      <w:proofErr w:type="gramStart"/>
      <w:r>
        <w:t>Stocker.</w:t>
      </w:r>
      <w:proofErr w:type="gramEnd"/>
      <w:r>
        <w:t xml:space="preserve"> S. R, Davis. J. L (2004) Hesperia: </w:t>
      </w:r>
      <w:r w:rsidRPr="0072448C">
        <w:rPr>
          <w:i/>
        </w:rPr>
        <w:t xml:space="preserve">The Journal of the American School of Classical Studies at Athens, Vol. 73, No. 2, Special Issue: The </w:t>
      </w:r>
      <w:proofErr w:type="spellStart"/>
      <w:r w:rsidRPr="0072448C">
        <w:rPr>
          <w:i/>
        </w:rPr>
        <w:t>Mycenean</w:t>
      </w:r>
      <w:proofErr w:type="spellEnd"/>
      <w:r w:rsidRPr="0072448C">
        <w:rPr>
          <w:i/>
        </w:rPr>
        <w:t xml:space="preserve"> Feast</w:t>
      </w:r>
      <w:r>
        <w:t xml:space="preserve"> . Pages </w:t>
      </w:r>
      <w:r>
        <w:t>183</w:t>
      </w:r>
    </w:p>
  </w:footnote>
  <w:footnote w:id="51">
    <w:p w:rsidR="00D25242" w:rsidRDefault="00D25242">
      <w:pPr>
        <w:pStyle w:val="FootnoteText"/>
      </w:pPr>
      <w:r>
        <w:rPr>
          <w:rStyle w:val="FootnoteReference"/>
        </w:rPr>
        <w:footnoteRef/>
      </w:r>
      <w:r>
        <w:t xml:space="preserve"> </w:t>
      </w:r>
      <w:proofErr w:type="gramStart"/>
      <w:r>
        <w:t>Stocker.</w:t>
      </w:r>
      <w:proofErr w:type="gramEnd"/>
      <w:r>
        <w:t xml:space="preserve"> S. R, Davis. J. L (2004) Hesperia: </w:t>
      </w:r>
      <w:r w:rsidRPr="0072448C">
        <w:rPr>
          <w:i/>
        </w:rPr>
        <w:t xml:space="preserve">The Journal of the American School of Classical Studies at Athens, Vol. 73, No. 2, Special Issue: The </w:t>
      </w:r>
      <w:proofErr w:type="spellStart"/>
      <w:r w:rsidRPr="0072448C">
        <w:rPr>
          <w:i/>
        </w:rPr>
        <w:t>Mycenean</w:t>
      </w:r>
      <w:proofErr w:type="spellEnd"/>
      <w:r w:rsidRPr="0072448C">
        <w:rPr>
          <w:i/>
        </w:rPr>
        <w:t xml:space="preserve"> Feast</w:t>
      </w:r>
      <w:r>
        <w:t xml:space="preserve"> . Pages </w:t>
      </w:r>
      <w:r>
        <w:t>183</w:t>
      </w:r>
    </w:p>
  </w:footnote>
  <w:footnote w:id="52">
    <w:p w:rsidR="00D25242" w:rsidRDefault="00D25242">
      <w:pPr>
        <w:pStyle w:val="FootnoteText"/>
      </w:pPr>
      <w:r>
        <w:rPr>
          <w:rStyle w:val="FootnoteReference"/>
        </w:rPr>
        <w:footnoteRef/>
      </w:r>
      <w:proofErr w:type="gramStart"/>
      <w:r>
        <w:t>Stocker.</w:t>
      </w:r>
      <w:proofErr w:type="gramEnd"/>
      <w:r>
        <w:t xml:space="preserve"> S. R, Davis. J. L (2004) Hesperia: </w:t>
      </w:r>
      <w:r w:rsidRPr="0072448C">
        <w:rPr>
          <w:i/>
        </w:rPr>
        <w:t xml:space="preserve">The Journal of the American School of Classical Studies at Athens, Vol. 73, No. 2, Special Issue: The </w:t>
      </w:r>
      <w:proofErr w:type="spellStart"/>
      <w:r w:rsidRPr="0072448C">
        <w:rPr>
          <w:i/>
        </w:rPr>
        <w:t>Mycenean</w:t>
      </w:r>
      <w:proofErr w:type="spellEnd"/>
      <w:r w:rsidRPr="0072448C">
        <w:rPr>
          <w:i/>
        </w:rPr>
        <w:t xml:space="preserve"> Feast</w:t>
      </w:r>
      <w:r>
        <w:t xml:space="preserve"> . Pages </w:t>
      </w:r>
      <w:r>
        <w:t>184</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75217" w:rsidRDefault="00475217">
    <w:pPr>
      <w:pStyle w:val="Header"/>
    </w:pPr>
    <w:r>
      <w:t>Jack Phillips 1500602</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5C045E"/>
    <w:multiLevelType w:val="hybridMultilevel"/>
    <w:tmpl w:val="69A2F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1EB7513"/>
    <w:multiLevelType w:val="hybridMultilevel"/>
    <w:tmpl w:val="34180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4A721D2"/>
    <w:multiLevelType w:val="hybridMultilevel"/>
    <w:tmpl w:val="689E0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F73A1"/>
    <w:rsid w:val="000112AA"/>
    <w:rsid w:val="00012B91"/>
    <w:rsid w:val="00016BE3"/>
    <w:rsid w:val="00037763"/>
    <w:rsid w:val="0006244A"/>
    <w:rsid w:val="00092227"/>
    <w:rsid w:val="0009477B"/>
    <w:rsid w:val="00101E4D"/>
    <w:rsid w:val="001024BB"/>
    <w:rsid w:val="00103AF8"/>
    <w:rsid w:val="00107AF8"/>
    <w:rsid w:val="001126D2"/>
    <w:rsid w:val="00126D15"/>
    <w:rsid w:val="001737FB"/>
    <w:rsid w:val="00173C00"/>
    <w:rsid w:val="0017655A"/>
    <w:rsid w:val="001A33B0"/>
    <w:rsid w:val="001E1F3B"/>
    <w:rsid w:val="001E3AB0"/>
    <w:rsid w:val="0020127A"/>
    <w:rsid w:val="0021174E"/>
    <w:rsid w:val="00214F1B"/>
    <w:rsid w:val="00215110"/>
    <w:rsid w:val="00220453"/>
    <w:rsid w:val="00253C48"/>
    <w:rsid w:val="0026490E"/>
    <w:rsid w:val="002666C1"/>
    <w:rsid w:val="00267A92"/>
    <w:rsid w:val="002C545D"/>
    <w:rsid w:val="002C5A29"/>
    <w:rsid w:val="002F0402"/>
    <w:rsid w:val="00314185"/>
    <w:rsid w:val="00330360"/>
    <w:rsid w:val="00345CFC"/>
    <w:rsid w:val="00381181"/>
    <w:rsid w:val="003A7CD7"/>
    <w:rsid w:val="003D2FD2"/>
    <w:rsid w:val="003E506F"/>
    <w:rsid w:val="003F241A"/>
    <w:rsid w:val="003F2BC0"/>
    <w:rsid w:val="003F7663"/>
    <w:rsid w:val="00407980"/>
    <w:rsid w:val="00420E55"/>
    <w:rsid w:val="00422405"/>
    <w:rsid w:val="004301E7"/>
    <w:rsid w:val="0045472B"/>
    <w:rsid w:val="00455B32"/>
    <w:rsid w:val="004561F5"/>
    <w:rsid w:val="004638D2"/>
    <w:rsid w:val="00475217"/>
    <w:rsid w:val="004B38B7"/>
    <w:rsid w:val="004B6F31"/>
    <w:rsid w:val="004C4FE8"/>
    <w:rsid w:val="004D3978"/>
    <w:rsid w:val="004F0C1D"/>
    <w:rsid w:val="0051115A"/>
    <w:rsid w:val="00543556"/>
    <w:rsid w:val="00576F32"/>
    <w:rsid w:val="005807C8"/>
    <w:rsid w:val="0059296A"/>
    <w:rsid w:val="005D283B"/>
    <w:rsid w:val="006A7F61"/>
    <w:rsid w:val="006F73A1"/>
    <w:rsid w:val="007224D3"/>
    <w:rsid w:val="0072448C"/>
    <w:rsid w:val="00780CF2"/>
    <w:rsid w:val="007C091A"/>
    <w:rsid w:val="007D3FD2"/>
    <w:rsid w:val="007D61D6"/>
    <w:rsid w:val="008101C3"/>
    <w:rsid w:val="00811217"/>
    <w:rsid w:val="00815235"/>
    <w:rsid w:val="00830122"/>
    <w:rsid w:val="00841E79"/>
    <w:rsid w:val="00847121"/>
    <w:rsid w:val="00853F46"/>
    <w:rsid w:val="0089167A"/>
    <w:rsid w:val="008B1A8C"/>
    <w:rsid w:val="008E479A"/>
    <w:rsid w:val="009022F8"/>
    <w:rsid w:val="00903424"/>
    <w:rsid w:val="0090458B"/>
    <w:rsid w:val="00926417"/>
    <w:rsid w:val="009551AD"/>
    <w:rsid w:val="009844B0"/>
    <w:rsid w:val="00992744"/>
    <w:rsid w:val="009E1EE6"/>
    <w:rsid w:val="009E6BD7"/>
    <w:rsid w:val="009F6DFD"/>
    <w:rsid w:val="00A01ED8"/>
    <w:rsid w:val="00A02F7E"/>
    <w:rsid w:val="00A13CA2"/>
    <w:rsid w:val="00A26EDA"/>
    <w:rsid w:val="00A27538"/>
    <w:rsid w:val="00A37876"/>
    <w:rsid w:val="00A44F4E"/>
    <w:rsid w:val="00A576B9"/>
    <w:rsid w:val="00A631BD"/>
    <w:rsid w:val="00A804AF"/>
    <w:rsid w:val="00AA6156"/>
    <w:rsid w:val="00AD7FC0"/>
    <w:rsid w:val="00AF51C3"/>
    <w:rsid w:val="00B11944"/>
    <w:rsid w:val="00B125EC"/>
    <w:rsid w:val="00B174BA"/>
    <w:rsid w:val="00B2628A"/>
    <w:rsid w:val="00B35823"/>
    <w:rsid w:val="00B547F3"/>
    <w:rsid w:val="00B5613B"/>
    <w:rsid w:val="00B71B2D"/>
    <w:rsid w:val="00BB384E"/>
    <w:rsid w:val="00BB55C7"/>
    <w:rsid w:val="00BE128C"/>
    <w:rsid w:val="00BE50F1"/>
    <w:rsid w:val="00C14158"/>
    <w:rsid w:val="00C2411D"/>
    <w:rsid w:val="00C403A5"/>
    <w:rsid w:val="00C42059"/>
    <w:rsid w:val="00C6720A"/>
    <w:rsid w:val="00CA232C"/>
    <w:rsid w:val="00CB06B4"/>
    <w:rsid w:val="00CB2187"/>
    <w:rsid w:val="00CC3D42"/>
    <w:rsid w:val="00CF0338"/>
    <w:rsid w:val="00CF7778"/>
    <w:rsid w:val="00D0038B"/>
    <w:rsid w:val="00D02231"/>
    <w:rsid w:val="00D2466D"/>
    <w:rsid w:val="00D25242"/>
    <w:rsid w:val="00D3701C"/>
    <w:rsid w:val="00DA14A4"/>
    <w:rsid w:val="00DB4613"/>
    <w:rsid w:val="00DD385B"/>
    <w:rsid w:val="00DE1FED"/>
    <w:rsid w:val="00E11531"/>
    <w:rsid w:val="00E366FB"/>
    <w:rsid w:val="00E643AA"/>
    <w:rsid w:val="00E82F4A"/>
    <w:rsid w:val="00EA27DA"/>
    <w:rsid w:val="00F2016C"/>
    <w:rsid w:val="00F57B7E"/>
    <w:rsid w:val="00F7330A"/>
    <w:rsid w:val="00F738BB"/>
    <w:rsid w:val="00F8209E"/>
    <w:rsid w:val="00F82D1D"/>
    <w:rsid w:val="00F91E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628A"/>
    <w:pPr>
      <w:ind w:left="720"/>
      <w:contextualSpacing/>
    </w:pPr>
  </w:style>
  <w:style w:type="paragraph" w:styleId="FootnoteText">
    <w:name w:val="footnote text"/>
    <w:basedOn w:val="Normal"/>
    <w:link w:val="FootnoteTextChar"/>
    <w:uiPriority w:val="99"/>
    <w:semiHidden/>
    <w:unhideWhenUsed/>
    <w:rsid w:val="0017655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7655A"/>
    <w:rPr>
      <w:sz w:val="20"/>
      <w:szCs w:val="20"/>
    </w:rPr>
  </w:style>
  <w:style w:type="character" w:styleId="FootnoteReference">
    <w:name w:val="footnote reference"/>
    <w:basedOn w:val="DefaultParagraphFont"/>
    <w:uiPriority w:val="99"/>
    <w:semiHidden/>
    <w:unhideWhenUsed/>
    <w:rsid w:val="0017655A"/>
    <w:rPr>
      <w:vertAlign w:val="superscript"/>
    </w:rPr>
  </w:style>
  <w:style w:type="paragraph" w:styleId="BalloonText">
    <w:name w:val="Balloon Text"/>
    <w:basedOn w:val="Normal"/>
    <w:link w:val="BalloonTextChar"/>
    <w:uiPriority w:val="99"/>
    <w:semiHidden/>
    <w:unhideWhenUsed/>
    <w:rsid w:val="00DD38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385B"/>
    <w:rPr>
      <w:rFonts w:ascii="Tahoma" w:hAnsi="Tahoma" w:cs="Tahoma"/>
      <w:sz w:val="16"/>
      <w:szCs w:val="16"/>
    </w:rPr>
  </w:style>
  <w:style w:type="paragraph" w:styleId="Caption">
    <w:name w:val="caption"/>
    <w:basedOn w:val="Normal"/>
    <w:next w:val="Normal"/>
    <w:uiPriority w:val="35"/>
    <w:unhideWhenUsed/>
    <w:qFormat/>
    <w:rsid w:val="00992744"/>
    <w:pPr>
      <w:spacing w:line="240" w:lineRule="auto"/>
    </w:pPr>
    <w:rPr>
      <w:b/>
      <w:bCs/>
      <w:color w:val="4F81BD" w:themeColor="accent1"/>
      <w:sz w:val="18"/>
      <w:szCs w:val="18"/>
    </w:rPr>
  </w:style>
  <w:style w:type="character" w:styleId="Hyperlink">
    <w:name w:val="Hyperlink"/>
    <w:basedOn w:val="DefaultParagraphFont"/>
    <w:uiPriority w:val="99"/>
    <w:unhideWhenUsed/>
    <w:rsid w:val="00126D15"/>
    <w:rPr>
      <w:color w:val="0000FF" w:themeColor="hyperlink"/>
      <w:u w:val="single"/>
    </w:rPr>
  </w:style>
  <w:style w:type="paragraph" w:styleId="Header">
    <w:name w:val="header"/>
    <w:basedOn w:val="Normal"/>
    <w:link w:val="HeaderChar"/>
    <w:uiPriority w:val="99"/>
    <w:unhideWhenUsed/>
    <w:rsid w:val="004752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5217"/>
  </w:style>
  <w:style w:type="paragraph" w:styleId="Footer">
    <w:name w:val="footer"/>
    <w:basedOn w:val="Normal"/>
    <w:link w:val="FooterChar"/>
    <w:uiPriority w:val="99"/>
    <w:unhideWhenUsed/>
    <w:rsid w:val="004752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521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628A"/>
    <w:pPr>
      <w:ind w:left="720"/>
      <w:contextualSpacing/>
    </w:pPr>
  </w:style>
  <w:style w:type="paragraph" w:styleId="FootnoteText">
    <w:name w:val="footnote text"/>
    <w:basedOn w:val="Normal"/>
    <w:link w:val="FootnoteTextChar"/>
    <w:uiPriority w:val="99"/>
    <w:semiHidden/>
    <w:unhideWhenUsed/>
    <w:rsid w:val="0017655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7655A"/>
    <w:rPr>
      <w:sz w:val="20"/>
      <w:szCs w:val="20"/>
    </w:rPr>
  </w:style>
  <w:style w:type="character" w:styleId="FootnoteReference">
    <w:name w:val="footnote reference"/>
    <w:basedOn w:val="DefaultParagraphFont"/>
    <w:uiPriority w:val="99"/>
    <w:semiHidden/>
    <w:unhideWhenUsed/>
    <w:rsid w:val="0017655A"/>
    <w:rPr>
      <w:vertAlign w:val="superscript"/>
    </w:rPr>
  </w:style>
  <w:style w:type="paragraph" w:styleId="BalloonText">
    <w:name w:val="Balloon Text"/>
    <w:basedOn w:val="Normal"/>
    <w:link w:val="BalloonTextChar"/>
    <w:uiPriority w:val="99"/>
    <w:semiHidden/>
    <w:unhideWhenUsed/>
    <w:rsid w:val="00DD38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385B"/>
    <w:rPr>
      <w:rFonts w:ascii="Tahoma" w:hAnsi="Tahoma" w:cs="Tahoma"/>
      <w:sz w:val="16"/>
      <w:szCs w:val="16"/>
    </w:rPr>
  </w:style>
  <w:style w:type="paragraph" w:styleId="Caption">
    <w:name w:val="caption"/>
    <w:basedOn w:val="Normal"/>
    <w:next w:val="Normal"/>
    <w:uiPriority w:val="35"/>
    <w:unhideWhenUsed/>
    <w:qFormat/>
    <w:rsid w:val="00992744"/>
    <w:pPr>
      <w:spacing w:line="240" w:lineRule="auto"/>
    </w:pPr>
    <w:rPr>
      <w:b/>
      <w:bCs/>
      <w:color w:val="4F81BD" w:themeColor="accent1"/>
      <w:sz w:val="18"/>
      <w:szCs w:val="18"/>
    </w:rPr>
  </w:style>
  <w:style w:type="character" w:styleId="Hyperlink">
    <w:name w:val="Hyperlink"/>
    <w:basedOn w:val="DefaultParagraphFont"/>
    <w:uiPriority w:val="99"/>
    <w:unhideWhenUsed/>
    <w:rsid w:val="00126D15"/>
    <w:rPr>
      <w:color w:val="0000FF" w:themeColor="hyperlink"/>
      <w:u w:val="single"/>
    </w:rPr>
  </w:style>
  <w:style w:type="paragraph" w:styleId="Header">
    <w:name w:val="header"/>
    <w:basedOn w:val="Normal"/>
    <w:link w:val="HeaderChar"/>
    <w:uiPriority w:val="99"/>
    <w:unhideWhenUsed/>
    <w:rsid w:val="004752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5217"/>
  </w:style>
  <w:style w:type="paragraph" w:styleId="Footer">
    <w:name w:val="footer"/>
    <w:basedOn w:val="Normal"/>
    <w:link w:val="FooterChar"/>
    <w:uiPriority w:val="99"/>
    <w:unhideWhenUsed/>
    <w:rsid w:val="004752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52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hyperlink" Target="http://heiup.uni-heidelberg.de/journals/index.php/transcultural/article/view/9263/3223" TargetMode="Externa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A77C500-826B-47F7-8BF1-F3D5468680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1561</TotalTime>
  <Pages>8</Pages>
  <Words>3225</Words>
  <Characters>15581</Characters>
  <Application>Microsoft Office Word</Application>
  <DocSecurity>0</DocSecurity>
  <Lines>205</Lines>
  <Paragraphs>28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18778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Jack</dc:creator>
  <cp:lastModifiedBy>Jack</cp:lastModifiedBy>
  <cp:revision>69</cp:revision>
  <dcterms:created xsi:type="dcterms:W3CDTF">2017-12-11T14:49:00Z</dcterms:created>
  <dcterms:modified xsi:type="dcterms:W3CDTF">2017-12-14T18:32:00Z</dcterms:modified>
</cp:coreProperties>
</file>