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73EB92" w14:textId="77777777" w:rsidR="0051147A" w:rsidRDefault="0051147A" w:rsidP="0051147A">
      <w:bookmarkStart w:id="0" w:name="_heading=h.tw3wrnr7mpw0" w:colFirst="0" w:colLast="0"/>
      <w:bookmarkEnd w:id="0"/>
    </w:p>
    <w:p w14:paraId="7F69443A" w14:textId="77777777" w:rsidR="0051147A" w:rsidRDefault="0051147A">
      <w:pPr>
        <w:pStyle w:val="Title"/>
        <w:spacing w:after="300"/>
        <w:jc w:val="center"/>
      </w:pPr>
    </w:p>
    <w:p w14:paraId="266A0A46" w14:textId="3B211682" w:rsidR="00696738" w:rsidRDefault="0036746E">
      <w:pPr>
        <w:pStyle w:val="Title"/>
        <w:spacing w:after="300"/>
        <w:jc w:val="center"/>
      </w:pPr>
      <w:r>
        <w:rPr>
          <w:noProof/>
        </w:rPr>
        <w:drawing>
          <wp:inline distT="0" distB="0" distL="0" distR="0" wp14:anchorId="1AE31303" wp14:editId="35A5926A">
            <wp:extent cx="3625313" cy="1983179"/>
            <wp:effectExtent l="0" t="0" r="0" b="0"/>
            <wp:docPr id="2140145776" name="Picture 1" descr="University of Wales Trinity Saint David logo" title="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42046" cy="1992332"/>
                    </a:xfrm>
                    <a:prstGeom prst="rect">
                      <a:avLst/>
                    </a:prstGeom>
                    <a:noFill/>
                    <a:ln>
                      <a:noFill/>
                    </a:ln>
                  </pic:spPr>
                </pic:pic>
              </a:graphicData>
            </a:graphic>
          </wp:inline>
        </w:drawing>
      </w:r>
    </w:p>
    <w:p w14:paraId="031C4BEC" w14:textId="77777777" w:rsidR="0036746E" w:rsidRPr="0036746E" w:rsidRDefault="0036746E" w:rsidP="0036746E"/>
    <w:p w14:paraId="4D18E842" w14:textId="77777777" w:rsidR="00696738" w:rsidRDefault="00000000">
      <w:pPr>
        <w:pStyle w:val="Title"/>
        <w:spacing w:after="300"/>
        <w:jc w:val="center"/>
      </w:pPr>
      <w:bookmarkStart w:id="1" w:name="_heading=h.kihqyobf45c6" w:colFirst="0" w:colLast="0"/>
      <w:bookmarkEnd w:id="1"/>
      <w:r>
        <w:t>A Lightweight PUF-Blockchain Framework for Real-Time Detection of Counterfeit and Tampered Components in IoT Hardware Supply Chains</w:t>
      </w:r>
    </w:p>
    <w:p w14:paraId="4F931B18" w14:textId="77777777" w:rsidR="00696738" w:rsidRDefault="00000000">
      <w:pPr>
        <w:pStyle w:val="Heading1"/>
        <w:spacing w:after="160"/>
        <w:jc w:val="center"/>
        <w:rPr>
          <w:color w:val="000000"/>
        </w:rPr>
      </w:pPr>
      <w:bookmarkStart w:id="2" w:name="_heading=h.btx0078k6j00" w:colFirst="0" w:colLast="0"/>
      <w:bookmarkEnd w:id="2"/>
      <w:r>
        <w:rPr>
          <w:color w:val="000000"/>
        </w:rPr>
        <w:t>MSc Postgraduate Research Proposal</w:t>
      </w:r>
    </w:p>
    <w:p w14:paraId="59834FDE" w14:textId="77777777" w:rsidR="00696738" w:rsidRDefault="00000000">
      <w:pPr>
        <w:pStyle w:val="Heading1"/>
        <w:spacing w:after="900"/>
        <w:jc w:val="center"/>
        <w:rPr>
          <w:color w:val="000000"/>
        </w:rPr>
      </w:pPr>
      <w:bookmarkStart w:id="3" w:name="_heading=h.2lpaic896ozq" w:colFirst="0" w:colLast="0"/>
      <w:bookmarkEnd w:id="3"/>
      <w:r>
        <w:rPr>
          <w:color w:val="000000"/>
        </w:rPr>
        <w:t>Assessment - Research Proposal</w:t>
      </w:r>
    </w:p>
    <w:p w14:paraId="1D9BE3EC" w14:textId="26A3F425" w:rsidR="00696738" w:rsidRDefault="00000000">
      <w:pPr>
        <w:pStyle w:val="Title"/>
        <w:jc w:val="center"/>
      </w:pPr>
      <w:bookmarkStart w:id="4" w:name="_heading=h.zcwqa8c1rrrw" w:colFirst="0" w:colLast="0"/>
      <w:bookmarkEnd w:id="4"/>
      <w:r>
        <w:t xml:space="preserve">Name: </w:t>
      </w:r>
      <w:r w:rsidR="00E6145C">
        <w:t>Dhrumil Acharya</w:t>
      </w:r>
    </w:p>
    <w:p w14:paraId="00839A46" w14:textId="2F1C55ED" w:rsidR="00696738" w:rsidRDefault="00000000">
      <w:pPr>
        <w:pStyle w:val="Title"/>
        <w:jc w:val="center"/>
      </w:pPr>
      <w:bookmarkStart w:id="5" w:name="_heading=h.rln7rl9x5ilc" w:colFirst="0" w:colLast="0"/>
      <w:bookmarkEnd w:id="5"/>
      <w:r>
        <w:t xml:space="preserve">Enrollment: </w:t>
      </w:r>
      <w:r w:rsidR="00E6145C">
        <w:t>2529430</w:t>
      </w:r>
    </w:p>
    <w:p w14:paraId="53C2121F" w14:textId="77777777" w:rsidR="00696738" w:rsidRDefault="00000000">
      <w:r>
        <w:br w:type="page"/>
      </w:r>
    </w:p>
    <w:p w14:paraId="0282A0FD" w14:textId="31103810" w:rsidR="00696738" w:rsidRPr="001C0BBC" w:rsidRDefault="00000000" w:rsidP="001C0BBC">
      <w:pPr>
        <w:pStyle w:val="Heading1"/>
        <w:spacing w:before="300" w:after="140"/>
        <w:rPr>
          <w:color w:val="000000"/>
        </w:rPr>
      </w:pPr>
      <w:r>
        <w:rPr>
          <w:rFonts w:ascii="Calibri" w:eastAsia="Calibri" w:hAnsi="Calibri" w:cs="Calibri"/>
          <w:b/>
          <w:bCs/>
          <w:color w:val="000000"/>
          <w:sz w:val="27"/>
          <w:szCs w:val="27"/>
        </w:rPr>
        <w:lastRenderedPageBreak/>
        <w:t>Table of Contents</w:t>
      </w:r>
    </w:p>
    <w:tbl>
      <w:tblPr>
        <w:tblStyle w:val="a"/>
        <w:tblW w:w="9351"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562"/>
        <w:gridCol w:w="7938"/>
        <w:gridCol w:w="851"/>
      </w:tblGrid>
      <w:tr w:rsidR="00696738" w14:paraId="6017FE0E" w14:textId="77777777" w:rsidTr="00202A87">
        <w:trPr>
          <w:trHeight w:val="289"/>
          <w:tblHeader/>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66C8EC" w14:textId="77777777" w:rsidR="00696738" w:rsidRDefault="00000000">
            <w:pPr>
              <w:jc w:val="center"/>
            </w:pPr>
            <w:r>
              <w:rPr>
                <w:b/>
                <w:bCs/>
              </w:rPr>
              <w:t>Section</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36FCB9" w14:textId="77777777" w:rsidR="00696738" w:rsidRDefault="00000000">
            <w:pPr>
              <w:jc w:val="center"/>
            </w:pPr>
            <w:r>
              <w:rPr>
                <w:b/>
                <w:bCs/>
              </w:rPr>
              <w:t>Title</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8A20C5" w14:textId="77777777" w:rsidR="00696738" w:rsidRDefault="00000000">
            <w:pPr>
              <w:jc w:val="center"/>
            </w:pPr>
            <w:r>
              <w:rPr>
                <w:b/>
                <w:bCs/>
              </w:rPr>
              <w:t>Page No</w:t>
            </w:r>
          </w:p>
        </w:tc>
      </w:tr>
      <w:tr w:rsidR="00696738" w14:paraId="255F85F7" w14:textId="77777777" w:rsidTr="00202A87">
        <w:trPr>
          <w:trHeight w:val="44"/>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7A4CC9" w14:textId="77777777" w:rsidR="00696738" w:rsidRDefault="00000000">
            <w:pPr>
              <w:jc w:val="center"/>
            </w:pPr>
            <w:r>
              <w:rPr>
                <w:b/>
                <w:bCs/>
              </w:rPr>
              <w:t>1</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E06B7F" w14:textId="77777777" w:rsidR="00696738" w:rsidRDefault="00000000">
            <w:r>
              <w:rPr>
                <w:b/>
                <w:bCs/>
              </w:rPr>
              <w:t>Introduction</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88D4FC" w14:textId="77777777" w:rsidR="00696738" w:rsidRDefault="00000000">
            <w:pPr>
              <w:jc w:val="center"/>
            </w:pPr>
            <w:r>
              <w:t>3</w:t>
            </w:r>
          </w:p>
        </w:tc>
      </w:tr>
      <w:tr w:rsidR="00696738" w14:paraId="4941FC9F" w14:textId="77777777" w:rsidTr="00202A87">
        <w:trPr>
          <w:trHeight w:val="189"/>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A313F8" w14:textId="77777777" w:rsidR="00696738" w:rsidRDefault="00000000">
            <w:pPr>
              <w:jc w:val="center"/>
            </w:pPr>
            <w:r>
              <w:t>1.1</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41F69E" w14:textId="77777777" w:rsidR="00696738" w:rsidRDefault="00000000">
            <w:r>
              <w:t>Context and Background</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9F1052" w14:textId="77777777" w:rsidR="00696738" w:rsidRDefault="00000000">
            <w:pPr>
              <w:jc w:val="center"/>
            </w:pPr>
            <w:r>
              <w:t>3</w:t>
            </w:r>
          </w:p>
        </w:tc>
      </w:tr>
      <w:tr w:rsidR="00696738" w14:paraId="7036F06B" w14:textId="77777777" w:rsidTr="00202A87">
        <w:trPr>
          <w:trHeight w:val="181"/>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8529A5" w14:textId="77777777" w:rsidR="00696738" w:rsidRDefault="00000000">
            <w:pPr>
              <w:jc w:val="center"/>
            </w:pPr>
            <w:r>
              <w:t>1.2</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9B562A" w14:textId="77777777" w:rsidR="00696738" w:rsidRDefault="00000000">
            <w:r>
              <w:t>Research Problem</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455E14" w14:textId="77777777" w:rsidR="00696738" w:rsidRDefault="00000000">
            <w:pPr>
              <w:jc w:val="center"/>
            </w:pPr>
            <w:r>
              <w:t>4</w:t>
            </w:r>
          </w:p>
        </w:tc>
      </w:tr>
      <w:tr w:rsidR="00696738" w14:paraId="2026605A" w14:textId="77777777" w:rsidTr="00202A87">
        <w:trPr>
          <w:trHeight w:val="32"/>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B219D5" w14:textId="77777777" w:rsidR="00696738" w:rsidRDefault="00000000">
            <w:pPr>
              <w:jc w:val="center"/>
            </w:pPr>
            <w:r>
              <w:t>1.3</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95B5A6" w14:textId="77777777" w:rsidR="00696738" w:rsidRDefault="00000000">
            <w:r>
              <w:t>Research Aim and Objectives</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66A720" w14:textId="77777777" w:rsidR="00696738" w:rsidRDefault="00000000">
            <w:pPr>
              <w:jc w:val="center"/>
            </w:pPr>
            <w:r>
              <w:t>4</w:t>
            </w:r>
          </w:p>
        </w:tc>
      </w:tr>
      <w:tr w:rsidR="00696738" w14:paraId="3CE04B06" w14:textId="77777777" w:rsidTr="00202A87">
        <w:trPr>
          <w:trHeight w:val="151"/>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4B1B8F" w14:textId="77777777" w:rsidR="00696738" w:rsidRDefault="00000000">
            <w:pPr>
              <w:jc w:val="center"/>
            </w:pPr>
            <w:r>
              <w:t>1.4</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6D2601" w14:textId="77777777" w:rsidR="00696738" w:rsidRDefault="00000000">
            <w:r>
              <w:t>Significance of the Research</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579AF3" w14:textId="77777777" w:rsidR="00696738" w:rsidRDefault="00000000">
            <w:pPr>
              <w:jc w:val="center"/>
            </w:pPr>
            <w:r>
              <w:t>5</w:t>
            </w:r>
          </w:p>
        </w:tc>
      </w:tr>
      <w:tr w:rsidR="00696738" w14:paraId="6BC9E78B"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AAEAA4" w14:textId="77777777" w:rsidR="00696738" w:rsidRDefault="00000000">
            <w:pPr>
              <w:jc w:val="center"/>
            </w:pPr>
            <w:r>
              <w:rPr>
                <w:b/>
                <w:bCs/>
              </w:rPr>
              <w:t>2</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F857AA" w14:textId="77777777" w:rsidR="00696738" w:rsidRDefault="00000000">
            <w:r>
              <w:rPr>
                <w:b/>
                <w:bCs/>
              </w:rPr>
              <w:t>Literature Review</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47F68A" w14:textId="77777777" w:rsidR="00696738" w:rsidRDefault="00000000">
            <w:pPr>
              <w:jc w:val="center"/>
            </w:pPr>
            <w:r>
              <w:t>6</w:t>
            </w:r>
          </w:p>
        </w:tc>
      </w:tr>
      <w:tr w:rsidR="00696738" w14:paraId="68C8529F"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C4B06A" w14:textId="77777777" w:rsidR="00696738" w:rsidRDefault="00000000">
            <w:pPr>
              <w:jc w:val="center"/>
            </w:pPr>
            <w:r>
              <w:t>2.1</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B0A229" w14:textId="77777777" w:rsidR="00696738" w:rsidRDefault="00000000">
            <w:r>
              <w:t>Counterfeit and Tampering Risks in IoT Supply Chains</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49B598" w14:textId="77777777" w:rsidR="00696738" w:rsidRDefault="00000000">
            <w:pPr>
              <w:jc w:val="center"/>
            </w:pPr>
            <w:r>
              <w:t>6</w:t>
            </w:r>
          </w:p>
        </w:tc>
      </w:tr>
      <w:tr w:rsidR="00696738" w14:paraId="275317EF"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1685C3" w14:textId="77777777" w:rsidR="00696738" w:rsidRDefault="00000000">
            <w:pPr>
              <w:jc w:val="center"/>
            </w:pPr>
            <w:r>
              <w:t>2.2</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16682D" w14:textId="77777777" w:rsidR="00696738" w:rsidRDefault="00000000">
            <w:r>
              <w:t>PUF Foundations and Hardware Identity</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A7541F" w14:textId="77777777" w:rsidR="00696738" w:rsidRDefault="00000000">
            <w:pPr>
              <w:jc w:val="center"/>
            </w:pPr>
            <w:r>
              <w:t>6</w:t>
            </w:r>
          </w:p>
        </w:tc>
      </w:tr>
      <w:tr w:rsidR="00696738" w14:paraId="34432D82"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C9EA2A" w14:textId="77777777" w:rsidR="00696738" w:rsidRDefault="00000000">
            <w:pPr>
              <w:jc w:val="center"/>
            </w:pPr>
            <w:r>
              <w:t>2.3</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292BE5" w14:textId="77777777" w:rsidR="00696738" w:rsidRDefault="00000000">
            <w:r>
              <w:t>PUF Reliability and Attack Resistance</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85B37A" w14:textId="77777777" w:rsidR="00696738" w:rsidRDefault="00000000">
            <w:pPr>
              <w:jc w:val="center"/>
            </w:pPr>
            <w:r>
              <w:t>7</w:t>
            </w:r>
          </w:p>
        </w:tc>
      </w:tr>
      <w:tr w:rsidR="00696738" w14:paraId="62C933B8"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359412" w14:textId="77777777" w:rsidR="00696738" w:rsidRDefault="00000000">
            <w:pPr>
              <w:jc w:val="center"/>
            </w:pPr>
            <w:r>
              <w:t>2.4</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7E20B9" w14:textId="77777777" w:rsidR="00696738" w:rsidRDefault="00000000">
            <w:r>
              <w:t>Blockchain Traceability and Permissioned Ledgers</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BA3D29" w14:textId="77777777" w:rsidR="00696738" w:rsidRDefault="00000000">
            <w:pPr>
              <w:jc w:val="center"/>
            </w:pPr>
            <w:r>
              <w:t>7</w:t>
            </w:r>
          </w:p>
        </w:tc>
      </w:tr>
      <w:tr w:rsidR="00696738" w14:paraId="52DD4E6C"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D2145A" w14:textId="77777777" w:rsidR="00696738" w:rsidRDefault="00000000">
            <w:pPr>
              <w:jc w:val="center"/>
            </w:pPr>
            <w:r>
              <w:t>2.5</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6399DD" w14:textId="77777777" w:rsidR="00696738" w:rsidRDefault="00000000">
            <w:r>
              <w:t>Existing PUF-Blockchain Approaches and Research Gap</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126C9A" w14:textId="77777777" w:rsidR="00696738" w:rsidRDefault="00000000">
            <w:pPr>
              <w:jc w:val="center"/>
            </w:pPr>
            <w:r>
              <w:t>8</w:t>
            </w:r>
          </w:p>
        </w:tc>
      </w:tr>
      <w:tr w:rsidR="00696738" w14:paraId="618EAE4F"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167674" w14:textId="77777777" w:rsidR="00696738" w:rsidRDefault="00000000">
            <w:pPr>
              <w:jc w:val="center"/>
            </w:pPr>
            <w:r>
              <w:t>2.6</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CB0539" w14:textId="77777777" w:rsidR="00696738" w:rsidRDefault="00000000">
            <w:r>
              <w:t>Summary of Reviewed Studies</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9447AD" w14:textId="77777777" w:rsidR="00696738" w:rsidRDefault="00000000">
            <w:pPr>
              <w:jc w:val="center"/>
            </w:pPr>
            <w:r>
              <w:t>8</w:t>
            </w:r>
          </w:p>
        </w:tc>
      </w:tr>
      <w:tr w:rsidR="00696738" w14:paraId="14586E58" w14:textId="77777777" w:rsidTr="00202A87">
        <w:trPr>
          <w:trHeight w:val="46"/>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C1ED35" w14:textId="77777777" w:rsidR="00696738" w:rsidRDefault="00000000">
            <w:pPr>
              <w:jc w:val="center"/>
            </w:pPr>
            <w:r>
              <w:t>2.7</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B5E24B" w14:textId="77777777" w:rsidR="00696738" w:rsidRDefault="00000000">
            <w:r>
              <w:t>Position of the Present Study</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B7417E" w14:textId="77777777" w:rsidR="00696738" w:rsidRDefault="00000000">
            <w:pPr>
              <w:jc w:val="center"/>
            </w:pPr>
            <w:r>
              <w:t>9</w:t>
            </w:r>
          </w:p>
        </w:tc>
      </w:tr>
      <w:tr w:rsidR="00696738" w14:paraId="646FCAE1"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8DEB34" w14:textId="77777777" w:rsidR="00696738" w:rsidRDefault="00000000">
            <w:pPr>
              <w:jc w:val="center"/>
            </w:pPr>
            <w:r>
              <w:rPr>
                <w:b/>
                <w:bCs/>
              </w:rPr>
              <w:t>3</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84FD70" w14:textId="77777777" w:rsidR="00696738" w:rsidRDefault="00000000">
            <w:r>
              <w:rPr>
                <w:b/>
                <w:bCs/>
              </w:rPr>
              <w:t>Research Design and Methodology</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FB7978" w14:textId="77777777" w:rsidR="00696738" w:rsidRDefault="00000000">
            <w:pPr>
              <w:jc w:val="center"/>
            </w:pPr>
            <w:r>
              <w:t>10</w:t>
            </w:r>
          </w:p>
        </w:tc>
      </w:tr>
      <w:tr w:rsidR="00696738" w14:paraId="2F304889"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C71539" w14:textId="77777777" w:rsidR="00696738" w:rsidRDefault="00000000">
            <w:pPr>
              <w:jc w:val="center"/>
            </w:pPr>
            <w:r>
              <w:t>3.1</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85EC60" w14:textId="77777777" w:rsidR="00696738" w:rsidRDefault="00000000">
            <w:r>
              <w:t>Research Design</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C9C8FC" w14:textId="77777777" w:rsidR="00696738" w:rsidRDefault="00000000">
            <w:pPr>
              <w:jc w:val="center"/>
            </w:pPr>
            <w:r>
              <w:t>10</w:t>
            </w:r>
          </w:p>
        </w:tc>
      </w:tr>
      <w:tr w:rsidR="00696738" w14:paraId="4EEB1F05"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5B7334" w14:textId="77777777" w:rsidR="00696738" w:rsidRDefault="00000000">
            <w:pPr>
              <w:jc w:val="center"/>
            </w:pPr>
            <w:r>
              <w:t>3.2</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5F7E03" w14:textId="77777777" w:rsidR="00696738" w:rsidRDefault="00000000">
            <w:r>
              <w:t>Research Methods and Materials</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72170C" w14:textId="77777777" w:rsidR="00696738" w:rsidRDefault="00000000">
            <w:pPr>
              <w:jc w:val="center"/>
            </w:pPr>
            <w:r>
              <w:t>10</w:t>
            </w:r>
          </w:p>
        </w:tc>
      </w:tr>
      <w:tr w:rsidR="00696738" w14:paraId="719AA331"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11DFBB" w14:textId="77777777" w:rsidR="00696738" w:rsidRDefault="00000000">
            <w:pPr>
              <w:jc w:val="center"/>
            </w:pPr>
            <w:r>
              <w:rPr>
                <w:b/>
                <w:bCs/>
              </w:rPr>
              <w:t>4</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C0C567" w14:textId="77777777" w:rsidR="00696738" w:rsidRDefault="00000000">
            <w:r>
              <w:rPr>
                <w:b/>
                <w:bCs/>
              </w:rPr>
              <w:t>Expected Outcomes</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61CA4B" w14:textId="77777777" w:rsidR="00696738" w:rsidRDefault="00000000">
            <w:pPr>
              <w:jc w:val="center"/>
            </w:pPr>
            <w:r>
              <w:t>13</w:t>
            </w:r>
          </w:p>
        </w:tc>
      </w:tr>
      <w:tr w:rsidR="00696738" w14:paraId="42948B21"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738A0F" w14:textId="77777777" w:rsidR="00696738" w:rsidRDefault="00000000">
            <w:pPr>
              <w:jc w:val="center"/>
            </w:pPr>
            <w:r>
              <w:rPr>
                <w:b/>
                <w:bCs/>
              </w:rPr>
              <w:t>5</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8433A5" w14:textId="77777777" w:rsidR="00696738" w:rsidRDefault="00000000">
            <w:r>
              <w:rPr>
                <w:b/>
                <w:bCs/>
              </w:rPr>
              <w:t>Timeline</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BE24BF" w14:textId="77777777" w:rsidR="00696738" w:rsidRDefault="00000000">
            <w:pPr>
              <w:jc w:val="center"/>
            </w:pPr>
            <w:r>
              <w:t>14</w:t>
            </w:r>
          </w:p>
        </w:tc>
      </w:tr>
      <w:tr w:rsidR="00696738" w14:paraId="3B1662B8"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AA3F5D" w14:textId="77777777" w:rsidR="00696738" w:rsidRDefault="00000000">
            <w:pPr>
              <w:jc w:val="center"/>
            </w:pPr>
            <w:r>
              <w:rPr>
                <w:b/>
                <w:bCs/>
              </w:rPr>
              <w:t>6</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4DAC7A" w14:textId="77777777" w:rsidR="00696738" w:rsidRDefault="00000000">
            <w:r>
              <w:rPr>
                <w:b/>
                <w:bCs/>
              </w:rPr>
              <w:t>Overall Presentation of the Proposal</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DE880D" w14:textId="77777777" w:rsidR="00696738" w:rsidRDefault="00000000">
            <w:pPr>
              <w:jc w:val="center"/>
            </w:pPr>
            <w:r>
              <w:t>15</w:t>
            </w:r>
          </w:p>
        </w:tc>
      </w:tr>
      <w:tr w:rsidR="00696738" w14:paraId="1CEDB3D8" w14:textId="77777777" w:rsidTr="00202A87">
        <w:trPr>
          <w:trHeight w:val="15"/>
        </w:trPr>
        <w:tc>
          <w:tcPr>
            <w:tcW w:w="5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D5FA65" w14:textId="77777777" w:rsidR="00696738" w:rsidRDefault="00000000">
            <w:pPr>
              <w:jc w:val="center"/>
            </w:pPr>
            <w:r>
              <w:rPr>
                <w:b/>
                <w:bCs/>
              </w:rPr>
              <w:t>7</w:t>
            </w:r>
          </w:p>
        </w:tc>
        <w:tc>
          <w:tcPr>
            <w:tcW w:w="79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F3CE74" w14:textId="77777777" w:rsidR="00696738" w:rsidRDefault="00000000">
            <w:r>
              <w:rPr>
                <w:b/>
                <w:bCs/>
              </w:rPr>
              <w:t>References</w:t>
            </w:r>
          </w:p>
        </w:tc>
        <w:tc>
          <w:tcPr>
            <w:tcW w:w="8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442935" w14:textId="77777777" w:rsidR="00696738" w:rsidRDefault="00000000">
            <w:pPr>
              <w:jc w:val="center"/>
            </w:pPr>
            <w:r>
              <w:t>16</w:t>
            </w:r>
          </w:p>
        </w:tc>
      </w:tr>
    </w:tbl>
    <w:p w14:paraId="661913EC" w14:textId="77777777" w:rsidR="00696738" w:rsidRDefault="00696738">
      <w:pPr>
        <w:rPr>
          <w:rFonts w:ascii="Calibri" w:eastAsia="Calibri" w:hAnsi="Calibri" w:cs="Calibri"/>
          <w:b/>
          <w:bCs/>
          <w:sz w:val="22"/>
          <w:szCs w:val="22"/>
        </w:rPr>
      </w:pPr>
    </w:p>
    <w:p w14:paraId="6B1E3640" w14:textId="77777777" w:rsidR="00696738" w:rsidRDefault="00000000" w:rsidP="0036746E">
      <w:pPr>
        <w:rPr>
          <w:rFonts w:ascii="Calibri" w:eastAsia="Calibri" w:hAnsi="Calibri" w:cs="Calibri"/>
          <w:color w:val="000000"/>
          <w:sz w:val="27"/>
          <w:szCs w:val="27"/>
        </w:rPr>
      </w:pPr>
      <w:r>
        <w:br w:type="page"/>
      </w:r>
    </w:p>
    <w:p w14:paraId="01141636" w14:textId="77777777" w:rsidR="00696738" w:rsidRDefault="00000000">
      <w:pPr>
        <w:pStyle w:val="Heading1"/>
        <w:spacing w:before="300" w:after="140"/>
        <w:rPr>
          <w:color w:val="000000"/>
        </w:rPr>
      </w:pPr>
      <w:r>
        <w:rPr>
          <w:rFonts w:ascii="Calibri" w:eastAsia="Calibri" w:hAnsi="Calibri" w:cs="Calibri"/>
          <w:b/>
          <w:bCs/>
          <w:color w:val="000000"/>
          <w:sz w:val="27"/>
          <w:szCs w:val="27"/>
        </w:rPr>
        <w:lastRenderedPageBreak/>
        <w:t>1. Introduction</w:t>
      </w:r>
    </w:p>
    <w:p w14:paraId="7AA4CAE3" w14:textId="77777777" w:rsidR="00696738" w:rsidRDefault="00000000">
      <w:pPr>
        <w:pStyle w:val="Heading2"/>
        <w:spacing w:before="200" w:after="110"/>
        <w:rPr>
          <w:color w:val="000000"/>
        </w:rPr>
      </w:pPr>
      <w:r>
        <w:rPr>
          <w:rFonts w:ascii="Calibri" w:eastAsia="Calibri" w:hAnsi="Calibri" w:cs="Calibri"/>
          <w:b/>
          <w:bCs/>
          <w:color w:val="000000"/>
          <w:sz w:val="23"/>
          <w:szCs w:val="23"/>
        </w:rPr>
        <w:t>1.1 Context and Background</w:t>
      </w:r>
    </w:p>
    <w:p w14:paraId="1F086C4A" w14:textId="77777777" w:rsidR="00696738" w:rsidRDefault="00000000">
      <w:pPr>
        <w:spacing w:after="140" w:line="288" w:lineRule="auto"/>
        <w:jc w:val="both"/>
      </w:pPr>
      <w:r>
        <w:rPr>
          <w:rFonts w:ascii="Calibri" w:eastAsia="Calibri" w:hAnsi="Calibri" w:cs="Calibri"/>
          <w:sz w:val="22"/>
          <w:szCs w:val="22"/>
        </w:rPr>
        <w:t>An Internet of Things (IoT) product is rarely made by one organisation. Its processor, memory, sensors, radio module and printed circuit board may pass through several manufacturers, distributors and assembly sites before the finished device reaches a customer. This layered route is efficient, but it also makes provenance difficult to verify. A reused, remarked or substituted component can look genuine on paper, while an authentic part may be altered after it leaves a trusted facility. Counterfeit integrated circuits have therefore become both a quality problem and a cybersecurity risk, especially when the affected device controls a physical process or handles sensitive data [1]. Conventional inspections remain valuable, but they are often manual, destructive, expensive or performed only after a batch has already moved on.</w:t>
      </w:r>
    </w:p>
    <w:p w14:paraId="212F21A2" w14:textId="77777777" w:rsidR="00696738" w:rsidRDefault="00000000">
      <w:pPr>
        <w:spacing w:after="140" w:line="288" w:lineRule="auto"/>
        <w:jc w:val="both"/>
      </w:pPr>
      <w:r>
        <w:rPr>
          <w:rFonts w:ascii="Calibri" w:eastAsia="Calibri" w:hAnsi="Calibri" w:cs="Calibri"/>
          <w:sz w:val="22"/>
          <w:szCs w:val="22"/>
        </w:rPr>
        <w:t>A physical unclonable function (PUF) offers a different starting point. Small variations introduced during semiconductor manufacture cause nominally identical circuits to respond differently to the same stimulus. Those differences can be used as a hardware fingerprint or as the source of a device-bound cryptographic key [2], [3]. The attraction is practical: the identity is tied to physical behaviour rather than to a serial number stored in ordinary memory. A checker can challenge a component and compare the resulting proof with information recorded when the component was enrolled. If another device is substituted, it should not be able to reproduce the same proof, even when its printed markings and digital identifier have been copied.</w:t>
      </w:r>
    </w:p>
    <w:p w14:paraId="282A1A05" w14:textId="77777777" w:rsidR="00696738" w:rsidRDefault="00000000">
      <w:pPr>
        <w:spacing w:after="140" w:line="288" w:lineRule="auto"/>
        <w:jc w:val="both"/>
      </w:pPr>
      <w:r>
        <w:rPr>
          <w:rFonts w:ascii="Calibri" w:eastAsia="Calibri" w:hAnsi="Calibri" w:cs="Calibri"/>
          <w:sz w:val="22"/>
          <w:szCs w:val="22"/>
        </w:rPr>
        <w:t>PUFs are not perfect fingerprints, however. Temperature, supply variation and circuit ageing can change a few response bits, so a practical design needs error correction and carefully managed helper data [4], [5]. Strong PUF designs can also be modelled if an attacker is allowed to collect too many challenge-response pairs [6]. A distributed ledger addresses a different weakness: it can preserve an agreed history of enrolment, custody transfer and verification across organisations that do not want one party to own the database. Bringing these ideas together is promising, but it only becomes useful if the component-facing protocol stays small, sensitive PUF material is not exposed, and a checkpoint receives a decision fast enough to stop a suspect item before it proceeds further along the chain.</w:t>
      </w:r>
    </w:p>
    <w:p w14:paraId="6801F878" w14:textId="77777777" w:rsidR="001C0BBC" w:rsidRDefault="001C0BBC">
      <w:pPr>
        <w:rPr>
          <w:rFonts w:ascii="Calibri" w:eastAsia="Calibri" w:hAnsi="Calibri" w:cs="Calibri"/>
          <w:b/>
          <w:bCs/>
          <w:color w:val="000000"/>
          <w:sz w:val="23"/>
          <w:szCs w:val="23"/>
        </w:rPr>
      </w:pPr>
      <w:r>
        <w:rPr>
          <w:rFonts w:ascii="Calibri" w:eastAsia="Calibri" w:hAnsi="Calibri" w:cs="Calibri"/>
          <w:b/>
          <w:bCs/>
          <w:color w:val="000000"/>
          <w:sz w:val="23"/>
          <w:szCs w:val="23"/>
        </w:rPr>
        <w:br w:type="page"/>
      </w:r>
    </w:p>
    <w:p w14:paraId="7235074F" w14:textId="01CB1C1B" w:rsidR="00696738" w:rsidRDefault="00000000">
      <w:pPr>
        <w:pStyle w:val="Heading2"/>
        <w:spacing w:before="200" w:after="110"/>
        <w:rPr>
          <w:color w:val="000000"/>
        </w:rPr>
      </w:pPr>
      <w:r>
        <w:rPr>
          <w:rFonts w:ascii="Calibri" w:eastAsia="Calibri" w:hAnsi="Calibri" w:cs="Calibri"/>
          <w:b/>
          <w:bCs/>
          <w:color w:val="000000"/>
          <w:sz w:val="23"/>
          <w:szCs w:val="23"/>
        </w:rPr>
        <w:lastRenderedPageBreak/>
        <w:t>1.2 Research Problem</w:t>
      </w:r>
    </w:p>
    <w:p w14:paraId="77664533" w14:textId="77777777" w:rsidR="00696738" w:rsidRDefault="00000000">
      <w:pPr>
        <w:spacing w:after="140" w:line="288" w:lineRule="auto"/>
        <w:jc w:val="both"/>
      </w:pPr>
      <w:r>
        <w:rPr>
          <w:rFonts w:ascii="Calibri" w:eastAsia="Calibri" w:hAnsi="Calibri" w:cs="Calibri"/>
          <w:sz w:val="22"/>
          <w:szCs w:val="22"/>
        </w:rPr>
        <w:t>Blockchain anti-counterfeit schemes can make ownership records difficult to alter, yet an immutable record is still wrong if the physical item presented at a checkpoint is not the item described in that record. RFID and printed identifiers are useful for locating a record, but both can be copied. Product-ownership systems such as POMS demonstrate ledger-based traceability [7], while Hyperledger Fabric provides a modular permissioned platform in which known organisations transact without a public cryptocurrency [8]. Neither feature alone proves that the electronics in front of the operator are genuine. The missing link is a fresh, device-bound proof that can be checked against an accountable history without forcing the IoT component itself to store a blockchain or run a heavyweight consensus protocol.</w:t>
      </w:r>
    </w:p>
    <w:p w14:paraId="2979BE20" w14:textId="77777777" w:rsidR="00696738" w:rsidRDefault="00000000">
      <w:pPr>
        <w:spacing w:after="140" w:line="288" w:lineRule="auto"/>
        <w:jc w:val="both"/>
      </w:pPr>
      <w:r>
        <w:rPr>
          <w:rFonts w:ascii="Calibri" w:eastAsia="Calibri" w:hAnsi="Calibri" w:cs="Calibri"/>
          <w:sz w:val="22"/>
          <w:szCs w:val="22"/>
        </w:rPr>
        <w:t>Several researchers have connected PUFs with ledgers. Islam, Patil and Kundu bind IC ownership records to PUF data [9]; Negka et al. track components of IoT devices [10]; and Anti-BlUFf adds a consortium chain, smart contracts and an explicit threat model [11]. More recent work explores PUF-enabled RFID, hardware-assisted blockchain and device-bound smart tokens [12]-[14]. These studies establish feasibility, but the evidence is uneven across PUF stability, secret-data handling, ledger delay and edge-device cost. This proposal therefore asks: can a gateway-assisted PUF and permissioned-blockchain design identify counterfeit, substituted and relevant tampered components at a supply-chain checkpoint while keeping verification latency and resource use suitable for near-real-time operation?</w:t>
      </w:r>
    </w:p>
    <w:p w14:paraId="3E7F8A32" w14:textId="77777777" w:rsidR="00696738" w:rsidRDefault="00000000">
      <w:pPr>
        <w:pStyle w:val="Heading2"/>
        <w:spacing w:before="200" w:after="110"/>
        <w:rPr>
          <w:color w:val="000000"/>
        </w:rPr>
      </w:pPr>
      <w:r>
        <w:rPr>
          <w:rFonts w:ascii="Calibri" w:eastAsia="Calibri" w:hAnsi="Calibri" w:cs="Calibri"/>
          <w:b/>
          <w:bCs/>
          <w:color w:val="000000"/>
          <w:sz w:val="23"/>
          <w:szCs w:val="23"/>
        </w:rPr>
        <w:t>1.3 Research Aim and Objectives</w:t>
      </w:r>
    </w:p>
    <w:p w14:paraId="3DE57F53" w14:textId="77777777" w:rsidR="00696738" w:rsidRDefault="00000000">
      <w:pPr>
        <w:spacing w:after="140" w:line="288" w:lineRule="auto"/>
        <w:jc w:val="both"/>
      </w:pPr>
      <w:r>
        <w:rPr>
          <w:rFonts w:ascii="Calibri" w:eastAsia="Calibri" w:hAnsi="Calibri" w:cs="Calibri"/>
          <w:sz w:val="22"/>
          <w:szCs w:val="22"/>
        </w:rPr>
        <w:t>Aim: to design, implement and experimentally evaluate a lightweight framework that combines a PUF-derived hardware identity with a permissioned blockchain provenance record, and to determine how reliably and quickly it can detect counterfeit, substituted and tampered IoT hardware components at simulated supply-chain checkpoints.</w:t>
      </w:r>
    </w:p>
    <w:p w14:paraId="285260DB" w14:textId="77777777" w:rsidR="00696738" w:rsidRDefault="00000000">
      <w:pPr>
        <w:spacing w:after="140" w:line="288" w:lineRule="auto"/>
        <w:jc w:val="both"/>
      </w:pPr>
      <w:r>
        <w:rPr>
          <w:rFonts w:ascii="Calibri" w:eastAsia="Calibri" w:hAnsi="Calibri" w:cs="Calibri"/>
          <w:sz w:val="22"/>
          <w:szCs w:val="22"/>
        </w:rPr>
        <w:t>Objectives:</w:t>
      </w:r>
    </w:p>
    <w:p w14:paraId="7B5A72E5" w14:textId="77777777" w:rsidR="00696738" w:rsidRDefault="00000000" w:rsidP="001C0BBC">
      <w:pPr>
        <w:pStyle w:val="ListParagraph"/>
        <w:numPr>
          <w:ilvl w:val="0"/>
          <w:numId w:val="2"/>
        </w:numPr>
        <w:pBdr>
          <w:top w:val="nil"/>
          <w:left w:val="nil"/>
          <w:bottom w:val="nil"/>
          <w:right w:val="nil"/>
          <w:between w:val="nil"/>
        </w:pBdr>
        <w:spacing w:after="90" w:line="288" w:lineRule="auto"/>
        <w:jc w:val="both"/>
      </w:pPr>
      <w:r w:rsidRPr="001C0BBC">
        <w:rPr>
          <w:rFonts w:ascii="Calibri" w:eastAsia="Calibri" w:hAnsi="Calibri" w:cs="Calibri"/>
          <w:sz w:val="22"/>
          <w:szCs w:val="22"/>
        </w:rPr>
        <w:t>O1. Critically review counterfeit-hardware detection, PUF authentication and permissioned-ledger research, then translate the main security and deployment concerns into a clear threat model and measurable requirements.</w:t>
      </w:r>
    </w:p>
    <w:p w14:paraId="57F6A404" w14:textId="77777777" w:rsidR="00696738" w:rsidRDefault="00000000" w:rsidP="001C0BBC">
      <w:pPr>
        <w:pStyle w:val="ListParagraph"/>
        <w:numPr>
          <w:ilvl w:val="0"/>
          <w:numId w:val="2"/>
        </w:numPr>
        <w:spacing w:after="90" w:line="288" w:lineRule="auto"/>
        <w:jc w:val="both"/>
      </w:pPr>
      <w:r w:rsidRPr="001C0BBC">
        <w:rPr>
          <w:rFonts w:ascii="Calibri" w:eastAsia="Calibri" w:hAnsi="Calibri" w:cs="Calibri"/>
          <w:sz w:val="22"/>
          <w:szCs w:val="22"/>
        </w:rPr>
        <w:t>O2. Design a privacy-conscious enrolment and verification protocol in which a PUF reconstructs a device-bound key, fresh nonces prevent replay, and the ledger stores commitments, public verification data and provenance events rather than raw challenge-response pairs.</w:t>
      </w:r>
    </w:p>
    <w:p w14:paraId="2BFF0BCA" w14:textId="77777777" w:rsidR="00696738" w:rsidRDefault="00000000" w:rsidP="001C0BBC">
      <w:pPr>
        <w:pStyle w:val="ListParagraph"/>
        <w:numPr>
          <w:ilvl w:val="0"/>
          <w:numId w:val="2"/>
        </w:numPr>
        <w:spacing w:after="90" w:line="288" w:lineRule="auto"/>
        <w:jc w:val="both"/>
      </w:pPr>
      <w:r w:rsidRPr="001C0BBC">
        <w:rPr>
          <w:rFonts w:ascii="Calibri" w:eastAsia="Calibri" w:hAnsi="Calibri" w:cs="Calibri"/>
          <w:sz w:val="22"/>
          <w:szCs w:val="22"/>
        </w:rPr>
        <w:t>O3. Build a proof of concept using a ring-oscillator PUF on low-cost FPGA boards, a Raspberry Pi-class checkpoint gateway, and a small Hyperledger Fabric consortium representing the manufacturer, distributor and assembler.</w:t>
      </w:r>
    </w:p>
    <w:p w14:paraId="72741228" w14:textId="77777777" w:rsidR="00696738" w:rsidRDefault="00000000" w:rsidP="001C0BBC">
      <w:pPr>
        <w:pStyle w:val="ListParagraph"/>
        <w:numPr>
          <w:ilvl w:val="0"/>
          <w:numId w:val="2"/>
        </w:numPr>
        <w:spacing w:after="90" w:line="288" w:lineRule="auto"/>
        <w:jc w:val="both"/>
      </w:pPr>
      <w:r w:rsidRPr="001C0BBC">
        <w:rPr>
          <w:rFonts w:ascii="Calibri" w:eastAsia="Calibri" w:hAnsi="Calibri" w:cs="Calibri"/>
          <w:sz w:val="22"/>
          <w:szCs w:val="22"/>
        </w:rPr>
        <w:t>O4. Test PUF uniqueness and repeatability under safe temperature and supply-voltage variation, and quantify the effect of error correction on false rejection and key-reconstruction success.</w:t>
      </w:r>
    </w:p>
    <w:p w14:paraId="69E97733" w14:textId="77777777" w:rsidR="00696738" w:rsidRDefault="00000000" w:rsidP="001C0BBC">
      <w:pPr>
        <w:pStyle w:val="ListParagraph"/>
        <w:numPr>
          <w:ilvl w:val="0"/>
          <w:numId w:val="2"/>
        </w:numPr>
        <w:pBdr>
          <w:top w:val="nil"/>
          <w:left w:val="nil"/>
          <w:bottom w:val="nil"/>
          <w:right w:val="nil"/>
          <w:between w:val="nil"/>
        </w:pBdr>
        <w:spacing w:after="90" w:line="288" w:lineRule="auto"/>
        <w:jc w:val="both"/>
      </w:pPr>
      <w:r w:rsidRPr="001C0BBC">
        <w:rPr>
          <w:rFonts w:ascii="Calibri" w:eastAsia="Calibri" w:hAnsi="Calibri" w:cs="Calibri"/>
          <w:sz w:val="22"/>
          <w:szCs w:val="22"/>
        </w:rPr>
        <w:t xml:space="preserve">O5. Evaluate genuine, counterfeit-board substitution, replay, unauthorised ownership transfer, ledger-record tampering and PUF-path modification scenarios using detection rate, </w:t>
      </w:r>
      <w:r w:rsidRPr="001C0BBC">
        <w:rPr>
          <w:rFonts w:ascii="Calibri" w:eastAsia="Calibri" w:hAnsi="Calibri" w:cs="Calibri"/>
          <w:sz w:val="22"/>
          <w:szCs w:val="22"/>
        </w:rPr>
        <w:lastRenderedPageBreak/>
        <w:t>false acceptance/rejection, median and 95th-percentile latency, throughput, bandwidth, CPU, memory and energy-related measurements.</w:t>
      </w:r>
    </w:p>
    <w:p w14:paraId="3C8EC44E" w14:textId="77777777" w:rsidR="00696738" w:rsidRDefault="00000000" w:rsidP="001C0BBC">
      <w:pPr>
        <w:pStyle w:val="ListParagraph"/>
        <w:numPr>
          <w:ilvl w:val="0"/>
          <w:numId w:val="2"/>
        </w:numPr>
        <w:pBdr>
          <w:top w:val="nil"/>
          <w:left w:val="nil"/>
          <w:bottom w:val="nil"/>
          <w:right w:val="nil"/>
          <w:between w:val="nil"/>
        </w:pBdr>
        <w:spacing w:after="90" w:line="288" w:lineRule="auto"/>
        <w:jc w:val="both"/>
      </w:pPr>
      <w:r w:rsidRPr="001C0BBC">
        <w:rPr>
          <w:rFonts w:ascii="Calibri" w:eastAsia="Calibri" w:hAnsi="Calibri" w:cs="Calibri"/>
          <w:sz w:val="22"/>
          <w:szCs w:val="22"/>
        </w:rPr>
        <w:t>O6. Compare the combined framework with a signed central database and a PUF-only verifier, document residual risks and produce a reproducible research artefact containing source code, configurations, test data, analysis and honest limitations.</w:t>
      </w:r>
    </w:p>
    <w:p w14:paraId="4C0DC9F0" w14:textId="77777777" w:rsidR="00696738" w:rsidRDefault="00000000">
      <w:pPr>
        <w:pStyle w:val="Heading2"/>
        <w:spacing w:before="200" w:after="110"/>
        <w:rPr>
          <w:color w:val="000000"/>
        </w:rPr>
      </w:pPr>
      <w:r>
        <w:rPr>
          <w:rFonts w:ascii="Calibri" w:eastAsia="Calibri" w:hAnsi="Calibri" w:cs="Calibri"/>
          <w:b/>
          <w:bCs/>
          <w:color w:val="000000"/>
          <w:sz w:val="23"/>
          <w:szCs w:val="23"/>
        </w:rPr>
        <w:t>1.4 Significance of the Research</w:t>
      </w:r>
    </w:p>
    <w:p w14:paraId="4808E1B7" w14:textId="77777777" w:rsidR="00696738" w:rsidRDefault="00000000">
      <w:pPr>
        <w:spacing w:after="140" w:line="288" w:lineRule="auto"/>
        <w:jc w:val="both"/>
      </w:pPr>
      <w:r>
        <w:rPr>
          <w:rFonts w:ascii="Calibri" w:eastAsia="Calibri" w:hAnsi="Calibri" w:cs="Calibri"/>
          <w:sz w:val="22"/>
          <w:szCs w:val="22"/>
        </w:rPr>
        <w:t>The proposed study is useful because it evaluates the join between the physical and digital parts of the problem. The PUF is intended to show that the component is the one enrolled; the ledger is intended to show how recognised organisations have handled that identity. Treating those claims separately makes it easier to see what the framework can and cannot prove. For research, the project contributes a repeatable method for measuring reliability, security and performance together. For practice, it offers a gateway architecture that leaves consensus work off the constrained component. A negative result would still be informative: it could reveal that environmental noise, ledger commit time or secret-management overhead prevents a particular configuration from meeting the proposed one-second checkpoint target.</w:t>
      </w:r>
    </w:p>
    <w:p w14:paraId="17C8080B" w14:textId="77777777" w:rsidR="00696738" w:rsidRDefault="00000000">
      <w:r>
        <w:br w:type="page"/>
      </w:r>
    </w:p>
    <w:p w14:paraId="6FE94A50" w14:textId="77777777" w:rsidR="00696738" w:rsidRDefault="00000000">
      <w:pPr>
        <w:pStyle w:val="Heading1"/>
        <w:spacing w:before="300" w:after="140"/>
        <w:rPr>
          <w:color w:val="000000"/>
        </w:rPr>
      </w:pPr>
      <w:r>
        <w:rPr>
          <w:rFonts w:ascii="Calibri" w:eastAsia="Calibri" w:hAnsi="Calibri" w:cs="Calibri"/>
          <w:b/>
          <w:bCs/>
          <w:color w:val="000000"/>
          <w:sz w:val="27"/>
          <w:szCs w:val="27"/>
        </w:rPr>
        <w:lastRenderedPageBreak/>
        <w:t>2. Literature Review</w:t>
      </w:r>
    </w:p>
    <w:p w14:paraId="63D4C15E" w14:textId="77777777" w:rsidR="00696738" w:rsidRDefault="00000000">
      <w:pPr>
        <w:spacing w:after="140" w:line="288" w:lineRule="auto"/>
        <w:jc w:val="both"/>
      </w:pPr>
      <w:r>
        <w:rPr>
          <w:rFonts w:ascii="Calibri" w:eastAsia="Calibri" w:hAnsi="Calibri" w:cs="Calibri"/>
          <w:sz w:val="22"/>
          <w:szCs w:val="22"/>
        </w:rPr>
        <w:t>The review focuses on electronic components used in IoT hardware, silicon and FPGA PUFs, permissioned blockchain and the point at which a physical identity is linked to a provenance record. Chemical tags, optical inspection and public-coin economics are discussed only where they clarify the choice of design; they are not the main subject of the prototype.</w:t>
      </w:r>
    </w:p>
    <w:p w14:paraId="740B18F9" w14:textId="77777777" w:rsidR="00696738" w:rsidRDefault="00000000">
      <w:pPr>
        <w:pStyle w:val="Heading2"/>
        <w:spacing w:before="200" w:after="110"/>
        <w:rPr>
          <w:color w:val="000000"/>
        </w:rPr>
      </w:pPr>
      <w:r>
        <w:rPr>
          <w:rFonts w:ascii="Calibri" w:eastAsia="Calibri" w:hAnsi="Calibri" w:cs="Calibri"/>
          <w:b/>
          <w:bCs/>
          <w:color w:val="000000"/>
          <w:sz w:val="23"/>
          <w:szCs w:val="23"/>
        </w:rPr>
        <w:t>2.1 Counterfeit and Tampering Risks in IoT Supply Chains</w:t>
      </w:r>
    </w:p>
    <w:p w14:paraId="68CA02E3" w14:textId="77777777" w:rsidR="00696738" w:rsidRDefault="00000000">
      <w:pPr>
        <w:spacing w:after="140" w:line="288" w:lineRule="auto"/>
        <w:jc w:val="both"/>
      </w:pPr>
      <w:r>
        <w:rPr>
          <w:rFonts w:ascii="Calibri" w:eastAsia="Calibri" w:hAnsi="Calibri" w:cs="Calibri"/>
          <w:sz w:val="22"/>
          <w:szCs w:val="22"/>
        </w:rPr>
        <w:t>Counterfeit electronics include recycled parts sold as new, remarked parts with false ratings, unauthorised overproduction, defective rejects and complete clones. Tampering is broader and may involve replacing a component, altering a board or changing the information that describes custody. Guin, DiMase and Tehranipoor show that no single inspection method covers every defect class [1]. Visual and electrical tests can find important anomalies, but specialist equipment and sampling make continuous use difficult. A checkpoint mechanism should therefore complement inspection rather than promise to replace it. It also needs to distinguish physical authenticity from provenance: a genuine but stolen component may pass a PUF test while failing the ownership rules, and a well-formed ledger entry cannot make a cloned part authentic.</w:t>
      </w:r>
    </w:p>
    <w:p w14:paraId="28DDB72D" w14:textId="77777777" w:rsidR="00696738" w:rsidRDefault="00000000">
      <w:pPr>
        <w:pStyle w:val="Heading2"/>
        <w:spacing w:before="200" w:after="110"/>
        <w:rPr>
          <w:color w:val="000000"/>
        </w:rPr>
      </w:pPr>
      <w:r>
        <w:rPr>
          <w:rFonts w:ascii="Calibri" w:eastAsia="Calibri" w:hAnsi="Calibri" w:cs="Calibri"/>
          <w:b/>
          <w:bCs/>
          <w:color w:val="000000"/>
          <w:sz w:val="23"/>
          <w:szCs w:val="23"/>
        </w:rPr>
        <w:t>2.2 PUF Foundations and Hardware Identity</w:t>
      </w:r>
    </w:p>
    <w:p w14:paraId="5CC904B9" w14:textId="77777777" w:rsidR="00696738" w:rsidRDefault="00000000">
      <w:pPr>
        <w:spacing w:after="140" w:line="288" w:lineRule="auto"/>
        <w:jc w:val="both"/>
      </w:pPr>
      <w:r>
        <w:rPr>
          <w:rFonts w:ascii="Calibri" w:eastAsia="Calibri" w:hAnsi="Calibri" w:cs="Calibri"/>
          <w:sz w:val="22"/>
          <w:szCs w:val="22"/>
        </w:rPr>
        <w:t>Silicon PUFs exploit process variation to map a challenge to a device-specific response [2]. Suh and Devadas introduced an FPGA-friendly ring-oscillator design and showed how a PUF can support authentication and volatile secret-key generation [3]. SRAM and delay-based designs provide other trade-offs. FPGA intrinsic PUF work demonstrates that existing resources can supply a fingerprint without adding a separate identification chip [4]. For this proposal, a ring-oscillator PUF is selected because it can be implemented transparently on accessible teaching hardware and exposes the stability-versus-area choices needed for evaluation. The PUF will reconstruct a root secret; it will not publish a large reusable set of raw responses.</w:t>
      </w:r>
    </w:p>
    <w:p w14:paraId="26C72312" w14:textId="77777777" w:rsidR="00696738" w:rsidRDefault="00000000">
      <w:pPr>
        <w:pStyle w:val="Heading2"/>
        <w:spacing w:before="200" w:after="110"/>
        <w:rPr>
          <w:color w:val="000000"/>
        </w:rPr>
      </w:pPr>
      <w:r>
        <w:rPr>
          <w:rFonts w:ascii="Calibri" w:eastAsia="Calibri" w:hAnsi="Calibri" w:cs="Calibri"/>
          <w:b/>
          <w:bCs/>
          <w:color w:val="000000"/>
          <w:sz w:val="23"/>
          <w:szCs w:val="23"/>
        </w:rPr>
        <w:t>2.3 PUF Reliability and Attack Resistance</w:t>
      </w:r>
    </w:p>
    <w:p w14:paraId="409938AA" w14:textId="77777777" w:rsidR="00696738" w:rsidRDefault="00000000">
      <w:pPr>
        <w:spacing w:after="140" w:line="288" w:lineRule="auto"/>
        <w:jc w:val="both"/>
        <w:rPr>
          <w:rFonts w:ascii="Calibri" w:eastAsia="Calibri" w:hAnsi="Calibri" w:cs="Calibri"/>
          <w:sz w:val="22"/>
          <w:szCs w:val="22"/>
        </w:rPr>
      </w:pPr>
      <w:r>
        <w:rPr>
          <w:rFonts w:ascii="Calibri" w:eastAsia="Calibri" w:hAnsi="Calibri" w:cs="Calibri"/>
          <w:sz w:val="22"/>
          <w:szCs w:val="22"/>
        </w:rPr>
        <w:t>The response from one PUF should be close to its own earlier responses and far from those of other devices. Intra-device and inter-device Hamming distance, uniformity and bit aliasing are therefore more meaningful than simply reporting that every board produced an identifier. Maiti, Gunreddy and Schaumont provide a systematic basis for comparing these properties [16], while work on an IoT-oriented TERO-PUF shows why characterisation over environmental conditions matters [15]. A fuzzy extractor can reproduce a stable key from a noisy measurement with public helper data [5], but the helper data must be integrity-protected. Modelling attacks further show that unclonability is not an automatic guarantee when attackers can query a PUF freely [6]. The proposed protocol limits the exposed interface, rate-limits failures and uses fresh nonces so that old proofs cannot simply be replayed.</w:t>
      </w:r>
    </w:p>
    <w:p w14:paraId="511FA467" w14:textId="77777777" w:rsidR="00696738" w:rsidRDefault="00696738">
      <w:pPr>
        <w:spacing w:after="140" w:line="288" w:lineRule="auto"/>
        <w:jc w:val="both"/>
        <w:rPr>
          <w:rFonts w:ascii="Calibri" w:eastAsia="Calibri" w:hAnsi="Calibri" w:cs="Calibri"/>
          <w:sz w:val="22"/>
          <w:szCs w:val="22"/>
        </w:rPr>
      </w:pPr>
    </w:p>
    <w:p w14:paraId="45F2EAAB" w14:textId="77777777" w:rsidR="00696738" w:rsidRDefault="00000000">
      <w:pPr>
        <w:pStyle w:val="Heading2"/>
        <w:spacing w:before="200" w:after="110"/>
        <w:rPr>
          <w:color w:val="000000"/>
        </w:rPr>
      </w:pPr>
      <w:r>
        <w:rPr>
          <w:rFonts w:ascii="Calibri" w:eastAsia="Calibri" w:hAnsi="Calibri" w:cs="Calibri"/>
          <w:b/>
          <w:bCs/>
          <w:color w:val="000000"/>
          <w:sz w:val="23"/>
          <w:szCs w:val="23"/>
        </w:rPr>
        <w:t>2.4 Blockchain Traceability and Permissioned Ledgers</w:t>
      </w:r>
    </w:p>
    <w:p w14:paraId="13218781" w14:textId="77777777" w:rsidR="00696738" w:rsidRDefault="00000000">
      <w:pPr>
        <w:spacing w:after="140" w:line="288" w:lineRule="auto"/>
        <w:jc w:val="both"/>
      </w:pPr>
      <w:r>
        <w:rPr>
          <w:rFonts w:ascii="Calibri" w:eastAsia="Calibri" w:hAnsi="Calibri" w:cs="Calibri"/>
          <w:sz w:val="22"/>
          <w:szCs w:val="22"/>
        </w:rPr>
        <w:t xml:space="preserve">A supply chain needs shared ordering, accountability and controlled visibility more than anonymous cryptocurrency mining. POMS shows how a ledger can preserve product-ownership transfers [7]. </w:t>
      </w:r>
      <w:r>
        <w:rPr>
          <w:rFonts w:ascii="Calibri" w:eastAsia="Calibri" w:hAnsi="Calibri" w:cs="Calibri"/>
          <w:sz w:val="22"/>
          <w:szCs w:val="22"/>
        </w:rPr>
        <w:lastRenderedPageBreak/>
        <w:t>Hyperledger Fabric is more suitable for the planned prototype because organisations join through a membership service, application logic is expressed as chaincode, and endorsement can reflect business roles [8]. Fabric's Raft ordering service provides crash-fault-tolerant ordering; it should not be described as protection against arbitrary Byzantine peers. The proposed ledger will hold component identifiers, public-key or commitment data, ownership state, checkpoint decisions and hashes of supporting records. Commercially sensitive documents and raw PUF material remain off-chain. This reduces disclosure and storage growth, although it also means that off-chain evidence needs its own access and retention controls.</w:t>
      </w:r>
    </w:p>
    <w:p w14:paraId="08580A20" w14:textId="77777777" w:rsidR="00696738" w:rsidRDefault="00000000">
      <w:pPr>
        <w:pStyle w:val="Heading2"/>
        <w:spacing w:before="200" w:after="110"/>
        <w:rPr>
          <w:color w:val="000000"/>
        </w:rPr>
      </w:pPr>
      <w:r>
        <w:rPr>
          <w:rFonts w:ascii="Calibri" w:eastAsia="Calibri" w:hAnsi="Calibri" w:cs="Calibri"/>
          <w:b/>
          <w:bCs/>
          <w:color w:val="000000"/>
          <w:sz w:val="23"/>
          <w:szCs w:val="23"/>
        </w:rPr>
        <w:t>2.5 Existing PUF-Blockchain Approaches and Research Gap</w:t>
      </w:r>
    </w:p>
    <w:p w14:paraId="3489322F" w14:textId="77777777" w:rsidR="00696738" w:rsidRDefault="00000000">
      <w:pPr>
        <w:spacing w:after="140" w:line="288" w:lineRule="auto"/>
        <w:jc w:val="both"/>
      </w:pPr>
      <w:r>
        <w:rPr>
          <w:rFonts w:ascii="Calibri" w:eastAsia="Calibri" w:hAnsi="Calibri" w:cs="Calibri"/>
          <w:sz w:val="22"/>
          <w:szCs w:val="22"/>
        </w:rPr>
        <w:t>Early IC traceability work links a PUF to ownership changes [9], and Negka et al. extend this idea to the component structure of IoT devices [10]. Anti-BlUFf is particularly relevant because it combines a consortium blockchain, smart contracts, PUF tags and a detailed adversary model [11]. Islam, Shen and Badsha add lightweight PUF-enabled RFID protocols and protected storage of PUF data [12]. PUFchain explores hardware-assisted authentication as part of a blockchain architecture [13], while Arcenegui et al. reconstruct a device's blockchain key from an SRAM PUF [14]. Together, the studies confirm that the physical-to-digital binding is possible. What remains less settled is an end-to-end, reproducible comparison that measures environmental reliability, detection by attack scenario, privacy of PUF material and checkpoint latency on modest hardware.</w:t>
      </w:r>
    </w:p>
    <w:p w14:paraId="0E5716A2" w14:textId="77777777" w:rsidR="00696738" w:rsidRDefault="00000000">
      <w:pPr>
        <w:spacing w:before="160" w:after="40"/>
        <w:jc w:val="center"/>
      </w:pPr>
      <w:r>
        <w:rPr>
          <w:noProof/>
        </w:rPr>
        <w:drawing>
          <wp:inline distT="114300" distB="114300" distL="114300" distR="114300" wp14:anchorId="52428012" wp14:editId="5C38107F">
            <wp:extent cx="4822173" cy="2265387"/>
            <wp:effectExtent l="0" t="0" r="0" b="0"/>
            <wp:docPr id="1" name="image3.png" descr="Architecture showing PUF component enrolment, gateway verification, permissioned ledger and checkpoint decision flow" title="Architecture showing PUF component enrolment, gateway verification, permissioned ledger and checkpoint decision flow"/>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822173" cy="2265387"/>
                    </a:xfrm>
                    <a:prstGeom prst="rect">
                      <a:avLst/>
                    </a:prstGeom>
                    <a:ln/>
                  </pic:spPr>
                </pic:pic>
              </a:graphicData>
            </a:graphic>
          </wp:inline>
        </w:drawing>
      </w:r>
    </w:p>
    <w:p w14:paraId="3E0C0B5C" w14:textId="77777777" w:rsidR="00696738" w:rsidRDefault="00000000">
      <w:pPr>
        <w:spacing w:before="80" w:after="240"/>
        <w:jc w:val="center"/>
      </w:pPr>
      <w:r>
        <w:rPr>
          <w:rFonts w:ascii="Calibri" w:eastAsia="Calibri" w:hAnsi="Calibri" w:cs="Calibri"/>
          <w:i/>
          <w:iCs/>
          <w:sz w:val="19"/>
          <w:szCs w:val="19"/>
        </w:rPr>
        <w:t>Fig. 1. Proposed lightweight PUF-blockchain architecture for IoT component enrolment and checkpoint verification.</w:t>
      </w:r>
    </w:p>
    <w:p w14:paraId="6F1C9F56" w14:textId="77777777" w:rsidR="00696738" w:rsidRDefault="00000000">
      <w:pPr>
        <w:pStyle w:val="Heading2"/>
        <w:spacing w:before="200" w:after="110"/>
        <w:rPr>
          <w:color w:val="000000"/>
        </w:rPr>
      </w:pPr>
      <w:r>
        <w:rPr>
          <w:rFonts w:ascii="Calibri" w:eastAsia="Calibri" w:hAnsi="Calibri" w:cs="Calibri"/>
          <w:b/>
          <w:bCs/>
          <w:color w:val="000000"/>
          <w:sz w:val="23"/>
          <w:szCs w:val="23"/>
        </w:rPr>
        <w:t>2.6 Summary of Reviewed Studies</w:t>
      </w:r>
    </w:p>
    <w:p w14:paraId="38199B0E" w14:textId="77777777" w:rsidR="00696738" w:rsidRDefault="00000000">
      <w:pPr>
        <w:spacing w:after="140" w:line="288" w:lineRule="auto"/>
        <w:jc w:val="both"/>
      </w:pPr>
      <w:r>
        <w:rPr>
          <w:rFonts w:ascii="Calibri" w:eastAsia="Calibri" w:hAnsi="Calibri" w:cs="Calibri"/>
          <w:sz w:val="22"/>
          <w:szCs w:val="22"/>
        </w:rPr>
        <w:t>Table 1 summarises the studies that most directly influence the proposed artefact. The comparison is deliberately focused on what each study contributes to the design and which question remains open for this project.</w:t>
      </w:r>
    </w:p>
    <w:tbl>
      <w:tblPr>
        <w:tblStyle w:val="a0"/>
        <w:tblW w:w="96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00"/>
        <w:gridCol w:w="2200"/>
        <w:gridCol w:w="5400"/>
      </w:tblGrid>
      <w:tr w:rsidR="00696738" w14:paraId="0A497FE3" w14:textId="77777777">
        <w:trPr>
          <w:tblHeader/>
        </w:trPr>
        <w:tc>
          <w:tcPr>
            <w:tcW w:w="2000" w:type="dxa"/>
            <w:tcMar>
              <w:top w:w="90" w:type="dxa"/>
              <w:left w:w="100" w:type="dxa"/>
              <w:bottom w:w="90" w:type="dxa"/>
              <w:right w:w="100" w:type="dxa"/>
            </w:tcMar>
          </w:tcPr>
          <w:p w14:paraId="495E48D1" w14:textId="77777777" w:rsidR="00696738" w:rsidRDefault="00000000">
            <w:r>
              <w:rPr>
                <w:rFonts w:ascii="Calibri" w:eastAsia="Calibri" w:hAnsi="Calibri" w:cs="Calibri"/>
                <w:b/>
                <w:bCs/>
                <w:sz w:val="18"/>
                <w:szCs w:val="18"/>
              </w:rPr>
              <w:t>Study</w:t>
            </w:r>
          </w:p>
        </w:tc>
        <w:tc>
          <w:tcPr>
            <w:tcW w:w="2200" w:type="dxa"/>
            <w:tcMar>
              <w:top w:w="90" w:type="dxa"/>
              <w:left w:w="100" w:type="dxa"/>
              <w:bottom w:w="90" w:type="dxa"/>
              <w:right w:w="100" w:type="dxa"/>
            </w:tcMar>
          </w:tcPr>
          <w:p w14:paraId="411C66DF" w14:textId="77777777" w:rsidR="00696738" w:rsidRDefault="00000000">
            <w:r>
              <w:rPr>
                <w:rFonts w:ascii="Calibri" w:eastAsia="Calibri" w:hAnsi="Calibri" w:cs="Calibri"/>
                <w:b/>
                <w:bCs/>
                <w:sz w:val="18"/>
                <w:szCs w:val="18"/>
              </w:rPr>
              <w:t>Focus</w:t>
            </w:r>
          </w:p>
        </w:tc>
        <w:tc>
          <w:tcPr>
            <w:tcW w:w="5400" w:type="dxa"/>
            <w:tcMar>
              <w:top w:w="90" w:type="dxa"/>
              <w:left w:w="100" w:type="dxa"/>
              <w:bottom w:w="90" w:type="dxa"/>
              <w:right w:w="100" w:type="dxa"/>
            </w:tcMar>
          </w:tcPr>
          <w:p w14:paraId="79A356E5" w14:textId="77777777" w:rsidR="00696738" w:rsidRDefault="00000000">
            <w:r>
              <w:rPr>
                <w:rFonts w:ascii="Calibri" w:eastAsia="Calibri" w:hAnsi="Calibri" w:cs="Calibri"/>
                <w:b/>
                <w:bCs/>
                <w:sz w:val="18"/>
                <w:szCs w:val="18"/>
              </w:rPr>
              <w:t>Key finding and remaining issue</w:t>
            </w:r>
          </w:p>
        </w:tc>
      </w:tr>
      <w:tr w:rsidR="00696738" w14:paraId="5A25DDC6" w14:textId="77777777">
        <w:tc>
          <w:tcPr>
            <w:tcW w:w="2000" w:type="dxa"/>
            <w:tcMar>
              <w:top w:w="90" w:type="dxa"/>
              <w:left w:w="100" w:type="dxa"/>
              <w:bottom w:w="90" w:type="dxa"/>
              <w:right w:w="100" w:type="dxa"/>
            </w:tcMar>
          </w:tcPr>
          <w:p w14:paraId="40BBE222" w14:textId="77777777" w:rsidR="00696738" w:rsidRDefault="00000000">
            <w:r>
              <w:rPr>
                <w:rFonts w:ascii="Calibri" w:eastAsia="Calibri" w:hAnsi="Calibri" w:cs="Calibri"/>
                <w:sz w:val="18"/>
                <w:szCs w:val="18"/>
              </w:rPr>
              <w:t>Suh &amp; Devadas [3], 2007</w:t>
            </w:r>
          </w:p>
        </w:tc>
        <w:tc>
          <w:tcPr>
            <w:tcW w:w="2200" w:type="dxa"/>
            <w:tcMar>
              <w:top w:w="90" w:type="dxa"/>
              <w:left w:w="100" w:type="dxa"/>
              <w:bottom w:w="90" w:type="dxa"/>
              <w:right w:w="100" w:type="dxa"/>
            </w:tcMar>
          </w:tcPr>
          <w:p w14:paraId="02DF14D0" w14:textId="77777777" w:rsidR="00696738" w:rsidRDefault="00000000">
            <w:r>
              <w:rPr>
                <w:rFonts w:ascii="Calibri" w:eastAsia="Calibri" w:hAnsi="Calibri" w:cs="Calibri"/>
                <w:sz w:val="18"/>
                <w:szCs w:val="18"/>
              </w:rPr>
              <w:t>Ring-oscillator PUF</w:t>
            </w:r>
          </w:p>
        </w:tc>
        <w:tc>
          <w:tcPr>
            <w:tcW w:w="5400" w:type="dxa"/>
            <w:tcMar>
              <w:top w:w="90" w:type="dxa"/>
              <w:left w:w="100" w:type="dxa"/>
              <w:bottom w:w="90" w:type="dxa"/>
              <w:right w:w="100" w:type="dxa"/>
            </w:tcMar>
          </w:tcPr>
          <w:p w14:paraId="432E169A" w14:textId="77777777" w:rsidR="00696738" w:rsidRDefault="00000000">
            <w:r>
              <w:rPr>
                <w:rFonts w:ascii="Calibri" w:eastAsia="Calibri" w:hAnsi="Calibri" w:cs="Calibri"/>
                <w:sz w:val="18"/>
                <w:szCs w:val="18"/>
              </w:rPr>
              <w:t>Demonstrates FPGA authentication and key generation; environmental stability still needs deployment-specific testing.</w:t>
            </w:r>
          </w:p>
        </w:tc>
      </w:tr>
      <w:tr w:rsidR="00696738" w14:paraId="4DD168EA" w14:textId="77777777">
        <w:tc>
          <w:tcPr>
            <w:tcW w:w="2000" w:type="dxa"/>
            <w:tcMar>
              <w:top w:w="90" w:type="dxa"/>
              <w:left w:w="100" w:type="dxa"/>
              <w:bottom w:w="90" w:type="dxa"/>
              <w:right w:w="100" w:type="dxa"/>
            </w:tcMar>
          </w:tcPr>
          <w:p w14:paraId="79B9DEE0" w14:textId="77777777" w:rsidR="00696738" w:rsidRDefault="00000000">
            <w:r>
              <w:rPr>
                <w:rFonts w:ascii="Calibri" w:eastAsia="Calibri" w:hAnsi="Calibri" w:cs="Calibri"/>
                <w:sz w:val="18"/>
                <w:szCs w:val="18"/>
              </w:rPr>
              <w:t>Ruehrmair et al. [6], 2010</w:t>
            </w:r>
          </w:p>
        </w:tc>
        <w:tc>
          <w:tcPr>
            <w:tcW w:w="2200" w:type="dxa"/>
            <w:tcMar>
              <w:top w:w="90" w:type="dxa"/>
              <w:left w:w="100" w:type="dxa"/>
              <w:bottom w:w="90" w:type="dxa"/>
              <w:right w:w="100" w:type="dxa"/>
            </w:tcMar>
          </w:tcPr>
          <w:p w14:paraId="6AA8316E" w14:textId="77777777" w:rsidR="00696738" w:rsidRDefault="00000000">
            <w:r>
              <w:rPr>
                <w:rFonts w:ascii="Calibri" w:eastAsia="Calibri" w:hAnsi="Calibri" w:cs="Calibri"/>
                <w:sz w:val="18"/>
                <w:szCs w:val="18"/>
              </w:rPr>
              <w:t>PUF modelling attacks</w:t>
            </w:r>
          </w:p>
        </w:tc>
        <w:tc>
          <w:tcPr>
            <w:tcW w:w="5400" w:type="dxa"/>
            <w:tcMar>
              <w:top w:w="90" w:type="dxa"/>
              <w:left w:w="100" w:type="dxa"/>
              <w:bottom w:w="90" w:type="dxa"/>
              <w:right w:w="100" w:type="dxa"/>
            </w:tcMar>
          </w:tcPr>
          <w:p w14:paraId="517D451E" w14:textId="77777777" w:rsidR="00696738" w:rsidRDefault="00000000">
            <w:r>
              <w:rPr>
                <w:rFonts w:ascii="Calibri" w:eastAsia="Calibri" w:hAnsi="Calibri" w:cs="Calibri"/>
                <w:sz w:val="18"/>
                <w:szCs w:val="18"/>
              </w:rPr>
              <w:t>Shows that exposed challenge-response data can enable software clones; interfaces and query rates must be controlled.</w:t>
            </w:r>
          </w:p>
        </w:tc>
      </w:tr>
      <w:tr w:rsidR="00696738" w14:paraId="6F132BAE" w14:textId="77777777">
        <w:tc>
          <w:tcPr>
            <w:tcW w:w="2000" w:type="dxa"/>
            <w:tcMar>
              <w:top w:w="90" w:type="dxa"/>
              <w:left w:w="100" w:type="dxa"/>
              <w:bottom w:w="90" w:type="dxa"/>
              <w:right w:w="100" w:type="dxa"/>
            </w:tcMar>
          </w:tcPr>
          <w:p w14:paraId="75B2AAC0" w14:textId="77777777" w:rsidR="00696738" w:rsidRDefault="00000000">
            <w:r>
              <w:rPr>
                <w:rFonts w:ascii="Calibri" w:eastAsia="Calibri" w:hAnsi="Calibri" w:cs="Calibri"/>
                <w:sz w:val="18"/>
                <w:szCs w:val="18"/>
              </w:rPr>
              <w:lastRenderedPageBreak/>
              <w:t>Toyoda et al. [7], 2017</w:t>
            </w:r>
          </w:p>
        </w:tc>
        <w:tc>
          <w:tcPr>
            <w:tcW w:w="2200" w:type="dxa"/>
            <w:tcMar>
              <w:top w:w="90" w:type="dxa"/>
              <w:left w:w="100" w:type="dxa"/>
              <w:bottom w:w="90" w:type="dxa"/>
              <w:right w:w="100" w:type="dxa"/>
            </w:tcMar>
          </w:tcPr>
          <w:p w14:paraId="624D8E78" w14:textId="77777777" w:rsidR="00696738" w:rsidRDefault="00000000">
            <w:r>
              <w:rPr>
                <w:rFonts w:ascii="Calibri" w:eastAsia="Calibri" w:hAnsi="Calibri" w:cs="Calibri"/>
                <w:sz w:val="18"/>
                <w:szCs w:val="18"/>
              </w:rPr>
              <w:t>Ledger ownership</w:t>
            </w:r>
          </w:p>
        </w:tc>
        <w:tc>
          <w:tcPr>
            <w:tcW w:w="5400" w:type="dxa"/>
            <w:tcMar>
              <w:top w:w="90" w:type="dxa"/>
              <w:left w:w="100" w:type="dxa"/>
              <w:bottom w:w="90" w:type="dxa"/>
              <w:right w:w="100" w:type="dxa"/>
            </w:tcMar>
          </w:tcPr>
          <w:p w14:paraId="545F8236" w14:textId="77777777" w:rsidR="00696738" w:rsidRDefault="00000000">
            <w:r>
              <w:rPr>
                <w:rFonts w:ascii="Calibri" w:eastAsia="Calibri" w:hAnsi="Calibri" w:cs="Calibri"/>
                <w:sz w:val="18"/>
                <w:szCs w:val="18"/>
              </w:rPr>
              <w:t>Blockchain preserves product ownership, but a copyable RFID identity does not prove the presented hardware is genuine.</w:t>
            </w:r>
          </w:p>
        </w:tc>
      </w:tr>
      <w:tr w:rsidR="00696738" w14:paraId="28BFCC37" w14:textId="77777777">
        <w:tc>
          <w:tcPr>
            <w:tcW w:w="2000" w:type="dxa"/>
            <w:tcMar>
              <w:top w:w="90" w:type="dxa"/>
              <w:left w:w="100" w:type="dxa"/>
              <w:bottom w:w="90" w:type="dxa"/>
              <w:right w:w="100" w:type="dxa"/>
            </w:tcMar>
          </w:tcPr>
          <w:p w14:paraId="4D7F98CA" w14:textId="77777777" w:rsidR="00696738" w:rsidRDefault="00000000">
            <w:r>
              <w:rPr>
                <w:rFonts w:ascii="Calibri" w:eastAsia="Calibri" w:hAnsi="Calibri" w:cs="Calibri"/>
                <w:sz w:val="18"/>
                <w:szCs w:val="18"/>
              </w:rPr>
              <w:t>Islam et al. [9], 2018</w:t>
            </w:r>
          </w:p>
        </w:tc>
        <w:tc>
          <w:tcPr>
            <w:tcW w:w="2200" w:type="dxa"/>
            <w:tcMar>
              <w:top w:w="90" w:type="dxa"/>
              <w:left w:w="100" w:type="dxa"/>
              <w:bottom w:w="90" w:type="dxa"/>
              <w:right w:w="100" w:type="dxa"/>
            </w:tcMar>
          </w:tcPr>
          <w:p w14:paraId="33154A7C" w14:textId="77777777" w:rsidR="00696738" w:rsidRDefault="00000000">
            <w:r>
              <w:rPr>
                <w:rFonts w:ascii="Calibri" w:eastAsia="Calibri" w:hAnsi="Calibri" w:cs="Calibri"/>
                <w:sz w:val="18"/>
                <w:szCs w:val="18"/>
              </w:rPr>
              <w:t>IC traceability</w:t>
            </w:r>
          </w:p>
        </w:tc>
        <w:tc>
          <w:tcPr>
            <w:tcW w:w="5400" w:type="dxa"/>
            <w:tcMar>
              <w:top w:w="90" w:type="dxa"/>
              <w:left w:w="100" w:type="dxa"/>
              <w:bottom w:w="90" w:type="dxa"/>
              <w:right w:w="100" w:type="dxa"/>
            </w:tcMar>
          </w:tcPr>
          <w:p w14:paraId="52D74D5D" w14:textId="77777777" w:rsidR="00696738" w:rsidRDefault="00000000">
            <w:r>
              <w:rPr>
                <w:rFonts w:ascii="Calibri" w:eastAsia="Calibri" w:hAnsi="Calibri" w:cs="Calibri"/>
                <w:sz w:val="18"/>
                <w:szCs w:val="18"/>
              </w:rPr>
              <w:t>Binds PUF data to blockchain ownership; detailed reliability and resource measurements are limited.</w:t>
            </w:r>
          </w:p>
        </w:tc>
      </w:tr>
      <w:tr w:rsidR="00696738" w14:paraId="009C428F" w14:textId="77777777">
        <w:tc>
          <w:tcPr>
            <w:tcW w:w="2000" w:type="dxa"/>
            <w:tcMar>
              <w:top w:w="90" w:type="dxa"/>
              <w:left w:w="100" w:type="dxa"/>
              <w:bottom w:w="90" w:type="dxa"/>
              <w:right w:w="100" w:type="dxa"/>
            </w:tcMar>
          </w:tcPr>
          <w:p w14:paraId="610A353E" w14:textId="77777777" w:rsidR="00696738" w:rsidRDefault="00000000">
            <w:r>
              <w:rPr>
                <w:rFonts w:ascii="Calibri" w:eastAsia="Calibri" w:hAnsi="Calibri" w:cs="Calibri"/>
                <w:sz w:val="18"/>
                <w:szCs w:val="18"/>
              </w:rPr>
              <w:t>Negka et al. [10], 2019</w:t>
            </w:r>
          </w:p>
        </w:tc>
        <w:tc>
          <w:tcPr>
            <w:tcW w:w="2200" w:type="dxa"/>
            <w:tcMar>
              <w:top w:w="90" w:type="dxa"/>
              <w:left w:w="100" w:type="dxa"/>
              <w:bottom w:w="90" w:type="dxa"/>
              <w:right w:w="100" w:type="dxa"/>
            </w:tcMar>
          </w:tcPr>
          <w:p w14:paraId="5FA96E81" w14:textId="77777777" w:rsidR="00696738" w:rsidRDefault="00000000">
            <w:r>
              <w:rPr>
                <w:rFonts w:ascii="Calibri" w:eastAsia="Calibri" w:hAnsi="Calibri" w:cs="Calibri"/>
                <w:sz w:val="18"/>
                <w:szCs w:val="18"/>
              </w:rPr>
              <w:t>Counterfeit IoT components</w:t>
            </w:r>
          </w:p>
        </w:tc>
        <w:tc>
          <w:tcPr>
            <w:tcW w:w="5400" w:type="dxa"/>
            <w:tcMar>
              <w:top w:w="90" w:type="dxa"/>
              <w:left w:w="100" w:type="dxa"/>
              <w:bottom w:w="90" w:type="dxa"/>
              <w:right w:w="100" w:type="dxa"/>
            </w:tcMar>
          </w:tcPr>
          <w:p w14:paraId="020122AF" w14:textId="77777777" w:rsidR="00696738" w:rsidRDefault="00000000">
            <w:r>
              <w:rPr>
                <w:rFonts w:ascii="Calibri" w:eastAsia="Calibri" w:hAnsi="Calibri" w:cs="Calibri"/>
                <w:sz w:val="18"/>
                <w:szCs w:val="18"/>
              </w:rPr>
              <w:t>Tracks PUF-identified components in IoT assembly; detection accuracy and integration detail remain limited.</w:t>
            </w:r>
          </w:p>
        </w:tc>
      </w:tr>
      <w:tr w:rsidR="00696738" w14:paraId="48C198D9" w14:textId="77777777">
        <w:tc>
          <w:tcPr>
            <w:tcW w:w="2000" w:type="dxa"/>
            <w:tcMar>
              <w:top w:w="90" w:type="dxa"/>
              <w:left w:w="100" w:type="dxa"/>
              <w:bottom w:w="90" w:type="dxa"/>
              <w:right w:w="100" w:type="dxa"/>
            </w:tcMar>
          </w:tcPr>
          <w:p w14:paraId="05B21729" w14:textId="77777777" w:rsidR="00696738" w:rsidRDefault="00000000">
            <w:r>
              <w:rPr>
                <w:rFonts w:ascii="Calibri" w:eastAsia="Calibri" w:hAnsi="Calibri" w:cs="Calibri"/>
                <w:sz w:val="18"/>
                <w:szCs w:val="18"/>
              </w:rPr>
              <w:t>Aniello et al. [11], 2021</w:t>
            </w:r>
          </w:p>
        </w:tc>
        <w:tc>
          <w:tcPr>
            <w:tcW w:w="2200" w:type="dxa"/>
            <w:tcMar>
              <w:top w:w="90" w:type="dxa"/>
              <w:left w:w="100" w:type="dxa"/>
              <w:bottom w:w="90" w:type="dxa"/>
              <w:right w:w="100" w:type="dxa"/>
            </w:tcMar>
          </w:tcPr>
          <w:p w14:paraId="1C2F34A4" w14:textId="77777777" w:rsidR="00696738" w:rsidRDefault="00000000">
            <w:r>
              <w:rPr>
                <w:rFonts w:ascii="Calibri" w:eastAsia="Calibri" w:hAnsi="Calibri" w:cs="Calibri"/>
                <w:sz w:val="18"/>
                <w:szCs w:val="18"/>
              </w:rPr>
              <w:t>Anti-BlUFf</w:t>
            </w:r>
          </w:p>
        </w:tc>
        <w:tc>
          <w:tcPr>
            <w:tcW w:w="5400" w:type="dxa"/>
            <w:tcMar>
              <w:top w:w="90" w:type="dxa"/>
              <w:left w:w="100" w:type="dxa"/>
              <w:bottom w:w="90" w:type="dxa"/>
              <w:right w:w="100" w:type="dxa"/>
            </w:tcMar>
          </w:tcPr>
          <w:p w14:paraId="5A03397F" w14:textId="77777777" w:rsidR="00696738" w:rsidRDefault="00000000">
            <w:r>
              <w:rPr>
                <w:rFonts w:ascii="Calibri" w:eastAsia="Calibri" w:hAnsi="Calibri" w:cs="Calibri"/>
                <w:sz w:val="18"/>
                <w:szCs w:val="18"/>
              </w:rPr>
              <w:t>Adds consortium chain, smart contracts and a threat model; evaluation is preliminary rather than end-to-end at checkpoints.</w:t>
            </w:r>
          </w:p>
        </w:tc>
      </w:tr>
      <w:tr w:rsidR="00696738" w14:paraId="5C142F06" w14:textId="77777777">
        <w:tc>
          <w:tcPr>
            <w:tcW w:w="2000" w:type="dxa"/>
            <w:tcMar>
              <w:top w:w="90" w:type="dxa"/>
              <w:left w:w="100" w:type="dxa"/>
              <w:bottom w:w="90" w:type="dxa"/>
              <w:right w:w="100" w:type="dxa"/>
            </w:tcMar>
          </w:tcPr>
          <w:p w14:paraId="4611A342" w14:textId="77777777" w:rsidR="00696738" w:rsidRDefault="00000000">
            <w:r>
              <w:rPr>
                <w:rFonts w:ascii="Calibri" w:eastAsia="Calibri" w:hAnsi="Calibri" w:cs="Calibri"/>
                <w:sz w:val="18"/>
                <w:szCs w:val="18"/>
              </w:rPr>
              <w:t>Islam et al. [12], 2022</w:t>
            </w:r>
          </w:p>
        </w:tc>
        <w:tc>
          <w:tcPr>
            <w:tcW w:w="2200" w:type="dxa"/>
            <w:tcMar>
              <w:top w:w="90" w:type="dxa"/>
              <w:left w:w="100" w:type="dxa"/>
              <w:bottom w:w="90" w:type="dxa"/>
              <w:right w:w="100" w:type="dxa"/>
            </w:tcMar>
          </w:tcPr>
          <w:p w14:paraId="2DB1006E" w14:textId="77777777" w:rsidR="00696738" w:rsidRDefault="00000000">
            <w:r>
              <w:rPr>
                <w:rFonts w:ascii="Calibri" w:eastAsia="Calibri" w:hAnsi="Calibri" w:cs="Calibri"/>
                <w:sz w:val="18"/>
                <w:szCs w:val="18"/>
              </w:rPr>
              <w:t>PUF-enabled RFID</w:t>
            </w:r>
          </w:p>
        </w:tc>
        <w:tc>
          <w:tcPr>
            <w:tcW w:w="5400" w:type="dxa"/>
            <w:tcMar>
              <w:top w:w="90" w:type="dxa"/>
              <w:left w:w="100" w:type="dxa"/>
              <w:bottom w:w="90" w:type="dxa"/>
              <w:right w:w="100" w:type="dxa"/>
            </w:tcMar>
          </w:tcPr>
          <w:p w14:paraId="7A6A538D" w14:textId="77777777" w:rsidR="00696738" w:rsidRDefault="00000000">
            <w:r>
              <w:rPr>
                <w:rFonts w:ascii="Calibri" w:eastAsia="Calibri" w:hAnsi="Calibri" w:cs="Calibri"/>
                <w:sz w:val="18"/>
                <w:szCs w:val="18"/>
              </w:rPr>
              <w:t>Provides lightweight protocols and protected PUF-data handling; uses a different consensus and product context.</w:t>
            </w:r>
          </w:p>
        </w:tc>
      </w:tr>
      <w:tr w:rsidR="00696738" w14:paraId="2B2A1899" w14:textId="77777777">
        <w:tc>
          <w:tcPr>
            <w:tcW w:w="2000" w:type="dxa"/>
            <w:tcMar>
              <w:top w:w="90" w:type="dxa"/>
              <w:left w:w="100" w:type="dxa"/>
              <w:bottom w:w="90" w:type="dxa"/>
              <w:right w:w="100" w:type="dxa"/>
            </w:tcMar>
          </w:tcPr>
          <w:p w14:paraId="0D5CDB1D" w14:textId="77777777" w:rsidR="00696738" w:rsidRDefault="00000000">
            <w:r>
              <w:rPr>
                <w:rFonts w:ascii="Calibri" w:eastAsia="Calibri" w:hAnsi="Calibri" w:cs="Calibri"/>
                <w:sz w:val="18"/>
                <w:szCs w:val="18"/>
              </w:rPr>
              <w:t>Arcenegui et al. [14], 2021</w:t>
            </w:r>
          </w:p>
        </w:tc>
        <w:tc>
          <w:tcPr>
            <w:tcW w:w="2200" w:type="dxa"/>
            <w:tcMar>
              <w:top w:w="90" w:type="dxa"/>
              <w:left w:w="100" w:type="dxa"/>
              <w:bottom w:w="90" w:type="dxa"/>
              <w:right w:w="100" w:type="dxa"/>
            </w:tcMar>
          </w:tcPr>
          <w:p w14:paraId="3E4EAA85" w14:textId="77777777" w:rsidR="00696738" w:rsidRDefault="00000000">
            <w:r>
              <w:rPr>
                <w:rFonts w:ascii="Calibri" w:eastAsia="Calibri" w:hAnsi="Calibri" w:cs="Calibri"/>
                <w:sz w:val="18"/>
                <w:szCs w:val="18"/>
              </w:rPr>
              <w:t>PUF-bound smart tokens</w:t>
            </w:r>
          </w:p>
        </w:tc>
        <w:tc>
          <w:tcPr>
            <w:tcW w:w="5400" w:type="dxa"/>
            <w:tcMar>
              <w:top w:w="90" w:type="dxa"/>
              <w:left w:w="100" w:type="dxa"/>
              <w:bottom w:w="90" w:type="dxa"/>
              <w:right w:w="100" w:type="dxa"/>
            </w:tcMar>
          </w:tcPr>
          <w:p w14:paraId="6AF098FD" w14:textId="77777777" w:rsidR="00696738" w:rsidRDefault="00000000">
            <w:r>
              <w:rPr>
                <w:rFonts w:ascii="Calibri" w:eastAsia="Calibri" w:hAnsi="Calibri" w:cs="Calibri"/>
                <w:sz w:val="18"/>
                <w:szCs w:val="18"/>
              </w:rPr>
              <w:t>Reconstructs a blockchain key from SRAM PUF and demonstrates device binding; public-chain overhead differs from a consortium.</w:t>
            </w:r>
          </w:p>
        </w:tc>
      </w:tr>
      <w:tr w:rsidR="00696738" w14:paraId="11C8FB84" w14:textId="77777777">
        <w:tc>
          <w:tcPr>
            <w:tcW w:w="2000" w:type="dxa"/>
            <w:tcMar>
              <w:top w:w="90" w:type="dxa"/>
              <w:left w:w="100" w:type="dxa"/>
              <w:bottom w:w="90" w:type="dxa"/>
              <w:right w:w="100" w:type="dxa"/>
            </w:tcMar>
          </w:tcPr>
          <w:p w14:paraId="08FE74A3" w14:textId="77777777" w:rsidR="00696738" w:rsidRDefault="00000000">
            <w:r>
              <w:rPr>
                <w:rFonts w:ascii="Calibri" w:eastAsia="Calibri" w:hAnsi="Calibri" w:cs="Calibri"/>
                <w:sz w:val="18"/>
                <w:szCs w:val="18"/>
              </w:rPr>
              <w:t>Marchand et al. [15], 2018</w:t>
            </w:r>
          </w:p>
        </w:tc>
        <w:tc>
          <w:tcPr>
            <w:tcW w:w="2200" w:type="dxa"/>
            <w:tcMar>
              <w:top w:w="90" w:type="dxa"/>
              <w:left w:w="100" w:type="dxa"/>
              <w:bottom w:w="90" w:type="dxa"/>
              <w:right w:w="100" w:type="dxa"/>
            </w:tcMar>
          </w:tcPr>
          <w:p w14:paraId="24CD3688" w14:textId="77777777" w:rsidR="00696738" w:rsidRDefault="00000000">
            <w:r>
              <w:rPr>
                <w:rFonts w:ascii="Calibri" w:eastAsia="Calibri" w:hAnsi="Calibri" w:cs="Calibri"/>
                <w:sz w:val="18"/>
                <w:szCs w:val="18"/>
              </w:rPr>
              <w:t>IoT PUF characterisation</w:t>
            </w:r>
          </w:p>
        </w:tc>
        <w:tc>
          <w:tcPr>
            <w:tcW w:w="5400" w:type="dxa"/>
            <w:tcMar>
              <w:top w:w="90" w:type="dxa"/>
              <w:left w:w="100" w:type="dxa"/>
              <w:bottom w:w="90" w:type="dxa"/>
              <w:right w:w="100" w:type="dxa"/>
            </w:tcMar>
          </w:tcPr>
          <w:p w14:paraId="6FB1C46A" w14:textId="77777777" w:rsidR="00696738" w:rsidRDefault="00000000">
            <w:r>
              <w:rPr>
                <w:rFonts w:ascii="Calibri" w:eastAsia="Calibri" w:hAnsi="Calibri" w:cs="Calibri"/>
                <w:sz w:val="18"/>
                <w:szCs w:val="18"/>
              </w:rPr>
              <w:t>Shows practical FPGA measurement and environmental concerns; does not evaluate supply-chain provenance.</w:t>
            </w:r>
          </w:p>
        </w:tc>
      </w:tr>
    </w:tbl>
    <w:p w14:paraId="6665A4BB" w14:textId="77777777" w:rsidR="00696738" w:rsidRDefault="00000000">
      <w:pPr>
        <w:spacing w:before="100" w:after="160"/>
        <w:jc w:val="center"/>
      </w:pPr>
      <w:r>
        <w:rPr>
          <w:rFonts w:ascii="Calibri" w:eastAsia="Calibri" w:hAnsi="Calibri" w:cs="Calibri"/>
          <w:i/>
          <w:iCs/>
          <w:sz w:val="19"/>
          <w:szCs w:val="19"/>
        </w:rPr>
        <w:t>Table 1. Summary of studies most directly relevant to the proposed PUF-blockchain framework.</w:t>
      </w:r>
    </w:p>
    <w:p w14:paraId="646D9976" w14:textId="77777777" w:rsidR="00696738" w:rsidRDefault="00000000">
      <w:pPr>
        <w:pStyle w:val="Heading2"/>
        <w:spacing w:before="200" w:after="110"/>
        <w:rPr>
          <w:color w:val="000000"/>
        </w:rPr>
      </w:pPr>
      <w:r>
        <w:rPr>
          <w:rFonts w:ascii="Calibri" w:eastAsia="Calibri" w:hAnsi="Calibri" w:cs="Calibri"/>
          <w:b/>
          <w:bCs/>
          <w:color w:val="000000"/>
          <w:sz w:val="23"/>
          <w:szCs w:val="23"/>
        </w:rPr>
        <w:t>2.7 Position of the Present Study</w:t>
      </w:r>
    </w:p>
    <w:p w14:paraId="5BA5238D" w14:textId="77777777" w:rsidR="00696738" w:rsidRDefault="00000000">
      <w:pPr>
        <w:spacing w:after="140" w:line="288" w:lineRule="auto"/>
        <w:jc w:val="both"/>
      </w:pPr>
      <w:r>
        <w:rPr>
          <w:rFonts w:ascii="Calibri" w:eastAsia="Calibri" w:hAnsi="Calibri" w:cs="Calibri"/>
          <w:sz w:val="22"/>
          <w:szCs w:val="22"/>
        </w:rPr>
        <w:t>This project does not claim that a PUF detects every physical change or that a blockchain guarantees truthful input. Its narrower claim is testable: when the enrolled PUF-bearing component, its device-bound key or its authorised custody history is changed, the checkpoint should reject or flag the item within a measured time. The design keeps the blockchain client at the gateway, uses a permissioned network with known actors, and writes only the minimum verification evidence needed for audit. It also compares the combined design with simpler alternatives. That comparison is important because an extra distributed ledger is justified only if shared governance and tamper-evident provenance provide value that a signed central service does not provide at lower cost.</w:t>
      </w:r>
    </w:p>
    <w:p w14:paraId="6951B056" w14:textId="77777777" w:rsidR="00696738" w:rsidRDefault="00000000">
      <w:r>
        <w:br w:type="page"/>
      </w:r>
    </w:p>
    <w:p w14:paraId="7DE6C475" w14:textId="77777777" w:rsidR="00696738" w:rsidRDefault="00000000">
      <w:pPr>
        <w:pStyle w:val="Heading1"/>
        <w:spacing w:before="300" w:after="140"/>
        <w:rPr>
          <w:color w:val="000000"/>
        </w:rPr>
      </w:pPr>
      <w:r>
        <w:rPr>
          <w:rFonts w:ascii="Calibri" w:eastAsia="Calibri" w:hAnsi="Calibri" w:cs="Calibri"/>
          <w:b/>
          <w:bCs/>
          <w:color w:val="000000"/>
          <w:sz w:val="27"/>
          <w:szCs w:val="27"/>
        </w:rPr>
        <w:lastRenderedPageBreak/>
        <w:t>3. Research Design and Methodology</w:t>
      </w:r>
    </w:p>
    <w:p w14:paraId="190BA7F4" w14:textId="77777777" w:rsidR="00696738" w:rsidRDefault="00000000">
      <w:pPr>
        <w:pStyle w:val="Heading2"/>
        <w:spacing w:before="200" w:after="110"/>
        <w:rPr>
          <w:color w:val="000000"/>
        </w:rPr>
      </w:pPr>
      <w:r>
        <w:rPr>
          <w:rFonts w:ascii="Calibri" w:eastAsia="Calibri" w:hAnsi="Calibri" w:cs="Calibri"/>
          <w:b/>
          <w:bCs/>
          <w:color w:val="000000"/>
          <w:sz w:val="23"/>
          <w:szCs w:val="23"/>
        </w:rPr>
        <w:t>3.1 Research Design</w:t>
      </w:r>
    </w:p>
    <w:p w14:paraId="6F370165" w14:textId="77777777" w:rsidR="00696738" w:rsidRDefault="00000000">
      <w:pPr>
        <w:spacing w:after="140" w:line="288" w:lineRule="auto"/>
        <w:jc w:val="both"/>
      </w:pPr>
      <w:r>
        <w:rPr>
          <w:rFonts w:ascii="Calibri" w:eastAsia="Calibri" w:hAnsi="Calibri" w:cs="Calibri"/>
          <w:sz w:val="22"/>
          <w:szCs w:val="22"/>
        </w:rPr>
        <w:t>The study will follow Design Science Research Methodology (DSRM), which links an identified problem to the design, demonstration and evaluation of an artefact [17]. The artefact is the full verification path shown in Fig. 1: PUF enrolment, noise-tolerant key reconstruction, a nonce-based proof, gateway decision logic, Fabric chaincode and an auditable provenance record. DSRM is appropriate because building the prototype is necessary but not sufficient; the result must also be judged against explicit requirements. A controlled experiment is embedded in the evaluation stage. Findings from reliability and latency tests may lead to one limited redesign cycle, after which the final configuration will be frozen before the main attack-scenario evaluation.</w:t>
      </w:r>
    </w:p>
    <w:p w14:paraId="2C3D8404" w14:textId="77777777" w:rsidR="00696738" w:rsidRDefault="00000000">
      <w:pPr>
        <w:spacing w:before="160" w:after="40"/>
        <w:jc w:val="center"/>
      </w:pPr>
      <w:r>
        <w:rPr>
          <w:noProof/>
        </w:rPr>
        <w:drawing>
          <wp:inline distT="114300" distB="114300" distL="114300" distR="114300" wp14:anchorId="6DDDCFCB" wp14:editId="31A5EDB9">
            <wp:extent cx="4276725" cy="3524250"/>
            <wp:effectExtent l="0" t="0" r="9525" b="0"/>
            <wp:docPr id="3" name="image1.jpg" descr="Six-stage iterative Design Science Research cycle for the PUF-blockchain supply-chain study" title="Six-stage iterative Design Science Research cycle for the PUF-blockchain supply-chain study"/>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0"/>
                    <a:srcRect/>
                    <a:stretch>
                      <a:fillRect/>
                    </a:stretch>
                  </pic:blipFill>
                  <pic:spPr>
                    <a:xfrm>
                      <a:off x="0" y="0"/>
                      <a:ext cx="4276968" cy="3524450"/>
                    </a:xfrm>
                    <a:prstGeom prst="rect">
                      <a:avLst/>
                    </a:prstGeom>
                    <a:ln/>
                  </pic:spPr>
                </pic:pic>
              </a:graphicData>
            </a:graphic>
          </wp:inline>
        </w:drawing>
      </w:r>
    </w:p>
    <w:p w14:paraId="4EFE5EE6" w14:textId="77777777" w:rsidR="00696738" w:rsidRDefault="00000000">
      <w:pPr>
        <w:spacing w:before="80" w:after="240"/>
        <w:jc w:val="center"/>
      </w:pPr>
      <w:r>
        <w:rPr>
          <w:rFonts w:ascii="Calibri" w:eastAsia="Calibri" w:hAnsi="Calibri" w:cs="Calibri"/>
          <w:i/>
          <w:iCs/>
          <w:sz w:val="19"/>
          <w:szCs w:val="19"/>
        </w:rPr>
        <w:t>Fig. 2. Design Science Research cycle applied to the proposed PUF-blockchain framework.</w:t>
      </w:r>
    </w:p>
    <w:p w14:paraId="0F8B8868" w14:textId="77777777" w:rsidR="00696738" w:rsidRDefault="00000000">
      <w:pPr>
        <w:pStyle w:val="Heading2"/>
        <w:spacing w:before="200" w:after="110"/>
        <w:rPr>
          <w:color w:val="000000"/>
        </w:rPr>
      </w:pPr>
      <w:r>
        <w:rPr>
          <w:rFonts w:ascii="Calibri" w:eastAsia="Calibri" w:hAnsi="Calibri" w:cs="Calibri"/>
          <w:b/>
          <w:bCs/>
          <w:color w:val="000000"/>
          <w:sz w:val="23"/>
          <w:szCs w:val="23"/>
        </w:rPr>
        <w:t>3.2 Research Methods and Materials</w:t>
      </w:r>
    </w:p>
    <w:p w14:paraId="76FCB201" w14:textId="77777777" w:rsidR="00696738" w:rsidRDefault="00000000">
      <w:pPr>
        <w:pStyle w:val="Heading2"/>
        <w:spacing w:before="200" w:after="110"/>
        <w:rPr>
          <w:color w:val="000000"/>
        </w:rPr>
      </w:pPr>
      <w:r>
        <w:rPr>
          <w:rFonts w:ascii="Calibri" w:eastAsia="Calibri" w:hAnsi="Calibri" w:cs="Calibri"/>
          <w:b/>
          <w:bCs/>
          <w:color w:val="000000"/>
          <w:sz w:val="23"/>
          <w:szCs w:val="23"/>
        </w:rPr>
        <w:t>3.2.1 Methods</w:t>
      </w:r>
    </w:p>
    <w:p w14:paraId="5745C15B" w14:textId="77777777" w:rsidR="00696738" w:rsidRDefault="00000000">
      <w:pPr>
        <w:spacing w:after="140" w:line="288" w:lineRule="auto"/>
        <w:jc w:val="both"/>
      </w:pPr>
      <w:r>
        <w:rPr>
          <w:rFonts w:ascii="Calibri" w:eastAsia="Calibri" w:hAnsi="Calibri" w:cs="Calibri"/>
          <w:sz w:val="22"/>
          <w:szCs w:val="22"/>
        </w:rPr>
        <w:t>The prototype will model three supply-chain organisations: manufacturer, distributor and assembler. At enrolment, the manufacturer measures each FPGA PUF repeatedly, selects stable response material and creates helper data for key reconstruction. The reconstructed root secret derives a signing or message-authentication key; raw responses and the root secret are never written to the ledger. Fabric chaincode records an opaque component identifier, public verification data, part metadata, current custodian and status. At a checkpoint, the gateway sends a fresh nonce, verifies the device-bound proof, checks the expected owner and status, and records a signed result. A failed physical proof and an invalid provenance state are reported separately so the operator can see why an item was stopped.</w:t>
      </w:r>
    </w:p>
    <w:p w14:paraId="2A17969A" w14:textId="77777777" w:rsidR="00696738" w:rsidRDefault="00000000">
      <w:pPr>
        <w:spacing w:after="140" w:line="288" w:lineRule="auto"/>
        <w:jc w:val="both"/>
      </w:pPr>
      <w:r>
        <w:rPr>
          <w:rFonts w:ascii="Calibri" w:eastAsia="Calibri" w:hAnsi="Calibri" w:cs="Calibri"/>
          <w:sz w:val="22"/>
          <w:szCs w:val="22"/>
        </w:rPr>
        <w:lastRenderedPageBreak/>
        <w:t>The PUF experiment will use approximately twelve boards of the same model, subject to availability. Each board will be read at least 100 times at room conditions and across a small set of temperature and supply points that remain within the manufacturer's safe limits. The analysis will report intra-device Hamming distance, inter-device Hamming distance, uniformity, bit aliasing, key-reconstruction success and the amount of helper data. Thresholds and error-correction parameters will be selected on an enrolment subset and then fixed. This separation matters: choosing a threshold after seeing every verification trial would give an unrealistically favourable false-acceptance and false-rejection result.</w:t>
      </w:r>
    </w:p>
    <w:p w14:paraId="65F963EA" w14:textId="77777777" w:rsidR="00696738" w:rsidRDefault="00000000">
      <w:pPr>
        <w:spacing w:after="140" w:line="288" w:lineRule="auto"/>
        <w:jc w:val="both"/>
      </w:pPr>
      <w:r>
        <w:rPr>
          <w:rFonts w:ascii="Calibri" w:eastAsia="Calibri" w:hAnsi="Calibri" w:cs="Calibri"/>
          <w:sz w:val="22"/>
          <w:szCs w:val="22"/>
        </w:rPr>
        <w:t>Security evaluation will include genuine verification, an unenrolled board presenting a copied identifier, one enrolled board claiming another board's identity, replay of a captured proof, an unauthorised transfer, an attempted change to recorded provenance, and a controlled modification to the PUF implementation or signal path. Each scenario will be repeated across devices and checkpoints. Detection rate, false-acceptance rate, false-rejection rate and time to decision will be reported with 95% bootstrap confidence intervals. A qualitative STRIDE-style review will cover compromised gateways, malicious consortium members, denial of service, helper-data manipulation, side channels and modelling attacks that cannot be exercised safely in the small testbed.</w:t>
      </w:r>
    </w:p>
    <w:p w14:paraId="2B7AFD46" w14:textId="77777777" w:rsidR="00696738" w:rsidRDefault="00000000">
      <w:pPr>
        <w:spacing w:after="140" w:line="288" w:lineRule="auto"/>
        <w:jc w:val="both"/>
      </w:pPr>
      <w:r>
        <w:rPr>
          <w:rFonts w:ascii="Calibri" w:eastAsia="Calibri" w:hAnsi="Calibri" w:cs="Calibri"/>
          <w:sz w:val="22"/>
          <w:szCs w:val="22"/>
        </w:rPr>
        <w:t>Performance will be measured from challenge creation to the local decision and, separately, to ledger commitment. The study will report median and 95th-percentile latency, successful verifications per second, bytes exchanged, gateway CPU and peak memory, Fabric storage growth, and an energy proxy based on power or current sampling where the available equipment permits. The working target is a local decision within one second under normal testbed load; it is a design objective, not a promised outcome. Baselines are a PUF-only verifier with a local signed file and a centrally hosted signed provenance database. The same devices, nonce flow and test cases will be used so that the additional cost and governance benefit of the ledger are visible.</w:t>
      </w:r>
    </w:p>
    <w:p w14:paraId="2853242C" w14:textId="77777777" w:rsidR="00696738" w:rsidRDefault="00000000">
      <w:pPr>
        <w:pStyle w:val="Heading2"/>
        <w:spacing w:before="200" w:after="110"/>
        <w:rPr>
          <w:color w:val="000000"/>
        </w:rPr>
      </w:pPr>
      <w:r>
        <w:rPr>
          <w:rFonts w:ascii="Calibri" w:eastAsia="Calibri" w:hAnsi="Calibri" w:cs="Calibri"/>
          <w:b/>
          <w:bCs/>
          <w:color w:val="000000"/>
          <w:sz w:val="23"/>
          <w:szCs w:val="23"/>
        </w:rPr>
        <w:t>3.2.2 Materials</w:t>
      </w:r>
    </w:p>
    <w:p w14:paraId="189F793D" w14:textId="77777777" w:rsidR="00696738" w:rsidRDefault="00000000">
      <w:pPr>
        <w:spacing w:after="140" w:line="288" w:lineRule="auto"/>
        <w:jc w:val="both"/>
        <w:rPr>
          <w:rFonts w:ascii="Calibri" w:eastAsia="Calibri" w:hAnsi="Calibri" w:cs="Calibri"/>
          <w:sz w:val="22"/>
          <w:szCs w:val="22"/>
        </w:rPr>
      </w:pPr>
      <w:r>
        <w:rPr>
          <w:rFonts w:ascii="Calibri" w:eastAsia="Calibri" w:hAnsi="Calibri" w:cs="Calibri"/>
          <w:sz w:val="22"/>
          <w:szCs w:val="22"/>
        </w:rPr>
        <w:t>Hardware will consist of low-cost FPGA development boards capable of hosting a ring-oscillator PUF, a Raspberry Pi 4 or equivalent Linux single-board computer as the checkpoint gateway, a workstation for the consortium peers, and ordinary networking equipment. A temperature-controlled enclosure is preferred; if one is unavailable, bounded hot/cool tests will be performed with independent temperature logging and no attempt to exceed rated limits. A controllable bench supply and USB power meter will be used if available. Every board will be assigned an experimental code rather than being treated as a real vendor component.</w:t>
      </w:r>
    </w:p>
    <w:p w14:paraId="38FAD70D" w14:textId="77777777" w:rsidR="00696738" w:rsidRDefault="00000000">
      <w:pPr>
        <w:spacing w:after="140" w:line="288" w:lineRule="auto"/>
        <w:jc w:val="both"/>
      </w:pPr>
      <w:r>
        <w:rPr>
          <w:rFonts w:ascii="Calibri" w:eastAsia="Calibri" w:hAnsi="Calibri" w:cs="Calibri"/>
          <w:sz w:val="22"/>
          <w:szCs w:val="22"/>
        </w:rPr>
        <w:t>Software will include the FPGA vendor toolchain, a small client for PUF measurement and cryptographic proof generation, Hyperledger Fabric with a three-organisation test network and Raft ordering, Fabric SDK components, and Python or R notebooks for analysis. Chaincode will enforce enrolment, ownership transfer, revocation and checkpoint-event rules. Automated scripts will create repeatable test loads and preserve timestamps from the component, gateway and ledger. Versions, configuration files, random seeds and build hashes will be retained so another researcher can reconstruct the tested setup.</w:t>
      </w:r>
    </w:p>
    <w:p w14:paraId="0A18E8EA" w14:textId="77777777" w:rsidR="00696738" w:rsidRDefault="00000000">
      <w:pPr>
        <w:spacing w:after="140" w:line="288" w:lineRule="auto"/>
        <w:jc w:val="both"/>
      </w:pPr>
      <w:r>
        <w:rPr>
          <w:rFonts w:ascii="Calibri" w:eastAsia="Calibri" w:hAnsi="Calibri" w:cs="Calibri"/>
          <w:sz w:val="22"/>
          <w:szCs w:val="22"/>
        </w:rPr>
        <w:t xml:space="preserve">Data management will follow a minimum-disclosure principle. Raw PUF responses, reconstructed secrets and any captured proof that could assist modelling will be encrypted at rest and accessible </w:t>
      </w:r>
      <w:r>
        <w:rPr>
          <w:rFonts w:ascii="Calibri" w:eastAsia="Calibri" w:hAnsi="Calibri" w:cs="Calibri"/>
          <w:sz w:val="22"/>
          <w:szCs w:val="22"/>
        </w:rPr>
        <w:lastRenderedPageBreak/>
        <w:t>only to the researcher and supervisor. The ledger will contain commitments or public verification material, pseudonymous component codes and simulated custody events. Repository releases will include derived, non-secret metrics rather than reusable challenge-response collections. Backups will be encrypted, retention will follow university policy, and secret test material will be destroyed securely after assessment if there is no approved reason to retain it.</w:t>
      </w:r>
    </w:p>
    <w:p w14:paraId="78AC0EA7" w14:textId="77777777" w:rsidR="00696738" w:rsidRDefault="00000000">
      <w:pPr>
        <w:spacing w:after="140" w:line="288" w:lineRule="auto"/>
        <w:jc w:val="both"/>
      </w:pPr>
      <w:r>
        <w:rPr>
          <w:rFonts w:ascii="Calibri" w:eastAsia="Calibri" w:hAnsi="Calibri" w:cs="Calibri"/>
          <w:sz w:val="22"/>
          <w:szCs w:val="22"/>
        </w:rPr>
        <w:t>The project does not recruit people, collect personal data or test products in a live commercial chain. Supply-chain roles and transactions are simulated. Even so, the work raises dual-use concerns because detailed PUF measurements or attack scripts could help an adversary. The dissertation will describe methods needed for reproducibility while withholding device-specific secrets. Any unexpected vulnerability in third-party hardware or software will be discussed with the supervisor and reported responsibly before public release. Required university ethics and laboratory risk approvals will be completed before hardware testing.</w:t>
      </w:r>
    </w:p>
    <w:p w14:paraId="7BBB1EF7" w14:textId="77777777" w:rsidR="00696738" w:rsidRDefault="00000000">
      <w:r>
        <w:br w:type="page"/>
      </w:r>
      <w:r>
        <w:lastRenderedPageBreak/>
        <w:t>Validity threats include a small board sample, FPGA PUFs that do not fully represent fabricated ASIC components, laboratory supply-chain roles, and network conditions that are simpler than a global deployment. Repeated measurements and confidence intervals address random variation, while baselines and a frozen test plan reduce confirmation bias. Results will be presented as evidence about this prototype, not as a universal counterfeit-detection rate. Most importantly, tampering that leaves the PUF-bearing path, device-bound key and recorded provenance unchanged may remain invisible; complementary inspection or sensing would still be required in a production system.</w:t>
      </w:r>
    </w:p>
    <w:p w14:paraId="549FE523" w14:textId="77777777" w:rsidR="00696738" w:rsidRDefault="00000000">
      <w:pPr>
        <w:pStyle w:val="Heading1"/>
        <w:spacing w:before="300" w:after="140"/>
        <w:rPr>
          <w:color w:val="000000"/>
        </w:rPr>
      </w:pPr>
      <w:r>
        <w:rPr>
          <w:rFonts w:ascii="Calibri" w:eastAsia="Calibri" w:hAnsi="Calibri" w:cs="Calibri"/>
          <w:b/>
          <w:bCs/>
          <w:color w:val="000000"/>
          <w:sz w:val="27"/>
          <w:szCs w:val="27"/>
        </w:rPr>
        <w:t>4. Expected Outcomes</w:t>
      </w:r>
    </w:p>
    <w:p w14:paraId="15264FDA" w14:textId="77777777" w:rsidR="00696738" w:rsidRDefault="00000000">
      <w:pPr>
        <w:spacing w:after="140" w:line="288" w:lineRule="auto"/>
        <w:jc w:val="both"/>
      </w:pPr>
      <w:r>
        <w:rPr>
          <w:rFonts w:ascii="Calibri" w:eastAsia="Calibri" w:hAnsi="Calibri" w:cs="Calibri"/>
          <w:sz w:val="22"/>
          <w:szCs w:val="22"/>
        </w:rPr>
        <w:t>The main outcome will be a working, documented prototype that enrols a PUF-enabled component, transfers its simulated custody between authorised organisations and returns a checkpoint decision with an auditable ledger event. The implementation will show the division of labour clearly: the component reconstructs or proves its hardware-bound identity, the gateway performs network and ledger operations, and the consortium retains the shared provenance history.</w:t>
      </w:r>
    </w:p>
    <w:p w14:paraId="79D21364" w14:textId="77777777" w:rsidR="00696738" w:rsidRDefault="00000000">
      <w:pPr>
        <w:spacing w:after="140" w:line="288" w:lineRule="auto"/>
        <w:jc w:val="both"/>
      </w:pPr>
      <w:r>
        <w:rPr>
          <w:rFonts w:ascii="Calibri" w:eastAsia="Calibri" w:hAnsi="Calibri" w:cs="Calibri"/>
          <w:sz w:val="22"/>
          <w:szCs w:val="22"/>
        </w:rPr>
        <w:t>A second outcome will be an experimental dataset and analysis covering PUF uniqueness, reliability, error correction, attack-scenario detection and system performance. The study is expected to show that substitution and replay are easier to identify than subtle physical changes outside the PUF path. It should also establish whether the one-second local-decision objective is realistic and how much longer an auditable Fabric commit takes under different transaction loads.</w:t>
      </w:r>
    </w:p>
    <w:p w14:paraId="0B3EE22F" w14:textId="77777777" w:rsidR="00696738" w:rsidRDefault="00000000">
      <w:pPr>
        <w:spacing w:after="140" w:line="288" w:lineRule="auto"/>
        <w:jc w:val="both"/>
      </w:pPr>
      <w:r>
        <w:rPr>
          <w:rFonts w:ascii="Calibri" w:eastAsia="Calibri" w:hAnsi="Calibri" w:cs="Calibri"/>
          <w:sz w:val="22"/>
          <w:szCs w:val="22"/>
        </w:rPr>
        <w:t>The comparison with PUF-only and central-database baselines will support a balanced architectural conclusion. The combined framework may offer stronger cross-organisation accountability, but it will also consume more time, storage and administration. Rather than treating that overhead as a failure, the dissertation will state where shared governance justifies it and where a simpler signed service would be the more responsible engineering choice.</w:t>
      </w:r>
    </w:p>
    <w:p w14:paraId="0677EC7C" w14:textId="77777777" w:rsidR="00696738" w:rsidRDefault="00000000">
      <w:pPr>
        <w:pStyle w:val="Heading1"/>
        <w:spacing w:before="300" w:after="140"/>
        <w:rPr>
          <w:rFonts w:ascii="Calibri" w:eastAsia="Calibri" w:hAnsi="Calibri" w:cs="Calibri"/>
          <w:b/>
          <w:bCs/>
          <w:color w:val="000000"/>
          <w:sz w:val="27"/>
          <w:szCs w:val="27"/>
        </w:rPr>
      </w:pPr>
      <w:r>
        <w:br w:type="page"/>
      </w:r>
      <w:r>
        <w:lastRenderedPageBreak/>
        <w:t>Finally, the project will produce practical recommendations on PUF threshold selection, helper-data protection, challenge exposure, ledger data minimisation, checkpoint placement and residual inspection needs. Source code, non-secret configuration, test definitions and derived results will be packaged for repeatability. The expected academic contribution is therefore not a claim of complete supply-chain security, but a measured account of what a lightweight PUF-blockchain binding can add, what it costs and where its trust assumptions remain.</w:t>
      </w:r>
    </w:p>
    <w:p w14:paraId="41B8087E" w14:textId="77777777" w:rsidR="00696738" w:rsidRDefault="00000000">
      <w:pPr>
        <w:pStyle w:val="Heading1"/>
        <w:spacing w:before="300" w:after="140"/>
        <w:rPr>
          <w:color w:val="000000"/>
        </w:rPr>
      </w:pPr>
      <w:r>
        <w:rPr>
          <w:rFonts w:ascii="Calibri" w:eastAsia="Calibri" w:hAnsi="Calibri" w:cs="Calibri"/>
          <w:b/>
          <w:bCs/>
          <w:color w:val="000000"/>
          <w:sz w:val="27"/>
          <w:szCs w:val="27"/>
        </w:rPr>
        <w:t>5. Timeline</w:t>
      </w:r>
    </w:p>
    <w:p w14:paraId="4C2AB37F" w14:textId="77777777" w:rsidR="00696738" w:rsidRDefault="00000000">
      <w:pPr>
        <w:spacing w:after="140" w:line="288" w:lineRule="auto"/>
        <w:jc w:val="both"/>
      </w:pPr>
      <w:r w:rsidRPr="00FC3D5C">
        <w:rPr>
          <w:rFonts w:ascii="Calibri" w:eastAsia="Calibri" w:hAnsi="Calibri" w:cs="Calibri"/>
          <w:sz w:val="22"/>
          <w:szCs w:val="22"/>
          <w:highlight w:val="yellow"/>
        </w:rPr>
        <w:t>The project is planned over 10 weeks. Week 1 fixes the threat model and test protocol before implementation choices become difficult to change, while Week 2 completes the PUF pilot. Protocol and Fabric development follow in Weeks 3–4, reliability and integration in Weeks 5–6, and security and performance testing in Weeks 7–8. Weeks 9–10 are protected for analysis, limitations, reproducibility checks and submission, although writing and evidence logging continue throughout.</w:t>
      </w:r>
    </w:p>
    <w:tbl>
      <w:tblPr>
        <w:tblStyle w:val="a1"/>
        <w:tblW w:w="96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300"/>
        <w:gridCol w:w="1500"/>
        <w:gridCol w:w="6800"/>
      </w:tblGrid>
      <w:tr w:rsidR="00696738" w14:paraId="6E4A6719" w14:textId="77777777">
        <w:trPr>
          <w:tblHeader/>
        </w:trPr>
        <w:tc>
          <w:tcPr>
            <w:tcW w:w="1300" w:type="dxa"/>
            <w:tcMar>
              <w:top w:w="90" w:type="dxa"/>
              <w:left w:w="100" w:type="dxa"/>
              <w:bottom w:w="90" w:type="dxa"/>
              <w:right w:w="100" w:type="dxa"/>
            </w:tcMar>
          </w:tcPr>
          <w:p w14:paraId="1D34F44B" w14:textId="77777777" w:rsidR="00696738" w:rsidRDefault="00000000">
            <w:r>
              <w:rPr>
                <w:rFonts w:ascii="Calibri" w:eastAsia="Calibri" w:hAnsi="Calibri" w:cs="Calibri"/>
                <w:b/>
                <w:bCs/>
                <w:sz w:val="19"/>
                <w:szCs w:val="19"/>
              </w:rPr>
              <w:t>Phase</w:t>
            </w:r>
          </w:p>
        </w:tc>
        <w:tc>
          <w:tcPr>
            <w:tcW w:w="1500" w:type="dxa"/>
            <w:tcMar>
              <w:top w:w="90" w:type="dxa"/>
              <w:left w:w="100" w:type="dxa"/>
              <w:bottom w:w="90" w:type="dxa"/>
              <w:right w:w="100" w:type="dxa"/>
            </w:tcMar>
          </w:tcPr>
          <w:p w14:paraId="138C9CF8" w14:textId="77777777" w:rsidR="00696738" w:rsidRDefault="00000000">
            <w:r>
              <w:rPr>
                <w:rFonts w:ascii="Calibri" w:eastAsia="Calibri" w:hAnsi="Calibri" w:cs="Calibri"/>
                <w:b/>
                <w:bCs/>
                <w:sz w:val="19"/>
                <w:szCs w:val="19"/>
              </w:rPr>
              <w:t>Weeks</w:t>
            </w:r>
          </w:p>
        </w:tc>
        <w:tc>
          <w:tcPr>
            <w:tcW w:w="6800" w:type="dxa"/>
            <w:tcMar>
              <w:top w:w="90" w:type="dxa"/>
              <w:left w:w="100" w:type="dxa"/>
              <w:bottom w:w="90" w:type="dxa"/>
              <w:right w:w="100" w:type="dxa"/>
            </w:tcMar>
          </w:tcPr>
          <w:p w14:paraId="146E80A8" w14:textId="77777777" w:rsidR="00696738" w:rsidRDefault="00000000">
            <w:r>
              <w:rPr>
                <w:rFonts w:ascii="Calibri" w:eastAsia="Calibri" w:hAnsi="Calibri" w:cs="Calibri"/>
                <w:b/>
                <w:bCs/>
                <w:sz w:val="19"/>
                <w:szCs w:val="19"/>
              </w:rPr>
              <w:t>Milestone / Deliverable</w:t>
            </w:r>
          </w:p>
        </w:tc>
      </w:tr>
      <w:tr w:rsidR="00696738" w14:paraId="3CF84316" w14:textId="77777777">
        <w:tc>
          <w:tcPr>
            <w:tcW w:w="1300" w:type="dxa"/>
            <w:tcMar>
              <w:top w:w="90" w:type="dxa"/>
              <w:left w:w="100" w:type="dxa"/>
              <w:bottom w:w="90" w:type="dxa"/>
              <w:right w:w="100" w:type="dxa"/>
            </w:tcMar>
          </w:tcPr>
          <w:p w14:paraId="37622185" w14:textId="77777777" w:rsidR="00696738" w:rsidRDefault="00000000">
            <w:r>
              <w:rPr>
                <w:rFonts w:ascii="Calibri" w:eastAsia="Calibri" w:hAnsi="Calibri" w:cs="Calibri"/>
                <w:b/>
                <w:bCs/>
                <w:sz w:val="19"/>
                <w:szCs w:val="19"/>
              </w:rPr>
              <w:t>Phase 1</w:t>
            </w:r>
          </w:p>
        </w:tc>
        <w:tc>
          <w:tcPr>
            <w:tcW w:w="1500" w:type="dxa"/>
            <w:tcMar>
              <w:top w:w="90" w:type="dxa"/>
              <w:left w:w="100" w:type="dxa"/>
              <w:bottom w:w="90" w:type="dxa"/>
              <w:right w:w="100" w:type="dxa"/>
            </w:tcMar>
          </w:tcPr>
          <w:p w14:paraId="4AACB379" w14:textId="77777777" w:rsidR="00696738" w:rsidRDefault="00000000">
            <w:r>
              <w:rPr>
                <w:rFonts w:ascii="Calibri" w:eastAsia="Calibri" w:hAnsi="Calibri" w:cs="Calibri"/>
                <w:sz w:val="19"/>
                <w:szCs w:val="19"/>
              </w:rPr>
              <w:t>Week 1</w:t>
            </w:r>
          </w:p>
        </w:tc>
        <w:tc>
          <w:tcPr>
            <w:tcW w:w="6800" w:type="dxa"/>
            <w:tcMar>
              <w:top w:w="90" w:type="dxa"/>
              <w:left w:w="100" w:type="dxa"/>
              <w:bottom w:w="90" w:type="dxa"/>
              <w:right w:w="100" w:type="dxa"/>
            </w:tcMar>
          </w:tcPr>
          <w:p w14:paraId="5E6DFFB9" w14:textId="77777777" w:rsidR="00696738" w:rsidRDefault="00000000">
            <w:r>
              <w:rPr>
                <w:rFonts w:ascii="Calibri" w:eastAsia="Calibri" w:hAnsi="Calibri" w:cs="Calibri"/>
                <w:sz w:val="19"/>
                <w:szCs w:val="19"/>
              </w:rPr>
              <w:t>Refine the literature review, scope and threat model; confirm the ethics route and complete data-management and laboratory risk checks.</w:t>
            </w:r>
          </w:p>
        </w:tc>
      </w:tr>
      <w:tr w:rsidR="00696738" w14:paraId="2D89A4DA" w14:textId="77777777">
        <w:tc>
          <w:tcPr>
            <w:tcW w:w="1300" w:type="dxa"/>
            <w:tcMar>
              <w:top w:w="90" w:type="dxa"/>
              <w:left w:w="100" w:type="dxa"/>
              <w:bottom w:w="90" w:type="dxa"/>
              <w:right w:w="100" w:type="dxa"/>
            </w:tcMar>
          </w:tcPr>
          <w:p w14:paraId="1B326588" w14:textId="77777777" w:rsidR="00696738" w:rsidRDefault="00000000">
            <w:r>
              <w:rPr>
                <w:rFonts w:ascii="Calibri" w:eastAsia="Calibri" w:hAnsi="Calibri" w:cs="Calibri"/>
                <w:b/>
                <w:bCs/>
                <w:sz w:val="19"/>
                <w:szCs w:val="19"/>
              </w:rPr>
              <w:t>Phase 2</w:t>
            </w:r>
          </w:p>
        </w:tc>
        <w:tc>
          <w:tcPr>
            <w:tcW w:w="1500" w:type="dxa"/>
            <w:tcMar>
              <w:top w:w="90" w:type="dxa"/>
              <w:left w:w="100" w:type="dxa"/>
              <w:bottom w:w="90" w:type="dxa"/>
              <w:right w:w="100" w:type="dxa"/>
            </w:tcMar>
          </w:tcPr>
          <w:p w14:paraId="776DD145" w14:textId="77777777" w:rsidR="00696738" w:rsidRDefault="00000000">
            <w:r>
              <w:rPr>
                <w:rFonts w:ascii="Calibri" w:eastAsia="Calibri" w:hAnsi="Calibri" w:cs="Calibri"/>
                <w:sz w:val="19"/>
                <w:szCs w:val="19"/>
              </w:rPr>
              <w:t>Week 2</w:t>
            </w:r>
          </w:p>
        </w:tc>
        <w:tc>
          <w:tcPr>
            <w:tcW w:w="6800" w:type="dxa"/>
            <w:tcMar>
              <w:top w:w="90" w:type="dxa"/>
              <w:left w:w="100" w:type="dxa"/>
              <w:bottom w:w="90" w:type="dxa"/>
              <w:right w:w="100" w:type="dxa"/>
            </w:tcMar>
          </w:tcPr>
          <w:p w14:paraId="4B022D1E" w14:textId="77777777" w:rsidR="00696738" w:rsidRDefault="00000000">
            <w:r>
              <w:rPr>
                <w:rFonts w:ascii="Calibri" w:eastAsia="Calibri" w:hAnsi="Calibri" w:cs="Calibri"/>
                <w:sz w:val="19"/>
                <w:szCs w:val="19"/>
              </w:rPr>
              <w:t>Implement and pilot the FPGA PUF; define enrolment and capture baseline room-condition responses.</w:t>
            </w:r>
          </w:p>
        </w:tc>
      </w:tr>
      <w:tr w:rsidR="00696738" w14:paraId="0E50C189" w14:textId="77777777">
        <w:tc>
          <w:tcPr>
            <w:tcW w:w="1300" w:type="dxa"/>
            <w:tcMar>
              <w:top w:w="90" w:type="dxa"/>
              <w:left w:w="100" w:type="dxa"/>
              <w:bottom w:w="90" w:type="dxa"/>
              <w:right w:w="100" w:type="dxa"/>
            </w:tcMar>
          </w:tcPr>
          <w:p w14:paraId="14860794" w14:textId="77777777" w:rsidR="00696738" w:rsidRDefault="00000000">
            <w:r>
              <w:rPr>
                <w:rFonts w:ascii="Calibri" w:eastAsia="Calibri" w:hAnsi="Calibri" w:cs="Calibri"/>
                <w:b/>
                <w:bCs/>
                <w:sz w:val="19"/>
                <w:szCs w:val="19"/>
              </w:rPr>
              <w:t>Phase 3</w:t>
            </w:r>
          </w:p>
        </w:tc>
        <w:tc>
          <w:tcPr>
            <w:tcW w:w="1500" w:type="dxa"/>
            <w:tcMar>
              <w:top w:w="90" w:type="dxa"/>
              <w:left w:w="100" w:type="dxa"/>
              <w:bottom w:w="90" w:type="dxa"/>
              <w:right w:w="100" w:type="dxa"/>
            </w:tcMar>
          </w:tcPr>
          <w:p w14:paraId="74DD7E12" w14:textId="77777777" w:rsidR="00696738" w:rsidRDefault="00000000">
            <w:r>
              <w:rPr>
                <w:rFonts w:ascii="Calibri" w:eastAsia="Calibri" w:hAnsi="Calibri" w:cs="Calibri"/>
                <w:sz w:val="19"/>
                <w:szCs w:val="19"/>
              </w:rPr>
              <w:t>Weeks 3–4</w:t>
            </w:r>
          </w:p>
        </w:tc>
        <w:tc>
          <w:tcPr>
            <w:tcW w:w="6800" w:type="dxa"/>
            <w:tcMar>
              <w:top w:w="90" w:type="dxa"/>
              <w:left w:w="100" w:type="dxa"/>
              <w:bottom w:w="90" w:type="dxa"/>
              <w:right w:w="100" w:type="dxa"/>
            </w:tcMar>
          </w:tcPr>
          <w:p w14:paraId="703A796A" w14:textId="77777777" w:rsidR="00696738" w:rsidRDefault="00000000">
            <w:r>
              <w:rPr>
                <w:rFonts w:ascii="Calibri" w:eastAsia="Calibri" w:hAnsi="Calibri" w:cs="Calibri"/>
                <w:sz w:val="19"/>
                <w:szCs w:val="19"/>
              </w:rPr>
              <w:t>Build key reconstruction, the nonce protocol, gateway client, Fabric consortium and chaincode rules.</w:t>
            </w:r>
          </w:p>
        </w:tc>
      </w:tr>
      <w:tr w:rsidR="00696738" w14:paraId="1231EF44" w14:textId="77777777">
        <w:tc>
          <w:tcPr>
            <w:tcW w:w="1300" w:type="dxa"/>
            <w:tcMar>
              <w:top w:w="90" w:type="dxa"/>
              <w:left w:w="100" w:type="dxa"/>
              <w:bottom w:w="90" w:type="dxa"/>
              <w:right w:w="100" w:type="dxa"/>
            </w:tcMar>
          </w:tcPr>
          <w:p w14:paraId="4B1D5925" w14:textId="77777777" w:rsidR="00696738" w:rsidRDefault="00000000">
            <w:r>
              <w:rPr>
                <w:rFonts w:ascii="Calibri" w:eastAsia="Calibri" w:hAnsi="Calibri" w:cs="Calibri"/>
                <w:b/>
                <w:bCs/>
                <w:sz w:val="19"/>
                <w:szCs w:val="19"/>
              </w:rPr>
              <w:t>Phase 4</w:t>
            </w:r>
          </w:p>
        </w:tc>
        <w:tc>
          <w:tcPr>
            <w:tcW w:w="1500" w:type="dxa"/>
            <w:tcMar>
              <w:top w:w="90" w:type="dxa"/>
              <w:left w:w="100" w:type="dxa"/>
              <w:bottom w:w="90" w:type="dxa"/>
              <w:right w:w="100" w:type="dxa"/>
            </w:tcMar>
          </w:tcPr>
          <w:p w14:paraId="3FF1B902" w14:textId="77777777" w:rsidR="00696738" w:rsidRDefault="00000000">
            <w:r>
              <w:rPr>
                <w:rFonts w:ascii="Calibri" w:eastAsia="Calibri" w:hAnsi="Calibri" w:cs="Calibri"/>
                <w:sz w:val="19"/>
                <w:szCs w:val="19"/>
              </w:rPr>
              <w:t>Weeks 5–6</w:t>
            </w:r>
          </w:p>
        </w:tc>
        <w:tc>
          <w:tcPr>
            <w:tcW w:w="6800" w:type="dxa"/>
            <w:tcMar>
              <w:top w:w="90" w:type="dxa"/>
              <w:left w:w="100" w:type="dxa"/>
              <w:bottom w:w="90" w:type="dxa"/>
              <w:right w:w="100" w:type="dxa"/>
            </w:tcMar>
          </w:tcPr>
          <w:p w14:paraId="37535007" w14:textId="77777777" w:rsidR="00696738" w:rsidRDefault="00000000">
            <w:r>
              <w:rPr>
                <w:rFonts w:ascii="Calibri" w:eastAsia="Calibri" w:hAnsi="Calibri" w:cs="Calibri"/>
                <w:sz w:val="19"/>
                <w:szCs w:val="19"/>
              </w:rPr>
              <w:t>Run focused environmental PUF tests; freeze parameters and integrate the checkpoint workflow and baselines.</w:t>
            </w:r>
          </w:p>
        </w:tc>
      </w:tr>
      <w:tr w:rsidR="00696738" w14:paraId="4CCFF6A7" w14:textId="77777777">
        <w:tc>
          <w:tcPr>
            <w:tcW w:w="1300" w:type="dxa"/>
            <w:tcMar>
              <w:top w:w="90" w:type="dxa"/>
              <w:left w:w="100" w:type="dxa"/>
              <w:bottom w:w="90" w:type="dxa"/>
              <w:right w:w="100" w:type="dxa"/>
            </w:tcMar>
          </w:tcPr>
          <w:p w14:paraId="20B4CB90" w14:textId="77777777" w:rsidR="00696738" w:rsidRDefault="00000000">
            <w:r>
              <w:rPr>
                <w:rFonts w:ascii="Calibri" w:eastAsia="Calibri" w:hAnsi="Calibri" w:cs="Calibri"/>
                <w:b/>
                <w:bCs/>
                <w:sz w:val="19"/>
                <w:szCs w:val="19"/>
              </w:rPr>
              <w:t>Phase 5</w:t>
            </w:r>
          </w:p>
        </w:tc>
        <w:tc>
          <w:tcPr>
            <w:tcW w:w="1500" w:type="dxa"/>
            <w:tcMar>
              <w:top w:w="90" w:type="dxa"/>
              <w:left w:w="100" w:type="dxa"/>
              <w:bottom w:w="90" w:type="dxa"/>
              <w:right w:w="100" w:type="dxa"/>
            </w:tcMar>
          </w:tcPr>
          <w:p w14:paraId="52F20E35" w14:textId="77777777" w:rsidR="00696738" w:rsidRDefault="00000000">
            <w:r>
              <w:rPr>
                <w:rFonts w:ascii="Calibri" w:eastAsia="Calibri" w:hAnsi="Calibri" w:cs="Calibri"/>
                <w:sz w:val="19"/>
                <w:szCs w:val="19"/>
              </w:rPr>
              <w:t>Weeks 7–8</w:t>
            </w:r>
          </w:p>
        </w:tc>
        <w:tc>
          <w:tcPr>
            <w:tcW w:w="6800" w:type="dxa"/>
            <w:tcMar>
              <w:top w:w="90" w:type="dxa"/>
              <w:left w:w="100" w:type="dxa"/>
              <w:bottom w:w="90" w:type="dxa"/>
              <w:right w:w="100" w:type="dxa"/>
            </w:tcMar>
          </w:tcPr>
          <w:p w14:paraId="2B17D841" w14:textId="77777777" w:rsidR="00696738" w:rsidRDefault="00000000">
            <w:r>
              <w:rPr>
                <w:rFonts w:ascii="Calibri" w:eastAsia="Calibri" w:hAnsi="Calibri" w:cs="Calibri"/>
                <w:sz w:val="19"/>
                <w:szCs w:val="19"/>
              </w:rPr>
              <w:t>Execute attack scenarios and load tests; collect detection, latency and resource measurements.</w:t>
            </w:r>
          </w:p>
        </w:tc>
      </w:tr>
      <w:tr w:rsidR="00696738" w14:paraId="02F22158" w14:textId="77777777">
        <w:tc>
          <w:tcPr>
            <w:tcW w:w="1300" w:type="dxa"/>
            <w:tcMar>
              <w:top w:w="90" w:type="dxa"/>
              <w:left w:w="100" w:type="dxa"/>
              <w:bottom w:w="90" w:type="dxa"/>
              <w:right w:w="100" w:type="dxa"/>
            </w:tcMar>
          </w:tcPr>
          <w:p w14:paraId="6136319E" w14:textId="77777777" w:rsidR="00696738" w:rsidRDefault="00000000">
            <w:r>
              <w:rPr>
                <w:rFonts w:ascii="Calibri" w:eastAsia="Calibri" w:hAnsi="Calibri" w:cs="Calibri"/>
                <w:b/>
                <w:bCs/>
                <w:sz w:val="19"/>
                <w:szCs w:val="19"/>
              </w:rPr>
              <w:t>Phase 6</w:t>
            </w:r>
          </w:p>
        </w:tc>
        <w:tc>
          <w:tcPr>
            <w:tcW w:w="1500" w:type="dxa"/>
            <w:tcMar>
              <w:top w:w="90" w:type="dxa"/>
              <w:left w:w="100" w:type="dxa"/>
              <w:bottom w:w="90" w:type="dxa"/>
              <w:right w:w="100" w:type="dxa"/>
            </w:tcMar>
          </w:tcPr>
          <w:p w14:paraId="771A6924" w14:textId="77777777" w:rsidR="00696738" w:rsidRDefault="00000000">
            <w:r>
              <w:rPr>
                <w:rFonts w:ascii="Calibri" w:eastAsia="Calibri" w:hAnsi="Calibri" w:cs="Calibri"/>
                <w:sz w:val="19"/>
                <w:szCs w:val="19"/>
              </w:rPr>
              <w:t>Weeks 9–10</w:t>
            </w:r>
          </w:p>
        </w:tc>
        <w:tc>
          <w:tcPr>
            <w:tcW w:w="6800" w:type="dxa"/>
            <w:tcMar>
              <w:top w:w="90" w:type="dxa"/>
              <w:left w:w="100" w:type="dxa"/>
              <w:bottom w:w="90" w:type="dxa"/>
              <w:right w:w="100" w:type="dxa"/>
            </w:tcMar>
          </w:tcPr>
          <w:p w14:paraId="4B4075C0" w14:textId="77777777" w:rsidR="00696738" w:rsidRDefault="00000000">
            <w:r>
              <w:rPr>
                <w:rFonts w:ascii="Calibri" w:eastAsia="Calibri" w:hAnsi="Calibri" w:cs="Calibri"/>
                <w:sz w:val="19"/>
                <w:szCs w:val="19"/>
              </w:rPr>
              <w:t>Analyse results and limitations; complete the dissertation, reproducibility package and final checks.</w:t>
            </w:r>
          </w:p>
        </w:tc>
      </w:tr>
    </w:tbl>
    <w:p w14:paraId="1DF5D13D" w14:textId="77777777" w:rsidR="00696738" w:rsidRDefault="00696738">
      <w:pPr>
        <w:spacing w:before="160" w:after="40"/>
        <w:jc w:val="center"/>
      </w:pPr>
      <w:r>
        <w:t>Table 2. Proposed 10-week project schedule and principal deliverables.</w:t>
      </w:r>
    </w:p>
    <w:p w14:paraId="7A68C157" w14:textId="77777777" w:rsidR="00696738" w:rsidRDefault="00000000">
      <w:pPr>
        <w:spacing w:before="160" w:after="40"/>
        <w:jc w:val="center"/>
      </w:pPr>
      <w:r>
        <w:rPr>
          <w:noProof/>
        </w:rPr>
        <w:lastRenderedPageBreak/>
        <w:drawing>
          <wp:inline distT="114300" distB="114300" distL="114300" distR="114300" wp14:anchorId="62497CA5" wp14:editId="383FB642">
            <wp:extent cx="5731200" cy="2374900"/>
            <wp:effectExtent l="0" t="0" r="0" b="0"/>
            <wp:docPr id="2" name="image2.jpg" descr="Gantt chart showing six project phases across a 10-week schedule" title="Gantt chart showing six project phases across a 10-week schedule"/>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1"/>
                    <a:srcRect/>
                    <a:stretch>
                      <a:fillRect/>
                    </a:stretch>
                  </pic:blipFill>
                  <pic:spPr>
                    <a:xfrm>
                      <a:off x="0" y="0"/>
                      <a:ext cx="5731200" cy="2374900"/>
                    </a:xfrm>
                    <a:prstGeom prst="rect">
                      <a:avLst/>
                    </a:prstGeom>
                    <a:ln/>
                  </pic:spPr>
                </pic:pic>
              </a:graphicData>
            </a:graphic>
          </wp:inline>
        </w:drawing>
      </w:r>
    </w:p>
    <w:p w14:paraId="1FCE0F95" w14:textId="77777777" w:rsidR="00696738" w:rsidRDefault="00000000">
      <w:pPr>
        <w:jc w:val="center"/>
        <w:rPr>
          <w:i/>
          <w:iCs/>
          <w:highlight w:val="yellow"/>
        </w:rPr>
      </w:pPr>
      <w:r>
        <w:rPr>
          <w:i/>
          <w:iCs/>
        </w:rPr>
        <w:t>Fig. 3. Gantt chart for the proposed 10-week research programme.</w:t>
      </w:r>
    </w:p>
    <w:p w14:paraId="3F388D0A" w14:textId="77777777" w:rsidR="00696738" w:rsidRDefault="00000000">
      <w:r>
        <w:br w:type="page"/>
      </w:r>
      <w:r>
        <w:lastRenderedPageBreak/>
        <w:t>The highest schedule risks are delayed access to enough FPGA boards, unstable PUF measurements and unfamiliarity with Fabric configuration. Mitigation is built into the sequence: a software PUF emulator and two-board pilot can validate the transaction flow while hardware is assembled; the central-database baseline remains useful if consortium tuning takes longer than planned; and environmental testing can be reduced to fewer safe operating points without removing the room-condition reliability study.</w:t>
      </w:r>
    </w:p>
    <w:p w14:paraId="77877E2A" w14:textId="77777777" w:rsidR="00696738" w:rsidRDefault="00000000">
      <w:pPr>
        <w:pStyle w:val="Heading1"/>
        <w:spacing w:before="300" w:after="140"/>
        <w:rPr>
          <w:color w:val="000000"/>
        </w:rPr>
      </w:pPr>
      <w:r>
        <w:rPr>
          <w:rFonts w:ascii="Calibri" w:eastAsia="Calibri" w:hAnsi="Calibri" w:cs="Calibri"/>
          <w:b/>
          <w:bCs/>
          <w:color w:val="000000"/>
          <w:sz w:val="27"/>
          <w:szCs w:val="27"/>
        </w:rPr>
        <w:t>6. Overall Presentation of the Proposal</w:t>
      </w:r>
    </w:p>
    <w:p w14:paraId="240000AE" w14:textId="77777777" w:rsidR="00696738" w:rsidRDefault="00000000">
      <w:pPr>
        <w:spacing w:after="140" w:line="288" w:lineRule="auto"/>
        <w:jc w:val="both"/>
      </w:pPr>
      <w:r>
        <w:rPr>
          <w:rFonts w:ascii="Calibri" w:eastAsia="Calibri" w:hAnsi="Calibri" w:cs="Calibri"/>
          <w:sz w:val="22"/>
          <w:szCs w:val="22"/>
        </w:rPr>
        <w:t>The dissertation will use a direct academic style and will separate demonstrated results from assumptions and future possibilities. Architecture and sequence diagrams will identify trust boundaries, tables will report exact experimental settings, and figures will include units and sample sizes. IEEE numbered citations will be used consistently. Terms such as real-time, lightweight, tamper-evident and unclonable will be defined operationally rather than used as broad marketing claims.</w:t>
      </w:r>
    </w:p>
    <w:p w14:paraId="2F26CA96" w14:textId="77777777" w:rsidR="00696738" w:rsidRDefault="00000000">
      <w:pPr>
        <w:pStyle w:val="Heading1"/>
        <w:spacing w:before="300" w:after="140"/>
        <w:rPr>
          <w:rFonts w:ascii="Calibri" w:eastAsia="Calibri" w:hAnsi="Calibri" w:cs="Calibri"/>
          <w:b/>
          <w:bCs/>
          <w:color w:val="000000"/>
          <w:sz w:val="27"/>
          <w:szCs w:val="27"/>
        </w:rPr>
      </w:pPr>
      <w:r>
        <w:br w:type="page"/>
      </w:r>
      <w:r>
        <w:lastRenderedPageBreak/>
        <w:t>Reproducibility will be treated as part of the presentation rather than an appendix added at the end. The final submission will include a component inventory, software versions, chaincode rules, test-scenario definitions, anonymised measurement tables and a short guide to recreating the consortium. Security-sensitive PUF material will be excluded and its handling explained. This approach should make the argument readable to a general computing audience while giving a specialist enough evidence to judge the design and its limitations.</w:t>
      </w:r>
    </w:p>
    <w:p w14:paraId="7E3698E2" w14:textId="77777777" w:rsidR="00696738" w:rsidRDefault="00000000">
      <w:pPr>
        <w:pStyle w:val="Heading1"/>
        <w:spacing w:before="300" w:after="140"/>
        <w:rPr>
          <w:color w:val="000000"/>
        </w:rPr>
      </w:pPr>
      <w:r>
        <w:rPr>
          <w:rFonts w:ascii="Calibri" w:eastAsia="Calibri" w:hAnsi="Calibri" w:cs="Calibri"/>
          <w:b/>
          <w:bCs/>
          <w:color w:val="000000"/>
          <w:sz w:val="27"/>
          <w:szCs w:val="27"/>
        </w:rPr>
        <w:t>7. References</w:t>
      </w:r>
    </w:p>
    <w:p w14:paraId="0F93FF61" w14:textId="77777777" w:rsidR="00696738" w:rsidRDefault="00000000">
      <w:pPr>
        <w:spacing w:after="120" w:line="264" w:lineRule="auto"/>
        <w:ind w:left="460" w:hanging="460"/>
      </w:pPr>
      <w:r>
        <w:rPr>
          <w:rFonts w:ascii="Calibri" w:eastAsia="Calibri" w:hAnsi="Calibri" w:cs="Calibri"/>
        </w:rPr>
        <w:t>[1] U. Guin, D. DiMase, and M. Tehranipoor, "Counterfeit integrated circuits: Detection, avoidance, and the challenges ahead," Journal of Electronic Testing, vol. 30, no. 1, pp. 9-23, 2014, doi: 10.1007/s10836-013-5430-8.</w:t>
      </w:r>
    </w:p>
    <w:p w14:paraId="3BB8E7A8" w14:textId="77777777" w:rsidR="00696738" w:rsidRDefault="00000000">
      <w:pPr>
        <w:spacing w:after="120" w:line="264" w:lineRule="auto"/>
        <w:ind w:left="460" w:hanging="460"/>
      </w:pPr>
      <w:r>
        <w:rPr>
          <w:rFonts w:ascii="Calibri" w:eastAsia="Calibri" w:hAnsi="Calibri" w:cs="Calibri"/>
        </w:rPr>
        <w:t>[2] B. Gassend, D. Clarke, M. van Dijk, and S. Devadas, "Silicon physical random functions," in Proceedings of the 9th ACM Conference on Computer and Communications Security, 2002, pp. 148-160, doi: 10.1145/586110.586132.</w:t>
      </w:r>
    </w:p>
    <w:p w14:paraId="3F9BF372" w14:textId="77777777" w:rsidR="00696738" w:rsidRDefault="00000000">
      <w:pPr>
        <w:spacing w:after="120" w:line="264" w:lineRule="auto"/>
        <w:ind w:left="460" w:hanging="460"/>
      </w:pPr>
      <w:r>
        <w:rPr>
          <w:rFonts w:ascii="Calibri" w:eastAsia="Calibri" w:hAnsi="Calibri" w:cs="Calibri"/>
        </w:rPr>
        <w:t>[3] G. E. Suh and S. Devadas, "Physical unclonable functions for device authentication and secret key generation," in Proceedings of the 44th ACM/IEEE Design Automation Conference, 2007, pp. 9-14, doi: 10.1145/1278480.1278484.</w:t>
      </w:r>
    </w:p>
    <w:p w14:paraId="5CD726F7" w14:textId="77777777" w:rsidR="00696738" w:rsidRDefault="00000000">
      <w:pPr>
        <w:spacing w:after="120" w:line="264" w:lineRule="auto"/>
        <w:ind w:left="460" w:hanging="460"/>
      </w:pPr>
      <w:r>
        <w:rPr>
          <w:rFonts w:ascii="Calibri" w:eastAsia="Calibri" w:hAnsi="Calibri" w:cs="Calibri"/>
        </w:rPr>
        <w:t>[4] J. Guajardo, S. S. Kumar, G.-J. Schrijen, and P. Tuyls, "FPGA intrinsic PUFs and their use for IP protection," in Cryptographic Hardware and Embedded Systems - CHES 2007, LNCS 4727, pp. 63-80, doi: 10.1007/978-3-540-74735-2_5.</w:t>
      </w:r>
    </w:p>
    <w:p w14:paraId="44FEC7AB" w14:textId="77777777" w:rsidR="00696738" w:rsidRDefault="00000000">
      <w:pPr>
        <w:spacing w:after="120" w:line="264" w:lineRule="auto"/>
        <w:ind w:left="460" w:hanging="460"/>
      </w:pPr>
      <w:r>
        <w:rPr>
          <w:rFonts w:ascii="Calibri" w:eastAsia="Calibri" w:hAnsi="Calibri" w:cs="Calibri"/>
        </w:rPr>
        <w:t>[5] Y. Dodis, R. Ostrovsky, L. Reyzin, and A. Smith, "Fuzzy extractors: How to generate strong keys from biometrics and other noisy data," SIAM Journal on Computing, vol. 38, no. 1, pp. 97-139, 2008, doi: 10.1137/060651380.</w:t>
      </w:r>
    </w:p>
    <w:p w14:paraId="7D3EC136" w14:textId="77777777" w:rsidR="00696738" w:rsidRDefault="00000000">
      <w:pPr>
        <w:spacing w:after="120" w:line="264" w:lineRule="auto"/>
        <w:ind w:left="460" w:hanging="460"/>
      </w:pPr>
      <w:r>
        <w:rPr>
          <w:rFonts w:ascii="Calibri" w:eastAsia="Calibri" w:hAnsi="Calibri" w:cs="Calibri"/>
        </w:rPr>
        <w:t>[6] U. Ruehrmair, F. Sehnke, J. Soelter, G. Dror, S. Devadas, and J. Schmidhuber, "Modeling attacks on physical unclonable functions," in Proceedings of the 17th ACM Conference on Computer and Communications Security, 2010, pp. 237-249, doi: 10.1145/1866307.1866335.</w:t>
      </w:r>
    </w:p>
    <w:p w14:paraId="6B872981" w14:textId="77777777" w:rsidR="00696738" w:rsidRDefault="00000000">
      <w:pPr>
        <w:spacing w:after="120" w:line="264" w:lineRule="auto"/>
        <w:ind w:left="460" w:hanging="460"/>
      </w:pPr>
      <w:r>
        <w:rPr>
          <w:rFonts w:ascii="Calibri" w:eastAsia="Calibri" w:hAnsi="Calibri" w:cs="Calibri"/>
        </w:rPr>
        <w:t>[7] K. Toyoda, P. T. Mathiopoulos, I. Sasase, and T. Ohtsuki, "A novel blockchain-based product ownership management system (POMS) for anti-counterfeits in the post supply chain," IEEE Access, vol. 5, pp. 17465-17477, 2017, doi: 10.1109/ACCESS.2017.2720760.</w:t>
      </w:r>
    </w:p>
    <w:p w14:paraId="3B50217D" w14:textId="77777777" w:rsidR="00696738" w:rsidRDefault="00000000">
      <w:pPr>
        <w:spacing w:after="120" w:line="264" w:lineRule="auto"/>
        <w:ind w:left="460" w:hanging="460"/>
      </w:pPr>
      <w:r>
        <w:rPr>
          <w:rFonts w:ascii="Calibri" w:eastAsia="Calibri" w:hAnsi="Calibri" w:cs="Calibri"/>
        </w:rPr>
        <w:t>[8] E. Androulaki et al., "Hyperledger Fabric: A distributed operating system for permissioned blockchains," in Proceedings of the Thirteenth EuroSys Conference, 2018, pp. 1-15, doi: 10.1145/3190508.3190538.</w:t>
      </w:r>
    </w:p>
    <w:p w14:paraId="0C219A58" w14:textId="77777777" w:rsidR="00696738" w:rsidRDefault="00000000">
      <w:pPr>
        <w:spacing w:after="120" w:line="264" w:lineRule="auto"/>
        <w:ind w:left="460" w:hanging="460"/>
      </w:pPr>
      <w:r>
        <w:rPr>
          <w:rFonts w:ascii="Calibri" w:eastAsia="Calibri" w:hAnsi="Calibri" w:cs="Calibri"/>
        </w:rPr>
        <w:t>[9] M. N. Islam, V. C. Patil, and S. Kundu, "On IC traceability via blockchain," in 2018 International Symposium on VLSI Design, Automation and Test, 2018, pp. 1-4, doi: 10.1109/VLSI-DAT.2018.8373269.</w:t>
      </w:r>
    </w:p>
    <w:p w14:paraId="002AE4F5" w14:textId="77777777" w:rsidR="00696738" w:rsidRDefault="00000000">
      <w:pPr>
        <w:spacing w:after="120" w:line="264" w:lineRule="auto"/>
        <w:ind w:left="460" w:hanging="460"/>
      </w:pPr>
      <w:r>
        <w:rPr>
          <w:rFonts w:ascii="Calibri" w:eastAsia="Calibri" w:hAnsi="Calibri" w:cs="Calibri"/>
        </w:rPr>
        <w:t>[10] L. Negka, G. Gketsios, N. A. Anagnostopoulos, G. Spathoulas, A. Kakarountas, and S. Katzenbeisser, "Employing blockchain and physical unclonable functions for counterfeit IoT devices detection," in Proceedings of the International Conference on Omni-Layer Intelligent Systems, 2019, pp. 172-178, doi: 10.1145/3312614.3312650.</w:t>
      </w:r>
    </w:p>
    <w:p w14:paraId="089E4D52" w14:textId="77777777" w:rsidR="00696738" w:rsidRDefault="00000000">
      <w:pPr>
        <w:spacing w:after="120" w:line="264" w:lineRule="auto"/>
        <w:ind w:left="460" w:hanging="460"/>
      </w:pPr>
      <w:r>
        <w:rPr>
          <w:rFonts w:ascii="Calibri" w:eastAsia="Calibri" w:hAnsi="Calibri" w:cs="Calibri"/>
        </w:rPr>
        <w:t>[11] L. Aniello, B. Halak, P. Chai, R. Dhall, M. Mihalea, and A. Wilczynski, "Anti-BlUFf: Towards counterfeit mitigation in IC supply chains using blockchain and PUF," International Journal of Information Security, vol. 20, pp. 445-460, 2021, doi: 10.1007/s10207-020-00513-8.</w:t>
      </w:r>
    </w:p>
    <w:p w14:paraId="3C08ECC0" w14:textId="77777777" w:rsidR="00696738" w:rsidRDefault="00000000">
      <w:pPr>
        <w:spacing w:after="120" w:line="264" w:lineRule="auto"/>
        <w:ind w:left="460" w:hanging="460"/>
      </w:pPr>
      <w:r>
        <w:rPr>
          <w:rFonts w:ascii="Calibri" w:eastAsia="Calibri" w:hAnsi="Calibri" w:cs="Calibri"/>
        </w:rPr>
        <w:lastRenderedPageBreak/>
        <w:t>[12] M. D. Islam, H. Shen, and S. Badsha, "Integrating blockchain into supply chain safeguarded by PUF-enabled RFID," Internet of Things, vol. 18, art. no. 100505, 2022, doi: 10.1016/j.iot.2022.100505.</w:t>
      </w:r>
    </w:p>
    <w:p w14:paraId="3D6F5F2D" w14:textId="77777777" w:rsidR="00696738" w:rsidRDefault="00000000">
      <w:pPr>
        <w:spacing w:after="120" w:line="264" w:lineRule="auto"/>
        <w:ind w:left="460" w:hanging="460"/>
      </w:pPr>
      <w:r>
        <w:rPr>
          <w:rFonts w:ascii="Calibri" w:eastAsia="Calibri" w:hAnsi="Calibri" w:cs="Calibri"/>
        </w:rPr>
        <w:t>[13] S. P. Mohanty, V. P. Yanambaka, E. Kougianos, and D. Puthal, "PUFchain: A hardware-assisted blockchain for sustainable simultaneous device and data security in the Internet of Everything (IoE)," IEEE Consumer Electronics Magazine, vol. 9, no. 2, pp. 8-16, 2020, doi: 10.1109/MCE.2019.2953758.</w:t>
      </w:r>
    </w:p>
    <w:p w14:paraId="74A31F4E" w14:textId="77777777" w:rsidR="00696738" w:rsidRDefault="00000000">
      <w:pPr>
        <w:spacing w:after="120" w:line="264" w:lineRule="auto"/>
        <w:ind w:left="460" w:hanging="460"/>
      </w:pPr>
      <w:r>
        <w:rPr>
          <w:rFonts w:ascii="Calibri" w:eastAsia="Calibri" w:hAnsi="Calibri" w:cs="Calibri"/>
        </w:rPr>
        <w:t>[14] J. Arcenegui, R. Arjona, R. Roman, and I. Baturone, "Secure combination of IoT and blockchain by physically binding IoT devices to smart non-fungible tokens using PUFs," Sensors, vol. 21, no. 9, art. no. 3119, 2021, doi: 10.3390/s21093119.</w:t>
      </w:r>
    </w:p>
    <w:p w14:paraId="30F4EAFF" w14:textId="77777777" w:rsidR="00696738" w:rsidRDefault="00000000">
      <w:pPr>
        <w:spacing w:after="120" w:line="264" w:lineRule="auto"/>
        <w:ind w:left="460" w:hanging="460"/>
      </w:pPr>
      <w:r>
        <w:rPr>
          <w:rFonts w:ascii="Calibri" w:eastAsia="Calibri" w:hAnsi="Calibri" w:cs="Calibri"/>
        </w:rPr>
        <w:t>[15] C. Marchand, L. Bossuet, U. Mureddu, N. Bochard, A. Cherkaoui, and V. Fischer, "Implementation and characterization of a physical unclonable function for IoT: A case study with the TERO-PUF," IEEE Transactions on Computer-Aided Design of Integrated Circuits and Systems, vol. 37, no. 1, pp. 97-109, 2018, doi: 10.1109/TCAD.2017.2702607.</w:t>
      </w:r>
    </w:p>
    <w:p w14:paraId="3EE815A0" w14:textId="77777777" w:rsidR="00696738" w:rsidRDefault="00000000">
      <w:pPr>
        <w:spacing w:after="120" w:line="264" w:lineRule="auto"/>
        <w:ind w:left="460" w:hanging="460"/>
      </w:pPr>
      <w:r>
        <w:rPr>
          <w:rFonts w:ascii="Calibri" w:eastAsia="Calibri" w:hAnsi="Calibri" w:cs="Calibri"/>
        </w:rPr>
        <w:t>[16] A. Maiti, V. Gunreddy, and P. Schaumont, "A systematic method to evaluate and compare the performance of physical unclonable functions," in Embedded Systems Design with FPGAs. New York, NY: Springer, 2013, pp. 245-267, doi: 10.1007/978-1-4614-1362-2_11.</w:t>
      </w:r>
    </w:p>
    <w:p w14:paraId="68925E8F" w14:textId="77777777" w:rsidR="00696738" w:rsidRDefault="00000000">
      <w:pPr>
        <w:spacing w:after="120" w:line="264" w:lineRule="auto"/>
        <w:ind w:left="460" w:hanging="460"/>
      </w:pPr>
      <w:r>
        <w:rPr>
          <w:rFonts w:ascii="Calibri" w:eastAsia="Calibri" w:hAnsi="Calibri" w:cs="Calibri"/>
        </w:rPr>
        <w:t>[17] K. Peffers, T. Tuunanen, M. A. Rothenberger, and S. Chatterjee, "A design science research methodology for information systems research," Journal of Management Information Systems, vol. 24, no. 3, pp. 45-77, 2007, doi: 10.2753/MIS0742-1222240302.</w:t>
      </w:r>
    </w:p>
    <w:sectPr w:rsidR="00696738" w:rsidSect="0086475D">
      <w:headerReference w:type="default" r:id="rId12"/>
      <w:footerReference w:type="default" r:id="rId13"/>
      <w:pgSz w:w="11906" w:h="16838"/>
      <w:pgMar w:top="1350" w:right="1440" w:bottom="1350" w:left="1440" w:header="708" w:footer="708" w:gutter="0"/>
      <w:pgBorders w:offsetFrom="page">
        <w:top w:val="thinThickSmallGap" w:sz="18" w:space="24" w:color="auto"/>
        <w:left w:val="thinThickSmallGap" w:sz="18" w:space="24" w:color="auto"/>
        <w:bottom w:val="thickThinSmallGap" w:sz="18" w:space="24" w:color="auto"/>
        <w:right w:val="thickThinSmallGap" w:sz="18"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F74059" w14:textId="77777777" w:rsidR="000754FD" w:rsidRDefault="000754FD">
      <w:r>
        <w:separator/>
      </w:r>
    </w:p>
  </w:endnote>
  <w:endnote w:type="continuationSeparator" w:id="0">
    <w:p w14:paraId="6B122E67" w14:textId="77777777" w:rsidR="000754FD" w:rsidRDefault="000754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embedItalic r:id="rId1" w:fontKey="{B8740D35-8332-4CDE-B09E-12472E6622F4}"/>
  </w:font>
  <w:font w:name="Calibri">
    <w:panose1 w:val="020F0502020204030204"/>
    <w:charset w:val="00"/>
    <w:family w:val="swiss"/>
    <w:pitch w:val="variable"/>
    <w:sig w:usb0="E4002EFF" w:usb1="C000247B" w:usb2="00000009" w:usb3="00000000" w:csb0="000001FF" w:csb1="00000000"/>
    <w:embedRegular r:id="rId2" w:fontKey="{7B2FCCEA-A23C-472B-A4B6-5C72A6F11E69}"/>
    <w:embedBold r:id="rId3" w:fontKey="{6B949A9C-94C8-4506-9A3C-DC8FB106923C}"/>
    <w:embedItalic r:id="rId4" w:fontKey="{A1BF7539-F742-4F2F-A7F3-A282805B09BA}"/>
  </w:font>
  <w:font w:name="Cambria">
    <w:panose1 w:val="02040503050406030204"/>
    <w:charset w:val="00"/>
    <w:family w:val="roman"/>
    <w:pitch w:val="variable"/>
    <w:sig w:usb0="E00006FF" w:usb1="420024FF" w:usb2="02000000" w:usb3="00000000" w:csb0="0000019F" w:csb1="00000000"/>
    <w:embedRegular r:id="rId5" w:fontKey="{E878C980-8B2E-4139-82E2-B736C0B31A1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4CD835" w14:textId="77777777" w:rsidR="00696738" w:rsidRDefault="00000000">
    <w:pPr>
      <w:jc w:val="center"/>
    </w:pPr>
    <w:r>
      <w:rPr>
        <w:rFonts w:ascii="Calibri" w:eastAsia="Calibri" w:hAnsi="Calibri" w:cs="Calibri"/>
        <w:sz w:val="18"/>
        <w:szCs w:val="18"/>
      </w:rPr>
      <w:fldChar w:fldCharType="begin"/>
    </w:r>
    <w:r>
      <w:rPr>
        <w:rFonts w:ascii="Calibri" w:eastAsia="Calibri" w:hAnsi="Calibri" w:cs="Calibri"/>
        <w:sz w:val="18"/>
        <w:szCs w:val="18"/>
      </w:rPr>
      <w:instrText>PAGE</w:instrText>
    </w:r>
    <w:r>
      <w:rPr>
        <w:rFonts w:ascii="Calibri" w:eastAsia="Calibri" w:hAnsi="Calibri" w:cs="Calibri"/>
        <w:sz w:val="18"/>
        <w:szCs w:val="18"/>
      </w:rPr>
      <w:fldChar w:fldCharType="separate"/>
    </w:r>
    <w:r w:rsidR="001C0BBC">
      <w:rPr>
        <w:rFonts w:ascii="Calibri" w:eastAsia="Calibri" w:hAnsi="Calibri" w:cs="Calibri"/>
        <w:noProof/>
        <w:sz w:val="18"/>
        <w:szCs w:val="18"/>
      </w:rPr>
      <w:t>2</w:t>
    </w:r>
    <w:r>
      <w:rPr>
        <w:rFonts w:ascii="Calibri" w:eastAsia="Calibri" w:hAnsi="Calibri" w:cs="Calibri"/>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6C4E19" w14:textId="77777777" w:rsidR="000754FD" w:rsidRDefault="000754FD">
      <w:r>
        <w:separator/>
      </w:r>
    </w:p>
  </w:footnote>
  <w:footnote w:type="continuationSeparator" w:id="0">
    <w:p w14:paraId="6C162906" w14:textId="77777777" w:rsidR="000754FD" w:rsidRDefault="000754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A92787" w14:textId="5E51E1D1" w:rsidR="00696738" w:rsidRDefault="00696738">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0E64E4"/>
    <w:multiLevelType w:val="multilevel"/>
    <w:tmpl w:val="229637BE"/>
    <w:lvl w:ilvl="0">
      <w:start w:val="1"/>
      <w:numFmt w:val="bullet"/>
      <w:lvlText w:val="•"/>
      <w:lvlJc w:val="left"/>
      <w:pPr>
        <w:ind w:left="720" w:hanging="36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1" w15:restartNumberingAfterBreak="0">
    <w:nsid w:val="79BE4BF5"/>
    <w:multiLevelType w:val="hybridMultilevel"/>
    <w:tmpl w:val="55E6E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21829777">
    <w:abstractNumId w:val="0"/>
  </w:num>
  <w:num w:numId="2" w16cid:durableId="759066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6738"/>
    <w:rsid w:val="000754FD"/>
    <w:rsid w:val="000B7041"/>
    <w:rsid w:val="001C0BBC"/>
    <w:rsid w:val="001E4686"/>
    <w:rsid w:val="00202A87"/>
    <w:rsid w:val="00225A1D"/>
    <w:rsid w:val="0036746E"/>
    <w:rsid w:val="003F06B1"/>
    <w:rsid w:val="0051147A"/>
    <w:rsid w:val="00696738"/>
    <w:rsid w:val="0086475D"/>
    <w:rsid w:val="00A12114"/>
    <w:rsid w:val="00E6145C"/>
    <w:rsid w:val="00FC3D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8410F"/>
  <w15:docId w15:val="{6CE4C749-20F3-4A16-A56E-163EEA97C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outlineLvl w:val="0"/>
    </w:pPr>
    <w:rPr>
      <w:color w:val="2E74B5"/>
      <w:sz w:val="32"/>
      <w:szCs w:val="32"/>
    </w:rPr>
  </w:style>
  <w:style w:type="paragraph" w:styleId="Heading2">
    <w:name w:val="heading 2"/>
    <w:basedOn w:val="Normal"/>
    <w:next w:val="Normal"/>
    <w:uiPriority w:val="9"/>
    <w:unhideWhenUsed/>
    <w:qFormat/>
    <w:pPr>
      <w:pBdr>
        <w:top w:val="nil"/>
        <w:left w:val="nil"/>
        <w:bottom w:val="nil"/>
        <w:right w:val="nil"/>
        <w:between w:val="nil"/>
      </w:pBdr>
      <w:outlineLvl w:val="1"/>
    </w:pPr>
    <w:rPr>
      <w:color w:val="2E74B5"/>
      <w:sz w:val="26"/>
      <w:szCs w:val="26"/>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paragraph" w:styleId="ListParagraph">
    <w:name w:val="List Paragraph"/>
    <w:basedOn w:val="Normal"/>
    <w:uiPriority w:val="34"/>
    <w:qFormat/>
    <w:rsid w:val="001C0BBC"/>
    <w:pPr>
      <w:ind w:left="720"/>
      <w:contextualSpacing/>
    </w:pPr>
  </w:style>
  <w:style w:type="paragraph" w:styleId="Header">
    <w:name w:val="header"/>
    <w:basedOn w:val="Normal"/>
    <w:link w:val="HeaderChar"/>
    <w:uiPriority w:val="99"/>
    <w:unhideWhenUsed/>
    <w:rsid w:val="0086475D"/>
    <w:pPr>
      <w:tabs>
        <w:tab w:val="center" w:pos="4680"/>
        <w:tab w:val="right" w:pos="9360"/>
      </w:tabs>
    </w:pPr>
  </w:style>
  <w:style w:type="character" w:customStyle="1" w:styleId="HeaderChar">
    <w:name w:val="Header Char"/>
    <w:basedOn w:val="DefaultParagraphFont"/>
    <w:link w:val="Header"/>
    <w:uiPriority w:val="99"/>
    <w:rsid w:val="0086475D"/>
  </w:style>
  <w:style w:type="paragraph" w:styleId="Footer">
    <w:name w:val="footer"/>
    <w:basedOn w:val="Normal"/>
    <w:link w:val="FooterChar"/>
    <w:uiPriority w:val="99"/>
    <w:unhideWhenUsed/>
    <w:rsid w:val="0086475D"/>
    <w:pPr>
      <w:tabs>
        <w:tab w:val="center" w:pos="4680"/>
        <w:tab w:val="right" w:pos="9360"/>
      </w:tabs>
    </w:pPr>
  </w:style>
  <w:style w:type="character" w:customStyle="1" w:styleId="FooterChar">
    <w:name w:val="Footer Char"/>
    <w:basedOn w:val="DefaultParagraphFont"/>
    <w:link w:val="Footer"/>
    <w:uiPriority w:val="99"/>
    <w:rsid w:val="008647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R/L5V9XlffTuOlhhyAEYIsJ76Rg==">CgMxLjAyDmgudHczd3JucjdtcHcwMg5oLmtpaHF5b2JmNDVjNjIOaC5idHgwMDc4azZqMDAyDmguMmxwYWljODk2b3pxMg5oLnpjd3FhOGMxcnJydzIOaC5ybG43cmw5eDVpbGM4AHIhMW5LUC1DWlV2UnFHckRkT2VVTzVsanRDdG9WRTFQZUN1</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17</Pages>
  <Words>4744</Words>
  <Characters>27041</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valand harsh</cp:lastModifiedBy>
  <cp:revision>9</cp:revision>
  <dcterms:created xsi:type="dcterms:W3CDTF">2026-07-27T18:33:00Z</dcterms:created>
  <dcterms:modified xsi:type="dcterms:W3CDTF">2026-08-12T12:14:00Z</dcterms:modified>
</cp:coreProperties>
</file>