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30B493" w14:textId="77777777" w:rsidR="005B5474" w:rsidRDefault="005B5474"/>
    <w:p w14:paraId="698C4AEF" w14:textId="77777777" w:rsidR="005B5474" w:rsidRDefault="005B5474"/>
    <w:p w14:paraId="4623A35E" w14:textId="77777777" w:rsidR="005B5474" w:rsidRDefault="005B5474"/>
    <w:p w14:paraId="603F203E" w14:textId="77777777" w:rsidR="005B5474" w:rsidRDefault="005B5474"/>
    <w:p w14:paraId="70C4D538" w14:textId="77777777" w:rsidR="005B5474" w:rsidRDefault="0048423C">
      <w:pPr>
        <w:jc w:val="center"/>
        <w:rPr>
          <w:b/>
          <w:bCs/>
        </w:rPr>
      </w:pPr>
      <w:r>
        <w:rPr>
          <w:b/>
          <w:bCs/>
        </w:rPr>
        <w:t>LEVEL 5 ASSESSMENT SPECIFICATION</w:t>
      </w:r>
    </w:p>
    <w:p w14:paraId="4A34B85C" w14:textId="77777777" w:rsidR="005B5474" w:rsidRDefault="0048423C">
      <w:pPr>
        <w:jc w:val="center"/>
        <w:rPr>
          <w:b/>
          <w:bCs/>
        </w:rPr>
      </w:pPr>
      <w:proofErr w:type="spellStart"/>
      <w:r>
        <w:rPr>
          <w:b/>
          <w:bCs/>
        </w:rPr>
        <w:t>Programme</w:t>
      </w:r>
      <w:proofErr w:type="spellEnd"/>
      <w:r>
        <w:rPr>
          <w:b/>
          <w:bCs/>
        </w:rPr>
        <w:t>: Computing Portfolio</w:t>
      </w:r>
    </w:p>
    <w:p w14:paraId="6391745E" w14:textId="77777777" w:rsidR="005B5474" w:rsidRDefault="0048423C">
      <w:pPr>
        <w:jc w:val="center"/>
        <w:rPr>
          <w:b/>
          <w:bCs/>
        </w:rPr>
      </w:pPr>
      <w:r>
        <w:rPr>
          <w:b/>
          <w:bCs/>
        </w:rPr>
        <w:t>Module: Data Security and Compliance</w:t>
      </w:r>
    </w:p>
    <w:p w14:paraId="5E2A16E8" w14:textId="77777777" w:rsidR="005B5474" w:rsidRDefault="005B5474">
      <w:pPr>
        <w:jc w:val="center"/>
        <w:rPr>
          <w:b/>
          <w:bCs/>
        </w:rPr>
      </w:pPr>
    </w:p>
    <w:p w14:paraId="0FBDBD8B" w14:textId="77777777" w:rsidR="005B5474" w:rsidRDefault="0048423C">
      <w:pPr>
        <w:jc w:val="center"/>
        <w:rPr>
          <w:b/>
          <w:bCs/>
        </w:rPr>
      </w:pPr>
      <w:r>
        <w:rPr>
          <w:b/>
          <w:bCs/>
        </w:rPr>
        <w:t>Module code: ACCA5034 Contribution to</w:t>
      </w:r>
    </w:p>
    <w:p w14:paraId="7D1D2940" w14:textId="77777777" w:rsidR="005B5474" w:rsidRDefault="0048423C">
      <w:pPr>
        <w:jc w:val="center"/>
        <w:rPr>
          <w:b/>
          <w:bCs/>
        </w:rPr>
      </w:pPr>
      <w:r>
        <w:rPr>
          <w:b/>
          <w:bCs/>
        </w:rPr>
        <w:t>Lecturer: Dr Ayman Al Hajjar</w:t>
      </w:r>
    </w:p>
    <w:p w14:paraId="62C47F73" w14:textId="70A06A02" w:rsidR="005B5474" w:rsidRDefault="005B5474">
      <w:pPr>
        <w:jc w:val="center"/>
        <w:rPr>
          <w:b/>
          <w:bCs/>
        </w:rPr>
      </w:pPr>
    </w:p>
    <w:p w14:paraId="4B8B5373" w14:textId="4C1567EA" w:rsidR="005B5474" w:rsidRDefault="0048423C" w:rsidP="005E2AFA">
      <w:pPr>
        <w:rPr>
          <w:b/>
          <w:bCs/>
        </w:rPr>
      </w:pPr>
      <w:r>
        <w:rPr>
          <w:b/>
          <w:bCs/>
        </w:rPr>
        <w:t>Assignment Title: Research and case scenario</w:t>
      </w:r>
      <w:r>
        <w:rPr>
          <w:b/>
          <w:bCs/>
        </w:rPr>
        <w:t xml:space="preserve"> </w:t>
      </w:r>
      <w:r>
        <w:rPr>
          <w:b/>
          <w:bCs/>
        </w:rPr>
        <w:t>in Data Security and</w:t>
      </w:r>
      <w:r>
        <w:rPr>
          <w:b/>
          <w:bCs/>
        </w:rPr>
        <w:t xml:space="preserve"> </w:t>
      </w:r>
      <w:r>
        <w:rPr>
          <w:b/>
          <w:bCs/>
        </w:rPr>
        <w:t>Compliance</w:t>
      </w:r>
    </w:p>
    <w:p w14:paraId="3B0D3BDE" w14:textId="77777777" w:rsidR="005B5474" w:rsidRDefault="005B5474">
      <w:pPr>
        <w:jc w:val="center"/>
        <w:rPr>
          <w:b/>
          <w:bCs/>
        </w:rPr>
      </w:pPr>
    </w:p>
    <w:p w14:paraId="1209B8A9" w14:textId="05995C6F" w:rsidR="005B5474" w:rsidRDefault="00741D21" w:rsidP="005E2AFA">
      <w:pPr>
        <w:rPr>
          <w:b/>
          <w:bCs/>
        </w:rPr>
      </w:pPr>
      <w:r>
        <w:rPr>
          <w:b/>
          <w:bCs/>
        </w:rPr>
        <w:t xml:space="preserve"> </w:t>
      </w:r>
      <w:r w:rsidR="0048423C">
        <w:rPr>
          <w:b/>
          <w:bCs/>
        </w:rPr>
        <w:t>Student name:</w:t>
      </w:r>
      <w:r w:rsidR="005E2AFA">
        <w:rPr>
          <w:b/>
          <w:bCs/>
        </w:rPr>
        <w:t xml:space="preserve"> Mr</w:t>
      </w:r>
      <w:r>
        <w:rPr>
          <w:b/>
          <w:bCs/>
        </w:rPr>
        <w:t xml:space="preserve">. Chukwu </w:t>
      </w:r>
      <w:proofErr w:type="spellStart"/>
      <w:r>
        <w:rPr>
          <w:b/>
          <w:bCs/>
        </w:rPr>
        <w:t>Emehjulu</w:t>
      </w:r>
      <w:proofErr w:type="spellEnd"/>
      <w:r>
        <w:rPr>
          <w:b/>
          <w:bCs/>
        </w:rPr>
        <w:t xml:space="preserve"> Charles</w:t>
      </w:r>
    </w:p>
    <w:p w14:paraId="19FDF427" w14:textId="511C5C92" w:rsidR="005B5474" w:rsidRDefault="00AC2942" w:rsidP="00741D21">
      <w:pPr>
        <w:rPr>
          <w:b/>
          <w:bCs/>
        </w:rPr>
      </w:pPr>
      <w:r>
        <w:rPr>
          <w:b/>
          <w:bCs/>
        </w:rPr>
        <w:t xml:space="preserve">                    </w:t>
      </w:r>
      <w:r w:rsidR="0048423C">
        <w:rPr>
          <w:b/>
          <w:bCs/>
        </w:rPr>
        <w:t>Student ID number:</w:t>
      </w:r>
      <w:r>
        <w:rPr>
          <w:b/>
          <w:bCs/>
        </w:rPr>
        <w:t xml:space="preserve"> 2411379</w:t>
      </w:r>
    </w:p>
    <w:p w14:paraId="26D9A658" w14:textId="06EE2F23" w:rsidR="002B6F04" w:rsidRDefault="00845749" w:rsidP="00741D21">
      <w:pPr>
        <w:rPr>
          <w:b/>
          <w:bCs/>
        </w:rPr>
      </w:pPr>
      <w:r>
        <w:rPr>
          <w:b/>
          <w:bCs/>
        </w:rPr>
        <w:t xml:space="preserve">  </w:t>
      </w:r>
      <w:r w:rsidR="00BD3C97">
        <w:rPr>
          <w:b/>
          <w:bCs/>
        </w:rPr>
        <w:t xml:space="preserve">      </w:t>
      </w:r>
      <w:r w:rsidR="002B6F04">
        <w:rPr>
          <w:b/>
          <w:bCs/>
        </w:rPr>
        <w:t>U</w:t>
      </w:r>
      <w:r w:rsidR="00C77CCE">
        <w:rPr>
          <w:b/>
          <w:bCs/>
        </w:rPr>
        <w:t>NIVERSITY OF WALES TRINITY SAINT DAVID</w:t>
      </w:r>
    </w:p>
    <w:p w14:paraId="66E436E0" w14:textId="31D5534E" w:rsidR="00845749" w:rsidRDefault="00BD3C97" w:rsidP="00741D21">
      <w:pPr>
        <w:rPr>
          <w:b/>
          <w:bCs/>
        </w:rPr>
      </w:pPr>
      <w:r>
        <w:rPr>
          <w:b/>
          <w:bCs/>
        </w:rPr>
        <w:t xml:space="preserve">                             </w:t>
      </w:r>
      <w:r w:rsidR="00845749">
        <w:rPr>
          <w:b/>
          <w:bCs/>
        </w:rPr>
        <w:t>LONDON CAMPUS</w:t>
      </w:r>
    </w:p>
    <w:p w14:paraId="6A8A5530" w14:textId="24412411" w:rsidR="00AF70B2" w:rsidRDefault="00AF70B2" w:rsidP="00AF70B2">
      <w:pPr>
        <w:pStyle w:val="NoSpacing"/>
        <w:rPr>
          <w:color w:val="4F81BD" w:themeColor="accent1"/>
          <w:sz w:val="26"/>
          <w:szCs w:val="26"/>
        </w:rPr>
      </w:pPr>
      <w:r>
        <w:rPr>
          <w:b/>
          <w:bCs/>
        </w:rPr>
        <w:t xml:space="preserve">                   </w:t>
      </w:r>
      <w:r w:rsidR="00563751">
        <w:rPr>
          <w:b/>
          <w:bCs/>
        </w:rPr>
        <w:t xml:space="preserve"> </w:t>
      </w:r>
    </w:p>
    <w:p w14:paraId="57A7B34F" w14:textId="57F31064" w:rsidR="003D538B" w:rsidRDefault="003D538B" w:rsidP="00741D21">
      <w:pPr>
        <w:rPr>
          <w:b/>
          <w:bCs/>
        </w:rPr>
      </w:pPr>
    </w:p>
    <w:p w14:paraId="3E8C3DF5" w14:textId="77777777" w:rsidR="005B5474" w:rsidRDefault="005B5474">
      <w:pPr>
        <w:rPr>
          <w:b/>
          <w:bCs/>
        </w:rPr>
      </w:pPr>
    </w:p>
    <w:p w14:paraId="1E31173F" w14:textId="77777777" w:rsidR="005B5474" w:rsidRDefault="0048423C">
      <w:pPr>
        <w:rPr>
          <w:b/>
          <w:bCs/>
          <w:sz w:val="28"/>
          <w:szCs w:val="21"/>
        </w:rPr>
      </w:pPr>
      <w:r>
        <w:rPr>
          <w:b/>
          <w:bCs/>
          <w:sz w:val="28"/>
          <w:szCs w:val="21"/>
        </w:rPr>
        <w:t xml:space="preserve">Table of content: </w:t>
      </w:r>
    </w:p>
    <w:p w14:paraId="5C557F5C" w14:textId="77777777" w:rsidR="005B5474" w:rsidRDefault="0048423C">
      <w:pPr>
        <w:pStyle w:val="TOC1"/>
        <w:tabs>
          <w:tab w:val="right" w:leader="dot" w:pos="9026"/>
        </w:tabs>
      </w:pPr>
      <w:r>
        <w:rPr>
          <w:b/>
          <w:bCs/>
          <w:sz w:val="28"/>
          <w:szCs w:val="21"/>
        </w:rPr>
        <w:fldChar w:fldCharType="begin"/>
      </w:r>
      <w:r>
        <w:rPr>
          <w:b/>
          <w:bCs/>
          <w:sz w:val="28"/>
          <w:szCs w:val="21"/>
        </w:rPr>
        <w:instrText xml:space="preserve">TOC \o "1-3" \h \u </w:instrText>
      </w:r>
      <w:r>
        <w:rPr>
          <w:b/>
          <w:bCs/>
          <w:sz w:val="28"/>
          <w:szCs w:val="21"/>
        </w:rPr>
        <w:fldChar w:fldCharType="separate"/>
      </w:r>
      <w:hyperlink w:anchor="_Toc30765" w:history="1">
        <w:r>
          <w:t>Task 1 – Research in Data Security and Compliance</w:t>
        </w:r>
        <w:r>
          <w:tab/>
        </w:r>
        <w:r>
          <w:fldChar w:fldCharType="begin"/>
        </w:r>
        <w:r>
          <w:instrText xml:space="preserve"> PAGEREF _Toc30765 \h </w:instrText>
        </w:r>
        <w:r>
          <w:fldChar w:fldCharType="separate"/>
        </w:r>
        <w:r>
          <w:t>1</w:t>
        </w:r>
        <w:r>
          <w:fldChar w:fldCharType="end"/>
        </w:r>
      </w:hyperlink>
    </w:p>
    <w:p w14:paraId="5703E475" w14:textId="77777777" w:rsidR="005B5474" w:rsidRDefault="0048423C">
      <w:pPr>
        <w:pStyle w:val="TOC2"/>
        <w:tabs>
          <w:tab w:val="right" w:leader="dot" w:pos="9026"/>
        </w:tabs>
        <w:ind w:left="480"/>
      </w:pPr>
      <w:hyperlink w:anchor="_Toc19613" w:history="1">
        <w:r>
          <w:t>Abstract:</w:t>
        </w:r>
        <w:r>
          <w:tab/>
        </w:r>
        <w:r>
          <w:fldChar w:fldCharType="begin"/>
        </w:r>
        <w:r>
          <w:instrText xml:space="preserve"> PAGEREF _Toc19613 \h </w:instrText>
        </w:r>
        <w:r>
          <w:fldChar w:fldCharType="separate"/>
        </w:r>
        <w:r>
          <w:t>1</w:t>
        </w:r>
        <w:r>
          <w:fldChar w:fldCharType="end"/>
        </w:r>
      </w:hyperlink>
    </w:p>
    <w:p w14:paraId="4B6035E5" w14:textId="77777777" w:rsidR="005B5474" w:rsidRDefault="0048423C">
      <w:pPr>
        <w:pStyle w:val="TOC2"/>
        <w:tabs>
          <w:tab w:val="right" w:leader="dot" w:pos="9026"/>
        </w:tabs>
        <w:ind w:left="480"/>
      </w:pPr>
      <w:hyperlink w:anchor="_Toc32018" w:history="1">
        <w:r>
          <w:t>1. Introduction:</w:t>
        </w:r>
        <w:r>
          <w:tab/>
        </w:r>
        <w:r>
          <w:fldChar w:fldCharType="begin"/>
        </w:r>
        <w:r>
          <w:instrText xml:space="preserve"> PAGEREF _Toc32018 \h </w:instrText>
        </w:r>
        <w:r>
          <w:fldChar w:fldCharType="separate"/>
        </w:r>
        <w:r>
          <w:t>1</w:t>
        </w:r>
        <w:r>
          <w:fldChar w:fldCharType="end"/>
        </w:r>
      </w:hyperlink>
    </w:p>
    <w:p w14:paraId="4500606B" w14:textId="77777777" w:rsidR="005B5474" w:rsidRDefault="0048423C">
      <w:pPr>
        <w:pStyle w:val="TOC2"/>
        <w:tabs>
          <w:tab w:val="right" w:leader="dot" w:pos="9026"/>
        </w:tabs>
        <w:ind w:left="480"/>
      </w:pPr>
      <w:hyperlink w:anchor="_Toc32604" w:history="1">
        <w:r>
          <w:t>2. History and Development of Zero Trust Architecture:</w:t>
        </w:r>
        <w:r>
          <w:tab/>
        </w:r>
        <w:r>
          <w:fldChar w:fldCharType="begin"/>
        </w:r>
        <w:r>
          <w:instrText xml:space="preserve"> PAGEREF _Toc32604 \h </w:instrText>
        </w:r>
        <w:r>
          <w:fldChar w:fldCharType="separate"/>
        </w:r>
        <w:r>
          <w:t>2</w:t>
        </w:r>
        <w:r>
          <w:fldChar w:fldCharType="end"/>
        </w:r>
      </w:hyperlink>
    </w:p>
    <w:p w14:paraId="3A7FB4A0" w14:textId="77777777" w:rsidR="005B5474" w:rsidRDefault="0048423C">
      <w:pPr>
        <w:pStyle w:val="TOC2"/>
        <w:tabs>
          <w:tab w:val="right" w:leader="dot" w:pos="9026"/>
        </w:tabs>
        <w:ind w:left="480"/>
      </w:pPr>
      <w:hyperlink w:anchor="_Toc9908" w:history="1">
        <w:r>
          <w:t>3. Essentials of Zero Trust</w:t>
        </w:r>
        <w:r>
          <w:t>:</w:t>
        </w:r>
        <w:r>
          <w:tab/>
        </w:r>
        <w:r>
          <w:fldChar w:fldCharType="begin"/>
        </w:r>
        <w:r>
          <w:instrText xml:space="preserve"> PAGEREF _Toc9908 \h </w:instrText>
        </w:r>
        <w:r>
          <w:fldChar w:fldCharType="separate"/>
        </w:r>
        <w:r>
          <w:t>3</w:t>
        </w:r>
        <w:r>
          <w:fldChar w:fldCharType="end"/>
        </w:r>
      </w:hyperlink>
    </w:p>
    <w:p w14:paraId="50412A1A" w14:textId="77777777" w:rsidR="005B5474" w:rsidRDefault="0048423C">
      <w:pPr>
        <w:pStyle w:val="TOC2"/>
        <w:tabs>
          <w:tab w:val="right" w:leader="dot" w:pos="9026"/>
        </w:tabs>
        <w:ind w:left="480"/>
      </w:pPr>
      <w:hyperlink w:anchor="_Toc10872" w:history="1">
        <w:r>
          <w:t>4. Zero Trust Architecture Model</w:t>
        </w:r>
        <w:r>
          <w:t>:</w:t>
        </w:r>
        <w:r>
          <w:tab/>
        </w:r>
        <w:r>
          <w:fldChar w:fldCharType="begin"/>
        </w:r>
        <w:r>
          <w:instrText xml:space="preserve"> PAGEREF _Toc10872 \h </w:instrText>
        </w:r>
        <w:r>
          <w:fldChar w:fldCharType="separate"/>
        </w:r>
        <w:r>
          <w:t>4</w:t>
        </w:r>
        <w:r>
          <w:fldChar w:fldCharType="end"/>
        </w:r>
      </w:hyperlink>
    </w:p>
    <w:p w14:paraId="6EF90853" w14:textId="77777777" w:rsidR="005B5474" w:rsidRDefault="0048423C">
      <w:pPr>
        <w:pStyle w:val="TOC2"/>
        <w:tabs>
          <w:tab w:val="right" w:leader="dot" w:pos="9026"/>
        </w:tabs>
        <w:ind w:left="480"/>
      </w:pPr>
      <w:hyperlink w:anchor="_Toc25717" w:history="1">
        <w:r>
          <w:t>5. Implementation Challenges</w:t>
        </w:r>
        <w:r>
          <w:t>:</w:t>
        </w:r>
        <w:r>
          <w:tab/>
        </w:r>
        <w:r>
          <w:fldChar w:fldCharType="begin"/>
        </w:r>
        <w:r>
          <w:instrText xml:space="preserve"> PAGEREF _Toc25717 \h </w:instrText>
        </w:r>
        <w:r>
          <w:fldChar w:fldCharType="separate"/>
        </w:r>
        <w:r>
          <w:t>5</w:t>
        </w:r>
        <w:r>
          <w:fldChar w:fldCharType="end"/>
        </w:r>
      </w:hyperlink>
    </w:p>
    <w:p w14:paraId="62C15308" w14:textId="77777777" w:rsidR="005B5474" w:rsidRDefault="0048423C">
      <w:pPr>
        <w:pStyle w:val="TOC2"/>
        <w:tabs>
          <w:tab w:val="right" w:leader="dot" w:pos="9026"/>
        </w:tabs>
        <w:ind w:left="480"/>
      </w:pPr>
      <w:hyperlink w:anchor="_Toc3729" w:history="1">
        <w:r>
          <w:t>6. Case Studies</w:t>
        </w:r>
        <w:r>
          <w:t>:</w:t>
        </w:r>
        <w:r>
          <w:tab/>
        </w:r>
        <w:r>
          <w:fldChar w:fldCharType="begin"/>
        </w:r>
        <w:r>
          <w:instrText xml:space="preserve"> PAGEREF _Toc3729 \h </w:instrText>
        </w:r>
        <w:r>
          <w:fldChar w:fldCharType="separate"/>
        </w:r>
        <w:r>
          <w:t>6</w:t>
        </w:r>
        <w:r>
          <w:fldChar w:fldCharType="end"/>
        </w:r>
      </w:hyperlink>
    </w:p>
    <w:p w14:paraId="2D9B55EA" w14:textId="77777777" w:rsidR="005B5474" w:rsidRDefault="0048423C">
      <w:pPr>
        <w:pStyle w:val="TOC1"/>
        <w:tabs>
          <w:tab w:val="right" w:leader="dot" w:pos="9026"/>
        </w:tabs>
      </w:pPr>
      <w:hyperlink w:anchor="_Toc20529" w:history="1">
        <w:r>
          <w:t>7. Evaluation Metri</w:t>
        </w:r>
        <w:r>
          <w:t>cs:</w:t>
        </w:r>
        <w:r>
          <w:tab/>
        </w:r>
        <w:r>
          <w:fldChar w:fldCharType="begin"/>
        </w:r>
        <w:r>
          <w:instrText xml:space="preserve"> PAGEREF _Toc20529 \h </w:instrText>
        </w:r>
        <w:r>
          <w:fldChar w:fldCharType="separate"/>
        </w:r>
        <w:r>
          <w:t>6</w:t>
        </w:r>
        <w:r>
          <w:fldChar w:fldCharType="end"/>
        </w:r>
      </w:hyperlink>
    </w:p>
    <w:p w14:paraId="3B3BBD16" w14:textId="77777777" w:rsidR="005B5474" w:rsidRDefault="0048423C">
      <w:pPr>
        <w:pStyle w:val="TOC2"/>
        <w:tabs>
          <w:tab w:val="right" w:leader="dot" w:pos="9026"/>
        </w:tabs>
        <w:ind w:left="480"/>
      </w:pPr>
      <w:hyperlink w:anchor="_Toc13032" w:history="1">
        <w:r>
          <w:t xml:space="preserve">8. </w:t>
        </w:r>
        <w:r>
          <w:t>Future Trends</w:t>
        </w:r>
        <w:r>
          <w:t>:</w:t>
        </w:r>
        <w:r>
          <w:tab/>
        </w:r>
        <w:r>
          <w:fldChar w:fldCharType="begin"/>
        </w:r>
        <w:r>
          <w:instrText xml:space="preserve"> PAGEREF _Toc13032 \h </w:instrText>
        </w:r>
        <w:r>
          <w:fldChar w:fldCharType="separate"/>
        </w:r>
        <w:r>
          <w:t>7</w:t>
        </w:r>
        <w:r>
          <w:fldChar w:fldCharType="end"/>
        </w:r>
      </w:hyperlink>
    </w:p>
    <w:p w14:paraId="7DD1CEFA" w14:textId="77777777" w:rsidR="005B5474" w:rsidRDefault="0048423C">
      <w:pPr>
        <w:pStyle w:val="TOC2"/>
        <w:tabs>
          <w:tab w:val="right" w:leader="dot" w:pos="9026"/>
        </w:tabs>
        <w:ind w:left="480"/>
      </w:pPr>
      <w:hyperlink w:anchor="_Toc7598" w:history="1">
        <w:r>
          <w:t>9. Conclusio</w:t>
        </w:r>
        <w:r>
          <w:t>n:</w:t>
        </w:r>
        <w:r>
          <w:tab/>
        </w:r>
        <w:r>
          <w:fldChar w:fldCharType="begin"/>
        </w:r>
        <w:r>
          <w:instrText xml:space="preserve"> PAGEREF _Toc7598 \h </w:instrText>
        </w:r>
        <w:r>
          <w:fldChar w:fldCharType="separate"/>
        </w:r>
        <w:r>
          <w:t>7</w:t>
        </w:r>
        <w:r>
          <w:fldChar w:fldCharType="end"/>
        </w:r>
      </w:hyperlink>
    </w:p>
    <w:p w14:paraId="74FE52CA" w14:textId="77777777" w:rsidR="005B5474" w:rsidRDefault="0048423C">
      <w:pPr>
        <w:pStyle w:val="TOC1"/>
        <w:tabs>
          <w:tab w:val="right" w:leader="dot" w:pos="9026"/>
        </w:tabs>
      </w:pPr>
      <w:hyperlink w:anchor="_Toc18313" w:history="1">
        <w:r>
          <w:t>References</w:t>
        </w:r>
        <w:r>
          <w:tab/>
        </w:r>
        <w:r>
          <w:fldChar w:fldCharType="begin"/>
        </w:r>
        <w:r>
          <w:instrText xml:space="preserve"> PAGEREF _Toc18313 \h </w:instrText>
        </w:r>
        <w:r>
          <w:fldChar w:fldCharType="separate"/>
        </w:r>
        <w:r>
          <w:t>8</w:t>
        </w:r>
        <w:r>
          <w:fldChar w:fldCharType="end"/>
        </w:r>
      </w:hyperlink>
    </w:p>
    <w:p w14:paraId="5BBB06E4" w14:textId="77777777" w:rsidR="005B5474" w:rsidRDefault="0048423C">
      <w:pPr>
        <w:pStyle w:val="TOC1"/>
        <w:tabs>
          <w:tab w:val="right" w:leader="dot" w:pos="9026"/>
        </w:tabs>
      </w:pPr>
      <w:hyperlink w:anchor="_Toc25252" w:history="1">
        <w:r>
          <w:t>Task 2 – Case Scenario</w:t>
        </w:r>
        <w:r>
          <w:tab/>
        </w:r>
        <w:r>
          <w:fldChar w:fldCharType="begin"/>
        </w:r>
        <w:r>
          <w:instrText xml:space="preserve"> PAGEREF _Toc25252 \h </w:instrText>
        </w:r>
        <w:r>
          <w:fldChar w:fldCharType="separate"/>
        </w:r>
        <w:r>
          <w:t>10</w:t>
        </w:r>
        <w:r>
          <w:fldChar w:fldCharType="end"/>
        </w:r>
      </w:hyperlink>
    </w:p>
    <w:p w14:paraId="31044E3E" w14:textId="77777777" w:rsidR="005B5474" w:rsidRDefault="0048423C">
      <w:pPr>
        <w:pStyle w:val="TOC2"/>
        <w:tabs>
          <w:tab w:val="right" w:leader="dot" w:pos="9026"/>
        </w:tabs>
        <w:ind w:left="480"/>
      </w:pPr>
      <w:hyperlink w:anchor="_Toc449" w:history="1">
        <w:r>
          <w:t>1. Introduction</w:t>
        </w:r>
        <w:r>
          <w:t>:</w:t>
        </w:r>
        <w:r>
          <w:tab/>
        </w:r>
        <w:r>
          <w:fldChar w:fldCharType="begin"/>
        </w:r>
        <w:r>
          <w:instrText xml:space="preserve"> PAGEREF _Toc449 \h </w:instrText>
        </w:r>
        <w:r>
          <w:fldChar w:fldCharType="separate"/>
        </w:r>
        <w:r>
          <w:t>10</w:t>
        </w:r>
        <w:r>
          <w:fldChar w:fldCharType="end"/>
        </w:r>
      </w:hyperlink>
    </w:p>
    <w:p w14:paraId="0D3A6C34" w14:textId="77777777" w:rsidR="005B5474" w:rsidRDefault="0048423C">
      <w:pPr>
        <w:pStyle w:val="TOC2"/>
        <w:tabs>
          <w:tab w:val="right" w:leader="dot" w:pos="9026"/>
        </w:tabs>
        <w:ind w:left="480"/>
      </w:pPr>
      <w:hyperlink w:anchor="_Toc25556" w:history="1">
        <w:r>
          <w:t>2. Organisation Structure</w:t>
        </w:r>
        <w:r>
          <w:t>:</w:t>
        </w:r>
        <w:r>
          <w:tab/>
        </w:r>
        <w:r>
          <w:fldChar w:fldCharType="begin"/>
        </w:r>
        <w:r>
          <w:instrText xml:space="preserve"> PAGEREF _Toc25556 \h </w:instrText>
        </w:r>
        <w:r>
          <w:fldChar w:fldCharType="separate"/>
        </w:r>
        <w:r>
          <w:t>11</w:t>
        </w:r>
        <w:r>
          <w:fldChar w:fldCharType="end"/>
        </w:r>
      </w:hyperlink>
    </w:p>
    <w:p w14:paraId="1555CBE7" w14:textId="77777777" w:rsidR="005B5474" w:rsidRDefault="0048423C">
      <w:pPr>
        <w:pStyle w:val="TOC2"/>
        <w:tabs>
          <w:tab w:val="right" w:leader="dot" w:pos="9026"/>
        </w:tabs>
        <w:ind w:left="480"/>
      </w:pPr>
      <w:hyperlink w:anchor="_Toc3401" w:history="1">
        <w:r>
          <w:t>3. Policies and Procedures</w:t>
        </w:r>
        <w:r>
          <w:t>:</w:t>
        </w:r>
        <w:r>
          <w:tab/>
        </w:r>
        <w:r>
          <w:fldChar w:fldCharType="begin"/>
        </w:r>
        <w:r>
          <w:instrText xml:space="preserve"> PAGEREF _Toc3401 \h </w:instrText>
        </w:r>
        <w:r>
          <w:fldChar w:fldCharType="separate"/>
        </w:r>
        <w:r>
          <w:t>12</w:t>
        </w:r>
        <w:r>
          <w:fldChar w:fldCharType="end"/>
        </w:r>
      </w:hyperlink>
    </w:p>
    <w:p w14:paraId="177C1B90" w14:textId="77777777" w:rsidR="005B5474" w:rsidRDefault="0048423C">
      <w:pPr>
        <w:pStyle w:val="TOC2"/>
        <w:tabs>
          <w:tab w:val="right" w:leader="dot" w:pos="9026"/>
        </w:tabs>
        <w:ind w:left="480"/>
      </w:pPr>
      <w:hyperlink w:anchor="_Toc14347" w:history="1">
        <w:r>
          <w:t>4. Adherence: DORA and NIS2</w:t>
        </w:r>
        <w:r>
          <w:tab/>
        </w:r>
        <w:r>
          <w:fldChar w:fldCharType="begin"/>
        </w:r>
        <w:r>
          <w:instrText xml:space="preserve"> PAGEREF _Toc14347 \h </w:instrText>
        </w:r>
        <w:r>
          <w:fldChar w:fldCharType="separate"/>
        </w:r>
        <w:r>
          <w:t>13</w:t>
        </w:r>
        <w:r>
          <w:fldChar w:fldCharType="end"/>
        </w:r>
      </w:hyperlink>
    </w:p>
    <w:p w14:paraId="0F3A1119" w14:textId="77777777" w:rsidR="005B5474" w:rsidRDefault="0048423C">
      <w:pPr>
        <w:pStyle w:val="TOC2"/>
        <w:tabs>
          <w:tab w:val="right" w:leader="dot" w:pos="9026"/>
        </w:tabs>
        <w:ind w:left="480"/>
      </w:pPr>
      <w:hyperlink w:anchor="_Toc16338" w:history="1">
        <w:r>
          <w:t>5. Governance &amp; Strategy (NIST CSF 2.0)</w:t>
        </w:r>
        <w:r>
          <w:t>:</w:t>
        </w:r>
        <w:r>
          <w:tab/>
        </w:r>
        <w:r>
          <w:fldChar w:fldCharType="begin"/>
        </w:r>
        <w:r>
          <w:instrText xml:space="preserve"> PAGEREF _Toc16338 \h </w:instrText>
        </w:r>
        <w:r>
          <w:fldChar w:fldCharType="separate"/>
        </w:r>
        <w:r>
          <w:t>13</w:t>
        </w:r>
        <w:r>
          <w:fldChar w:fldCharType="end"/>
        </w:r>
      </w:hyperlink>
    </w:p>
    <w:p w14:paraId="41AE9EE2" w14:textId="77777777" w:rsidR="005B5474" w:rsidRDefault="0048423C">
      <w:pPr>
        <w:pStyle w:val="TOC2"/>
        <w:tabs>
          <w:tab w:val="right" w:leader="dot" w:pos="9026"/>
        </w:tabs>
        <w:ind w:left="480"/>
      </w:pPr>
      <w:hyperlink w:anchor="_Toc22531" w:history="1">
        <w:r>
          <w:t>6. Risk Management (Software Supply Chain and Cloud risks)</w:t>
        </w:r>
        <w:r>
          <w:t>:</w:t>
        </w:r>
        <w:r>
          <w:tab/>
        </w:r>
        <w:r>
          <w:fldChar w:fldCharType="begin"/>
        </w:r>
        <w:r>
          <w:instrText xml:space="preserve"> PAGEREF _Toc22531 \h </w:instrText>
        </w:r>
        <w:r>
          <w:fldChar w:fldCharType="separate"/>
        </w:r>
        <w:r>
          <w:t>14</w:t>
        </w:r>
        <w:r>
          <w:fldChar w:fldCharType="end"/>
        </w:r>
      </w:hyperlink>
    </w:p>
    <w:p w14:paraId="631223C8" w14:textId="77777777" w:rsidR="005B5474" w:rsidRDefault="0048423C">
      <w:pPr>
        <w:pStyle w:val="TOC2"/>
        <w:tabs>
          <w:tab w:val="right" w:leader="dot" w:pos="9026"/>
        </w:tabs>
        <w:ind w:left="480"/>
      </w:pPr>
      <w:hyperlink w:anchor="_Toc27088" w:history="1">
        <w:r>
          <w:t xml:space="preserve">Table 2: </w:t>
        </w:r>
        <w:r>
          <w:t>Risk Register – MediTrust Analytics Ltd</w:t>
        </w:r>
        <w:r>
          <w:tab/>
        </w:r>
        <w:r>
          <w:fldChar w:fldCharType="begin"/>
        </w:r>
        <w:r>
          <w:instrText xml:space="preserve"> PAGEREF _Toc27088 \h </w:instrText>
        </w:r>
        <w:r>
          <w:fldChar w:fldCharType="separate"/>
        </w:r>
        <w:r>
          <w:t>15</w:t>
        </w:r>
        <w:r>
          <w:fldChar w:fldCharType="end"/>
        </w:r>
      </w:hyperlink>
    </w:p>
    <w:p w14:paraId="49F3AE23" w14:textId="77777777" w:rsidR="005B5474" w:rsidRDefault="0048423C">
      <w:pPr>
        <w:pStyle w:val="TOC2"/>
        <w:tabs>
          <w:tab w:val="right" w:leader="dot" w:pos="9026"/>
        </w:tabs>
        <w:ind w:left="480"/>
      </w:pPr>
      <w:hyperlink w:anchor="_Toc10876" w:history="1">
        <w:r>
          <w:t>7</w:t>
        </w:r>
        <w:r>
          <w:t>. Disaster Recovery (Ransomware Attacks Contingency Planning)</w:t>
        </w:r>
        <w:r>
          <w:t>:</w:t>
        </w:r>
        <w:r>
          <w:tab/>
        </w:r>
        <w:r>
          <w:fldChar w:fldCharType="begin"/>
        </w:r>
        <w:r>
          <w:instrText xml:space="preserve"> PAGEREF _Toc10876 \h </w:instrText>
        </w:r>
        <w:r>
          <w:fldChar w:fldCharType="separate"/>
        </w:r>
        <w:r>
          <w:t>16</w:t>
        </w:r>
        <w:r>
          <w:fldChar w:fldCharType="end"/>
        </w:r>
      </w:hyperlink>
    </w:p>
    <w:p w14:paraId="246C3F92" w14:textId="77777777" w:rsidR="005B5474" w:rsidRDefault="0048423C">
      <w:pPr>
        <w:pStyle w:val="TOC2"/>
        <w:tabs>
          <w:tab w:val="right" w:leader="dot" w:pos="9026"/>
        </w:tabs>
        <w:ind w:left="480"/>
      </w:pPr>
      <w:hyperlink w:anchor="_Toc14002" w:history="1">
        <w:r>
          <w:t>8. Protection Mechanisms (Zero Trust Security Controls</w:t>
        </w:r>
        <w:r>
          <w:t>):</w:t>
        </w:r>
        <w:r>
          <w:tab/>
        </w:r>
        <w:r>
          <w:fldChar w:fldCharType="begin"/>
        </w:r>
        <w:r>
          <w:instrText xml:space="preserve"> PAGEREF _Toc14002 \h </w:instrText>
        </w:r>
        <w:r>
          <w:fldChar w:fldCharType="separate"/>
        </w:r>
        <w:r>
          <w:t>16</w:t>
        </w:r>
        <w:r>
          <w:fldChar w:fldCharType="end"/>
        </w:r>
      </w:hyperlink>
    </w:p>
    <w:p w14:paraId="67CF891F" w14:textId="77777777" w:rsidR="005B5474" w:rsidRDefault="0048423C">
      <w:pPr>
        <w:pStyle w:val="TOC3"/>
        <w:tabs>
          <w:tab w:val="right" w:leader="dot" w:pos="9026"/>
        </w:tabs>
        <w:ind w:left="960"/>
      </w:pPr>
      <w:hyperlink w:anchor="_Toc22028" w:history="1">
        <w:r>
          <w:t xml:space="preserve">Table 3: </w:t>
        </w:r>
        <w:r>
          <w:t>Recommended Security Controls</w:t>
        </w:r>
        <w:r>
          <w:tab/>
        </w:r>
        <w:r>
          <w:fldChar w:fldCharType="begin"/>
        </w:r>
        <w:r>
          <w:instrText xml:space="preserve"> PAGEREF _Toc22028 \h </w:instrText>
        </w:r>
        <w:r>
          <w:fldChar w:fldCharType="separate"/>
        </w:r>
        <w:r>
          <w:t>17</w:t>
        </w:r>
        <w:r>
          <w:fldChar w:fldCharType="end"/>
        </w:r>
      </w:hyperlink>
    </w:p>
    <w:p w14:paraId="1FCC563C" w14:textId="77777777" w:rsidR="005B5474" w:rsidRDefault="0048423C">
      <w:pPr>
        <w:pStyle w:val="TOC1"/>
        <w:tabs>
          <w:tab w:val="right" w:leader="dot" w:pos="9026"/>
        </w:tabs>
      </w:pPr>
      <w:hyperlink w:anchor="_Toc24569" w:history="1">
        <w:r>
          <w:t>References</w:t>
        </w:r>
        <w:r>
          <w:tab/>
        </w:r>
        <w:r>
          <w:fldChar w:fldCharType="begin"/>
        </w:r>
        <w:r>
          <w:instrText xml:space="preserve"> PAGEREF _Toc24569 \h </w:instrText>
        </w:r>
        <w:r>
          <w:fldChar w:fldCharType="separate"/>
        </w:r>
        <w:r>
          <w:t>18</w:t>
        </w:r>
        <w:r>
          <w:fldChar w:fldCharType="end"/>
        </w:r>
      </w:hyperlink>
    </w:p>
    <w:p w14:paraId="7D150BD1" w14:textId="77777777" w:rsidR="005B5474" w:rsidRDefault="0048423C">
      <w:pPr>
        <w:rPr>
          <w:b/>
          <w:bCs/>
          <w:sz w:val="28"/>
          <w:szCs w:val="21"/>
        </w:rPr>
      </w:pPr>
      <w:r>
        <w:rPr>
          <w:bCs/>
          <w:szCs w:val="21"/>
        </w:rPr>
        <w:fldChar w:fldCharType="end"/>
      </w:r>
    </w:p>
    <w:p w14:paraId="2B7350D4" w14:textId="77777777" w:rsidR="005B5474" w:rsidRDefault="005B5474">
      <w:pPr>
        <w:rPr>
          <w:b/>
          <w:bCs/>
          <w:sz w:val="28"/>
          <w:szCs w:val="21"/>
        </w:rPr>
      </w:pPr>
    </w:p>
    <w:p w14:paraId="01F0B142" w14:textId="77777777" w:rsidR="005B5474" w:rsidRDefault="005B5474">
      <w:pPr>
        <w:rPr>
          <w:b/>
          <w:bCs/>
          <w:sz w:val="28"/>
          <w:szCs w:val="21"/>
        </w:rPr>
      </w:pPr>
    </w:p>
    <w:p w14:paraId="09CCD518" w14:textId="77777777" w:rsidR="005B5474" w:rsidRDefault="005B5474">
      <w:pPr>
        <w:rPr>
          <w:b/>
          <w:bCs/>
          <w:sz w:val="28"/>
          <w:szCs w:val="21"/>
        </w:rPr>
      </w:pPr>
    </w:p>
    <w:p w14:paraId="1217C254" w14:textId="77777777" w:rsidR="005B5474" w:rsidRDefault="005B5474">
      <w:pPr>
        <w:rPr>
          <w:b/>
          <w:bCs/>
          <w:sz w:val="28"/>
          <w:szCs w:val="21"/>
        </w:rPr>
      </w:pPr>
    </w:p>
    <w:p w14:paraId="3486DB5C" w14:textId="77777777" w:rsidR="005B5474" w:rsidRDefault="005B5474">
      <w:pPr>
        <w:rPr>
          <w:b/>
          <w:bCs/>
          <w:sz w:val="28"/>
          <w:szCs w:val="21"/>
        </w:rPr>
      </w:pPr>
    </w:p>
    <w:p w14:paraId="349A349F" w14:textId="77777777" w:rsidR="005B5474" w:rsidRDefault="005B5474">
      <w:pPr>
        <w:pStyle w:val="Heading1"/>
        <w:sectPr w:rsidR="005B5474">
          <w:footerReference w:type="default" r:id="rId9"/>
          <w:pgSz w:w="11906" w:h="16838"/>
          <w:pgMar w:top="1440" w:right="1440" w:bottom="1440" w:left="1440" w:header="720" w:footer="720" w:gutter="0"/>
          <w:pgNumType w:fmt="lowerRoman" w:start="1"/>
          <w:cols w:space="720"/>
          <w:docGrid w:linePitch="360"/>
        </w:sectPr>
      </w:pPr>
      <w:bookmarkStart w:id="0" w:name="_Toc15847"/>
    </w:p>
    <w:p w14:paraId="1AE191F1" w14:textId="77777777" w:rsidR="005B5474" w:rsidRDefault="0048423C">
      <w:pPr>
        <w:pStyle w:val="Heading1"/>
      </w:pPr>
      <w:bookmarkStart w:id="1" w:name="_Toc30765"/>
      <w:r>
        <w:lastRenderedPageBreak/>
        <w:t>Task 1 – Research in Data Security and Compliance</w:t>
      </w:r>
      <w:bookmarkEnd w:id="1"/>
      <w:r>
        <w:t xml:space="preserve"> </w:t>
      </w:r>
    </w:p>
    <w:p w14:paraId="5AA88209" w14:textId="77777777" w:rsidR="005B5474" w:rsidRDefault="0048423C">
      <w:pPr>
        <w:pStyle w:val="Heading2"/>
      </w:pPr>
      <w:bookmarkStart w:id="2" w:name="_Toc19613"/>
      <w:r>
        <w:t>Abstract:</w:t>
      </w:r>
      <w:bookmarkEnd w:id="0"/>
      <w:bookmarkEnd w:id="2"/>
    </w:p>
    <w:p w14:paraId="0D916D4D" w14:textId="77777777" w:rsidR="005B5474" w:rsidRDefault="0048423C">
      <w:r>
        <w:t>The framework model of cybersecurity of modern highly distributed, cloud-based and hybrid-based businesses has adopted the Zero Trust Architecture (ZTA). Unlike the traditional perimeter-based security models, ZTA is founded on the premise that users, devices, applications are not trustworthy and that identity, context and risk verification is an ongoing process. The paper will critically assess the concepts, implementation concerns and performance of ZTA in comparison to the previous security frameworks. I</w:t>
      </w:r>
      <w:r>
        <w:t>t evaluates how ZTA enables companies to anticipate, protect, find, and respond to cyber threats by using such features as identity-based security, micro-segmentation, and constant monitoring. The paper examines the problems of real-life implementation, including old system integration, scaling problems, organizational resistance and compliance with regulations including GDPR and NIS2. Case studies and other findings in the industry demonstrate that even though ZTA is highly successful in enhancing the brea</w:t>
      </w:r>
      <w:r>
        <w:t>ch containment, compliance efficiency and visibility of the threats, it is associated with operational complexity and cost overhead. The paper finds that ZTA does not entirely replace the traditional models but is an expected change in enterprise cybersecurity strategy.</w:t>
      </w:r>
    </w:p>
    <w:p w14:paraId="1F1ACC7C" w14:textId="77777777" w:rsidR="005B5474" w:rsidRDefault="0048423C">
      <w:pPr>
        <w:rPr>
          <w:b/>
          <w:bCs/>
          <w:sz w:val="28"/>
          <w:szCs w:val="21"/>
        </w:rPr>
      </w:pPr>
      <w:r>
        <w:t xml:space="preserve">Keywords: </w:t>
      </w:r>
      <w:r>
        <w:rPr>
          <w:i/>
          <w:iCs/>
        </w:rPr>
        <w:t>Zero Trust Architecture, Cybersecurity, Data Security, Compliance, IAM, Micro-segmentation, NIST, GDPR.</w:t>
      </w:r>
    </w:p>
    <w:p w14:paraId="62237CA6" w14:textId="77777777" w:rsidR="005B5474" w:rsidRDefault="0048423C">
      <w:pPr>
        <w:pStyle w:val="Heading2"/>
      </w:pPr>
      <w:bookmarkStart w:id="3" w:name="_Toc32018"/>
      <w:r>
        <w:t>1. Introduction:</w:t>
      </w:r>
      <w:bookmarkEnd w:id="3"/>
    </w:p>
    <w:p w14:paraId="0671D0B6" w14:textId="77777777" w:rsidR="005B5474" w:rsidRDefault="0048423C">
      <w:r>
        <w:t xml:space="preserve">The contemporary cybersecurity environment is rapidly transforming with the use </w:t>
      </w:r>
      <w:proofErr w:type="gramStart"/>
      <w:r>
        <w:t>of the cloud</w:t>
      </w:r>
      <w:proofErr w:type="gramEnd"/>
      <w:r>
        <w:t xml:space="preserve">, remote work, and the expansion of the use of mobile and IoT devices. These changes have greatly undermined the performance of the conventional perimeter-based security strategies which </w:t>
      </w:r>
      <w:proofErr w:type="gramStart"/>
      <w:r>
        <w:t>are based on the assumption</w:t>
      </w:r>
      <w:proofErr w:type="gramEnd"/>
      <w:r>
        <w:t xml:space="preserve"> that the internal network traffic is always trusted [1]. With the growth of online presence of enterprises, the size of the attack surface grows, allowing the attackers to take advantage of internal vulnerabilities after they managed to compromise the perimeter security.</w:t>
      </w:r>
    </w:p>
    <w:p w14:paraId="576098E1" w14:textId="77777777" w:rsidR="005B5474" w:rsidRDefault="0048423C">
      <w:r>
        <w:t xml:space="preserve">Advanced Persistent Threats (APT) and insider threats are examples of cyberattacks that prove that network segmentation based on trust is inadequate. Zero Trust Architecture (ZTA) has therefore come up as a strategic paradigm that implements the principle of never trust, always </w:t>
      </w:r>
      <w:proofErr w:type="gramStart"/>
      <w:r>
        <w:t>verify</w:t>
      </w:r>
      <w:proofErr w:type="gramEnd"/>
      <w:r>
        <w:t xml:space="preserve"> in all access requests. This concept will ensure that user, device and system interaction is always authenticated and </w:t>
      </w:r>
      <w:proofErr w:type="spellStart"/>
      <w:r>
        <w:t>authorised</w:t>
      </w:r>
      <w:proofErr w:type="spellEnd"/>
      <w:r>
        <w:t xml:space="preserve"> regardless of where or where they are on the network. The growing regulatory environment, including GDPR, NIS2, and ISO 27001, </w:t>
      </w:r>
      <w:r>
        <w:lastRenderedPageBreak/>
        <w:t xml:space="preserve">contributes to the need </w:t>
      </w:r>
      <w:proofErr w:type="gramStart"/>
      <w:r>
        <w:t>of</w:t>
      </w:r>
      <w:proofErr w:type="gramEnd"/>
      <w:r>
        <w:t xml:space="preserve"> a healthy and identity-centered security </w:t>
      </w:r>
      <w:proofErr w:type="gramStart"/>
      <w:r>
        <w:t>models</w:t>
      </w:r>
      <w:proofErr w:type="gramEnd"/>
      <w:r>
        <w:t xml:space="preserve"> [</w:t>
      </w:r>
      <w:r>
        <w:t>2</w:t>
      </w:r>
      <w:r>
        <w:t>]. ZTA is increasingly being portrayed as compliance enabler, security upgrading to deliver accountability, auditability and data protection in multifaceted enterprise sett</w:t>
      </w:r>
      <w:r>
        <w:t>ings.</w:t>
      </w:r>
    </w:p>
    <w:p w14:paraId="2FD5C382" w14:textId="77777777" w:rsidR="005B5474" w:rsidRDefault="0048423C">
      <w:pPr>
        <w:pStyle w:val="Heading2"/>
      </w:pPr>
      <w:bookmarkStart w:id="4" w:name="_Toc32604"/>
      <w:r>
        <w:t>2. History and Development of Zero Trust Architecture:</w:t>
      </w:r>
      <w:bookmarkEnd w:id="4"/>
    </w:p>
    <w:p w14:paraId="36BA2EEA" w14:textId="77777777" w:rsidR="005B5474" w:rsidRDefault="0048423C">
      <w:r>
        <w:t>Perimeter-based traditional models of security have played a significant role in the development of cybersecurity structures due to their limitations. The castle-and-moat model that has been traditionally employed by the enterprises considers internal networks to be secure when users or devices have passed perimeter controls such as firewalls, intrusion detection systems (IDS) and virtual private networks (VPNs). This model presupposed a strict separation of the so-called trusted internal and untrusted exte</w:t>
      </w:r>
      <w:r>
        <w:t xml:space="preserve">rnal environments, which worked with the fixed, </w:t>
      </w:r>
      <w:proofErr w:type="gramStart"/>
      <w:r>
        <w:t>on-premise</w:t>
      </w:r>
      <w:proofErr w:type="gramEnd"/>
      <w:r>
        <w:t xml:space="preserve"> infrastructures with the limited external connectivity [</w:t>
      </w:r>
      <w:r>
        <w:t>3</w:t>
      </w:r>
      <w:r>
        <w:t>].</w:t>
      </w:r>
    </w:p>
    <w:p w14:paraId="1FA694EF" w14:textId="77777777" w:rsidR="005B5474" w:rsidRDefault="0048423C">
      <w:r>
        <w:t xml:space="preserve">Nonetheless, the accelerating growth of cloud computing, Bring Your Own Device (BYOD) policies, and telecommuting setup has undermined the notion of a defined network boundary fundamentally. The present-day enterprise systems are highly </w:t>
      </w:r>
      <w:proofErr w:type="gramStart"/>
      <w:r>
        <w:t>distributed</w:t>
      </w:r>
      <w:proofErr w:type="gramEnd"/>
      <w:r>
        <w:t xml:space="preserve"> and users </w:t>
      </w:r>
      <w:proofErr w:type="gramStart"/>
      <w:r>
        <w:t>are able to</w:t>
      </w:r>
      <w:proofErr w:type="gramEnd"/>
      <w:r>
        <w:t xml:space="preserve"> access resources at various locations and uncontrolled devices. The change has greatly expanded the attack surface, and provided a critical vulnerability, especially when attackers are able to circumvent the perimeter security measures and to navigate laterally through internal networks. The development of more advanced cyber threats like Advanced Persistent Threats (APTs) also underscored the weak performance of the traditional models, since the attackers </w:t>
      </w:r>
      <w:proofErr w:type="gramStart"/>
      <w:r>
        <w:t>were capable of h</w:t>
      </w:r>
      <w:r>
        <w:t>aving</w:t>
      </w:r>
      <w:proofErr w:type="gramEnd"/>
      <w:r>
        <w:t xml:space="preserve"> a long-term unauthorized presence without being detected. To counter that, Zero Trust Architecture (ZTA) has become a current-day security paradigm, excluding implicit trust and setting conditions of constant verification of all access requests, irrespective of their source [</w:t>
      </w:r>
      <w:r>
        <w:t>4</w:t>
      </w:r>
      <w:r>
        <w:t>].</w:t>
      </w:r>
    </w:p>
    <w:p w14:paraId="54AC6B11" w14:textId="77777777" w:rsidR="005B5474" w:rsidRDefault="0048423C">
      <w:r>
        <w:t>Zero Trust as a concept was first published by Forrester Research and subsequently codified by the National Institute of Standards and Technology (NIST) Special Publication 800-207 which offers a formal framework to the implementation of zero-trust [5]. NIST claims that ZTA is constructed based on the principles of continuous authentication, the least-privilege access, and the hard principles of identity verification. The flexibility of ZTA in contemporary contexts, including cloud-native systems and hybrid</w:t>
      </w:r>
      <w:r>
        <w:t xml:space="preserve"> enterprise environments, where identity-based security and real-time monitoring is crucial to resilience to changing threats is also highlighted in recent research. This has resulted in Zero Trust moving beyond a theoretical framework to become a popular cybersecurity standard in industries.</w:t>
      </w:r>
    </w:p>
    <w:p w14:paraId="759447A2" w14:textId="77777777" w:rsidR="005B5474" w:rsidRDefault="005B5474"/>
    <w:p w14:paraId="548D1799" w14:textId="77777777" w:rsidR="005B5474" w:rsidRDefault="0048423C">
      <w:pPr>
        <w:pStyle w:val="Heading2"/>
      </w:pPr>
      <w:bookmarkStart w:id="5" w:name="_Toc9908"/>
      <w:r>
        <w:lastRenderedPageBreak/>
        <w:t>3. Essentials of Zero Trust</w:t>
      </w:r>
      <w:r>
        <w:t>:</w:t>
      </w:r>
      <w:bookmarkEnd w:id="5"/>
    </w:p>
    <w:p w14:paraId="43CF2B43" w14:textId="77777777" w:rsidR="005B5474" w:rsidRDefault="0048423C">
      <w:r>
        <w:t xml:space="preserve">Zero Trust Architecture (ZTA) is based on a series of guiding principles that are redefining the approach to cybersecurity by organizations in modern distributed settings. In contrast to the old models of security based on perimeter, ZTA presupposes the assumption that neither internal nor external entities can be trusted in general. Rather, all access requests </w:t>
      </w:r>
      <w:proofErr w:type="gramStart"/>
      <w:r>
        <w:t>have to</w:t>
      </w:r>
      <w:proofErr w:type="gramEnd"/>
      <w:r>
        <w:t xml:space="preserve"> be constantly checked, authenticated, and audited.</w:t>
      </w:r>
    </w:p>
    <w:p w14:paraId="7DBB8BA4" w14:textId="77777777" w:rsidR="005B5474" w:rsidRDefault="0048423C">
      <w:r>
        <w:t>The initial principle is “Check Explicitly. This guideline states that every access attempt should be authenticated by all the contextual signals present, which include user identity, health of the device, location, time of access, and behavioral analytics. Zero Trust is based on dynamic verification to decide access and make secure access decisions rather than fixed credentials, which could be Multi-Factor Authentication (MFA) or Single Sign-On (SSO) and identity-based risk scoring [</w:t>
      </w:r>
      <w:r>
        <w:t>5</w:t>
      </w:r>
      <w:r>
        <w:t>]. One of the most important systems during the implementation of this principle is the Identity and Access Management (IAM) systems.</w:t>
      </w:r>
    </w:p>
    <w:p w14:paraId="1EE91EC5" w14:textId="77777777" w:rsidR="005B5474" w:rsidRDefault="0048423C">
      <w:r>
        <w:t xml:space="preserve">The second one is the principle of Least Privilege Access. This will make sure that users and devices are only granted the minimum level of access necessary to accomplish their tasks. Limitations of </w:t>
      </w:r>
      <w:proofErr w:type="gramStart"/>
      <w:r>
        <w:t>permissions</w:t>
      </w:r>
      <w:proofErr w:type="gramEnd"/>
      <w:r>
        <w:t xml:space="preserve"> can decrease the attack surface and mitigate possible harm of compromised accounts or insider threats. The access rights are more likely to be time-based and context-based, enhancing </w:t>
      </w:r>
      <w:proofErr w:type="gramStart"/>
      <w:r>
        <w:t>the security</w:t>
      </w:r>
      <w:proofErr w:type="gramEnd"/>
      <w:r>
        <w:t xml:space="preserve"> enforcement.</w:t>
      </w:r>
    </w:p>
    <w:p w14:paraId="704E3FB5" w14:textId="77777777" w:rsidR="005B5474" w:rsidRDefault="0048423C">
      <w:r>
        <w:t>The third rule is “Assume Breach. This mode of thinking is based on the premise that intruders can already be in the network. Consequently, systems are configured with the aim of reducing the lateral movement by continuous monitoring, segmentation, and quick incident response systems. This will promote proactive countering of threats, as opposed to reactive countering of threats.</w:t>
      </w:r>
      <w:r>
        <w:t xml:space="preserve"> </w:t>
      </w:r>
      <w:r>
        <w:t xml:space="preserve">Another important principle is micro-segmentation whereby the networks are separated into closed areas so that the attackers do not move laterally. Other parts are safeguarded even when one part is </w:t>
      </w:r>
      <w:proofErr w:type="gramStart"/>
      <w:r>
        <w:t>destroyed</w:t>
      </w:r>
      <w:proofErr w:type="gramEnd"/>
      <w:r>
        <w:t xml:space="preserve"> and this goes a long way in minimizing the consequences.</w:t>
      </w:r>
      <w:r>
        <w:t xml:space="preserve"> </w:t>
      </w:r>
      <w:r>
        <w:t>Active monitoring and validation will guarantee that the user sessions, device actions, and network actions are always analyzed with the help of AI and SIEM-based tools. Any deviation leads to policy re-consideration or termination of access [</w:t>
      </w:r>
      <w:r>
        <w:t>6</w:t>
      </w:r>
      <w:r>
        <w:t>].</w:t>
      </w:r>
    </w:p>
    <w:p w14:paraId="04EF0249" w14:textId="77777777" w:rsidR="005B5474" w:rsidRDefault="0048423C">
      <w:r>
        <w:t xml:space="preserve">Lastly, the ZTA is based on identity-based security where all decisions are made based on validated digital identities as opposed to network location. This provides uniform enforcement of the cloud, hybrid and </w:t>
      </w:r>
      <w:proofErr w:type="gramStart"/>
      <w:r>
        <w:t>on-premise</w:t>
      </w:r>
      <w:proofErr w:type="gramEnd"/>
      <w:r>
        <w:t xml:space="preserve"> environments.</w:t>
      </w:r>
      <w:bookmarkStart w:id="6" w:name="_Toc10872"/>
    </w:p>
    <w:p w14:paraId="603763FD" w14:textId="77777777" w:rsidR="005B5474" w:rsidRDefault="005B5474"/>
    <w:p w14:paraId="4803C6F6" w14:textId="77777777" w:rsidR="005B5474" w:rsidRDefault="005B5474"/>
    <w:p w14:paraId="53F4B457" w14:textId="77777777" w:rsidR="005B5474" w:rsidRDefault="0048423C">
      <w:pPr>
        <w:pStyle w:val="Heading2"/>
      </w:pPr>
      <w:r>
        <w:lastRenderedPageBreak/>
        <w:t>4. Zero Trust Architecture Model</w:t>
      </w:r>
      <w:r>
        <w:t>:</w:t>
      </w:r>
      <w:bookmarkEnd w:id="6"/>
    </w:p>
    <w:p w14:paraId="6DB759CD" w14:textId="77777777" w:rsidR="005B5474" w:rsidRDefault="0048423C">
      <w:r>
        <w:t xml:space="preserve">The model of Zero Trust Architecture is normally presented by </w:t>
      </w:r>
      <w:proofErr w:type="gramStart"/>
      <w:r>
        <w:t>a formal</w:t>
      </w:r>
      <w:proofErr w:type="gramEnd"/>
      <w:r>
        <w:t xml:space="preserve"> communication between the policy decision elements and enforcement systems as shown in Fig. 1 and Fig. 2.</w:t>
      </w:r>
    </w:p>
    <w:p w14:paraId="2DFCF267" w14:textId="77777777" w:rsidR="005B5474" w:rsidRDefault="0048423C">
      <w:pPr>
        <w:jc w:val="center"/>
      </w:pPr>
      <w:r>
        <w:rPr>
          <w:noProof/>
        </w:rPr>
        <w:drawing>
          <wp:inline distT="0" distB="0" distL="0" distR="0" wp14:anchorId="080CB1AB" wp14:editId="6A089B20">
            <wp:extent cx="5019675" cy="2446020"/>
            <wp:effectExtent l="0" t="0" r="9525" b="5080"/>
            <wp:docPr id="1026"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0" cstate="print"/>
                    <a:srcRect/>
                    <a:stretch/>
                  </pic:blipFill>
                  <pic:spPr>
                    <a:xfrm>
                      <a:off x="0" y="0"/>
                      <a:ext cx="5019675" cy="2446020"/>
                    </a:xfrm>
                    <a:prstGeom prst="rect">
                      <a:avLst/>
                    </a:prstGeom>
                    <a:ln>
                      <a:noFill/>
                    </a:ln>
                  </pic:spPr>
                </pic:pic>
              </a:graphicData>
            </a:graphic>
          </wp:inline>
        </w:drawing>
      </w:r>
    </w:p>
    <w:p w14:paraId="5BEC26AB" w14:textId="77777777" w:rsidR="005B5474" w:rsidRDefault="0048423C">
      <w:pPr>
        <w:jc w:val="center"/>
      </w:pPr>
      <w:r>
        <w:rPr>
          <w:b/>
          <w:bCs/>
        </w:rPr>
        <w:t>Fig</w:t>
      </w:r>
      <w:r>
        <w:rPr>
          <w:b/>
          <w:bCs/>
        </w:rPr>
        <w:t xml:space="preserve">ure 1: </w:t>
      </w:r>
      <w:r>
        <w:t>Zero Trust Architecture Framework</w:t>
      </w:r>
      <w:r>
        <w:t>.</w:t>
      </w:r>
    </w:p>
    <w:p w14:paraId="0D945261" w14:textId="77777777" w:rsidR="005B5474" w:rsidRDefault="0048423C">
      <w:r>
        <w:t xml:space="preserve">The Policy Engine and Policy Administrator make up the Policy Decision Point (PDP) that lies at the heart of the architecture. The PDP considers all access requests through identity information, device posture, contextual cues, and threat intelligence and then makes an authorization decision. This </w:t>
      </w:r>
      <w:proofErr w:type="gramStart"/>
      <w:r>
        <w:t>decision making</w:t>
      </w:r>
      <w:proofErr w:type="gramEnd"/>
      <w:r>
        <w:t xml:space="preserve"> process is in line with the never trust, always verify principle [</w:t>
      </w:r>
      <w:r>
        <w:t>4</w:t>
      </w:r>
      <w:r>
        <w:t>].</w:t>
      </w:r>
    </w:p>
    <w:p w14:paraId="0E290811" w14:textId="77777777" w:rsidR="005B5474" w:rsidRDefault="0048423C">
      <w:r>
        <w:t xml:space="preserve">After </w:t>
      </w:r>
      <w:proofErr w:type="gramStart"/>
      <w:r>
        <w:t>making a decision</w:t>
      </w:r>
      <w:proofErr w:type="gramEnd"/>
      <w:r>
        <w:t xml:space="preserve">, the Policy Enforcement Point (PEP) enforces it. </w:t>
      </w:r>
      <w:proofErr w:type="gramStart"/>
      <w:r>
        <w:t>The PEP</w:t>
      </w:r>
      <w:proofErr w:type="gramEnd"/>
      <w:r>
        <w:t xml:space="preserve"> serves as an access controller between users and the enterprise resources including cloud services, databases and applications. It will either give or deny access depending on the instructions sent by the PDP. This division of decision making and enforcement makes it scalable and has centralized control of policies.</w:t>
      </w:r>
    </w:p>
    <w:p w14:paraId="572729D3" w14:textId="77777777" w:rsidR="005B5474" w:rsidRDefault="0048423C">
      <w:r>
        <w:t xml:space="preserve">The architecture is further subdivided into two logical layers the control plane and the data plane. The </w:t>
      </w:r>
      <w:proofErr w:type="gramStart"/>
      <w:r>
        <w:t>control</w:t>
      </w:r>
      <w:proofErr w:type="gramEnd"/>
      <w:r>
        <w:t xml:space="preserve"> plane process takes care of authentication, authorization, and policy evaluation whereas the data plane is used to take care of actual data flow between users and resources. Such partition enhances security and minimizes vulnerability of vital decision systems [</w:t>
      </w:r>
      <w:r>
        <w:t>7</w:t>
      </w:r>
      <w:r>
        <w:t>].</w:t>
      </w:r>
    </w:p>
    <w:p w14:paraId="147C5F98" w14:textId="77777777" w:rsidR="005B5474" w:rsidRDefault="0048423C">
      <w:r>
        <w:t xml:space="preserve">The flow of access starts as presented in Fig. 2; a user authenticates against an Identity Provider (IdP). Once authenticated, a token is sent to the system to be checked by an authorization check. The PEP implements the </w:t>
      </w:r>
      <w:proofErr w:type="gramStart"/>
      <w:r>
        <w:t>decision</w:t>
      </w:r>
      <w:proofErr w:type="gramEnd"/>
      <w:r>
        <w:t xml:space="preserve"> and the PDP appraises the request. Logging and analytics modules keep a constant track of the activities that are required to be monitored and </w:t>
      </w:r>
      <w:proofErr w:type="gramStart"/>
      <w:r>
        <w:t>complied</w:t>
      </w:r>
      <w:proofErr w:type="gramEnd"/>
      <w:r>
        <w:t>.</w:t>
      </w:r>
    </w:p>
    <w:p w14:paraId="026BF8D4" w14:textId="77777777" w:rsidR="005B5474" w:rsidRDefault="0048423C">
      <w:r>
        <w:lastRenderedPageBreak/>
        <w:t>Micro-segmented enterprise environments guarantee that workloads, applications, as well as data are separated. Users can only have access to explicitly authorized segments after authentication which minimizes the risk of lateral movement [</w:t>
      </w:r>
      <w:r>
        <w:t>7</w:t>
      </w:r>
      <w:r>
        <w:t>].</w:t>
      </w:r>
    </w:p>
    <w:p w14:paraId="03358FBF" w14:textId="77777777" w:rsidR="005B5474" w:rsidRDefault="0048423C">
      <w:r>
        <w:t>All in all, this model can support an identity-centric, dynamic and policy-driven security framework that is applicable to cloud, hybrid and distributed enterprise environments [1], [5].</w:t>
      </w:r>
    </w:p>
    <w:p w14:paraId="38D844BE" w14:textId="77777777" w:rsidR="005B5474" w:rsidRDefault="0048423C">
      <w:pPr>
        <w:jc w:val="center"/>
      </w:pPr>
      <w:r>
        <w:rPr>
          <w:noProof/>
        </w:rPr>
        <w:drawing>
          <wp:inline distT="0" distB="0" distL="0" distR="0" wp14:anchorId="673408B1" wp14:editId="523E67FC">
            <wp:extent cx="4486275" cy="2619375"/>
            <wp:effectExtent l="0" t="0" r="9525" b="9525"/>
            <wp:docPr id="1027"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4"/>
                    <pic:cNvPicPr/>
                  </pic:nvPicPr>
                  <pic:blipFill>
                    <a:blip r:embed="rId11" cstate="print"/>
                    <a:srcRect/>
                    <a:stretch/>
                  </pic:blipFill>
                  <pic:spPr>
                    <a:xfrm>
                      <a:off x="0" y="0"/>
                      <a:ext cx="4486275" cy="2619375"/>
                    </a:xfrm>
                    <a:prstGeom prst="rect">
                      <a:avLst/>
                    </a:prstGeom>
                    <a:ln>
                      <a:noFill/>
                    </a:ln>
                  </pic:spPr>
                </pic:pic>
              </a:graphicData>
            </a:graphic>
          </wp:inline>
        </w:drawing>
      </w:r>
    </w:p>
    <w:p w14:paraId="5BD1F9E5" w14:textId="77777777" w:rsidR="005B5474" w:rsidRDefault="0048423C">
      <w:pPr>
        <w:jc w:val="center"/>
      </w:pPr>
      <w:r>
        <w:rPr>
          <w:b/>
          <w:bCs/>
        </w:rPr>
        <w:t>Fig</w:t>
      </w:r>
      <w:r>
        <w:rPr>
          <w:b/>
          <w:bCs/>
        </w:rPr>
        <w:t xml:space="preserve">ure 2: </w:t>
      </w:r>
      <w:r>
        <w:t>Zero Trust Architecture</w:t>
      </w:r>
      <w:r>
        <w:t>.</w:t>
      </w:r>
    </w:p>
    <w:p w14:paraId="216CA654" w14:textId="77777777" w:rsidR="005B5474" w:rsidRDefault="0048423C">
      <w:pPr>
        <w:pStyle w:val="Heading2"/>
      </w:pPr>
      <w:bookmarkStart w:id="7" w:name="_Toc25717"/>
      <w:r>
        <w:t>5. Implementation Challenges</w:t>
      </w:r>
      <w:r>
        <w:t>:</w:t>
      </w:r>
      <w:bookmarkEnd w:id="7"/>
    </w:p>
    <w:p w14:paraId="603599B7" w14:textId="77777777" w:rsidR="005B5474" w:rsidRDefault="0048423C">
      <w:r>
        <w:t xml:space="preserve">Although Zero Trust Architecture (ZTA) has great security benefits, it is important to note that there are various workable issues that organizations should consider </w:t>
      </w:r>
      <w:proofErr w:type="gramStart"/>
      <w:r>
        <w:t>to make</w:t>
      </w:r>
      <w:proofErr w:type="gramEnd"/>
      <w:r>
        <w:t xml:space="preserve"> its implementation successful.</w:t>
      </w:r>
    </w:p>
    <w:p w14:paraId="0356D9FA" w14:textId="77777777" w:rsidR="005B5474" w:rsidRDefault="0048423C">
      <w:r>
        <w:t xml:space="preserve">Integration of legacy systems is one of the most critical problems. Most businesses continue to use old infrastructure that did not support identity-based or continuous verification features. These systems tend not to have fine-grained access control and current identity management, making it costly and difficult to integrate with ZTA frameworks. In </w:t>
      </w:r>
      <w:proofErr w:type="gramStart"/>
      <w:r>
        <w:t>the majority of</w:t>
      </w:r>
      <w:proofErr w:type="gramEnd"/>
      <w:r>
        <w:t xml:space="preserve"> cases, middleware is required to be implemented in an </w:t>
      </w:r>
      <w:proofErr w:type="gramStart"/>
      <w:r>
        <w:t>organization</w:t>
      </w:r>
      <w:proofErr w:type="gramEnd"/>
      <w:r>
        <w:t xml:space="preserve"> or the entire legacy may be replaced </w:t>
      </w:r>
      <w:proofErr w:type="gramStart"/>
      <w:r>
        <w:t>so as to</w:t>
      </w:r>
      <w:proofErr w:type="gramEnd"/>
      <w:r>
        <w:t xml:space="preserve"> achieve compatibility [5].</w:t>
      </w:r>
    </w:p>
    <w:p w14:paraId="35F4ECCA" w14:textId="77777777" w:rsidR="005B5474" w:rsidRDefault="0048423C">
      <w:r>
        <w:t xml:space="preserve">Cost limitations </w:t>
      </w:r>
      <w:proofErr w:type="gramStart"/>
      <w:r>
        <w:t>is</w:t>
      </w:r>
      <w:proofErr w:type="gramEnd"/>
      <w:r>
        <w:t xml:space="preserve"> also a major challenge. Some of the areas that need to be invested in at ZTA are identity and access management (IAM), endpoint security, continual monitoring systems, and encryption technologies. Further, operational expenses are rising because of constant changes in policies and the need to scale up infrastructure.</w:t>
      </w:r>
    </w:p>
    <w:p w14:paraId="102CD83A" w14:textId="77777777" w:rsidR="005B5474" w:rsidRDefault="0048423C">
      <w:r>
        <w:t xml:space="preserve">The lack of qualified cybersecurity personnel is another issue. When it comes to the deployment of ZTA, IAM, network segmentation, network security analytics are needed. Nonetheless, talent gap has been a problem in many organizations, resulting in </w:t>
      </w:r>
      <w:r>
        <w:lastRenderedPageBreak/>
        <w:t>misconfigurations and delayed adoption [8].</w:t>
      </w:r>
      <w:r>
        <w:t xml:space="preserve"> </w:t>
      </w:r>
      <w:r>
        <w:t>Change is also hindered by organizational resistance to change. ZTA tends to be perceived as restrictive by employees and stakeholders who are used to the old models of security based on perimeter because of more stringent authentication and access policies.</w:t>
      </w:r>
    </w:p>
    <w:p w14:paraId="236FF08E" w14:textId="77777777" w:rsidR="005B5474" w:rsidRDefault="0048423C">
      <w:r>
        <w:t>The other issue is scalability since the continuous authentication process and real-time monitoring may impose performance overhead in large distributed systems [4]. Lastly, the complexity related to compliance implies that organizations should align the ZTA implementations with the emerging regulations, including GDPR, HIPAA, and NIS2, which involve continuous auditing and documentation activities.</w:t>
      </w:r>
    </w:p>
    <w:p w14:paraId="186C3601" w14:textId="77777777" w:rsidR="005B5474" w:rsidRDefault="0048423C">
      <w:pPr>
        <w:pStyle w:val="Heading2"/>
      </w:pPr>
      <w:bookmarkStart w:id="8" w:name="_Toc3729"/>
      <w:r>
        <w:t>6. Case Studies</w:t>
      </w:r>
      <w:r>
        <w:t>:</w:t>
      </w:r>
      <w:bookmarkEnd w:id="8"/>
    </w:p>
    <w:p w14:paraId="0A60839B" w14:textId="77777777" w:rsidR="005B5474" w:rsidRDefault="0048423C">
      <w:r>
        <w:t>The Zero Trust Architecture has been very popular in various industries, especially in the financial and healthcare sectors, and has proven their effectiveness in improving security in measurable ways.</w:t>
      </w:r>
      <w:r>
        <w:t xml:space="preserve"> </w:t>
      </w:r>
      <w:r>
        <w:t xml:space="preserve">Global institutions have adopted ZTA in the financial sector to safeguard </w:t>
      </w:r>
      <w:proofErr w:type="gramStart"/>
      <w:r>
        <w:t>the confidential</w:t>
      </w:r>
      <w:proofErr w:type="gramEnd"/>
      <w:r>
        <w:t xml:space="preserve"> financial information and to guarantee that the regulations are followed. </w:t>
      </w:r>
      <w:proofErr w:type="spellStart"/>
      <w:r>
        <w:t>Organisations</w:t>
      </w:r>
      <w:proofErr w:type="spellEnd"/>
      <w:r>
        <w:t xml:space="preserve"> have been able to lower the risk of unauthorized access by integrating Multi-Factor Authentication (MFA) with Identity and Access Management (IAM) and micro-segmentation. Real-time analytics and continuous monitoring have also enhanced the ability to comply with standard like PCI DSS and GDPR </w:t>
      </w:r>
      <w:proofErr w:type="gramStart"/>
      <w:r>
        <w:t>and also</w:t>
      </w:r>
      <w:proofErr w:type="gramEnd"/>
      <w:r>
        <w:t xml:space="preserve"> to provide secure access to d</w:t>
      </w:r>
      <w:r>
        <w:t>istributed global workforces.</w:t>
      </w:r>
    </w:p>
    <w:p w14:paraId="33A59079" w14:textId="77777777" w:rsidR="005B5474" w:rsidRDefault="0048423C">
      <w:r>
        <w:t>Protected Health Information (PHI) and Electronic Medical Records (EMRs) have been secured using Zero Trust in the healthcare industry. The healthcare providers have implemented IAM systems that are role-based access control (RBAC), MFA, and device-level authentication to make sure that sensitive data is only accessed by authorized medical personnel. Micro-segmentation has also decreased the area of attack, making further movement in hospital networks less possible [</w:t>
      </w:r>
      <w:r>
        <w:t>7]</w:t>
      </w:r>
      <w:r>
        <w:t>.</w:t>
      </w:r>
    </w:p>
    <w:p w14:paraId="71A45084" w14:textId="77777777" w:rsidR="005B5474" w:rsidRDefault="0048423C">
      <w:r>
        <w:t xml:space="preserve">Both industries show that ZTA enhances both resilience of operations, and compliance efficiency, as well as information protection. It allows financial institutions to have a lower risk of fraud and better audit preparedness, and healthcare organizations to have </w:t>
      </w:r>
      <w:proofErr w:type="gramStart"/>
      <w:r>
        <w:t>a better</w:t>
      </w:r>
      <w:proofErr w:type="gramEnd"/>
      <w:r>
        <w:t xml:space="preserve"> patient data security and compliance with HIPAA regulations. The presence of such case studies confirms that ZTA is not just a theoretical framework but a viable security framework that can enhance the resiliency of enterprises in practice [4].</w:t>
      </w:r>
    </w:p>
    <w:p w14:paraId="47B1BAA2" w14:textId="77777777" w:rsidR="005B5474" w:rsidRDefault="005B5474"/>
    <w:p w14:paraId="0851BB3C" w14:textId="77777777" w:rsidR="005B5474" w:rsidRDefault="005B5474"/>
    <w:p w14:paraId="4288B33B" w14:textId="77777777" w:rsidR="005B5474" w:rsidRDefault="0048423C">
      <w:pPr>
        <w:pStyle w:val="Heading1"/>
      </w:pPr>
      <w:bookmarkStart w:id="9" w:name="_Toc20529"/>
      <w:r>
        <w:lastRenderedPageBreak/>
        <w:t>7. Evaluation Metri</w:t>
      </w:r>
      <w:r>
        <w:t>cs:</w:t>
      </w:r>
      <w:bookmarkEnd w:id="9"/>
    </w:p>
    <w:p w14:paraId="1150AE63" w14:textId="77777777" w:rsidR="005B5474" w:rsidRDefault="0048423C">
      <w:r>
        <w:t>Zero Trust Architecture effectiveness can be measured with the help of quantitative security and compliance measures.</w:t>
      </w:r>
    </w:p>
    <w:p w14:paraId="5F3EB82C" w14:textId="77777777" w:rsidR="005B5474" w:rsidRDefault="0048423C">
      <w:r>
        <w:t>Table I: Metrics of Access Control.</w:t>
      </w:r>
    </w:p>
    <w:p w14:paraId="042C5045" w14:textId="77777777" w:rsidR="005B5474" w:rsidRDefault="0048423C">
      <w:pPr>
        <w:jc w:val="center"/>
      </w:pPr>
      <w:r>
        <w:rPr>
          <w:noProof/>
        </w:rPr>
        <w:drawing>
          <wp:inline distT="0" distB="0" distL="0" distR="0" wp14:anchorId="3F2807C9" wp14:editId="7DBF90AB">
            <wp:extent cx="3134360" cy="1994535"/>
            <wp:effectExtent l="9525" t="9525" r="18415" b="15240"/>
            <wp:docPr id="1028"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5"/>
                    <pic:cNvPicPr/>
                  </pic:nvPicPr>
                  <pic:blipFill>
                    <a:blip r:embed="rId12" cstate="print"/>
                    <a:srcRect/>
                    <a:stretch/>
                  </pic:blipFill>
                  <pic:spPr>
                    <a:xfrm>
                      <a:off x="0" y="0"/>
                      <a:ext cx="3134360" cy="1994535"/>
                    </a:xfrm>
                    <a:prstGeom prst="rect">
                      <a:avLst/>
                    </a:prstGeom>
                    <a:ln w="9525" cap="flat" cmpd="sng">
                      <a:solidFill>
                        <a:srgbClr val="0C0C0C"/>
                      </a:solidFill>
                      <a:prstDash val="solid"/>
                      <a:round/>
                      <a:headEnd/>
                      <a:tailEnd/>
                    </a:ln>
                  </pic:spPr>
                </pic:pic>
              </a:graphicData>
            </a:graphic>
          </wp:inline>
        </w:drawing>
      </w:r>
    </w:p>
    <w:p w14:paraId="33102A34" w14:textId="77777777" w:rsidR="005B5474" w:rsidRDefault="0048423C">
      <w:r>
        <w:t>These findings indicate that ZTA can immensely enhance the performance and precision of threat detection and prevention.</w:t>
      </w:r>
    </w:p>
    <w:p w14:paraId="0E2FDD24" w14:textId="77777777" w:rsidR="005B5474" w:rsidRDefault="0048423C">
      <w:r>
        <w:rPr>
          <w:b/>
          <w:bCs/>
        </w:rPr>
        <w:t xml:space="preserve">Table II: </w:t>
      </w:r>
      <w:r>
        <w:t>Impact of Reduction of Breaches.</w:t>
      </w:r>
    </w:p>
    <w:tbl>
      <w:tblPr>
        <w:tblStyle w:val="TableGrid"/>
        <w:tblW w:w="0" w:type="auto"/>
        <w:jc w:val="center"/>
        <w:tblLook w:val="04A0" w:firstRow="1" w:lastRow="0" w:firstColumn="1" w:lastColumn="0" w:noHBand="0" w:noVBand="1"/>
      </w:tblPr>
      <w:tblGrid>
        <w:gridCol w:w="1456"/>
        <w:gridCol w:w="1413"/>
        <w:gridCol w:w="1413"/>
      </w:tblGrid>
      <w:tr w:rsidR="005B5474" w14:paraId="67B93B22" w14:textId="77777777">
        <w:trPr>
          <w:trHeight w:val="313"/>
          <w:jc w:val="center"/>
        </w:trPr>
        <w:tc>
          <w:tcPr>
            <w:tcW w:w="1058" w:type="dxa"/>
            <w:tcBorders>
              <w:top w:val="nil"/>
              <w:left w:val="nil"/>
              <w:bottom w:val="nil"/>
              <w:right w:val="nil"/>
              <w:tl2br w:val="nil"/>
            </w:tcBorders>
            <w:shd w:val="clear" w:color="auto" w:fill="30C0B4"/>
            <w:vAlign w:val="center"/>
          </w:tcPr>
          <w:p w14:paraId="5D437628" w14:textId="77777777" w:rsidR="005B5474" w:rsidRDefault="0048423C">
            <w:pPr>
              <w:widowControl/>
              <w:jc w:val="center"/>
              <w:rPr>
                <w:rFonts w:cs="Times New Roman"/>
                <w:b/>
                <w:color w:val="FFFFFF"/>
                <w:szCs w:val="24"/>
              </w:rPr>
            </w:pPr>
            <w:r>
              <w:rPr>
                <w:rFonts w:cs="Times New Roman"/>
                <w:b/>
                <w:bCs/>
                <w:color w:val="FFFFFF"/>
                <w:szCs w:val="24"/>
              </w:rPr>
              <w:t>Metric</w:t>
            </w:r>
          </w:p>
        </w:tc>
        <w:tc>
          <w:tcPr>
            <w:tcW w:w="1413" w:type="dxa"/>
            <w:tcBorders>
              <w:top w:val="nil"/>
              <w:left w:val="nil"/>
              <w:bottom w:val="nil"/>
              <w:right w:val="nil"/>
            </w:tcBorders>
            <w:shd w:val="clear" w:color="auto" w:fill="30C0B4"/>
            <w:vAlign w:val="center"/>
          </w:tcPr>
          <w:p w14:paraId="0018D2B3" w14:textId="77777777" w:rsidR="005B5474" w:rsidRDefault="0048423C">
            <w:pPr>
              <w:widowControl/>
              <w:jc w:val="center"/>
              <w:rPr>
                <w:rFonts w:cs="Times New Roman"/>
                <w:b/>
                <w:color w:val="FFFFFF"/>
                <w:szCs w:val="24"/>
              </w:rPr>
            </w:pPr>
            <w:r>
              <w:rPr>
                <w:rFonts w:cs="Times New Roman"/>
                <w:b/>
                <w:bCs/>
                <w:color w:val="FFFFFF"/>
                <w:szCs w:val="24"/>
              </w:rPr>
              <w:t>Before ZTA</w:t>
            </w:r>
          </w:p>
        </w:tc>
        <w:tc>
          <w:tcPr>
            <w:tcW w:w="1413" w:type="dxa"/>
            <w:tcBorders>
              <w:top w:val="nil"/>
              <w:left w:val="nil"/>
              <w:bottom w:val="nil"/>
              <w:right w:val="nil"/>
            </w:tcBorders>
            <w:shd w:val="clear" w:color="auto" w:fill="30C0B4"/>
            <w:vAlign w:val="center"/>
          </w:tcPr>
          <w:p w14:paraId="5357BB4C" w14:textId="77777777" w:rsidR="005B5474" w:rsidRDefault="0048423C">
            <w:pPr>
              <w:widowControl/>
              <w:jc w:val="center"/>
              <w:rPr>
                <w:rFonts w:cs="Times New Roman"/>
                <w:b/>
                <w:color w:val="FFFFFF"/>
                <w:szCs w:val="24"/>
              </w:rPr>
            </w:pPr>
            <w:r>
              <w:rPr>
                <w:rFonts w:cs="Times New Roman"/>
                <w:b/>
                <w:bCs/>
                <w:color w:val="FFFFFF"/>
                <w:szCs w:val="24"/>
              </w:rPr>
              <w:t>After ZTA</w:t>
            </w:r>
          </w:p>
        </w:tc>
      </w:tr>
      <w:tr w:rsidR="005B5474" w14:paraId="4AA9C6D0" w14:textId="77777777">
        <w:trPr>
          <w:trHeight w:val="628"/>
          <w:jc w:val="center"/>
        </w:trPr>
        <w:tc>
          <w:tcPr>
            <w:tcW w:w="1058" w:type="dxa"/>
            <w:tcBorders>
              <w:top w:val="nil"/>
              <w:left w:val="nil"/>
              <w:bottom w:val="nil"/>
              <w:right w:val="nil"/>
            </w:tcBorders>
            <w:shd w:val="clear" w:color="auto" w:fill="D4F5F2"/>
            <w:vAlign w:val="center"/>
          </w:tcPr>
          <w:p w14:paraId="481E7DBD" w14:textId="77777777" w:rsidR="005B5474" w:rsidRDefault="0048423C">
            <w:pPr>
              <w:widowControl/>
              <w:jc w:val="left"/>
              <w:rPr>
                <w:rFonts w:cs="Times New Roman"/>
                <w:color w:val="000000"/>
                <w:szCs w:val="24"/>
              </w:rPr>
            </w:pPr>
            <w:r>
              <w:rPr>
                <w:rFonts w:cs="Times New Roman"/>
                <w:color w:val="000000"/>
                <w:szCs w:val="24"/>
              </w:rPr>
              <w:t>Lateral Movement</w:t>
            </w:r>
          </w:p>
        </w:tc>
        <w:tc>
          <w:tcPr>
            <w:tcW w:w="1413" w:type="dxa"/>
            <w:tcBorders>
              <w:top w:val="nil"/>
              <w:left w:val="nil"/>
              <w:bottom w:val="nil"/>
              <w:right w:val="nil"/>
            </w:tcBorders>
            <w:shd w:val="clear" w:color="auto" w:fill="D4F5F2"/>
            <w:vAlign w:val="center"/>
          </w:tcPr>
          <w:p w14:paraId="54CA9533" w14:textId="77777777" w:rsidR="005B5474" w:rsidRDefault="0048423C">
            <w:pPr>
              <w:widowControl/>
              <w:jc w:val="left"/>
              <w:rPr>
                <w:rFonts w:cs="Times New Roman"/>
                <w:color w:val="000000"/>
                <w:szCs w:val="24"/>
              </w:rPr>
            </w:pPr>
            <w:r>
              <w:rPr>
                <w:rFonts w:cs="Times New Roman"/>
                <w:color w:val="000000"/>
                <w:szCs w:val="24"/>
              </w:rPr>
              <w:t>High</w:t>
            </w:r>
          </w:p>
        </w:tc>
        <w:tc>
          <w:tcPr>
            <w:tcW w:w="1413" w:type="dxa"/>
            <w:tcBorders>
              <w:top w:val="nil"/>
              <w:left w:val="nil"/>
              <w:bottom w:val="nil"/>
              <w:right w:val="nil"/>
            </w:tcBorders>
            <w:shd w:val="clear" w:color="auto" w:fill="D4F5F2"/>
            <w:vAlign w:val="center"/>
          </w:tcPr>
          <w:p w14:paraId="7ACAA1B0" w14:textId="77777777" w:rsidR="005B5474" w:rsidRDefault="0048423C">
            <w:pPr>
              <w:widowControl/>
              <w:jc w:val="left"/>
              <w:rPr>
                <w:rFonts w:cs="Times New Roman"/>
                <w:color w:val="000000"/>
                <w:szCs w:val="24"/>
              </w:rPr>
            </w:pPr>
            <w:r>
              <w:rPr>
                <w:rFonts w:cs="Times New Roman"/>
                <w:color w:val="000000"/>
                <w:szCs w:val="24"/>
              </w:rPr>
              <w:t>Low</w:t>
            </w:r>
          </w:p>
        </w:tc>
      </w:tr>
      <w:tr w:rsidR="005B5474" w14:paraId="4F8CF154" w14:textId="77777777">
        <w:trPr>
          <w:trHeight w:val="943"/>
          <w:jc w:val="center"/>
        </w:trPr>
        <w:tc>
          <w:tcPr>
            <w:tcW w:w="1058" w:type="dxa"/>
            <w:tcBorders>
              <w:top w:val="nil"/>
              <w:left w:val="nil"/>
              <w:bottom w:val="nil"/>
              <w:right w:val="nil"/>
            </w:tcBorders>
            <w:shd w:val="clear" w:color="auto" w:fill="D4F5F2"/>
            <w:vAlign w:val="center"/>
          </w:tcPr>
          <w:p w14:paraId="6E3CE65D" w14:textId="77777777" w:rsidR="005B5474" w:rsidRDefault="0048423C">
            <w:pPr>
              <w:widowControl/>
              <w:jc w:val="left"/>
              <w:rPr>
                <w:rFonts w:cs="Times New Roman"/>
                <w:color w:val="000000"/>
                <w:szCs w:val="24"/>
              </w:rPr>
            </w:pPr>
            <w:r>
              <w:rPr>
                <w:rFonts w:cs="Times New Roman"/>
                <w:color w:val="000000"/>
                <w:szCs w:val="24"/>
              </w:rPr>
              <w:t>Breach Containment Time</w:t>
            </w:r>
          </w:p>
        </w:tc>
        <w:tc>
          <w:tcPr>
            <w:tcW w:w="1413" w:type="dxa"/>
            <w:tcBorders>
              <w:top w:val="nil"/>
              <w:left w:val="nil"/>
              <w:bottom w:val="nil"/>
              <w:right w:val="nil"/>
            </w:tcBorders>
            <w:shd w:val="clear" w:color="auto" w:fill="D4F5F2"/>
            <w:vAlign w:val="center"/>
          </w:tcPr>
          <w:p w14:paraId="315E5E98" w14:textId="77777777" w:rsidR="005B5474" w:rsidRDefault="0048423C">
            <w:pPr>
              <w:widowControl/>
              <w:jc w:val="left"/>
              <w:rPr>
                <w:rFonts w:cs="Times New Roman"/>
                <w:color w:val="000000"/>
                <w:szCs w:val="24"/>
              </w:rPr>
            </w:pPr>
            <w:r>
              <w:rPr>
                <w:rFonts w:cs="Times New Roman"/>
                <w:color w:val="000000"/>
                <w:szCs w:val="24"/>
              </w:rPr>
              <w:t>12 hours</w:t>
            </w:r>
          </w:p>
        </w:tc>
        <w:tc>
          <w:tcPr>
            <w:tcW w:w="1413" w:type="dxa"/>
            <w:tcBorders>
              <w:top w:val="nil"/>
              <w:left w:val="nil"/>
              <w:bottom w:val="nil"/>
              <w:right w:val="nil"/>
            </w:tcBorders>
            <w:shd w:val="clear" w:color="auto" w:fill="D4F5F2"/>
            <w:vAlign w:val="center"/>
          </w:tcPr>
          <w:p w14:paraId="0C5FBAC6" w14:textId="77777777" w:rsidR="005B5474" w:rsidRDefault="0048423C">
            <w:pPr>
              <w:widowControl/>
              <w:jc w:val="left"/>
              <w:rPr>
                <w:rFonts w:cs="Times New Roman"/>
                <w:color w:val="000000"/>
                <w:szCs w:val="24"/>
              </w:rPr>
            </w:pPr>
            <w:r>
              <w:rPr>
                <w:rFonts w:cs="Times New Roman"/>
                <w:color w:val="000000"/>
                <w:szCs w:val="24"/>
              </w:rPr>
              <w:t>2 hours</w:t>
            </w:r>
          </w:p>
        </w:tc>
      </w:tr>
    </w:tbl>
    <w:p w14:paraId="6D131494" w14:textId="77777777" w:rsidR="005B5474" w:rsidRDefault="005B5474"/>
    <w:p w14:paraId="100975A5" w14:textId="77777777" w:rsidR="005B5474" w:rsidRDefault="0048423C">
      <w:r>
        <w:t xml:space="preserve">Micro-segmentation and constant verification </w:t>
      </w:r>
      <w:proofErr w:type="gramStart"/>
      <w:r>
        <w:t>is</w:t>
      </w:r>
      <w:proofErr w:type="gramEnd"/>
      <w:r>
        <w:t xml:space="preserve"> an effective approach to diminish the mobility of attackers in networks [5].</w:t>
      </w:r>
    </w:p>
    <w:p w14:paraId="55F2E26D" w14:textId="77777777" w:rsidR="005B5474" w:rsidRDefault="0048423C">
      <w:r>
        <w:rPr>
          <w:b/>
          <w:bCs/>
        </w:rPr>
        <w:t xml:space="preserve">Table III: </w:t>
      </w:r>
      <w:r>
        <w:t>Improvement of compliance.</w:t>
      </w:r>
    </w:p>
    <w:tbl>
      <w:tblPr>
        <w:tblStyle w:val="TableGrid"/>
        <w:tblW w:w="0" w:type="auto"/>
        <w:jc w:val="center"/>
        <w:tblLook w:val="04A0" w:firstRow="1" w:lastRow="0" w:firstColumn="1" w:lastColumn="0" w:noHBand="0" w:noVBand="1"/>
      </w:tblPr>
      <w:tblGrid>
        <w:gridCol w:w="1736"/>
        <w:gridCol w:w="1190"/>
        <w:gridCol w:w="1190"/>
        <w:gridCol w:w="1616"/>
      </w:tblGrid>
      <w:tr w:rsidR="005B5474" w14:paraId="4E297108" w14:textId="77777777">
        <w:trPr>
          <w:jc w:val="center"/>
        </w:trPr>
        <w:tc>
          <w:tcPr>
            <w:tcW w:w="1362" w:type="dxa"/>
            <w:tcBorders>
              <w:top w:val="single" w:sz="4" w:space="0" w:color="auto"/>
              <w:left w:val="single" w:sz="4" w:space="0" w:color="auto"/>
              <w:bottom w:val="single" w:sz="4" w:space="0" w:color="auto"/>
              <w:right w:val="single" w:sz="4" w:space="0" w:color="auto"/>
              <w:tl2br w:val="nil"/>
            </w:tcBorders>
            <w:shd w:val="clear" w:color="auto" w:fill="7DDFD7"/>
            <w:vAlign w:val="center"/>
          </w:tcPr>
          <w:p w14:paraId="61E5653C" w14:textId="77777777" w:rsidR="005B5474" w:rsidRDefault="0048423C">
            <w:pPr>
              <w:widowControl/>
              <w:jc w:val="center"/>
              <w:rPr>
                <w:rFonts w:cs="Times New Roman"/>
                <w:b/>
                <w:color w:val="000000"/>
                <w:szCs w:val="24"/>
              </w:rPr>
            </w:pPr>
            <w:r>
              <w:rPr>
                <w:rFonts w:cs="Times New Roman"/>
                <w:b/>
                <w:bCs/>
                <w:szCs w:val="24"/>
              </w:rPr>
              <w:t>Metric</w:t>
            </w:r>
          </w:p>
        </w:tc>
        <w:tc>
          <w:tcPr>
            <w:tcW w:w="1051" w:type="dxa"/>
            <w:tcBorders>
              <w:top w:val="single" w:sz="4" w:space="0" w:color="auto"/>
              <w:left w:val="single" w:sz="4" w:space="0" w:color="auto"/>
              <w:bottom w:val="single" w:sz="4" w:space="0" w:color="auto"/>
              <w:right w:val="single" w:sz="4" w:space="0" w:color="auto"/>
            </w:tcBorders>
            <w:shd w:val="clear" w:color="auto" w:fill="7DDFD7"/>
            <w:vAlign w:val="center"/>
          </w:tcPr>
          <w:p w14:paraId="38698F61" w14:textId="77777777" w:rsidR="005B5474" w:rsidRDefault="0048423C">
            <w:pPr>
              <w:widowControl/>
              <w:jc w:val="center"/>
              <w:rPr>
                <w:rFonts w:cs="Times New Roman"/>
                <w:b/>
                <w:color w:val="000000"/>
                <w:szCs w:val="24"/>
              </w:rPr>
            </w:pPr>
            <w:r>
              <w:rPr>
                <w:rFonts w:cs="Times New Roman"/>
                <w:b/>
                <w:bCs/>
                <w:szCs w:val="24"/>
              </w:rPr>
              <w:t>Before ZTA</w:t>
            </w:r>
          </w:p>
        </w:tc>
        <w:tc>
          <w:tcPr>
            <w:tcW w:w="1051" w:type="dxa"/>
            <w:tcBorders>
              <w:top w:val="single" w:sz="4" w:space="0" w:color="auto"/>
              <w:left w:val="single" w:sz="4" w:space="0" w:color="auto"/>
              <w:bottom w:val="single" w:sz="4" w:space="0" w:color="auto"/>
              <w:right w:val="single" w:sz="4" w:space="0" w:color="auto"/>
            </w:tcBorders>
            <w:shd w:val="clear" w:color="auto" w:fill="7DDFD7"/>
            <w:vAlign w:val="center"/>
          </w:tcPr>
          <w:p w14:paraId="44AE5B3F" w14:textId="77777777" w:rsidR="005B5474" w:rsidRDefault="0048423C">
            <w:pPr>
              <w:widowControl/>
              <w:jc w:val="center"/>
              <w:rPr>
                <w:rFonts w:cs="Times New Roman"/>
                <w:b/>
                <w:color w:val="000000"/>
                <w:szCs w:val="24"/>
              </w:rPr>
            </w:pPr>
            <w:r>
              <w:rPr>
                <w:rFonts w:cs="Times New Roman"/>
                <w:b/>
                <w:bCs/>
                <w:szCs w:val="24"/>
              </w:rPr>
              <w:t>After ZTA</w:t>
            </w:r>
          </w:p>
        </w:tc>
        <w:tc>
          <w:tcPr>
            <w:tcW w:w="1051" w:type="dxa"/>
            <w:tcBorders>
              <w:top w:val="single" w:sz="4" w:space="0" w:color="auto"/>
              <w:left w:val="single" w:sz="4" w:space="0" w:color="auto"/>
              <w:bottom w:val="single" w:sz="4" w:space="0" w:color="auto"/>
              <w:right w:val="single" w:sz="4" w:space="0" w:color="auto"/>
            </w:tcBorders>
            <w:shd w:val="clear" w:color="auto" w:fill="7DDFD7"/>
            <w:vAlign w:val="center"/>
          </w:tcPr>
          <w:p w14:paraId="6FEF6603" w14:textId="77777777" w:rsidR="005B5474" w:rsidRDefault="0048423C">
            <w:pPr>
              <w:widowControl/>
              <w:jc w:val="center"/>
              <w:rPr>
                <w:rFonts w:cs="Times New Roman"/>
                <w:b/>
                <w:bCs/>
                <w:color w:val="000000"/>
                <w:szCs w:val="24"/>
              </w:rPr>
            </w:pPr>
            <w:r>
              <w:rPr>
                <w:rFonts w:cs="Times New Roman"/>
                <w:b/>
                <w:bCs/>
                <w:szCs w:val="24"/>
              </w:rPr>
              <w:t>Improvement</w:t>
            </w:r>
          </w:p>
        </w:tc>
      </w:tr>
      <w:tr w:rsidR="005B5474" w14:paraId="4F48B37A" w14:textId="77777777">
        <w:trPr>
          <w:jc w:val="center"/>
        </w:trPr>
        <w:tc>
          <w:tcPr>
            <w:tcW w:w="1362" w:type="dxa"/>
            <w:tcBorders>
              <w:top w:val="single" w:sz="4" w:space="0" w:color="auto"/>
              <w:left w:val="single" w:sz="4" w:space="0" w:color="auto"/>
              <w:bottom w:val="single" w:sz="4" w:space="0" w:color="auto"/>
              <w:right w:val="single" w:sz="4" w:space="0" w:color="auto"/>
            </w:tcBorders>
            <w:shd w:val="clear" w:color="auto" w:fill="FFFFFF"/>
            <w:vAlign w:val="center"/>
          </w:tcPr>
          <w:p w14:paraId="26E22822" w14:textId="77777777" w:rsidR="005B5474" w:rsidRDefault="0048423C">
            <w:pPr>
              <w:widowControl/>
              <w:jc w:val="left"/>
              <w:rPr>
                <w:rFonts w:cs="Times New Roman"/>
                <w:color w:val="000000"/>
                <w:szCs w:val="24"/>
              </w:rPr>
            </w:pPr>
            <w:r>
              <w:rPr>
                <w:rFonts w:cs="Times New Roman"/>
                <w:szCs w:val="24"/>
              </w:rPr>
              <w:t>Audit Noncompliance Findings</w:t>
            </w:r>
          </w:p>
        </w:tc>
        <w:tc>
          <w:tcPr>
            <w:tcW w:w="1051" w:type="dxa"/>
            <w:tcBorders>
              <w:top w:val="single" w:sz="4" w:space="0" w:color="auto"/>
              <w:left w:val="single" w:sz="4" w:space="0" w:color="auto"/>
              <w:bottom w:val="single" w:sz="4" w:space="0" w:color="auto"/>
              <w:right w:val="single" w:sz="4" w:space="0" w:color="auto"/>
            </w:tcBorders>
            <w:shd w:val="clear" w:color="auto" w:fill="FFFFFF"/>
            <w:vAlign w:val="center"/>
          </w:tcPr>
          <w:p w14:paraId="4D2A6D3A" w14:textId="77777777" w:rsidR="005B5474" w:rsidRDefault="0048423C">
            <w:pPr>
              <w:widowControl/>
              <w:jc w:val="left"/>
              <w:rPr>
                <w:rFonts w:cs="Times New Roman"/>
                <w:color w:val="000000"/>
                <w:szCs w:val="24"/>
              </w:rPr>
            </w:pPr>
            <w:r>
              <w:rPr>
                <w:rFonts w:cs="Times New Roman"/>
                <w:szCs w:val="24"/>
              </w:rPr>
              <w:t>8</w:t>
            </w:r>
          </w:p>
        </w:tc>
        <w:tc>
          <w:tcPr>
            <w:tcW w:w="1051" w:type="dxa"/>
            <w:tcBorders>
              <w:top w:val="single" w:sz="4" w:space="0" w:color="auto"/>
              <w:left w:val="single" w:sz="4" w:space="0" w:color="auto"/>
              <w:bottom w:val="single" w:sz="4" w:space="0" w:color="auto"/>
              <w:right w:val="single" w:sz="4" w:space="0" w:color="auto"/>
            </w:tcBorders>
            <w:shd w:val="clear" w:color="auto" w:fill="FFFFFF"/>
            <w:vAlign w:val="center"/>
          </w:tcPr>
          <w:p w14:paraId="6FAD31D8" w14:textId="77777777" w:rsidR="005B5474" w:rsidRDefault="0048423C">
            <w:pPr>
              <w:widowControl/>
              <w:jc w:val="left"/>
              <w:rPr>
                <w:rFonts w:cs="Times New Roman"/>
                <w:color w:val="000000"/>
                <w:szCs w:val="24"/>
              </w:rPr>
            </w:pPr>
            <w:r>
              <w:rPr>
                <w:rFonts w:cs="Times New Roman"/>
                <w:szCs w:val="24"/>
              </w:rPr>
              <w:t>1</w:t>
            </w:r>
          </w:p>
        </w:tc>
        <w:tc>
          <w:tcPr>
            <w:tcW w:w="1051" w:type="dxa"/>
            <w:tcBorders>
              <w:top w:val="single" w:sz="4" w:space="0" w:color="auto"/>
              <w:left w:val="single" w:sz="4" w:space="0" w:color="auto"/>
              <w:bottom w:val="single" w:sz="4" w:space="0" w:color="auto"/>
              <w:right w:val="single" w:sz="4" w:space="0" w:color="auto"/>
            </w:tcBorders>
            <w:shd w:val="clear" w:color="auto" w:fill="FFFFFF"/>
            <w:vAlign w:val="center"/>
          </w:tcPr>
          <w:p w14:paraId="625E1B43" w14:textId="77777777" w:rsidR="005B5474" w:rsidRDefault="0048423C">
            <w:pPr>
              <w:widowControl/>
              <w:jc w:val="left"/>
              <w:rPr>
                <w:rFonts w:cs="Times New Roman"/>
                <w:color w:val="000000"/>
                <w:szCs w:val="24"/>
              </w:rPr>
            </w:pPr>
            <w:r>
              <w:rPr>
                <w:rFonts w:cs="Times New Roman"/>
                <w:szCs w:val="24"/>
              </w:rPr>
              <w:t>+87.5%</w:t>
            </w:r>
          </w:p>
        </w:tc>
      </w:tr>
      <w:tr w:rsidR="005B5474" w14:paraId="401CAA37" w14:textId="77777777">
        <w:trPr>
          <w:jc w:val="center"/>
        </w:trPr>
        <w:tc>
          <w:tcPr>
            <w:tcW w:w="1362" w:type="dxa"/>
            <w:tcBorders>
              <w:top w:val="single" w:sz="4" w:space="0" w:color="auto"/>
              <w:left w:val="single" w:sz="4" w:space="0" w:color="auto"/>
              <w:bottom w:val="single" w:sz="4" w:space="0" w:color="auto"/>
              <w:right w:val="single" w:sz="4" w:space="0" w:color="auto"/>
            </w:tcBorders>
            <w:shd w:val="clear" w:color="auto" w:fill="FFFFFF"/>
            <w:vAlign w:val="center"/>
          </w:tcPr>
          <w:p w14:paraId="331A3CDE" w14:textId="77777777" w:rsidR="005B5474" w:rsidRDefault="0048423C">
            <w:pPr>
              <w:widowControl/>
              <w:jc w:val="left"/>
              <w:rPr>
                <w:rFonts w:cs="Times New Roman"/>
                <w:color w:val="000000"/>
                <w:szCs w:val="24"/>
              </w:rPr>
            </w:pPr>
            <w:proofErr w:type="spellStart"/>
            <w:r>
              <w:rPr>
                <w:rFonts w:cs="Times New Roman"/>
                <w:szCs w:val="24"/>
              </w:rPr>
              <w:t>Porrering</w:t>
            </w:r>
            <w:proofErr w:type="spellEnd"/>
            <w:r>
              <w:rPr>
                <w:rFonts w:cs="Times New Roman"/>
                <w:szCs w:val="24"/>
              </w:rPr>
              <w:t xml:space="preserve"> Time</w:t>
            </w:r>
          </w:p>
        </w:tc>
        <w:tc>
          <w:tcPr>
            <w:tcW w:w="1051" w:type="dxa"/>
            <w:tcBorders>
              <w:top w:val="single" w:sz="4" w:space="0" w:color="auto"/>
              <w:left w:val="single" w:sz="4" w:space="0" w:color="auto"/>
              <w:bottom w:val="single" w:sz="4" w:space="0" w:color="auto"/>
              <w:right w:val="single" w:sz="4" w:space="0" w:color="auto"/>
            </w:tcBorders>
            <w:shd w:val="clear" w:color="auto" w:fill="FFFFFF"/>
            <w:vAlign w:val="center"/>
          </w:tcPr>
          <w:p w14:paraId="109DD98F" w14:textId="77777777" w:rsidR="005B5474" w:rsidRDefault="0048423C">
            <w:pPr>
              <w:widowControl/>
              <w:jc w:val="left"/>
              <w:rPr>
                <w:rFonts w:cs="Times New Roman"/>
                <w:color w:val="000000"/>
                <w:szCs w:val="24"/>
              </w:rPr>
            </w:pPr>
            <w:r>
              <w:rPr>
                <w:rFonts w:cs="Times New Roman"/>
                <w:szCs w:val="24"/>
              </w:rPr>
              <w:t xml:space="preserve">20 </w:t>
            </w:r>
            <w:proofErr w:type="spellStart"/>
            <w:r>
              <w:rPr>
                <w:rFonts w:cs="Times New Roman"/>
                <w:szCs w:val="24"/>
              </w:rPr>
              <w:t>hrs</w:t>
            </w:r>
            <w:proofErr w:type="spellEnd"/>
            <w:r>
              <w:rPr>
                <w:rFonts w:cs="Times New Roman"/>
                <w:szCs w:val="24"/>
              </w:rPr>
              <w:t>/month</w:t>
            </w:r>
          </w:p>
        </w:tc>
        <w:tc>
          <w:tcPr>
            <w:tcW w:w="1051" w:type="dxa"/>
            <w:tcBorders>
              <w:top w:val="single" w:sz="4" w:space="0" w:color="auto"/>
              <w:left w:val="single" w:sz="4" w:space="0" w:color="auto"/>
              <w:bottom w:val="single" w:sz="4" w:space="0" w:color="auto"/>
              <w:right w:val="single" w:sz="4" w:space="0" w:color="auto"/>
            </w:tcBorders>
            <w:shd w:val="clear" w:color="auto" w:fill="FFFFFF"/>
            <w:vAlign w:val="center"/>
          </w:tcPr>
          <w:p w14:paraId="12AFEC50" w14:textId="77777777" w:rsidR="005B5474" w:rsidRDefault="0048423C">
            <w:pPr>
              <w:widowControl/>
              <w:jc w:val="left"/>
              <w:rPr>
                <w:rFonts w:cs="Times New Roman"/>
                <w:color w:val="000000"/>
                <w:szCs w:val="24"/>
              </w:rPr>
            </w:pPr>
            <w:r>
              <w:rPr>
                <w:rFonts w:cs="Times New Roman"/>
                <w:szCs w:val="24"/>
              </w:rPr>
              <w:t xml:space="preserve">8 </w:t>
            </w:r>
            <w:proofErr w:type="spellStart"/>
            <w:r>
              <w:rPr>
                <w:rFonts w:cs="Times New Roman"/>
                <w:szCs w:val="24"/>
              </w:rPr>
              <w:t>hrs</w:t>
            </w:r>
            <w:proofErr w:type="spellEnd"/>
            <w:r>
              <w:rPr>
                <w:rFonts w:cs="Times New Roman"/>
                <w:szCs w:val="24"/>
              </w:rPr>
              <w:t>/month</w:t>
            </w:r>
          </w:p>
        </w:tc>
        <w:tc>
          <w:tcPr>
            <w:tcW w:w="1051" w:type="dxa"/>
            <w:tcBorders>
              <w:top w:val="single" w:sz="4" w:space="0" w:color="auto"/>
              <w:left w:val="single" w:sz="4" w:space="0" w:color="auto"/>
              <w:bottom w:val="single" w:sz="4" w:space="0" w:color="auto"/>
              <w:right w:val="single" w:sz="4" w:space="0" w:color="auto"/>
            </w:tcBorders>
            <w:shd w:val="clear" w:color="auto" w:fill="FFFFFF"/>
            <w:vAlign w:val="center"/>
          </w:tcPr>
          <w:p w14:paraId="020976BC" w14:textId="77777777" w:rsidR="005B5474" w:rsidRDefault="0048423C">
            <w:pPr>
              <w:widowControl/>
              <w:jc w:val="left"/>
              <w:rPr>
                <w:rFonts w:cs="Times New Roman"/>
                <w:color w:val="000000"/>
                <w:szCs w:val="24"/>
              </w:rPr>
            </w:pPr>
            <w:r>
              <w:rPr>
                <w:rFonts w:cs="Times New Roman"/>
                <w:szCs w:val="24"/>
              </w:rPr>
              <w:t>+60%</w:t>
            </w:r>
          </w:p>
        </w:tc>
      </w:tr>
    </w:tbl>
    <w:p w14:paraId="26BAE85C" w14:textId="77777777" w:rsidR="005B5474" w:rsidRDefault="005B5474"/>
    <w:p w14:paraId="6B70DCDF" w14:textId="77777777" w:rsidR="005B5474" w:rsidRDefault="0048423C">
      <w:r>
        <w:t>These steps are indicative of enhanced adherence to regulations and reduced burden of administration which is supported by constant surveillance and computerized reporting mechanisms [2].</w:t>
      </w:r>
    </w:p>
    <w:p w14:paraId="63D653D7" w14:textId="77777777" w:rsidR="005B5474" w:rsidRDefault="0048423C">
      <w:pPr>
        <w:pStyle w:val="Heading2"/>
        <w:numPr>
          <w:ilvl w:val="0"/>
          <w:numId w:val="1"/>
        </w:numPr>
      </w:pPr>
      <w:bookmarkStart w:id="10" w:name="_Toc13032"/>
      <w:r>
        <w:t>Future Trends</w:t>
      </w:r>
      <w:r>
        <w:t>:</w:t>
      </w:r>
      <w:bookmarkEnd w:id="10"/>
    </w:p>
    <w:p w14:paraId="305B50A0" w14:textId="77777777" w:rsidR="005B5474" w:rsidRDefault="0048423C">
      <w:r>
        <w:t>The other significant challenge is the growth of ZTA into Edge computing and IoT space. Organizations would have billions of connected devices, and to ensure that resources are protected in lightweight environments, it is necessary to implement lightweight authentication and encryption schemes.</w:t>
      </w:r>
    </w:p>
    <w:p w14:paraId="3A30C4B8" w14:textId="77777777" w:rsidR="005B5474" w:rsidRDefault="0048423C">
      <w:r>
        <w:t>Automation and Security Orchestration, Automation, and Response (SOAR) platforms are now also coming to the forefront of ZTA, to facilitate quicker incident response and less human effort.</w:t>
      </w:r>
      <w:r>
        <w:t xml:space="preserve"> </w:t>
      </w:r>
      <w:r>
        <w:t xml:space="preserve">Also, the continuously changing policies like GDPR, NIS2, and CCPA updates are driving organizations to the mandatory use of Zero Trust in sensitive </w:t>
      </w:r>
      <w:proofErr w:type="spellStart"/>
      <w:r>
        <w:t>infrastruntural</w:t>
      </w:r>
      <w:proofErr w:type="spellEnd"/>
      <w:r>
        <w:t xml:space="preserve"> areas.</w:t>
      </w:r>
    </w:p>
    <w:p w14:paraId="7BF7A254" w14:textId="77777777" w:rsidR="005B5474" w:rsidRDefault="0048423C">
      <w:r>
        <w:t xml:space="preserve">Lastly, it is likely that, in the future, the </w:t>
      </w:r>
      <w:proofErr w:type="gramStart"/>
      <w:r>
        <w:t>architectures</w:t>
      </w:r>
      <w:proofErr w:type="gramEnd"/>
      <w:r>
        <w:t xml:space="preserve"> will be dominated by adaptive and self-healing security systems in which policies are constantly adjusted to reflect the level of risk and contextual information.</w:t>
      </w:r>
    </w:p>
    <w:p w14:paraId="661B6866" w14:textId="77777777" w:rsidR="005B5474" w:rsidRDefault="0048423C">
      <w:pPr>
        <w:pStyle w:val="Heading2"/>
      </w:pPr>
      <w:bookmarkStart w:id="11" w:name="_Toc7598"/>
      <w:r>
        <w:t>9. Conclusio</w:t>
      </w:r>
      <w:r>
        <w:t>n:</w:t>
      </w:r>
      <w:bookmarkEnd w:id="11"/>
    </w:p>
    <w:p w14:paraId="448102DF" w14:textId="77777777" w:rsidR="005B5474" w:rsidRDefault="0048423C">
      <w:r>
        <w:t>Zero Trust Architecture is a revolutionary approach to a traditional old security model of perimeters to a constantly changing yet identity-based security model. Based on the concept of Never Trust, Always Verify, ZTA can ensure authenticity of all access requests, authorization of the access and continuous validation of the access.</w:t>
      </w:r>
    </w:p>
    <w:p w14:paraId="2457FB7B" w14:textId="77777777" w:rsidR="005B5474" w:rsidRDefault="0048423C">
      <w:r>
        <w:t>ZTA can make a massive contribution to the reduction of attack surfaces and removal of lateral motion in contrast to traditional security models, and to improving countermeasures against external and insider threats. A combination of IAM, MFA, micro-segmentation, and 24/7 monitoring enhances the visibility and management of enterprise environments.</w:t>
      </w:r>
    </w:p>
    <w:p w14:paraId="5E5768AF" w14:textId="77777777" w:rsidR="005B5474" w:rsidRDefault="0048423C">
      <w:r>
        <w:t xml:space="preserve">Case studies in finance and healthcare industries demonstrate its applicability to increase resilience and operational effectiveness. Regardless of these limitations, the additional complexity of cyber threats and digital transformation is an assurance that the notion of Zero Trust will be an obligatory security paradigm in </w:t>
      </w:r>
      <w:proofErr w:type="gramStart"/>
      <w:r>
        <w:t>the modern</w:t>
      </w:r>
      <w:proofErr w:type="gramEnd"/>
      <w:r>
        <w:t xml:space="preserve"> business. Overall, ZTA is a security model as well as a strategic need to secure digital ecosystems in the future.</w:t>
      </w:r>
    </w:p>
    <w:p w14:paraId="5A57FAF5" w14:textId="77777777" w:rsidR="005B5474" w:rsidRDefault="005B5474"/>
    <w:p w14:paraId="7C436CBB" w14:textId="77777777" w:rsidR="005B5474" w:rsidRDefault="005B5474"/>
    <w:p w14:paraId="41AF3912" w14:textId="77777777" w:rsidR="005B5474" w:rsidRDefault="005B5474"/>
    <w:p w14:paraId="7A2D3A2F" w14:textId="77777777" w:rsidR="005B5474" w:rsidRDefault="0048423C">
      <w:pPr>
        <w:pStyle w:val="Heading1"/>
      </w:pPr>
      <w:bookmarkStart w:id="12" w:name="_Toc25252"/>
      <w:r>
        <w:lastRenderedPageBreak/>
        <w:t>Task 2 – Case Scenario</w:t>
      </w:r>
      <w:bookmarkEnd w:id="12"/>
    </w:p>
    <w:p w14:paraId="341E0454" w14:textId="77777777" w:rsidR="005B5474" w:rsidRDefault="0048423C">
      <w:pPr>
        <w:pStyle w:val="Heading2"/>
      </w:pPr>
      <w:bookmarkStart w:id="13" w:name="_Toc449"/>
      <w:r>
        <w:t>1. Introduction</w:t>
      </w:r>
      <w:r>
        <w:t>:</w:t>
      </w:r>
      <w:bookmarkEnd w:id="13"/>
    </w:p>
    <w:p w14:paraId="7E98C9AD" w14:textId="77777777" w:rsidR="005B5474" w:rsidRDefault="0048423C">
      <w:proofErr w:type="spellStart"/>
      <w:r>
        <w:t>MediTrust</w:t>
      </w:r>
      <w:proofErr w:type="spellEnd"/>
      <w:r>
        <w:t xml:space="preserve"> Analytics Ltd is a very sensitive HealthTech company where AI-powered clinical systems handle controlled medical and individual health information. With the </w:t>
      </w:r>
      <w:proofErr w:type="spellStart"/>
      <w:r>
        <w:t>organisation</w:t>
      </w:r>
      <w:proofErr w:type="spellEnd"/>
      <w:r>
        <w:t xml:space="preserve"> entering the EU market, the regulation becomes obligatory on the compliance with the GDPR, DORA, and NIS2, which necessitates </w:t>
      </w:r>
      <w:proofErr w:type="gramStart"/>
      <w:r>
        <w:t>the data</w:t>
      </w:r>
      <w:proofErr w:type="gramEnd"/>
      <w:r>
        <w:t xml:space="preserve"> protection along with the operational resilience and security governance. The conventional perimeter-based security models cannot be applied in this case because of the structures of the hybrid workforce, m</w:t>
      </w:r>
      <w:r>
        <w:t xml:space="preserve">ulti-clouds reliance, and integrations of the third parties. Thus, it is necessary to have a Zero Trust Architecture (ZTA) with </w:t>
      </w:r>
      <w:proofErr w:type="spellStart"/>
      <w:r>
        <w:t>DevSecOps</w:t>
      </w:r>
      <w:proofErr w:type="spellEnd"/>
      <w:r>
        <w:t xml:space="preserve"> principles.</w:t>
      </w:r>
    </w:p>
    <w:p w14:paraId="467DF6C5" w14:textId="77777777" w:rsidR="005B5474" w:rsidRDefault="0048423C">
      <w:pPr>
        <w:jc w:val="center"/>
      </w:pPr>
      <w:r>
        <w:rPr>
          <w:noProof/>
        </w:rPr>
        <w:drawing>
          <wp:inline distT="0" distB="0" distL="0" distR="0" wp14:anchorId="391DEA7B" wp14:editId="4BB93BFC">
            <wp:extent cx="4607560" cy="2573655"/>
            <wp:effectExtent l="0" t="0" r="2540" b="4445"/>
            <wp:docPr id="1029"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6"/>
                    <pic:cNvPicPr/>
                  </pic:nvPicPr>
                  <pic:blipFill>
                    <a:blip r:embed="rId13" cstate="print"/>
                    <a:srcRect/>
                    <a:stretch/>
                  </pic:blipFill>
                  <pic:spPr>
                    <a:xfrm>
                      <a:off x="0" y="0"/>
                      <a:ext cx="4607560" cy="2573655"/>
                    </a:xfrm>
                    <a:prstGeom prst="rect">
                      <a:avLst/>
                    </a:prstGeom>
                    <a:ln>
                      <a:noFill/>
                    </a:ln>
                  </pic:spPr>
                </pic:pic>
              </a:graphicData>
            </a:graphic>
          </wp:inline>
        </w:drawing>
      </w:r>
    </w:p>
    <w:p w14:paraId="6970C665" w14:textId="77777777" w:rsidR="005B5474" w:rsidRDefault="0048423C">
      <w:proofErr w:type="spellStart"/>
      <w:r>
        <w:t>DevSecOps</w:t>
      </w:r>
      <w:proofErr w:type="spellEnd"/>
      <w:r>
        <w:t xml:space="preserve"> focuses on ongoing security integration throughout the software lifecycle, and allows development, operations, and security teams to work together [6]. Nonetheless, a study indicates that cultural change, intricacy of automation and integrating security in agile pipelines are some of the most difficult aspects of </w:t>
      </w:r>
      <w:proofErr w:type="spellStart"/>
      <w:r>
        <w:t>organisations</w:t>
      </w:r>
      <w:proofErr w:type="spellEnd"/>
      <w:r>
        <w:t xml:space="preserve"> [1], [7]. In the same manner, adoption study of DevOps indicates that the speed of delivery increases although security governance tends to fall behind operational efficiency [10].</w:t>
      </w:r>
    </w:p>
    <w:p w14:paraId="267800F0" w14:textId="77777777" w:rsidR="005B5474" w:rsidRDefault="0048423C">
      <w:r>
        <w:t xml:space="preserve">In the case of </w:t>
      </w:r>
      <w:proofErr w:type="spellStart"/>
      <w:r>
        <w:t>MediTrust</w:t>
      </w:r>
      <w:proofErr w:type="spellEnd"/>
      <w:r>
        <w:t xml:space="preserve">, the risks of poisoned AI models, insecure APIs and </w:t>
      </w:r>
      <w:proofErr w:type="spellStart"/>
      <w:r>
        <w:t>malconfigured</w:t>
      </w:r>
      <w:proofErr w:type="spellEnd"/>
      <w:r>
        <w:t xml:space="preserve"> cloud infrastructure are some of the problems that need proactive and not reactive security. Zero Trust brings about the principles of never trust, always </w:t>
      </w:r>
      <w:proofErr w:type="gramStart"/>
      <w:r>
        <w:t>verify to</w:t>
      </w:r>
      <w:proofErr w:type="gramEnd"/>
      <w:r>
        <w:t xml:space="preserve"> identity, devices, workloads, and networks. This aligns with the existing </w:t>
      </w:r>
      <w:proofErr w:type="spellStart"/>
      <w:r>
        <w:t>DevSecOps</w:t>
      </w:r>
      <w:proofErr w:type="spellEnd"/>
      <w:r>
        <w:t xml:space="preserve"> thinking that </w:t>
      </w:r>
      <w:proofErr w:type="gramStart"/>
      <w:r>
        <w:t>perceives security as</w:t>
      </w:r>
      <w:proofErr w:type="gramEnd"/>
      <w:r>
        <w:t xml:space="preserve"> an integral part, rather than an add-on [4].</w:t>
      </w:r>
    </w:p>
    <w:p w14:paraId="64C8AE68" w14:textId="77777777" w:rsidR="005B5474" w:rsidRDefault="0048423C">
      <w:r>
        <w:t xml:space="preserve">This </w:t>
      </w:r>
      <w:proofErr w:type="spellStart"/>
      <w:r>
        <w:t>programme</w:t>
      </w:r>
      <w:proofErr w:type="spellEnd"/>
      <w:r>
        <w:t xml:space="preserve"> proposes </w:t>
      </w:r>
      <w:proofErr w:type="gramStart"/>
      <w:r>
        <w:t>a governance</w:t>
      </w:r>
      <w:proofErr w:type="gramEnd"/>
      <w:r>
        <w:t xml:space="preserve">, risk management, compliance alignment, and technical controls strategic security architecture. It integrates NIST CSF 2.0 as a governance </w:t>
      </w:r>
      <w:r>
        <w:lastRenderedPageBreak/>
        <w:t xml:space="preserve">base and ensures that it adheres to the EU regulations. This will ensure safe AI operations, cloud infrastructure resilience and continuous compliance checks and business scalability and </w:t>
      </w:r>
      <w:proofErr w:type="spellStart"/>
      <w:r>
        <w:t>innovatio</w:t>
      </w:r>
      <w:proofErr w:type="spellEnd"/>
      <w:r>
        <w:t>.</w:t>
      </w:r>
    </w:p>
    <w:p w14:paraId="01D7C6F8" w14:textId="77777777" w:rsidR="005B5474" w:rsidRDefault="0048423C">
      <w:pPr>
        <w:pStyle w:val="Heading2"/>
      </w:pPr>
      <w:bookmarkStart w:id="14" w:name="_Toc25556"/>
      <w:r>
        <w:t xml:space="preserve">2. </w:t>
      </w:r>
      <w:proofErr w:type="spellStart"/>
      <w:r>
        <w:t>Organisation</w:t>
      </w:r>
      <w:proofErr w:type="spellEnd"/>
      <w:r>
        <w:t xml:space="preserve"> Structure</w:t>
      </w:r>
      <w:r>
        <w:t>:</w:t>
      </w:r>
      <w:bookmarkEnd w:id="14"/>
    </w:p>
    <w:p w14:paraId="4DF8BCE2" w14:textId="77777777" w:rsidR="005B5474" w:rsidRDefault="0048423C">
      <w:proofErr w:type="spellStart"/>
      <w:r>
        <w:t>MediTrust</w:t>
      </w:r>
      <w:proofErr w:type="spellEnd"/>
      <w:r>
        <w:t xml:space="preserve"> requires a security-</w:t>
      </w:r>
      <w:proofErr w:type="spellStart"/>
      <w:r>
        <w:t>centred</w:t>
      </w:r>
      <w:proofErr w:type="spellEnd"/>
      <w:r>
        <w:t xml:space="preserve"> </w:t>
      </w:r>
      <w:proofErr w:type="spellStart"/>
      <w:r>
        <w:t>organisation</w:t>
      </w:r>
      <w:proofErr w:type="spellEnd"/>
      <w:r>
        <w:t xml:space="preserve"> structure that incorporates </w:t>
      </w:r>
      <w:proofErr w:type="spellStart"/>
      <w:r>
        <w:t>DevSecOps</w:t>
      </w:r>
      <w:proofErr w:type="spellEnd"/>
      <w:r>
        <w:t xml:space="preserve">, cloud governance and compliance functions. One of the suggested models proposes three key leadership positions, which are Chief Information Security Officer (CISO), Cloud Security Architect, and </w:t>
      </w:r>
      <w:proofErr w:type="spellStart"/>
      <w:r>
        <w:t>DevSecOps</w:t>
      </w:r>
      <w:proofErr w:type="spellEnd"/>
      <w:r>
        <w:t xml:space="preserve"> Lead</w:t>
      </w:r>
      <w:r>
        <w:t xml:space="preserve"> as shown in figure 1. </w:t>
      </w:r>
      <w:r>
        <w:t>The Cloud Security Architect will design the secure multi-cloud domain, implement the principles of the Zero Trust, and make sure to comply with the requirements of GDPR, DORA, and NIS2. This role pr</w:t>
      </w:r>
      <w:r>
        <w:t xml:space="preserve">ovides infrastructure-level security, such as identity federation, encryption standards and cloud posture management. Studies have shown that </w:t>
      </w:r>
      <w:proofErr w:type="gramStart"/>
      <w:r>
        <w:t>the architectural</w:t>
      </w:r>
      <w:proofErr w:type="gramEnd"/>
      <w:r>
        <w:t xml:space="preserve"> design needs to incorporate operational security to prevent disjointed security implementations [1</w:t>
      </w:r>
      <w:r>
        <w:t>0</w:t>
      </w:r>
      <w:r>
        <w:t>].</w:t>
      </w:r>
    </w:p>
    <w:p w14:paraId="5A730B0F" w14:textId="77777777" w:rsidR="005B5474" w:rsidRDefault="0048423C">
      <w:pPr>
        <w:jc w:val="center"/>
      </w:pPr>
      <w:r>
        <w:rPr>
          <w:noProof/>
        </w:rPr>
        <w:drawing>
          <wp:inline distT="0" distB="0" distL="0" distR="0" wp14:anchorId="1C3F2171" wp14:editId="3CF2BF4C">
            <wp:extent cx="4334510" cy="2455545"/>
            <wp:effectExtent l="0" t="0" r="8890" b="8255"/>
            <wp:docPr id="1030"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7"/>
                    <pic:cNvPicPr/>
                  </pic:nvPicPr>
                  <pic:blipFill>
                    <a:blip r:embed="rId14" cstate="print"/>
                    <a:srcRect/>
                    <a:stretch/>
                  </pic:blipFill>
                  <pic:spPr>
                    <a:xfrm>
                      <a:off x="0" y="0"/>
                      <a:ext cx="4334510" cy="2455545"/>
                    </a:xfrm>
                    <a:prstGeom prst="rect">
                      <a:avLst/>
                    </a:prstGeom>
                    <a:ln>
                      <a:noFill/>
                    </a:ln>
                  </pic:spPr>
                </pic:pic>
              </a:graphicData>
            </a:graphic>
          </wp:inline>
        </w:drawing>
      </w:r>
    </w:p>
    <w:p w14:paraId="0A7C30F1" w14:textId="77777777" w:rsidR="005B5474" w:rsidRDefault="0048423C">
      <w:pPr>
        <w:jc w:val="center"/>
      </w:pPr>
      <w:r>
        <w:rPr>
          <w:b/>
          <w:bCs/>
        </w:rPr>
        <w:t xml:space="preserve">Figure 1: </w:t>
      </w:r>
      <w:r>
        <w:t>Organization Structure.</w:t>
      </w:r>
    </w:p>
    <w:p w14:paraId="596E5601" w14:textId="77777777" w:rsidR="005B5474" w:rsidRDefault="0048423C">
      <w:r>
        <w:t xml:space="preserve">The </w:t>
      </w:r>
      <w:proofErr w:type="spellStart"/>
      <w:r>
        <w:t>DevSecOps</w:t>
      </w:r>
      <w:proofErr w:type="spellEnd"/>
      <w:r>
        <w:t xml:space="preserve"> Lead unites development and operations teams with security teams, making sure that security automation is a part of the CI/CD pipelines. This involves automated security testing, scanning of vulnerabilities and policy-as-code enforcement. The literature on </w:t>
      </w:r>
      <w:proofErr w:type="spellStart"/>
      <w:r>
        <w:t>DevSecOps</w:t>
      </w:r>
      <w:proofErr w:type="spellEnd"/>
      <w:r>
        <w:t xml:space="preserve"> emphasizes that team collaboration will decrease the risk of deployment and enhance the reliability of software [6], [9].</w:t>
      </w:r>
      <w:r>
        <w:t xml:space="preserve"> </w:t>
      </w:r>
      <w:r>
        <w:t>Other support positions are Security Engineers, Compliance Analysts and Incident Response Teams. Such teams are c</w:t>
      </w:r>
      <w:r>
        <w:t>ross-functional Agile squads and in this manner, there is no isolation of security but rather is shared across the software lifecycle. One of the difficulties that were discovered during DevOps research is the mismatch in culture between speed and safety of operation [10].</w:t>
      </w:r>
    </w:p>
    <w:p w14:paraId="78E65700" w14:textId="77777777" w:rsidR="005B5474" w:rsidRDefault="0048423C">
      <w:r>
        <w:lastRenderedPageBreak/>
        <w:t xml:space="preserve">This architecture helps </w:t>
      </w:r>
      <w:proofErr w:type="gramStart"/>
      <w:r>
        <w:t>in</w:t>
      </w:r>
      <w:proofErr w:type="gramEnd"/>
      <w:r>
        <w:t xml:space="preserve"> scaling and still governs. It is also compatible with Zero Trust principles, as it </w:t>
      </w:r>
      <w:proofErr w:type="spellStart"/>
      <w:r>
        <w:t>decentralises</w:t>
      </w:r>
      <w:proofErr w:type="spellEnd"/>
      <w:r>
        <w:t xml:space="preserve"> the implementation of security on identity, workload, and data levels. </w:t>
      </w:r>
      <w:proofErr w:type="spellStart"/>
      <w:r>
        <w:t>MediTrust</w:t>
      </w:r>
      <w:proofErr w:type="spellEnd"/>
      <w:r>
        <w:t xml:space="preserve"> </w:t>
      </w:r>
      <w:proofErr w:type="gramStart"/>
      <w:r>
        <w:t>is able to</w:t>
      </w:r>
      <w:proofErr w:type="gramEnd"/>
      <w:r>
        <w:t xml:space="preserve"> build security ownership into architecture and delivery pipelines to maintain sustained compliance and resilience, as well as aid the rapid innovation of AI-driven healthcare systems.</w:t>
      </w:r>
    </w:p>
    <w:p w14:paraId="37A497C2" w14:textId="77777777" w:rsidR="005B5474" w:rsidRDefault="0048423C">
      <w:pPr>
        <w:pStyle w:val="Heading2"/>
      </w:pPr>
      <w:bookmarkStart w:id="15" w:name="_Toc3401"/>
      <w:r>
        <w:t>3. Policies and Procedures</w:t>
      </w:r>
      <w:r>
        <w:t>:</w:t>
      </w:r>
      <w:bookmarkEnd w:id="15"/>
    </w:p>
    <w:p w14:paraId="405EB196" w14:textId="77777777" w:rsidR="005B5474" w:rsidRDefault="0048423C">
      <w:r>
        <w:t xml:space="preserve">To ensure its hybrid workforce and cloud-native ecosystem, </w:t>
      </w:r>
      <w:proofErr w:type="spellStart"/>
      <w:r>
        <w:t>MediTrust</w:t>
      </w:r>
      <w:proofErr w:type="spellEnd"/>
      <w:r>
        <w:t xml:space="preserve"> needs to develop explicit policies regarding the use of AI, SaaS setup, and BYOD.</w:t>
      </w:r>
      <w:r>
        <w:t xml:space="preserve"> </w:t>
      </w:r>
      <w:r>
        <w:t xml:space="preserve">The AI Usage Policy is the policy that regulates the use of clinical and training data in machine learning models. It requires data </w:t>
      </w:r>
      <w:proofErr w:type="spellStart"/>
      <w:r>
        <w:t>anonymisation</w:t>
      </w:r>
      <w:proofErr w:type="spellEnd"/>
      <w:r>
        <w:t xml:space="preserve">, model validation, and constant bias/poisoning attack monitoring. According to </w:t>
      </w:r>
      <w:proofErr w:type="spellStart"/>
      <w:r>
        <w:t>DevSecOps</w:t>
      </w:r>
      <w:proofErr w:type="spellEnd"/>
      <w:r>
        <w:t xml:space="preserve"> research, security </w:t>
      </w:r>
      <w:proofErr w:type="gramStart"/>
      <w:r>
        <w:t>has to</w:t>
      </w:r>
      <w:proofErr w:type="gramEnd"/>
      <w:r>
        <w:t xml:space="preserve"> be considered in the initial phases of development, such as AI pipelines, to avoid vulnerabilities being introduced into the production systems [7]. The AI mod</w:t>
      </w:r>
      <w:r>
        <w:t>els should be inspected and approved by AI model integrity checks before deployment.</w:t>
      </w:r>
    </w:p>
    <w:p w14:paraId="0BCFA59B" w14:textId="77777777" w:rsidR="005B5474" w:rsidRDefault="0048423C">
      <w:r>
        <w:t>Secure SaaS Configuration Policy provides a secure baseline which is used to ensure that all cloud-based applications are consistent with the policy. These involve the use of least privilege access, access encryption in transit and rest and ongoing configuration measurement. One of the largest cloud security risks that have been determined in a DevOps environment is misconfigurations because of fast deployment cycles [1].</w:t>
      </w:r>
      <w:r>
        <w:t xml:space="preserve"> </w:t>
      </w:r>
      <w:r>
        <w:t>The BYOD Policy establishes security conditions of employee-owned devices that connect to corporate systems. It implements endpoint encryption, mobile device management (MDM), and phishing-resistant MFA. Research has shown that distributed teams enhance attack surfaces, and endpoint governance is a stringent requirement [8].</w:t>
      </w:r>
    </w:p>
    <w:p w14:paraId="3810E42E" w14:textId="77777777" w:rsidR="005B5474" w:rsidRDefault="0048423C">
      <w:r>
        <w:t xml:space="preserve">All policies should be automated where feasible. Policy-as-code frameworks are consistent across environments and minimize human error. Nevertheless, studies also point out that </w:t>
      </w:r>
      <w:proofErr w:type="gramStart"/>
      <w:r>
        <w:t>an ungoverned</w:t>
      </w:r>
      <w:proofErr w:type="gramEnd"/>
      <w:r>
        <w:t xml:space="preserve"> over-automation may result in being unable to see blind spots in security surveillance.</w:t>
      </w:r>
      <w:r>
        <w:t xml:space="preserve"> </w:t>
      </w:r>
      <w:r>
        <w:t xml:space="preserve">The general effect of these policies is to make sure that security is ingrained on human, technical, and operational levels and that regulatory compliance and Zero Trust enforcement are supported in the entire activities of </w:t>
      </w:r>
      <w:proofErr w:type="spellStart"/>
      <w:r>
        <w:t>MediTrust</w:t>
      </w:r>
      <w:proofErr w:type="spellEnd"/>
      <w:r>
        <w:t xml:space="preserve"> throughout the globe.</w:t>
      </w:r>
    </w:p>
    <w:p w14:paraId="7B0E8D60" w14:textId="77777777" w:rsidR="005B5474" w:rsidRDefault="0048423C">
      <w:pPr>
        <w:pStyle w:val="Heading2"/>
      </w:pPr>
      <w:bookmarkStart w:id="16" w:name="_Toc14347"/>
      <w:r>
        <w:t>4. Adherence: DORA and NIS2</w:t>
      </w:r>
      <w:bookmarkEnd w:id="16"/>
    </w:p>
    <w:p w14:paraId="7852A5D1" w14:textId="77777777" w:rsidR="005B5474" w:rsidRDefault="0048423C">
      <w:r>
        <w:t xml:space="preserve">The fact that </w:t>
      </w:r>
      <w:proofErr w:type="spellStart"/>
      <w:r>
        <w:t>MediTrust</w:t>
      </w:r>
      <w:proofErr w:type="spellEnd"/>
      <w:r>
        <w:t xml:space="preserve"> has entered the healthcare market in the EU also means that it </w:t>
      </w:r>
      <w:proofErr w:type="gramStart"/>
      <w:r>
        <w:t>has to</w:t>
      </w:r>
      <w:proofErr w:type="gramEnd"/>
      <w:r>
        <w:t xml:space="preserve"> comply with DORA and NIS2. DORA is concerned with operational resilience of financial and critical ICT systems, and NIS2 enhances the requirements related to cybersecurity </w:t>
      </w:r>
      <w:r>
        <w:lastRenderedPageBreak/>
        <w:t>incident reporting and risk management.</w:t>
      </w:r>
      <w:r>
        <w:t xml:space="preserve"> </w:t>
      </w:r>
      <w:r>
        <w:t xml:space="preserve">Within the framework of DORA, </w:t>
      </w:r>
      <w:proofErr w:type="spellStart"/>
      <w:r>
        <w:t>MediTrust</w:t>
      </w:r>
      <w:proofErr w:type="spellEnd"/>
      <w:r>
        <w:t xml:space="preserve"> will be required to provide ICT risk management, incident response, third-party risk controls, and resilience testing. Systems </w:t>
      </w:r>
      <w:proofErr w:type="gramStart"/>
      <w:r>
        <w:t>have to</w:t>
      </w:r>
      <w:proofErr w:type="gramEnd"/>
      <w:r>
        <w:t xml:space="preserve"> be continuously </w:t>
      </w:r>
      <w:proofErr w:type="gramStart"/>
      <w:r>
        <w:t>monitored</w:t>
      </w:r>
      <w:proofErr w:type="gramEnd"/>
      <w:r>
        <w:t xml:space="preserve"> and stress tested t</w:t>
      </w:r>
      <w:r>
        <w:t>o ensure continuity in operational systems. In the literature of DevOps, continuous delivery systems are emphasized to have the ability to quickly recover in case of a failure scenario [1</w:t>
      </w:r>
      <w:r>
        <w:t>0</w:t>
      </w:r>
      <w:r>
        <w:t>].</w:t>
      </w:r>
    </w:p>
    <w:p w14:paraId="15B02C34" w14:textId="77777777" w:rsidR="005B5474" w:rsidRDefault="0048423C">
      <w:r>
        <w:t xml:space="preserve">With NIS2, the </w:t>
      </w:r>
      <w:proofErr w:type="spellStart"/>
      <w:r>
        <w:t>organisation</w:t>
      </w:r>
      <w:proofErr w:type="spellEnd"/>
      <w:r>
        <w:t xml:space="preserve"> is required to have harsh incident reporting with specific timeframes and </w:t>
      </w:r>
      <w:proofErr w:type="gramStart"/>
      <w:r>
        <w:t>has to</w:t>
      </w:r>
      <w:proofErr w:type="gramEnd"/>
      <w:r>
        <w:t xml:space="preserve"> have full logging and monitoring systems. Not reporting breaches may lead to hefty fines. This requirement can be addressed with the help of </w:t>
      </w:r>
      <w:proofErr w:type="spellStart"/>
      <w:r>
        <w:t>DevSecOps</w:t>
      </w:r>
      <w:proofErr w:type="spellEnd"/>
      <w:r>
        <w:t xml:space="preserve"> practices that allow detecting and alerting in real-time [6].</w:t>
      </w:r>
      <w:r>
        <w:t xml:space="preserve"> </w:t>
      </w:r>
      <w:r>
        <w:t>One of the significant issues is how to match the fast DevOps deployment cycle with the environments that are heavy on compliance. Studies have shown that integration of security tends to trail the pace of</w:t>
      </w:r>
      <w:r>
        <w:t xml:space="preserve"> operations thereby introducing governance gaps [10]. To overcome this, </w:t>
      </w:r>
      <w:proofErr w:type="spellStart"/>
      <w:r>
        <w:t>MediTrust</w:t>
      </w:r>
      <w:proofErr w:type="spellEnd"/>
      <w:r>
        <w:t xml:space="preserve"> will have to apply compliance-as-code and automated audit trails to CI/CD pipelines.</w:t>
      </w:r>
    </w:p>
    <w:p w14:paraId="229C8250" w14:textId="77777777" w:rsidR="005B5474" w:rsidRDefault="0048423C">
      <w:proofErr w:type="spellStart"/>
      <w:r>
        <w:t>MediTrust</w:t>
      </w:r>
      <w:proofErr w:type="spellEnd"/>
      <w:r>
        <w:t xml:space="preserve"> will achieve continuous compliance by integrating it into </w:t>
      </w:r>
      <w:proofErr w:type="spellStart"/>
      <w:r>
        <w:t>DevSecOps</w:t>
      </w:r>
      <w:proofErr w:type="spellEnd"/>
      <w:r>
        <w:t xml:space="preserve"> processes, instead of conducting regular audits. This also lowers the overhead of operation and enhances the visibility of regulations. Finally, compliance turns into an ongoing process that is an inseparable part of the everyday engineering and operational processes instead of a distinct layer of governance.</w:t>
      </w:r>
    </w:p>
    <w:p w14:paraId="693FEC1C" w14:textId="77777777" w:rsidR="005B5474" w:rsidRDefault="0048423C">
      <w:pPr>
        <w:pStyle w:val="Heading2"/>
      </w:pPr>
      <w:bookmarkStart w:id="17" w:name="_Toc16338"/>
      <w:r>
        <w:t>5. Governance &amp; Strategy (NIST CSF 2.0)</w:t>
      </w:r>
      <w:r>
        <w:t>:</w:t>
      </w:r>
      <w:bookmarkEnd w:id="17"/>
    </w:p>
    <w:p w14:paraId="5451DF17" w14:textId="77777777" w:rsidR="005B5474" w:rsidRDefault="0048423C">
      <w:r>
        <w:t xml:space="preserve">The governance model of </w:t>
      </w:r>
      <w:proofErr w:type="spellStart"/>
      <w:r>
        <w:t>MediTrust</w:t>
      </w:r>
      <w:proofErr w:type="spellEnd"/>
      <w:r>
        <w:t xml:space="preserve"> is founded on the NIST Cybersecurity Framework (CSF) 2.0, which aligns the security goals with business objectives, which include patient safety, data protection and reliability of AI.</w:t>
      </w:r>
      <w:r>
        <w:t xml:space="preserve"> </w:t>
      </w:r>
      <w:r>
        <w:t>The framework is made up of five core functions namely; Identify, Protect, Detect, Respond and Recover. Asset management and risk assessment in the Identify phase guarantee the visibility of cloud and AI systems. Protect feature encompasses identity management, encryption and Zero Trust enforcement. The Detect featu</w:t>
      </w:r>
      <w:r>
        <w:t>re is based on the SIEM systems and AI pipeline anomaly detectors</w:t>
      </w:r>
      <w:r>
        <w:t xml:space="preserve"> as shown in table 1</w:t>
      </w:r>
      <w:r>
        <w:t>.</w:t>
      </w:r>
    </w:p>
    <w:p w14:paraId="63E844ED" w14:textId="77777777" w:rsidR="005B5474" w:rsidRDefault="0048423C">
      <w:r>
        <w:t xml:space="preserve">The Respond stage incorporates automated incident response with </w:t>
      </w:r>
      <w:proofErr w:type="spellStart"/>
      <w:r>
        <w:t>DevSecOps</w:t>
      </w:r>
      <w:proofErr w:type="spellEnd"/>
      <w:r>
        <w:t xml:space="preserve"> </w:t>
      </w:r>
      <w:proofErr w:type="gramStart"/>
      <w:r>
        <w:t>pipelines</w:t>
      </w:r>
      <w:proofErr w:type="gramEnd"/>
      <w:r>
        <w:t xml:space="preserve"> and the Recover feature secures business continuity by disaster recovery and backup measures</w:t>
      </w:r>
      <w:r>
        <w:t xml:space="preserve"> </w:t>
      </w:r>
      <w:r>
        <w:t>[9].</w:t>
      </w:r>
      <w:r>
        <w:t xml:space="preserve"> One of the key problems of the </w:t>
      </w:r>
      <w:proofErr w:type="spellStart"/>
      <w:r>
        <w:t>Devops</w:t>
      </w:r>
      <w:proofErr w:type="spellEnd"/>
      <w:r>
        <w:t xml:space="preserve"> environment is the agility vs. control of governance [10]. </w:t>
      </w:r>
      <w:proofErr w:type="spellStart"/>
      <w:r>
        <w:t>MediTrust</w:t>
      </w:r>
      <w:proofErr w:type="spellEnd"/>
      <w:r>
        <w:t xml:space="preserve"> addresses this by including governance in CI/CD pipelines and automated compliance checks</w:t>
      </w:r>
      <w:r>
        <w:t>.</w:t>
      </w:r>
    </w:p>
    <w:p w14:paraId="60A9348D" w14:textId="77777777" w:rsidR="005B5474" w:rsidRDefault="005B5474"/>
    <w:p w14:paraId="5651FA1C" w14:textId="77777777" w:rsidR="005B5474" w:rsidRDefault="005B5474"/>
    <w:p w14:paraId="21F4EBCD" w14:textId="77777777" w:rsidR="005B5474" w:rsidRDefault="0048423C">
      <w:pPr>
        <w:jc w:val="center"/>
      </w:pPr>
      <w:r>
        <w:rPr>
          <w:b/>
          <w:bCs/>
        </w:rPr>
        <w:lastRenderedPageBreak/>
        <w:t>Table 1:</w:t>
      </w:r>
      <w:r>
        <w:t xml:space="preserve"> Governance Framework Mapping.</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1488"/>
        <w:gridCol w:w="3552"/>
      </w:tblGrid>
      <w:tr w:rsidR="005B5474" w14:paraId="4CBA8EF8" w14:textId="77777777">
        <w:trPr>
          <w:tblHeader/>
          <w:tblCellSpacing w:w="15" w:type="dxa"/>
          <w:jc w:val="center"/>
        </w:trPr>
        <w:tc>
          <w:tcPr>
            <w:tcW w:w="0" w:type="auto"/>
            <w:vAlign w:val="center"/>
          </w:tcPr>
          <w:p w14:paraId="4C06D2F7" w14:textId="77777777" w:rsidR="005B5474" w:rsidRDefault="0048423C">
            <w:pPr>
              <w:jc w:val="center"/>
              <w:rPr>
                <w:rFonts w:cs="Times New Roman"/>
                <w:b/>
                <w:bCs/>
                <w:sz w:val="22"/>
                <w:szCs w:val="22"/>
              </w:rPr>
            </w:pPr>
            <w:r>
              <w:rPr>
                <w:rFonts w:cs="Times New Roman"/>
                <w:b/>
                <w:bCs/>
                <w:sz w:val="22"/>
                <w:szCs w:val="22"/>
              </w:rPr>
              <w:t>NIST Function</w:t>
            </w:r>
          </w:p>
        </w:tc>
        <w:tc>
          <w:tcPr>
            <w:tcW w:w="0" w:type="auto"/>
            <w:vAlign w:val="center"/>
          </w:tcPr>
          <w:p w14:paraId="3CD8301D" w14:textId="77777777" w:rsidR="005B5474" w:rsidRDefault="0048423C">
            <w:pPr>
              <w:jc w:val="center"/>
              <w:rPr>
                <w:rFonts w:cs="Times New Roman"/>
                <w:b/>
                <w:bCs/>
                <w:sz w:val="22"/>
                <w:szCs w:val="22"/>
              </w:rPr>
            </w:pPr>
            <w:proofErr w:type="spellStart"/>
            <w:r>
              <w:rPr>
                <w:rFonts w:cs="Times New Roman"/>
                <w:b/>
                <w:bCs/>
                <w:sz w:val="22"/>
                <w:szCs w:val="22"/>
              </w:rPr>
              <w:t>MediTrust</w:t>
            </w:r>
            <w:proofErr w:type="spellEnd"/>
            <w:r>
              <w:rPr>
                <w:rFonts w:cs="Times New Roman"/>
                <w:b/>
                <w:bCs/>
                <w:sz w:val="22"/>
                <w:szCs w:val="22"/>
              </w:rPr>
              <w:t xml:space="preserve"> Implementation</w:t>
            </w:r>
          </w:p>
        </w:tc>
      </w:tr>
      <w:tr w:rsidR="005B5474" w14:paraId="239842F6" w14:textId="77777777">
        <w:trPr>
          <w:tblCellSpacing w:w="15" w:type="dxa"/>
          <w:jc w:val="center"/>
        </w:trPr>
        <w:tc>
          <w:tcPr>
            <w:tcW w:w="0" w:type="auto"/>
            <w:vAlign w:val="center"/>
          </w:tcPr>
          <w:p w14:paraId="2C0B900B" w14:textId="77777777" w:rsidR="005B5474" w:rsidRDefault="0048423C">
            <w:pPr>
              <w:jc w:val="left"/>
              <w:rPr>
                <w:rFonts w:cs="Times New Roman"/>
                <w:sz w:val="22"/>
                <w:szCs w:val="22"/>
              </w:rPr>
            </w:pPr>
            <w:r>
              <w:rPr>
                <w:rFonts w:cs="Times New Roman"/>
                <w:sz w:val="22"/>
                <w:szCs w:val="22"/>
              </w:rPr>
              <w:t>Govern</w:t>
            </w:r>
          </w:p>
        </w:tc>
        <w:tc>
          <w:tcPr>
            <w:tcW w:w="0" w:type="auto"/>
            <w:vAlign w:val="center"/>
          </w:tcPr>
          <w:p w14:paraId="52A1C891" w14:textId="77777777" w:rsidR="005B5474" w:rsidRDefault="0048423C">
            <w:pPr>
              <w:jc w:val="left"/>
              <w:rPr>
                <w:rFonts w:cs="Times New Roman"/>
                <w:sz w:val="22"/>
                <w:szCs w:val="22"/>
              </w:rPr>
            </w:pPr>
            <w:r>
              <w:rPr>
                <w:rFonts w:cs="Times New Roman"/>
                <w:sz w:val="22"/>
                <w:szCs w:val="22"/>
              </w:rPr>
              <w:t>Security steering committee</w:t>
            </w:r>
          </w:p>
        </w:tc>
      </w:tr>
      <w:tr w:rsidR="005B5474" w14:paraId="23DC7B9E" w14:textId="77777777">
        <w:trPr>
          <w:tblCellSpacing w:w="15" w:type="dxa"/>
          <w:jc w:val="center"/>
        </w:trPr>
        <w:tc>
          <w:tcPr>
            <w:tcW w:w="0" w:type="auto"/>
            <w:vAlign w:val="center"/>
          </w:tcPr>
          <w:p w14:paraId="234D9A81" w14:textId="77777777" w:rsidR="005B5474" w:rsidRDefault="0048423C">
            <w:pPr>
              <w:jc w:val="left"/>
              <w:rPr>
                <w:rFonts w:cs="Times New Roman"/>
                <w:sz w:val="22"/>
                <w:szCs w:val="22"/>
              </w:rPr>
            </w:pPr>
            <w:r>
              <w:rPr>
                <w:rFonts w:cs="Times New Roman"/>
                <w:sz w:val="22"/>
                <w:szCs w:val="22"/>
              </w:rPr>
              <w:t>Identify</w:t>
            </w:r>
          </w:p>
        </w:tc>
        <w:tc>
          <w:tcPr>
            <w:tcW w:w="0" w:type="auto"/>
            <w:vAlign w:val="center"/>
          </w:tcPr>
          <w:p w14:paraId="732D171C" w14:textId="77777777" w:rsidR="005B5474" w:rsidRDefault="0048423C">
            <w:pPr>
              <w:jc w:val="left"/>
              <w:rPr>
                <w:rFonts w:cs="Times New Roman"/>
                <w:sz w:val="22"/>
                <w:szCs w:val="22"/>
              </w:rPr>
            </w:pPr>
            <w:r>
              <w:rPr>
                <w:rFonts w:cs="Times New Roman"/>
                <w:sz w:val="22"/>
                <w:szCs w:val="22"/>
              </w:rPr>
              <w:t>Asset &amp; AI model inventory</w:t>
            </w:r>
          </w:p>
        </w:tc>
      </w:tr>
      <w:tr w:rsidR="005B5474" w14:paraId="2CF59234" w14:textId="77777777">
        <w:trPr>
          <w:tblCellSpacing w:w="15" w:type="dxa"/>
          <w:jc w:val="center"/>
        </w:trPr>
        <w:tc>
          <w:tcPr>
            <w:tcW w:w="0" w:type="auto"/>
            <w:vAlign w:val="center"/>
          </w:tcPr>
          <w:p w14:paraId="5C7F2C58" w14:textId="77777777" w:rsidR="005B5474" w:rsidRDefault="0048423C">
            <w:pPr>
              <w:jc w:val="left"/>
              <w:rPr>
                <w:rFonts w:cs="Times New Roman"/>
                <w:sz w:val="22"/>
                <w:szCs w:val="22"/>
              </w:rPr>
            </w:pPr>
            <w:r>
              <w:rPr>
                <w:rFonts w:cs="Times New Roman"/>
                <w:sz w:val="22"/>
                <w:szCs w:val="22"/>
              </w:rPr>
              <w:t>Protect</w:t>
            </w:r>
          </w:p>
        </w:tc>
        <w:tc>
          <w:tcPr>
            <w:tcW w:w="0" w:type="auto"/>
            <w:vAlign w:val="center"/>
          </w:tcPr>
          <w:p w14:paraId="15D524E8" w14:textId="77777777" w:rsidR="005B5474" w:rsidRDefault="0048423C">
            <w:pPr>
              <w:jc w:val="left"/>
              <w:rPr>
                <w:rFonts w:cs="Times New Roman"/>
                <w:sz w:val="22"/>
                <w:szCs w:val="22"/>
              </w:rPr>
            </w:pPr>
            <w:r>
              <w:rPr>
                <w:rFonts w:cs="Times New Roman"/>
                <w:sz w:val="22"/>
                <w:szCs w:val="22"/>
              </w:rPr>
              <w:t xml:space="preserve">IAM, encryption, </w:t>
            </w:r>
            <w:proofErr w:type="spellStart"/>
            <w:r>
              <w:rPr>
                <w:rFonts w:cs="Times New Roman"/>
                <w:sz w:val="22"/>
                <w:szCs w:val="22"/>
              </w:rPr>
              <w:t>DevSecOps</w:t>
            </w:r>
            <w:proofErr w:type="spellEnd"/>
            <w:r>
              <w:rPr>
                <w:rFonts w:cs="Times New Roman"/>
                <w:sz w:val="22"/>
                <w:szCs w:val="22"/>
              </w:rPr>
              <w:t xml:space="preserve"> pipelines</w:t>
            </w:r>
          </w:p>
        </w:tc>
      </w:tr>
      <w:tr w:rsidR="005B5474" w14:paraId="70B177D3" w14:textId="77777777">
        <w:trPr>
          <w:tblCellSpacing w:w="15" w:type="dxa"/>
          <w:jc w:val="center"/>
        </w:trPr>
        <w:tc>
          <w:tcPr>
            <w:tcW w:w="0" w:type="auto"/>
            <w:vAlign w:val="center"/>
          </w:tcPr>
          <w:p w14:paraId="63F69806" w14:textId="77777777" w:rsidR="005B5474" w:rsidRDefault="0048423C">
            <w:pPr>
              <w:jc w:val="left"/>
              <w:rPr>
                <w:rFonts w:cs="Times New Roman"/>
                <w:sz w:val="22"/>
                <w:szCs w:val="22"/>
              </w:rPr>
            </w:pPr>
            <w:r>
              <w:rPr>
                <w:rFonts w:cs="Times New Roman"/>
                <w:sz w:val="22"/>
                <w:szCs w:val="22"/>
              </w:rPr>
              <w:t>Detect</w:t>
            </w:r>
          </w:p>
        </w:tc>
        <w:tc>
          <w:tcPr>
            <w:tcW w:w="0" w:type="auto"/>
            <w:vAlign w:val="center"/>
          </w:tcPr>
          <w:p w14:paraId="063314CC" w14:textId="77777777" w:rsidR="005B5474" w:rsidRDefault="0048423C">
            <w:pPr>
              <w:jc w:val="left"/>
              <w:rPr>
                <w:rFonts w:cs="Times New Roman"/>
                <w:sz w:val="22"/>
                <w:szCs w:val="22"/>
              </w:rPr>
            </w:pPr>
            <w:r>
              <w:rPr>
                <w:rFonts w:cs="Times New Roman"/>
                <w:sz w:val="22"/>
                <w:szCs w:val="22"/>
              </w:rPr>
              <w:t>SIEM and anomaly detection</w:t>
            </w:r>
          </w:p>
        </w:tc>
      </w:tr>
      <w:tr w:rsidR="005B5474" w14:paraId="1E20BB59" w14:textId="77777777">
        <w:trPr>
          <w:tblCellSpacing w:w="15" w:type="dxa"/>
          <w:jc w:val="center"/>
        </w:trPr>
        <w:tc>
          <w:tcPr>
            <w:tcW w:w="0" w:type="auto"/>
            <w:vAlign w:val="center"/>
          </w:tcPr>
          <w:p w14:paraId="634ECFD0" w14:textId="77777777" w:rsidR="005B5474" w:rsidRDefault="0048423C">
            <w:pPr>
              <w:jc w:val="left"/>
              <w:rPr>
                <w:rFonts w:cs="Times New Roman"/>
                <w:sz w:val="22"/>
                <w:szCs w:val="22"/>
              </w:rPr>
            </w:pPr>
            <w:r>
              <w:rPr>
                <w:rFonts w:cs="Times New Roman"/>
                <w:sz w:val="22"/>
                <w:szCs w:val="22"/>
              </w:rPr>
              <w:t>Respond</w:t>
            </w:r>
          </w:p>
        </w:tc>
        <w:tc>
          <w:tcPr>
            <w:tcW w:w="0" w:type="auto"/>
            <w:vAlign w:val="center"/>
          </w:tcPr>
          <w:p w14:paraId="618749A2" w14:textId="77777777" w:rsidR="005B5474" w:rsidRDefault="0048423C">
            <w:pPr>
              <w:jc w:val="left"/>
              <w:rPr>
                <w:rFonts w:cs="Times New Roman"/>
                <w:sz w:val="22"/>
                <w:szCs w:val="22"/>
              </w:rPr>
            </w:pPr>
            <w:r>
              <w:rPr>
                <w:rFonts w:cs="Times New Roman"/>
                <w:sz w:val="22"/>
                <w:szCs w:val="22"/>
              </w:rPr>
              <w:t>SOAR automated incident response</w:t>
            </w:r>
          </w:p>
        </w:tc>
      </w:tr>
      <w:tr w:rsidR="005B5474" w14:paraId="044C4AA9" w14:textId="77777777">
        <w:trPr>
          <w:tblCellSpacing w:w="15" w:type="dxa"/>
          <w:jc w:val="center"/>
        </w:trPr>
        <w:tc>
          <w:tcPr>
            <w:tcW w:w="0" w:type="auto"/>
            <w:vAlign w:val="center"/>
          </w:tcPr>
          <w:p w14:paraId="68C00398" w14:textId="77777777" w:rsidR="005B5474" w:rsidRDefault="0048423C">
            <w:pPr>
              <w:jc w:val="left"/>
              <w:rPr>
                <w:rFonts w:cs="Times New Roman"/>
                <w:sz w:val="22"/>
                <w:szCs w:val="22"/>
              </w:rPr>
            </w:pPr>
            <w:r>
              <w:rPr>
                <w:rFonts w:cs="Times New Roman"/>
                <w:sz w:val="22"/>
                <w:szCs w:val="22"/>
              </w:rPr>
              <w:t>Recover</w:t>
            </w:r>
          </w:p>
        </w:tc>
        <w:tc>
          <w:tcPr>
            <w:tcW w:w="0" w:type="auto"/>
            <w:vAlign w:val="center"/>
          </w:tcPr>
          <w:p w14:paraId="2956DC40" w14:textId="77777777" w:rsidR="005B5474" w:rsidRDefault="0048423C">
            <w:pPr>
              <w:jc w:val="left"/>
              <w:rPr>
                <w:rFonts w:cs="Times New Roman"/>
                <w:sz w:val="22"/>
                <w:szCs w:val="22"/>
              </w:rPr>
            </w:pPr>
            <w:r>
              <w:rPr>
                <w:rFonts w:cs="Times New Roman"/>
                <w:sz w:val="22"/>
                <w:szCs w:val="22"/>
              </w:rPr>
              <w:t>Disaster recovery and backup systems</w:t>
            </w:r>
          </w:p>
        </w:tc>
      </w:tr>
    </w:tbl>
    <w:p w14:paraId="7DD8ECD7" w14:textId="77777777" w:rsidR="005B5474" w:rsidRDefault="005B5474"/>
    <w:p w14:paraId="0602DDD5" w14:textId="77777777" w:rsidR="005B5474" w:rsidRDefault="0048423C">
      <w:r>
        <w:t xml:space="preserve">The plan aligns the security investment with business priorities such as regulatory compliance, integrity of clinical data, and trustworthiness of AI. Tying CSF controls with business results, </w:t>
      </w:r>
      <w:proofErr w:type="spellStart"/>
      <w:r>
        <w:t>MediTrust</w:t>
      </w:r>
      <w:proofErr w:type="spellEnd"/>
      <w:r>
        <w:t xml:space="preserve"> ensures that the security is not a cost </w:t>
      </w:r>
      <w:proofErr w:type="spellStart"/>
      <w:r>
        <w:t>centre</w:t>
      </w:r>
      <w:proofErr w:type="spellEnd"/>
      <w:r>
        <w:t>, but a business enabler that contributes to innovating and growing to the market.</w:t>
      </w:r>
    </w:p>
    <w:p w14:paraId="3704F33F" w14:textId="77777777" w:rsidR="005B5474" w:rsidRDefault="0048423C">
      <w:pPr>
        <w:pStyle w:val="Heading2"/>
      </w:pPr>
      <w:bookmarkStart w:id="18" w:name="_Toc22531"/>
      <w:r>
        <w:t>6. Risk Management (Software Supply Chain and Cloud risks)</w:t>
      </w:r>
      <w:r>
        <w:t>:</w:t>
      </w:r>
      <w:bookmarkEnd w:id="18"/>
    </w:p>
    <w:p w14:paraId="53F47A92" w14:textId="77777777" w:rsidR="005B5474" w:rsidRDefault="0048423C">
      <w:r>
        <w:t xml:space="preserve">The context of the company, </w:t>
      </w:r>
      <w:proofErr w:type="spellStart"/>
      <w:r>
        <w:t>MediTrust</w:t>
      </w:r>
      <w:proofErr w:type="spellEnd"/>
      <w:r>
        <w:t xml:space="preserve"> Analytics Ltd, is a multi-cloud and AI-driven environment which is highly complex and presents the company to software supply chain and cloud-native risks to a high extent. The most dangerous are: Poisoned AI training data, Third-party dependencies, which are not secured and the cloud misconfigurations. The problem of AI data poisoning is particularly dangerous to the medical field as the distorted data sets may have a direct impact on the clinical decision-making models that may lead to the provi</w:t>
      </w:r>
      <w:r>
        <w:t xml:space="preserve">sion of unsafe medical advice or biased judgements. Literatures on </w:t>
      </w:r>
      <w:proofErr w:type="spellStart"/>
      <w:r>
        <w:t>DevSecOps</w:t>
      </w:r>
      <w:proofErr w:type="spellEnd"/>
      <w:r>
        <w:t xml:space="preserve"> argue that these risks require continuous verification of data integrity and security checks integrated in the software lifecycle as compared to just one point in time [7].</w:t>
      </w:r>
    </w:p>
    <w:p w14:paraId="650F2634" w14:textId="77777777" w:rsidR="005B5474" w:rsidRDefault="0048423C">
      <w:pPr>
        <w:rPr>
          <w:rStyle w:val="Strong"/>
        </w:rPr>
      </w:pPr>
      <w:r>
        <w:t>A third-party dependency risk is another significant issue, particularly that of open-source libraries and third-party APIs in AI pipelines. These components have vulnerabilities that can be spread to production systems and pose systemic risk to a variety of services. Also, among the most common causes of security breaches are cloud misconfigurations, which is partly because of the high rate of deployment and inadequate governance across multi-cloud environments [1].</w:t>
      </w:r>
    </w:p>
    <w:p w14:paraId="113979B3" w14:textId="77777777" w:rsidR="005B5474" w:rsidRDefault="0048423C">
      <w:pPr>
        <w:pStyle w:val="Heading2"/>
        <w:jc w:val="center"/>
      </w:pPr>
      <w:bookmarkStart w:id="19" w:name="_Toc27088"/>
      <w:r>
        <w:rPr>
          <w:rStyle w:val="Strong"/>
          <w:b/>
        </w:rPr>
        <w:t xml:space="preserve">Table 2: </w:t>
      </w:r>
      <w:r>
        <w:rPr>
          <w:rStyle w:val="Strong"/>
          <w:bCs w:val="0"/>
        </w:rPr>
        <w:t xml:space="preserve">Risk Register – </w:t>
      </w:r>
      <w:proofErr w:type="spellStart"/>
      <w:r>
        <w:rPr>
          <w:rStyle w:val="Strong"/>
          <w:bCs w:val="0"/>
        </w:rPr>
        <w:t>MediTrust</w:t>
      </w:r>
      <w:proofErr w:type="spellEnd"/>
      <w:r>
        <w:rPr>
          <w:rStyle w:val="Strong"/>
          <w:bCs w:val="0"/>
        </w:rPr>
        <w:t xml:space="preserve"> Analytics Ltd</w:t>
      </w:r>
      <w:bookmarkEnd w:id="19"/>
    </w:p>
    <w:tbl>
      <w:tblPr>
        <w:tblW w:w="0" w:type="auto"/>
        <w:tblCellSpacing w:w="15" w:type="dxa"/>
        <w:tblInd w:w="-8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38"/>
        <w:gridCol w:w="2374"/>
        <w:gridCol w:w="1375"/>
        <w:gridCol w:w="1046"/>
        <w:gridCol w:w="826"/>
        <w:gridCol w:w="848"/>
        <w:gridCol w:w="2147"/>
      </w:tblGrid>
      <w:tr w:rsidR="005B5474" w14:paraId="0C02991F" w14:textId="77777777">
        <w:trPr>
          <w:tblHeader/>
          <w:tblCellSpacing w:w="15" w:type="dxa"/>
        </w:trPr>
        <w:tc>
          <w:tcPr>
            <w:tcW w:w="1293" w:type="dxa"/>
            <w:vAlign w:val="center"/>
          </w:tcPr>
          <w:p w14:paraId="64FE9594" w14:textId="77777777" w:rsidR="005B5474" w:rsidRDefault="0048423C">
            <w:pPr>
              <w:spacing w:line="240" w:lineRule="auto"/>
              <w:rPr>
                <w:sz w:val="22"/>
                <w:szCs w:val="22"/>
              </w:rPr>
            </w:pPr>
            <w:r>
              <w:rPr>
                <w:sz w:val="22"/>
                <w:szCs w:val="22"/>
              </w:rPr>
              <w:t>Risk ID</w:t>
            </w:r>
          </w:p>
        </w:tc>
        <w:tc>
          <w:tcPr>
            <w:tcW w:w="2344" w:type="dxa"/>
            <w:vAlign w:val="center"/>
          </w:tcPr>
          <w:p w14:paraId="15BD2888" w14:textId="77777777" w:rsidR="005B5474" w:rsidRDefault="0048423C">
            <w:pPr>
              <w:spacing w:line="240" w:lineRule="auto"/>
              <w:rPr>
                <w:sz w:val="22"/>
                <w:szCs w:val="22"/>
              </w:rPr>
            </w:pPr>
            <w:r>
              <w:t>Risk Description</w:t>
            </w:r>
          </w:p>
        </w:tc>
        <w:tc>
          <w:tcPr>
            <w:tcW w:w="1345" w:type="dxa"/>
            <w:vAlign w:val="center"/>
          </w:tcPr>
          <w:p w14:paraId="14C8B41D" w14:textId="77777777" w:rsidR="005B5474" w:rsidRDefault="0048423C">
            <w:pPr>
              <w:spacing w:line="240" w:lineRule="auto"/>
              <w:rPr>
                <w:sz w:val="22"/>
                <w:szCs w:val="22"/>
              </w:rPr>
            </w:pPr>
            <w:r>
              <w:rPr>
                <w:sz w:val="22"/>
                <w:szCs w:val="22"/>
              </w:rPr>
              <w:t>Category</w:t>
            </w:r>
          </w:p>
        </w:tc>
        <w:tc>
          <w:tcPr>
            <w:tcW w:w="1016" w:type="dxa"/>
            <w:vAlign w:val="center"/>
          </w:tcPr>
          <w:p w14:paraId="72B273AE" w14:textId="77777777" w:rsidR="005B5474" w:rsidRDefault="0048423C">
            <w:pPr>
              <w:spacing w:line="240" w:lineRule="auto"/>
              <w:rPr>
                <w:sz w:val="22"/>
                <w:szCs w:val="22"/>
              </w:rPr>
            </w:pPr>
            <w:r>
              <w:rPr>
                <w:sz w:val="22"/>
                <w:szCs w:val="22"/>
              </w:rPr>
              <w:t>Likelihood</w:t>
            </w:r>
          </w:p>
        </w:tc>
        <w:tc>
          <w:tcPr>
            <w:tcW w:w="796" w:type="dxa"/>
            <w:vAlign w:val="center"/>
          </w:tcPr>
          <w:p w14:paraId="430CCE6D" w14:textId="77777777" w:rsidR="005B5474" w:rsidRDefault="0048423C">
            <w:pPr>
              <w:spacing w:line="240" w:lineRule="auto"/>
              <w:rPr>
                <w:sz w:val="22"/>
                <w:szCs w:val="22"/>
              </w:rPr>
            </w:pPr>
            <w:r>
              <w:rPr>
                <w:sz w:val="22"/>
                <w:szCs w:val="22"/>
              </w:rPr>
              <w:t>Impact</w:t>
            </w:r>
          </w:p>
        </w:tc>
        <w:tc>
          <w:tcPr>
            <w:tcW w:w="818" w:type="dxa"/>
            <w:vAlign w:val="center"/>
          </w:tcPr>
          <w:p w14:paraId="5D57FAF2" w14:textId="77777777" w:rsidR="005B5474" w:rsidRDefault="0048423C">
            <w:pPr>
              <w:spacing w:line="240" w:lineRule="auto"/>
              <w:rPr>
                <w:sz w:val="22"/>
                <w:szCs w:val="22"/>
              </w:rPr>
            </w:pPr>
            <w:r>
              <w:rPr>
                <w:sz w:val="22"/>
                <w:szCs w:val="22"/>
              </w:rPr>
              <w:t>Risk Level</w:t>
            </w:r>
          </w:p>
        </w:tc>
        <w:tc>
          <w:tcPr>
            <w:tcW w:w="2102" w:type="dxa"/>
            <w:vAlign w:val="center"/>
          </w:tcPr>
          <w:p w14:paraId="1342FD78" w14:textId="77777777" w:rsidR="005B5474" w:rsidRDefault="0048423C">
            <w:pPr>
              <w:spacing w:line="240" w:lineRule="auto"/>
              <w:rPr>
                <w:sz w:val="22"/>
                <w:szCs w:val="22"/>
              </w:rPr>
            </w:pPr>
            <w:r>
              <w:t>Key Mitigation</w:t>
            </w:r>
          </w:p>
        </w:tc>
      </w:tr>
      <w:tr w:rsidR="005B5474" w14:paraId="109E791F" w14:textId="77777777">
        <w:trPr>
          <w:tblCellSpacing w:w="15" w:type="dxa"/>
        </w:trPr>
        <w:tc>
          <w:tcPr>
            <w:tcW w:w="1293" w:type="dxa"/>
            <w:vAlign w:val="center"/>
          </w:tcPr>
          <w:p w14:paraId="5AB8FA66" w14:textId="77777777" w:rsidR="005B5474" w:rsidRDefault="0048423C">
            <w:pPr>
              <w:spacing w:line="240" w:lineRule="auto"/>
              <w:rPr>
                <w:sz w:val="22"/>
                <w:szCs w:val="22"/>
              </w:rPr>
            </w:pPr>
            <w:r>
              <w:rPr>
                <w:sz w:val="22"/>
                <w:szCs w:val="22"/>
              </w:rPr>
              <w:t>R1</w:t>
            </w:r>
          </w:p>
        </w:tc>
        <w:tc>
          <w:tcPr>
            <w:tcW w:w="2344" w:type="dxa"/>
            <w:vAlign w:val="center"/>
          </w:tcPr>
          <w:p w14:paraId="056B077B" w14:textId="77777777" w:rsidR="005B5474" w:rsidRDefault="0048423C">
            <w:pPr>
              <w:spacing w:line="240" w:lineRule="auto"/>
              <w:rPr>
                <w:sz w:val="22"/>
                <w:szCs w:val="22"/>
              </w:rPr>
            </w:pPr>
            <w:r>
              <w:t xml:space="preserve">Clinical decision accuracy with AI </w:t>
            </w:r>
            <w:r>
              <w:lastRenderedPageBreak/>
              <w:t>training data poisoning.</w:t>
            </w:r>
          </w:p>
        </w:tc>
        <w:tc>
          <w:tcPr>
            <w:tcW w:w="1345" w:type="dxa"/>
            <w:vAlign w:val="center"/>
          </w:tcPr>
          <w:p w14:paraId="760AA6CA" w14:textId="77777777" w:rsidR="005B5474" w:rsidRDefault="0048423C">
            <w:pPr>
              <w:spacing w:line="240" w:lineRule="auto"/>
              <w:rPr>
                <w:sz w:val="22"/>
                <w:szCs w:val="22"/>
              </w:rPr>
            </w:pPr>
            <w:r>
              <w:rPr>
                <w:sz w:val="22"/>
                <w:szCs w:val="22"/>
              </w:rPr>
              <w:lastRenderedPageBreak/>
              <w:t>AI Security</w:t>
            </w:r>
          </w:p>
        </w:tc>
        <w:tc>
          <w:tcPr>
            <w:tcW w:w="1016" w:type="dxa"/>
            <w:vAlign w:val="center"/>
          </w:tcPr>
          <w:p w14:paraId="11AD7A90" w14:textId="77777777" w:rsidR="005B5474" w:rsidRDefault="0048423C">
            <w:pPr>
              <w:spacing w:line="240" w:lineRule="auto"/>
              <w:rPr>
                <w:sz w:val="22"/>
                <w:szCs w:val="22"/>
              </w:rPr>
            </w:pPr>
            <w:r>
              <w:rPr>
                <w:sz w:val="22"/>
                <w:szCs w:val="22"/>
              </w:rPr>
              <w:t>High</w:t>
            </w:r>
          </w:p>
        </w:tc>
        <w:tc>
          <w:tcPr>
            <w:tcW w:w="796" w:type="dxa"/>
            <w:vAlign w:val="center"/>
          </w:tcPr>
          <w:p w14:paraId="47439E6F" w14:textId="77777777" w:rsidR="005B5474" w:rsidRDefault="0048423C">
            <w:pPr>
              <w:spacing w:line="240" w:lineRule="auto"/>
              <w:rPr>
                <w:sz w:val="22"/>
                <w:szCs w:val="22"/>
              </w:rPr>
            </w:pPr>
            <w:r>
              <w:rPr>
                <w:sz w:val="22"/>
                <w:szCs w:val="22"/>
              </w:rPr>
              <w:t>Critical</w:t>
            </w:r>
          </w:p>
        </w:tc>
        <w:tc>
          <w:tcPr>
            <w:tcW w:w="818" w:type="dxa"/>
            <w:shd w:val="clear" w:color="auto" w:fill="C00000"/>
            <w:vAlign w:val="center"/>
          </w:tcPr>
          <w:p w14:paraId="0821E40A" w14:textId="77777777" w:rsidR="005B5474" w:rsidRDefault="0048423C">
            <w:pPr>
              <w:spacing w:line="240" w:lineRule="auto"/>
              <w:rPr>
                <w:sz w:val="22"/>
                <w:szCs w:val="22"/>
              </w:rPr>
            </w:pPr>
            <w:r>
              <w:rPr>
                <w:sz w:val="22"/>
                <w:szCs w:val="22"/>
              </w:rPr>
              <w:t>Extreme</w:t>
            </w:r>
          </w:p>
        </w:tc>
        <w:tc>
          <w:tcPr>
            <w:tcW w:w="2102" w:type="dxa"/>
            <w:vAlign w:val="center"/>
          </w:tcPr>
          <w:p w14:paraId="173613B3" w14:textId="77777777" w:rsidR="005B5474" w:rsidRDefault="0048423C">
            <w:pPr>
              <w:spacing w:line="240" w:lineRule="auto"/>
              <w:rPr>
                <w:sz w:val="22"/>
                <w:szCs w:val="22"/>
              </w:rPr>
            </w:pPr>
            <w:r>
              <w:t xml:space="preserve">Validation of data, data anomalies, safe </w:t>
            </w:r>
            <w:r>
              <w:lastRenderedPageBreak/>
              <w:t>AI pipelines, model monitoring.</w:t>
            </w:r>
          </w:p>
        </w:tc>
      </w:tr>
      <w:tr w:rsidR="005B5474" w14:paraId="6D71071B" w14:textId="77777777">
        <w:trPr>
          <w:tblCellSpacing w:w="15" w:type="dxa"/>
        </w:trPr>
        <w:tc>
          <w:tcPr>
            <w:tcW w:w="1293" w:type="dxa"/>
            <w:vAlign w:val="center"/>
          </w:tcPr>
          <w:p w14:paraId="2A994B7E" w14:textId="77777777" w:rsidR="005B5474" w:rsidRDefault="0048423C">
            <w:pPr>
              <w:spacing w:line="240" w:lineRule="auto"/>
              <w:rPr>
                <w:sz w:val="22"/>
                <w:szCs w:val="22"/>
              </w:rPr>
            </w:pPr>
            <w:r>
              <w:rPr>
                <w:sz w:val="22"/>
                <w:szCs w:val="22"/>
              </w:rPr>
              <w:lastRenderedPageBreak/>
              <w:t>R2</w:t>
            </w:r>
          </w:p>
        </w:tc>
        <w:tc>
          <w:tcPr>
            <w:tcW w:w="2344" w:type="dxa"/>
            <w:vAlign w:val="center"/>
          </w:tcPr>
          <w:p w14:paraId="55F1E136" w14:textId="77777777" w:rsidR="005B5474" w:rsidRDefault="0048423C">
            <w:pPr>
              <w:spacing w:line="240" w:lineRule="auto"/>
              <w:rPr>
                <w:sz w:val="22"/>
                <w:szCs w:val="22"/>
              </w:rPr>
            </w:pPr>
            <w:r>
              <w:t>Misconfiguration of cloud exposing sensitive patient data.</w:t>
            </w:r>
          </w:p>
        </w:tc>
        <w:tc>
          <w:tcPr>
            <w:tcW w:w="1345" w:type="dxa"/>
            <w:vAlign w:val="center"/>
          </w:tcPr>
          <w:p w14:paraId="3B59B68D" w14:textId="77777777" w:rsidR="005B5474" w:rsidRDefault="0048423C">
            <w:pPr>
              <w:spacing w:line="240" w:lineRule="auto"/>
              <w:rPr>
                <w:sz w:val="22"/>
                <w:szCs w:val="22"/>
              </w:rPr>
            </w:pPr>
            <w:r>
              <w:rPr>
                <w:sz w:val="22"/>
                <w:szCs w:val="22"/>
              </w:rPr>
              <w:t>Cloud Security</w:t>
            </w:r>
          </w:p>
        </w:tc>
        <w:tc>
          <w:tcPr>
            <w:tcW w:w="1016" w:type="dxa"/>
            <w:vAlign w:val="center"/>
          </w:tcPr>
          <w:p w14:paraId="7BBD0235" w14:textId="77777777" w:rsidR="005B5474" w:rsidRDefault="0048423C">
            <w:pPr>
              <w:spacing w:line="240" w:lineRule="auto"/>
              <w:rPr>
                <w:sz w:val="22"/>
                <w:szCs w:val="22"/>
              </w:rPr>
            </w:pPr>
            <w:r>
              <w:rPr>
                <w:sz w:val="22"/>
                <w:szCs w:val="22"/>
              </w:rPr>
              <w:t>High</w:t>
            </w:r>
          </w:p>
        </w:tc>
        <w:tc>
          <w:tcPr>
            <w:tcW w:w="796" w:type="dxa"/>
            <w:vAlign w:val="center"/>
          </w:tcPr>
          <w:p w14:paraId="1D0A93EE" w14:textId="77777777" w:rsidR="005B5474" w:rsidRDefault="0048423C">
            <w:pPr>
              <w:spacing w:line="240" w:lineRule="auto"/>
              <w:rPr>
                <w:sz w:val="22"/>
                <w:szCs w:val="22"/>
              </w:rPr>
            </w:pPr>
            <w:r>
              <w:rPr>
                <w:sz w:val="22"/>
                <w:szCs w:val="22"/>
              </w:rPr>
              <w:t>High</w:t>
            </w:r>
          </w:p>
        </w:tc>
        <w:tc>
          <w:tcPr>
            <w:tcW w:w="818" w:type="dxa"/>
            <w:shd w:val="clear" w:color="auto" w:fill="FF0000"/>
            <w:vAlign w:val="center"/>
          </w:tcPr>
          <w:p w14:paraId="39D9E1DC" w14:textId="77777777" w:rsidR="005B5474" w:rsidRDefault="0048423C">
            <w:pPr>
              <w:spacing w:line="240" w:lineRule="auto"/>
              <w:rPr>
                <w:sz w:val="22"/>
                <w:szCs w:val="22"/>
              </w:rPr>
            </w:pPr>
            <w:r>
              <w:rPr>
                <w:sz w:val="22"/>
                <w:szCs w:val="22"/>
              </w:rPr>
              <w:t>High</w:t>
            </w:r>
          </w:p>
        </w:tc>
        <w:tc>
          <w:tcPr>
            <w:tcW w:w="2102" w:type="dxa"/>
            <w:vAlign w:val="center"/>
          </w:tcPr>
          <w:p w14:paraId="76BA8AF0" w14:textId="77777777" w:rsidR="005B5474" w:rsidRDefault="0048423C">
            <w:pPr>
              <w:spacing w:line="240" w:lineRule="auto"/>
              <w:rPr>
                <w:sz w:val="22"/>
                <w:szCs w:val="22"/>
              </w:rPr>
            </w:pPr>
            <w:r>
              <w:t>CSPM tools, Infrastructure-as-Code (</w:t>
            </w:r>
            <w:proofErr w:type="spellStart"/>
            <w:r>
              <w:t>IaC</w:t>
            </w:r>
            <w:proofErr w:type="spellEnd"/>
            <w:r>
              <w:t>) policies, automated compliance checks.</w:t>
            </w:r>
          </w:p>
        </w:tc>
      </w:tr>
      <w:tr w:rsidR="005B5474" w14:paraId="2CF86298" w14:textId="77777777">
        <w:trPr>
          <w:tblCellSpacing w:w="15" w:type="dxa"/>
        </w:trPr>
        <w:tc>
          <w:tcPr>
            <w:tcW w:w="1293" w:type="dxa"/>
            <w:vAlign w:val="center"/>
          </w:tcPr>
          <w:p w14:paraId="242A82A2" w14:textId="77777777" w:rsidR="005B5474" w:rsidRDefault="0048423C">
            <w:pPr>
              <w:spacing w:line="240" w:lineRule="auto"/>
              <w:rPr>
                <w:sz w:val="22"/>
                <w:szCs w:val="22"/>
              </w:rPr>
            </w:pPr>
            <w:r>
              <w:rPr>
                <w:sz w:val="22"/>
                <w:szCs w:val="22"/>
              </w:rPr>
              <w:t>R3</w:t>
            </w:r>
          </w:p>
        </w:tc>
        <w:tc>
          <w:tcPr>
            <w:tcW w:w="2344" w:type="dxa"/>
            <w:vAlign w:val="center"/>
          </w:tcPr>
          <w:p w14:paraId="0DE24304" w14:textId="77777777" w:rsidR="005B5474" w:rsidRDefault="0048423C">
            <w:pPr>
              <w:spacing w:line="240" w:lineRule="auto"/>
              <w:rPr>
                <w:sz w:val="22"/>
                <w:szCs w:val="22"/>
              </w:rPr>
            </w:pPr>
            <w:r>
              <w:t>Weak third-party AI and API dependencies.</w:t>
            </w:r>
          </w:p>
        </w:tc>
        <w:tc>
          <w:tcPr>
            <w:tcW w:w="1345" w:type="dxa"/>
            <w:vAlign w:val="center"/>
          </w:tcPr>
          <w:p w14:paraId="3C31B2D7" w14:textId="77777777" w:rsidR="005B5474" w:rsidRDefault="0048423C">
            <w:pPr>
              <w:spacing w:line="240" w:lineRule="auto"/>
              <w:rPr>
                <w:sz w:val="22"/>
                <w:szCs w:val="22"/>
              </w:rPr>
            </w:pPr>
            <w:r>
              <w:rPr>
                <w:sz w:val="22"/>
                <w:szCs w:val="22"/>
              </w:rPr>
              <w:t>Supply Chain</w:t>
            </w:r>
          </w:p>
        </w:tc>
        <w:tc>
          <w:tcPr>
            <w:tcW w:w="1016" w:type="dxa"/>
            <w:vAlign w:val="center"/>
          </w:tcPr>
          <w:p w14:paraId="59A6B965" w14:textId="77777777" w:rsidR="005B5474" w:rsidRDefault="0048423C">
            <w:pPr>
              <w:spacing w:line="240" w:lineRule="auto"/>
              <w:rPr>
                <w:sz w:val="22"/>
                <w:szCs w:val="22"/>
              </w:rPr>
            </w:pPr>
            <w:r>
              <w:rPr>
                <w:sz w:val="22"/>
                <w:szCs w:val="22"/>
              </w:rPr>
              <w:t>Medium</w:t>
            </w:r>
          </w:p>
        </w:tc>
        <w:tc>
          <w:tcPr>
            <w:tcW w:w="796" w:type="dxa"/>
            <w:vAlign w:val="center"/>
          </w:tcPr>
          <w:p w14:paraId="6C2348FB" w14:textId="77777777" w:rsidR="005B5474" w:rsidRDefault="0048423C">
            <w:pPr>
              <w:spacing w:line="240" w:lineRule="auto"/>
              <w:rPr>
                <w:sz w:val="22"/>
                <w:szCs w:val="22"/>
              </w:rPr>
            </w:pPr>
            <w:r>
              <w:rPr>
                <w:sz w:val="22"/>
                <w:szCs w:val="22"/>
              </w:rPr>
              <w:t>High</w:t>
            </w:r>
          </w:p>
        </w:tc>
        <w:tc>
          <w:tcPr>
            <w:tcW w:w="818" w:type="dxa"/>
            <w:shd w:val="clear" w:color="auto" w:fill="FF0000"/>
            <w:vAlign w:val="center"/>
          </w:tcPr>
          <w:p w14:paraId="20B3B79A" w14:textId="77777777" w:rsidR="005B5474" w:rsidRDefault="0048423C">
            <w:pPr>
              <w:spacing w:line="240" w:lineRule="auto"/>
              <w:rPr>
                <w:sz w:val="22"/>
                <w:szCs w:val="22"/>
              </w:rPr>
            </w:pPr>
            <w:r>
              <w:rPr>
                <w:sz w:val="22"/>
                <w:szCs w:val="22"/>
              </w:rPr>
              <w:t>High</w:t>
            </w:r>
          </w:p>
        </w:tc>
        <w:tc>
          <w:tcPr>
            <w:tcW w:w="2102" w:type="dxa"/>
            <w:vAlign w:val="center"/>
          </w:tcPr>
          <w:p w14:paraId="29975082" w14:textId="77777777" w:rsidR="005B5474" w:rsidRDefault="0048423C">
            <w:pPr>
              <w:spacing w:line="240" w:lineRule="auto"/>
              <w:rPr>
                <w:sz w:val="22"/>
                <w:szCs w:val="22"/>
              </w:rPr>
            </w:pPr>
            <w:r>
              <w:t>SBOM, dependency scanning, ongoing CI/CD vulnerability testing.</w:t>
            </w:r>
          </w:p>
        </w:tc>
      </w:tr>
      <w:tr w:rsidR="005B5474" w14:paraId="6010AD31" w14:textId="77777777">
        <w:trPr>
          <w:tblCellSpacing w:w="15" w:type="dxa"/>
        </w:trPr>
        <w:tc>
          <w:tcPr>
            <w:tcW w:w="1293" w:type="dxa"/>
            <w:vAlign w:val="center"/>
          </w:tcPr>
          <w:p w14:paraId="4FEB331D" w14:textId="77777777" w:rsidR="005B5474" w:rsidRDefault="0048423C">
            <w:pPr>
              <w:spacing w:line="240" w:lineRule="auto"/>
              <w:rPr>
                <w:sz w:val="22"/>
                <w:szCs w:val="22"/>
              </w:rPr>
            </w:pPr>
            <w:r>
              <w:rPr>
                <w:sz w:val="22"/>
                <w:szCs w:val="22"/>
              </w:rPr>
              <w:t>R4</w:t>
            </w:r>
          </w:p>
        </w:tc>
        <w:tc>
          <w:tcPr>
            <w:tcW w:w="2344" w:type="dxa"/>
            <w:vAlign w:val="center"/>
          </w:tcPr>
          <w:p w14:paraId="0D14CDD5" w14:textId="77777777" w:rsidR="005B5474" w:rsidRDefault="0048423C">
            <w:pPr>
              <w:spacing w:line="240" w:lineRule="auto"/>
              <w:rPr>
                <w:sz w:val="22"/>
                <w:szCs w:val="22"/>
              </w:rPr>
            </w:pPr>
            <w:r>
              <w:t>Encryption of AI models and source code by ransomware attack.</w:t>
            </w:r>
          </w:p>
        </w:tc>
        <w:tc>
          <w:tcPr>
            <w:tcW w:w="1345" w:type="dxa"/>
            <w:vAlign w:val="center"/>
          </w:tcPr>
          <w:p w14:paraId="7229263D" w14:textId="77777777" w:rsidR="005B5474" w:rsidRDefault="0048423C">
            <w:pPr>
              <w:spacing w:line="240" w:lineRule="auto"/>
              <w:rPr>
                <w:sz w:val="22"/>
                <w:szCs w:val="22"/>
              </w:rPr>
            </w:pPr>
            <w:r>
              <w:rPr>
                <w:sz w:val="22"/>
                <w:szCs w:val="22"/>
              </w:rPr>
              <w:t>Cybersecurity</w:t>
            </w:r>
          </w:p>
        </w:tc>
        <w:tc>
          <w:tcPr>
            <w:tcW w:w="1016" w:type="dxa"/>
            <w:vAlign w:val="center"/>
          </w:tcPr>
          <w:p w14:paraId="2FACE567" w14:textId="77777777" w:rsidR="005B5474" w:rsidRDefault="0048423C">
            <w:pPr>
              <w:spacing w:line="240" w:lineRule="auto"/>
              <w:rPr>
                <w:sz w:val="22"/>
                <w:szCs w:val="22"/>
              </w:rPr>
            </w:pPr>
            <w:r>
              <w:rPr>
                <w:sz w:val="22"/>
                <w:szCs w:val="22"/>
              </w:rPr>
              <w:t>Medium</w:t>
            </w:r>
          </w:p>
        </w:tc>
        <w:tc>
          <w:tcPr>
            <w:tcW w:w="796" w:type="dxa"/>
            <w:vAlign w:val="center"/>
          </w:tcPr>
          <w:p w14:paraId="16E961FC" w14:textId="77777777" w:rsidR="005B5474" w:rsidRDefault="0048423C">
            <w:pPr>
              <w:spacing w:line="240" w:lineRule="auto"/>
              <w:rPr>
                <w:sz w:val="22"/>
                <w:szCs w:val="22"/>
              </w:rPr>
            </w:pPr>
            <w:r>
              <w:rPr>
                <w:sz w:val="22"/>
                <w:szCs w:val="22"/>
              </w:rPr>
              <w:t>Critical</w:t>
            </w:r>
          </w:p>
        </w:tc>
        <w:tc>
          <w:tcPr>
            <w:tcW w:w="818" w:type="dxa"/>
            <w:shd w:val="clear" w:color="auto" w:fill="C00000"/>
            <w:vAlign w:val="center"/>
          </w:tcPr>
          <w:p w14:paraId="1260B18E" w14:textId="77777777" w:rsidR="005B5474" w:rsidRDefault="0048423C">
            <w:pPr>
              <w:spacing w:line="240" w:lineRule="auto"/>
              <w:rPr>
                <w:sz w:val="22"/>
                <w:szCs w:val="22"/>
              </w:rPr>
            </w:pPr>
            <w:r>
              <w:rPr>
                <w:sz w:val="22"/>
                <w:szCs w:val="22"/>
              </w:rPr>
              <w:t>Extreme</w:t>
            </w:r>
          </w:p>
        </w:tc>
        <w:tc>
          <w:tcPr>
            <w:tcW w:w="2102" w:type="dxa"/>
            <w:vAlign w:val="center"/>
          </w:tcPr>
          <w:p w14:paraId="2288401F" w14:textId="77777777" w:rsidR="005B5474" w:rsidRDefault="0048423C">
            <w:pPr>
              <w:spacing w:line="240" w:lineRule="auto"/>
              <w:rPr>
                <w:sz w:val="22"/>
                <w:szCs w:val="22"/>
              </w:rPr>
            </w:pPr>
            <w:r>
              <w:t>Unchangeable backups, DR plan, EDR + SIEM automated response.</w:t>
            </w:r>
          </w:p>
        </w:tc>
      </w:tr>
      <w:tr w:rsidR="005B5474" w14:paraId="56CBEA34" w14:textId="77777777">
        <w:trPr>
          <w:tblCellSpacing w:w="15" w:type="dxa"/>
        </w:trPr>
        <w:tc>
          <w:tcPr>
            <w:tcW w:w="1293" w:type="dxa"/>
            <w:vAlign w:val="center"/>
          </w:tcPr>
          <w:p w14:paraId="7AD11906" w14:textId="77777777" w:rsidR="005B5474" w:rsidRDefault="0048423C">
            <w:pPr>
              <w:spacing w:line="240" w:lineRule="auto"/>
              <w:rPr>
                <w:sz w:val="22"/>
                <w:szCs w:val="22"/>
              </w:rPr>
            </w:pPr>
            <w:r>
              <w:rPr>
                <w:sz w:val="22"/>
                <w:szCs w:val="22"/>
              </w:rPr>
              <w:t>R5</w:t>
            </w:r>
          </w:p>
        </w:tc>
        <w:tc>
          <w:tcPr>
            <w:tcW w:w="2344" w:type="dxa"/>
            <w:vAlign w:val="center"/>
          </w:tcPr>
          <w:p w14:paraId="42B9EE6B" w14:textId="77777777" w:rsidR="005B5474" w:rsidRDefault="0048423C">
            <w:pPr>
              <w:spacing w:line="240" w:lineRule="auto"/>
              <w:rPr>
                <w:sz w:val="22"/>
                <w:szCs w:val="22"/>
              </w:rPr>
            </w:pPr>
            <w:r>
              <w:t xml:space="preserve">Illegal access to information </w:t>
            </w:r>
            <w:proofErr w:type="gramStart"/>
            <w:r>
              <w:t>as a result of</w:t>
            </w:r>
            <w:proofErr w:type="gramEnd"/>
            <w:r>
              <w:t xml:space="preserve"> lax identity checks in hybrid workforce.</w:t>
            </w:r>
          </w:p>
        </w:tc>
        <w:tc>
          <w:tcPr>
            <w:tcW w:w="1345" w:type="dxa"/>
            <w:vAlign w:val="center"/>
          </w:tcPr>
          <w:p w14:paraId="71FC66CB" w14:textId="77777777" w:rsidR="005B5474" w:rsidRDefault="0048423C">
            <w:pPr>
              <w:spacing w:line="240" w:lineRule="auto"/>
              <w:rPr>
                <w:sz w:val="22"/>
                <w:szCs w:val="22"/>
              </w:rPr>
            </w:pPr>
            <w:r>
              <w:rPr>
                <w:sz w:val="22"/>
                <w:szCs w:val="22"/>
              </w:rPr>
              <w:t>Identity Security</w:t>
            </w:r>
          </w:p>
        </w:tc>
        <w:tc>
          <w:tcPr>
            <w:tcW w:w="1016" w:type="dxa"/>
            <w:vAlign w:val="center"/>
          </w:tcPr>
          <w:p w14:paraId="7B007779" w14:textId="77777777" w:rsidR="005B5474" w:rsidRDefault="0048423C">
            <w:pPr>
              <w:spacing w:line="240" w:lineRule="auto"/>
              <w:rPr>
                <w:sz w:val="22"/>
                <w:szCs w:val="22"/>
              </w:rPr>
            </w:pPr>
            <w:r>
              <w:rPr>
                <w:sz w:val="22"/>
                <w:szCs w:val="22"/>
              </w:rPr>
              <w:t>Medium</w:t>
            </w:r>
          </w:p>
        </w:tc>
        <w:tc>
          <w:tcPr>
            <w:tcW w:w="796" w:type="dxa"/>
            <w:vAlign w:val="center"/>
          </w:tcPr>
          <w:p w14:paraId="5BF4555E" w14:textId="77777777" w:rsidR="005B5474" w:rsidRDefault="0048423C">
            <w:pPr>
              <w:spacing w:line="240" w:lineRule="auto"/>
              <w:rPr>
                <w:sz w:val="22"/>
                <w:szCs w:val="22"/>
              </w:rPr>
            </w:pPr>
            <w:r>
              <w:rPr>
                <w:sz w:val="22"/>
                <w:szCs w:val="22"/>
              </w:rPr>
              <w:t>Medium</w:t>
            </w:r>
          </w:p>
        </w:tc>
        <w:tc>
          <w:tcPr>
            <w:tcW w:w="818" w:type="dxa"/>
            <w:shd w:val="clear" w:color="auto" w:fill="FFC000"/>
            <w:vAlign w:val="center"/>
          </w:tcPr>
          <w:p w14:paraId="477BCD17" w14:textId="77777777" w:rsidR="005B5474" w:rsidRDefault="0048423C">
            <w:pPr>
              <w:spacing w:line="240" w:lineRule="auto"/>
              <w:rPr>
                <w:sz w:val="22"/>
                <w:szCs w:val="22"/>
              </w:rPr>
            </w:pPr>
            <w:r>
              <w:rPr>
                <w:sz w:val="22"/>
                <w:szCs w:val="22"/>
              </w:rPr>
              <w:t>Medium</w:t>
            </w:r>
          </w:p>
        </w:tc>
        <w:tc>
          <w:tcPr>
            <w:tcW w:w="2102" w:type="dxa"/>
            <w:vAlign w:val="center"/>
          </w:tcPr>
          <w:p w14:paraId="7377D24E" w14:textId="77777777" w:rsidR="005B5474" w:rsidRDefault="0048423C">
            <w:pPr>
              <w:spacing w:line="240" w:lineRule="auto"/>
              <w:rPr>
                <w:sz w:val="22"/>
                <w:szCs w:val="22"/>
              </w:rPr>
            </w:pPr>
            <w:r>
              <w:t>Zero trust IAM, multifactor authentication that is phishing-resistant, least privilege.</w:t>
            </w:r>
          </w:p>
        </w:tc>
      </w:tr>
      <w:tr w:rsidR="005B5474" w14:paraId="7084CCA7" w14:textId="77777777">
        <w:trPr>
          <w:tblCellSpacing w:w="15" w:type="dxa"/>
        </w:trPr>
        <w:tc>
          <w:tcPr>
            <w:tcW w:w="1293" w:type="dxa"/>
            <w:vAlign w:val="center"/>
          </w:tcPr>
          <w:p w14:paraId="67E4AE12" w14:textId="77777777" w:rsidR="005B5474" w:rsidRDefault="0048423C">
            <w:pPr>
              <w:spacing w:line="240" w:lineRule="auto"/>
              <w:rPr>
                <w:sz w:val="22"/>
                <w:szCs w:val="22"/>
              </w:rPr>
            </w:pPr>
            <w:r>
              <w:rPr>
                <w:sz w:val="22"/>
                <w:szCs w:val="22"/>
              </w:rPr>
              <w:t>R6</w:t>
            </w:r>
          </w:p>
        </w:tc>
        <w:tc>
          <w:tcPr>
            <w:tcW w:w="2344" w:type="dxa"/>
            <w:vAlign w:val="center"/>
          </w:tcPr>
          <w:p w14:paraId="4AF6D8EE" w14:textId="77777777" w:rsidR="005B5474" w:rsidRDefault="0048423C">
            <w:pPr>
              <w:spacing w:line="240" w:lineRule="auto"/>
              <w:rPr>
                <w:sz w:val="22"/>
                <w:szCs w:val="22"/>
              </w:rPr>
            </w:pPr>
            <w:r>
              <w:t>Exploitation of API in microservices architecture.</w:t>
            </w:r>
          </w:p>
        </w:tc>
        <w:tc>
          <w:tcPr>
            <w:tcW w:w="1345" w:type="dxa"/>
            <w:vAlign w:val="center"/>
          </w:tcPr>
          <w:p w14:paraId="7AED0DFB" w14:textId="77777777" w:rsidR="005B5474" w:rsidRDefault="0048423C">
            <w:pPr>
              <w:spacing w:line="240" w:lineRule="auto"/>
              <w:rPr>
                <w:sz w:val="22"/>
                <w:szCs w:val="22"/>
              </w:rPr>
            </w:pPr>
            <w:r>
              <w:rPr>
                <w:sz w:val="22"/>
                <w:szCs w:val="22"/>
              </w:rPr>
              <w:t>Application Security</w:t>
            </w:r>
          </w:p>
        </w:tc>
        <w:tc>
          <w:tcPr>
            <w:tcW w:w="1016" w:type="dxa"/>
            <w:vAlign w:val="center"/>
          </w:tcPr>
          <w:p w14:paraId="733E491F" w14:textId="77777777" w:rsidR="005B5474" w:rsidRDefault="0048423C">
            <w:pPr>
              <w:spacing w:line="240" w:lineRule="auto"/>
              <w:rPr>
                <w:sz w:val="22"/>
                <w:szCs w:val="22"/>
              </w:rPr>
            </w:pPr>
            <w:r>
              <w:rPr>
                <w:sz w:val="22"/>
                <w:szCs w:val="22"/>
              </w:rPr>
              <w:t>Medium</w:t>
            </w:r>
          </w:p>
        </w:tc>
        <w:tc>
          <w:tcPr>
            <w:tcW w:w="796" w:type="dxa"/>
            <w:vAlign w:val="center"/>
          </w:tcPr>
          <w:p w14:paraId="37881CAE" w14:textId="77777777" w:rsidR="005B5474" w:rsidRDefault="0048423C">
            <w:pPr>
              <w:spacing w:line="240" w:lineRule="auto"/>
              <w:rPr>
                <w:sz w:val="22"/>
                <w:szCs w:val="22"/>
              </w:rPr>
            </w:pPr>
            <w:r>
              <w:rPr>
                <w:sz w:val="22"/>
                <w:szCs w:val="22"/>
              </w:rPr>
              <w:t>Medium</w:t>
            </w:r>
          </w:p>
        </w:tc>
        <w:tc>
          <w:tcPr>
            <w:tcW w:w="818" w:type="dxa"/>
            <w:shd w:val="clear" w:color="auto" w:fill="00B050"/>
            <w:vAlign w:val="center"/>
          </w:tcPr>
          <w:p w14:paraId="7BC100C5" w14:textId="77777777" w:rsidR="005B5474" w:rsidRDefault="0048423C">
            <w:pPr>
              <w:spacing w:line="240" w:lineRule="auto"/>
              <w:rPr>
                <w:sz w:val="22"/>
                <w:szCs w:val="22"/>
              </w:rPr>
            </w:pPr>
            <w:r>
              <w:rPr>
                <w:sz w:val="22"/>
                <w:szCs w:val="22"/>
              </w:rPr>
              <w:t>Low</w:t>
            </w:r>
          </w:p>
        </w:tc>
        <w:tc>
          <w:tcPr>
            <w:tcW w:w="2102" w:type="dxa"/>
            <w:vAlign w:val="center"/>
          </w:tcPr>
          <w:p w14:paraId="3647834C" w14:textId="77777777" w:rsidR="005B5474" w:rsidRDefault="0048423C">
            <w:pPr>
              <w:spacing w:line="240" w:lineRule="auto"/>
              <w:rPr>
                <w:sz w:val="22"/>
                <w:szCs w:val="22"/>
              </w:rPr>
            </w:pPr>
            <w:r>
              <w:t>Security of API gateway, authentication tokens, rate limiting, monitoring.</w:t>
            </w:r>
          </w:p>
        </w:tc>
      </w:tr>
    </w:tbl>
    <w:p w14:paraId="31AC1EE6" w14:textId="77777777" w:rsidR="005B5474" w:rsidRDefault="005B5474"/>
    <w:p w14:paraId="332A3DB0" w14:textId="77777777" w:rsidR="005B5474" w:rsidRDefault="0048423C">
      <w:proofErr w:type="spellStart"/>
      <w:r>
        <w:t>MediTrust</w:t>
      </w:r>
      <w:proofErr w:type="spellEnd"/>
      <w:r>
        <w:t xml:space="preserve"> should implement proactive and automated risk management </w:t>
      </w:r>
      <w:proofErr w:type="gramStart"/>
      <w:r>
        <w:t>in order to</w:t>
      </w:r>
      <w:proofErr w:type="gramEnd"/>
      <w:r>
        <w:t xml:space="preserve"> counter these risks. By adopting Software Bill of Materials (SBOM), the dependencies can be viewed fully, and constant dependency scanning will allow identifying vulnerabilities as early as possible. Security testing built into CI/CD enables timely remediation, which is aligned with the principles of </w:t>
      </w:r>
      <w:proofErr w:type="spellStart"/>
      <w:r>
        <w:t>DevSecOps</w:t>
      </w:r>
      <w:proofErr w:type="spellEnd"/>
      <w:r>
        <w:t xml:space="preserve"> of continuous validation and shift-left security testing [6].</w:t>
      </w:r>
    </w:p>
    <w:p w14:paraId="768D647F" w14:textId="77777777" w:rsidR="005B5474" w:rsidRDefault="0048423C">
      <w:r>
        <w:t xml:space="preserve">Moreover, the principles of Zero Trust should be extended to any external integrations, and there should be no implicit trust towards services of third parties. The API security governance and vendor risk assessments need to be implemented. In general, risk management should become a regular audit, which will transform into ongoing, automated, and intelligence-led tracking, within </w:t>
      </w:r>
      <w:proofErr w:type="spellStart"/>
      <w:r>
        <w:t>DevSecOps</w:t>
      </w:r>
      <w:proofErr w:type="spellEnd"/>
      <w:r>
        <w:t xml:space="preserve"> pipelines.</w:t>
      </w:r>
    </w:p>
    <w:p w14:paraId="29555AFE" w14:textId="77777777" w:rsidR="005B5474" w:rsidRDefault="0048423C">
      <w:pPr>
        <w:pStyle w:val="Heading2"/>
      </w:pPr>
      <w:bookmarkStart w:id="20" w:name="_Toc10876"/>
      <w:r>
        <w:t>7</w:t>
      </w:r>
      <w:r>
        <w:t>. Disaster Recovery (Ransomware Attacks Contingency Planning)</w:t>
      </w:r>
      <w:r>
        <w:t>:</w:t>
      </w:r>
      <w:bookmarkEnd w:id="20"/>
    </w:p>
    <w:p w14:paraId="4A9089AE" w14:textId="77777777" w:rsidR="005B5474" w:rsidRDefault="0048423C">
      <w:proofErr w:type="spellStart"/>
      <w:r>
        <w:t>MediTrust</w:t>
      </w:r>
      <w:proofErr w:type="spellEnd"/>
      <w:r>
        <w:t xml:space="preserve"> will have to create a robust Disaster Recovery (DR) plan to help it restore its operation after AI training datasets, and source code repository ransomware attacks. As </w:t>
      </w:r>
      <w:r>
        <w:lastRenderedPageBreak/>
        <w:t>healthcare AI systems are critical, downtime can directly impact patient safety and regulatory compliance. Therefore, DR planning should focus on high availability, rapid recovery and data integrity. Encrypted, versioned, geographically dispersed backups are one of the key components of the plan. These backups must be unalterable to avoid ra</w:t>
      </w:r>
      <w:r>
        <w:t xml:space="preserve">nsomware modifying or destroying recovery points. The consistent backup verification is to make sure that the data restored is complete and intact. </w:t>
      </w:r>
      <w:proofErr w:type="gramStart"/>
      <w:r>
        <w:t>DevOps</w:t>
      </w:r>
      <w:proofErr w:type="gramEnd"/>
      <w:r>
        <w:t xml:space="preserve"> studies focus on highlighting that operational maturity incorporates in-built recovery systems as components of continuous delivery systems and not individual disaster planning [</w:t>
      </w:r>
      <w:r>
        <w:t>9</w:t>
      </w:r>
      <w:r>
        <w:t>].</w:t>
      </w:r>
    </w:p>
    <w:p w14:paraId="25FEB606" w14:textId="77777777" w:rsidR="005B5474" w:rsidRDefault="0048423C">
      <w:r>
        <w:t>Immediate isolation of impacted systems, lateral movement containment, and forensic investigation to determine the attack vector should be part of incident response procedures in the case of a ransomware attack. The use of automated response systems like Endpoint Detection and Response (EDR) and Security Information and Event Management (SIEM) systems are essential in aiding to minimize the damage and response time [1].</w:t>
      </w:r>
      <w:r>
        <w:t xml:space="preserve"> </w:t>
      </w:r>
      <w:r>
        <w:t>Recovery goals should be well articulated using Recovery Time Objectives (RTO) and Recovery Point Objectives (RPO</w:t>
      </w:r>
      <w:proofErr w:type="gramStart"/>
      <w:r>
        <w:t>), and</w:t>
      </w:r>
      <w:proofErr w:type="gramEnd"/>
      <w:r>
        <w:t xml:space="preserve"> be aligned with the operation needs of healthcare where the downtime should be as low as possible. The integration of </w:t>
      </w:r>
      <w:proofErr w:type="spellStart"/>
      <w:r>
        <w:t>DevSecOps</w:t>
      </w:r>
      <w:proofErr w:type="spellEnd"/>
      <w:r>
        <w:t xml:space="preserve"> also helps to increase </w:t>
      </w:r>
      <w:proofErr w:type="gramStart"/>
      <w:r>
        <w:t>the resilience</w:t>
      </w:r>
      <w:proofErr w:type="gramEnd"/>
      <w:r>
        <w:t xml:space="preserve"> and introduce recovery testing into CI/CD pipelines to simulate a ransomware situation on a regular basis.</w:t>
      </w:r>
    </w:p>
    <w:p w14:paraId="3799C78B" w14:textId="77777777" w:rsidR="005B5474" w:rsidRDefault="0048423C">
      <w:r>
        <w:t xml:space="preserve">The studies indicate that companies that have embraced combined </w:t>
      </w:r>
      <w:proofErr w:type="spellStart"/>
      <w:r>
        <w:t>DevSecOps</w:t>
      </w:r>
      <w:proofErr w:type="spellEnd"/>
      <w:r>
        <w:t xml:space="preserve"> and operational procedures are quicker to recuperate because of constant system validation and enhanced cooperation between development and operations teams [9]. Thus, the DR strategy of </w:t>
      </w:r>
      <w:proofErr w:type="spellStart"/>
      <w:r>
        <w:t>MediTrust</w:t>
      </w:r>
      <w:proofErr w:type="spellEnd"/>
      <w:r>
        <w:t xml:space="preserve"> should develop into a continuously tested, automated and cloud-resilient recovery ecosystem.</w:t>
      </w:r>
    </w:p>
    <w:p w14:paraId="2188DE4A" w14:textId="77777777" w:rsidR="005B5474" w:rsidRDefault="0048423C">
      <w:pPr>
        <w:pStyle w:val="Heading2"/>
      </w:pPr>
      <w:bookmarkStart w:id="21" w:name="_Toc14002"/>
      <w:r>
        <w:t>8. Protection Mechanisms (Zero Trust Security Controls</w:t>
      </w:r>
      <w:r>
        <w:t>):</w:t>
      </w:r>
      <w:bookmarkEnd w:id="21"/>
    </w:p>
    <w:p w14:paraId="1AC4789A" w14:textId="77777777" w:rsidR="005B5474" w:rsidRDefault="0048423C">
      <w:r>
        <w:t xml:space="preserve">To secure its AI-based healthcare platforms, </w:t>
      </w:r>
      <w:proofErr w:type="spellStart"/>
      <w:r>
        <w:t>MediTrust</w:t>
      </w:r>
      <w:proofErr w:type="spellEnd"/>
      <w:r>
        <w:t xml:space="preserve"> requires a new, multi-layered security strategy based on the principles of the Zero Trust architecture. Zero trust assumes that no user, device, system, can be trusted in the default and either outer or inner network perimeter. This is needed in multi-cloud, hybrid environments where perimeter security is no longer viable. Cloud Security Posture Management (CSPM) is a major security measure that oversees and cures the misconfigurations to the cloud environments. The Siem systems provide central vi</w:t>
      </w:r>
      <w:r>
        <w:t xml:space="preserve">sibility and correlation of security logs and detection of anomalies in real time. At the device level, the threats can be contained through Endpoint Detection and Response (EDR) tools that are programmed to respond to the threats in real-time. Moreover, Multi-Factor </w:t>
      </w:r>
      <w:r>
        <w:lastRenderedPageBreak/>
        <w:t>Authentication, which is a phishing-resistant authentication method, such as FIDO2-based authentication, helps improve the protection of identities against attacks related to credentials.</w:t>
      </w:r>
    </w:p>
    <w:p w14:paraId="7E537CDD" w14:textId="77777777" w:rsidR="005B5474" w:rsidRDefault="0048423C">
      <w:pPr>
        <w:pStyle w:val="Heading3"/>
        <w:rPr>
          <w:b w:val="0"/>
        </w:rPr>
      </w:pPr>
      <w:bookmarkStart w:id="22" w:name="_Toc22028"/>
      <w:r>
        <w:rPr>
          <w:rStyle w:val="Strong"/>
          <w:b/>
        </w:rPr>
        <w:t xml:space="preserve">Table 3: </w:t>
      </w:r>
      <w:r>
        <w:rPr>
          <w:rStyle w:val="Strong"/>
          <w:bCs w:val="0"/>
        </w:rPr>
        <w:t>Recommended Security Controls</w:t>
      </w:r>
      <w:bookmarkEnd w:id="22"/>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1356"/>
        <w:gridCol w:w="2680"/>
        <w:gridCol w:w="3655"/>
      </w:tblGrid>
      <w:tr w:rsidR="005B5474" w14:paraId="2C7AB3C7" w14:textId="77777777">
        <w:trPr>
          <w:trHeight w:val="297"/>
          <w:tblHeader/>
          <w:tblCellSpacing w:w="15" w:type="dxa"/>
          <w:jc w:val="center"/>
        </w:trPr>
        <w:tc>
          <w:tcPr>
            <w:tcW w:w="0" w:type="auto"/>
            <w:vAlign w:val="center"/>
          </w:tcPr>
          <w:p w14:paraId="63EA3114" w14:textId="77777777" w:rsidR="005B5474" w:rsidRDefault="0048423C">
            <w:pPr>
              <w:spacing w:line="240" w:lineRule="auto"/>
              <w:jc w:val="center"/>
              <w:rPr>
                <w:rFonts w:cs="Times New Roman"/>
                <w:b/>
                <w:bCs/>
                <w:szCs w:val="24"/>
              </w:rPr>
            </w:pPr>
            <w:r>
              <w:rPr>
                <w:rFonts w:cs="Times New Roman"/>
                <w:b/>
                <w:bCs/>
                <w:szCs w:val="24"/>
              </w:rPr>
              <w:t>Category</w:t>
            </w:r>
          </w:p>
        </w:tc>
        <w:tc>
          <w:tcPr>
            <w:tcW w:w="0" w:type="auto"/>
            <w:vAlign w:val="center"/>
          </w:tcPr>
          <w:p w14:paraId="2A69C3C7" w14:textId="77777777" w:rsidR="005B5474" w:rsidRDefault="0048423C">
            <w:pPr>
              <w:spacing w:line="240" w:lineRule="auto"/>
              <w:jc w:val="center"/>
              <w:rPr>
                <w:rFonts w:cs="Times New Roman"/>
                <w:b/>
                <w:bCs/>
                <w:szCs w:val="24"/>
              </w:rPr>
            </w:pPr>
            <w:r>
              <w:rPr>
                <w:rFonts w:cs="Times New Roman"/>
                <w:b/>
                <w:bCs/>
                <w:szCs w:val="24"/>
              </w:rPr>
              <w:t>Technology</w:t>
            </w:r>
          </w:p>
        </w:tc>
        <w:tc>
          <w:tcPr>
            <w:tcW w:w="0" w:type="auto"/>
            <w:vAlign w:val="center"/>
          </w:tcPr>
          <w:p w14:paraId="36887845" w14:textId="77777777" w:rsidR="005B5474" w:rsidRDefault="0048423C">
            <w:pPr>
              <w:spacing w:line="240" w:lineRule="auto"/>
              <w:jc w:val="center"/>
              <w:rPr>
                <w:rFonts w:cs="Times New Roman"/>
                <w:b/>
                <w:bCs/>
                <w:szCs w:val="24"/>
              </w:rPr>
            </w:pPr>
            <w:r>
              <w:rPr>
                <w:rFonts w:cs="Times New Roman"/>
                <w:b/>
                <w:bCs/>
                <w:szCs w:val="24"/>
              </w:rPr>
              <w:t>Purpose</w:t>
            </w:r>
          </w:p>
        </w:tc>
      </w:tr>
      <w:tr w:rsidR="005B5474" w14:paraId="5B3D4DEB" w14:textId="77777777">
        <w:trPr>
          <w:trHeight w:val="401"/>
          <w:tblCellSpacing w:w="15" w:type="dxa"/>
          <w:jc w:val="center"/>
        </w:trPr>
        <w:tc>
          <w:tcPr>
            <w:tcW w:w="0" w:type="auto"/>
            <w:vAlign w:val="center"/>
          </w:tcPr>
          <w:p w14:paraId="7A4FA26B" w14:textId="77777777" w:rsidR="005B5474" w:rsidRDefault="0048423C">
            <w:pPr>
              <w:spacing w:line="240" w:lineRule="auto"/>
              <w:jc w:val="left"/>
              <w:rPr>
                <w:rFonts w:cs="Times New Roman"/>
                <w:szCs w:val="24"/>
              </w:rPr>
            </w:pPr>
            <w:r>
              <w:rPr>
                <w:rFonts w:cs="Times New Roman"/>
                <w:szCs w:val="24"/>
              </w:rPr>
              <w:t>CSPM</w:t>
            </w:r>
          </w:p>
        </w:tc>
        <w:tc>
          <w:tcPr>
            <w:tcW w:w="0" w:type="auto"/>
            <w:vAlign w:val="center"/>
          </w:tcPr>
          <w:p w14:paraId="5C16EDDD" w14:textId="77777777" w:rsidR="005B5474" w:rsidRDefault="0048423C">
            <w:pPr>
              <w:spacing w:line="240" w:lineRule="auto"/>
              <w:jc w:val="left"/>
              <w:rPr>
                <w:rFonts w:cs="Times New Roman"/>
                <w:szCs w:val="24"/>
              </w:rPr>
            </w:pPr>
            <w:r>
              <w:rPr>
                <w:rFonts w:cs="Times New Roman"/>
                <w:szCs w:val="24"/>
              </w:rPr>
              <w:t>Wiz / Prisma Cloud</w:t>
            </w:r>
          </w:p>
        </w:tc>
        <w:tc>
          <w:tcPr>
            <w:tcW w:w="0" w:type="auto"/>
            <w:vAlign w:val="center"/>
          </w:tcPr>
          <w:p w14:paraId="76B00F06" w14:textId="77777777" w:rsidR="005B5474" w:rsidRDefault="0048423C">
            <w:pPr>
              <w:spacing w:line="240" w:lineRule="auto"/>
              <w:jc w:val="left"/>
              <w:rPr>
                <w:rFonts w:cs="Times New Roman"/>
                <w:szCs w:val="24"/>
              </w:rPr>
            </w:pPr>
            <w:r>
              <w:t>Posture monitoring of cloud security.</w:t>
            </w:r>
          </w:p>
        </w:tc>
      </w:tr>
      <w:tr w:rsidR="005B5474" w14:paraId="6A189EBA" w14:textId="77777777">
        <w:trPr>
          <w:trHeight w:val="401"/>
          <w:tblCellSpacing w:w="15" w:type="dxa"/>
          <w:jc w:val="center"/>
        </w:trPr>
        <w:tc>
          <w:tcPr>
            <w:tcW w:w="0" w:type="auto"/>
            <w:vAlign w:val="center"/>
          </w:tcPr>
          <w:p w14:paraId="59E30A35" w14:textId="77777777" w:rsidR="005B5474" w:rsidRDefault="0048423C">
            <w:pPr>
              <w:spacing w:line="240" w:lineRule="auto"/>
              <w:jc w:val="left"/>
              <w:rPr>
                <w:rFonts w:cs="Times New Roman"/>
                <w:szCs w:val="24"/>
              </w:rPr>
            </w:pPr>
            <w:r>
              <w:rPr>
                <w:rFonts w:cs="Times New Roman"/>
                <w:szCs w:val="24"/>
              </w:rPr>
              <w:t>SIEM</w:t>
            </w:r>
          </w:p>
        </w:tc>
        <w:tc>
          <w:tcPr>
            <w:tcW w:w="0" w:type="auto"/>
            <w:vAlign w:val="center"/>
          </w:tcPr>
          <w:p w14:paraId="760B8B49" w14:textId="77777777" w:rsidR="005B5474" w:rsidRDefault="0048423C">
            <w:pPr>
              <w:spacing w:line="240" w:lineRule="auto"/>
              <w:jc w:val="left"/>
              <w:rPr>
                <w:rFonts w:cs="Times New Roman"/>
                <w:szCs w:val="24"/>
              </w:rPr>
            </w:pPr>
            <w:r>
              <w:rPr>
                <w:rFonts w:cs="Times New Roman"/>
                <w:szCs w:val="24"/>
              </w:rPr>
              <w:t>Splunk / Sentinel</w:t>
            </w:r>
          </w:p>
        </w:tc>
        <w:tc>
          <w:tcPr>
            <w:tcW w:w="0" w:type="auto"/>
            <w:vAlign w:val="center"/>
          </w:tcPr>
          <w:p w14:paraId="33EB6F46" w14:textId="77777777" w:rsidR="005B5474" w:rsidRDefault="0048423C">
            <w:pPr>
              <w:spacing w:line="240" w:lineRule="auto"/>
              <w:jc w:val="left"/>
              <w:rPr>
                <w:rFonts w:cs="Times New Roman"/>
                <w:szCs w:val="24"/>
              </w:rPr>
            </w:pPr>
            <w:r>
              <w:t>Log analysis</w:t>
            </w:r>
          </w:p>
        </w:tc>
      </w:tr>
      <w:tr w:rsidR="005B5474" w14:paraId="11578535" w14:textId="77777777">
        <w:trPr>
          <w:trHeight w:val="401"/>
          <w:tblCellSpacing w:w="15" w:type="dxa"/>
          <w:jc w:val="center"/>
        </w:trPr>
        <w:tc>
          <w:tcPr>
            <w:tcW w:w="0" w:type="auto"/>
            <w:vAlign w:val="center"/>
          </w:tcPr>
          <w:p w14:paraId="4D8E3EA7" w14:textId="77777777" w:rsidR="005B5474" w:rsidRDefault="0048423C">
            <w:pPr>
              <w:spacing w:line="240" w:lineRule="auto"/>
              <w:jc w:val="left"/>
              <w:rPr>
                <w:rFonts w:cs="Times New Roman"/>
                <w:szCs w:val="24"/>
              </w:rPr>
            </w:pPr>
            <w:r>
              <w:rPr>
                <w:rFonts w:cs="Times New Roman"/>
                <w:szCs w:val="24"/>
              </w:rPr>
              <w:t>SOAR</w:t>
            </w:r>
          </w:p>
        </w:tc>
        <w:tc>
          <w:tcPr>
            <w:tcW w:w="0" w:type="auto"/>
            <w:vAlign w:val="center"/>
          </w:tcPr>
          <w:p w14:paraId="65067AE3" w14:textId="77777777" w:rsidR="005B5474" w:rsidRDefault="0048423C">
            <w:pPr>
              <w:spacing w:line="240" w:lineRule="auto"/>
              <w:jc w:val="left"/>
              <w:rPr>
                <w:rFonts w:cs="Times New Roman"/>
                <w:szCs w:val="24"/>
              </w:rPr>
            </w:pPr>
            <w:r>
              <w:rPr>
                <w:rFonts w:cs="Times New Roman"/>
                <w:szCs w:val="24"/>
              </w:rPr>
              <w:t>Cortex XSOAR</w:t>
            </w:r>
          </w:p>
        </w:tc>
        <w:tc>
          <w:tcPr>
            <w:tcW w:w="0" w:type="auto"/>
            <w:vAlign w:val="center"/>
          </w:tcPr>
          <w:p w14:paraId="44A537B9" w14:textId="77777777" w:rsidR="005B5474" w:rsidRDefault="0048423C">
            <w:pPr>
              <w:spacing w:line="240" w:lineRule="auto"/>
              <w:jc w:val="left"/>
              <w:rPr>
                <w:rFonts w:cs="Times New Roman"/>
                <w:szCs w:val="24"/>
              </w:rPr>
            </w:pPr>
            <w:r>
              <w:t>Automated incident response</w:t>
            </w:r>
          </w:p>
        </w:tc>
      </w:tr>
      <w:tr w:rsidR="005B5474" w14:paraId="5C52D51A" w14:textId="77777777">
        <w:trPr>
          <w:trHeight w:val="401"/>
          <w:tblCellSpacing w:w="15" w:type="dxa"/>
          <w:jc w:val="center"/>
        </w:trPr>
        <w:tc>
          <w:tcPr>
            <w:tcW w:w="0" w:type="auto"/>
            <w:vAlign w:val="center"/>
          </w:tcPr>
          <w:p w14:paraId="659E034A" w14:textId="77777777" w:rsidR="005B5474" w:rsidRDefault="0048423C">
            <w:pPr>
              <w:spacing w:line="240" w:lineRule="auto"/>
              <w:jc w:val="left"/>
              <w:rPr>
                <w:rFonts w:cs="Times New Roman"/>
                <w:szCs w:val="24"/>
              </w:rPr>
            </w:pPr>
            <w:r>
              <w:rPr>
                <w:rFonts w:cs="Times New Roman"/>
                <w:szCs w:val="24"/>
              </w:rPr>
              <w:t>EDR</w:t>
            </w:r>
          </w:p>
        </w:tc>
        <w:tc>
          <w:tcPr>
            <w:tcW w:w="0" w:type="auto"/>
            <w:vAlign w:val="center"/>
          </w:tcPr>
          <w:p w14:paraId="79F12132" w14:textId="77777777" w:rsidR="005B5474" w:rsidRDefault="0048423C">
            <w:pPr>
              <w:spacing w:line="240" w:lineRule="auto"/>
              <w:jc w:val="left"/>
              <w:rPr>
                <w:rFonts w:cs="Times New Roman"/>
                <w:szCs w:val="24"/>
              </w:rPr>
            </w:pPr>
            <w:r>
              <w:rPr>
                <w:rFonts w:cs="Times New Roman"/>
                <w:szCs w:val="24"/>
              </w:rPr>
              <w:t>CrowdStrike</w:t>
            </w:r>
          </w:p>
        </w:tc>
        <w:tc>
          <w:tcPr>
            <w:tcW w:w="0" w:type="auto"/>
            <w:vAlign w:val="center"/>
          </w:tcPr>
          <w:p w14:paraId="329369E9" w14:textId="77777777" w:rsidR="005B5474" w:rsidRDefault="0048423C">
            <w:pPr>
              <w:spacing w:line="240" w:lineRule="auto"/>
              <w:jc w:val="left"/>
              <w:rPr>
                <w:rFonts w:cs="Times New Roman"/>
                <w:szCs w:val="24"/>
              </w:rPr>
            </w:pPr>
            <w:r>
              <w:t>Endpoint protection</w:t>
            </w:r>
          </w:p>
        </w:tc>
      </w:tr>
      <w:tr w:rsidR="005B5474" w14:paraId="5E93DC82" w14:textId="77777777">
        <w:trPr>
          <w:trHeight w:val="401"/>
          <w:tblCellSpacing w:w="15" w:type="dxa"/>
          <w:jc w:val="center"/>
        </w:trPr>
        <w:tc>
          <w:tcPr>
            <w:tcW w:w="0" w:type="auto"/>
            <w:vAlign w:val="center"/>
          </w:tcPr>
          <w:p w14:paraId="70C62EE5" w14:textId="77777777" w:rsidR="005B5474" w:rsidRDefault="0048423C">
            <w:pPr>
              <w:spacing w:line="240" w:lineRule="auto"/>
              <w:jc w:val="left"/>
              <w:rPr>
                <w:rFonts w:cs="Times New Roman"/>
                <w:szCs w:val="24"/>
              </w:rPr>
            </w:pPr>
            <w:r>
              <w:rPr>
                <w:rFonts w:cs="Times New Roman"/>
                <w:szCs w:val="24"/>
              </w:rPr>
              <w:t>IAM</w:t>
            </w:r>
          </w:p>
        </w:tc>
        <w:tc>
          <w:tcPr>
            <w:tcW w:w="0" w:type="auto"/>
            <w:vAlign w:val="center"/>
          </w:tcPr>
          <w:p w14:paraId="7E01E8F8" w14:textId="77777777" w:rsidR="005B5474" w:rsidRDefault="0048423C">
            <w:pPr>
              <w:spacing w:line="240" w:lineRule="auto"/>
              <w:jc w:val="left"/>
              <w:rPr>
                <w:rFonts w:cs="Times New Roman"/>
                <w:szCs w:val="24"/>
              </w:rPr>
            </w:pPr>
            <w:r>
              <w:rPr>
                <w:rFonts w:cs="Times New Roman"/>
                <w:szCs w:val="24"/>
              </w:rPr>
              <w:t>Okta / Azure AD</w:t>
            </w:r>
          </w:p>
        </w:tc>
        <w:tc>
          <w:tcPr>
            <w:tcW w:w="0" w:type="auto"/>
            <w:vAlign w:val="center"/>
          </w:tcPr>
          <w:p w14:paraId="2A5373F2" w14:textId="77777777" w:rsidR="005B5474" w:rsidRDefault="0048423C">
            <w:pPr>
              <w:spacing w:line="240" w:lineRule="auto"/>
              <w:jc w:val="left"/>
              <w:rPr>
                <w:rFonts w:cs="Times New Roman"/>
                <w:szCs w:val="24"/>
              </w:rPr>
            </w:pPr>
            <w:r>
              <w:t>Identity management</w:t>
            </w:r>
          </w:p>
        </w:tc>
      </w:tr>
      <w:tr w:rsidR="005B5474" w14:paraId="0F9F2CAE" w14:textId="77777777">
        <w:trPr>
          <w:trHeight w:val="401"/>
          <w:tblCellSpacing w:w="15" w:type="dxa"/>
          <w:jc w:val="center"/>
        </w:trPr>
        <w:tc>
          <w:tcPr>
            <w:tcW w:w="0" w:type="auto"/>
            <w:vAlign w:val="center"/>
          </w:tcPr>
          <w:p w14:paraId="697F6002" w14:textId="77777777" w:rsidR="005B5474" w:rsidRDefault="0048423C">
            <w:pPr>
              <w:spacing w:line="240" w:lineRule="auto"/>
              <w:jc w:val="left"/>
              <w:rPr>
                <w:rFonts w:cs="Times New Roman"/>
                <w:szCs w:val="24"/>
              </w:rPr>
            </w:pPr>
            <w:r>
              <w:rPr>
                <w:rFonts w:cs="Times New Roman"/>
                <w:szCs w:val="24"/>
              </w:rPr>
              <w:t>MFA</w:t>
            </w:r>
          </w:p>
        </w:tc>
        <w:tc>
          <w:tcPr>
            <w:tcW w:w="0" w:type="auto"/>
            <w:vAlign w:val="center"/>
          </w:tcPr>
          <w:p w14:paraId="5693256F" w14:textId="77777777" w:rsidR="005B5474" w:rsidRDefault="0048423C">
            <w:pPr>
              <w:spacing w:line="240" w:lineRule="auto"/>
              <w:jc w:val="left"/>
              <w:rPr>
                <w:rFonts w:cs="Times New Roman"/>
                <w:szCs w:val="24"/>
              </w:rPr>
            </w:pPr>
            <w:r>
              <w:rPr>
                <w:rFonts w:cs="Times New Roman"/>
                <w:szCs w:val="24"/>
              </w:rPr>
              <w:t>FIDO2 keys</w:t>
            </w:r>
          </w:p>
        </w:tc>
        <w:tc>
          <w:tcPr>
            <w:tcW w:w="0" w:type="auto"/>
            <w:vAlign w:val="center"/>
          </w:tcPr>
          <w:p w14:paraId="66100510" w14:textId="77777777" w:rsidR="005B5474" w:rsidRDefault="0048423C">
            <w:pPr>
              <w:spacing w:line="240" w:lineRule="auto"/>
              <w:jc w:val="left"/>
              <w:rPr>
                <w:rFonts w:cs="Times New Roman"/>
                <w:szCs w:val="24"/>
              </w:rPr>
            </w:pPr>
            <w:r>
              <w:t>Phishing-resistant authentication</w:t>
            </w:r>
          </w:p>
        </w:tc>
      </w:tr>
      <w:tr w:rsidR="005B5474" w14:paraId="203EBC0B" w14:textId="77777777">
        <w:trPr>
          <w:trHeight w:val="401"/>
          <w:tblCellSpacing w:w="15" w:type="dxa"/>
          <w:jc w:val="center"/>
        </w:trPr>
        <w:tc>
          <w:tcPr>
            <w:tcW w:w="0" w:type="auto"/>
            <w:vAlign w:val="center"/>
          </w:tcPr>
          <w:p w14:paraId="6881B7F8" w14:textId="77777777" w:rsidR="005B5474" w:rsidRDefault="0048423C">
            <w:pPr>
              <w:spacing w:line="240" w:lineRule="auto"/>
              <w:jc w:val="left"/>
              <w:rPr>
                <w:rFonts w:cs="Times New Roman"/>
                <w:szCs w:val="24"/>
              </w:rPr>
            </w:pPr>
            <w:r>
              <w:rPr>
                <w:rFonts w:cs="Times New Roman"/>
                <w:szCs w:val="24"/>
              </w:rPr>
              <w:t>SAST/DAST</w:t>
            </w:r>
          </w:p>
        </w:tc>
        <w:tc>
          <w:tcPr>
            <w:tcW w:w="0" w:type="auto"/>
            <w:vAlign w:val="center"/>
          </w:tcPr>
          <w:p w14:paraId="537B9E1A" w14:textId="77777777" w:rsidR="005B5474" w:rsidRDefault="0048423C">
            <w:pPr>
              <w:spacing w:line="240" w:lineRule="auto"/>
              <w:jc w:val="left"/>
              <w:rPr>
                <w:rFonts w:cs="Times New Roman"/>
                <w:szCs w:val="24"/>
              </w:rPr>
            </w:pPr>
            <w:r>
              <w:rPr>
                <w:rFonts w:cs="Times New Roman"/>
                <w:szCs w:val="24"/>
              </w:rPr>
              <w:t>SonarQube / OWASP ZAP</w:t>
            </w:r>
          </w:p>
        </w:tc>
        <w:tc>
          <w:tcPr>
            <w:tcW w:w="0" w:type="auto"/>
            <w:vAlign w:val="center"/>
          </w:tcPr>
          <w:p w14:paraId="486D32B2" w14:textId="77777777" w:rsidR="005B5474" w:rsidRDefault="0048423C">
            <w:pPr>
              <w:spacing w:line="240" w:lineRule="auto"/>
              <w:jc w:val="left"/>
              <w:rPr>
                <w:rFonts w:cs="Times New Roman"/>
                <w:szCs w:val="24"/>
              </w:rPr>
            </w:pPr>
            <w:r>
              <w:t>Code security testing</w:t>
            </w:r>
          </w:p>
        </w:tc>
      </w:tr>
      <w:tr w:rsidR="005B5474" w14:paraId="11E7DDFE" w14:textId="77777777">
        <w:trPr>
          <w:trHeight w:val="413"/>
          <w:tblCellSpacing w:w="15" w:type="dxa"/>
          <w:jc w:val="center"/>
        </w:trPr>
        <w:tc>
          <w:tcPr>
            <w:tcW w:w="0" w:type="auto"/>
            <w:vAlign w:val="center"/>
          </w:tcPr>
          <w:p w14:paraId="21C0C29F" w14:textId="77777777" w:rsidR="005B5474" w:rsidRDefault="0048423C">
            <w:pPr>
              <w:spacing w:line="240" w:lineRule="auto"/>
              <w:jc w:val="left"/>
              <w:rPr>
                <w:rFonts w:cs="Times New Roman"/>
                <w:szCs w:val="24"/>
              </w:rPr>
            </w:pPr>
            <w:r>
              <w:rPr>
                <w:rFonts w:cs="Times New Roman"/>
                <w:szCs w:val="24"/>
              </w:rPr>
              <w:t>SBOM</w:t>
            </w:r>
          </w:p>
        </w:tc>
        <w:tc>
          <w:tcPr>
            <w:tcW w:w="0" w:type="auto"/>
            <w:vAlign w:val="center"/>
          </w:tcPr>
          <w:p w14:paraId="7AF71251" w14:textId="77777777" w:rsidR="005B5474" w:rsidRDefault="0048423C">
            <w:pPr>
              <w:spacing w:line="240" w:lineRule="auto"/>
              <w:jc w:val="left"/>
              <w:rPr>
                <w:rFonts w:cs="Times New Roman"/>
                <w:szCs w:val="24"/>
              </w:rPr>
            </w:pPr>
            <w:proofErr w:type="spellStart"/>
            <w:r>
              <w:rPr>
                <w:rFonts w:cs="Times New Roman"/>
                <w:szCs w:val="24"/>
              </w:rPr>
              <w:t>Syft</w:t>
            </w:r>
            <w:proofErr w:type="spellEnd"/>
            <w:r>
              <w:rPr>
                <w:rFonts w:cs="Times New Roman"/>
                <w:szCs w:val="24"/>
              </w:rPr>
              <w:t xml:space="preserve"> / SPDX</w:t>
            </w:r>
          </w:p>
        </w:tc>
        <w:tc>
          <w:tcPr>
            <w:tcW w:w="0" w:type="auto"/>
            <w:vAlign w:val="center"/>
          </w:tcPr>
          <w:p w14:paraId="7386B558" w14:textId="77777777" w:rsidR="005B5474" w:rsidRDefault="0048423C">
            <w:pPr>
              <w:spacing w:line="240" w:lineRule="auto"/>
              <w:jc w:val="left"/>
              <w:rPr>
                <w:rFonts w:cs="Times New Roman"/>
                <w:szCs w:val="24"/>
              </w:rPr>
            </w:pPr>
            <w:r>
              <w:t>Supply chain visibility</w:t>
            </w:r>
          </w:p>
        </w:tc>
      </w:tr>
    </w:tbl>
    <w:p w14:paraId="073C17D8" w14:textId="77777777" w:rsidR="005B5474" w:rsidRDefault="005B5474"/>
    <w:p w14:paraId="276B6049" w14:textId="77777777" w:rsidR="005B5474" w:rsidRDefault="0048423C">
      <w:r>
        <w:t xml:space="preserve">The </w:t>
      </w:r>
      <w:proofErr w:type="spellStart"/>
      <w:r>
        <w:t>DevSecOps</w:t>
      </w:r>
      <w:proofErr w:type="spellEnd"/>
      <w:r>
        <w:t xml:space="preserve"> studies highlight that it is necessary to integrate the automated security mechanisms throughout the CI/CD pipelines to ensure that the threat detection and prevention are upheld [6]. Zero Trust will put identity and access administration as the main level of enforcement that will ensure strict authentication, least privileged access, and continuous verification of users and services. Other protection mechanisms may include API security gateways, workload isolation, using container security policy</w:t>
      </w:r>
      <w:r>
        <w:t xml:space="preserve">, and continuous vulnerability scanning of open-source dependencies. These are the defenses required </w:t>
      </w:r>
      <w:proofErr w:type="gramStart"/>
      <w:r>
        <w:t>in order to</w:t>
      </w:r>
      <w:proofErr w:type="gramEnd"/>
      <w:r>
        <w:t xml:space="preserve"> protect microservice-based architectures that are often used in AI systems.</w:t>
      </w:r>
    </w:p>
    <w:p w14:paraId="5D598771" w14:textId="77777777" w:rsidR="005B5474" w:rsidRDefault="0048423C">
      <w:r>
        <w:t xml:space="preserve">However, there is also a warning by the studies that excessive reliance on tools of poor governance can result in operational blind spots. Therefore, </w:t>
      </w:r>
      <w:proofErr w:type="spellStart"/>
      <w:r>
        <w:t>MediTrust</w:t>
      </w:r>
      <w:proofErr w:type="spellEnd"/>
      <w:r>
        <w:t xml:space="preserve"> is encouraged to implement all protection mechanisms as a single Security Operations Center (SOC) model that will integrate the layers of security of the cloud, identity, applications, and endpoints. This aligns with the </w:t>
      </w:r>
      <w:proofErr w:type="spellStart"/>
      <w:r>
        <w:t>DevSecops</w:t>
      </w:r>
      <w:proofErr w:type="spellEnd"/>
      <w:r>
        <w:t xml:space="preserve"> concepts of automation, continuous monitoring and cross-team coordination [4].</w:t>
      </w:r>
    </w:p>
    <w:p w14:paraId="4EADD95C" w14:textId="77777777" w:rsidR="005B5474" w:rsidRDefault="005B5474"/>
    <w:p w14:paraId="7E787A0E" w14:textId="77777777" w:rsidR="005B5474" w:rsidRDefault="005B5474"/>
    <w:p w14:paraId="6EEF70E8" w14:textId="77777777" w:rsidR="005B5474" w:rsidRDefault="005B5474"/>
    <w:p w14:paraId="72CB5E01" w14:textId="77777777" w:rsidR="005B5474" w:rsidRDefault="005B5474"/>
    <w:p w14:paraId="7EE23197" w14:textId="77777777" w:rsidR="005B5474" w:rsidRDefault="005B5474"/>
    <w:p w14:paraId="469556FB" w14:textId="77777777" w:rsidR="005B5474" w:rsidRDefault="005B5474"/>
    <w:p w14:paraId="6A36AF07" w14:textId="77777777" w:rsidR="005B5474" w:rsidRDefault="0048423C">
      <w:bookmarkStart w:id="23" w:name="_Toc24569"/>
      <w:r>
        <w:rPr>
          <w:rStyle w:val="Heading1Char"/>
        </w:rPr>
        <w:lastRenderedPageBreak/>
        <w:t>References</w:t>
      </w:r>
      <w:bookmarkEnd w:id="23"/>
      <w:r>
        <w:t xml:space="preserve"> </w:t>
      </w:r>
    </w:p>
    <w:p w14:paraId="4EE58332" w14:textId="77777777" w:rsidR="005B5474" w:rsidRDefault="0048423C">
      <w:pPr>
        <w:pStyle w:val="NormalWeb"/>
      </w:pPr>
      <w:r>
        <w:t xml:space="preserve">[1] E. B. Fernandez and A. Brazhuk, “A critical analysis of Zero Trust Architecture (ZTA),” </w:t>
      </w:r>
      <w:r>
        <w:rPr>
          <w:rStyle w:val="Emphasis"/>
        </w:rPr>
        <w:t>Computer Standards &amp; Interfaces</w:t>
      </w:r>
      <w:r>
        <w:t>, vol. 89, 2024.</w:t>
      </w:r>
    </w:p>
    <w:p w14:paraId="55E70555" w14:textId="77777777" w:rsidR="005B5474" w:rsidRDefault="0048423C">
      <w:pPr>
        <w:pStyle w:val="NormalWeb"/>
      </w:pPr>
      <w:r>
        <w:t xml:space="preserve">[2] A. Rahman et al., “Implementation of Zero Trust Security in MSME enterprise architecture: Challenges and solutions,” </w:t>
      </w:r>
      <w:r>
        <w:rPr>
          <w:rStyle w:val="Emphasis"/>
        </w:rPr>
        <w:t>Synchronous: Informatics Engineering Journal and Research</w:t>
      </w:r>
      <w:r>
        <w:t>, vol. 8, no. 3, pp. 2077–2087, 2024.</w:t>
      </w:r>
    </w:p>
    <w:p w14:paraId="1AC46480" w14:textId="77777777" w:rsidR="005B5474" w:rsidRDefault="0048423C">
      <w:pPr>
        <w:pStyle w:val="NormalWeb"/>
      </w:pPr>
      <w:r>
        <w:t>[3] W. Määttä, “Exploring critical success factors and challenges to Zero Trust Architecture transformation,” B.S. thesis, 2024.</w:t>
      </w:r>
    </w:p>
    <w:p w14:paraId="7B503513" w14:textId="77777777" w:rsidR="005B5474" w:rsidRDefault="0048423C">
      <w:pPr>
        <w:pStyle w:val="NormalWeb"/>
      </w:pPr>
      <w:r>
        <w:t xml:space="preserve">[4] S. Rose et al., “Zero Trust Architecture,” </w:t>
      </w:r>
      <w:r>
        <w:rPr>
          <w:rStyle w:val="Emphasis"/>
        </w:rPr>
        <w:t>NIST Special Publication</w:t>
      </w:r>
      <w:r>
        <w:t>, 2020.</w:t>
      </w:r>
    </w:p>
    <w:p w14:paraId="4F110B0B" w14:textId="77777777" w:rsidR="005B5474" w:rsidRDefault="0048423C">
      <w:pPr>
        <w:pStyle w:val="NormalWeb"/>
      </w:pPr>
      <w:r>
        <w:t>[5] A. Kerman, O. Borchert, S. Rose, and A. Tan, “Implementing a Zero Trust Architecture,” NIST, 2020.</w:t>
      </w:r>
    </w:p>
    <w:p w14:paraId="5BE189A0" w14:textId="77777777" w:rsidR="005B5474" w:rsidRDefault="0048423C">
      <w:pPr>
        <w:pStyle w:val="NormalWeb"/>
      </w:pPr>
      <w:r>
        <w:t xml:space="preserve">[6] N. F. Syed et al., “Zero Trust Architecture (ZTA): A comprehensive survey,” </w:t>
      </w:r>
      <w:r>
        <w:rPr>
          <w:rStyle w:val="Emphasis"/>
        </w:rPr>
        <w:t>IEEE Access</w:t>
      </w:r>
      <w:r>
        <w:t>, vol. 10, pp. 57143–57179, 2022.</w:t>
      </w:r>
    </w:p>
    <w:p w14:paraId="766996CA" w14:textId="77777777" w:rsidR="005B5474" w:rsidRDefault="0048423C">
      <w:pPr>
        <w:pStyle w:val="NormalWeb"/>
      </w:pPr>
      <w:r>
        <w:t xml:space="preserve">[7] H. </w:t>
      </w:r>
      <w:proofErr w:type="spellStart"/>
      <w:r>
        <w:t>Sedjelmaci</w:t>
      </w:r>
      <w:proofErr w:type="spellEnd"/>
      <w:r>
        <w:t xml:space="preserve"> and N. Ansari, “Zero Trust Architecture empowered attack detection framework to secure 6G edge computing,” </w:t>
      </w:r>
      <w:r>
        <w:rPr>
          <w:rStyle w:val="Emphasis"/>
        </w:rPr>
        <w:t>IEEE Network</w:t>
      </w:r>
      <w:r>
        <w:t>, vol. 38, no. 1, pp. 196–202, 2024.</w:t>
      </w:r>
    </w:p>
    <w:p w14:paraId="4BCAB127" w14:textId="77777777" w:rsidR="005B5474" w:rsidRDefault="0048423C">
      <w:r>
        <w:t>[</w:t>
      </w:r>
      <w:r>
        <w:t>8</w:t>
      </w:r>
      <w:r>
        <w:t>]</w:t>
      </w:r>
      <w:r>
        <w:t xml:space="preserve"> </w:t>
      </w:r>
      <w:r>
        <w:t xml:space="preserve">L. Leite, C. Rocha, F. Kon, D. </w:t>
      </w:r>
      <w:proofErr w:type="spellStart"/>
      <w:r>
        <w:t>Milojicic</w:t>
      </w:r>
      <w:proofErr w:type="spellEnd"/>
      <w:r>
        <w:t>, and P. Meirelles, “A survey of DevOps concepts and challenges,” ACM Computing Surveys, vol. 52, no. 6, pp. 1–35, 2019.</w:t>
      </w:r>
    </w:p>
    <w:p w14:paraId="39FB030E" w14:textId="77777777" w:rsidR="005B5474" w:rsidRDefault="0048423C">
      <w:r>
        <w:t>[</w:t>
      </w:r>
      <w:r>
        <w:t>9</w:t>
      </w:r>
      <w:r>
        <w:t>]</w:t>
      </w:r>
      <w:r>
        <w:t xml:space="preserve"> </w:t>
      </w:r>
      <w:r>
        <w:t xml:space="preserve">M. </w:t>
      </w:r>
      <w:proofErr w:type="spellStart"/>
      <w:r>
        <w:t>Rembetsy</w:t>
      </w:r>
      <w:proofErr w:type="spellEnd"/>
      <w:r>
        <w:t xml:space="preserve"> and P. McDonnell, “Continuously deploying culture: Scaling culture at Etsy,” Velocity Europe Conference, O’Reilly Media, 2012.</w:t>
      </w:r>
    </w:p>
    <w:p w14:paraId="6DB0FA6A" w14:textId="77777777" w:rsidR="005B5474" w:rsidRDefault="0048423C">
      <w:r>
        <w:t>[</w:t>
      </w:r>
      <w:r>
        <w:t>10</w:t>
      </w:r>
      <w:r>
        <w:t>]</w:t>
      </w:r>
      <w:r>
        <w:t xml:space="preserve"> </w:t>
      </w:r>
      <w:r>
        <w:t>F. Erich, C. Amrit, and M. Daneva, “Report: DevOps literature review,” University of Twente Technical Report, 2014.</w:t>
      </w:r>
    </w:p>
    <w:p w14:paraId="3983958A" w14:textId="77777777" w:rsidR="005B5474" w:rsidRDefault="005B5474">
      <w:pPr>
        <w:spacing w:line="240" w:lineRule="auto"/>
      </w:pPr>
    </w:p>
    <w:sectPr w:rsidR="005B5474">
      <w:footerReference w:type="default" r:id="rId15"/>
      <w:pgSz w:w="11906" w:h="16838"/>
      <w:pgMar w:top="1440" w:right="1440" w:bottom="1440" w:left="1440" w:header="720" w:footer="720" w:gutter="0"/>
      <w:pgNumType w:start="10"/>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9E90AE" w14:textId="77777777" w:rsidR="0048423C" w:rsidRDefault="0048423C">
      <w:pPr>
        <w:spacing w:line="240" w:lineRule="auto"/>
      </w:pPr>
      <w:r>
        <w:separator/>
      </w:r>
    </w:p>
  </w:endnote>
  <w:endnote w:type="continuationSeparator" w:id="0">
    <w:p w14:paraId="7DD9033B" w14:textId="77777777" w:rsidR="0048423C" w:rsidRDefault="004842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A28AF" w14:textId="77777777" w:rsidR="005B5474" w:rsidRDefault="0048423C">
    <w:pPr>
      <w:pStyle w:val="Footer"/>
    </w:pPr>
    <w:r>
      <w:rPr>
        <w:noProof/>
      </w:rPr>
      <mc:AlternateContent>
        <mc:Choice Requires="wps">
          <w:drawing>
            <wp:anchor distT="0" distB="0" distL="0" distR="0" simplePos="0" relativeHeight="2" behindDoc="0" locked="0" layoutInCell="1" allowOverlap="1" wp14:anchorId="754B46B2" wp14:editId="63E4194B">
              <wp:simplePos x="0" y="0"/>
              <wp:positionH relativeFrom="margin">
                <wp:align>right</wp:align>
              </wp:positionH>
              <wp:positionV relativeFrom="paragraph">
                <wp:posOffset>0</wp:posOffset>
              </wp:positionV>
              <wp:extent cx="1828800" cy="1828800"/>
              <wp:effectExtent l="0" t="0" r="0" b="0"/>
              <wp:wrapNone/>
              <wp:docPr id="4097" name="Text Box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28800" cy="1828800"/>
                      </a:xfrm>
                      <a:prstGeom prst="rect">
                        <a:avLst/>
                      </a:prstGeom>
                      <a:ln>
                        <a:noFill/>
                      </a:ln>
                    </wps:spPr>
                    <wps:txbx>
                      <w:txbxContent>
                        <w:p w14:paraId="22E37176" w14:textId="77777777" w:rsidR="005B5474" w:rsidRDefault="0048423C">
                          <w:pPr>
                            <w:pStyle w:val="Footer"/>
                          </w:pPr>
                          <w:r>
                            <w:fldChar w:fldCharType="begin"/>
                          </w:r>
                          <w:r>
                            <w:instrText xml:space="preserve"> PAGE  \* MERGEFORMAT </w:instrText>
                          </w:r>
                          <w:r>
                            <w:fldChar w:fldCharType="separate"/>
                          </w:r>
                          <w:r>
                            <w:t>1</w:t>
                          </w:r>
                          <w:r>
                            <w:fldChar w:fldCharType="end"/>
                          </w:r>
                        </w:p>
                      </w:txbxContent>
                    </wps:txbx>
                    <wps:bodyPr vert="horz" wrap="none" lIns="0" tIns="0" rIns="0" bIns="0" anchor="t">
                      <a:prstTxWarp prst="textNoShape">
                        <a:avLst/>
                      </a:prstTxWarp>
                      <a:spAutoFit/>
                    </wps:bodyPr>
                  </wps:wsp>
                </a:graphicData>
              </a:graphic>
            </wp:anchor>
          </w:drawing>
        </mc:Choice>
        <mc:Fallback>
          <w:pict>
            <v:rect w14:anchorId="754B46B2" id="Text Box 4" o:spid="_x0000_s1026" style="position:absolute;margin-left:92.8pt;margin-top:0;width:2in;height:2in;z-index:2;visibility:visible;mso-wrap-style:none;mso-wrap-distance-left:0;mso-wrap-distance-top:0;mso-wrap-distance-right:0;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" filled="f" stroked="f">
              <v:textbox style="mso-fit-shape-to-text:t" inset="0,0,0,0">
                <w:txbxContent>
                  <w:p w14:paraId="22E37176" w14:textId="77777777" w:rsidR="005B5474" w:rsidRDefault="0048423C">
                    <w:pPr>
                      <w:pStyle w:val="Footer"/>
                    </w:pPr>
                    <w:r>
                      <w:fldChar w:fldCharType="begin"/>
                    </w:r>
                    <w:r>
                      <w:instrText xml:space="preserve"> PAGE  \* MERGEFORMAT </w:instrText>
                    </w:r>
                    <w:r>
                      <w:fldChar w:fldCharType="separate"/>
                    </w:r>
                    <w:r>
                      <w:t>1</w:t>
                    </w:r>
                    <w:r>
                      <w:fldChar w:fldCharType="end"/>
                    </w:r>
                  </w:p>
                </w:txbxContent>
              </v:textbox>
              <w10:wrap anchorx="margin"/>
            </v:rect>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9617E0" w14:textId="77777777" w:rsidR="005B5474" w:rsidRDefault="0048423C">
    <w:pPr>
      <w:pStyle w:val="Footer"/>
    </w:pPr>
    <w:r>
      <w:rPr>
        <w:noProof/>
      </w:rPr>
      <mc:AlternateContent>
        <mc:Choice Requires="wps">
          <w:drawing>
            <wp:anchor distT="0" distB="0" distL="0" distR="0" simplePos="0" relativeHeight="3" behindDoc="0" locked="0" layoutInCell="1" allowOverlap="1" wp14:anchorId="40AB2B30" wp14:editId="01A49B38">
              <wp:simplePos x="0" y="0"/>
              <wp:positionH relativeFrom="margin">
                <wp:align>right</wp:align>
              </wp:positionH>
              <wp:positionV relativeFrom="paragraph">
                <wp:posOffset>0</wp:posOffset>
              </wp:positionV>
              <wp:extent cx="1828800" cy="1828800"/>
              <wp:effectExtent l="0" t="0" r="0" b="0"/>
              <wp:wrapNone/>
              <wp:docPr id="4098" name="Text Box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28800" cy="1828800"/>
                      </a:xfrm>
                      <a:prstGeom prst="rect">
                        <a:avLst/>
                      </a:prstGeom>
                      <a:ln>
                        <a:noFill/>
                      </a:ln>
                    </wps:spPr>
                    <wps:txbx>
                      <w:txbxContent>
                        <w:p w14:paraId="190619BC" w14:textId="77777777" w:rsidR="005B5474" w:rsidRDefault="0048423C">
                          <w:pPr>
                            <w:pStyle w:val="Footer"/>
                          </w:pPr>
                          <w:r>
                            <w:fldChar w:fldCharType="begin"/>
                          </w:r>
                          <w:r>
                            <w:instrText xml:space="preserve"> PAGE  \* MERGEFORMAT </w:instrText>
                          </w:r>
                          <w:r>
                            <w:fldChar w:fldCharType="separate"/>
                          </w:r>
                          <w:r>
                            <w:t>1</w:t>
                          </w:r>
                          <w:r>
                            <w:fldChar w:fldCharType="end"/>
                          </w:r>
                        </w:p>
                      </w:txbxContent>
                    </wps:txbx>
                    <wps:bodyPr vert="horz" wrap="none" lIns="0" tIns="0" rIns="0" bIns="0" anchor="t">
                      <a:prstTxWarp prst="textNoShape">
                        <a:avLst/>
                      </a:prstTxWarp>
                      <a:spAutoFit/>
                    </wps:bodyPr>
                  </wps:wsp>
                </a:graphicData>
              </a:graphic>
            </wp:anchor>
          </w:drawing>
        </mc:Choice>
        <mc:Fallback>
          <w:pict>
            <v:rect w14:anchorId="40AB2B30" id="Text Box 9" o:spid="_x0000_s1027" style="position:absolute;margin-left:92.8pt;margin-top:0;width:2in;height:2in;z-index:3;visibility:visible;mso-wrap-style:none;mso-wrap-distance-left:0;mso-wrap-distance-top:0;mso-wrap-distance-right:0;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" filled="f" stroked="f">
              <v:textbox style="mso-fit-shape-to-text:t" inset="0,0,0,0">
                <w:txbxContent>
                  <w:p w14:paraId="190619BC" w14:textId="77777777" w:rsidR="005B5474" w:rsidRDefault="0048423C">
                    <w:pPr>
                      <w:pStyle w:val="Footer"/>
                    </w:pPr>
                    <w:r>
                      <w:fldChar w:fldCharType="begin"/>
                    </w:r>
                    <w:r>
                      <w:instrText xml:space="preserve"> PAGE  \* MERGEFORMAT </w:instrText>
                    </w:r>
                    <w:r>
                      <w:fldChar w:fldCharType="separate"/>
                    </w:r>
                    <w:r>
                      <w:t>1</w:t>
                    </w:r>
                    <w:r>
                      <w:fldChar w:fldCharType="end"/>
                    </w:r>
                  </w:p>
                </w:txbxContent>
              </v:textbox>
              <w10:wrap anchorx="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8ADB94" w14:textId="77777777" w:rsidR="0048423C" w:rsidRDefault="0048423C">
      <w:pPr>
        <w:spacing w:line="240" w:lineRule="auto"/>
      </w:pPr>
      <w:r>
        <w:separator/>
      </w:r>
    </w:p>
  </w:footnote>
  <w:footnote w:type="continuationSeparator" w:id="0">
    <w:p w14:paraId="2AF67F86" w14:textId="77777777" w:rsidR="0048423C" w:rsidRDefault="0048423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multiLevelType w:val="singleLevel"/>
    <w:tmpl w:val="8C0F519B"/>
    <w:lvl w:ilvl="0">
      <w:start w:val="8"/>
      <w:numFmt w:val="decimal"/>
      <w:suff w:val="space"/>
      <w:lvlText w:val="%1."/>
      <w:lvlJc w:val="left"/>
    </w:lvl>
  </w:abstractNum>
  <w:num w:numId="1" w16cid:durableId="14481135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B5474"/>
    <w:rsid w:val="000F645F"/>
    <w:rsid w:val="00224540"/>
    <w:rsid w:val="002B6F04"/>
    <w:rsid w:val="00347B4E"/>
    <w:rsid w:val="003D538B"/>
    <w:rsid w:val="0048423C"/>
    <w:rsid w:val="00563751"/>
    <w:rsid w:val="00594420"/>
    <w:rsid w:val="005B5474"/>
    <w:rsid w:val="005E2AFA"/>
    <w:rsid w:val="005E6DFF"/>
    <w:rsid w:val="00741D21"/>
    <w:rsid w:val="00845749"/>
    <w:rsid w:val="00A93887"/>
    <w:rsid w:val="00AC2942"/>
    <w:rsid w:val="00AF70B2"/>
    <w:rsid w:val="00BD3C97"/>
    <w:rsid w:val="00C77CCE"/>
    <w:rsid w:val="00EC492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A06BCA"/>
  <w15:docId w15:val="{9DD57A19-7DB3-4670-A990-98EF0EA6C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cs="SimSun"/>
      <w:sz w:val="24"/>
      <w:lang w:val="en-US" w:eastAsia="zh-CN"/>
    </w:rPr>
  </w:style>
  <w:style w:type="paragraph" w:styleId="Heading1">
    <w:name w:val="heading 1"/>
    <w:basedOn w:val="Normal"/>
    <w:next w:val="Normal"/>
    <w:link w:val="Heading1Char"/>
    <w:uiPriority w:val="9"/>
    <w:qFormat/>
    <w:pPr>
      <w:outlineLvl w:val="0"/>
    </w:pPr>
    <w:rPr>
      <w:b/>
      <w:sz w:val="28"/>
    </w:rPr>
  </w:style>
  <w:style w:type="paragraph" w:styleId="Heading2">
    <w:name w:val="heading 2"/>
    <w:basedOn w:val="Heading1"/>
    <w:next w:val="Normal"/>
    <w:uiPriority w:val="9"/>
    <w:unhideWhenUsed/>
    <w:qFormat/>
    <w:pPr>
      <w:outlineLvl w:val="1"/>
    </w:pPr>
    <w:rPr>
      <w:sz w:val="26"/>
    </w:rPr>
  </w:style>
  <w:style w:type="paragraph" w:styleId="Heading3">
    <w:name w:val="heading 3"/>
    <w:basedOn w:val="Heading2"/>
    <w:next w:val="Normal"/>
    <w:uiPriority w:val="9"/>
    <w:unhideWhenUsed/>
    <w:qFormat/>
    <w:pPr>
      <w:outlineLvl w:val="2"/>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paragraph" w:styleId="Footer">
    <w:name w:val="footer"/>
    <w:basedOn w:val="Normal"/>
    <w:qFormat/>
    <w:pPr>
      <w:tabs>
        <w:tab w:val="center" w:pos="4153"/>
        <w:tab w:val="right" w:pos="8306"/>
      </w:tabs>
      <w:snapToGrid w:val="0"/>
      <w:jc w:val="left"/>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yperlink">
    <w:name w:val="Hyperlink"/>
    <w:basedOn w:val="DefaultParagraphFont"/>
    <w:qFormat/>
    <w:rPr>
      <w:color w:val="0000FF"/>
      <w:u w:val="single"/>
    </w:rPr>
  </w:style>
  <w:style w:type="paragraph" w:styleId="NormalWeb">
    <w:name w:val="Normal (Web)"/>
    <w:qFormat/>
    <w:pPr>
      <w:spacing w:beforeAutospacing="1" w:afterAutospacing="1"/>
    </w:pPr>
    <w:rPr>
      <w:sz w:val="24"/>
      <w:szCs w:val="24"/>
      <w:lang w:val="en-US" w:eastAsia="zh-CN"/>
    </w:rPr>
  </w:style>
  <w:style w:type="character" w:styleId="Strong">
    <w:name w:val="Strong"/>
    <w:basedOn w:val="DefaultParagraphFont"/>
    <w:qFormat/>
    <w:rPr>
      <w:b/>
      <w:bCs/>
    </w:r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qFormat/>
  </w:style>
  <w:style w:type="paragraph" w:styleId="TOC2">
    <w:name w:val="toc 2"/>
    <w:basedOn w:val="Normal"/>
    <w:next w:val="Normal"/>
    <w:qFormat/>
    <w:pPr>
      <w:ind w:leftChars="200" w:left="420"/>
    </w:pPr>
  </w:style>
  <w:style w:type="paragraph" w:styleId="TOC3">
    <w:name w:val="toc 3"/>
    <w:basedOn w:val="Normal"/>
    <w:next w:val="Normal"/>
    <w:qFormat/>
    <w:pPr>
      <w:ind w:leftChars="400" w:left="840"/>
    </w:pPr>
  </w:style>
  <w:style w:type="character" w:customStyle="1" w:styleId="Heading1Char">
    <w:name w:val="Heading 1 Char"/>
    <w:link w:val="Heading1"/>
    <w:qFormat/>
    <w:rPr>
      <w:rFonts w:eastAsia="SimSun"/>
      <w:b/>
      <w:sz w:val="28"/>
    </w:rPr>
  </w:style>
  <w:style w:type="paragraph" w:styleId="NoSpacing">
    <w:name w:val="No Spacing"/>
    <w:link w:val="NoSpacingChar"/>
    <w:uiPriority w:val="1"/>
    <w:qFormat/>
    <w:rsid w:val="00AF70B2"/>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AF70B2"/>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F6A2738-6952-4317-AF24-91E289DCFA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19</Pages>
  <Words>5786</Words>
  <Characters>32982</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CCC</dc:creator>
  <cp:lastModifiedBy>emehjulucharles@gmail.com</cp:lastModifiedBy>
  <cp:revision>2</cp:revision>
  <dcterms:created xsi:type="dcterms:W3CDTF">2026-05-06T18:24:00Z</dcterms:created>
  <dcterms:modified xsi:type="dcterms:W3CDTF">2026-05-06T18:24:00Z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1033-12.1.0.25862</vt:lpwstr>
  </property>
  <property fmtid="{D5CDD505-2E9C-101B-9397-08002B2CF9AE}" pid="3" name="ICV">
    <vt:lpwstr>b2f86c3f5390456b8d06fee09e497639</vt:lpwstr>
  </property>
  <property fmtid="{D5CDD505-2E9C-101B-9397-08002B2CF9AE}" pid="4" name="KSOTemplateDocerSaveRecord">
    <vt:lpwstr>eyJoZGlkIjoiMTcwYzg5ZDhiYzk3OWU2NzFlNjhkN2IyOWNmY2M3NGUiLCJ1c2VySWQiOiIxOTQyMDI4MzI4MzI3In0=</vt:lpwstr>
  </property>
</Properties>
</file>