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8C3EB" w14:textId="1860F987" w:rsidR="00AA5944" w:rsidRPr="003D25C6" w:rsidRDefault="008908E1" w:rsidP="00AA5944">
      <w:pPr>
        <w:ind w:left="426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E901AB8" wp14:editId="21DD2F67">
            <wp:simplePos x="0" y="0"/>
            <wp:positionH relativeFrom="margin">
              <wp:posOffset>1013460</wp:posOffset>
            </wp:positionH>
            <wp:positionV relativeFrom="paragraph">
              <wp:posOffset>99060</wp:posOffset>
            </wp:positionV>
            <wp:extent cx="4168140" cy="1653540"/>
            <wp:effectExtent l="0" t="0" r="3810" b="0"/>
            <wp:wrapSquare wrapText="bothSides"/>
            <wp:docPr id="2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110549" w14:textId="1CB9A0F8" w:rsidR="00AA5944" w:rsidRPr="00074402" w:rsidRDefault="00AA5944" w:rsidP="00AA5944">
      <w:pPr>
        <w:spacing w:line="360" w:lineRule="auto"/>
        <w:ind w:left="426"/>
        <w:rPr>
          <w:rFonts w:ascii="Arial" w:hAnsi="Arial" w:cs="Arial"/>
        </w:rPr>
      </w:pPr>
    </w:p>
    <w:p w14:paraId="53047F2F" w14:textId="77777777" w:rsidR="00AA5944" w:rsidRPr="00074402" w:rsidRDefault="00AA5944" w:rsidP="00AA5944">
      <w:pPr>
        <w:spacing w:line="360" w:lineRule="auto"/>
        <w:ind w:left="426"/>
        <w:rPr>
          <w:rFonts w:ascii="Arial" w:hAnsi="Arial" w:cs="Arial"/>
        </w:rPr>
      </w:pPr>
    </w:p>
    <w:p w14:paraId="331F0C78" w14:textId="77777777" w:rsidR="008F4692" w:rsidRPr="008F4692" w:rsidRDefault="008F4692" w:rsidP="008F4692"/>
    <w:p w14:paraId="492E315C" w14:textId="77777777" w:rsidR="008F4692" w:rsidRPr="008F4692" w:rsidRDefault="008F4692" w:rsidP="008F4692"/>
    <w:p w14:paraId="0C286121" w14:textId="77777777" w:rsidR="008F4692" w:rsidRPr="008F4692" w:rsidRDefault="008F4692" w:rsidP="008F4692"/>
    <w:p w14:paraId="0422E624" w14:textId="77777777" w:rsidR="008F4692" w:rsidRPr="008F4692" w:rsidRDefault="008F4692" w:rsidP="008F4692"/>
    <w:p w14:paraId="49E39A91" w14:textId="77777777" w:rsidR="008F4692" w:rsidRPr="008F4692" w:rsidRDefault="008F4692" w:rsidP="008F4692"/>
    <w:p w14:paraId="3BAD7BF3" w14:textId="77777777" w:rsidR="008F4692" w:rsidRPr="008F4692" w:rsidRDefault="008F4692" w:rsidP="008F4692"/>
    <w:p w14:paraId="0978F9DD" w14:textId="1181C1A1" w:rsidR="008F4692" w:rsidRPr="008908E1" w:rsidRDefault="008F4692" w:rsidP="008908E1">
      <w:pPr>
        <w:jc w:val="center"/>
        <w:rPr>
          <w:rFonts w:ascii="Arial" w:hAnsi="Arial" w:cs="Arial"/>
          <w:sz w:val="44"/>
          <w:szCs w:val="44"/>
        </w:rPr>
      </w:pPr>
      <w:r w:rsidRPr="008908E1">
        <w:rPr>
          <w:rFonts w:ascii="Arial" w:hAnsi="Arial" w:cs="Arial"/>
          <w:b/>
          <w:bCs/>
          <w:sz w:val="44"/>
          <w:szCs w:val="44"/>
        </w:rPr>
        <w:t>Student name:</w:t>
      </w:r>
      <w:r w:rsidR="009C3FD6" w:rsidRPr="008908E1">
        <w:rPr>
          <w:rFonts w:ascii="Arial" w:hAnsi="Arial" w:cs="Arial"/>
          <w:sz w:val="44"/>
          <w:szCs w:val="44"/>
        </w:rPr>
        <w:t xml:space="preserve"> Sharon McDermott</w:t>
      </w:r>
    </w:p>
    <w:p w14:paraId="01164BEF" w14:textId="49D83E59" w:rsidR="008F4692" w:rsidRPr="008908E1" w:rsidRDefault="008F4692" w:rsidP="008908E1">
      <w:pPr>
        <w:jc w:val="center"/>
        <w:rPr>
          <w:rFonts w:ascii="Arial" w:hAnsi="Arial" w:cs="Arial"/>
          <w:sz w:val="44"/>
          <w:szCs w:val="44"/>
        </w:rPr>
      </w:pPr>
      <w:r w:rsidRPr="008908E1">
        <w:rPr>
          <w:rFonts w:ascii="Arial" w:hAnsi="Arial" w:cs="Arial"/>
          <w:b/>
          <w:bCs/>
          <w:sz w:val="44"/>
          <w:szCs w:val="44"/>
        </w:rPr>
        <w:t>Student ID</w:t>
      </w:r>
      <w:r w:rsidRPr="008908E1">
        <w:rPr>
          <w:rFonts w:ascii="Arial" w:hAnsi="Arial" w:cs="Arial"/>
          <w:sz w:val="44"/>
          <w:szCs w:val="44"/>
        </w:rPr>
        <w:t>:</w:t>
      </w:r>
      <w:r w:rsidR="009C3FD6" w:rsidRPr="008908E1">
        <w:rPr>
          <w:rFonts w:ascii="Arial" w:hAnsi="Arial" w:cs="Arial"/>
          <w:sz w:val="44"/>
          <w:szCs w:val="44"/>
        </w:rPr>
        <w:t xml:space="preserve"> 2243145</w:t>
      </w:r>
    </w:p>
    <w:p w14:paraId="61A622CF" w14:textId="77777777" w:rsidR="009C3FD6" w:rsidRPr="008908E1" w:rsidRDefault="009C3FD6" w:rsidP="008908E1">
      <w:pPr>
        <w:jc w:val="center"/>
        <w:rPr>
          <w:rFonts w:ascii="Arial" w:hAnsi="Arial" w:cs="Arial"/>
          <w:sz w:val="44"/>
          <w:szCs w:val="44"/>
        </w:rPr>
      </w:pPr>
    </w:p>
    <w:p w14:paraId="4F6BCF96" w14:textId="77777777" w:rsidR="008F4692" w:rsidRPr="008908E1" w:rsidRDefault="008F4692" w:rsidP="008908E1">
      <w:pPr>
        <w:jc w:val="center"/>
        <w:rPr>
          <w:rFonts w:ascii="Arial" w:hAnsi="Arial" w:cs="Arial"/>
          <w:sz w:val="44"/>
          <w:szCs w:val="44"/>
        </w:rPr>
      </w:pPr>
    </w:p>
    <w:p w14:paraId="76079D6F" w14:textId="77DADADA" w:rsidR="008F4692" w:rsidRPr="008908E1" w:rsidRDefault="008F4692" w:rsidP="008908E1">
      <w:pPr>
        <w:jc w:val="center"/>
        <w:rPr>
          <w:rFonts w:ascii="Arial" w:hAnsi="Arial" w:cs="Arial"/>
          <w:sz w:val="44"/>
          <w:szCs w:val="44"/>
        </w:rPr>
      </w:pPr>
      <w:r w:rsidRPr="008908E1">
        <w:rPr>
          <w:rFonts w:ascii="Arial" w:hAnsi="Arial" w:cs="Arial"/>
          <w:b/>
          <w:bCs/>
          <w:sz w:val="44"/>
          <w:szCs w:val="44"/>
        </w:rPr>
        <w:t>Module name:</w:t>
      </w:r>
      <w:r w:rsidRPr="008908E1">
        <w:rPr>
          <w:rFonts w:ascii="Arial" w:hAnsi="Arial" w:cs="Arial"/>
          <w:sz w:val="44"/>
          <w:szCs w:val="44"/>
        </w:rPr>
        <w:t xml:space="preserve"> </w:t>
      </w:r>
      <w:r w:rsidR="009C3FD6" w:rsidRPr="008908E1">
        <w:rPr>
          <w:rFonts w:ascii="Arial" w:hAnsi="Arial" w:cs="Arial"/>
          <w:sz w:val="44"/>
          <w:szCs w:val="44"/>
        </w:rPr>
        <w:t>BSC Health and Social Care</w:t>
      </w:r>
    </w:p>
    <w:p w14:paraId="1D2F9EDE" w14:textId="2BD71985" w:rsidR="008F4692" w:rsidRDefault="008F4692" w:rsidP="008908E1">
      <w:pPr>
        <w:jc w:val="center"/>
        <w:rPr>
          <w:rFonts w:ascii="Arial" w:hAnsi="Arial" w:cs="Arial"/>
          <w:sz w:val="44"/>
          <w:szCs w:val="44"/>
        </w:rPr>
      </w:pPr>
      <w:r w:rsidRPr="008908E1">
        <w:rPr>
          <w:rFonts w:ascii="Arial" w:hAnsi="Arial" w:cs="Arial"/>
          <w:sz w:val="44"/>
          <w:szCs w:val="44"/>
        </w:rPr>
        <w:t>Module code:</w:t>
      </w:r>
      <w:r w:rsidR="009C3FD6" w:rsidRPr="008908E1">
        <w:rPr>
          <w:rFonts w:ascii="Arial" w:hAnsi="Arial" w:cs="Arial"/>
          <w:sz w:val="44"/>
          <w:szCs w:val="44"/>
        </w:rPr>
        <w:t xml:space="preserve"> BMHP6027</w:t>
      </w:r>
    </w:p>
    <w:p w14:paraId="61A71CAE" w14:textId="61F8ABC9" w:rsidR="001C3C1E" w:rsidRPr="008908E1" w:rsidRDefault="001C3C1E" w:rsidP="008908E1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Digital Health empowerment of older adults</w:t>
      </w:r>
    </w:p>
    <w:p w14:paraId="2F944FEF" w14:textId="33D31964" w:rsidR="009C3FD6" w:rsidRPr="008908E1" w:rsidRDefault="009C3FD6" w:rsidP="008908E1">
      <w:pPr>
        <w:jc w:val="center"/>
        <w:rPr>
          <w:rFonts w:ascii="Arial" w:hAnsi="Arial" w:cs="Arial"/>
          <w:sz w:val="44"/>
          <w:szCs w:val="44"/>
        </w:rPr>
      </w:pPr>
      <w:r w:rsidRPr="008908E1">
        <w:rPr>
          <w:rFonts w:ascii="Arial" w:hAnsi="Arial" w:cs="Arial"/>
          <w:sz w:val="44"/>
          <w:szCs w:val="44"/>
        </w:rPr>
        <w:t>Debate/ Discussion</w:t>
      </w:r>
    </w:p>
    <w:p w14:paraId="46EE61B8" w14:textId="0F1B7175" w:rsidR="008F4692" w:rsidRPr="008908E1" w:rsidRDefault="008F4692" w:rsidP="008908E1">
      <w:pPr>
        <w:jc w:val="center"/>
        <w:rPr>
          <w:rFonts w:ascii="Arial" w:hAnsi="Arial" w:cs="Arial"/>
          <w:sz w:val="44"/>
          <w:szCs w:val="44"/>
        </w:rPr>
      </w:pPr>
      <w:r w:rsidRPr="008908E1">
        <w:rPr>
          <w:rFonts w:ascii="Arial" w:hAnsi="Arial" w:cs="Arial"/>
          <w:b/>
          <w:bCs/>
          <w:sz w:val="44"/>
          <w:szCs w:val="44"/>
        </w:rPr>
        <w:t>Lecturer’s name:</w:t>
      </w:r>
      <w:r w:rsidR="009C3FD6" w:rsidRPr="008908E1">
        <w:rPr>
          <w:rFonts w:ascii="Arial" w:hAnsi="Arial" w:cs="Arial"/>
          <w:sz w:val="44"/>
          <w:szCs w:val="44"/>
        </w:rPr>
        <w:t xml:space="preserve"> Dr Laila Surani</w:t>
      </w:r>
    </w:p>
    <w:p w14:paraId="4227BD17" w14:textId="77777777" w:rsidR="008F4692" w:rsidRPr="008F4692" w:rsidRDefault="008F4692" w:rsidP="008F4692"/>
    <w:p w14:paraId="098DEEC1" w14:textId="77777777" w:rsidR="008F4692" w:rsidRPr="008F4692" w:rsidRDefault="008F4692" w:rsidP="008F4692">
      <w:r w:rsidRPr="008F4692">
        <w:t> </w:t>
      </w:r>
    </w:p>
    <w:p w14:paraId="250D1BF6" w14:textId="77777777" w:rsidR="008F4692" w:rsidRPr="008F4692" w:rsidRDefault="008F4692" w:rsidP="008F4692"/>
    <w:p w14:paraId="02F6688A" w14:textId="77777777" w:rsidR="008F4692" w:rsidRDefault="008F4692" w:rsidP="008F4692"/>
    <w:p w14:paraId="7838EC6E" w14:textId="77777777" w:rsidR="008908E1" w:rsidRDefault="008908E1" w:rsidP="008F4692"/>
    <w:p w14:paraId="40F980CD" w14:textId="77777777" w:rsidR="0031594F" w:rsidRPr="0031594F" w:rsidRDefault="0031594F" w:rsidP="008F4692">
      <w:pPr>
        <w:rPr>
          <w:rFonts w:ascii="Arial" w:hAnsi="Arial" w:cs="Arial"/>
          <w:b/>
          <w:bCs/>
        </w:rPr>
      </w:pPr>
      <w:r w:rsidRPr="0031594F">
        <w:rPr>
          <w:rFonts w:ascii="Arial" w:hAnsi="Arial" w:cs="Arial"/>
          <w:b/>
          <w:bCs/>
        </w:rPr>
        <w:lastRenderedPageBreak/>
        <w:t>References:</w:t>
      </w:r>
    </w:p>
    <w:p w14:paraId="1469BFB7" w14:textId="64EF0757" w:rsidR="0031594F" w:rsidRPr="00DC169D" w:rsidRDefault="0031594F" w:rsidP="008F4692">
      <w:pPr>
        <w:rPr>
          <w:rFonts w:ascii="Arial" w:hAnsi="Arial" w:cs="Arial"/>
        </w:rPr>
      </w:pPr>
      <w:r w:rsidRPr="008D3CEB">
        <w:rPr>
          <w:rFonts w:ascii="Arial" w:hAnsi="Arial" w:cs="Arial"/>
        </w:rPr>
        <w:t>Albarqi MN. Exploring the Effectiveness of Technology-Assisted Interventions for Promoting Independence in Elderly Patients: A Systematic Review. Healthcare (Basel). 2024 Oct 23;12(21):2105. doi: 10.3390/healthcare12212105. PMID: 39517318; PMCID: PMC11545332.</w:t>
      </w:r>
      <w:r>
        <w:rPr>
          <w:rFonts w:ascii="Arial" w:hAnsi="Arial" w:cs="Arial"/>
        </w:rPr>
        <w:t xml:space="preserve"> </w:t>
      </w:r>
      <w:r w:rsidRPr="00B74721">
        <w:t>[Accessed 20 Nov. 2025].</w:t>
      </w:r>
    </w:p>
    <w:p w14:paraId="37EC9AB6" w14:textId="77777777" w:rsidR="0031594F" w:rsidRPr="00AE1318" w:rsidRDefault="0031594F" w:rsidP="00AE1318">
      <w:r w:rsidRPr="00AE1318">
        <w:t xml:space="preserve">Begde, A. </w:t>
      </w:r>
      <w:r w:rsidRPr="00AE1318">
        <w:rPr>
          <w:i/>
          <w:iCs/>
        </w:rPr>
        <w:t>et al.</w:t>
      </w:r>
      <w:r w:rsidRPr="00AE1318">
        <w:t xml:space="preserve"> (2024) ‘Exploring factors influencing willingness of older adults to use assistive technologies: evidence from the cognitive function and ageing study II’, </w:t>
      </w:r>
      <w:r w:rsidRPr="00AE1318">
        <w:rPr>
          <w:i/>
          <w:iCs/>
        </w:rPr>
        <w:t>Information, communication &amp; society</w:t>
      </w:r>
      <w:r w:rsidRPr="00AE1318">
        <w:t>, 27(2), pp. 368–385. Available at: https://doi.org/10.1080/1369118X.2023.2205915.</w:t>
      </w:r>
    </w:p>
    <w:p w14:paraId="0AF7F9AF" w14:textId="4DD1AF0D" w:rsidR="0031594F" w:rsidRPr="00B74721" w:rsidRDefault="0031594F" w:rsidP="00B74721">
      <w:r w:rsidRPr="00B74721">
        <w:t xml:space="preserve">Care (2023). </w:t>
      </w:r>
      <w:r w:rsidRPr="00B74721">
        <w:rPr>
          <w:i/>
          <w:iCs/>
        </w:rPr>
        <w:t xml:space="preserve">How to Keep the Elderly Safe at </w:t>
      </w:r>
      <w:r w:rsidR="003D723A" w:rsidRPr="00B74721">
        <w:rPr>
          <w:i/>
          <w:iCs/>
        </w:rPr>
        <w:t>Home.</w:t>
      </w:r>
      <w:r w:rsidRPr="00B74721">
        <w:t xml:space="preserve"> Available at: </w:t>
      </w:r>
      <w:r w:rsidR="003D723A" w:rsidRPr="00B74721">
        <w:t>https://www.prestige-nursing.co.uk/blogs/keep-elderly-safe-at-home/.</w:t>
      </w:r>
      <w:r>
        <w:t xml:space="preserve"> </w:t>
      </w:r>
      <w:r w:rsidRPr="00B74721">
        <w:t>[Accessed 20 Nov. 2025].</w:t>
      </w:r>
    </w:p>
    <w:p w14:paraId="66325F93" w14:textId="77777777" w:rsidR="0031594F" w:rsidRDefault="0031594F" w:rsidP="008F4692">
      <w:r w:rsidRPr="00AE1318">
        <w:t xml:space="preserve">Cook, E.J. </w:t>
      </w:r>
      <w:r w:rsidRPr="00AE1318">
        <w:rPr>
          <w:i/>
          <w:iCs/>
        </w:rPr>
        <w:t>et al.</w:t>
      </w:r>
      <w:r w:rsidRPr="00AE1318">
        <w:t xml:space="preserve"> (2016) ‘Exploring the factors that influence the decision to adopt and engage with an integrated assistive telehealth and telecare service in Cambridgeshire, UK: a nested qualitative study of patient “users” and “non-users”’, </w:t>
      </w:r>
      <w:r w:rsidRPr="00AE1318">
        <w:rPr>
          <w:i/>
          <w:iCs/>
        </w:rPr>
        <w:t>BMC health services research</w:t>
      </w:r>
      <w:r w:rsidRPr="00AE1318">
        <w:t>, 16(1). Available at: https://doi.org/10.1186/s12913-016-1379-5.</w:t>
      </w:r>
    </w:p>
    <w:p w14:paraId="358982AA" w14:textId="77777777" w:rsidR="0031594F" w:rsidRPr="00697E77" w:rsidRDefault="0031594F" w:rsidP="00697E77">
      <w:r w:rsidRPr="00697E77">
        <w:t xml:space="preserve">Currie, M., Philip, L.J. and Roberts, A. (2015) ‘Attitudes towards the use and acceptance of eHealth technologies: a case study of older adults living with chronic pain and implications for rural healthcare’, </w:t>
      </w:r>
      <w:r w:rsidRPr="00697E77">
        <w:rPr>
          <w:i/>
          <w:iCs/>
        </w:rPr>
        <w:t>BMC health services research</w:t>
      </w:r>
      <w:r w:rsidRPr="00697E77">
        <w:t>, 15(1). Available at: https://doi.org/10.1186/s12913-015-0825-0.</w:t>
      </w:r>
    </w:p>
    <w:p w14:paraId="77667BB0" w14:textId="77777777" w:rsidR="0031594F" w:rsidRPr="00DC169D" w:rsidRDefault="0031594F" w:rsidP="00DC169D">
      <w:r w:rsidRPr="00DC169D">
        <w:t xml:space="preserve">Department of Health and Social Care (2022). </w:t>
      </w:r>
      <w:r w:rsidRPr="00DC169D">
        <w:rPr>
          <w:i/>
          <w:iCs/>
        </w:rPr>
        <w:t>A Plan for Digital Health and Social Care</w:t>
      </w:r>
      <w:r w:rsidRPr="00DC169D">
        <w:t xml:space="preserve">.  GOV.UK. Available at: </w:t>
      </w:r>
      <w:hyperlink r:id="rId9" w:history="1">
        <w:r w:rsidRPr="00DC169D">
          <w:rPr>
            <w:rStyle w:val="Hyperlink"/>
          </w:rPr>
          <w:t>https://www.gov.uk/government/publications/a-plan-for-digital-health-and-social-care/a-plan-for-digital-health-and-social-care</w:t>
        </w:r>
      </w:hyperlink>
      <w:r w:rsidRPr="00DC169D">
        <w:t>.</w:t>
      </w:r>
      <w:r>
        <w:t xml:space="preserve"> </w:t>
      </w:r>
      <w:r w:rsidRPr="00B74721">
        <w:t>[Accessed 20 Nov. 2025].</w:t>
      </w:r>
    </w:p>
    <w:p w14:paraId="31A3F72A" w14:textId="6289A0E2" w:rsidR="0031594F" w:rsidRPr="0005485D" w:rsidRDefault="0031594F" w:rsidP="0005485D">
      <w:r w:rsidRPr="0005485D">
        <w:t xml:space="preserve">Garcia Reyes, E.P., Kelly, R., Buchanan, G. and Waycott, J. (2023). Understanding Older Adults’ Experiences </w:t>
      </w:r>
      <w:r w:rsidR="003D723A" w:rsidRPr="0005485D">
        <w:t>with</w:t>
      </w:r>
      <w:r w:rsidRPr="0005485D">
        <w:t xml:space="preserve"> Technologies for Health Self-management: Interview Study. </w:t>
      </w:r>
      <w:r w:rsidRPr="0005485D">
        <w:rPr>
          <w:i/>
          <w:iCs/>
        </w:rPr>
        <w:t>JMIR Aging</w:t>
      </w:r>
      <w:r w:rsidRPr="0005485D">
        <w:t xml:space="preserve">, [online] 6, p.e43197. </w:t>
      </w:r>
      <w:r w:rsidR="003D723A" w:rsidRPr="0005485D">
        <w:t>Doi: https://doi.org/10.2196/43197</w:t>
      </w:r>
      <w:r w:rsidRPr="0005485D">
        <w:t>.</w:t>
      </w:r>
    </w:p>
    <w:p w14:paraId="7A4DD335" w14:textId="77777777" w:rsidR="0031594F" w:rsidRPr="00A97205" w:rsidRDefault="0031594F" w:rsidP="00A97205">
      <w:r w:rsidRPr="00A97205">
        <w:t xml:space="preserve">Guasti, L. </w:t>
      </w:r>
      <w:r w:rsidRPr="00A97205">
        <w:rPr>
          <w:i/>
          <w:iCs/>
        </w:rPr>
        <w:t>et al.</w:t>
      </w:r>
      <w:r w:rsidRPr="00A97205">
        <w:t xml:space="preserve"> (2022) ‘Digital health in older adults for the prevention and management of cardiovascular diseases and frailty. A clinical consensus statement from the ESC Council for Cardiology Practice/Taskforce on Geriatric Cardiology, the ESC Digital Health Committee and the ESC Working Group on e</w:t>
      </w:r>
      <w:r w:rsidRPr="00A97205">
        <w:rPr>
          <w:rFonts w:ascii="Cambria Math" w:hAnsi="Cambria Math" w:cs="Cambria Math"/>
        </w:rPr>
        <w:t>‐</w:t>
      </w:r>
      <w:r w:rsidRPr="00A97205">
        <w:t>Cardiology</w:t>
      </w:r>
      <w:r w:rsidRPr="00A97205">
        <w:rPr>
          <w:rFonts w:ascii="Aptos" w:hAnsi="Aptos" w:cs="Aptos"/>
        </w:rPr>
        <w:t>’</w:t>
      </w:r>
      <w:r w:rsidRPr="00A97205">
        <w:t xml:space="preserve">, </w:t>
      </w:r>
      <w:r w:rsidRPr="00A97205">
        <w:rPr>
          <w:i/>
          <w:iCs/>
        </w:rPr>
        <w:t>ESC Heart Failure</w:t>
      </w:r>
      <w:r w:rsidRPr="00A97205">
        <w:t>, 9(5), pp. 2808–2822. Available at: https://doi.org/10.1002/ehf2.14022.</w:t>
      </w:r>
    </w:p>
    <w:p w14:paraId="16AC8700" w14:textId="77777777" w:rsidR="0031594F" w:rsidRPr="00022E73" w:rsidRDefault="0031594F" w:rsidP="00022E73">
      <w:r w:rsidRPr="00022E73">
        <w:t xml:space="preserve">Hamblin, K. (2020) ‘Technology and social care in a digital world: challenges and opportunities in the UK’, </w:t>
      </w:r>
      <w:r w:rsidRPr="00022E73">
        <w:rPr>
          <w:i/>
          <w:iCs/>
        </w:rPr>
        <w:t>Journal of enabling technologies</w:t>
      </w:r>
      <w:r w:rsidRPr="00022E73">
        <w:t>, 14(2), pp. 115–125. Available at: https://doi.org/10.1108/JET-11-2019-0052.</w:t>
      </w:r>
    </w:p>
    <w:p w14:paraId="73C3D075" w14:textId="592D521E" w:rsidR="0031594F" w:rsidRDefault="0031594F" w:rsidP="00C43EF4">
      <w:r w:rsidRPr="00C43EF4">
        <w:lastRenderedPageBreak/>
        <w:t xml:space="preserve">Ilali, M., Le Berre, M., Vedel, I. and Khanassov, V. (2023). Telemedicine in the primary care of older adults: a systematic mixed studies review. </w:t>
      </w:r>
      <w:r w:rsidRPr="00C43EF4">
        <w:rPr>
          <w:i/>
          <w:iCs/>
        </w:rPr>
        <w:t>BMC primary care</w:t>
      </w:r>
      <w:r>
        <w:t>.</w:t>
      </w:r>
      <w:r w:rsidRPr="00C43EF4">
        <w:t>24(1), p.1</w:t>
      </w:r>
      <w:r>
        <w:t xml:space="preserve"> </w:t>
      </w:r>
      <w:r w:rsidRPr="00C43EF4">
        <w:t xml:space="preserve">52. </w:t>
      </w:r>
      <w:r w:rsidR="003D723A" w:rsidRPr="00C43EF4">
        <w:t>Doi: https://doi.org/10.1186/s12875-023-02085-7</w:t>
      </w:r>
      <w:r w:rsidRPr="00C43EF4">
        <w:t>.</w:t>
      </w:r>
      <w:r>
        <w:t xml:space="preserve"> </w:t>
      </w:r>
      <w:r w:rsidRPr="00B74721">
        <w:t>[Accessed 20 Nov. 2025].</w:t>
      </w:r>
    </w:p>
    <w:p w14:paraId="3A2100F4" w14:textId="77777777" w:rsidR="0031594F" w:rsidRPr="008908E1" w:rsidRDefault="0031594F" w:rsidP="008908E1">
      <w:pPr>
        <w:rPr>
          <w:rFonts w:ascii="Arial" w:hAnsi="Arial" w:cs="Arial"/>
        </w:rPr>
      </w:pPr>
      <w:r w:rsidRPr="008908E1">
        <w:rPr>
          <w:rFonts w:ascii="Arial" w:hAnsi="Arial" w:cs="Arial"/>
        </w:rPr>
        <w:t xml:space="preserve">Liu, L. &amp; Ranson, S. (2020) </w:t>
      </w:r>
      <w:r w:rsidRPr="008908E1">
        <w:rPr>
          <w:rFonts w:ascii="Arial" w:hAnsi="Arial" w:cs="Arial"/>
          <w:i/>
          <w:iCs/>
        </w:rPr>
        <w:t>‘Wearable devices and fall detection in older adults: A systematic review’</w:t>
      </w:r>
      <w:r w:rsidRPr="008908E1">
        <w:rPr>
          <w:rFonts w:ascii="Arial" w:hAnsi="Arial" w:cs="Arial"/>
        </w:rPr>
        <w:t>, Journal of Geriatric Care, 12(3), pp. 45–54.</w:t>
      </w:r>
      <w:r w:rsidRPr="00B74721">
        <w:t xml:space="preserve"> [Accessed 20 Nov. 2025].</w:t>
      </w:r>
    </w:p>
    <w:p w14:paraId="1F2E7293" w14:textId="77777777" w:rsidR="0031594F" w:rsidRDefault="0031594F" w:rsidP="00A97205">
      <w:r w:rsidRPr="00C43EF4">
        <w:t xml:space="preserve">Liz, D. (2021).  Basic HostingNC Template. Available at: </w:t>
      </w:r>
      <w:hyperlink r:id="rId10" w:history="1">
        <w:r w:rsidRPr="00C43EF4">
          <w:rPr>
            <w:rStyle w:val="Hyperlink"/>
          </w:rPr>
          <w:t>https://drlizgeriatrics.com/resources/benefits-of-telehealth-for-geriatric-care/</w:t>
        </w:r>
      </w:hyperlink>
      <w:r>
        <w:t xml:space="preserve"> </w:t>
      </w:r>
      <w:r w:rsidRPr="00B74721">
        <w:t>[Accessed 20 Nov. 2025].</w:t>
      </w:r>
    </w:p>
    <w:p w14:paraId="53EE3463" w14:textId="77777777" w:rsidR="0031594F" w:rsidRPr="00A97205" w:rsidRDefault="0031594F" w:rsidP="00A97205">
      <w:r w:rsidRPr="0031594F">
        <w:rPr>
          <w:lang w:val="nl-NL"/>
        </w:rPr>
        <w:t xml:space="preserve">McQuown, C.M. </w:t>
      </w:r>
      <w:r w:rsidRPr="0031594F">
        <w:rPr>
          <w:i/>
          <w:iCs/>
          <w:lang w:val="nl-NL"/>
        </w:rPr>
        <w:t>et al.</w:t>
      </w:r>
      <w:r w:rsidRPr="0031594F">
        <w:rPr>
          <w:lang w:val="nl-NL"/>
        </w:rPr>
        <w:t xml:space="preserve"> </w:t>
      </w:r>
      <w:r w:rsidRPr="00A97205">
        <w:t>(2023) ‘Telehealth for geriatric post</w:t>
      </w:r>
      <w:r w:rsidRPr="00A97205">
        <w:rPr>
          <w:rFonts w:ascii="Cambria Math" w:hAnsi="Cambria Math" w:cs="Cambria Math"/>
        </w:rPr>
        <w:t>‐</w:t>
      </w:r>
      <w:r w:rsidRPr="00A97205">
        <w:t>emergency department visits to promote age</w:t>
      </w:r>
      <w:r w:rsidRPr="00A97205">
        <w:rPr>
          <w:rFonts w:ascii="Cambria Math" w:hAnsi="Cambria Math" w:cs="Cambria Math"/>
        </w:rPr>
        <w:t>‐</w:t>
      </w:r>
      <w:r w:rsidRPr="00A97205">
        <w:t>friendly care</w:t>
      </w:r>
      <w:r w:rsidRPr="00A97205">
        <w:rPr>
          <w:rFonts w:ascii="Aptos" w:hAnsi="Aptos" w:cs="Aptos"/>
        </w:rPr>
        <w:t>’</w:t>
      </w:r>
      <w:r w:rsidRPr="00A97205">
        <w:t xml:space="preserve">, </w:t>
      </w:r>
      <w:r w:rsidRPr="00A97205">
        <w:rPr>
          <w:i/>
          <w:iCs/>
        </w:rPr>
        <w:t>Health services research</w:t>
      </w:r>
      <w:r w:rsidRPr="00A97205">
        <w:t>, 58(S1), pp. 16–25. Available at: https://doi.org/10.1111/1475-6773.14058.</w:t>
      </w:r>
    </w:p>
    <w:p w14:paraId="20D83DE7" w14:textId="4C0B9C6E" w:rsidR="0031594F" w:rsidRPr="0031594F" w:rsidRDefault="0031594F" w:rsidP="008F4692">
      <w:r w:rsidRPr="00297DF2">
        <w:t xml:space="preserve">NHS (2023). </w:t>
      </w:r>
      <w:r w:rsidRPr="00297DF2">
        <w:rPr>
          <w:i/>
          <w:iCs/>
        </w:rPr>
        <w:t>NHS England» Medical devices and digital tools</w:t>
      </w:r>
      <w:r w:rsidRPr="00297DF2">
        <w:t xml:space="preserve">. www.england.nhs.uk. Available at: </w:t>
      </w:r>
      <w:hyperlink r:id="rId11" w:history="1">
        <w:r w:rsidRPr="00297DF2">
          <w:rPr>
            <w:rStyle w:val="Hyperlink"/>
          </w:rPr>
          <w:t>https://www.england.nhs.uk/long-read/medical-devices-and-digital-tools/</w:t>
        </w:r>
      </w:hyperlink>
      <w:r w:rsidRPr="00297DF2">
        <w:t>.</w:t>
      </w:r>
      <w:r>
        <w:t xml:space="preserve"> </w:t>
      </w:r>
      <w:r w:rsidRPr="00B74721">
        <w:t>[Accessed 20 Nov. 2025].</w:t>
      </w:r>
    </w:p>
    <w:p w14:paraId="22CB95F8" w14:textId="77777777" w:rsidR="0031594F" w:rsidRPr="00F074A8" w:rsidRDefault="0031594F" w:rsidP="00F074A8">
      <w:r w:rsidRPr="00F074A8">
        <w:t xml:space="preserve">Rouxel, P., Webb, E. and Chandola, T. (2017) ‘Does public transport use prevent declines in walking speed among older adults living in England? A prospective cohort study’, </w:t>
      </w:r>
      <w:r w:rsidRPr="00F074A8">
        <w:rPr>
          <w:i/>
          <w:iCs/>
        </w:rPr>
        <w:t>BMJ open</w:t>
      </w:r>
      <w:r w:rsidRPr="00F074A8">
        <w:t>, 7(9), p. e017702. Available at: https://doi.org/10.1136/bmjopen-2017-017702.</w:t>
      </w:r>
    </w:p>
    <w:p w14:paraId="774516C5" w14:textId="77777777" w:rsidR="0031594F" w:rsidRPr="008908E1" w:rsidRDefault="0031594F" w:rsidP="008908E1">
      <w:pPr>
        <w:rPr>
          <w:rFonts w:ascii="Arial" w:hAnsi="Arial" w:cs="Arial"/>
        </w:rPr>
      </w:pPr>
      <w:r w:rsidRPr="008908E1">
        <w:rPr>
          <w:rFonts w:ascii="Arial" w:hAnsi="Arial" w:cs="Arial"/>
        </w:rPr>
        <w:t xml:space="preserve">Serrano, K., Ahmed, T. &amp; Wong, C. (2022) </w:t>
      </w:r>
      <w:r w:rsidRPr="008908E1">
        <w:rPr>
          <w:rFonts w:ascii="Arial" w:hAnsi="Arial" w:cs="Arial"/>
          <w:i/>
          <w:iCs/>
        </w:rPr>
        <w:t>‘Digital self-management tools and empowerment among older adults’</w:t>
      </w:r>
      <w:r w:rsidRPr="008908E1">
        <w:rPr>
          <w:rFonts w:ascii="Arial" w:hAnsi="Arial" w:cs="Arial"/>
        </w:rPr>
        <w:t>, Digital Health Research Journal, 8(2), pp. 112–124.</w:t>
      </w:r>
      <w:r w:rsidRPr="00B74721">
        <w:t xml:space="preserve"> [Accessed 20 Nov. 2025].</w:t>
      </w:r>
    </w:p>
    <w:p w14:paraId="30876EF1" w14:textId="77777777" w:rsidR="0031594F" w:rsidRPr="00B43F1D" w:rsidRDefault="0031594F" w:rsidP="00B43F1D">
      <w:pPr>
        <w:rPr>
          <w:rFonts w:ascii="Arial" w:hAnsi="Arial" w:cs="Arial"/>
        </w:rPr>
      </w:pPr>
      <w:r w:rsidRPr="00B43F1D">
        <w:rPr>
          <w:rFonts w:ascii="Arial" w:hAnsi="Arial" w:cs="Arial"/>
        </w:rPr>
        <w:t xml:space="preserve">Weber, M. </w:t>
      </w:r>
      <w:r w:rsidRPr="00B43F1D">
        <w:rPr>
          <w:rFonts w:ascii="Arial" w:hAnsi="Arial" w:cs="Arial"/>
          <w:i/>
          <w:iCs/>
        </w:rPr>
        <w:t>et al.</w:t>
      </w:r>
      <w:r w:rsidRPr="00B43F1D">
        <w:rPr>
          <w:rFonts w:ascii="Arial" w:hAnsi="Arial" w:cs="Arial"/>
        </w:rPr>
        <w:t xml:space="preserve"> (2023) ‘Needs assessment in community-dwelling older adults toward digital interventions to promote physical activity: Cross-sectional survey study’, </w:t>
      </w:r>
      <w:r w:rsidRPr="00B43F1D">
        <w:rPr>
          <w:rFonts w:ascii="Arial" w:hAnsi="Arial" w:cs="Arial"/>
          <w:i/>
          <w:iCs/>
        </w:rPr>
        <w:t>Digital health</w:t>
      </w:r>
      <w:r w:rsidRPr="00B43F1D">
        <w:rPr>
          <w:rFonts w:ascii="Arial" w:hAnsi="Arial" w:cs="Arial"/>
        </w:rPr>
        <w:t xml:space="preserve">, 9, p. 20552076231203785. Available at: </w:t>
      </w:r>
      <w:hyperlink r:id="rId12" w:history="1">
        <w:r w:rsidRPr="00B43F1D">
          <w:rPr>
            <w:rStyle w:val="Hyperlink"/>
            <w:rFonts w:ascii="Arial" w:hAnsi="Arial" w:cs="Arial"/>
          </w:rPr>
          <w:t>https://doi.org/10.1177/20552076231203785</w:t>
        </w:r>
      </w:hyperlink>
      <w:r w:rsidRPr="00B43F1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B74721">
        <w:t>[Accessed 20 Nov. 2025].</w:t>
      </w:r>
    </w:p>
    <w:p w14:paraId="56B7D244" w14:textId="77777777" w:rsidR="0031594F" w:rsidRPr="007D25D2" w:rsidRDefault="0031594F" w:rsidP="007D25D2">
      <w:r w:rsidRPr="007D25D2">
        <w:t xml:space="preserve">Welch, V. </w:t>
      </w:r>
      <w:r w:rsidRPr="007D25D2">
        <w:rPr>
          <w:i/>
          <w:iCs/>
        </w:rPr>
        <w:t>et al.</w:t>
      </w:r>
      <w:r w:rsidRPr="007D25D2">
        <w:t xml:space="preserve"> (2021) ‘Health, social care and technological interventions to improve functional ability of older adults living at home: An evidence and gap map’, </w:t>
      </w:r>
      <w:r w:rsidRPr="007D25D2">
        <w:rPr>
          <w:i/>
          <w:iCs/>
        </w:rPr>
        <w:t>Campbell systematic review</w:t>
      </w:r>
      <w:r w:rsidRPr="007D25D2">
        <w:t>, 17(3), pp. e1175-n/a. Available at: https://doi.org/10.1002/cl2.1175.</w:t>
      </w:r>
    </w:p>
    <w:p w14:paraId="650A55D0" w14:textId="77777777" w:rsidR="0031594F" w:rsidRPr="001D6268" w:rsidRDefault="0031594F" w:rsidP="001D6268">
      <w:pPr>
        <w:rPr>
          <w:rFonts w:ascii="Arial" w:hAnsi="Arial" w:cs="Arial"/>
        </w:rPr>
      </w:pPr>
      <w:r w:rsidRPr="001D6268">
        <w:rPr>
          <w:rFonts w:ascii="Arial" w:hAnsi="Arial" w:cs="Arial"/>
        </w:rPr>
        <w:t xml:space="preserve">WHO (2021). </w:t>
      </w:r>
      <w:r w:rsidRPr="001D6268">
        <w:rPr>
          <w:rFonts w:ascii="Arial" w:hAnsi="Arial" w:cs="Arial"/>
          <w:i/>
          <w:iCs/>
        </w:rPr>
        <w:t>Global strategy on digital health 2020-2025</w:t>
      </w:r>
      <w:r w:rsidRPr="001D6268">
        <w:rPr>
          <w:rFonts w:ascii="Arial" w:hAnsi="Arial" w:cs="Arial"/>
        </w:rPr>
        <w:t xml:space="preserve">.  Available at: </w:t>
      </w:r>
      <w:hyperlink r:id="rId13" w:history="1">
        <w:r w:rsidRPr="001D6268">
          <w:rPr>
            <w:rStyle w:val="Hyperlink"/>
            <w:rFonts w:ascii="Arial" w:hAnsi="Arial" w:cs="Arial"/>
          </w:rPr>
          <w:t>https://www.who.int/docs/default-</w:t>
        </w:r>
        <w:r w:rsidRPr="001F6499">
          <w:rPr>
            <w:rStyle w:val="Hyperlink"/>
            <w:rFonts w:ascii="Arial" w:hAnsi="Arial" w:cs="Arial"/>
          </w:rPr>
          <w:t xml:space="preserve"> </w:t>
        </w:r>
        <w:r w:rsidRPr="00B74721">
          <w:rPr>
            <w:rStyle w:val="Hyperlink"/>
          </w:rPr>
          <w:t>[Accessed 20 Nov. 2025]</w:t>
        </w:r>
        <w:r w:rsidRPr="001F6499">
          <w:rPr>
            <w:rStyle w:val="Hyperlink"/>
          </w:rPr>
          <w:t xml:space="preserve"> </w:t>
        </w:r>
        <w:r w:rsidRPr="00B74721">
          <w:rPr>
            <w:rStyle w:val="Hyperlink"/>
          </w:rPr>
          <w:t>.</w:t>
        </w:r>
        <w:r w:rsidRPr="001D6268">
          <w:rPr>
            <w:rStyle w:val="Hyperlink"/>
            <w:rFonts w:ascii="Arial" w:hAnsi="Arial" w:cs="Arial"/>
          </w:rPr>
          <w:t>source/documents/gs4dhdaa2a9f352b0445bafbc79ca799dce4d.pdf</w:t>
        </w:r>
      </w:hyperlink>
      <w:r w:rsidRPr="001D626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588B07F8" w14:textId="77777777" w:rsidR="0031594F" w:rsidRPr="00697E77" w:rsidRDefault="0031594F" w:rsidP="00697E77">
      <w:r w:rsidRPr="00697E77">
        <w:t xml:space="preserve">Wong, A. </w:t>
      </w:r>
      <w:r w:rsidRPr="00697E77">
        <w:rPr>
          <w:i/>
          <w:iCs/>
        </w:rPr>
        <w:t>et al.</w:t>
      </w:r>
      <w:r w:rsidRPr="00697E77">
        <w:t xml:space="preserve"> (2025) ‘Supporting older people through Hospital at Home care: a systematic review of patient, carer and healthcare professionals’ perspectives’, </w:t>
      </w:r>
      <w:r w:rsidRPr="00697E77">
        <w:rPr>
          <w:i/>
          <w:iCs/>
        </w:rPr>
        <w:t>Age and ageing</w:t>
      </w:r>
      <w:r w:rsidRPr="00697E77">
        <w:t>, 54(2). Available at: https://doi.org/10.1093/ageing/afaf033.</w:t>
      </w:r>
    </w:p>
    <w:p w14:paraId="68BD9526" w14:textId="77777777" w:rsidR="0031594F" w:rsidRPr="004814DB" w:rsidRDefault="0031594F" w:rsidP="004814DB">
      <w:r w:rsidRPr="004814DB">
        <w:lastRenderedPageBreak/>
        <w:t xml:space="preserve">Ziefle, M. and Bay, S. (2005) ‘How older adults meet complexity: Aging effects on the usability of different mobile phones’, </w:t>
      </w:r>
      <w:r w:rsidRPr="004814DB">
        <w:rPr>
          <w:i/>
          <w:iCs/>
        </w:rPr>
        <w:t>Behaviour &amp; information technology</w:t>
      </w:r>
      <w:r w:rsidRPr="004814DB">
        <w:t>, 24(5), pp. 375–389. Available at: https://doi.org/10.1080/0144929042000320009.</w:t>
      </w:r>
    </w:p>
    <w:p w14:paraId="1B96EA7D" w14:textId="77777777" w:rsidR="008908E1" w:rsidRDefault="008908E1" w:rsidP="008F4692"/>
    <w:p w14:paraId="4C3E6E57" w14:textId="77777777" w:rsidR="008908E1" w:rsidRDefault="008908E1" w:rsidP="008F4692"/>
    <w:p w14:paraId="52B96D58" w14:textId="77777777" w:rsidR="008908E1" w:rsidRPr="008F4692" w:rsidRDefault="008908E1" w:rsidP="008F4692"/>
    <w:p w14:paraId="48EE57E8" w14:textId="77777777" w:rsidR="008F4692" w:rsidRPr="008F4692" w:rsidRDefault="008F4692" w:rsidP="008F4692"/>
    <w:p w14:paraId="7ECDE82D" w14:textId="77777777" w:rsidR="008A4A46" w:rsidRDefault="008A4A46"/>
    <w:sectPr w:rsidR="008A4A46" w:rsidSect="00293EE8">
      <w:pgSz w:w="11906" w:h="16838"/>
      <w:pgMar w:top="1440" w:right="1440" w:bottom="1440" w:left="1440" w:header="708" w:footer="708" w:gutter="0"/>
      <w:pgBorders w:offsetFrom="page">
        <w:top w:val="single" w:sz="4" w:space="24" w:color="4EA72E" w:themeColor="accent6"/>
        <w:left w:val="single" w:sz="4" w:space="24" w:color="4EA72E" w:themeColor="accent6"/>
        <w:bottom w:val="single" w:sz="4" w:space="24" w:color="4EA72E" w:themeColor="accent6"/>
        <w:right w:val="single" w:sz="4" w:space="24" w:color="4EA72E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692"/>
    <w:rsid w:val="00022E73"/>
    <w:rsid w:val="0005356A"/>
    <w:rsid w:val="0005485D"/>
    <w:rsid w:val="00056FE2"/>
    <w:rsid w:val="001C3C1E"/>
    <w:rsid w:val="001D6268"/>
    <w:rsid w:val="002516FD"/>
    <w:rsid w:val="00293EE8"/>
    <w:rsid w:val="00297DF2"/>
    <w:rsid w:val="0031594F"/>
    <w:rsid w:val="003463DC"/>
    <w:rsid w:val="003D723A"/>
    <w:rsid w:val="004461A8"/>
    <w:rsid w:val="004814DB"/>
    <w:rsid w:val="005D359B"/>
    <w:rsid w:val="005D41C6"/>
    <w:rsid w:val="006409BA"/>
    <w:rsid w:val="00697E77"/>
    <w:rsid w:val="007D25D2"/>
    <w:rsid w:val="0083464D"/>
    <w:rsid w:val="00881C2C"/>
    <w:rsid w:val="008908E1"/>
    <w:rsid w:val="008A4A46"/>
    <w:rsid w:val="008B7C50"/>
    <w:rsid w:val="008D3CEB"/>
    <w:rsid w:val="008E5AAC"/>
    <w:rsid w:val="008F4692"/>
    <w:rsid w:val="00910D66"/>
    <w:rsid w:val="00923EC4"/>
    <w:rsid w:val="0097762D"/>
    <w:rsid w:val="009A4450"/>
    <w:rsid w:val="009C3FD6"/>
    <w:rsid w:val="00A704DC"/>
    <w:rsid w:val="00A97205"/>
    <w:rsid w:val="00AA5944"/>
    <w:rsid w:val="00AD3C1C"/>
    <w:rsid w:val="00AE1318"/>
    <w:rsid w:val="00B43F1D"/>
    <w:rsid w:val="00B74721"/>
    <w:rsid w:val="00C43EF4"/>
    <w:rsid w:val="00D525AB"/>
    <w:rsid w:val="00DC169D"/>
    <w:rsid w:val="00E35772"/>
    <w:rsid w:val="00E37DA6"/>
    <w:rsid w:val="00F074A8"/>
    <w:rsid w:val="00F3300B"/>
    <w:rsid w:val="00FB5F23"/>
    <w:rsid w:val="00FE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C5442"/>
  <w15:chartTrackingRefBased/>
  <w15:docId w15:val="{6E254979-027A-45E1-B00C-846608971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46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46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46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46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46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46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46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46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46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46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46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46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46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46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46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46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46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46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46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46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46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46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46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46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46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46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46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46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469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D62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62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www.who.int/docs/default-%20%5bAccessed%2020%20Nov.%202025%5d%20.source/documents/gs4dhdaa2a9f352b0445bafbc79ca799dce4d.pdf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doi.org/10.1177/20552076231203785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ngland.nhs.uk/long-read/medical-devices-and-digital-tools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drlizgeriatrics.com/resources/benefits-of-telehealth-for-geriatric-care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ov.uk/government/publications/a-plan-for-digital-health-and-social-care/a-plan-for-digital-health-and-social-car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373125B30C624482E5CCB36DAD3C96" ma:contentTypeVersion="13" ma:contentTypeDescription="Create a new document." ma:contentTypeScope="" ma:versionID="99156e473d830ef0089171e6d66facab">
  <xsd:schema xmlns:xsd="http://www.w3.org/2001/XMLSchema" xmlns:xs="http://www.w3.org/2001/XMLSchema" xmlns:p="http://schemas.microsoft.com/office/2006/metadata/properties" xmlns:ns3="8a4964b5-9709-4dd1-ba39-f7e78650a4ff" xmlns:ns4="41fa4e0a-074b-4f52-8a7a-a9f5c57b5e7f" targetNamespace="http://schemas.microsoft.com/office/2006/metadata/properties" ma:root="true" ma:fieldsID="a2cc0dcd89cc013957b0caf5d2d03e76" ns3:_="" ns4:_="">
    <xsd:import namespace="8a4964b5-9709-4dd1-ba39-f7e78650a4ff"/>
    <xsd:import namespace="41fa4e0a-074b-4f52-8a7a-a9f5c57b5e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4964b5-9709-4dd1-ba39-f7e78650a4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a4e0a-074b-4f52-8a7a-a9f5c57b5e7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4964b5-9709-4dd1-ba39-f7e78650a4ff" xsi:nil="true"/>
  </documentManagement>
</p:properties>
</file>

<file path=customXml/itemProps1.xml><?xml version="1.0" encoding="utf-8"?>
<ds:datastoreItem xmlns:ds="http://schemas.openxmlformats.org/officeDocument/2006/customXml" ds:itemID="{47F524E9-BB2E-4E51-B799-B990A3E7D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4964b5-9709-4dd1-ba39-f7e78650a4ff"/>
    <ds:schemaRef ds:uri="41fa4e0a-074b-4f52-8a7a-a9f5c57b5e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666F78-3E78-4D53-84CA-1451C47298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1F9920-CAB8-4FCE-A147-2D770E0B3400}">
  <ds:schemaRefs>
    <ds:schemaRef ds:uri="http://schemas.microsoft.com/office/2006/metadata/properties"/>
    <ds:schemaRef ds:uri="http://schemas.microsoft.com/office/infopath/2007/PartnerControls"/>
    <ds:schemaRef ds:uri="8a4964b5-9709-4dd1-ba39-f7e78650a4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Maureen McDermott (2243145)</dc:creator>
  <cp:keywords/>
  <dc:description/>
  <cp:lastModifiedBy>Sharon Maureen McDermott (2243145)</cp:lastModifiedBy>
  <cp:revision>4</cp:revision>
  <dcterms:created xsi:type="dcterms:W3CDTF">2025-12-01T14:35:00Z</dcterms:created>
  <dcterms:modified xsi:type="dcterms:W3CDTF">2025-12-02T08:58:00Z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0x01010015373125B30C624482E5CCB36DAD3C96</vt:lpwstr>
  </property>
</Properties>
</file>