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F0396D" w14:textId="77777777" w:rsidR="009C0ED8" w:rsidRDefault="009C0ED8" w:rsidP="009C0ED8">
      <w:pPr>
        <w:spacing w:after="80"/>
        <w:jc w:val="center"/>
      </w:pPr>
      <w:r>
        <w:rPr>
          <w:b/>
          <w:bCs/>
          <w:color w:val="1A3A5C"/>
          <w:sz w:val="30"/>
          <w:szCs w:val="30"/>
        </w:rPr>
        <w:t>UNIVERSITY OF WALES TRINITY SAINT DAVID</w:t>
      </w:r>
    </w:p>
    <w:p w14:paraId="2FD7CFAF" w14:textId="77777777" w:rsidR="009C0ED8" w:rsidRDefault="009C0ED8" w:rsidP="009C0ED8">
      <w:pPr>
        <w:spacing w:after="60"/>
        <w:jc w:val="center"/>
      </w:pPr>
      <w:r>
        <w:rPr>
          <w:color w:val="555555"/>
        </w:rPr>
        <w:t>BA (Hons) Leadership and Management Skills for the Workplace</w:t>
      </w:r>
    </w:p>
    <w:p w14:paraId="05473230" w14:textId="77777777" w:rsidR="00B37553" w:rsidRPr="00620E47" w:rsidRDefault="00620E47" w:rsidP="009C0ED8">
      <w:pPr>
        <w:spacing w:after="480"/>
        <w:rPr>
          <w:sz w:val="24"/>
          <w:szCs w:val="24"/>
        </w:rPr>
      </w:pPr>
      <w:r>
        <w:rPr>
          <w:noProof/>
          <w:sz w:val="24"/>
          <w:szCs w:val="24"/>
          <w14:ligatures w14:val="standardContextual"/>
        </w:rPr>
        <mc:AlternateContent>
          <mc:Choice Requires="wps">
            <w:drawing>
              <wp:anchor distT="0" distB="0" distL="114300" distR="114300" simplePos="0" relativeHeight="251658241" behindDoc="0" locked="0" layoutInCell="1" allowOverlap="1" wp14:anchorId="1A9070A2" wp14:editId="027C03D1">
                <wp:simplePos x="0" y="0"/>
                <wp:positionH relativeFrom="column">
                  <wp:posOffset>143434</wp:posOffset>
                </wp:positionH>
                <wp:positionV relativeFrom="paragraph">
                  <wp:posOffset>60288</wp:posOffset>
                </wp:positionV>
                <wp:extent cx="5522259" cy="0"/>
                <wp:effectExtent l="0" t="0" r="0" b="0"/>
                <wp:wrapNone/>
                <wp:docPr id="2113619450" name="Straight Connector 2"/>
                <wp:cNvGraphicFramePr/>
                <a:graphic xmlns:a="http://schemas.openxmlformats.org/drawingml/2006/main">
                  <a:graphicData uri="http://schemas.microsoft.com/office/word/2010/wordprocessingShape">
                    <wps:wsp>
                      <wps:cNvCnPr/>
                      <wps:spPr>
                        <a:xfrm>
                          <a:off x="0" y="0"/>
                          <a:ext cx="5522259" cy="0"/>
                        </a:xfrm>
                        <a:prstGeom prst="line">
                          <a:avLst/>
                        </a:prstGeom>
                        <a:ln>
                          <a:solidFill>
                            <a:srgbClr val="F9F373"/>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0D7CD79" id="Straight Connector 2" o:spid="_x0000_s1026" style="position:absolute;z-index:251658241;visibility:visible;mso-wrap-style:square;mso-wrap-distance-left:9pt;mso-wrap-distance-top:0;mso-wrap-distance-right:9pt;mso-wrap-distance-bottom:0;mso-position-horizontal:absolute;mso-position-horizontal-relative:text;mso-position-vertical:absolute;mso-position-vertical-relative:text" from="11.3pt,4.75pt" to="446.1pt,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" strokecolor="#f9f373" strokeweight="1.5pt">
                <v:stroke joinstyle="miter"/>
              </v:line>
            </w:pict>
          </mc:Fallback>
        </mc:AlternateContent>
      </w:r>
    </w:p>
    <w:p w14:paraId="175D051A" w14:textId="77777777" w:rsidR="00B37553" w:rsidRPr="00620E47" w:rsidRDefault="00B37553" w:rsidP="00694A60">
      <w:pPr>
        <w:spacing w:after="480"/>
        <w:jc w:val="center"/>
        <w:rPr>
          <w:sz w:val="24"/>
          <w:szCs w:val="24"/>
        </w:rPr>
      </w:pPr>
      <w:r>
        <w:rPr>
          <w:b/>
          <w:bCs/>
          <w:sz w:val="24"/>
          <w:szCs w:val="24"/>
        </w:rPr>
        <w:t>Module Name:</w:t>
      </w:r>
      <w:r>
        <w:rPr>
          <w:sz w:val="24"/>
          <w:szCs w:val="24"/>
        </w:rPr>
        <w:t>   </w:t>
      </w:r>
      <w:r>
        <w:rPr>
          <w:color w:val="000000"/>
          <w:sz w:val="24"/>
          <w:szCs w:val="24"/>
        </w:rPr>
        <w:t>Leading and Implementing Change</w:t>
      </w:r>
    </w:p>
    <w:p w14:paraId="6699699F" w14:textId="77777777" w:rsidR="00B37553" w:rsidRPr="00620E47" w:rsidRDefault="00B37553" w:rsidP="00694A60">
      <w:pPr>
        <w:spacing w:after="480"/>
        <w:jc w:val="center"/>
        <w:rPr>
          <w:sz w:val="24"/>
          <w:szCs w:val="24"/>
        </w:rPr>
      </w:pPr>
      <w:r>
        <w:rPr>
          <w:b/>
          <w:bCs/>
          <w:sz w:val="24"/>
          <w:szCs w:val="24"/>
        </w:rPr>
        <w:t>Module Code:</w:t>
      </w:r>
      <w:r>
        <w:rPr>
          <w:i/>
          <w:iCs/>
          <w:sz w:val="24"/>
          <w:szCs w:val="24"/>
        </w:rPr>
        <w:t> </w:t>
      </w:r>
      <w:r>
        <w:rPr>
          <w:sz w:val="24"/>
          <w:szCs w:val="24"/>
        </w:rPr>
        <w:t>  </w:t>
      </w:r>
      <w:r>
        <w:rPr>
          <w:color w:val="000000"/>
          <w:sz w:val="24"/>
          <w:szCs w:val="24"/>
        </w:rPr>
        <w:t>LCLM6003</w:t>
      </w:r>
    </w:p>
    <w:p w14:paraId="2675D4ED" w14:textId="77777777" w:rsidR="00B37553" w:rsidRDefault="00B37553" w:rsidP="009C0ED8">
      <w:pPr>
        <w:spacing w:after="480"/>
      </w:pPr>
    </w:p>
    <w:p w14:paraId="11764B9C" w14:textId="77777777" w:rsidR="00240BA6" w:rsidRDefault="00240BA6" w:rsidP="009C0ED8">
      <w:pPr>
        <w:spacing w:after="60"/>
        <w:jc w:val="center"/>
        <w:rPr>
          <w:color w:val="555555"/>
        </w:rPr>
      </w:pPr>
    </w:p>
    <w:p w14:paraId="023F6C67" w14:textId="77777777" w:rsidR="00240BA6" w:rsidRDefault="00240BA6" w:rsidP="009C0ED8">
      <w:pPr>
        <w:spacing w:after="60"/>
        <w:jc w:val="center"/>
        <w:rPr>
          <w:color w:val="555555"/>
        </w:rPr>
      </w:pPr>
    </w:p>
    <w:p w14:paraId="562E5EE5" w14:textId="77777777" w:rsidR="00240BA6" w:rsidRDefault="00620E47" w:rsidP="009C0ED8">
      <w:pPr>
        <w:spacing w:after="60"/>
        <w:jc w:val="center"/>
        <w:rPr>
          <w:color w:val="555555"/>
        </w:rPr>
      </w:pPr>
      <w:r>
        <w:rPr>
          <w:noProof/>
          <w:color w:val="555555"/>
          <w14:ligatures w14:val="standardContextual"/>
        </w:rPr>
        <mc:AlternateContent>
          <mc:Choice Requires="wps">
            <w:drawing>
              <wp:anchor distT="0" distB="0" distL="114300" distR="114300" simplePos="0" relativeHeight="251658240" behindDoc="0" locked="0" layoutInCell="1" allowOverlap="1" wp14:anchorId="78EE4FA1" wp14:editId="3E3BE30C">
                <wp:simplePos x="0" y="0"/>
                <wp:positionH relativeFrom="column">
                  <wp:posOffset>223968</wp:posOffset>
                </wp:positionH>
                <wp:positionV relativeFrom="paragraph">
                  <wp:posOffset>150645</wp:posOffset>
                </wp:positionV>
                <wp:extent cx="5369747" cy="1604682"/>
                <wp:effectExtent l="0" t="0" r="21590" b="14605"/>
                <wp:wrapNone/>
                <wp:docPr id="217013571" name="Rectangle 1"/>
                <wp:cNvGraphicFramePr/>
                <a:graphic xmlns:a="http://schemas.openxmlformats.org/drawingml/2006/main">
                  <a:graphicData uri="http://schemas.microsoft.com/office/word/2010/wordprocessingShape">
                    <wps:wsp>
                      <wps:cNvSpPr/>
                      <wps:spPr>
                        <a:xfrm>
                          <a:off x="0" y="0"/>
                          <a:ext cx="5369747" cy="1604682"/>
                        </a:xfrm>
                        <a:prstGeom prst="rect">
                          <a:avLst/>
                        </a:prstGeom>
                        <a:noFill/>
                        <a:ln w="19050">
                          <a:solidFill>
                            <a:srgbClr val="F9F373"/>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BD171C0" id="Rectangle 1" o:spid="_x0000_s1026" style="position:absolute;margin-left:17.65pt;margin-top:11.85pt;width:422.8pt;height:126.35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" filled="f" strokecolor="#f9f373" strokeweight="1.5pt"/>
            </w:pict>
          </mc:Fallback>
        </mc:AlternateContent>
      </w:r>
    </w:p>
    <w:p w14:paraId="4BFB48DD" w14:textId="77777777" w:rsidR="00240BA6" w:rsidRDefault="00240BA6" w:rsidP="009C0ED8">
      <w:pPr>
        <w:spacing w:after="60"/>
        <w:jc w:val="center"/>
        <w:rPr>
          <w:color w:val="555555"/>
        </w:rPr>
      </w:pPr>
    </w:p>
    <w:p w14:paraId="022736AF" w14:textId="77777777" w:rsidR="009C0ED8" w:rsidRPr="00B37553" w:rsidRDefault="009C0ED8" w:rsidP="00B37553">
      <w:pPr>
        <w:spacing w:after="60" w:line="360" w:lineRule="auto"/>
        <w:jc w:val="center"/>
        <w:rPr>
          <w:sz w:val="28"/>
          <w:szCs w:val="28"/>
        </w:rPr>
      </w:pPr>
      <w:r>
        <w:rPr>
          <w:color w:val="555555"/>
          <w:sz w:val="28"/>
          <w:szCs w:val="28"/>
        </w:rPr>
        <w:t>A Strategic Change Plan for</w:t>
      </w:r>
    </w:p>
    <w:p w14:paraId="3569765F" w14:textId="77777777" w:rsidR="009C0ED8" w:rsidRPr="00B37553" w:rsidRDefault="009C0ED8" w:rsidP="00B37553">
      <w:pPr>
        <w:spacing w:after="60" w:line="360" w:lineRule="auto"/>
        <w:jc w:val="center"/>
        <w:rPr>
          <w:sz w:val="32"/>
          <w:szCs w:val="32"/>
        </w:rPr>
      </w:pPr>
      <w:r>
        <w:rPr>
          <w:b/>
          <w:bCs/>
          <w:color w:val="1A3A5C"/>
          <w:sz w:val="32"/>
          <w:szCs w:val="32"/>
        </w:rPr>
        <w:t>Aston Martin Lagonda Global Holdings PLC</w:t>
      </w:r>
    </w:p>
    <w:p w14:paraId="29EEE718" w14:textId="77777777" w:rsidR="009C0ED8" w:rsidRPr="00B37553" w:rsidRDefault="009C0ED8" w:rsidP="00B37553">
      <w:pPr>
        <w:spacing w:after="480" w:line="360" w:lineRule="auto"/>
        <w:jc w:val="center"/>
        <w:rPr>
          <w:sz w:val="24"/>
          <w:szCs w:val="24"/>
        </w:rPr>
      </w:pPr>
      <w:r>
        <w:rPr>
          <w:i/>
          <w:iCs/>
          <w:color w:val="154360"/>
          <w:sz w:val="24"/>
          <w:szCs w:val="24"/>
        </w:rPr>
        <w:t>Navigating Digital Disruption, AI Integration and the Electric Vehicle Transition</w:t>
      </w:r>
    </w:p>
    <w:p w14:paraId="4D244043" w14:textId="77777777" w:rsidR="009C0ED8" w:rsidRDefault="009C0ED8" w:rsidP="009C0ED8">
      <w:pPr>
        <w:spacing w:after="320"/>
      </w:pPr>
    </w:p>
    <w:p w14:paraId="02C21B31" w14:textId="77777777" w:rsidR="009C0ED8" w:rsidRDefault="009C0ED8" w:rsidP="009C0ED8">
      <w:pPr>
        <w:spacing w:after="320"/>
      </w:pPr>
    </w:p>
    <w:p w14:paraId="6B99D9E6" w14:textId="77777777" w:rsidR="00B37553" w:rsidRPr="00620E47" w:rsidRDefault="00B37553" w:rsidP="00620E47">
      <w:pPr>
        <w:spacing w:after="320"/>
        <w:jc w:val="center"/>
        <w:rPr>
          <w:sz w:val="24"/>
          <w:szCs w:val="24"/>
        </w:rPr>
      </w:pPr>
      <w:r>
        <w:rPr>
          <w:b/>
          <w:bCs/>
          <w:sz w:val="24"/>
          <w:szCs w:val="24"/>
        </w:rPr>
        <w:t>Lecturer’s Name:</w:t>
      </w:r>
      <w:r>
        <w:rPr>
          <w:sz w:val="24"/>
          <w:szCs w:val="24"/>
        </w:rPr>
        <w:t>  Eric Osei</w:t>
      </w:r>
    </w:p>
    <w:p w14:paraId="0849481E" w14:textId="77777777" w:rsidR="00B37553" w:rsidRPr="00620E47" w:rsidRDefault="00B37553" w:rsidP="00620E47">
      <w:pPr>
        <w:spacing w:after="320"/>
        <w:jc w:val="center"/>
        <w:rPr>
          <w:sz w:val="24"/>
          <w:szCs w:val="24"/>
        </w:rPr>
      </w:pPr>
      <w:r>
        <w:rPr>
          <w:b/>
          <w:bCs/>
          <w:sz w:val="24"/>
          <w:szCs w:val="24"/>
        </w:rPr>
        <w:t>Student Name:</w:t>
      </w:r>
      <w:r>
        <w:rPr>
          <w:sz w:val="24"/>
          <w:szCs w:val="24"/>
        </w:rPr>
        <w:t> Pletea Bianca Mihaela  </w:t>
      </w:r>
    </w:p>
    <w:p w14:paraId="7E605F2B" w14:textId="77777777" w:rsidR="00B37553" w:rsidRPr="00620E47" w:rsidRDefault="00B37553" w:rsidP="00620E47">
      <w:pPr>
        <w:spacing w:after="320"/>
        <w:jc w:val="center"/>
        <w:rPr>
          <w:sz w:val="24"/>
          <w:szCs w:val="24"/>
        </w:rPr>
      </w:pPr>
      <w:r>
        <w:rPr>
          <w:b/>
          <w:bCs/>
          <w:sz w:val="24"/>
          <w:szCs w:val="24"/>
          <w:lang w:val="fr-FR"/>
        </w:rPr>
        <w:t>Student ID Number :</w:t>
      </w:r>
      <w:r>
        <w:rPr>
          <w:sz w:val="24"/>
          <w:szCs w:val="24"/>
          <w:lang w:val="fr-FR"/>
        </w:rPr>
        <w:t> 2323235 </w:t>
      </w:r>
      <w:r>
        <w:rPr>
          <w:sz w:val="24"/>
          <w:szCs w:val="24"/>
        </w:rPr>
        <w:t> </w:t>
      </w:r>
    </w:p>
    <w:p w14:paraId="522FDE45" w14:textId="77777777" w:rsidR="00B37553" w:rsidRDefault="00B37553" w:rsidP="00620E47">
      <w:pPr>
        <w:spacing w:after="320"/>
        <w:jc w:val="center"/>
      </w:pPr>
    </w:p>
    <w:p w14:paraId="116EDB67" w14:textId="77777777" w:rsidR="00620E47" w:rsidRDefault="00620E47" w:rsidP="00B37553">
      <w:pPr>
        <w:spacing w:after="320"/>
      </w:pPr>
    </w:p>
    <w:p w14:paraId="64E3CC31" w14:textId="77777777" w:rsidR="00B37553" w:rsidRPr="00B37553" w:rsidRDefault="00620E47" w:rsidP="00B37553">
      <w:pPr>
        <w:spacing w:after="320"/>
        <w:jc w:val="center"/>
      </w:pPr>
      <w:r>
        <w:rPr>
          <w:noProof/>
        </w:rPr>
        <w:drawing>
          <wp:inline distT="0" distB="0" distL="0" distR="0" wp14:anchorId="25DD9823" wp14:editId="41223581">
            <wp:extent cx="3487420" cy="1371600"/>
            <wp:effectExtent l="0" t="0" r="0" b="0"/>
            <wp:docPr id="3" name="Picture 2" descr="University of Wales Trinity Saint David's UK for Nepalese Students | Courses, Rankings &amp; Scholar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s UK for Nepalese Students | Courses, Rankings &amp; Scholarship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87420" cy="1371600"/>
                    </a:xfrm>
                    <a:prstGeom prst="rect">
                      <a:avLst/>
                    </a:prstGeom>
                    <a:noFill/>
                    <a:ln>
                      <a:noFill/>
                    </a:ln>
                  </pic:spPr>
                </pic:pic>
              </a:graphicData>
            </a:graphic>
          </wp:inline>
        </w:drawing>
      </w:r>
    </w:p>
    <w:p w14:paraId="121D6279" w14:textId="77777777" w:rsidR="009C0ED8" w:rsidRPr="00B37553" w:rsidRDefault="009C0ED8" w:rsidP="00DB45E0">
      <w:pPr>
        <w:spacing w:after="320"/>
      </w:pPr>
    </w:p>
    <w:p w14:paraId="0C577A4D" w14:textId="77777777" w:rsidR="009C0ED8" w:rsidRDefault="009C0ED8"/>
    <w:p w14:paraId="12FB943F" w14:textId="77777777" w:rsidR="009C0ED8" w:rsidRDefault="009C0ED8"/>
    <w:p w14:paraId="5872F82C" w14:textId="77777777" w:rsidR="000119F8" w:rsidRPr="002C7099" w:rsidRDefault="000119F8" w:rsidP="000119F8">
      <w:pPr>
        <w:pStyle w:val="Heading1"/>
        <w:rPr>
          <w:sz w:val="36"/>
          <w:szCs w:val="36"/>
        </w:rPr>
      </w:pPr>
      <w:bookmarkStart w:id="0" w:name="_Toc234016157"/>
      <w:bookmarkStart w:id="1" w:name="_Toc235361529"/>
      <w:r>
        <w:rPr>
          <w:rFonts w:ascii="Arial" w:eastAsia="Arial" w:hAnsi="Arial" w:cs="Arial"/>
          <w:b/>
          <w:bCs/>
          <w:color w:val="1A3A5C"/>
          <w:sz w:val="36"/>
          <w:szCs w:val="36"/>
        </w:rPr>
        <w:t>Executive Summary</w:t>
      </w:r>
      <w:bookmarkEnd w:id="0"/>
      <w:bookmarkEnd w:id="1"/>
    </w:p>
    <w:p w14:paraId="4DA78E2B" w14:textId="77777777" w:rsidR="000119F8" w:rsidRDefault="000119F8">
      <w:pPr>
        <w:spacing w:after="160" w:line="360" w:lineRule="auto"/>
        <w:jc w:val="both"/>
      </w:pPr>
      <w:r>
        <w:t>This report develops a strategic change plan for Aston Martin Lagonda Global Holdings PLC, a British luxury automotive manufacturer facing mounting pressure from digital disruption, artificial intelligence and the transition to electric vehicles. It examines how these forces, combined with a deteriorating financial position, make significant organisational change both necessary and urgent.</w:t>
      </w:r>
    </w:p>
    <w:p w14:paraId="3005EDD3" w14:textId="77777777" w:rsidR="000119F8" w:rsidRDefault="000119F8">
      <w:pPr>
        <w:spacing w:after="160" w:line="360" w:lineRule="auto"/>
        <w:jc w:val="both"/>
      </w:pPr>
      <w:r>
        <w:t>Drawing on PESTLE, Porter’s Five Forces and SWOT analysis, the report identifies regulatory compliance, US tariffs and accelerating competitor electrification as the most pressing external threats, set against the enduring strength of Aston Martin’s brand heritage and its technology partnerships with Lucid Group and Mercedes-Benz.</w:t>
      </w:r>
    </w:p>
    <w:p w14:paraId="6E818833" w14:textId="77777777" w:rsidR="000119F8" w:rsidRDefault="000119F8">
      <w:pPr>
        <w:spacing w:after="160" w:line="360" w:lineRule="auto"/>
        <w:jc w:val="both"/>
      </w:pPr>
      <w:r>
        <w:t>Three established change management models are evaluated and applied in combination: Lewin’s Three-Stage Model, which addresses the cultural and psychological dimensions of change; Kotter’s Eight-Step Plan, which structures the overall programme; and the ADKAR Model, which supports individual employees through the transition. The report further considers the leadership style and organisational culture required to embed this change successfully.</w:t>
      </w:r>
    </w:p>
    <w:p w14:paraId="7A52F07A" w14:textId="77777777" w:rsidR="000119F8" w:rsidRDefault="000119F8">
      <w:pPr>
        <w:spacing w:after="160" w:line="360" w:lineRule="auto"/>
        <w:jc w:val="both"/>
      </w:pPr>
      <w:r>
        <w:t>These findings inform a Strategic Change Management Plan for 2026 to 2028, comprising clear objectives, a financial plan, a communication plan and an evaluation framework. The report concludes that Aston Martin’s heritage represents a strategic asset rather than a barrier to change, and that disciplined, well-led change management offers a credible path towards a stronger and more sustainable future.</w:t>
      </w:r>
    </w:p>
    <w:p w14:paraId="5AE08483" w14:textId="77777777" w:rsidR="00701F59" w:rsidRDefault="00701F59">
      <w:pPr>
        <w:spacing w:after="160" w:line="360" w:lineRule="auto"/>
        <w:jc w:val="both"/>
      </w:pPr>
    </w:p>
    <w:p w14:paraId="724869BB" w14:textId="77777777" w:rsidR="00701F59" w:rsidRDefault="00701F59">
      <w:pPr>
        <w:spacing w:after="160" w:line="360" w:lineRule="auto"/>
        <w:jc w:val="both"/>
      </w:pPr>
    </w:p>
    <w:p w14:paraId="5F0D2A76" w14:textId="77777777" w:rsidR="00701F59" w:rsidRDefault="00701F59">
      <w:pPr>
        <w:spacing w:after="160" w:line="360" w:lineRule="auto"/>
        <w:jc w:val="both"/>
      </w:pPr>
    </w:p>
    <w:p w14:paraId="1722D0B4" w14:textId="77777777" w:rsidR="00701F59" w:rsidRDefault="00701F59">
      <w:pPr>
        <w:spacing w:after="160" w:line="360" w:lineRule="auto"/>
        <w:jc w:val="both"/>
      </w:pPr>
    </w:p>
    <w:p w14:paraId="2DAD4915" w14:textId="77777777" w:rsidR="00701F59" w:rsidRDefault="00701F59">
      <w:pPr>
        <w:spacing w:after="160" w:line="360" w:lineRule="auto"/>
        <w:jc w:val="both"/>
      </w:pPr>
    </w:p>
    <w:p w14:paraId="6BD96D3D" w14:textId="77777777" w:rsidR="00701F59" w:rsidRDefault="00701F59">
      <w:pPr>
        <w:spacing w:after="160" w:line="360" w:lineRule="auto"/>
        <w:jc w:val="both"/>
      </w:pPr>
    </w:p>
    <w:p w14:paraId="0F40A95C" w14:textId="77777777" w:rsidR="00701F59" w:rsidRDefault="00701F59">
      <w:pPr>
        <w:spacing w:after="160" w:line="360" w:lineRule="auto"/>
        <w:jc w:val="both"/>
      </w:pPr>
    </w:p>
    <w:p w14:paraId="3EADECFD" w14:textId="77777777" w:rsidR="00035AA7" w:rsidRDefault="00035AA7"/>
    <w:sdt>
      <w:sdtPr>
        <w:rPr>
          <w:rFonts w:ascii="Arial" w:eastAsia="Arial" w:hAnsi="Arial" w:cs="Arial"/>
          <w:color w:val="auto"/>
          <w:sz w:val="22"/>
          <w:szCs w:val="22"/>
          <w:lang w:val="en-GB" w:eastAsia="en-GB"/>
        </w:rPr>
        <w:id w:val="-1888713926"/>
        <w:docPartObj>
          <w:docPartGallery w:val="Table of Contents"/>
          <w:docPartUnique/>
        </w:docPartObj>
      </w:sdtPr>
      <w:sdtEndPr>
        <w:rPr>
          <w:b/>
          <w:bCs/>
          <w:noProof/>
        </w:rPr>
      </w:sdtEndPr>
      <w:sdtContent>
        <w:p w14:paraId="31697316" w14:textId="77777777" w:rsidR="000119F8" w:rsidRPr="002C7099" w:rsidRDefault="000119F8">
          <w:pPr>
            <w:pStyle w:val="TOCHeading"/>
            <w:rPr>
              <w:b/>
              <w:bCs/>
              <w:sz w:val="36"/>
              <w:szCs w:val="36"/>
            </w:rPr>
          </w:pPr>
          <w:r>
            <w:rPr>
              <w:b/>
              <w:bCs/>
              <w:sz w:val="36"/>
              <w:szCs w:val="36"/>
            </w:rPr>
            <w:t>Table of Contents</w:t>
          </w:r>
        </w:p>
        <w:p w14:paraId="51C6CCF7" w14:textId="6194FB56" w:rsidR="005C1906" w:rsidRDefault="000119F8">
          <w:pPr>
            <w:pStyle w:val="TOC1"/>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5361529" w:history="1">
            <w:r w:rsidR="005C1906" w:rsidRPr="0098513F">
              <w:rPr>
                <w:rStyle w:val="Hyperlink"/>
                <w:b/>
                <w:bCs/>
                <w:noProof/>
              </w:rPr>
              <w:t>Executive Summary</w:t>
            </w:r>
            <w:r w:rsidR="005C1906">
              <w:rPr>
                <w:noProof/>
                <w:webHidden/>
              </w:rPr>
              <w:tab/>
            </w:r>
            <w:r w:rsidR="005C1906">
              <w:rPr>
                <w:noProof/>
                <w:webHidden/>
              </w:rPr>
              <w:fldChar w:fldCharType="begin"/>
            </w:r>
            <w:r w:rsidR="005C1906">
              <w:rPr>
                <w:noProof/>
                <w:webHidden/>
              </w:rPr>
              <w:instrText xml:space="preserve"> PAGEREF _Toc235361529 \h </w:instrText>
            </w:r>
            <w:r w:rsidR="005C1906">
              <w:rPr>
                <w:noProof/>
                <w:webHidden/>
              </w:rPr>
            </w:r>
            <w:r w:rsidR="005C1906">
              <w:rPr>
                <w:noProof/>
                <w:webHidden/>
              </w:rPr>
              <w:fldChar w:fldCharType="separate"/>
            </w:r>
            <w:r w:rsidR="005C1906">
              <w:rPr>
                <w:noProof/>
                <w:webHidden/>
              </w:rPr>
              <w:t>1</w:t>
            </w:r>
            <w:r w:rsidR="005C1906">
              <w:rPr>
                <w:noProof/>
                <w:webHidden/>
              </w:rPr>
              <w:fldChar w:fldCharType="end"/>
            </w:r>
          </w:hyperlink>
        </w:p>
        <w:p w14:paraId="52B1EFD4" w14:textId="28DBEF7B" w:rsidR="005C1906" w:rsidRDefault="005C1906">
          <w:pPr>
            <w:pStyle w:val="TOC1"/>
            <w:rPr>
              <w:rFonts w:asciiTheme="minorHAnsi" w:eastAsiaTheme="minorEastAsia" w:hAnsiTheme="minorHAnsi" w:cstheme="minorBidi"/>
              <w:noProof/>
              <w:kern w:val="2"/>
              <w:sz w:val="24"/>
              <w:szCs w:val="24"/>
              <w14:ligatures w14:val="standardContextual"/>
            </w:rPr>
          </w:pPr>
          <w:hyperlink w:anchor="_Toc235361530" w:history="1">
            <w:r w:rsidRPr="0098513F">
              <w:rPr>
                <w:rStyle w:val="Hyperlink"/>
                <w:rFonts w:asciiTheme="minorBidi" w:hAnsiTheme="minorBidi"/>
                <w:b/>
                <w:bCs/>
                <w:noProof/>
              </w:rPr>
              <w:t>1. Introduction</w:t>
            </w:r>
            <w:r>
              <w:rPr>
                <w:noProof/>
                <w:webHidden/>
              </w:rPr>
              <w:tab/>
            </w:r>
            <w:r>
              <w:rPr>
                <w:noProof/>
                <w:webHidden/>
              </w:rPr>
              <w:fldChar w:fldCharType="begin"/>
            </w:r>
            <w:r>
              <w:rPr>
                <w:noProof/>
                <w:webHidden/>
              </w:rPr>
              <w:instrText xml:space="preserve"> PAGEREF _Toc235361530 \h </w:instrText>
            </w:r>
            <w:r>
              <w:rPr>
                <w:noProof/>
                <w:webHidden/>
              </w:rPr>
            </w:r>
            <w:r>
              <w:rPr>
                <w:noProof/>
                <w:webHidden/>
              </w:rPr>
              <w:fldChar w:fldCharType="separate"/>
            </w:r>
            <w:r>
              <w:rPr>
                <w:noProof/>
                <w:webHidden/>
              </w:rPr>
              <w:t>3</w:t>
            </w:r>
            <w:r>
              <w:rPr>
                <w:noProof/>
                <w:webHidden/>
              </w:rPr>
              <w:fldChar w:fldCharType="end"/>
            </w:r>
          </w:hyperlink>
        </w:p>
        <w:p w14:paraId="0F4A7887" w14:textId="5AE6082D" w:rsidR="005C1906" w:rsidRPr="00086FAC" w:rsidRDefault="005C190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61531" w:history="1">
            <w:r w:rsidRPr="00086FAC">
              <w:rPr>
                <w:rStyle w:val="Hyperlink"/>
                <w:rFonts w:asciiTheme="minorBidi" w:hAnsiTheme="minorBidi"/>
                <w:noProof/>
              </w:rPr>
              <w:t>1.1 Company Overview</w:t>
            </w:r>
            <w:r w:rsidRPr="00086FAC">
              <w:rPr>
                <w:noProof/>
                <w:webHidden/>
              </w:rPr>
              <w:tab/>
            </w:r>
            <w:r w:rsidRPr="00086FAC">
              <w:rPr>
                <w:noProof/>
                <w:webHidden/>
              </w:rPr>
              <w:fldChar w:fldCharType="begin"/>
            </w:r>
            <w:r w:rsidRPr="00086FAC">
              <w:rPr>
                <w:noProof/>
                <w:webHidden/>
              </w:rPr>
              <w:instrText xml:space="preserve"> PAGEREF _Toc235361531 \h </w:instrText>
            </w:r>
            <w:r w:rsidRPr="00086FAC">
              <w:rPr>
                <w:noProof/>
                <w:webHidden/>
              </w:rPr>
            </w:r>
            <w:r w:rsidRPr="00086FAC">
              <w:rPr>
                <w:noProof/>
                <w:webHidden/>
              </w:rPr>
              <w:fldChar w:fldCharType="separate"/>
            </w:r>
            <w:r w:rsidRPr="00086FAC">
              <w:rPr>
                <w:noProof/>
                <w:webHidden/>
              </w:rPr>
              <w:t>3</w:t>
            </w:r>
            <w:r w:rsidRPr="00086FAC">
              <w:rPr>
                <w:noProof/>
                <w:webHidden/>
              </w:rPr>
              <w:fldChar w:fldCharType="end"/>
            </w:r>
          </w:hyperlink>
        </w:p>
        <w:p w14:paraId="36FE84B9" w14:textId="05745589" w:rsidR="005C1906" w:rsidRPr="00086FAC" w:rsidRDefault="005C190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61532" w:history="1">
            <w:r w:rsidRPr="00086FAC">
              <w:rPr>
                <w:rStyle w:val="Hyperlink"/>
                <w:noProof/>
              </w:rPr>
              <w:t>1.2 Vision, Mission and Values</w:t>
            </w:r>
            <w:r w:rsidRPr="00086FAC">
              <w:rPr>
                <w:noProof/>
                <w:webHidden/>
              </w:rPr>
              <w:tab/>
            </w:r>
            <w:r w:rsidRPr="00086FAC">
              <w:rPr>
                <w:noProof/>
                <w:webHidden/>
              </w:rPr>
              <w:fldChar w:fldCharType="begin"/>
            </w:r>
            <w:r w:rsidRPr="00086FAC">
              <w:rPr>
                <w:noProof/>
                <w:webHidden/>
              </w:rPr>
              <w:instrText xml:space="preserve"> PAGEREF _Toc235361532 \h </w:instrText>
            </w:r>
            <w:r w:rsidRPr="00086FAC">
              <w:rPr>
                <w:noProof/>
                <w:webHidden/>
              </w:rPr>
            </w:r>
            <w:r w:rsidRPr="00086FAC">
              <w:rPr>
                <w:noProof/>
                <w:webHidden/>
              </w:rPr>
              <w:fldChar w:fldCharType="separate"/>
            </w:r>
            <w:r w:rsidRPr="00086FAC">
              <w:rPr>
                <w:noProof/>
                <w:webHidden/>
              </w:rPr>
              <w:t>4</w:t>
            </w:r>
            <w:r w:rsidRPr="00086FAC">
              <w:rPr>
                <w:noProof/>
                <w:webHidden/>
              </w:rPr>
              <w:fldChar w:fldCharType="end"/>
            </w:r>
          </w:hyperlink>
        </w:p>
        <w:p w14:paraId="5D367117" w14:textId="795621D3" w:rsidR="005C1906" w:rsidRPr="00086FAC" w:rsidRDefault="005C190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61533" w:history="1">
            <w:r w:rsidRPr="00086FAC">
              <w:rPr>
                <w:rStyle w:val="Hyperlink"/>
                <w:noProof/>
              </w:rPr>
              <w:t>1.3 Context for Change</w:t>
            </w:r>
            <w:r w:rsidRPr="00086FAC">
              <w:rPr>
                <w:noProof/>
                <w:webHidden/>
              </w:rPr>
              <w:tab/>
            </w:r>
            <w:r w:rsidRPr="00086FAC">
              <w:rPr>
                <w:noProof/>
                <w:webHidden/>
              </w:rPr>
              <w:fldChar w:fldCharType="begin"/>
            </w:r>
            <w:r w:rsidRPr="00086FAC">
              <w:rPr>
                <w:noProof/>
                <w:webHidden/>
              </w:rPr>
              <w:instrText xml:space="preserve"> PAGEREF _Toc235361533 \h </w:instrText>
            </w:r>
            <w:r w:rsidRPr="00086FAC">
              <w:rPr>
                <w:noProof/>
                <w:webHidden/>
              </w:rPr>
            </w:r>
            <w:r w:rsidRPr="00086FAC">
              <w:rPr>
                <w:noProof/>
                <w:webHidden/>
              </w:rPr>
              <w:fldChar w:fldCharType="separate"/>
            </w:r>
            <w:r w:rsidRPr="00086FAC">
              <w:rPr>
                <w:noProof/>
                <w:webHidden/>
              </w:rPr>
              <w:t>4</w:t>
            </w:r>
            <w:r w:rsidRPr="00086FAC">
              <w:rPr>
                <w:noProof/>
                <w:webHidden/>
              </w:rPr>
              <w:fldChar w:fldCharType="end"/>
            </w:r>
          </w:hyperlink>
        </w:p>
        <w:p w14:paraId="0C9D6EED" w14:textId="13CB529F" w:rsidR="005C1906" w:rsidRDefault="005C1906">
          <w:pPr>
            <w:pStyle w:val="TOC1"/>
            <w:rPr>
              <w:rFonts w:asciiTheme="minorHAnsi" w:eastAsiaTheme="minorEastAsia" w:hAnsiTheme="minorHAnsi" w:cstheme="minorBidi"/>
              <w:noProof/>
              <w:kern w:val="2"/>
              <w:sz w:val="24"/>
              <w:szCs w:val="24"/>
              <w14:ligatures w14:val="standardContextual"/>
            </w:rPr>
          </w:pPr>
          <w:hyperlink w:anchor="_Toc235361534" w:history="1">
            <w:r w:rsidRPr="0098513F">
              <w:rPr>
                <w:rStyle w:val="Hyperlink"/>
                <w:b/>
                <w:bCs/>
                <w:noProof/>
              </w:rPr>
              <w:t>2. Environmental Analysis</w:t>
            </w:r>
            <w:r>
              <w:rPr>
                <w:noProof/>
                <w:webHidden/>
              </w:rPr>
              <w:tab/>
            </w:r>
            <w:r>
              <w:rPr>
                <w:noProof/>
                <w:webHidden/>
              </w:rPr>
              <w:fldChar w:fldCharType="begin"/>
            </w:r>
            <w:r>
              <w:rPr>
                <w:noProof/>
                <w:webHidden/>
              </w:rPr>
              <w:instrText xml:space="preserve"> PAGEREF _Toc235361534 \h </w:instrText>
            </w:r>
            <w:r>
              <w:rPr>
                <w:noProof/>
                <w:webHidden/>
              </w:rPr>
            </w:r>
            <w:r>
              <w:rPr>
                <w:noProof/>
                <w:webHidden/>
              </w:rPr>
              <w:fldChar w:fldCharType="separate"/>
            </w:r>
            <w:r>
              <w:rPr>
                <w:noProof/>
                <w:webHidden/>
              </w:rPr>
              <w:t>6</w:t>
            </w:r>
            <w:r>
              <w:rPr>
                <w:noProof/>
                <w:webHidden/>
              </w:rPr>
              <w:fldChar w:fldCharType="end"/>
            </w:r>
          </w:hyperlink>
        </w:p>
        <w:p w14:paraId="0EB53F56" w14:textId="395E4E24" w:rsidR="005C1906" w:rsidRPr="00086FAC" w:rsidRDefault="005C190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61535" w:history="1">
            <w:r w:rsidRPr="00086FAC">
              <w:rPr>
                <w:rStyle w:val="Hyperlink"/>
                <w:noProof/>
              </w:rPr>
              <w:t>2.1 Macro Environment: PESTLE Analysis</w:t>
            </w:r>
            <w:r w:rsidRPr="00086FAC">
              <w:rPr>
                <w:noProof/>
                <w:webHidden/>
              </w:rPr>
              <w:tab/>
            </w:r>
            <w:r w:rsidRPr="00086FAC">
              <w:rPr>
                <w:noProof/>
                <w:webHidden/>
              </w:rPr>
              <w:fldChar w:fldCharType="begin"/>
            </w:r>
            <w:r w:rsidRPr="00086FAC">
              <w:rPr>
                <w:noProof/>
                <w:webHidden/>
              </w:rPr>
              <w:instrText xml:space="preserve"> PAGEREF _Toc235361535 \h </w:instrText>
            </w:r>
            <w:r w:rsidRPr="00086FAC">
              <w:rPr>
                <w:noProof/>
                <w:webHidden/>
              </w:rPr>
            </w:r>
            <w:r w:rsidRPr="00086FAC">
              <w:rPr>
                <w:noProof/>
                <w:webHidden/>
              </w:rPr>
              <w:fldChar w:fldCharType="separate"/>
            </w:r>
            <w:r w:rsidRPr="00086FAC">
              <w:rPr>
                <w:noProof/>
                <w:webHidden/>
              </w:rPr>
              <w:t>6</w:t>
            </w:r>
            <w:r w:rsidRPr="00086FAC">
              <w:rPr>
                <w:noProof/>
                <w:webHidden/>
              </w:rPr>
              <w:fldChar w:fldCharType="end"/>
            </w:r>
          </w:hyperlink>
        </w:p>
        <w:p w14:paraId="5A4B736C" w14:textId="018659FB" w:rsidR="005C1906" w:rsidRPr="00086FAC" w:rsidRDefault="005C190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61536" w:history="1">
            <w:r w:rsidRPr="00086FAC">
              <w:rPr>
                <w:rStyle w:val="Hyperlink"/>
                <w:noProof/>
              </w:rPr>
              <w:t>2.2 Micro Environment: Porter's Five Forces</w:t>
            </w:r>
            <w:r w:rsidRPr="00086FAC">
              <w:rPr>
                <w:noProof/>
                <w:webHidden/>
              </w:rPr>
              <w:tab/>
            </w:r>
            <w:r w:rsidRPr="00086FAC">
              <w:rPr>
                <w:noProof/>
                <w:webHidden/>
              </w:rPr>
              <w:fldChar w:fldCharType="begin"/>
            </w:r>
            <w:r w:rsidRPr="00086FAC">
              <w:rPr>
                <w:noProof/>
                <w:webHidden/>
              </w:rPr>
              <w:instrText xml:space="preserve"> PAGEREF _Toc235361536 \h </w:instrText>
            </w:r>
            <w:r w:rsidRPr="00086FAC">
              <w:rPr>
                <w:noProof/>
                <w:webHidden/>
              </w:rPr>
            </w:r>
            <w:r w:rsidRPr="00086FAC">
              <w:rPr>
                <w:noProof/>
                <w:webHidden/>
              </w:rPr>
              <w:fldChar w:fldCharType="separate"/>
            </w:r>
            <w:r w:rsidRPr="00086FAC">
              <w:rPr>
                <w:noProof/>
                <w:webHidden/>
              </w:rPr>
              <w:t>8</w:t>
            </w:r>
            <w:r w:rsidRPr="00086FAC">
              <w:rPr>
                <w:noProof/>
                <w:webHidden/>
              </w:rPr>
              <w:fldChar w:fldCharType="end"/>
            </w:r>
          </w:hyperlink>
        </w:p>
        <w:p w14:paraId="1B97E462" w14:textId="3BF727A8" w:rsidR="005C1906" w:rsidRPr="00086FAC" w:rsidRDefault="005C190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61537" w:history="1">
            <w:r w:rsidRPr="00086FAC">
              <w:rPr>
                <w:rStyle w:val="Hyperlink"/>
                <w:noProof/>
              </w:rPr>
              <w:t>2.3 SWOT Analysis</w:t>
            </w:r>
            <w:r w:rsidRPr="00086FAC">
              <w:rPr>
                <w:noProof/>
                <w:webHidden/>
              </w:rPr>
              <w:tab/>
            </w:r>
            <w:r w:rsidRPr="00086FAC">
              <w:rPr>
                <w:noProof/>
                <w:webHidden/>
              </w:rPr>
              <w:fldChar w:fldCharType="begin"/>
            </w:r>
            <w:r w:rsidRPr="00086FAC">
              <w:rPr>
                <w:noProof/>
                <w:webHidden/>
              </w:rPr>
              <w:instrText xml:space="preserve"> PAGEREF _Toc235361537 \h </w:instrText>
            </w:r>
            <w:r w:rsidRPr="00086FAC">
              <w:rPr>
                <w:noProof/>
                <w:webHidden/>
              </w:rPr>
            </w:r>
            <w:r w:rsidRPr="00086FAC">
              <w:rPr>
                <w:noProof/>
                <w:webHidden/>
              </w:rPr>
              <w:fldChar w:fldCharType="separate"/>
            </w:r>
            <w:r w:rsidRPr="00086FAC">
              <w:rPr>
                <w:noProof/>
                <w:webHidden/>
              </w:rPr>
              <w:t>9</w:t>
            </w:r>
            <w:r w:rsidRPr="00086FAC">
              <w:rPr>
                <w:noProof/>
                <w:webHidden/>
              </w:rPr>
              <w:fldChar w:fldCharType="end"/>
            </w:r>
          </w:hyperlink>
        </w:p>
        <w:p w14:paraId="2D213787" w14:textId="42242083" w:rsidR="005C1906" w:rsidRDefault="005C1906">
          <w:pPr>
            <w:pStyle w:val="TOC1"/>
            <w:rPr>
              <w:rFonts w:asciiTheme="minorHAnsi" w:eastAsiaTheme="minorEastAsia" w:hAnsiTheme="minorHAnsi" w:cstheme="minorBidi"/>
              <w:noProof/>
              <w:kern w:val="2"/>
              <w:sz w:val="24"/>
              <w:szCs w:val="24"/>
              <w14:ligatures w14:val="standardContextual"/>
            </w:rPr>
          </w:pPr>
          <w:hyperlink w:anchor="_Toc235361538" w:history="1">
            <w:r w:rsidRPr="0098513F">
              <w:rPr>
                <w:rStyle w:val="Hyperlink"/>
                <w:b/>
                <w:bCs/>
                <w:noProof/>
              </w:rPr>
              <w:t>3. Change Management Models</w:t>
            </w:r>
            <w:r>
              <w:rPr>
                <w:noProof/>
                <w:webHidden/>
              </w:rPr>
              <w:tab/>
            </w:r>
            <w:r>
              <w:rPr>
                <w:noProof/>
                <w:webHidden/>
              </w:rPr>
              <w:fldChar w:fldCharType="begin"/>
            </w:r>
            <w:r>
              <w:rPr>
                <w:noProof/>
                <w:webHidden/>
              </w:rPr>
              <w:instrText xml:space="preserve"> PAGEREF _Toc235361538 \h </w:instrText>
            </w:r>
            <w:r>
              <w:rPr>
                <w:noProof/>
                <w:webHidden/>
              </w:rPr>
            </w:r>
            <w:r>
              <w:rPr>
                <w:noProof/>
                <w:webHidden/>
              </w:rPr>
              <w:fldChar w:fldCharType="separate"/>
            </w:r>
            <w:r>
              <w:rPr>
                <w:noProof/>
                <w:webHidden/>
              </w:rPr>
              <w:t>11</w:t>
            </w:r>
            <w:r>
              <w:rPr>
                <w:noProof/>
                <w:webHidden/>
              </w:rPr>
              <w:fldChar w:fldCharType="end"/>
            </w:r>
          </w:hyperlink>
        </w:p>
        <w:p w14:paraId="6E5C0B29" w14:textId="408B2F42" w:rsidR="005C1906" w:rsidRPr="00086FAC" w:rsidRDefault="005C190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61539" w:history="1">
            <w:r w:rsidRPr="00086FAC">
              <w:rPr>
                <w:rStyle w:val="Hyperlink"/>
                <w:noProof/>
              </w:rPr>
              <w:t>3.1 Lewin's Three-Stage Model</w:t>
            </w:r>
            <w:r w:rsidRPr="00086FAC">
              <w:rPr>
                <w:noProof/>
                <w:webHidden/>
              </w:rPr>
              <w:tab/>
            </w:r>
            <w:r w:rsidRPr="00086FAC">
              <w:rPr>
                <w:noProof/>
                <w:webHidden/>
              </w:rPr>
              <w:fldChar w:fldCharType="begin"/>
            </w:r>
            <w:r w:rsidRPr="00086FAC">
              <w:rPr>
                <w:noProof/>
                <w:webHidden/>
              </w:rPr>
              <w:instrText xml:space="preserve"> PAGEREF _Toc235361539 \h </w:instrText>
            </w:r>
            <w:r w:rsidRPr="00086FAC">
              <w:rPr>
                <w:noProof/>
                <w:webHidden/>
              </w:rPr>
            </w:r>
            <w:r w:rsidRPr="00086FAC">
              <w:rPr>
                <w:noProof/>
                <w:webHidden/>
              </w:rPr>
              <w:fldChar w:fldCharType="separate"/>
            </w:r>
            <w:r w:rsidRPr="00086FAC">
              <w:rPr>
                <w:noProof/>
                <w:webHidden/>
              </w:rPr>
              <w:t>11</w:t>
            </w:r>
            <w:r w:rsidRPr="00086FAC">
              <w:rPr>
                <w:noProof/>
                <w:webHidden/>
              </w:rPr>
              <w:fldChar w:fldCharType="end"/>
            </w:r>
          </w:hyperlink>
        </w:p>
        <w:p w14:paraId="5C250AEB" w14:textId="4F5E574A" w:rsidR="005C1906" w:rsidRPr="00086FAC" w:rsidRDefault="005C190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5361540" w:history="1">
            <w:r w:rsidRPr="00086FAC">
              <w:rPr>
                <w:rStyle w:val="Hyperlink"/>
                <w:noProof/>
              </w:rPr>
              <w:t>The Process</w:t>
            </w:r>
            <w:r w:rsidRPr="00086FAC">
              <w:rPr>
                <w:noProof/>
                <w:webHidden/>
              </w:rPr>
              <w:tab/>
            </w:r>
            <w:r w:rsidRPr="00086FAC">
              <w:rPr>
                <w:noProof/>
                <w:webHidden/>
              </w:rPr>
              <w:fldChar w:fldCharType="begin"/>
            </w:r>
            <w:r w:rsidRPr="00086FAC">
              <w:rPr>
                <w:noProof/>
                <w:webHidden/>
              </w:rPr>
              <w:instrText xml:space="preserve"> PAGEREF _Toc235361540 \h </w:instrText>
            </w:r>
            <w:r w:rsidRPr="00086FAC">
              <w:rPr>
                <w:noProof/>
                <w:webHidden/>
              </w:rPr>
            </w:r>
            <w:r w:rsidRPr="00086FAC">
              <w:rPr>
                <w:noProof/>
                <w:webHidden/>
              </w:rPr>
              <w:fldChar w:fldCharType="separate"/>
            </w:r>
            <w:r w:rsidRPr="00086FAC">
              <w:rPr>
                <w:noProof/>
                <w:webHidden/>
              </w:rPr>
              <w:t>11</w:t>
            </w:r>
            <w:r w:rsidRPr="00086FAC">
              <w:rPr>
                <w:noProof/>
                <w:webHidden/>
              </w:rPr>
              <w:fldChar w:fldCharType="end"/>
            </w:r>
          </w:hyperlink>
        </w:p>
        <w:p w14:paraId="1420D049" w14:textId="64711FB7" w:rsidR="005C1906" w:rsidRPr="00086FAC" w:rsidRDefault="005C190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5361541" w:history="1">
            <w:r w:rsidRPr="00086FAC">
              <w:rPr>
                <w:rStyle w:val="Hyperlink"/>
                <w:noProof/>
              </w:rPr>
              <w:t>Importance and Limitations</w:t>
            </w:r>
            <w:r w:rsidRPr="00086FAC">
              <w:rPr>
                <w:noProof/>
                <w:webHidden/>
              </w:rPr>
              <w:tab/>
            </w:r>
            <w:r w:rsidRPr="00086FAC">
              <w:rPr>
                <w:noProof/>
                <w:webHidden/>
              </w:rPr>
              <w:fldChar w:fldCharType="begin"/>
            </w:r>
            <w:r w:rsidRPr="00086FAC">
              <w:rPr>
                <w:noProof/>
                <w:webHidden/>
              </w:rPr>
              <w:instrText xml:space="preserve"> PAGEREF _Toc235361541 \h </w:instrText>
            </w:r>
            <w:r w:rsidRPr="00086FAC">
              <w:rPr>
                <w:noProof/>
                <w:webHidden/>
              </w:rPr>
            </w:r>
            <w:r w:rsidRPr="00086FAC">
              <w:rPr>
                <w:noProof/>
                <w:webHidden/>
              </w:rPr>
              <w:fldChar w:fldCharType="separate"/>
            </w:r>
            <w:r w:rsidRPr="00086FAC">
              <w:rPr>
                <w:noProof/>
                <w:webHidden/>
              </w:rPr>
              <w:t>12</w:t>
            </w:r>
            <w:r w:rsidRPr="00086FAC">
              <w:rPr>
                <w:noProof/>
                <w:webHidden/>
              </w:rPr>
              <w:fldChar w:fldCharType="end"/>
            </w:r>
          </w:hyperlink>
        </w:p>
        <w:p w14:paraId="49E33E1C" w14:textId="7A64A050" w:rsidR="005C1906" w:rsidRPr="00086FAC" w:rsidRDefault="005C190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61542" w:history="1">
            <w:r w:rsidRPr="00086FAC">
              <w:rPr>
                <w:rStyle w:val="Hyperlink"/>
                <w:noProof/>
              </w:rPr>
              <w:t>3.2 Kotter's Eight-Step Plan for Implementing Change</w:t>
            </w:r>
            <w:r w:rsidRPr="00086FAC">
              <w:rPr>
                <w:noProof/>
                <w:webHidden/>
              </w:rPr>
              <w:tab/>
            </w:r>
            <w:r w:rsidRPr="00086FAC">
              <w:rPr>
                <w:noProof/>
                <w:webHidden/>
              </w:rPr>
              <w:fldChar w:fldCharType="begin"/>
            </w:r>
            <w:r w:rsidRPr="00086FAC">
              <w:rPr>
                <w:noProof/>
                <w:webHidden/>
              </w:rPr>
              <w:instrText xml:space="preserve"> PAGEREF _Toc235361542 \h </w:instrText>
            </w:r>
            <w:r w:rsidRPr="00086FAC">
              <w:rPr>
                <w:noProof/>
                <w:webHidden/>
              </w:rPr>
            </w:r>
            <w:r w:rsidRPr="00086FAC">
              <w:rPr>
                <w:noProof/>
                <w:webHidden/>
              </w:rPr>
              <w:fldChar w:fldCharType="separate"/>
            </w:r>
            <w:r w:rsidRPr="00086FAC">
              <w:rPr>
                <w:noProof/>
                <w:webHidden/>
              </w:rPr>
              <w:t>12</w:t>
            </w:r>
            <w:r w:rsidRPr="00086FAC">
              <w:rPr>
                <w:noProof/>
                <w:webHidden/>
              </w:rPr>
              <w:fldChar w:fldCharType="end"/>
            </w:r>
          </w:hyperlink>
        </w:p>
        <w:p w14:paraId="2DD29DDA" w14:textId="6A2B5ED9" w:rsidR="005C1906" w:rsidRPr="00086FAC" w:rsidRDefault="005C190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5361543" w:history="1">
            <w:r w:rsidRPr="00086FAC">
              <w:rPr>
                <w:rStyle w:val="Hyperlink"/>
                <w:noProof/>
              </w:rPr>
              <w:t>The Process</w:t>
            </w:r>
            <w:r w:rsidRPr="00086FAC">
              <w:rPr>
                <w:noProof/>
                <w:webHidden/>
              </w:rPr>
              <w:tab/>
            </w:r>
            <w:r w:rsidRPr="00086FAC">
              <w:rPr>
                <w:noProof/>
                <w:webHidden/>
              </w:rPr>
              <w:fldChar w:fldCharType="begin"/>
            </w:r>
            <w:r w:rsidRPr="00086FAC">
              <w:rPr>
                <w:noProof/>
                <w:webHidden/>
              </w:rPr>
              <w:instrText xml:space="preserve"> PAGEREF _Toc235361543 \h </w:instrText>
            </w:r>
            <w:r w:rsidRPr="00086FAC">
              <w:rPr>
                <w:noProof/>
                <w:webHidden/>
              </w:rPr>
            </w:r>
            <w:r w:rsidRPr="00086FAC">
              <w:rPr>
                <w:noProof/>
                <w:webHidden/>
              </w:rPr>
              <w:fldChar w:fldCharType="separate"/>
            </w:r>
            <w:r w:rsidRPr="00086FAC">
              <w:rPr>
                <w:noProof/>
                <w:webHidden/>
              </w:rPr>
              <w:t>12</w:t>
            </w:r>
            <w:r w:rsidRPr="00086FAC">
              <w:rPr>
                <w:noProof/>
                <w:webHidden/>
              </w:rPr>
              <w:fldChar w:fldCharType="end"/>
            </w:r>
          </w:hyperlink>
        </w:p>
        <w:p w14:paraId="03FE7A55" w14:textId="3AA964DE" w:rsidR="005C1906" w:rsidRPr="00086FAC" w:rsidRDefault="005C190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5361544" w:history="1">
            <w:r w:rsidRPr="00086FAC">
              <w:rPr>
                <w:rStyle w:val="Hyperlink"/>
                <w:noProof/>
              </w:rPr>
              <w:t>Importance and Limitations</w:t>
            </w:r>
            <w:r w:rsidRPr="00086FAC">
              <w:rPr>
                <w:noProof/>
                <w:webHidden/>
              </w:rPr>
              <w:tab/>
            </w:r>
            <w:r w:rsidRPr="00086FAC">
              <w:rPr>
                <w:noProof/>
                <w:webHidden/>
              </w:rPr>
              <w:fldChar w:fldCharType="begin"/>
            </w:r>
            <w:r w:rsidRPr="00086FAC">
              <w:rPr>
                <w:noProof/>
                <w:webHidden/>
              </w:rPr>
              <w:instrText xml:space="preserve"> PAGEREF _Toc235361544 \h </w:instrText>
            </w:r>
            <w:r w:rsidRPr="00086FAC">
              <w:rPr>
                <w:noProof/>
                <w:webHidden/>
              </w:rPr>
            </w:r>
            <w:r w:rsidRPr="00086FAC">
              <w:rPr>
                <w:noProof/>
                <w:webHidden/>
              </w:rPr>
              <w:fldChar w:fldCharType="separate"/>
            </w:r>
            <w:r w:rsidRPr="00086FAC">
              <w:rPr>
                <w:noProof/>
                <w:webHidden/>
              </w:rPr>
              <w:t>13</w:t>
            </w:r>
            <w:r w:rsidRPr="00086FAC">
              <w:rPr>
                <w:noProof/>
                <w:webHidden/>
              </w:rPr>
              <w:fldChar w:fldCharType="end"/>
            </w:r>
          </w:hyperlink>
        </w:p>
        <w:p w14:paraId="54A7C2F4" w14:textId="0E52E9A3" w:rsidR="005C1906" w:rsidRPr="00086FAC" w:rsidRDefault="005C190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61545" w:history="1">
            <w:r w:rsidRPr="00086FAC">
              <w:rPr>
                <w:rStyle w:val="Hyperlink"/>
                <w:noProof/>
              </w:rPr>
              <w:t>3.3 The ADKAR Model</w:t>
            </w:r>
            <w:r w:rsidRPr="00086FAC">
              <w:rPr>
                <w:noProof/>
                <w:webHidden/>
              </w:rPr>
              <w:tab/>
            </w:r>
            <w:r w:rsidRPr="00086FAC">
              <w:rPr>
                <w:noProof/>
                <w:webHidden/>
              </w:rPr>
              <w:fldChar w:fldCharType="begin"/>
            </w:r>
            <w:r w:rsidRPr="00086FAC">
              <w:rPr>
                <w:noProof/>
                <w:webHidden/>
              </w:rPr>
              <w:instrText xml:space="preserve"> PAGEREF _Toc235361545 \h </w:instrText>
            </w:r>
            <w:r w:rsidRPr="00086FAC">
              <w:rPr>
                <w:noProof/>
                <w:webHidden/>
              </w:rPr>
            </w:r>
            <w:r w:rsidRPr="00086FAC">
              <w:rPr>
                <w:noProof/>
                <w:webHidden/>
              </w:rPr>
              <w:fldChar w:fldCharType="separate"/>
            </w:r>
            <w:r w:rsidRPr="00086FAC">
              <w:rPr>
                <w:noProof/>
                <w:webHidden/>
              </w:rPr>
              <w:t>13</w:t>
            </w:r>
            <w:r w:rsidRPr="00086FAC">
              <w:rPr>
                <w:noProof/>
                <w:webHidden/>
              </w:rPr>
              <w:fldChar w:fldCharType="end"/>
            </w:r>
          </w:hyperlink>
        </w:p>
        <w:p w14:paraId="42EEEDB2" w14:textId="4573B521" w:rsidR="005C1906" w:rsidRPr="00086FAC" w:rsidRDefault="005C190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5361546" w:history="1">
            <w:r w:rsidRPr="00086FAC">
              <w:rPr>
                <w:rStyle w:val="Hyperlink"/>
                <w:noProof/>
              </w:rPr>
              <w:t>The Process</w:t>
            </w:r>
            <w:r w:rsidRPr="00086FAC">
              <w:rPr>
                <w:noProof/>
                <w:webHidden/>
              </w:rPr>
              <w:tab/>
            </w:r>
            <w:r w:rsidRPr="00086FAC">
              <w:rPr>
                <w:noProof/>
                <w:webHidden/>
              </w:rPr>
              <w:fldChar w:fldCharType="begin"/>
            </w:r>
            <w:r w:rsidRPr="00086FAC">
              <w:rPr>
                <w:noProof/>
                <w:webHidden/>
              </w:rPr>
              <w:instrText xml:space="preserve"> PAGEREF _Toc235361546 \h </w:instrText>
            </w:r>
            <w:r w:rsidRPr="00086FAC">
              <w:rPr>
                <w:noProof/>
                <w:webHidden/>
              </w:rPr>
            </w:r>
            <w:r w:rsidRPr="00086FAC">
              <w:rPr>
                <w:noProof/>
                <w:webHidden/>
              </w:rPr>
              <w:fldChar w:fldCharType="separate"/>
            </w:r>
            <w:r w:rsidRPr="00086FAC">
              <w:rPr>
                <w:noProof/>
                <w:webHidden/>
              </w:rPr>
              <w:t>13</w:t>
            </w:r>
            <w:r w:rsidRPr="00086FAC">
              <w:rPr>
                <w:noProof/>
                <w:webHidden/>
              </w:rPr>
              <w:fldChar w:fldCharType="end"/>
            </w:r>
          </w:hyperlink>
        </w:p>
        <w:p w14:paraId="6321A472" w14:textId="14BDED00" w:rsidR="005C1906" w:rsidRPr="00086FAC" w:rsidRDefault="005C190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5361547" w:history="1">
            <w:r w:rsidRPr="00086FAC">
              <w:rPr>
                <w:rStyle w:val="Hyperlink"/>
                <w:noProof/>
              </w:rPr>
              <w:t>Importance and Limitations</w:t>
            </w:r>
            <w:r w:rsidRPr="00086FAC">
              <w:rPr>
                <w:noProof/>
                <w:webHidden/>
              </w:rPr>
              <w:tab/>
            </w:r>
            <w:r w:rsidRPr="00086FAC">
              <w:rPr>
                <w:noProof/>
                <w:webHidden/>
              </w:rPr>
              <w:fldChar w:fldCharType="begin"/>
            </w:r>
            <w:r w:rsidRPr="00086FAC">
              <w:rPr>
                <w:noProof/>
                <w:webHidden/>
              </w:rPr>
              <w:instrText xml:space="preserve"> PAGEREF _Toc235361547 \h </w:instrText>
            </w:r>
            <w:r w:rsidRPr="00086FAC">
              <w:rPr>
                <w:noProof/>
                <w:webHidden/>
              </w:rPr>
            </w:r>
            <w:r w:rsidRPr="00086FAC">
              <w:rPr>
                <w:noProof/>
                <w:webHidden/>
              </w:rPr>
              <w:fldChar w:fldCharType="separate"/>
            </w:r>
            <w:r w:rsidRPr="00086FAC">
              <w:rPr>
                <w:noProof/>
                <w:webHidden/>
              </w:rPr>
              <w:t>14</w:t>
            </w:r>
            <w:r w:rsidRPr="00086FAC">
              <w:rPr>
                <w:noProof/>
                <w:webHidden/>
              </w:rPr>
              <w:fldChar w:fldCharType="end"/>
            </w:r>
          </w:hyperlink>
        </w:p>
        <w:p w14:paraId="1CAEA101" w14:textId="26E77BAB" w:rsidR="005C1906" w:rsidRDefault="005C190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61548" w:history="1">
            <w:r w:rsidRPr="00086FAC">
              <w:rPr>
                <w:rStyle w:val="Hyperlink"/>
                <w:noProof/>
              </w:rPr>
              <w:t>3.4 Comparative Evaluation</w:t>
            </w:r>
            <w:r w:rsidRPr="00086FAC">
              <w:rPr>
                <w:noProof/>
                <w:webHidden/>
              </w:rPr>
              <w:tab/>
            </w:r>
            <w:r w:rsidRPr="00086FAC">
              <w:rPr>
                <w:noProof/>
                <w:webHidden/>
              </w:rPr>
              <w:fldChar w:fldCharType="begin"/>
            </w:r>
            <w:r w:rsidRPr="00086FAC">
              <w:rPr>
                <w:noProof/>
                <w:webHidden/>
              </w:rPr>
              <w:instrText xml:space="preserve"> PAGEREF _Toc235361548 \h </w:instrText>
            </w:r>
            <w:r w:rsidRPr="00086FAC">
              <w:rPr>
                <w:noProof/>
                <w:webHidden/>
              </w:rPr>
            </w:r>
            <w:r w:rsidRPr="00086FAC">
              <w:rPr>
                <w:noProof/>
                <w:webHidden/>
              </w:rPr>
              <w:fldChar w:fldCharType="separate"/>
            </w:r>
            <w:r w:rsidRPr="00086FAC">
              <w:rPr>
                <w:noProof/>
                <w:webHidden/>
              </w:rPr>
              <w:t>14</w:t>
            </w:r>
            <w:r w:rsidRPr="00086FAC">
              <w:rPr>
                <w:noProof/>
                <w:webHidden/>
              </w:rPr>
              <w:fldChar w:fldCharType="end"/>
            </w:r>
          </w:hyperlink>
        </w:p>
        <w:p w14:paraId="726352F1" w14:textId="60FE8196" w:rsidR="005C1906" w:rsidRDefault="005C1906">
          <w:pPr>
            <w:pStyle w:val="TOC1"/>
            <w:rPr>
              <w:rFonts w:asciiTheme="minorHAnsi" w:eastAsiaTheme="minorEastAsia" w:hAnsiTheme="minorHAnsi" w:cstheme="minorBidi"/>
              <w:noProof/>
              <w:kern w:val="2"/>
              <w:sz w:val="24"/>
              <w:szCs w:val="24"/>
              <w14:ligatures w14:val="standardContextual"/>
            </w:rPr>
          </w:pPr>
          <w:hyperlink w:anchor="_Toc235361549" w:history="1">
            <w:r w:rsidRPr="0098513F">
              <w:rPr>
                <w:rStyle w:val="Hyperlink"/>
                <w:b/>
                <w:bCs/>
                <w:noProof/>
              </w:rPr>
              <w:t>4. Leadership Style and Organisational Culture</w:t>
            </w:r>
            <w:r>
              <w:rPr>
                <w:noProof/>
                <w:webHidden/>
              </w:rPr>
              <w:tab/>
            </w:r>
            <w:r>
              <w:rPr>
                <w:noProof/>
                <w:webHidden/>
              </w:rPr>
              <w:fldChar w:fldCharType="begin"/>
            </w:r>
            <w:r>
              <w:rPr>
                <w:noProof/>
                <w:webHidden/>
              </w:rPr>
              <w:instrText xml:space="preserve"> PAGEREF _Toc235361549 \h </w:instrText>
            </w:r>
            <w:r>
              <w:rPr>
                <w:noProof/>
                <w:webHidden/>
              </w:rPr>
            </w:r>
            <w:r>
              <w:rPr>
                <w:noProof/>
                <w:webHidden/>
              </w:rPr>
              <w:fldChar w:fldCharType="separate"/>
            </w:r>
            <w:r>
              <w:rPr>
                <w:noProof/>
                <w:webHidden/>
              </w:rPr>
              <w:t>15</w:t>
            </w:r>
            <w:r>
              <w:rPr>
                <w:noProof/>
                <w:webHidden/>
              </w:rPr>
              <w:fldChar w:fldCharType="end"/>
            </w:r>
          </w:hyperlink>
        </w:p>
        <w:p w14:paraId="6771CE80" w14:textId="035D25B3" w:rsidR="005C1906" w:rsidRDefault="005C1906">
          <w:pPr>
            <w:pStyle w:val="TOC1"/>
            <w:rPr>
              <w:rFonts w:asciiTheme="minorHAnsi" w:eastAsiaTheme="minorEastAsia" w:hAnsiTheme="minorHAnsi" w:cstheme="minorBidi"/>
              <w:noProof/>
              <w:kern w:val="2"/>
              <w:sz w:val="24"/>
              <w:szCs w:val="24"/>
              <w14:ligatures w14:val="standardContextual"/>
            </w:rPr>
          </w:pPr>
          <w:hyperlink w:anchor="_Toc235361550" w:history="1">
            <w:r w:rsidRPr="0098513F">
              <w:rPr>
                <w:rStyle w:val="Hyperlink"/>
                <w:b/>
                <w:bCs/>
                <w:noProof/>
              </w:rPr>
              <w:t>5. Strategic Change Management Plan (2026-2028)</w:t>
            </w:r>
            <w:r>
              <w:rPr>
                <w:noProof/>
                <w:webHidden/>
              </w:rPr>
              <w:tab/>
            </w:r>
            <w:r>
              <w:rPr>
                <w:noProof/>
                <w:webHidden/>
              </w:rPr>
              <w:fldChar w:fldCharType="begin"/>
            </w:r>
            <w:r>
              <w:rPr>
                <w:noProof/>
                <w:webHidden/>
              </w:rPr>
              <w:instrText xml:space="preserve"> PAGEREF _Toc235361550 \h </w:instrText>
            </w:r>
            <w:r>
              <w:rPr>
                <w:noProof/>
                <w:webHidden/>
              </w:rPr>
            </w:r>
            <w:r>
              <w:rPr>
                <w:noProof/>
                <w:webHidden/>
              </w:rPr>
              <w:fldChar w:fldCharType="separate"/>
            </w:r>
            <w:r>
              <w:rPr>
                <w:noProof/>
                <w:webHidden/>
              </w:rPr>
              <w:t>16</w:t>
            </w:r>
            <w:r>
              <w:rPr>
                <w:noProof/>
                <w:webHidden/>
              </w:rPr>
              <w:fldChar w:fldCharType="end"/>
            </w:r>
          </w:hyperlink>
        </w:p>
        <w:p w14:paraId="140BF485" w14:textId="58DE8C87" w:rsidR="005C1906" w:rsidRPr="00086FAC" w:rsidRDefault="005C190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61551" w:history="1">
            <w:r w:rsidRPr="00086FAC">
              <w:rPr>
                <w:rStyle w:val="Hyperlink"/>
                <w:noProof/>
              </w:rPr>
              <w:t>5.1 Objectives and Targets</w:t>
            </w:r>
            <w:r w:rsidRPr="00086FAC">
              <w:rPr>
                <w:noProof/>
                <w:webHidden/>
              </w:rPr>
              <w:tab/>
            </w:r>
            <w:r w:rsidRPr="00086FAC">
              <w:rPr>
                <w:noProof/>
                <w:webHidden/>
              </w:rPr>
              <w:fldChar w:fldCharType="begin"/>
            </w:r>
            <w:r w:rsidRPr="00086FAC">
              <w:rPr>
                <w:noProof/>
                <w:webHidden/>
              </w:rPr>
              <w:instrText xml:space="preserve"> PAGEREF _Toc235361551 \h </w:instrText>
            </w:r>
            <w:r w:rsidRPr="00086FAC">
              <w:rPr>
                <w:noProof/>
                <w:webHidden/>
              </w:rPr>
            </w:r>
            <w:r w:rsidRPr="00086FAC">
              <w:rPr>
                <w:noProof/>
                <w:webHidden/>
              </w:rPr>
              <w:fldChar w:fldCharType="separate"/>
            </w:r>
            <w:r w:rsidRPr="00086FAC">
              <w:rPr>
                <w:noProof/>
                <w:webHidden/>
              </w:rPr>
              <w:t>16</w:t>
            </w:r>
            <w:r w:rsidRPr="00086FAC">
              <w:rPr>
                <w:noProof/>
                <w:webHidden/>
              </w:rPr>
              <w:fldChar w:fldCharType="end"/>
            </w:r>
          </w:hyperlink>
        </w:p>
        <w:p w14:paraId="29B05B00" w14:textId="67F237E2" w:rsidR="005C1906" w:rsidRPr="00086FAC" w:rsidRDefault="005C190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61552" w:history="1">
            <w:r w:rsidRPr="00086FAC">
              <w:rPr>
                <w:rStyle w:val="Hyperlink"/>
                <w:noProof/>
              </w:rPr>
              <w:t>5.2 Financial Plan</w:t>
            </w:r>
            <w:r w:rsidRPr="00086FAC">
              <w:rPr>
                <w:noProof/>
                <w:webHidden/>
              </w:rPr>
              <w:tab/>
            </w:r>
            <w:r w:rsidRPr="00086FAC">
              <w:rPr>
                <w:noProof/>
                <w:webHidden/>
              </w:rPr>
              <w:fldChar w:fldCharType="begin"/>
            </w:r>
            <w:r w:rsidRPr="00086FAC">
              <w:rPr>
                <w:noProof/>
                <w:webHidden/>
              </w:rPr>
              <w:instrText xml:space="preserve"> PAGEREF _Toc235361552 \h </w:instrText>
            </w:r>
            <w:r w:rsidRPr="00086FAC">
              <w:rPr>
                <w:noProof/>
                <w:webHidden/>
              </w:rPr>
            </w:r>
            <w:r w:rsidRPr="00086FAC">
              <w:rPr>
                <w:noProof/>
                <w:webHidden/>
              </w:rPr>
              <w:fldChar w:fldCharType="separate"/>
            </w:r>
            <w:r w:rsidRPr="00086FAC">
              <w:rPr>
                <w:noProof/>
                <w:webHidden/>
              </w:rPr>
              <w:t>17</w:t>
            </w:r>
            <w:r w:rsidRPr="00086FAC">
              <w:rPr>
                <w:noProof/>
                <w:webHidden/>
              </w:rPr>
              <w:fldChar w:fldCharType="end"/>
            </w:r>
          </w:hyperlink>
        </w:p>
        <w:p w14:paraId="6D9FC9D1" w14:textId="659F7C40" w:rsidR="005C1906" w:rsidRPr="00086FAC" w:rsidRDefault="005C190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61553" w:history="1">
            <w:r w:rsidRPr="00086FAC">
              <w:rPr>
                <w:rStyle w:val="Hyperlink"/>
                <w:noProof/>
              </w:rPr>
              <w:t>5.3 Communication Plan</w:t>
            </w:r>
            <w:r w:rsidRPr="00086FAC">
              <w:rPr>
                <w:noProof/>
                <w:webHidden/>
              </w:rPr>
              <w:tab/>
            </w:r>
            <w:r w:rsidRPr="00086FAC">
              <w:rPr>
                <w:noProof/>
                <w:webHidden/>
              </w:rPr>
              <w:fldChar w:fldCharType="begin"/>
            </w:r>
            <w:r w:rsidRPr="00086FAC">
              <w:rPr>
                <w:noProof/>
                <w:webHidden/>
              </w:rPr>
              <w:instrText xml:space="preserve"> PAGEREF _Toc235361553 \h </w:instrText>
            </w:r>
            <w:r w:rsidRPr="00086FAC">
              <w:rPr>
                <w:noProof/>
                <w:webHidden/>
              </w:rPr>
            </w:r>
            <w:r w:rsidRPr="00086FAC">
              <w:rPr>
                <w:noProof/>
                <w:webHidden/>
              </w:rPr>
              <w:fldChar w:fldCharType="separate"/>
            </w:r>
            <w:r w:rsidRPr="00086FAC">
              <w:rPr>
                <w:noProof/>
                <w:webHidden/>
              </w:rPr>
              <w:t>19</w:t>
            </w:r>
            <w:r w:rsidRPr="00086FAC">
              <w:rPr>
                <w:noProof/>
                <w:webHidden/>
              </w:rPr>
              <w:fldChar w:fldCharType="end"/>
            </w:r>
          </w:hyperlink>
        </w:p>
        <w:p w14:paraId="260E4752" w14:textId="59142FBA" w:rsidR="005C1906" w:rsidRPr="00086FAC" w:rsidRDefault="005C190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361554" w:history="1">
            <w:r w:rsidRPr="00086FAC">
              <w:rPr>
                <w:rStyle w:val="Hyperlink"/>
                <w:noProof/>
              </w:rPr>
              <w:t>5.4 Evaluation Plan</w:t>
            </w:r>
            <w:r w:rsidRPr="00086FAC">
              <w:rPr>
                <w:noProof/>
                <w:webHidden/>
              </w:rPr>
              <w:tab/>
            </w:r>
            <w:r w:rsidRPr="00086FAC">
              <w:rPr>
                <w:noProof/>
                <w:webHidden/>
              </w:rPr>
              <w:fldChar w:fldCharType="begin"/>
            </w:r>
            <w:r w:rsidRPr="00086FAC">
              <w:rPr>
                <w:noProof/>
                <w:webHidden/>
              </w:rPr>
              <w:instrText xml:space="preserve"> PAGEREF _Toc235361554 \h </w:instrText>
            </w:r>
            <w:r w:rsidRPr="00086FAC">
              <w:rPr>
                <w:noProof/>
                <w:webHidden/>
              </w:rPr>
            </w:r>
            <w:r w:rsidRPr="00086FAC">
              <w:rPr>
                <w:noProof/>
                <w:webHidden/>
              </w:rPr>
              <w:fldChar w:fldCharType="separate"/>
            </w:r>
            <w:r w:rsidRPr="00086FAC">
              <w:rPr>
                <w:noProof/>
                <w:webHidden/>
              </w:rPr>
              <w:t>20</w:t>
            </w:r>
            <w:r w:rsidRPr="00086FAC">
              <w:rPr>
                <w:noProof/>
                <w:webHidden/>
              </w:rPr>
              <w:fldChar w:fldCharType="end"/>
            </w:r>
          </w:hyperlink>
        </w:p>
        <w:p w14:paraId="0CD2D9F4" w14:textId="6D512529" w:rsidR="005C1906" w:rsidRDefault="005C1906">
          <w:pPr>
            <w:pStyle w:val="TOC1"/>
            <w:rPr>
              <w:rFonts w:asciiTheme="minorHAnsi" w:eastAsiaTheme="minorEastAsia" w:hAnsiTheme="minorHAnsi" w:cstheme="minorBidi"/>
              <w:noProof/>
              <w:kern w:val="2"/>
              <w:sz w:val="24"/>
              <w:szCs w:val="24"/>
              <w14:ligatures w14:val="standardContextual"/>
            </w:rPr>
          </w:pPr>
          <w:hyperlink w:anchor="_Toc235361555" w:history="1">
            <w:r w:rsidRPr="0098513F">
              <w:rPr>
                <w:rStyle w:val="Hyperlink"/>
                <w:b/>
                <w:bCs/>
                <w:noProof/>
              </w:rPr>
              <w:t>6. Conclusion</w:t>
            </w:r>
            <w:r>
              <w:rPr>
                <w:noProof/>
                <w:webHidden/>
              </w:rPr>
              <w:tab/>
            </w:r>
            <w:r>
              <w:rPr>
                <w:noProof/>
                <w:webHidden/>
              </w:rPr>
              <w:fldChar w:fldCharType="begin"/>
            </w:r>
            <w:r>
              <w:rPr>
                <w:noProof/>
                <w:webHidden/>
              </w:rPr>
              <w:instrText xml:space="preserve"> PAGEREF _Toc235361555 \h </w:instrText>
            </w:r>
            <w:r>
              <w:rPr>
                <w:noProof/>
                <w:webHidden/>
              </w:rPr>
            </w:r>
            <w:r>
              <w:rPr>
                <w:noProof/>
                <w:webHidden/>
              </w:rPr>
              <w:fldChar w:fldCharType="separate"/>
            </w:r>
            <w:r>
              <w:rPr>
                <w:noProof/>
                <w:webHidden/>
              </w:rPr>
              <w:t>21</w:t>
            </w:r>
            <w:r>
              <w:rPr>
                <w:noProof/>
                <w:webHidden/>
              </w:rPr>
              <w:fldChar w:fldCharType="end"/>
            </w:r>
          </w:hyperlink>
        </w:p>
        <w:p w14:paraId="10000BDB" w14:textId="1B8248C5" w:rsidR="005C1906" w:rsidRDefault="005C1906">
          <w:pPr>
            <w:pStyle w:val="TOC1"/>
            <w:rPr>
              <w:rFonts w:asciiTheme="minorHAnsi" w:eastAsiaTheme="minorEastAsia" w:hAnsiTheme="minorHAnsi" w:cstheme="minorBidi"/>
              <w:noProof/>
              <w:kern w:val="2"/>
              <w:sz w:val="24"/>
              <w:szCs w:val="24"/>
              <w14:ligatures w14:val="standardContextual"/>
            </w:rPr>
          </w:pPr>
          <w:hyperlink w:anchor="_Toc235361556" w:history="1">
            <w:r w:rsidRPr="0098513F">
              <w:rPr>
                <w:rStyle w:val="Hyperlink"/>
                <w:b/>
                <w:bCs/>
                <w:noProof/>
              </w:rPr>
              <w:t>References</w:t>
            </w:r>
            <w:r>
              <w:rPr>
                <w:noProof/>
                <w:webHidden/>
              </w:rPr>
              <w:tab/>
            </w:r>
            <w:r>
              <w:rPr>
                <w:noProof/>
                <w:webHidden/>
              </w:rPr>
              <w:fldChar w:fldCharType="begin"/>
            </w:r>
            <w:r>
              <w:rPr>
                <w:noProof/>
                <w:webHidden/>
              </w:rPr>
              <w:instrText xml:space="preserve"> PAGEREF _Toc235361556 \h </w:instrText>
            </w:r>
            <w:r>
              <w:rPr>
                <w:noProof/>
                <w:webHidden/>
              </w:rPr>
            </w:r>
            <w:r>
              <w:rPr>
                <w:noProof/>
                <w:webHidden/>
              </w:rPr>
              <w:fldChar w:fldCharType="separate"/>
            </w:r>
            <w:r>
              <w:rPr>
                <w:noProof/>
                <w:webHidden/>
              </w:rPr>
              <w:t>22</w:t>
            </w:r>
            <w:r>
              <w:rPr>
                <w:noProof/>
                <w:webHidden/>
              </w:rPr>
              <w:fldChar w:fldCharType="end"/>
            </w:r>
          </w:hyperlink>
        </w:p>
        <w:p w14:paraId="572AC344" w14:textId="6CD39C75" w:rsidR="000119F8" w:rsidRDefault="000119F8">
          <w:r>
            <w:rPr>
              <w:b/>
              <w:bCs/>
              <w:noProof/>
            </w:rPr>
            <w:fldChar w:fldCharType="end"/>
          </w:r>
        </w:p>
      </w:sdtContent>
    </w:sdt>
    <w:p w14:paraId="1E91FCBE" w14:textId="77777777" w:rsidR="009C0ED8" w:rsidRDefault="009C0ED8"/>
    <w:p w14:paraId="6199D439" w14:textId="77777777" w:rsidR="009C0ED8" w:rsidRDefault="009C0ED8"/>
    <w:p w14:paraId="656F6852" w14:textId="77777777" w:rsidR="009C0ED8" w:rsidRDefault="009C0ED8"/>
    <w:p w14:paraId="7E01F4EA" w14:textId="77777777" w:rsidR="009C0ED8" w:rsidRDefault="009C0ED8"/>
    <w:p w14:paraId="2C1DC120" w14:textId="77777777" w:rsidR="009C0ED8" w:rsidRDefault="009C0ED8"/>
    <w:p w14:paraId="0C86B5E1" w14:textId="77777777" w:rsidR="009C0ED8" w:rsidRDefault="009C0ED8"/>
    <w:p w14:paraId="26FC36A2" w14:textId="77777777" w:rsidR="009C0ED8" w:rsidRDefault="009C0ED8"/>
    <w:p w14:paraId="34C899AD" w14:textId="77777777" w:rsidR="009C0ED8" w:rsidRDefault="009C0ED8"/>
    <w:p w14:paraId="4DB378E4" w14:textId="77777777" w:rsidR="00620E47" w:rsidRDefault="00620E47"/>
    <w:p w14:paraId="79319C11" w14:textId="77777777" w:rsidR="009C0ED8" w:rsidRPr="002C7099" w:rsidRDefault="000119F8" w:rsidP="000119F8">
      <w:pPr>
        <w:pStyle w:val="Heading1"/>
        <w:rPr>
          <w:rFonts w:asciiTheme="minorBidi" w:hAnsiTheme="minorBidi" w:cstheme="minorBidi"/>
          <w:b/>
          <w:bCs/>
          <w:sz w:val="36"/>
          <w:szCs w:val="36"/>
        </w:rPr>
      </w:pPr>
      <w:bookmarkStart w:id="2" w:name="_Toc234016158"/>
      <w:bookmarkStart w:id="3" w:name="_Toc235361530"/>
      <w:r>
        <w:rPr>
          <w:rFonts w:asciiTheme="minorBidi" w:hAnsiTheme="minorBidi" w:cstheme="minorBidi"/>
          <w:b/>
          <w:bCs/>
          <w:sz w:val="36"/>
          <w:szCs w:val="36"/>
        </w:rPr>
        <w:lastRenderedPageBreak/>
        <w:t>1. Introduction</w:t>
      </w:r>
      <w:bookmarkEnd w:id="2"/>
      <w:bookmarkEnd w:id="3"/>
    </w:p>
    <w:p w14:paraId="7F3D1ED3" w14:textId="77777777" w:rsidR="00240BA6" w:rsidRPr="002C7099" w:rsidRDefault="00240BA6" w:rsidP="00240BA6">
      <w:pPr>
        <w:rPr>
          <w:rFonts w:asciiTheme="minorBidi" w:hAnsiTheme="minorBidi" w:cstheme="minorBidi"/>
        </w:rPr>
      </w:pPr>
    </w:p>
    <w:p w14:paraId="66D47F28" w14:textId="77777777" w:rsidR="009C0ED8" w:rsidRPr="002C7099" w:rsidRDefault="009C0ED8" w:rsidP="002C7099">
      <w:pPr>
        <w:pStyle w:val="Heading2"/>
        <w:rPr>
          <w:rFonts w:asciiTheme="minorBidi" w:hAnsiTheme="minorBidi" w:cstheme="minorBidi"/>
          <w:b/>
          <w:bCs/>
          <w:sz w:val="28"/>
          <w:szCs w:val="28"/>
        </w:rPr>
      </w:pPr>
      <w:bookmarkStart w:id="4" w:name="_Toc234016159"/>
      <w:bookmarkStart w:id="5" w:name="_Toc235361531"/>
      <w:r>
        <w:rPr>
          <w:rFonts w:asciiTheme="minorBidi" w:hAnsiTheme="minorBidi" w:cstheme="minorBidi"/>
          <w:b/>
          <w:bCs/>
          <w:sz w:val="28"/>
          <w:szCs w:val="28"/>
        </w:rPr>
        <w:t>1.1 Company Overview</w:t>
      </w:r>
      <w:bookmarkEnd w:id="4"/>
      <w:bookmarkEnd w:id="5"/>
    </w:p>
    <w:p w14:paraId="011F2123" w14:textId="77777777" w:rsidR="002B12CA" w:rsidRDefault="002B12CA" w:rsidP="002B12CA">
      <w:pPr>
        <w:spacing w:after="150" w:line="360" w:lineRule="auto"/>
        <w:jc w:val="both"/>
      </w:pPr>
      <w:r>
        <w:t xml:space="preserve">Aston Martin Lagonda Global Holdings PLC is one of the most recognised names in British automotive </w:t>
      </w:r>
      <w:r w:rsidRPr="005C1906">
        <w:t>manufacturing. The company was founded in 1913 by Lionel Martin and Robert Bamford (Aston Martin, 2025a</w:t>
      </w:r>
      <w:r>
        <w:t>). Over more than a century it has built its reputation on hand-crafted luxury sports cars and grand tourers. The business is publicly listed on the London Stock Exchange under the ticker symbol AML (Aston Martin, 2025a).</w:t>
      </w:r>
    </w:p>
    <w:p w14:paraId="2246FC01" w14:textId="77777777" w:rsidR="002B12CA" w:rsidRDefault="002B12CA" w:rsidP="002B12CA">
      <w:pPr>
        <w:spacing w:after="150" w:line="360" w:lineRule="auto"/>
        <w:jc w:val="both"/>
      </w:pPr>
      <w:r>
        <w:t>Manufacturing and engineering operations are based at a 55-acre facility in Gaydon, Warwickshire, with a second production site in St Athan, Wales (Aston Martin, 2025a). The company employs approximately 3,000 people globally (Aston Martin, 2025). It competes in the ultra-luxury automotive segment alongside Ferrari, Bentley, Lamborghini and McLaren, with the Americas its largest revenue market at approximately 40 per cent of group revenues in 2025 (Aston Martin, 2025).</w:t>
      </w:r>
    </w:p>
    <w:p w14:paraId="183E865D" w14:textId="77777777" w:rsidR="002B12CA" w:rsidRDefault="002B12CA" w:rsidP="002B12CA">
      <w:pPr>
        <w:spacing w:after="150" w:line="360" w:lineRule="auto"/>
        <w:jc w:val="both"/>
      </w:pPr>
      <w:r>
        <w:t>The current product range includes the DB12, Vantage, DBS, DBX707 SUV and the Valhalla, the company's first plug-in hybrid electric vehicle, with the first 152 units delivered in Q4 2025 (Aston Martin, 2025). Financially, 2025 was the most challenging year in recent memory. Revenue declined to £1.26 billion from £1.58 billion in 2024 (Aston Martin, 2025). Gross margin fell to 29 per cent (Aston Martin, 2025). The net loss widened to £493 million and net debt stood at £1.38 billion at year end (Aston Martin, 2025). Figure 1 illustrates these financial trends.</w:t>
      </w:r>
    </w:p>
    <w:p w14:paraId="31B54E27" w14:textId="77777777" w:rsidR="009C0ED8" w:rsidRPr="00604F8F" w:rsidRDefault="009C0ED8" w:rsidP="00F91087">
      <w:pPr>
        <w:spacing w:before="180" w:after="40"/>
        <w:ind w:firstLine="720"/>
        <w:jc w:val="center"/>
        <w:rPr>
          <w:lang w:val="fr-FR"/>
        </w:rPr>
      </w:pPr>
      <w:r>
        <w:rPr>
          <w:b/>
          <w:bCs/>
          <w:lang w:val="fr-FR"/>
        </w:rPr>
        <w:t>Figure 1: Aston Martin Lagonda Revenue vs Net Loss (2022-2025)</w:t>
      </w:r>
    </w:p>
    <w:p w14:paraId="1383FE62" w14:textId="77777777" w:rsidR="009C0ED8" w:rsidRDefault="009C0ED8" w:rsidP="009C0ED8">
      <w:pPr>
        <w:spacing w:after="30"/>
      </w:pPr>
      <w:r>
        <w:rPr>
          <w:noProof/>
        </w:rPr>
        <w:drawing>
          <wp:inline distT="0" distB="0" distL="0" distR="0" wp14:anchorId="370BA320" wp14:editId="547DC755">
            <wp:extent cx="5143500" cy="2876550"/>
            <wp:effectExtent l="0" t="0" r="0" b="0"/>
            <wp:docPr id="1" name="chart" descr="Data visualisation" title="Chart">
              <a:extLst xmlns:a="http://schemas.openxmlformats.org/drawingml/2006/main">
                <a:ext uri="{FF2B5EF4-FFF2-40B4-BE49-F238E27FC236}">
                  <a16:creationId xmlns:a16="http://schemas.microsoft.com/office/drawing/2014/main" id="{8D18526D-588B-4704-BC83-6BB27C803F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143500" cy="2876550"/>
                    </a:xfrm>
                    <a:prstGeom prst="rect">
                      <a:avLst/>
                    </a:prstGeom>
                  </pic:spPr>
                </pic:pic>
              </a:graphicData>
            </a:graphic>
          </wp:inline>
        </w:drawing>
      </w:r>
    </w:p>
    <w:p w14:paraId="49C2A704" w14:textId="77777777" w:rsidR="009C0ED8" w:rsidRDefault="009C0ED8" w:rsidP="009C0ED8">
      <w:pPr>
        <w:spacing w:before="30" w:after="180"/>
        <w:jc w:val="center"/>
        <w:rPr>
          <w:i/>
          <w:iCs/>
          <w:color w:val="555555"/>
          <w:sz w:val="18"/>
          <w:szCs w:val="18"/>
        </w:rPr>
      </w:pPr>
      <w:r>
        <w:rPr>
          <w:i/>
          <w:iCs/>
          <w:color w:val="555555"/>
          <w:sz w:val="18"/>
          <w:szCs w:val="18"/>
        </w:rPr>
        <w:t>Source: Aston Martin (2022, 2023, 2024, 2025).</w:t>
      </w:r>
    </w:p>
    <w:p w14:paraId="4B8E297E" w14:textId="77777777" w:rsidR="009C0ED8" w:rsidRDefault="009C0ED8" w:rsidP="009C0ED8">
      <w:pPr>
        <w:spacing w:before="30" w:after="180"/>
        <w:jc w:val="center"/>
      </w:pPr>
    </w:p>
    <w:p w14:paraId="27DAB19F" w14:textId="77777777" w:rsidR="009C0ED8" w:rsidRPr="002C7099" w:rsidRDefault="009C0ED8" w:rsidP="009C0ED8">
      <w:pPr>
        <w:pStyle w:val="Heading2"/>
        <w:rPr>
          <w:sz w:val="28"/>
          <w:szCs w:val="28"/>
        </w:rPr>
      </w:pPr>
      <w:bookmarkStart w:id="6" w:name="_Toc234016160"/>
      <w:bookmarkStart w:id="7" w:name="_Toc235361532"/>
      <w:r>
        <w:rPr>
          <w:rFonts w:ascii="Arial" w:eastAsia="Arial" w:hAnsi="Arial" w:cs="Arial"/>
          <w:b/>
          <w:bCs/>
          <w:color w:val="154360"/>
          <w:sz w:val="28"/>
          <w:szCs w:val="28"/>
        </w:rPr>
        <w:t>1.2 Vision, Mission and Values</w:t>
      </w:r>
      <w:bookmarkEnd w:id="6"/>
      <w:bookmarkEnd w:id="7"/>
    </w:p>
    <w:p w14:paraId="0BDCFB5B" w14:textId="77777777" w:rsidR="009C0ED8" w:rsidRDefault="009C0ED8" w:rsidP="009C0ED8">
      <w:pPr>
        <w:spacing w:after="160" w:line="360" w:lineRule="auto"/>
        <w:jc w:val="both"/>
      </w:pPr>
      <w:r>
        <w:t>Before designing any change programme, it is important to understand the strategic anchor points that change must build upon rather than disrupt. Aston Martin's vision is to be the world's most desirable ultra-luxury British performance brand, and its mission is to create the most beautiful and exhilarating luxury sports cars and grand tourers, combining time-honoured craftsmanship with the latest technology (Aston Martin, 2025a).</w:t>
      </w:r>
    </w:p>
    <w:p w14:paraId="37A37653" w14:textId="77777777" w:rsidR="009C0ED8" w:rsidRDefault="009C0ED8" w:rsidP="009C0ED8">
      <w:pPr>
        <w:spacing w:after="160" w:line="360" w:lineRule="auto"/>
        <w:jc w:val="both"/>
      </w:pPr>
      <w:r>
        <w:t xml:space="preserve">This mission is increasingly shaped by a sustainability commitment. In April 2022, the company launched its Racing.Green. strategy, which sets out its ambition to become a world-leading sustainable ultra-luxury automotive business built around tackling climate change, creating a better environment and investing in people (Aston Martin, 2022). Key targets include net-zero manufacturing by 2030 and net-zero across the full supply chain by 2039 (Aston Martin, 2022), with certified carbon neutral manufacturing at Gaydon and St Athan already achieved in 2023 (Aston Martin, 2023). </w:t>
      </w:r>
    </w:p>
    <w:p w14:paraId="14FF24B3" w14:textId="77777777" w:rsidR="009C0ED8" w:rsidRDefault="009C0ED8" w:rsidP="009C0ED8">
      <w:pPr>
        <w:spacing w:after="160" w:line="360" w:lineRule="auto"/>
        <w:jc w:val="both"/>
      </w:pPr>
      <w:r>
        <w:t>The company's core values of Unity, Openness, Trust, Ownership and Courage (Aston Martin, 2025a) define the expected behaviours across the organisation and represent the cultural foundation upon which the change programme must be built. As Schein (2010, p.18) explains, values are not simply statements; they shape how people make decisions and respond to change.</w:t>
      </w:r>
    </w:p>
    <w:p w14:paraId="1B2F92A3" w14:textId="77777777" w:rsidR="009C0ED8" w:rsidRPr="002C7099" w:rsidRDefault="009C0ED8" w:rsidP="009C0ED8">
      <w:pPr>
        <w:pStyle w:val="Heading2"/>
        <w:rPr>
          <w:sz w:val="28"/>
          <w:szCs w:val="28"/>
        </w:rPr>
      </w:pPr>
      <w:bookmarkStart w:id="8" w:name="_Toc234016161"/>
      <w:bookmarkStart w:id="9" w:name="_Toc235361533"/>
      <w:r>
        <w:rPr>
          <w:rFonts w:ascii="Arial" w:eastAsia="Arial" w:hAnsi="Arial" w:cs="Arial"/>
          <w:b/>
          <w:bCs/>
          <w:color w:val="154360"/>
          <w:sz w:val="28"/>
          <w:szCs w:val="28"/>
        </w:rPr>
        <w:t>1.3 Context for Change</w:t>
      </w:r>
      <w:bookmarkEnd w:id="8"/>
      <w:bookmarkEnd w:id="9"/>
    </w:p>
    <w:p w14:paraId="0B19461E" w14:textId="77777777" w:rsidR="00986FBB" w:rsidRDefault="009C0ED8" w:rsidP="009C0ED8">
      <w:pPr>
        <w:spacing w:after="160" w:line="360" w:lineRule="auto"/>
        <w:jc w:val="both"/>
      </w:pPr>
      <w:r>
        <w:t xml:space="preserve">Having established who Aston Martin is and what it stands for, it is possible to understand why strategic change is both necessary and urgent. The global automotive industry is undergoing profound transformation, driven by electric vehicles, artificial intelligence and the digitalisation of products, manufacturing and customer experience. </w:t>
      </w:r>
    </w:p>
    <w:p w14:paraId="63A3AAA3" w14:textId="77777777" w:rsidR="009C0ED8" w:rsidRDefault="009C0ED8" w:rsidP="009C0ED8">
      <w:pPr>
        <w:spacing w:after="160" w:line="360" w:lineRule="auto"/>
        <w:jc w:val="both"/>
      </w:pPr>
      <w:r>
        <w:t>Aston Martin faces this challenge from a difficult financial position, with deepening losses and no fully electric vehicle yet launched. The UK's Zero Emission Vehicle Mandate is raising the regulatory stakes for all manufacturers each year, while competitors are moving faster on electrification. As Cameron and Green (2019, p.2) argue, organisations that manage change most effectively are those led by people who combine a clear sense of direction with a genuine understanding of the human dimensions of transformation. This is precisely the approach this report seeks to apply.</w:t>
      </w:r>
    </w:p>
    <w:p w14:paraId="6A030344" w14:textId="56D087C2" w:rsidR="009C0ED8" w:rsidRDefault="009C0ED8" w:rsidP="005C1906">
      <w:pPr>
        <w:spacing w:before="60" w:after="200" w:line="360" w:lineRule="auto"/>
        <w:jc w:val="both"/>
      </w:pPr>
      <w:r>
        <w:t>Accordingly, the report now turns to that external and competitive environment, before evaluating change models, leadership and culture, and translating these insights into a Strategic Change Management Plan for 2026 to 2028.</w:t>
      </w:r>
    </w:p>
    <w:p w14:paraId="10A14942" w14:textId="77777777" w:rsidR="00BA5047" w:rsidRPr="002C7099" w:rsidRDefault="00BA5047" w:rsidP="00BA5047">
      <w:pPr>
        <w:pStyle w:val="Heading1"/>
        <w:rPr>
          <w:sz w:val="32"/>
          <w:szCs w:val="32"/>
        </w:rPr>
      </w:pPr>
      <w:bookmarkStart w:id="10" w:name="_Toc234016162"/>
      <w:bookmarkStart w:id="11" w:name="_Toc235361534"/>
      <w:r>
        <w:rPr>
          <w:rFonts w:ascii="Arial" w:eastAsia="Arial" w:hAnsi="Arial" w:cs="Arial"/>
          <w:b/>
          <w:bCs/>
          <w:color w:val="1A3A5C"/>
          <w:sz w:val="32"/>
          <w:szCs w:val="32"/>
        </w:rPr>
        <w:lastRenderedPageBreak/>
        <w:t>2. Environmental Analysis</w:t>
      </w:r>
      <w:bookmarkEnd w:id="10"/>
      <w:bookmarkEnd w:id="11"/>
    </w:p>
    <w:p w14:paraId="16841EA1" w14:textId="77777777" w:rsidR="00BA5047" w:rsidRDefault="00BA5047" w:rsidP="00BA5047">
      <w:pPr>
        <w:spacing w:after="150" w:line="360" w:lineRule="auto"/>
        <w:jc w:val="both"/>
      </w:pPr>
      <w:r>
        <w:t>A thorough environmental analysis is an essential first step before any change plan can be developed. It establishes the external pressures and opportunities that the plan must respond to, and provides the evidence base for all subsequent strategic decisions. This section examines the macro environment through PESTLE, the competitive environment through Porter's Five Forces and draws both together in a SWOT analysis.</w:t>
      </w:r>
    </w:p>
    <w:p w14:paraId="6597BC0F" w14:textId="77777777" w:rsidR="00BA5047" w:rsidRPr="002C7099" w:rsidRDefault="00BA5047" w:rsidP="00BA5047">
      <w:pPr>
        <w:pStyle w:val="Heading2"/>
        <w:rPr>
          <w:sz w:val="28"/>
          <w:szCs w:val="28"/>
        </w:rPr>
      </w:pPr>
      <w:bookmarkStart w:id="12" w:name="_Toc234016163"/>
      <w:bookmarkStart w:id="13" w:name="_Toc235361535"/>
      <w:r>
        <w:rPr>
          <w:rFonts w:ascii="Arial" w:eastAsia="Arial" w:hAnsi="Arial" w:cs="Arial"/>
          <w:b/>
          <w:bCs/>
          <w:color w:val="154360"/>
          <w:sz w:val="28"/>
          <w:szCs w:val="28"/>
        </w:rPr>
        <w:t>2.1 Macro Environment: PESTLE Analysis</w:t>
      </w:r>
      <w:bookmarkEnd w:id="12"/>
      <w:bookmarkEnd w:id="13"/>
    </w:p>
    <w:p w14:paraId="091686C9" w14:textId="77777777" w:rsidR="00BA5047" w:rsidRDefault="00BA5047" w:rsidP="00BA5047">
      <w:pPr>
        <w:spacing w:after="150" w:line="360" w:lineRule="auto"/>
        <w:jc w:val="both"/>
      </w:pPr>
      <w:r>
        <w:t>PESTLE analysis examines the Political, Economic, Social, Technological, Legal and Environmental macro-forces affecting an organisation. Johnson, Whittington and Scholes (2020, p.43) recommend it as a starting point for strategic analysis because it ensures attention is paid to the full range of forces shaping an industry. Figure 2 summarises the key findings across each of the six factors.</w:t>
      </w:r>
    </w:p>
    <w:p w14:paraId="403D7FBF" w14:textId="77777777" w:rsidR="009C0ED8" w:rsidRDefault="009C0ED8" w:rsidP="00240BA6">
      <w:pPr>
        <w:spacing w:before="180" w:after="40"/>
        <w:jc w:val="center"/>
      </w:pPr>
      <w:r>
        <w:rPr>
          <w:b/>
          <w:bCs/>
        </w:rPr>
        <w:t>Figure 2: PESTLE Analysis of Aston Martin's External Environment (2025-2026)</w:t>
      </w:r>
    </w:p>
    <w:p w14:paraId="125A9B1B" w14:textId="77777777" w:rsidR="009C0ED8" w:rsidRDefault="00701F59" w:rsidP="00240BA6">
      <w:pPr>
        <w:spacing w:after="30"/>
        <w:jc w:val="center"/>
      </w:pPr>
      <w:r>
        <w:rPr>
          <w:noProof/>
        </w:rPr>
        <w:drawing>
          <wp:inline distT="0" distB="0" distL="0" distR="0" wp14:anchorId="05EF9B7C" wp14:editId="78E9C617">
            <wp:extent cx="5731510" cy="3749027"/>
            <wp:effectExtent l="0" t="0" r="2540" b="4445"/>
            <wp:docPr id="2022327156" name="chart" descr="Data visualisation" title="Chart">
              <a:extLst xmlns:a="http://schemas.openxmlformats.org/drawingml/2006/main">
                <a:ext uri="{FF2B5EF4-FFF2-40B4-BE49-F238E27FC236}">
                  <a16:creationId xmlns:a16="http://schemas.microsoft.com/office/drawing/2014/main" id="{A827CA0C-C4BC-42EA-8EC7-F278CFDD1D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731510" cy="3749027"/>
                    </a:xfrm>
                    <a:prstGeom prst="rect">
                      <a:avLst/>
                    </a:prstGeom>
                  </pic:spPr>
                </pic:pic>
              </a:graphicData>
            </a:graphic>
          </wp:inline>
        </w:drawing>
      </w:r>
    </w:p>
    <w:p w14:paraId="38FD10AF" w14:textId="77777777" w:rsidR="009C0ED8" w:rsidRDefault="009C0ED8" w:rsidP="00240BA6">
      <w:pPr>
        <w:spacing w:before="30" w:after="180"/>
        <w:jc w:val="center"/>
      </w:pPr>
      <w:r>
        <w:rPr>
          <w:i/>
          <w:iCs/>
          <w:color w:val="555555"/>
          <w:sz w:val="18"/>
          <w:szCs w:val="18"/>
        </w:rPr>
        <w:t>Source: Aston Martin (2025) and UK Government (2024).</w:t>
      </w:r>
    </w:p>
    <w:p w14:paraId="5F75D40D" w14:textId="77777777" w:rsidR="00252C93" w:rsidRPr="002C7099" w:rsidRDefault="00252C93" w:rsidP="002C7099">
      <w:pPr>
        <w:rPr>
          <w:b/>
          <w:bCs/>
          <w:color w:val="215E99" w:themeColor="text2" w:themeTint="BF"/>
          <w:sz w:val="24"/>
          <w:szCs w:val="24"/>
        </w:rPr>
      </w:pPr>
      <w:bookmarkStart w:id="14" w:name="_Toc234016164"/>
      <w:r>
        <w:rPr>
          <w:b/>
          <w:bCs/>
          <w:color w:val="215E99" w:themeColor="text2" w:themeTint="BF"/>
          <w:sz w:val="24"/>
          <w:szCs w:val="24"/>
        </w:rPr>
        <w:t>Political</w:t>
      </w:r>
      <w:bookmarkEnd w:id="14"/>
    </w:p>
    <w:p w14:paraId="07847E54" w14:textId="77777777" w:rsidR="005C1906" w:rsidRDefault="00252C93" w:rsidP="00252C93">
      <w:pPr>
        <w:spacing w:after="150" w:line="360" w:lineRule="auto"/>
        <w:jc w:val="both"/>
      </w:pPr>
      <w:r>
        <w:t xml:space="preserve">The UK's Zero Emission Vehicle Mandate came into force in January 2024. It requires manufacturers to increase zero-emission vehicle sales from 22 per cent in 2024 to 100 per cent by 2035 (UK Government, 2024). Manufacturers failing annual targets face fines of £15,000 per non-compliant vehicle (UK Government, 2024). For Aston Martin, which has no fully battery electric vehicle in production, this is a material compliance risk. </w:t>
      </w:r>
    </w:p>
    <w:p w14:paraId="4654E5B1" w14:textId="18F4EF14" w:rsidR="00252C93" w:rsidRDefault="00252C93" w:rsidP="00252C93">
      <w:pPr>
        <w:spacing w:after="150" w:line="360" w:lineRule="auto"/>
        <w:jc w:val="both"/>
      </w:pPr>
      <w:r>
        <w:lastRenderedPageBreak/>
        <w:t>The introduction of 25 per cent US import tariffs on UK-manufactured vehicles in 2025 further reduced revenues from the Americas (Aston Martin, 2025). CEO Adrian Hallmark described these conditions as creating an unprecedented trading environment (Aston Martin, 2025).</w:t>
      </w:r>
    </w:p>
    <w:p w14:paraId="41FC9184" w14:textId="77777777" w:rsidR="00252C93" w:rsidRPr="002C7099" w:rsidRDefault="00252C93" w:rsidP="002C7099">
      <w:pPr>
        <w:rPr>
          <w:b/>
          <w:bCs/>
          <w:color w:val="215E99" w:themeColor="text2" w:themeTint="BF"/>
          <w:sz w:val="24"/>
          <w:szCs w:val="24"/>
        </w:rPr>
      </w:pPr>
      <w:bookmarkStart w:id="15" w:name="_Toc234016165"/>
      <w:r>
        <w:rPr>
          <w:b/>
          <w:bCs/>
          <w:color w:val="215E99" w:themeColor="text2" w:themeTint="BF"/>
          <w:sz w:val="24"/>
          <w:szCs w:val="24"/>
        </w:rPr>
        <w:t>Economic</w:t>
      </w:r>
      <w:bookmarkEnd w:id="15"/>
    </w:p>
    <w:p w14:paraId="1167431B" w14:textId="77777777" w:rsidR="00252C93" w:rsidRDefault="00252C93" w:rsidP="00252C93">
      <w:pPr>
        <w:spacing w:after="150" w:line="360" w:lineRule="auto"/>
        <w:jc w:val="both"/>
      </w:pPr>
      <w:r>
        <w:t>Revenue fell to £1.26 billion in 2025, down 21 per cent on the prior year (Aston Martin, 2025). The net loss reached £493 million, a 52 per cent deterioration compared with 2024 (Aston Martin, 2025). Gross margin dropped to 29 per cent from 37 per cent in 2024 (Aston Martin, 2025). Net debt rose to £1.38 billion at year end (Aston Martin, 2025). The core average selling price grew by 5 per cent in Q4 2025 (Aston Martin, 2025), and Bain and Company (2023) note that ultra-luxury goods have historically shown greater price resilience than mainstream products.</w:t>
      </w:r>
    </w:p>
    <w:p w14:paraId="41862798" w14:textId="77777777" w:rsidR="00252C93" w:rsidRPr="002C7099" w:rsidRDefault="00252C93" w:rsidP="002C7099">
      <w:pPr>
        <w:rPr>
          <w:b/>
          <w:bCs/>
          <w:color w:val="215E99" w:themeColor="text2" w:themeTint="BF"/>
          <w:sz w:val="24"/>
          <w:szCs w:val="24"/>
        </w:rPr>
      </w:pPr>
      <w:bookmarkStart w:id="16" w:name="_Toc234016166"/>
      <w:r>
        <w:rPr>
          <w:b/>
          <w:bCs/>
          <w:color w:val="215E99" w:themeColor="text2" w:themeTint="BF"/>
          <w:sz w:val="24"/>
          <w:szCs w:val="24"/>
        </w:rPr>
        <w:t>Social</w:t>
      </w:r>
      <w:bookmarkEnd w:id="16"/>
    </w:p>
    <w:p w14:paraId="52A9C251" w14:textId="77777777" w:rsidR="00252C93" w:rsidRDefault="00252C93" w:rsidP="00252C93">
      <w:pPr>
        <w:spacing w:after="150" w:line="360" w:lineRule="auto"/>
        <w:jc w:val="both"/>
      </w:pPr>
      <w:r>
        <w:t>Younger high-net-worth buyers increasingly expect luxury brands to demonstrate genuine environmental credentials alongside exceptional performance (Aston Martin, 2022). The ESG agenda is now a material factor in purchasing decisions within this consumer group. Heritage and brand identity remain central to the Aston Martin proposition, and the change programme must evolve the brand to include electrification without undermining these qualities.</w:t>
      </w:r>
    </w:p>
    <w:p w14:paraId="55907DEF" w14:textId="77777777" w:rsidR="00252C93" w:rsidRPr="002C7099" w:rsidRDefault="00252C93" w:rsidP="002C7099">
      <w:pPr>
        <w:rPr>
          <w:b/>
          <w:bCs/>
          <w:color w:val="215E99" w:themeColor="text2" w:themeTint="BF"/>
          <w:sz w:val="24"/>
          <w:szCs w:val="24"/>
        </w:rPr>
      </w:pPr>
      <w:bookmarkStart w:id="17" w:name="_Toc234016167"/>
      <w:r>
        <w:rPr>
          <w:b/>
          <w:bCs/>
          <w:color w:val="215E99" w:themeColor="text2" w:themeTint="BF"/>
          <w:sz w:val="24"/>
          <w:szCs w:val="24"/>
        </w:rPr>
        <w:t>Technological</w:t>
      </w:r>
      <w:bookmarkEnd w:id="17"/>
    </w:p>
    <w:p w14:paraId="233C11DE" w14:textId="77777777" w:rsidR="00252C93" w:rsidRDefault="00252C93" w:rsidP="00252C93">
      <w:pPr>
        <w:spacing w:after="150" w:line="360" w:lineRule="auto"/>
        <w:jc w:val="both"/>
      </w:pPr>
      <w:r>
        <w:t>The 2023 partnership with Lucid Group, valued at over $450 million, gives Aston Martin access to world-leading battery and electric powertrain technology (Lucid Group, 2023). The long-standing agreement with Mercedes-Benz continues to supply electrical architectures for current models. The company adopted Salesforce Agentforce in 2024 for customer relationship management and is investing in Infor enterprise resource planning systems to replace legacy processes (Computer Weekly, 2024).</w:t>
      </w:r>
    </w:p>
    <w:p w14:paraId="52863588" w14:textId="77777777" w:rsidR="00252C93" w:rsidRPr="002C7099" w:rsidRDefault="00252C93" w:rsidP="002C7099">
      <w:pPr>
        <w:rPr>
          <w:b/>
          <w:bCs/>
          <w:color w:val="215E99" w:themeColor="text2" w:themeTint="BF"/>
          <w:sz w:val="24"/>
          <w:szCs w:val="24"/>
        </w:rPr>
      </w:pPr>
      <w:bookmarkStart w:id="18" w:name="_Toc234016168"/>
      <w:r>
        <w:rPr>
          <w:b/>
          <w:bCs/>
          <w:color w:val="215E99" w:themeColor="text2" w:themeTint="BF"/>
          <w:sz w:val="24"/>
          <w:szCs w:val="24"/>
        </w:rPr>
        <w:t>Legal</w:t>
      </w:r>
      <w:bookmarkEnd w:id="18"/>
    </w:p>
    <w:p w14:paraId="01C091FB" w14:textId="77777777" w:rsidR="00252C93" w:rsidRDefault="00252C93" w:rsidP="00252C93">
      <w:pPr>
        <w:spacing w:after="150" w:line="360" w:lineRule="auto"/>
        <w:jc w:val="both"/>
      </w:pPr>
      <w:r>
        <w:t>Aston Martin operates in more than 50 markets and must comply with varied product safety, emissions and consumer protection regulations in each (Aston Martin, 2025). CO2 standards under UK and EU frameworks apply alongside the ZEV Mandate (UK Government, 2024). UK GDPR obligations apply to its digital operations. Robust intellectual property management is critical given the EV technology agreements with Lucid Group and Mercedes-Benz (Lucid Group, 2023).</w:t>
      </w:r>
    </w:p>
    <w:p w14:paraId="53ACE90E" w14:textId="77777777" w:rsidR="00252C93" w:rsidRPr="002C7099" w:rsidRDefault="00252C93" w:rsidP="002C7099">
      <w:pPr>
        <w:rPr>
          <w:b/>
          <w:bCs/>
          <w:color w:val="215E99" w:themeColor="text2" w:themeTint="BF"/>
          <w:sz w:val="24"/>
          <w:szCs w:val="24"/>
        </w:rPr>
      </w:pPr>
      <w:bookmarkStart w:id="19" w:name="_Toc234016169"/>
      <w:r>
        <w:rPr>
          <w:b/>
          <w:bCs/>
          <w:color w:val="215E99" w:themeColor="text2" w:themeTint="BF"/>
          <w:sz w:val="24"/>
          <w:szCs w:val="24"/>
        </w:rPr>
        <w:t>Environmental</w:t>
      </w:r>
      <w:bookmarkEnd w:id="19"/>
    </w:p>
    <w:p w14:paraId="2B7591A3" w14:textId="77777777" w:rsidR="00252C93" w:rsidRDefault="00252C93" w:rsidP="00252C93">
      <w:pPr>
        <w:spacing w:after="150" w:line="360" w:lineRule="auto"/>
        <w:jc w:val="both"/>
      </w:pPr>
      <w:r>
        <w:t xml:space="preserve">Aston Martin achieved certified carbon neutral manufacturing at Gaydon and St Athan in 2023 (Aston Martin, 2023). The company targets net-zero manufacturing by 2030 and net-zero across its entire supply chain by 2039 (Aston Martin, 2022), both overseen by a dedicated Board Sustainability Committee (Aston Martin, 2024). These commitments are increasingly </w:t>
      </w:r>
      <w:r>
        <w:lastRenderedPageBreak/>
        <w:t>material to investor relations and to meeting the expectations of environmentally conscious luxury consumers.</w:t>
      </w:r>
    </w:p>
    <w:p w14:paraId="5860D2A2" w14:textId="77777777" w:rsidR="00240BA6" w:rsidRDefault="00252C93" w:rsidP="002C7099">
      <w:pPr>
        <w:spacing w:after="150" w:line="360" w:lineRule="auto"/>
        <w:jc w:val="both"/>
      </w:pPr>
      <w:r>
        <w:t>Figure 3 illustrates the UK ZEV Mandate's escalating requirements compared to the actual trajectory of EV market share, demonstrating the gap that Aston Martin must close.</w:t>
      </w:r>
    </w:p>
    <w:p w14:paraId="157D8871" w14:textId="77777777" w:rsidR="009C0ED8" w:rsidRDefault="009C0ED8" w:rsidP="00240BA6">
      <w:pPr>
        <w:spacing w:before="180" w:after="40"/>
        <w:jc w:val="center"/>
      </w:pPr>
      <w:r>
        <w:rPr>
          <w:b/>
          <w:bCs/>
        </w:rPr>
        <w:t>Figure 3: UK ZEV Mandate Required Target vs Actual EV Market Share (2024-2035)</w:t>
      </w:r>
    </w:p>
    <w:p w14:paraId="0BE806A2" w14:textId="77777777" w:rsidR="009C0ED8" w:rsidRDefault="009C0ED8" w:rsidP="00240BA6">
      <w:pPr>
        <w:spacing w:after="30"/>
        <w:jc w:val="center"/>
      </w:pPr>
      <w:r>
        <w:rPr>
          <w:noProof/>
        </w:rPr>
        <w:drawing>
          <wp:inline distT="0" distB="0" distL="0" distR="0" wp14:anchorId="78E428D1" wp14:editId="52F2BD11">
            <wp:extent cx="5143500" cy="2857500"/>
            <wp:effectExtent l="0" t="0" r="0" b="0"/>
            <wp:docPr id="590557174" name="chart" descr="Data visualisation" title="Chart">
              <a:extLst xmlns:a="http://schemas.openxmlformats.org/drawingml/2006/main">
                <a:ext uri="{FF2B5EF4-FFF2-40B4-BE49-F238E27FC236}">
                  <a16:creationId xmlns:a16="http://schemas.microsoft.com/office/drawing/2014/main" id="{75EBF252-8B4A-43E7-B15F-838513810C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143500" cy="2857500"/>
                    </a:xfrm>
                    <a:prstGeom prst="rect">
                      <a:avLst/>
                    </a:prstGeom>
                  </pic:spPr>
                </pic:pic>
              </a:graphicData>
            </a:graphic>
          </wp:inline>
        </w:drawing>
      </w:r>
    </w:p>
    <w:p w14:paraId="5F533570" w14:textId="77777777" w:rsidR="00240BA6" w:rsidRPr="003E37A0" w:rsidRDefault="009C0ED8" w:rsidP="003E37A0">
      <w:pPr>
        <w:spacing w:before="30" w:after="180"/>
        <w:jc w:val="center"/>
        <w:rPr>
          <w:i/>
          <w:iCs/>
          <w:color w:val="555555"/>
          <w:sz w:val="18"/>
          <w:szCs w:val="18"/>
        </w:rPr>
      </w:pPr>
      <w:r>
        <w:rPr>
          <w:i/>
          <w:iCs/>
          <w:color w:val="555555"/>
          <w:sz w:val="18"/>
          <w:szCs w:val="18"/>
        </w:rPr>
        <w:t>Source: UK Government (2024); Transport and Environment (2025).</w:t>
      </w:r>
    </w:p>
    <w:p w14:paraId="1635F98F" w14:textId="77777777" w:rsidR="00EF34A4" w:rsidRPr="002C7099" w:rsidRDefault="00EF34A4" w:rsidP="00EF34A4">
      <w:pPr>
        <w:pStyle w:val="Heading2"/>
        <w:rPr>
          <w:sz w:val="28"/>
          <w:szCs w:val="28"/>
        </w:rPr>
      </w:pPr>
      <w:bookmarkStart w:id="20" w:name="_Toc234016170"/>
      <w:bookmarkStart w:id="21" w:name="_Toc235361536"/>
      <w:r>
        <w:rPr>
          <w:rFonts w:ascii="Arial" w:eastAsia="Arial" w:hAnsi="Arial" w:cs="Arial"/>
          <w:b/>
          <w:bCs/>
          <w:color w:val="154360"/>
          <w:sz w:val="28"/>
          <w:szCs w:val="28"/>
        </w:rPr>
        <w:t>2.2 Micro Environment: Porter's Five Forces</w:t>
      </w:r>
      <w:bookmarkEnd w:id="20"/>
      <w:bookmarkEnd w:id="21"/>
    </w:p>
    <w:p w14:paraId="2FB39DB2" w14:textId="77777777" w:rsidR="00EF34A4" w:rsidRDefault="00EF34A4" w:rsidP="00EF34A4">
      <w:pPr>
        <w:spacing w:after="150" w:line="360" w:lineRule="auto"/>
        <w:jc w:val="both"/>
      </w:pPr>
      <w:r>
        <w:t>Porter's Five Forces model examines the competitive structure of an industry through five forces: competitive rivalry, buyer power, supplier power, the threat of substitutes and the threat of new entrants (Porter, 1980). Johnson, Whittington and Scholes (2020, p.54) argue that understanding these forces is essential before developing any competitive strategy. Figure 4 maps the intensity of each force for Aston Martin on a scale of one to five.</w:t>
      </w:r>
    </w:p>
    <w:p w14:paraId="6D25E1E0" w14:textId="77777777" w:rsidR="005C1906" w:rsidRDefault="005C1906" w:rsidP="00EF34A4">
      <w:pPr>
        <w:spacing w:after="150" w:line="360" w:lineRule="auto"/>
        <w:jc w:val="both"/>
      </w:pPr>
    </w:p>
    <w:p w14:paraId="31AFFC4F" w14:textId="77777777" w:rsidR="005C1906" w:rsidRDefault="005C1906" w:rsidP="00EF34A4">
      <w:pPr>
        <w:spacing w:after="150" w:line="360" w:lineRule="auto"/>
        <w:jc w:val="both"/>
      </w:pPr>
    </w:p>
    <w:p w14:paraId="0F502461" w14:textId="77777777" w:rsidR="005C1906" w:rsidRDefault="005C1906" w:rsidP="00EF34A4">
      <w:pPr>
        <w:spacing w:after="150" w:line="360" w:lineRule="auto"/>
        <w:jc w:val="both"/>
      </w:pPr>
    </w:p>
    <w:p w14:paraId="0DBFB3C6" w14:textId="77777777" w:rsidR="005C1906" w:rsidRDefault="005C1906" w:rsidP="00EF34A4">
      <w:pPr>
        <w:spacing w:after="150" w:line="360" w:lineRule="auto"/>
        <w:jc w:val="both"/>
      </w:pPr>
    </w:p>
    <w:p w14:paraId="23B2B08A" w14:textId="77777777" w:rsidR="005C1906" w:rsidRDefault="005C1906" w:rsidP="00EF34A4">
      <w:pPr>
        <w:spacing w:after="150" w:line="360" w:lineRule="auto"/>
        <w:jc w:val="both"/>
      </w:pPr>
    </w:p>
    <w:p w14:paraId="331C6356" w14:textId="77777777" w:rsidR="005C1906" w:rsidRDefault="005C1906" w:rsidP="00EF34A4">
      <w:pPr>
        <w:spacing w:after="150" w:line="360" w:lineRule="auto"/>
        <w:jc w:val="both"/>
      </w:pPr>
    </w:p>
    <w:p w14:paraId="39AD11BB" w14:textId="77777777" w:rsidR="005C1906" w:rsidRDefault="005C1906" w:rsidP="00EF34A4">
      <w:pPr>
        <w:spacing w:after="150" w:line="360" w:lineRule="auto"/>
        <w:jc w:val="both"/>
      </w:pPr>
    </w:p>
    <w:p w14:paraId="47C65704" w14:textId="77777777" w:rsidR="005C1906" w:rsidRDefault="005C1906" w:rsidP="00EF34A4">
      <w:pPr>
        <w:spacing w:after="150" w:line="360" w:lineRule="auto"/>
        <w:jc w:val="both"/>
      </w:pPr>
    </w:p>
    <w:p w14:paraId="18B578BA" w14:textId="77777777" w:rsidR="00E56DFF" w:rsidRDefault="00D42BC7">
      <w:pPr>
        <w:spacing w:before="180" w:after="40"/>
        <w:jc w:val="center"/>
      </w:pPr>
      <w:r>
        <w:rPr>
          <w:b/>
          <w:bCs/>
        </w:rPr>
        <w:lastRenderedPageBreak/>
        <w:t>Figure 4: Porter's Five Forces Analysis of Aston Martin</w:t>
      </w:r>
    </w:p>
    <w:p w14:paraId="04E540DB" w14:textId="77777777" w:rsidR="009C0ED8" w:rsidRDefault="009C0ED8" w:rsidP="00240BA6">
      <w:pPr>
        <w:spacing w:after="30"/>
        <w:jc w:val="center"/>
      </w:pPr>
      <w:r>
        <w:rPr>
          <w:noProof/>
        </w:rPr>
        <w:drawing>
          <wp:inline distT="0" distB="0" distL="0" distR="0" wp14:anchorId="414E0965" wp14:editId="2C868E49">
            <wp:extent cx="4972050" cy="3040599"/>
            <wp:effectExtent l="0" t="0" r="0" b="7620"/>
            <wp:docPr id="1320719369" name="chart" descr="Data visualisation" title="Chart">
              <a:extLst xmlns:a="http://schemas.openxmlformats.org/drawingml/2006/main">
                <a:ext uri="{FF2B5EF4-FFF2-40B4-BE49-F238E27FC236}">
                  <a16:creationId xmlns:a16="http://schemas.microsoft.com/office/drawing/2014/main" id="{3037E329-B894-41BD-A220-738A51F00B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014915" cy="3066813"/>
                    </a:xfrm>
                    <a:prstGeom prst="rect">
                      <a:avLst/>
                    </a:prstGeom>
                  </pic:spPr>
                </pic:pic>
              </a:graphicData>
            </a:graphic>
          </wp:inline>
        </w:drawing>
      </w:r>
    </w:p>
    <w:p w14:paraId="69F5B765" w14:textId="77777777" w:rsidR="00240BA6" w:rsidRDefault="009C0ED8" w:rsidP="002C7099">
      <w:pPr>
        <w:spacing w:before="30" w:after="180"/>
        <w:jc w:val="center"/>
      </w:pPr>
      <w:r>
        <w:rPr>
          <w:i/>
          <w:iCs/>
          <w:color w:val="555555"/>
          <w:sz w:val="18"/>
          <w:szCs w:val="18"/>
        </w:rPr>
        <w:t>Source: Porter (1980) and Aston Martin (2025). Scale: 1 = Very Low to 5 = Very High.</w:t>
      </w:r>
    </w:p>
    <w:p w14:paraId="1289937B" w14:textId="77777777" w:rsidR="00240BA6" w:rsidRDefault="009C0ED8" w:rsidP="009C0ED8">
      <w:pPr>
        <w:spacing w:after="160" w:line="360" w:lineRule="auto"/>
        <w:jc w:val="both"/>
      </w:pPr>
      <w:r>
        <w:t xml:space="preserve">Competitive rivalry is high. Ferrari, Bentley, Lamborghini and McLaren are all investing heavily in electrification, with Bentley committed to an all-electric portfolio by 2030 (Johnson, Whittington and Scholes, 2020). The relatively small global pool of ultra-luxury buyers intensifies competition for every sale. </w:t>
      </w:r>
    </w:p>
    <w:p w14:paraId="42EB9DD7" w14:textId="77777777" w:rsidR="00240BA6" w:rsidRDefault="009C0ED8" w:rsidP="009C0ED8">
      <w:pPr>
        <w:spacing w:after="160" w:line="360" w:lineRule="auto"/>
        <w:jc w:val="both"/>
      </w:pPr>
      <w:r>
        <w:t xml:space="preserve">Buyer power is moderate: high-net-worth consumers are less price-sensitive than typical buyers, but they do have real choices among competing brands, and their growing expectation for electrified models is increasing their leverage (Grand View Research, 2026). </w:t>
      </w:r>
    </w:p>
    <w:p w14:paraId="641317DF" w14:textId="77777777" w:rsidR="00DB45E0" w:rsidRDefault="009C0ED8" w:rsidP="009C0ED8">
      <w:pPr>
        <w:spacing w:after="160" w:line="360" w:lineRule="auto"/>
        <w:jc w:val="both"/>
      </w:pPr>
      <w:r>
        <w:t xml:space="preserve">Supplier power is also moderate: Aston Martin sources large structural components from a small number of highly specialised suppliers, which lengthens lead times and increases those suppliers' negotiating leverage (Automotive Logistics, 2026). The technology partnerships with Lucid and Mercedes-Benz, while strategically essential, create additional dependencies that need careful long-term contractual management. </w:t>
      </w:r>
    </w:p>
    <w:p w14:paraId="4B87ACE3" w14:textId="77777777" w:rsidR="00DB45E0" w:rsidRDefault="009C0ED8" w:rsidP="002C7099">
      <w:pPr>
        <w:spacing w:after="160" w:line="360" w:lineRule="auto"/>
        <w:jc w:val="both"/>
      </w:pPr>
      <w:r>
        <w:t>The threat of substitutes is moderate, with improving performance from luxury EV brands such as Rimac creating a growing threat for performance-oriented buyers (TechCrunch, 2024). The threat of new entrants remains low, however, as building a credible luxury automotive brand requires decades of investment in heritage, engineering and a global dealer network (Porter, 1980).</w:t>
      </w:r>
    </w:p>
    <w:p w14:paraId="1F166F86" w14:textId="77777777" w:rsidR="005C1906" w:rsidRDefault="005C1906" w:rsidP="002C7099">
      <w:pPr>
        <w:spacing w:after="160" w:line="360" w:lineRule="auto"/>
        <w:jc w:val="both"/>
      </w:pPr>
    </w:p>
    <w:p w14:paraId="2F00695E" w14:textId="77777777" w:rsidR="009C0ED8" w:rsidRPr="002C7099" w:rsidRDefault="009C0ED8" w:rsidP="009C0ED8">
      <w:pPr>
        <w:pStyle w:val="Heading2"/>
        <w:rPr>
          <w:sz w:val="28"/>
          <w:szCs w:val="28"/>
        </w:rPr>
      </w:pPr>
      <w:bookmarkStart w:id="22" w:name="_Toc234016171"/>
      <w:bookmarkStart w:id="23" w:name="_Toc235361537"/>
      <w:r>
        <w:rPr>
          <w:rFonts w:ascii="Arial" w:eastAsia="Arial" w:hAnsi="Arial" w:cs="Arial"/>
          <w:b/>
          <w:bCs/>
          <w:color w:val="154360"/>
          <w:sz w:val="28"/>
          <w:szCs w:val="28"/>
        </w:rPr>
        <w:lastRenderedPageBreak/>
        <w:t>2.3 SWOT Analysis</w:t>
      </w:r>
      <w:bookmarkEnd w:id="22"/>
      <w:bookmarkEnd w:id="23"/>
    </w:p>
    <w:p w14:paraId="5ED99051" w14:textId="3AC139BA" w:rsidR="002C7099" w:rsidRDefault="008F1D1E" w:rsidP="005C1906">
      <w:pPr>
        <w:spacing w:after="150" w:line="360" w:lineRule="auto"/>
        <w:jc w:val="both"/>
      </w:pPr>
      <w:r>
        <w:t>The SWOT analysis brings together the key findings of the PESTLE and Porter's Five Forces analyses into a consolidated strategic picture. Hill and Westbrook (1997) describe SWOT as a valuable bridge between environmental analysis and strategic action. Figure 5 below maps Aston Martin's principal strengths, weaknesses, opportunities and threats.</w:t>
      </w:r>
    </w:p>
    <w:p w14:paraId="5B825E7F" w14:textId="77777777" w:rsidR="009C0ED8" w:rsidRDefault="009C0ED8" w:rsidP="00DB45E0">
      <w:pPr>
        <w:spacing w:before="180" w:after="40"/>
        <w:jc w:val="center"/>
      </w:pPr>
      <w:r>
        <w:rPr>
          <w:b/>
          <w:bCs/>
        </w:rPr>
        <w:t>Figure 5: SWOT Analysis of Aston Martin Lagonda (2025)</w:t>
      </w:r>
    </w:p>
    <w:p w14:paraId="33701DA2" w14:textId="77777777" w:rsidR="009C0ED8" w:rsidRDefault="000E0078" w:rsidP="00DB45E0">
      <w:pPr>
        <w:spacing w:after="30"/>
        <w:jc w:val="center"/>
      </w:pPr>
      <w:r>
        <w:rPr>
          <w:noProof/>
        </w:rPr>
        <w:drawing>
          <wp:inline distT="0" distB="0" distL="0" distR="0" wp14:anchorId="3A23AE6D" wp14:editId="0EEC575B">
            <wp:extent cx="5895807" cy="4409038"/>
            <wp:effectExtent l="0" t="0" r="0" b="0"/>
            <wp:docPr id="6166984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08743" cy="4418712"/>
                    </a:xfrm>
                    <a:prstGeom prst="rect">
                      <a:avLst/>
                    </a:prstGeom>
                    <a:noFill/>
                  </pic:spPr>
                </pic:pic>
              </a:graphicData>
            </a:graphic>
          </wp:inline>
        </w:drawing>
      </w:r>
    </w:p>
    <w:p w14:paraId="6F2D8E1D" w14:textId="77777777" w:rsidR="009C0ED8" w:rsidRDefault="009C0ED8" w:rsidP="00DB45E0">
      <w:pPr>
        <w:spacing w:before="30" w:after="180"/>
        <w:jc w:val="center"/>
      </w:pPr>
      <w:r>
        <w:rPr>
          <w:i/>
          <w:iCs/>
          <w:color w:val="555555"/>
          <w:sz w:val="18"/>
          <w:szCs w:val="18"/>
        </w:rPr>
        <w:t>Source: Aston Martin (2025) and UK Government (2024).</w:t>
      </w:r>
    </w:p>
    <w:p w14:paraId="41B1EC91" w14:textId="77777777" w:rsidR="00DB45E0" w:rsidRDefault="009C0ED8" w:rsidP="009C0ED8">
      <w:pPr>
        <w:spacing w:after="160" w:line="360" w:lineRule="auto"/>
        <w:jc w:val="both"/>
      </w:pPr>
      <w:r>
        <w:t xml:space="preserve">The analysis confirms that Aston Martin's brand heritage, its craftsmanship traditions and its technology partnerships with Lucid and Mercedes-Benz are its most important strategic strengths. The deteriorating financial position, with a net loss of £493 million and net debt of £1.38 billion at the end of 2025 (Aston Martin, 2025), and the absence of a fully electric vehicle are the critical weaknesses that the change plan must address. </w:t>
      </w:r>
    </w:p>
    <w:p w14:paraId="61CD3E3B" w14:textId="77777777" w:rsidR="009C0ED8" w:rsidRDefault="009C0ED8" w:rsidP="009C0ED8">
      <w:pPr>
        <w:spacing w:after="160" w:line="360" w:lineRule="auto"/>
        <w:jc w:val="both"/>
      </w:pPr>
      <w:r>
        <w:t>The most significant opportunity is the largely underpenetrated ultra-luxury electric vehicle segment, where a well-positioned Aston Martin EV could command substantial premium pricing. The most pressing threats are the continuing US tariffs, the accelerating EV programmes of direct competitors and the risk of ZEV Mandate non-compliance if the battery electric vehicle programme is further delayed.</w:t>
      </w:r>
    </w:p>
    <w:p w14:paraId="19D9492F" w14:textId="77777777" w:rsidR="00352A48" w:rsidRDefault="00352A48" w:rsidP="00352A48">
      <w:pPr>
        <w:pStyle w:val="Heading1"/>
      </w:pPr>
      <w:bookmarkStart w:id="24" w:name="_Toc234016172"/>
      <w:bookmarkStart w:id="25" w:name="_Toc235361538"/>
      <w:r>
        <w:rPr>
          <w:rFonts w:ascii="Arial" w:eastAsia="Arial" w:hAnsi="Arial" w:cs="Arial"/>
          <w:b/>
          <w:bCs/>
          <w:color w:val="1A3A5C"/>
          <w:sz w:val="28"/>
          <w:szCs w:val="28"/>
        </w:rPr>
        <w:lastRenderedPageBreak/>
        <w:t>3. Change Management Models</w:t>
      </w:r>
      <w:bookmarkEnd w:id="24"/>
      <w:bookmarkEnd w:id="25"/>
    </w:p>
    <w:p w14:paraId="3FD94B31" w14:textId="77777777" w:rsidR="00352A48" w:rsidRDefault="00352A48" w:rsidP="00352A48">
      <w:pPr>
        <w:spacing w:after="150" w:line="360" w:lineRule="auto"/>
        <w:jc w:val="both"/>
      </w:pPr>
      <w:r>
        <w:t>This section evaluates three change management models taught in this module: Lewin's Three-Stage Model (Lewin, 1951), Kotter's Eight-Step Plan for Implementing Change (Kotter, 1995) and the ADKAR Model (Hiatt and Creasey, 2012). Each model is examined for its process and importance before a comparative evaluation recommends how they should be used together.</w:t>
      </w:r>
    </w:p>
    <w:p w14:paraId="0E267CB5" w14:textId="77777777" w:rsidR="00352A48" w:rsidRDefault="00352A48" w:rsidP="00352A48">
      <w:pPr>
        <w:pStyle w:val="Heading2"/>
      </w:pPr>
      <w:bookmarkStart w:id="26" w:name="_Toc234016173"/>
      <w:bookmarkStart w:id="27" w:name="_Toc235361539"/>
      <w:r>
        <w:rPr>
          <w:rFonts w:ascii="Arial" w:eastAsia="Arial" w:hAnsi="Arial" w:cs="Arial"/>
          <w:b/>
          <w:bCs/>
          <w:color w:val="154360"/>
          <w:sz w:val="24"/>
          <w:szCs w:val="24"/>
        </w:rPr>
        <w:t>3.1 Lewin's Three-Stage Model</w:t>
      </w:r>
      <w:bookmarkEnd w:id="26"/>
      <w:bookmarkEnd w:id="27"/>
    </w:p>
    <w:p w14:paraId="758AE06D" w14:textId="77777777" w:rsidR="00352A48" w:rsidRDefault="00352A48" w:rsidP="00352A48">
      <w:pPr>
        <w:pStyle w:val="Heading3"/>
      </w:pPr>
      <w:bookmarkStart w:id="28" w:name="_Toc234016174"/>
      <w:bookmarkStart w:id="29" w:name="_Toc235361540"/>
      <w:r>
        <w:rPr>
          <w:rFonts w:eastAsia="Arial" w:cs="Arial"/>
          <w:b/>
          <w:bCs/>
          <w:color w:val="1E6091"/>
          <w:sz w:val="22"/>
          <w:szCs w:val="22"/>
        </w:rPr>
        <w:t>The Process</w:t>
      </w:r>
      <w:bookmarkEnd w:id="28"/>
      <w:bookmarkEnd w:id="29"/>
    </w:p>
    <w:p w14:paraId="6BD0AA09" w14:textId="77777777" w:rsidR="00352A48" w:rsidRDefault="00352A48" w:rsidP="00352A48">
      <w:pPr>
        <w:spacing w:after="150" w:line="360" w:lineRule="auto"/>
        <w:jc w:val="both"/>
      </w:pPr>
      <w:r>
        <w:t>Kurt Lewin (1890-1947) was a German-American psychologist widely regarded as one of the founders of social and organisational psychology (Langton and Robbins, 2007). His Three-Stage Model proposes that successful change moves through Unfreeze, Change and Refreeze.</w:t>
      </w:r>
    </w:p>
    <w:p w14:paraId="3F17FF99" w14:textId="77777777" w:rsidR="00B429FB" w:rsidRDefault="00352A48" w:rsidP="00352A48">
      <w:pPr>
        <w:spacing w:after="150" w:line="360" w:lineRule="auto"/>
        <w:jc w:val="both"/>
      </w:pPr>
      <w:r>
        <w:t>In the Unfreeze stage, existing beliefs, values and behaviours are challenged to create psychological readiness for change (Langton and Robbins, 2007). For Aston Martin, the financial results for 2025 (Aston Martin, 2025) and the regulatory pressure of the ZEV Mandate (UK Government, 2024) already provide this compelling case. In the Change stage, people begin to adopt new ways of working, though this takes time and requires a personal understanding of how the change benefits them (Langton and Robbins, 2007).</w:t>
      </w:r>
    </w:p>
    <w:p w14:paraId="16B572D1" w14:textId="77777777" w:rsidR="00352A48" w:rsidRDefault="00352A48" w:rsidP="00352A48">
      <w:pPr>
        <w:spacing w:after="150" w:line="360" w:lineRule="auto"/>
        <w:jc w:val="both"/>
      </w:pPr>
      <w:r>
        <w:t xml:space="preserve"> At Aston Martin, this stage encompasses EV technology integration through Lucid Group (Lucid Group, 2023), cost restructuring and workforce reskilling. In the Refreeze stage, new approaches are stabilised and embedded into everyday practice to prevent regression (Langton and Robbins, 2007). At Aston Martin, this means building an EV-first identity into recruitment, reward structures and leadership behaviour. Figure 6 illustrates the three stages of this process.</w:t>
      </w:r>
    </w:p>
    <w:p w14:paraId="4A02746C" w14:textId="77777777" w:rsidR="00352A48" w:rsidRDefault="00352A48">
      <w:pPr>
        <w:spacing w:before="180" w:after="40"/>
        <w:jc w:val="center"/>
      </w:pPr>
      <w:r>
        <w:rPr>
          <w:b/>
          <w:bCs/>
        </w:rPr>
        <w:t>Figure 6: Lewin’s Three-Stage Model of Change</w:t>
      </w:r>
    </w:p>
    <w:p w14:paraId="5B392B6C" w14:textId="77777777" w:rsidR="00701F59" w:rsidRDefault="00701F59">
      <w:pPr>
        <w:spacing w:after="30"/>
        <w:jc w:val="center"/>
        <w:rPr>
          <w:noProof/>
        </w:rPr>
      </w:pPr>
    </w:p>
    <w:p w14:paraId="3B43C66C" w14:textId="77777777" w:rsidR="00352A48" w:rsidRDefault="00352A48">
      <w:pPr>
        <w:spacing w:after="30"/>
        <w:jc w:val="center"/>
      </w:pPr>
      <w:r>
        <w:rPr>
          <w:noProof/>
        </w:rPr>
        <w:drawing>
          <wp:inline distT="0" distB="0" distL="0" distR="0" wp14:anchorId="1635F948" wp14:editId="39AB0A32">
            <wp:extent cx="6048499" cy="2055136"/>
            <wp:effectExtent l="0" t="0" r="0" b="2540"/>
            <wp:docPr id="1462279589" name="Lewin diagram" descr="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7"/>
                    <a:srcRect t="8276"/>
                    <a:stretch>
                      <a:fillRect/>
                    </a:stretch>
                  </pic:blipFill>
                  <pic:spPr bwMode="auto">
                    <a:xfrm>
                      <a:off x="0" y="0"/>
                      <a:ext cx="6060211" cy="2059116"/>
                    </a:xfrm>
                    <a:prstGeom prst="rect">
                      <a:avLst/>
                    </a:prstGeom>
                    <a:ln>
                      <a:noFill/>
                    </a:ln>
                    <a:extLst>
                      <a:ext uri="{53640926-AAD7-44D8-BBD7-CCE9431645EC}">
                        <a14:shadowObscured xmlns:a14="http://schemas.microsoft.com/office/drawing/2010/main"/>
                      </a:ext>
                    </a:extLst>
                  </pic:spPr>
                </pic:pic>
              </a:graphicData>
            </a:graphic>
          </wp:inline>
        </w:drawing>
      </w:r>
    </w:p>
    <w:p w14:paraId="321FDE33" w14:textId="77777777" w:rsidR="00352A48" w:rsidRDefault="00352A48">
      <w:pPr>
        <w:spacing w:before="30" w:after="180"/>
        <w:jc w:val="center"/>
      </w:pPr>
      <w:r>
        <w:rPr>
          <w:i/>
          <w:iCs/>
          <w:color w:val="555555"/>
          <w:sz w:val="18"/>
          <w:szCs w:val="18"/>
        </w:rPr>
        <w:t>Source: adapted from Langton and Robbins (2007).</w:t>
      </w:r>
    </w:p>
    <w:p w14:paraId="0B9C1084" w14:textId="77777777" w:rsidR="00352A48" w:rsidRDefault="00352A48" w:rsidP="00352A48">
      <w:pPr>
        <w:pStyle w:val="Heading3"/>
      </w:pPr>
      <w:bookmarkStart w:id="30" w:name="_Toc234016175"/>
      <w:bookmarkStart w:id="31" w:name="_Toc235361541"/>
      <w:r>
        <w:rPr>
          <w:rFonts w:eastAsia="Arial" w:cs="Arial"/>
          <w:b/>
          <w:bCs/>
          <w:color w:val="1E6091"/>
          <w:sz w:val="22"/>
          <w:szCs w:val="22"/>
        </w:rPr>
        <w:lastRenderedPageBreak/>
        <w:t>Importance and Limitations</w:t>
      </w:r>
      <w:bookmarkEnd w:id="30"/>
      <w:bookmarkEnd w:id="31"/>
    </w:p>
    <w:p w14:paraId="7D323E17" w14:textId="77777777" w:rsidR="00E207F3" w:rsidRDefault="00352A48" w:rsidP="00352A48">
      <w:pPr>
        <w:spacing w:after="150" w:line="360" w:lineRule="auto"/>
        <w:jc w:val="both"/>
      </w:pPr>
      <w:r>
        <w:t xml:space="preserve">Lewin's model is important because it recognises that resistance to change arises from social habits and shared group values, not simply from rational disagreement (Langton and Robbins, 2007). </w:t>
      </w:r>
    </w:p>
    <w:p w14:paraId="0B84E3A8" w14:textId="77777777" w:rsidR="00352A48" w:rsidRDefault="00352A48" w:rsidP="00352A48">
      <w:pPr>
        <w:spacing w:after="150" w:line="360" w:lineRule="auto"/>
        <w:jc w:val="both"/>
      </w:pPr>
      <w:r>
        <w:t>Programmes that ignore this psychological dimension consistently underperform (Burnes, 2004). However, Burnes (2004, p.988) argues that the model's linearity is a significant limitation, as it assumes stability between stages that rarely exists in fast-moving industries. For Aston Martin, it is most useful as a diagnostic lens for understanding where cultural resistance is concentrated.</w:t>
      </w:r>
    </w:p>
    <w:p w14:paraId="041E5BB5" w14:textId="77777777" w:rsidR="00352A48" w:rsidRDefault="00352A48" w:rsidP="00352A48">
      <w:pPr>
        <w:pStyle w:val="Heading2"/>
      </w:pPr>
      <w:bookmarkStart w:id="32" w:name="_Toc234016176"/>
      <w:bookmarkStart w:id="33" w:name="_Toc235361542"/>
      <w:r>
        <w:rPr>
          <w:rFonts w:ascii="Arial" w:eastAsia="Arial" w:hAnsi="Arial" w:cs="Arial"/>
          <w:b/>
          <w:bCs/>
          <w:color w:val="154360"/>
          <w:sz w:val="24"/>
          <w:szCs w:val="24"/>
        </w:rPr>
        <w:t>3.2 Kotter's Eight-Step Plan for Implementing Change</w:t>
      </w:r>
      <w:bookmarkEnd w:id="32"/>
      <w:bookmarkEnd w:id="33"/>
    </w:p>
    <w:p w14:paraId="1BB0E0A9" w14:textId="77777777" w:rsidR="00352A48" w:rsidRDefault="00352A48" w:rsidP="00352A48">
      <w:pPr>
        <w:pStyle w:val="Heading3"/>
      </w:pPr>
      <w:bookmarkStart w:id="34" w:name="_Toc234016177"/>
      <w:bookmarkStart w:id="35" w:name="_Toc235361543"/>
      <w:r>
        <w:rPr>
          <w:rFonts w:eastAsia="Arial" w:cs="Arial"/>
          <w:b/>
          <w:bCs/>
          <w:color w:val="1E6091"/>
          <w:sz w:val="22"/>
          <w:szCs w:val="22"/>
        </w:rPr>
        <w:t>The Process</w:t>
      </w:r>
      <w:bookmarkEnd w:id="34"/>
      <w:bookmarkEnd w:id="35"/>
    </w:p>
    <w:p w14:paraId="6BA765D2" w14:textId="77777777" w:rsidR="00FF31D9" w:rsidRDefault="00352A48" w:rsidP="00352A48">
      <w:pPr>
        <w:spacing w:after="150" w:line="360" w:lineRule="auto"/>
        <w:jc w:val="both"/>
      </w:pPr>
      <w:r>
        <w:t xml:space="preserve">John Kotter developed his eight-step model from research into more than one hundred organisations attempting major transformations and published it in the Harvard Business Review in 1995 (Kotter, 1995). </w:t>
      </w:r>
    </w:p>
    <w:p w14:paraId="0FFA0C7F" w14:textId="77777777" w:rsidR="003A2A91" w:rsidRDefault="00352A48" w:rsidP="00352A48">
      <w:pPr>
        <w:spacing w:after="150" w:line="360" w:lineRule="auto"/>
        <w:jc w:val="both"/>
      </w:pPr>
      <w:r>
        <w:t>The eight steps are: establish a sense of urgency; create a guiding coalition; develop a clear vision; share the vision; empower people to clear obstacles; secure short-term wins; consolidate and keep moving; and anchor the change in the culture (Kotter, 1995). Applied to Aston Martin, a net loss of £493 million in 2025 (Aston Martin, 2025) and ZEV Mandate fines risk (UK Government, 2024) establish urgency.</w:t>
      </w:r>
    </w:p>
    <w:p w14:paraId="06BE2A80" w14:textId="77777777" w:rsidR="00352A48" w:rsidRDefault="00352A48" w:rsidP="00352A48">
      <w:pPr>
        <w:spacing w:after="150" w:line="360" w:lineRule="auto"/>
        <w:jc w:val="both"/>
      </w:pPr>
      <w:r>
        <w:t xml:space="preserve"> The guiding coalition is forming around CEO Hallmark and Executive Chairman Stroll, supported by Lucid Group (Lucid Group, 2023) and Mercedes-Benz. The Racing.Green. strategy provides the vision (Aston Martin, 2022). The 152 Valhalla deliveries in Q4 2025 (Aston Martin, 2025) represent an early short-term win. Figure 7 sets out all eight steps in sequence.</w:t>
      </w:r>
    </w:p>
    <w:p w14:paraId="78817D4D" w14:textId="77777777" w:rsidR="005C1906" w:rsidRDefault="005C1906" w:rsidP="00352A48">
      <w:pPr>
        <w:spacing w:after="150" w:line="360" w:lineRule="auto"/>
        <w:jc w:val="both"/>
      </w:pPr>
    </w:p>
    <w:p w14:paraId="1168175B" w14:textId="77777777" w:rsidR="005C1906" w:rsidRDefault="005C1906" w:rsidP="00352A48">
      <w:pPr>
        <w:spacing w:after="150" w:line="360" w:lineRule="auto"/>
        <w:jc w:val="both"/>
      </w:pPr>
    </w:p>
    <w:p w14:paraId="0B61ECF8" w14:textId="77777777" w:rsidR="005C1906" w:rsidRDefault="005C1906" w:rsidP="00352A48">
      <w:pPr>
        <w:spacing w:after="150" w:line="360" w:lineRule="auto"/>
        <w:jc w:val="both"/>
      </w:pPr>
    </w:p>
    <w:p w14:paraId="312C7339" w14:textId="77777777" w:rsidR="005C1906" w:rsidRDefault="005C1906" w:rsidP="00352A48">
      <w:pPr>
        <w:spacing w:after="150" w:line="360" w:lineRule="auto"/>
        <w:jc w:val="both"/>
      </w:pPr>
    </w:p>
    <w:p w14:paraId="55F46968" w14:textId="77777777" w:rsidR="005C1906" w:rsidRDefault="005C1906" w:rsidP="00352A48">
      <w:pPr>
        <w:spacing w:after="150" w:line="360" w:lineRule="auto"/>
        <w:jc w:val="both"/>
      </w:pPr>
    </w:p>
    <w:p w14:paraId="713C167E" w14:textId="77777777" w:rsidR="005C1906" w:rsidRDefault="005C1906" w:rsidP="00352A48">
      <w:pPr>
        <w:spacing w:after="150" w:line="360" w:lineRule="auto"/>
        <w:jc w:val="both"/>
      </w:pPr>
    </w:p>
    <w:p w14:paraId="5EA9B63A" w14:textId="77777777" w:rsidR="005C1906" w:rsidRDefault="005C1906" w:rsidP="00352A48">
      <w:pPr>
        <w:spacing w:after="150" w:line="360" w:lineRule="auto"/>
        <w:jc w:val="both"/>
      </w:pPr>
    </w:p>
    <w:p w14:paraId="0C8FEAA8" w14:textId="77777777" w:rsidR="005C1906" w:rsidRDefault="005C1906" w:rsidP="00352A48">
      <w:pPr>
        <w:spacing w:after="150" w:line="360" w:lineRule="auto"/>
        <w:jc w:val="both"/>
      </w:pPr>
    </w:p>
    <w:p w14:paraId="4871131E" w14:textId="77777777" w:rsidR="00701F59" w:rsidRDefault="00352A48" w:rsidP="00701F59">
      <w:pPr>
        <w:spacing w:before="180" w:after="40"/>
        <w:jc w:val="center"/>
      </w:pPr>
      <w:r>
        <w:rPr>
          <w:b/>
          <w:bCs/>
        </w:rPr>
        <w:lastRenderedPageBreak/>
        <w:t>Figure 7: Kotter’s Eight-Step Plan for Implementing Change</w:t>
      </w:r>
    </w:p>
    <w:p w14:paraId="34F73C97" w14:textId="77777777" w:rsidR="00701F59" w:rsidRDefault="00701F59">
      <w:pPr>
        <w:spacing w:after="30"/>
        <w:jc w:val="center"/>
        <w:rPr>
          <w:noProof/>
        </w:rPr>
      </w:pPr>
    </w:p>
    <w:p w14:paraId="0BDC4CC4" w14:textId="77777777" w:rsidR="00352A48" w:rsidRDefault="00352A48">
      <w:pPr>
        <w:spacing w:after="30"/>
        <w:jc w:val="center"/>
      </w:pPr>
      <w:r>
        <w:rPr>
          <w:noProof/>
        </w:rPr>
        <w:drawing>
          <wp:inline distT="0" distB="0" distL="0" distR="0" wp14:anchorId="004898D4" wp14:editId="78B6DD4E">
            <wp:extent cx="5142230" cy="2814084"/>
            <wp:effectExtent l="0" t="0" r="1270" b="5715"/>
            <wp:docPr id="809860784" name="Kotter diagram" descr="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8"/>
                    <a:srcRect t="11414"/>
                    <a:stretch>
                      <a:fillRect/>
                    </a:stretch>
                  </pic:blipFill>
                  <pic:spPr bwMode="auto">
                    <a:xfrm>
                      <a:off x="0" y="0"/>
                      <a:ext cx="5143500" cy="2814779"/>
                    </a:xfrm>
                    <a:prstGeom prst="rect">
                      <a:avLst/>
                    </a:prstGeom>
                    <a:ln>
                      <a:noFill/>
                    </a:ln>
                    <a:extLst>
                      <a:ext uri="{53640926-AAD7-44D8-BBD7-CCE9431645EC}">
                        <a14:shadowObscured xmlns:a14="http://schemas.microsoft.com/office/drawing/2010/main"/>
                      </a:ext>
                    </a:extLst>
                  </pic:spPr>
                </pic:pic>
              </a:graphicData>
            </a:graphic>
          </wp:inline>
        </w:drawing>
      </w:r>
    </w:p>
    <w:p w14:paraId="1D79C1DD" w14:textId="77777777" w:rsidR="00352A48" w:rsidRDefault="00352A48">
      <w:pPr>
        <w:spacing w:before="30" w:after="180"/>
        <w:jc w:val="center"/>
      </w:pPr>
      <w:r>
        <w:rPr>
          <w:i/>
          <w:iCs/>
          <w:color w:val="555555"/>
          <w:sz w:val="18"/>
          <w:szCs w:val="18"/>
        </w:rPr>
        <w:t>Source: adapted from Kotter (1995).</w:t>
      </w:r>
    </w:p>
    <w:p w14:paraId="630EF9C6" w14:textId="77777777" w:rsidR="00352A48" w:rsidRDefault="00352A48" w:rsidP="00352A48">
      <w:pPr>
        <w:pStyle w:val="Heading3"/>
      </w:pPr>
      <w:bookmarkStart w:id="36" w:name="_Toc234016178"/>
      <w:bookmarkStart w:id="37" w:name="_Toc235361544"/>
      <w:r>
        <w:rPr>
          <w:rFonts w:eastAsia="Arial" w:cs="Arial"/>
          <w:b/>
          <w:bCs/>
          <w:color w:val="1E6091"/>
          <w:sz w:val="22"/>
          <w:szCs w:val="22"/>
        </w:rPr>
        <w:t>Importance and Limitations</w:t>
      </w:r>
      <w:bookmarkEnd w:id="36"/>
      <w:bookmarkEnd w:id="37"/>
    </w:p>
    <w:p w14:paraId="50910D80" w14:textId="77777777" w:rsidR="003A2A91" w:rsidRDefault="00352A48" w:rsidP="00352A48">
      <w:pPr>
        <w:spacing w:after="150" w:line="360" w:lineRule="auto"/>
        <w:jc w:val="both"/>
      </w:pPr>
      <w:r>
        <w:t xml:space="preserve">Kotter's model is important because it provides a clear, empirically grounded, step-by-step roadmap for change at the organisational level (Kotter, 1995). Its emphasis on short-term wins is particularly valuable for Aston Martin, where confidence has been eroded by sustained losses (Aston Martin, 2025). </w:t>
      </w:r>
    </w:p>
    <w:p w14:paraId="67BFC8E8" w14:textId="77777777" w:rsidR="00352A48" w:rsidRDefault="00352A48" w:rsidP="00352A48">
      <w:pPr>
        <w:spacing w:after="150" w:line="360" w:lineRule="auto"/>
        <w:jc w:val="both"/>
      </w:pPr>
      <w:r>
        <w:t>Pollack and Pollack (2022) confirm that organisations applying the model systematically achieve higher rates of change adoption. Its limitation is that it does not address the psychological journey of individual employees, which is where the ADKAR Model is essential.</w:t>
      </w:r>
    </w:p>
    <w:p w14:paraId="438B4B37" w14:textId="77777777" w:rsidR="00352A48" w:rsidRDefault="00352A48" w:rsidP="00352A48">
      <w:pPr>
        <w:pStyle w:val="Heading2"/>
      </w:pPr>
      <w:bookmarkStart w:id="38" w:name="_Toc234016179"/>
      <w:bookmarkStart w:id="39" w:name="_Toc235361545"/>
      <w:r>
        <w:rPr>
          <w:rFonts w:ascii="Arial" w:eastAsia="Arial" w:hAnsi="Arial" w:cs="Arial"/>
          <w:b/>
          <w:bCs/>
          <w:color w:val="154360"/>
          <w:sz w:val="24"/>
          <w:szCs w:val="24"/>
        </w:rPr>
        <w:t>3.3 The ADKAR Model</w:t>
      </w:r>
      <w:bookmarkEnd w:id="38"/>
      <w:bookmarkEnd w:id="39"/>
    </w:p>
    <w:p w14:paraId="51D15C23" w14:textId="77777777" w:rsidR="00352A48" w:rsidRDefault="00352A48" w:rsidP="00352A48">
      <w:pPr>
        <w:pStyle w:val="Heading3"/>
      </w:pPr>
      <w:bookmarkStart w:id="40" w:name="_Toc234016180"/>
      <w:bookmarkStart w:id="41" w:name="_Toc235361546"/>
      <w:r>
        <w:rPr>
          <w:rFonts w:eastAsia="Arial" w:cs="Arial"/>
          <w:b/>
          <w:bCs/>
          <w:color w:val="1E6091"/>
          <w:sz w:val="22"/>
          <w:szCs w:val="22"/>
        </w:rPr>
        <w:t>The Process</w:t>
      </w:r>
      <w:bookmarkEnd w:id="40"/>
      <w:bookmarkEnd w:id="41"/>
    </w:p>
    <w:p w14:paraId="67C89EC7" w14:textId="77777777" w:rsidR="003A2A91" w:rsidRDefault="00352A48" w:rsidP="00352A48">
      <w:pPr>
        <w:spacing w:after="150" w:line="360" w:lineRule="auto"/>
        <w:jc w:val="both"/>
      </w:pPr>
      <w:r>
        <w:t xml:space="preserve">The ADKAR Model was developed by Jeff Hiatt after studying the change patterns of more than 700 organisations globally (Prosci, 2024). Unlike Lewin's and Kotter's models, ADKAR is built on the principle that organisational change can only happen when individuals change (Prosci, 2024). </w:t>
      </w:r>
    </w:p>
    <w:p w14:paraId="16801FFF" w14:textId="77777777" w:rsidR="003A2A91" w:rsidRDefault="00352A48" w:rsidP="00352A48">
      <w:pPr>
        <w:spacing w:after="150" w:line="360" w:lineRule="auto"/>
        <w:jc w:val="both"/>
      </w:pPr>
      <w:r>
        <w:t xml:space="preserve">The five sequential building blocks are: Awareness of the need for change; Desire to support and participate; Knowledge of how to change; Ability to demonstrate new skills in practice; and Reinforcement to sustain the change over time (Hiatt and Creasey, 2012). </w:t>
      </w:r>
    </w:p>
    <w:p w14:paraId="4C583C19" w14:textId="77777777" w:rsidR="00352A48" w:rsidRDefault="00352A48" w:rsidP="00352A48">
      <w:pPr>
        <w:spacing w:after="150" w:line="360" w:lineRule="auto"/>
        <w:jc w:val="both"/>
      </w:pPr>
      <w:r>
        <w:t xml:space="preserve">Applied to Aston Martin, engineers may have Awareness of the EV transition but lack the Desire to support it, or may gain Knowledge through training but lack the Ability to apply it on the production floor. ADKAR enables leaders to identify precisely where each person or team </w:t>
      </w:r>
      <w:r>
        <w:lastRenderedPageBreak/>
        <w:t>is blocked and design a targeted intervention (Prosci, 2024). Figure 8 shows the five building blocks in sequence.</w:t>
      </w:r>
    </w:p>
    <w:p w14:paraId="41041BC7" w14:textId="6B26A432" w:rsidR="00701F59" w:rsidRDefault="00352A48" w:rsidP="005C1906">
      <w:pPr>
        <w:spacing w:before="180" w:after="40"/>
        <w:jc w:val="center"/>
      </w:pPr>
      <w:r>
        <w:rPr>
          <w:b/>
          <w:bCs/>
        </w:rPr>
        <w:t>Figure 8: The ADKAR Model – Five Sequential Building Blocks</w:t>
      </w:r>
    </w:p>
    <w:p w14:paraId="55AA6DCB" w14:textId="77777777" w:rsidR="00352A48" w:rsidRDefault="00352A48">
      <w:pPr>
        <w:spacing w:after="30"/>
        <w:jc w:val="center"/>
      </w:pPr>
      <w:r>
        <w:rPr>
          <w:noProof/>
        </w:rPr>
        <w:drawing>
          <wp:inline distT="0" distB="0" distL="0" distR="0" wp14:anchorId="4CEA07F9" wp14:editId="186B65A2">
            <wp:extent cx="6170060" cy="2046083"/>
            <wp:effectExtent l="0" t="0" r="2540" b="0"/>
            <wp:docPr id="754769068" name="ADKAR diagram" descr="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9"/>
                    <a:srcRect t="10730"/>
                    <a:stretch>
                      <a:fillRect/>
                    </a:stretch>
                  </pic:blipFill>
                  <pic:spPr bwMode="auto">
                    <a:xfrm>
                      <a:off x="0" y="0"/>
                      <a:ext cx="6183415" cy="2050512"/>
                    </a:xfrm>
                    <a:prstGeom prst="rect">
                      <a:avLst/>
                    </a:prstGeom>
                    <a:ln>
                      <a:noFill/>
                    </a:ln>
                    <a:extLst>
                      <a:ext uri="{53640926-AAD7-44D8-BBD7-CCE9431645EC}">
                        <a14:shadowObscured xmlns:a14="http://schemas.microsoft.com/office/drawing/2010/main"/>
                      </a:ext>
                    </a:extLst>
                  </pic:spPr>
                </pic:pic>
              </a:graphicData>
            </a:graphic>
          </wp:inline>
        </w:drawing>
      </w:r>
    </w:p>
    <w:p w14:paraId="0642F00C" w14:textId="77777777" w:rsidR="00352A48" w:rsidRDefault="00352A48">
      <w:pPr>
        <w:spacing w:before="30" w:after="180"/>
        <w:jc w:val="center"/>
      </w:pPr>
      <w:r>
        <w:rPr>
          <w:i/>
          <w:iCs/>
          <w:color w:val="555555"/>
          <w:sz w:val="18"/>
          <w:szCs w:val="18"/>
        </w:rPr>
        <w:t>Source: adapted from Hiatt and Creasey (2012).</w:t>
      </w:r>
    </w:p>
    <w:p w14:paraId="50FFB408" w14:textId="77777777" w:rsidR="00352A48" w:rsidRDefault="00352A48" w:rsidP="00352A48">
      <w:pPr>
        <w:pStyle w:val="Heading3"/>
      </w:pPr>
      <w:bookmarkStart w:id="42" w:name="_Toc234016181"/>
      <w:bookmarkStart w:id="43" w:name="_Toc235361547"/>
      <w:r>
        <w:rPr>
          <w:rFonts w:eastAsia="Arial" w:cs="Arial"/>
          <w:b/>
          <w:bCs/>
          <w:color w:val="1E6091"/>
          <w:sz w:val="22"/>
          <w:szCs w:val="22"/>
        </w:rPr>
        <w:t>Importance and Limitations</w:t>
      </w:r>
      <w:bookmarkEnd w:id="42"/>
      <w:bookmarkEnd w:id="43"/>
    </w:p>
    <w:p w14:paraId="7CAA6F2B" w14:textId="77777777" w:rsidR="002B29FD" w:rsidRDefault="00352A48" w:rsidP="00352A48">
      <w:pPr>
        <w:spacing w:after="150" w:line="360" w:lineRule="auto"/>
        <w:jc w:val="both"/>
      </w:pPr>
      <w:r>
        <w:t xml:space="preserve">The ADKAR Model is important because it makes the individual the unit of change analysis, filling the gap that most organisational-level models leave (Cameron and Green, 2019). ADKAR provides a precise diagnostic tool for identifying and addressing individual barriers to adoption (Prosci, 2024). </w:t>
      </w:r>
    </w:p>
    <w:p w14:paraId="3177C3C7" w14:textId="77777777" w:rsidR="00352A48" w:rsidRDefault="00352A48" w:rsidP="00352A48">
      <w:pPr>
        <w:spacing w:after="150" w:line="360" w:lineRule="auto"/>
        <w:jc w:val="both"/>
      </w:pPr>
      <w:r>
        <w:t>Kaminski (2022) confirms its practical utility in complex professional environments requiring significant individual skill transitions. Its limitation is that it does not provide a strategic roadmap for the organisation as a whole and is most effective when used alongside Kotter's programme-level framework.</w:t>
      </w:r>
    </w:p>
    <w:p w14:paraId="5A9E6635" w14:textId="77777777" w:rsidR="00352A48" w:rsidRDefault="00352A48" w:rsidP="00352A48">
      <w:pPr>
        <w:pStyle w:val="Heading2"/>
      </w:pPr>
      <w:bookmarkStart w:id="44" w:name="_Toc234016182"/>
      <w:bookmarkStart w:id="45" w:name="_Toc235361548"/>
      <w:r>
        <w:rPr>
          <w:rFonts w:ascii="Arial" w:eastAsia="Arial" w:hAnsi="Arial" w:cs="Arial"/>
          <w:b/>
          <w:bCs/>
          <w:color w:val="154360"/>
          <w:sz w:val="24"/>
          <w:szCs w:val="24"/>
        </w:rPr>
        <w:t>3.4 Comparative Evaluation</w:t>
      </w:r>
      <w:bookmarkEnd w:id="44"/>
      <w:bookmarkEnd w:id="45"/>
    </w:p>
    <w:p w14:paraId="09C3F2F2" w14:textId="77777777" w:rsidR="00352A48" w:rsidRDefault="00352A48" w:rsidP="00352A48">
      <w:pPr>
        <w:spacing w:after="150" w:line="360" w:lineRule="auto"/>
        <w:jc w:val="both"/>
      </w:pPr>
      <w:r>
        <w:t>The three models complement each other across different levels of analysis. Lewin addresses cultural and psychological readiness. Kotter provides the organisational programme structure. ADKAR ensures that individual employees successfully make the transition. Figure 9 below presents a visual comparison of the three models across eight key criteria.</w:t>
      </w:r>
    </w:p>
    <w:p w14:paraId="7C44A496" w14:textId="77777777" w:rsidR="005C1906" w:rsidRDefault="005C1906" w:rsidP="00352A48">
      <w:pPr>
        <w:spacing w:after="150" w:line="360" w:lineRule="auto"/>
        <w:jc w:val="both"/>
      </w:pPr>
    </w:p>
    <w:p w14:paraId="57BAA1FE" w14:textId="77777777" w:rsidR="005C1906" w:rsidRDefault="005C1906" w:rsidP="00352A48">
      <w:pPr>
        <w:spacing w:after="150" w:line="360" w:lineRule="auto"/>
        <w:jc w:val="both"/>
      </w:pPr>
    </w:p>
    <w:p w14:paraId="54A615B9" w14:textId="77777777" w:rsidR="005C1906" w:rsidRDefault="005C1906" w:rsidP="00352A48">
      <w:pPr>
        <w:spacing w:after="150" w:line="360" w:lineRule="auto"/>
        <w:jc w:val="both"/>
      </w:pPr>
    </w:p>
    <w:p w14:paraId="3FECA65B" w14:textId="77777777" w:rsidR="005C1906" w:rsidRDefault="005C1906" w:rsidP="00352A48">
      <w:pPr>
        <w:spacing w:after="150" w:line="360" w:lineRule="auto"/>
        <w:jc w:val="both"/>
      </w:pPr>
    </w:p>
    <w:p w14:paraId="2392C23B" w14:textId="77777777" w:rsidR="005C1906" w:rsidRDefault="005C1906" w:rsidP="00352A48">
      <w:pPr>
        <w:spacing w:after="150" w:line="360" w:lineRule="auto"/>
        <w:jc w:val="both"/>
      </w:pPr>
    </w:p>
    <w:p w14:paraId="2E48BE66" w14:textId="77777777" w:rsidR="005C1906" w:rsidRDefault="005C1906" w:rsidP="00352A48">
      <w:pPr>
        <w:spacing w:after="150" w:line="360" w:lineRule="auto"/>
        <w:jc w:val="both"/>
      </w:pPr>
    </w:p>
    <w:p w14:paraId="3D4BF2C6" w14:textId="77777777" w:rsidR="003067BF" w:rsidRDefault="003067BF" w:rsidP="003067BF">
      <w:pPr>
        <w:spacing w:after="150" w:line="360" w:lineRule="auto"/>
        <w:jc w:val="center"/>
        <w:rPr>
          <w:b/>
          <w:bCs/>
        </w:rPr>
      </w:pPr>
      <w:r>
        <w:rPr>
          <w:b/>
          <w:bCs/>
        </w:rPr>
        <w:lastRenderedPageBreak/>
        <w:t>Figure 9: Comparative Evaluation of the Three Change Management Models</w:t>
      </w:r>
    </w:p>
    <w:p w14:paraId="25AD6D00" w14:textId="77777777" w:rsidR="003067BF" w:rsidRDefault="00BC25C6" w:rsidP="00023D70">
      <w:pPr>
        <w:spacing w:after="150" w:line="360" w:lineRule="auto"/>
      </w:pPr>
      <w:r>
        <w:rPr>
          <w:noProof/>
        </w:rPr>
        <w:drawing>
          <wp:inline distT="0" distB="0" distL="0" distR="0" wp14:anchorId="785CA884" wp14:editId="50623289">
            <wp:extent cx="5858753" cy="3241141"/>
            <wp:effectExtent l="0" t="0" r="8890" b="0"/>
            <wp:docPr id="1500833633" name="fig" descr="Data visualisation"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0"/>
                    <a:srcRect/>
                    <a:stretch>
                      <a:fillRect/>
                    </a:stretch>
                  </pic:blipFill>
                  <pic:spPr bwMode="auto">
                    <a:xfrm>
                      <a:off x="0" y="0"/>
                      <a:ext cx="5861070" cy="3242423"/>
                    </a:xfrm>
                    <a:prstGeom prst="rect">
                      <a:avLst/>
                    </a:prstGeom>
                    <a:ln>
                      <a:noFill/>
                    </a:ln>
                    <a:extLst>
                      <a:ext uri="{53640926-AAD7-44D8-BBD7-CCE9431645EC}">
                        <a14:shadowObscured xmlns:a14="http://schemas.microsoft.com/office/drawing/2010/main"/>
                      </a:ext>
                    </a:extLst>
                  </pic:spPr>
                </pic:pic>
              </a:graphicData>
            </a:graphic>
          </wp:inline>
        </w:drawing>
      </w:r>
    </w:p>
    <w:p w14:paraId="093B4F07" w14:textId="77777777" w:rsidR="00133477" w:rsidRDefault="00133477" w:rsidP="00133477">
      <w:pPr>
        <w:spacing w:before="30" w:after="180"/>
        <w:jc w:val="center"/>
      </w:pPr>
      <w:r>
        <w:rPr>
          <w:i/>
          <w:iCs/>
          <w:color w:val="555555"/>
          <w:sz w:val="18"/>
          <w:szCs w:val="18"/>
        </w:rPr>
        <w:t>Source: Langton and Robbins (2007); Kotter (1995); Hiatt and Creasey (2012); Cameron and Green (2019).</w:t>
      </w:r>
    </w:p>
    <w:p w14:paraId="43537198" w14:textId="77777777" w:rsidR="00BC6F57" w:rsidRDefault="00BC6F57" w:rsidP="00BC6F57">
      <w:pPr>
        <w:spacing w:after="150" w:line="360" w:lineRule="auto"/>
        <w:jc w:val="both"/>
      </w:pPr>
      <w:r>
        <w:t>This report recommends using all three models in combination. Kotter's eight steps provide the overall programme structure. Lewin's model informs the cultural and communication strategy, particularly in the Unfreeze phase where resistance will be highest. ADKAR is used as the operational tool for tracking and supporting individual employee transitions throughout the programme.</w:t>
      </w:r>
    </w:p>
    <w:p w14:paraId="7339BAF1" w14:textId="77777777" w:rsidR="000275C5" w:rsidRDefault="000275C5" w:rsidP="000275C5">
      <w:pPr>
        <w:pStyle w:val="Heading1"/>
      </w:pPr>
      <w:bookmarkStart w:id="46" w:name="_Toc234016183"/>
      <w:bookmarkStart w:id="47" w:name="_Toc235361549"/>
      <w:r>
        <w:rPr>
          <w:rFonts w:ascii="Arial" w:eastAsia="Arial" w:hAnsi="Arial" w:cs="Arial"/>
          <w:b/>
          <w:bCs/>
          <w:color w:val="1A3A5C"/>
          <w:sz w:val="28"/>
          <w:szCs w:val="28"/>
        </w:rPr>
        <w:t>4. Leadership Style and Organisational Culture</w:t>
      </w:r>
      <w:bookmarkEnd w:id="46"/>
      <w:bookmarkEnd w:id="47"/>
    </w:p>
    <w:p w14:paraId="08C5B0E1" w14:textId="6F2490FF" w:rsidR="00E26197" w:rsidRDefault="001E64E4" w:rsidP="00D27D0D">
      <w:pPr>
        <w:spacing w:after="150" w:line="360" w:lineRule="auto"/>
        <w:jc w:val="both"/>
      </w:pPr>
      <w:r>
        <w:t xml:space="preserve">The way a change programme is led is one of the most important factors in determining whether it succeeds. </w:t>
      </w:r>
      <w:r w:rsidR="00D27D0D" w:rsidRPr="00D27D0D">
        <w:t>Burns</w:t>
      </w:r>
      <w:r w:rsidR="00D27D0D">
        <w:t xml:space="preserve"> (</w:t>
      </w:r>
      <w:r w:rsidR="00D27D0D" w:rsidRPr="00D27D0D">
        <w:t>1978, cited in Yukl and Gardner, 2020)</w:t>
      </w:r>
      <w:r w:rsidR="00D27D0D" w:rsidRPr="00D27D0D">
        <w:t xml:space="preserve"> </w:t>
      </w:r>
      <w:r>
        <w:t>distinguished between transactional leadership, which manages through reward and control, and transformational leadership, which inspires through a compelling vision and an appeal to values.</w:t>
      </w:r>
    </w:p>
    <w:p w14:paraId="231F6EFF" w14:textId="77777777" w:rsidR="001E64E4" w:rsidRDefault="001E64E4" w:rsidP="001E64E4">
      <w:pPr>
        <w:spacing w:after="150" w:line="360" w:lineRule="auto"/>
        <w:jc w:val="both"/>
      </w:pPr>
      <w:r>
        <w:t xml:space="preserve"> Bass and Avolio (1994) identify four core characteristics of transformational leaders: acting as a role model, articulating a motivating vision, encouraging new ways of thinking and attending to individual development needs.</w:t>
      </w:r>
    </w:p>
    <w:p w14:paraId="07F1FC84" w14:textId="77777777" w:rsidR="00E26197" w:rsidRDefault="001E64E4" w:rsidP="001E64E4">
      <w:pPr>
        <w:spacing w:after="150" w:line="360" w:lineRule="auto"/>
        <w:jc w:val="both"/>
      </w:pPr>
      <w:r>
        <w:t>Research strongly supports transformational leadership for a change programme of this complexity. Best et al. (2023) confirm that transformational leaders significantly reduce resistance to change and increase employee engagement during major transformations. Chukwuma and Zondo (2024) reach a similar conclusion specifically in automotive manufacturing.</w:t>
      </w:r>
    </w:p>
    <w:p w14:paraId="6970F931" w14:textId="77777777" w:rsidR="00E26197" w:rsidRDefault="001E64E4" w:rsidP="001E64E4">
      <w:pPr>
        <w:spacing w:after="150" w:line="360" w:lineRule="auto"/>
        <w:jc w:val="both"/>
      </w:pPr>
      <w:r>
        <w:lastRenderedPageBreak/>
        <w:t xml:space="preserve"> Adrian Hallmark, who became CEO in October 2024, demonstrates these characteristics. He brings proven experience from a comparable transformation at Bentley Motors and has communicated a clear strategic direction with transparency about the scale of the challenge (Insider Media, 2024; Motor1, 2025). </w:t>
      </w:r>
    </w:p>
    <w:p w14:paraId="2E14B135" w14:textId="77777777" w:rsidR="001E64E4" w:rsidRDefault="001E64E4" w:rsidP="001E64E4">
      <w:pPr>
        <w:spacing w:after="150" w:line="360" w:lineRule="auto"/>
        <w:jc w:val="both"/>
      </w:pPr>
      <w:r>
        <w:t>Northouse (2022) argues that these qualities are particularly valuable in heritage organisations, as they allow leaders to connect new directions to existing values rather than simply imposing change from above.</w:t>
      </w:r>
    </w:p>
    <w:p w14:paraId="6ADF0103" w14:textId="77777777" w:rsidR="00E26197" w:rsidRDefault="001E64E4" w:rsidP="001E64E4">
      <w:pPr>
        <w:spacing w:after="150" w:line="360" w:lineRule="auto"/>
        <w:jc w:val="both"/>
      </w:pPr>
      <w:r>
        <w:t>Schein (2010, p.18) defines organisational culture as the pattern of shared basic assumptions that shape how members of an organisation think, feel and behave. At Aston Martin, that culture is built around handcraftsmanship, exclusivity and engineering excellence. The change programme must work with this identity, not against it. Bagga et al. (2023) confirm that change programmes aligned with existing organisational values are significantly more likely to succeed.</w:t>
      </w:r>
    </w:p>
    <w:p w14:paraId="0836CA3A" w14:textId="481FB5D1" w:rsidR="001E64E4" w:rsidRDefault="001E64E4" w:rsidP="00BE51B6">
      <w:pPr>
        <w:spacing w:after="150" w:line="360" w:lineRule="auto"/>
        <w:jc w:val="both"/>
      </w:pPr>
      <w:r>
        <w:t xml:space="preserve"> The EV transition must be framed as the natural evolution of Aston Martin's commitment to performance and craftsmanship. </w:t>
      </w:r>
      <w:r w:rsidR="00BE51B6" w:rsidRPr="00BE51B6">
        <w:t>Min</w:t>
      </w:r>
      <w:r w:rsidR="00BE51B6">
        <w:t xml:space="preserve"> </w:t>
      </w:r>
      <w:r w:rsidR="00BE51B6" w:rsidRPr="00BE51B6">
        <w:t>(2024)</w:t>
      </w:r>
      <w:r w:rsidR="00BE51B6">
        <w:t xml:space="preserve"> </w:t>
      </w:r>
      <w:r>
        <w:t>demonstrate that traditional industries can successfully integrate sustainability into their core identity without losing distinctiveness. This is consistent with both Lewin's Refreeze stage and Kotter's cultural anchoring step.</w:t>
      </w:r>
    </w:p>
    <w:p w14:paraId="38F8C98B" w14:textId="77777777" w:rsidR="001E64E4" w:rsidRDefault="001E64E4" w:rsidP="00D561D0">
      <w:pPr>
        <w:spacing w:before="60" w:after="200" w:line="360" w:lineRule="auto"/>
        <w:jc w:val="both"/>
        <w:rPr>
          <w:color w:val="000000" w:themeColor="text1"/>
        </w:rPr>
      </w:pPr>
      <w:r>
        <w:rPr>
          <w:color w:val="000000" w:themeColor="text1"/>
        </w:rPr>
        <w:t>With the leadership and cultural context understood, the following section presents the practical change management plan for 2026 to 2028.</w:t>
      </w:r>
    </w:p>
    <w:p w14:paraId="3B58B55C" w14:textId="77777777" w:rsidR="008F44FA" w:rsidRDefault="008F44FA" w:rsidP="008F44FA">
      <w:pPr>
        <w:pStyle w:val="Heading1"/>
      </w:pPr>
      <w:bookmarkStart w:id="48" w:name="_Toc234016184"/>
      <w:bookmarkStart w:id="49" w:name="_Toc235361550"/>
      <w:r>
        <w:rPr>
          <w:rFonts w:ascii="Arial" w:eastAsia="Arial" w:hAnsi="Arial" w:cs="Arial"/>
          <w:b/>
          <w:bCs/>
          <w:color w:val="1A3A5C"/>
          <w:sz w:val="28"/>
          <w:szCs w:val="28"/>
        </w:rPr>
        <w:t>5. Strategic Change Management Plan (2026-2028)</w:t>
      </w:r>
      <w:bookmarkEnd w:id="48"/>
      <w:bookmarkEnd w:id="49"/>
    </w:p>
    <w:p w14:paraId="5532586C" w14:textId="77777777" w:rsidR="008F44FA" w:rsidRDefault="008F44FA" w:rsidP="008F44FA">
      <w:pPr>
        <w:spacing w:after="150" w:line="360" w:lineRule="auto"/>
        <w:jc w:val="both"/>
      </w:pPr>
      <w:r>
        <w:t>The change management plan is built around three strategic pillars: accelerated electrification, operational efficiency and cultural transformation. Kotter's eight steps provide the programme structure, Lewin's model guides the cultural approach and ADKAR provides the individual-level people management tools. Figure 10 below illustrates the three pillars alongside their key objectives and targets.</w:t>
      </w:r>
    </w:p>
    <w:p w14:paraId="570F15ED" w14:textId="77777777" w:rsidR="005C1906" w:rsidRDefault="005C1906" w:rsidP="008F44FA">
      <w:pPr>
        <w:spacing w:after="150" w:line="360" w:lineRule="auto"/>
        <w:jc w:val="both"/>
      </w:pPr>
    </w:p>
    <w:p w14:paraId="532540A2" w14:textId="77777777" w:rsidR="005C1906" w:rsidRDefault="005C1906" w:rsidP="008F44FA">
      <w:pPr>
        <w:spacing w:after="150" w:line="360" w:lineRule="auto"/>
        <w:jc w:val="both"/>
      </w:pPr>
    </w:p>
    <w:p w14:paraId="07DF56D5" w14:textId="77777777" w:rsidR="005C1906" w:rsidRDefault="005C1906" w:rsidP="008F44FA">
      <w:pPr>
        <w:spacing w:after="150" w:line="360" w:lineRule="auto"/>
        <w:jc w:val="both"/>
      </w:pPr>
    </w:p>
    <w:p w14:paraId="55721E1A" w14:textId="77777777" w:rsidR="005C1906" w:rsidRDefault="005C1906" w:rsidP="008F44FA">
      <w:pPr>
        <w:spacing w:after="150" w:line="360" w:lineRule="auto"/>
        <w:jc w:val="both"/>
      </w:pPr>
    </w:p>
    <w:p w14:paraId="2F8ED4F3" w14:textId="77777777" w:rsidR="005C1906" w:rsidRDefault="005C1906" w:rsidP="008F44FA">
      <w:pPr>
        <w:spacing w:after="150" w:line="360" w:lineRule="auto"/>
        <w:jc w:val="both"/>
      </w:pPr>
    </w:p>
    <w:p w14:paraId="07770473" w14:textId="77777777" w:rsidR="00E56DFF" w:rsidRDefault="00D42BC7">
      <w:pPr>
        <w:pStyle w:val="Heading2"/>
      </w:pPr>
      <w:bookmarkStart w:id="50" w:name="_Toc100000001"/>
      <w:bookmarkStart w:id="51" w:name="_Toc235361551"/>
      <w:r>
        <w:rPr>
          <w:rFonts w:ascii="Arial" w:eastAsia="Arial" w:hAnsi="Arial" w:cs="Arial"/>
          <w:b/>
          <w:bCs/>
          <w:color w:val="154360"/>
          <w:sz w:val="24"/>
          <w:szCs w:val="24"/>
        </w:rPr>
        <w:lastRenderedPageBreak/>
        <w:t>5.1 Objectives and Targets</w:t>
      </w:r>
      <w:bookmarkEnd w:id="50"/>
      <w:bookmarkEnd w:id="51"/>
    </w:p>
    <w:p w14:paraId="7BF261C0" w14:textId="77777777" w:rsidR="00AF43F5" w:rsidRDefault="008F44FA" w:rsidP="00AF43F5">
      <w:pPr>
        <w:spacing w:before="180" w:after="40"/>
        <w:jc w:val="center"/>
        <w:rPr>
          <w:b/>
          <w:bCs/>
        </w:rPr>
      </w:pPr>
      <w:r>
        <w:rPr>
          <w:b/>
          <w:bCs/>
        </w:rPr>
        <w:t>Figure 10: Strategic Pillars, Objectives and Targets (2026-2028)</w:t>
      </w:r>
    </w:p>
    <w:p w14:paraId="1C9D08E0" w14:textId="77777777" w:rsidR="008F44FA" w:rsidRDefault="00AF43F5" w:rsidP="00AF43F5">
      <w:pPr>
        <w:spacing w:before="180" w:after="40"/>
        <w:jc w:val="center"/>
      </w:pPr>
      <w:r>
        <w:rPr>
          <w:noProof/>
          <w14:ligatures w14:val="standardContextual"/>
        </w:rPr>
        <w:drawing>
          <wp:inline distT="0" distB="0" distL="0" distR="0" wp14:anchorId="04D2AF0B" wp14:editId="4E192F1A">
            <wp:extent cx="5731510" cy="3693795"/>
            <wp:effectExtent l="0" t="0" r="2540" b="1905"/>
            <wp:docPr id="531616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616409" name=""/>
                    <pic:cNvPicPr/>
                  </pic:nvPicPr>
                  <pic:blipFill>
                    <a:blip r:embed="rId21"/>
                    <a:stretch>
                      <a:fillRect/>
                    </a:stretch>
                  </pic:blipFill>
                  <pic:spPr>
                    <a:xfrm>
                      <a:off x="0" y="0"/>
                      <a:ext cx="5731510" cy="3693795"/>
                    </a:xfrm>
                    <a:prstGeom prst="rect">
                      <a:avLst/>
                    </a:prstGeom>
                  </pic:spPr>
                </pic:pic>
              </a:graphicData>
            </a:graphic>
          </wp:inline>
        </w:drawing>
      </w:r>
    </w:p>
    <w:p w14:paraId="4F6A323F" w14:textId="77777777" w:rsidR="008F44FA" w:rsidRDefault="008F44FA" w:rsidP="008F44FA">
      <w:pPr>
        <w:spacing w:before="30" w:after="180"/>
        <w:jc w:val="center"/>
      </w:pPr>
      <w:r>
        <w:rPr>
          <w:i/>
          <w:iCs/>
          <w:color w:val="555555"/>
          <w:sz w:val="18"/>
          <w:szCs w:val="18"/>
        </w:rPr>
        <w:t>Source: Aston Martin (2025) and UK Government (2024).</w:t>
      </w:r>
    </w:p>
    <w:p w14:paraId="38166F8E" w14:textId="77777777" w:rsidR="008F44FA" w:rsidRDefault="008F44FA" w:rsidP="008F44FA">
      <w:pPr>
        <w:spacing w:after="40"/>
      </w:pPr>
    </w:p>
    <w:p w14:paraId="4FC27E2A" w14:textId="77777777" w:rsidR="008F44FA" w:rsidRDefault="008F44FA" w:rsidP="008F44FA">
      <w:pPr>
        <w:spacing w:after="150" w:line="360" w:lineRule="auto"/>
        <w:jc w:val="both"/>
      </w:pPr>
      <w:r>
        <w:t>The objectives in Figure 10 address the most critical issues identified in the environmental analysis. On electrification, the first fully battery electric Aston Martin should be in production by the end of 2027, with ZEV compliance above 22 per cent annually thereafter (UK Government, 2024). On operational efficiency, gross margin should recover to above 40 per cent by 2028 from 29 per cent in 2025 (Aston Martin, 2025), with the adjusted operating loss approaching breakeven. On cultural transformation, a net increase of 150 EV-specialist roles should be created and employee engagement measured through quarterly ADKAR pulse surveys should exceed 70 per cent (Hiatt and Creasey, 2012).</w:t>
      </w:r>
    </w:p>
    <w:p w14:paraId="736EFA74" w14:textId="77777777" w:rsidR="00E56DFF" w:rsidRDefault="00D42BC7">
      <w:pPr>
        <w:pStyle w:val="Heading2"/>
      </w:pPr>
      <w:bookmarkStart w:id="52" w:name="_Toc100000002"/>
      <w:bookmarkStart w:id="53" w:name="_Toc235361552"/>
      <w:r>
        <w:rPr>
          <w:rFonts w:ascii="Arial" w:eastAsia="Arial" w:hAnsi="Arial" w:cs="Arial"/>
          <w:b/>
          <w:bCs/>
          <w:color w:val="154360"/>
          <w:sz w:val="24"/>
          <w:szCs w:val="24"/>
        </w:rPr>
        <w:t>5.2 Financial Plan</w:t>
      </w:r>
      <w:bookmarkEnd w:id="52"/>
      <w:bookmarkEnd w:id="53"/>
    </w:p>
    <w:p w14:paraId="038B353F" w14:textId="77777777" w:rsidR="008F44FA" w:rsidRDefault="008F44FA" w:rsidP="008F44FA">
      <w:pPr>
        <w:spacing w:after="150" w:line="360" w:lineRule="auto"/>
        <w:jc w:val="both"/>
      </w:pPr>
      <w:r>
        <w:t>The financial plan must reflect the constraints of Aston Martin's balance sheet. Net debt of £1.38 billion and a free cash outflow of £410 million in 2025 mean investment must be carefully phased (Aston Martin, 2025). Steps already taken include the proposed sale of Formula One team naming rights for £50 million (Aston Martin, 2025) and a restructuring programme involving approximately 20 per cent of the global workforce (Aol Finance, 2026). Capital expenditure has been reduced to around £300 million for 2026 (Aston Martin, 2025). Figure 11 sets out the illustrative investment range for each area of the programme.</w:t>
      </w:r>
    </w:p>
    <w:p w14:paraId="0E86642B" w14:textId="77777777" w:rsidR="008F44FA" w:rsidRDefault="008F44FA" w:rsidP="00701F59">
      <w:pPr>
        <w:spacing w:before="180" w:after="40"/>
        <w:jc w:val="center"/>
      </w:pPr>
      <w:r>
        <w:rPr>
          <w:b/>
          <w:bCs/>
        </w:rPr>
        <w:lastRenderedPageBreak/>
        <w:t>Figure 11: Illustrative Financial Plan for the Strategic Change Programme</w:t>
      </w:r>
    </w:p>
    <w:p w14:paraId="54BD7486" w14:textId="77777777" w:rsidR="00A976A7" w:rsidRDefault="00A976A7" w:rsidP="008F44FA">
      <w:pPr>
        <w:spacing w:after="30"/>
        <w:rPr>
          <w:noProof/>
        </w:rPr>
      </w:pPr>
    </w:p>
    <w:p w14:paraId="032C2DA6" w14:textId="77777777" w:rsidR="000119F8" w:rsidRDefault="73537FDC" w:rsidP="72A1842C">
      <w:pPr>
        <w:spacing w:after="30"/>
      </w:pPr>
      <w:r>
        <w:rPr>
          <w:noProof/>
        </w:rPr>
        <w:drawing>
          <wp:inline distT="0" distB="0" distL="0" distR="0" wp14:anchorId="5FCEA965" wp14:editId="1B05C92B">
            <wp:extent cx="5724525" cy="3267075"/>
            <wp:effectExtent l="0" t="0" r="0" b="0"/>
            <wp:docPr id="15840833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083395" name="Picture 1584083395"/>
                    <pic:cNvPicPr/>
                  </pic:nvPicPr>
                  <pic:blipFill>
                    <a:blip r:embed="rId22">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p>
    <w:p w14:paraId="50DFDB2C" w14:textId="77777777" w:rsidR="008F44FA" w:rsidRDefault="008F44FA" w:rsidP="000119F8">
      <w:pPr>
        <w:spacing w:before="30" w:after="180"/>
        <w:jc w:val="center"/>
      </w:pPr>
      <w:r>
        <w:rPr>
          <w:i/>
          <w:iCs/>
          <w:color w:val="555555"/>
          <w:sz w:val="18"/>
          <w:szCs w:val="18"/>
        </w:rPr>
        <w:t>Source: Aston Martin (2025).</w:t>
      </w:r>
    </w:p>
    <w:p w14:paraId="36E804B9" w14:textId="77777777" w:rsidR="008F44FA" w:rsidRDefault="008F44FA" w:rsidP="008F44FA">
      <w:pPr>
        <w:spacing w:after="40"/>
      </w:pPr>
    </w:p>
    <w:p w14:paraId="7E0A0099" w14:textId="77777777" w:rsidR="008F44FA" w:rsidRDefault="008F44FA" w:rsidP="008F44FA">
      <w:pPr>
        <w:spacing w:after="150" w:line="360" w:lineRule="auto"/>
        <w:jc w:val="both"/>
      </w:pPr>
      <w:r>
        <w:t>The total illustrative investment range is £278 million to £381 million over the period 2026 to 2028. The largest commitment of £200 million to £250 million is directed towards EV platform development and integration of Lucid Group technology (Lucid Group, 2023). This is expected to enable the first BEV launch and achieve ZEV compliance. Digital and IT upgrades of £30 million to £50 million support operating cost reductions. Workforce reskilling of £18 million to £28 million builds in-house EV capability and reduces supplier dependency. Manufacturing optimisation of £25 million to £45 million targets gross margin recovery of eight to eleven percentage points. The change management programme of £5 million to £8 million supports ADKAR adoption and reduces resistance across the organisation.</w:t>
      </w:r>
    </w:p>
    <w:p w14:paraId="60C5F427" w14:textId="77777777" w:rsidR="008F44FA" w:rsidRDefault="008F44FA" w:rsidP="008F44FA">
      <w:pPr>
        <w:spacing w:after="150" w:line="360" w:lineRule="auto"/>
        <w:jc w:val="both"/>
      </w:pPr>
      <w:r>
        <w:t>A change programme of this scale inevitably carries risks. Prosci (2024) identifies proactive risk management as one of the most critical success factors in large-scale organisational change. Figure 12 sets out the six principal risks, their likelihood, potential impact and the proposed mitigation for each.</w:t>
      </w:r>
    </w:p>
    <w:p w14:paraId="25345EB3" w14:textId="77777777" w:rsidR="003A0CD6" w:rsidRDefault="003A0CD6" w:rsidP="008F44FA">
      <w:pPr>
        <w:spacing w:after="150" w:line="360" w:lineRule="auto"/>
        <w:jc w:val="both"/>
      </w:pPr>
    </w:p>
    <w:p w14:paraId="1C1585F8" w14:textId="77777777" w:rsidR="00E3780E" w:rsidRDefault="00E3780E" w:rsidP="008F44FA">
      <w:pPr>
        <w:spacing w:after="150" w:line="360" w:lineRule="auto"/>
        <w:jc w:val="both"/>
      </w:pPr>
    </w:p>
    <w:p w14:paraId="1E00D010" w14:textId="77777777" w:rsidR="00E3780E" w:rsidRDefault="00E3780E" w:rsidP="008F44FA">
      <w:pPr>
        <w:spacing w:after="150" w:line="360" w:lineRule="auto"/>
        <w:jc w:val="both"/>
      </w:pPr>
    </w:p>
    <w:p w14:paraId="6521CD65" w14:textId="77777777" w:rsidR="003925A8" w:rsidRDefault="003925A8" w:rsidP="72A1842C">
      <w:pPr>
        <w:spacing w:after="150" w:line="360" w:lineRule="auto"/>
        <w:jc w:val="both"/>
      </w:pPr>
    </w:p>
    <w:p w14:paraId="5CD189C2" w14:textId="77777777" w:rsidR="00C32206" w:rsidRPr="00C32206" w:rsidRDefault="008F44FA" w:rsidP="00C32206">
      <w:pPr>
        <w:spacing w:before="180" w:after="40"/>
        <w:jc w:val="center"/>
        <w:rPr>
          <w:b/>
          <w:bCs/>
        </w:rPr>
      </w:pPr>
      <w:r>
        <w:rPr>
          <w:b/>
          <w:bCs/>
        </w:rPr>
        <w:lastRenderedPageBreak/>
        <w:t>Figure 12: Risk Register for the Strategic Change Programme</w:t>
      </w:r>
    </w:p>
    <w:p w14:paraId="6D9ED128" w14:textId="77777777" w:rsidR="008F44FA" w:rsidRDefault="00C32206" w:rsidP="00C32206">
      <w:pPr>
        <w:spacing w:before="180" w:after="40"/>
        <w:jc w:val="center"/>
      </w:pPr>
      <w:r>
        <w:rPr>
          <w:noProof/>
          <w14:ligatures w14:val="standardContextual"/>
        </w:rPr>
        <w:drawing>
          <wp:inline distT="0" distB="0" distL="0" distR="0" wp14:anchorId="7885E864" wp14:editId="77C423EC">
            <wp:extent cx="5731510" cy="3231515"/>
            <wp:effectExtent l="0" t="0" r="2540" b="6985"/>
            <wp:docPr id="533224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224706" name=""/>
                    <pic:cNvPicPr/>
                  </pic:nvPicPr>
                  <pic:blipFill>
                    <a:blip r:embed="rId23"/>
                    <a:stretch>
                      <a:fillRect/>
                    </a:stretch>
                  </pic:blipFill>
                  <pic:spPr>
                    <a:xfrm>
                      <a:off x="0" y="0"/>
                      <a:ext cx="5731510" cy="3231515"/>
                    </a:xfrm>
                    <a:prstGeom prst="rect">
                      <a:avLst/>
                    </a:prstGeom>
                  </pic:spPr>
                </pic:pic>
              </a:graphicData>
            </a:graphic>
          </wp:inline>
        </w:drawing>
      </w:r>
    </w:p>
    <w:p w14:paraId="00CAEB23" w14:textId="77777777" w:rsidR="008F44FA" w:rsidRDefault="008F44FA" w:rsidP="00C32206">
      <w:pPr>
        <w:spacing w:before="30" w:after="180"/>
        <w:jc w:val="center"/>
      </w:pPr>
      <w:r>
        <w:rPr>
          <w:i/>
          <w:iCs/>
          <w:color w:val="555555"/>
          <w:sz w:val="18"/>
          <w:szCs w:val="18"/>
        </w:rPr>
        <w:t>Source: Aston Martin (2025) and UK Government (2024).</w:t>
      </w:r>
    </w:p>
    <w:p w14:paraId="03AB5E15" w14:textId="77777777" w:rsidR="008F44FA" w:rsidRDefault="008F44FA" w:rsidP="008F44FA">
      <w:pPr>
        <w:spacing w:after="40"/>
      </w:pPr>
    </w:p>
    <w:p w14:paraId="6045003A" w14:textId="77777777" w:rsidR="008F44FA" w:rsidRDefault="008F44FA" w:rsidP="008F44FA">
      <w:pPr>
        <w:spacing w:after="150" w:line="360" w:lineRule="auto"/>
        <w:jc w:val="both"/>
      </w:pPr>
      <w:r>
        <w:t>All risks will be reviewed formally each quarter by the Senior Leadership Team, with material changes escalated to the Board promptly.</w:t>
      </w:r>
    </w:p>
    <w:p w14:paraId="5226AA09" w14:textId="77777777" w:rsidR="00E56DFF" w:rsidRDefault="00D42BC7">
      <w:pPr>
        <w:pStyle w:val="Heading2"/>
      </w:pPr>
      <w:bookmarkStart w:id="54" w:name="_Toc100000003"/>
      <w:bookmarkStart w:id="55" w:name="_Toc235361553"/>
      <w:r>
        <w:rPr>
          <w:rFonts w:ascii="Arial" w:eastAsia="Arial" w:hAnsi="Arial" w:cs="Arial"/>
          <w:b/>
          <w:bCs/>
          <w:color w:val="154360"/>
          <w:sz w:val="24"/>
          <w:szCs w:val="24"/>
        </w:rPr>
        <w:t>5.3 Communication Plan</w:t>
      </w:r>
      <w:bookmarkEnd w:id="54"/>
      <w:bookmarkEnd w:id="55"/>
    </w:p>
    <w:p w14:paraId="30560A9D" w14:textId="77777777" w:rsidR="00E56DFF" w:rsidRDefault="00D42BC7">
      <w:pPr>
        <w:spacing w:after="150" w:line="360" w:lineRule="auto"/>
        <w:jc w:val="both"/>
      </w:pPr>
      <w:r>
        <w:t>Kotter (1995) identified poor communication of the change vision as one of the most common reasons why transformation programmes fail. Figure 13 sets out the communication plan, addressing six stakeholder groups with tailored messages. This reflects the direct application of Kotter's Step 4 to Aston Martin's specific stakeholder context.</w:t>
      </w:r>
    </w:p>
    <w:p w14:paraId="6FE1FFB9" w14:textId="77777777" w:rsidR="00C32206" w:rsidRDefault="00C32206" w:rsidP="008F44FA">
      <w:pPr>
        <w:spacing w:after="150" w:line="360" w:lineRule="auto"/>
        <w:jc w:val="both"/>
      </w:pPr>
    </w:p>
    <w:p w14:paraId="4C1C627A" w14:textId="77777777" w:rsidR="00C32206" w:rsidRDefault="00C32206" w:rsidP="008F44FA">
      <w:pPr>
        <w:spacing w:after="150" w:line="360" w:lineRule="auto"/>
        <w:jc w:val="both"/>
      </w:pPr>
    </w:p>
    <w:p w14:paraId="77FACF56" w14:textId="77777777" w:rsidR="00C32206" w:rsidRDefault="00C32206" w:rsidP="008F44FA">
      <w:pPr>
        <w:spacing w:after="150" w:line="360" w:lineRule="auto"/>
        <w:jc w:val="both"/>
      </w:pPr>
    </w:p>
    <w:p w14:paraId="6BF12175" w14:textId="77777777" w:rsidR="00C32206" w:rsidRDefault="00C32206" w:rsidP="008F44FA">
      <w:pPr>
        <w:spacing w:after="150" w:line="360" w:lineRule="auto"/>
        <w:jc w:val="both"/>
      </w:pPr>
    </w:p>
    <w:p w14:paraId="1C9D723A" w14:textId="77777777" w:rsidR="00C32206" w:rsidRDefault="00C32206" w:rsidP="008F44FA">
      <w:pPr>
        <w:spacing w:after="150" w:line="360" w:lineRule="auto"/>
        <w:jc w:val="both"/>
      </w:pPr>
    </w:p>
    <w:p w14:paraId="5F33E420" w14:textId="77777777" w:rsidR="00C32206" w:rsidRDefault="00C32206" w:rsidP="008F44FA">
      <w:pPr>
        <w:spacing w:after="150" w:line="360" w:lineRule="auto"/>
        <w:jc w:val="both"/>
      </w:pPr>
    </w:p>
    <w:p w14:paraId="64C37D49" w14:textId="77777777" w:rsidR="00C32206" w:rsidRDefault="00C32206" w:rsidP="008F44FA">
      <w:pPr>
        <w:spacing w:after="150" w:line="360" w:lineRule="auto"/>
        <w:jc w:val="both"/>
      </w:pPr>
    </w:p>
    <w:p w14:paraId="3AAA354F" w14:textId="77777777" w:rsidR="00C32206" w:rsidRDefault="00C32206" w:rsidP="008F44FA">
      <w:pPr>
        <w:spacing w:after="150" w:line="360" w:lineRule="auto"/>
        <w:jc w:val="both"/>
      </w:pPr>
    </w:p>
    <w:p w14:paraId="5E2C8D44" w14:textId="77777777" w:rsidR="002C7099" w:rsidRDefault="002C7099" w:rsidP="008F44FA">
      <w:pPr>
        <w:spacing w:after="150" w:line="360" w:lineRule="auto"/>
        <w:jc w:val="both"/>
      </w:pPr>
    </w:p>
    <w:p w14:paraId="6E3441AB" w14:textId="77777777" w:rsidR="008F44FA" w:rsidRDefault="008F44FA" w:rsidP="00C32206">
      <w:pPr>
        <w:spacing w:before="180" w:after="40"/>
        <w:jc w:val="center"/>
        <w:rPr>
          <w:b/>
          <w:bCs/>
        </w:rPr>
      </w:pPr>
      <w:r>
        <w:rPr>
          <w:b/>
          <w:bCs/>
        </w:rPr>
        <w:lastRenderedPageBreak/>
        <w:t>Figure 13: Stakeholder Communication Plan</w:t>
      </w:r>
    </w:p>
    <w:p w14:paraId="65C82066" w14:textId="77777777" w:rsidR="008F44FA" w:rsidRDefault="00C32206" w:rsidP="00C32206">
      <w:pPr>
        <w:spacing w:before="180" w:after="40"/>
      </w:pPr>
      <w:r>
        <w:rPr>
          <w:noProof/>
          <w14:ligatures w14:val="standardContextual"/>
        </w:rPr>
        <w:drawing>
          <wp:inline distT="0" distB="0" distL="0" distR="0" wp14:anchorId="2A96BDC9" wp14:editId="00360B95">
            <wp:extent cx="5731510" cy="3897630"/>
            <wp:effectExtent l="0" t="0" r="2540" b="7620"/>
            <wp:docPr id="799670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670931" name=""/>
                    <pic:cNvPicPr/>
                  </pic:nvPicPr>
                  <pic:blipFill>
                    <a:blip r:embed="rId24"/>
                    <a:stretch>
                      <a:fillRect/>
                    </a:stretch>
                  </pic:blipFill>
                  <pic:spPr>
                    <a:xfrm>
                      <a:off x="0" y="0"/>
                      <a:ext cx="5731510" cy="3897630"/>
                    </a:xfrm>
                    <a:prstGeom prst="rect">
                      <a:avLst/>
                    </a:prstGeom>
                  </pic:spPr>
                </pic:pic>
              </a:graphicData>
            </a:graphic>
          </wp:inline>
        </w:drawing>
      </w:r>
    </w:p>
    <w:p w14:paraId="498FDCD2" w14:textId="77777777" w:rsidR="008F44FA" w:rsidRDefault="008F44FA" w:rsidP="00C32206">
      <w:pPr>
        <w:spacing w:before="30" w:after="180"/>
        <w:jc w:val="center"/>
      </w:pPr>
      <w:r>
        <w:rPr>
          <w:i/>
          <w:iCs/>
          <w:color w:val="555555"/>
          <w:sz w:val="18"/>
          <w:szCs w:val="18"/>
        </w:rPr>
        <w:t>Source: Kotter (1995, 2012) and Prosci (2024).</w:t>
      </w:r>
    </w:p>
    <w:p w14:paraId="2F17301E" w14:textId="77777777" w:rsidR="008F44FA" w:rsidRDefault="008F44FA" w:rsidP="008F44FA">
      <w:pPr>
        <w:spacing w:after="40"/>
      </w:pPr>
    </w:p>
    <w:p w14:paraId="279DC1D9" w14:textId="77777777" w:rsidR="00AF43F5" w:rsidRDefault="008F44FA" w:rsidP="008F44FA">
      <w:pPr>
        <w:spacing w:after="150" w:line="360" w:lineRule="auto"/>
        <w:jc w:val="both"/>
      </w:pPr>
      <w:r>
        <w:t>Burke (2018) emphasises that leader visibility is critical during major transformations. CEO Adrian Hallmark should serve as the primary voice of the change narrative throughout the programme (Motor1, 2025).</w:t>
      </w:r>
    </w:p>
    <w:p w14:paraId="6A22583A" w14:textId="77777777" w:rsidR="00E56DFF" w:rsidRDefault="00D42BC7">
      <w:pPr>
        <w:pStyle w:val="Heading2"/>
      </w:pPr>
      <w:bookmarkStart w:id="56" w:name="_Toc100000004"/>
      <w:bookmarkStart w:id="57" w:name="_Toc235361554"/>
      <w:r>
        <w:rPr>
          <w:rFonts w:ascii="Arial" w:eastAsia="Arial" w:hAnsi="Arial" w:cs="Arial"/>
          <w:b/>
          <w:bCs/>
          <w:color w:val="154360"/>
          <w:sz w:val="24"/>
          <w:szCs w:val="24"/>
        </w:rPr>
        <w:t>5.4 Evaluation Plan</w:t>
      </w:r>
      <w:bookmarkEnd w:id="56"/>
      <w:bookmarkEnd w:id="57"/>
    </w:p>
    <w:p w14:paraId="429FA454" w14:textId="77777777" w:rsidR="00E56DFF" w:rsidRDefault="00D42BC7">
      <w:pPr>
        <w:spacing w:after="150" w:line="360" w:lineRule="auto"/>
        <w:jc w:val="both"/>
      </w:pPr>
      <w:r>
        <w:t xml:space="preserve">The evaluation framework draws directly on the three change models. </w:t>
      </w:r>
    </w:p>
    <w:p w14:paraId="016FFCA4" w14:textId="77777777" w:rsidR="00AF43F5" w:rsidRDefault="008F44FA" w:rsidP="008F44FA">
      <w:pPr>
        <w:spacing w:after="150" w:line="360" w:lineRule="auto"/>
        <w:jc w:val="both"/>
      </w:pPr>
      <w:r>
        <w:t xml:space="preserve">At the organisational level, a balanced scorecard covering financial performance, customer impact, internal processes and learning and growth tracks progress against the objectives in Figure 7 (Kaplan and Norton, 1996). The Senior Leadership Team reviews performance quarterly and reports to the Board bi-annually. </w:t>
      </w:r>
    </w:p>
    <w:p w14:paraId="403BD60D" w14:textId="77777777" w:rsidR="008F44FA" w:rsidRDefault="008F44FA" w:rsidP="008F44FA">
      <w:pPr>
        <w:spacing w:after="150" w:line="360" w:lineRule="auto"/>
        <w:jc w:val="both"/>
      </w:pPr>
      <w:r>
        <w:t>At the individual level, ADKAR pulse surveys identify precisely which building block is a barrier for each team, enabling targeted support (Hiatt and Creasey, 2012). The signs of Lewin's Refreeze stage, including stable EV-oriented job descriptions and consistent leadership behaviours, are tracked through HR metrics. As Schein (2010) observes, cultural change is only truly visible in observable behaviours over time.</w:t>
      </w:r>
    </w:p>
    <w:p w14:paraId="528F8C96" w14:textId="77777777" w:rsidR="008F44FA" w:rsidRPr="003A0CD6" w:rsidRDefault="008F44FA" w:rsidP="003A0CD6">
      <w:pPr>
        <w:spacing w:before="60" w:after="200"/>
        <w:jc w:val="both"/>
        <w:rPr>
          <w:color w:val="000000" w:themeColor="text1"/>
        </w:rPr>
      </w:pPr>
      <w:r>
        <w:rPr>
          <w:color w:val="000000" w:themeColor="text1"/>
        </w:rPr>
        <w:t xml:space="preserve"> </w:t>
      </w:r>
      <w:r>
        <w:br w:type="page"/>
      </w:r>
    </w:p>
    <w:p w14:paraId="68112FF4" w14:textId="77777777" w:rsidR="008F44FA" w:rsidRDefault="008F44FA" w:rsidP="008F44FA">
      <w:pPr>
        <w:pStyle w:val="Heading1"/>
      </w:pPr>
      <w:bookmarkStart w:id="58" w:name="_Toc234016185"/>
      <w:bookmarkStart w:id="59" w:name="_Toc235361555"/>
      <w:r>
        <w:rPr>
          <w:rFonts w:ascii="Arial" w:eastAsia="Arial" w:hAnsi="Arial" w:cs="Arial"/>
          <w:b/>
          <w:bCs/>
          <w:color w:val="1A3A5C"/>
          <w:sz w:val="28"/>
          <w:szCs w:val="28"/>
        </w:rPr>
        <w:lastRenderedPageBreak/>
        <w:t>6. Conclusion</w:t>
      </w:r>
      <w:bookmarkEnd w:id="58"/>
      <w:bookmarkEnd w:id="59"/>
    </w:p>
    <w:p w14:paraId="76699F32" w14:textId="77777777" w:rsidR="008F44FA" w:rsidRDefault="008F44FA" w:rsidP="008F44FA">
      <w:pPr>
        <w:spacing w:after="150" w:line="360" w:lineRule="auto"/>
        <w:jc w:val="both"/>
      </w:pPr>
      <w:r>
        <w:t>This report has developed a strategic change plan for Aston Martin Lagonda, grounded in a thorough analysis of the external environment and a careful evaluation of three change management models from the module curriculum. The analysis confirms that Aston Martin faces a convergence of financial, regulatory and competitive pressures that make strategic change both necessary and urgent.</w:t>
      </w:r>
    </w:p>
    <w:p w14:paraId="4D0D2F29" w14:textId="77777777" w:rsidR="008F44FA" w:rsidRDefault="008F44FA" w:rsidP="008F44FA">
      <w:pPr>
        <w:spacing w:after="150" w:line="360" w:lineRule="auto"/>
        <w:jc w:val="both"/>
      </w:pPr>
      <w:r>
        <w:t>A net loss of £493 million, net debt of £1.38 billion and a gross margin of 29 per cent in 2025, alongside the absence of a fully electric vehicle in production, define the scale of the challenge (Aston Martin, 2025). The PESTLE analysis identified the ZEV Mandate (UK Government, 2024) and US tariffs (Aston Martin, 2025) as the most urgent external pressures. The technology partnerships with Lucid Group (Lucid Group, 2023) and Mercedes-Benz are the most important strategic assets available to address these. Porter's Five Forces confirmed that competitive rivalry is intensifying as luxury rivals advance their electrification programmes. The SWOT analysis established that brand heritage is the strategic foundation upon which the change narrative must be built.</w:t>
      </w:r>
    </w:p>
    <w:p w14:paraId="0DD70440" w14:textId="77777777" w:rsidR="008F44FA" w:rsidRDefault="008F44FA" w:rsidP="008F44FA">
      <w:pPr>
        <w:spacing w:after="150" w:line="360" w:lineRule="auto"/>
        <w:jc w:val="both"/>
      </w:pPr>
      <w:r>
        <w:t>The three change management models are applied in combination. Kotter's eight steps (Kotter, 1995) provide the macro-level structure and sequencing. Lewin's model (Lewin, 1951) informs the cultural strategy, especially in the Unfreeze phase. ADKAR (Hiatt and Creasey, 2012) provides the individual-level tools that determine whether the programme succeeds at the front line. Transformational leadership, as demonstrated by CEO Adrian Hallmark, provides the right foundation for connecting the new strategic direction to the heritage values that define Aston Martin's identity.</w:t>
      </w:r>
    </w:p>
    <w:p w14:paraId="0CCAC240" w14:textId="77777777" w:rsidR="008F44FA" w:rsidRDefault="008F44FA" w:rsidP="008F44FA">
      <w:pPr>
        <w:spacing w:after="150" w:line="360" w:lineRule="auto"/>
        <w:jc w:val="both"/>
      </w:pPr>
      <w:r>
        <w:t>Aston Martin's heritage is not a barrier to change. It is the organisation's most important competitive asset and the cultural foundation from which its next chapter must be written. With the right leadership and a well-managed change process, Aston Martin has the brand strength and the strategic partnerships to navigate this difficult period and emerge as a stronger, more sustainable and more competitive business.</w:t>
      </w:r>
    </w:p>
    <w:p w14:paraId="598AD12A" w14:textId="77777777" w:rsidR="004672D8" w:rsidRDefault="004672D8" w:rsidP="008F44FA">
      <w:pPr>
        <w:spacing w:after="150" w:line="360" w:lineRule="auto"/>
        <w:jc w:val="both"/>
      </w:pPr>
    </w:p>
    <w:p w14:paraId="3D870FC6" w14:textId="77777777" w:rsidR="004672D8" w:rsidRDefault="004672D8" w:rsidP="008F44FA">
      <w:pPr>
        <w:spacing w:after="150" w:line="360" w:lineRule="auto"/>
        <w:jc w:val="both"/>
      </w:pPr>
    </w:p>
    <w:p w14:paraId="0174FEC4" w14:textId="77777777" w:rsidR="004672D8" w:rsidRDefault="004672D8" w:rsidP="008F44FA">
      <w:pPr>
        <w:spacing w:after="150" w:line="360" w:lineRule="auto"/>
        <w:jc w:val="both"/>
      </w:pPr>
    </w:p>
    <w:p w14:paraId="005E64E5" w14:textId="77777777" w:rsidR="004672D8" w:rsidRDefault="004672D8" w:rsidP="008F44FA">
      <w:pPr>
        <w:spacing w:after="150" w:line="360" w:lineRule="auto"/>
        <w:jc w:val="both"/>
      </w:pPr>
    </w:p>
    <w:p w14:paraId="405167CE" w14:textId="77777777" w:rsidR="004672D8" w:rsidRDefault="004672D8" w:rsidP="008F44FA">
      <w:pPr>
        <w:spacing w:after="150" w:line="360" w:lineRule="auto"/>
        <w:jc w:val="both"/>
      </w:pPr>
    </w:p>
    <w:p w14:paraId="68072014" w14:textId="77777777" w:rsidR="004672D8" w:rsidRDefault="004672D8" w:rsidP="008F44FA">
      <w:pPr>
        <w:spacing w:after="150" w:line="360" w:lineRule="auto"/>
        <w:jc w:val="both"/>
      </w:pPr>
    </w:p>
    <w:p w14:paraId="746688D6" w14:textId="77777777" w:rsidR="004672D8" w:rsidRPr="004672D8" w:rsidRDefault="004672D8" w:rsidP="004672D8">
      <w:pPr>
        <w:pStyle w:val="Heading1"/>
        <w:rPr>
          <w:b/>
          <w:bCs/>
        </w:rPr>
      </w:pPr>
      <w:bookmarkStart w:id="60" w:name="_Toc234016186"/>
      <w:bookmarkStart w:id="61" w:name="_Toc235361556"/>
      <w:r>
        <w:rPr>
          <w:b/>
          <w:bCs/>
        </w:rPr>
        <w:lastRenderedPageBreak/>
        <w:t>References</w:t>
      </w:r>
      <w:bookmarkEnd w:id="60"/>
      <w:bookmarkEnd w:id="61"/>
    </w:p>
    <w:p w14:paraId="1C9C7753" w14:textId="77777777" w:rsidR="004672D8" w:rsidRDefault="004672D8" w:rsidP="004672D8">
      <w:pPr>
        <w:spacing w:after="100" w:line="276" w:lineRule="auto"/>
        <w:ind w:left="720" w:hanging="720"/>
        <w:jc w:val="both"/>
        <w:rPr>
          <w:sz w:val="20"/>
          <w:szCs w:val="20"/>
        </w:rPr>
      </w:pPr>
    </w:p>
    <w:p w14:paraId="399A6F1D" w14:textId="77777777" w:rsidR="004672D8" w:rsidRPr="004672D8" w:rsidRDefault="004672D8" w:rsidP="004672D8">
      <w:pPr>
        <w:spacing w:after="100" w:line="360" w:lineRule="auto"/>
        <w:ind w:left="720" w:hanging="720"/>
      </w:pPr>
      <w:r>
        <w:t xml:space="preserve">Aol Finance (2026) </w:t>
      </w:r>
      <w:r>
        <w:rPr>
          <w:i/>
          <w:iCs/>
        </w:rPr>
        <w:t>Aston Martin slashes workforce after steep losses, signalling broad restructuring</w:t>
      </w:r>
      <w:r>
        <w:t>. Available at: https://www.aol.com/articles/aston-martin-slashes-workforce-steep-160426256.html (Accessed: 10 June 2026).</w:t>
      </w:r>
    </w:p>
    <w:p w14:paraId="74A57BB5" w14:textId="77777777" w:rsidR="004672D8" w:rsidRPr="004672D8" w:rsidRDefault="004672D8" w:rsidP="004672D8">
      <w:pPr>
        <w:spacing w:after="100" w:line="360" w:lineRule="auto"/>
        <w:ind w:left="720" w:hanging="720"/>
      </w:pPr>
      <w:r>
        <w:t xml:space="preserve">Aston Martin (2022) </w:t>
      </w:r>
      <w:r>
        <w:rPr>
          <w:i/>
          <w:iCs/>
        </w:rPr>
        <w:t>Aston Martin accelerates journey to a world-leading sustainable ultra-luxury business with announcement of Racing. Green. strategy</w:t>
      </w:r>
      <w:r>
        <w:t>. Available at: https://media.astonmartin.com/aston-martin-accelerates-journey-to-a-world-leading-sustainable-ultra-luxury-business-with-announcement-of-ambitious-racinggreen-strategy/ (Accessed: 7 June 2026).</w:t>
      </w:r>
    </w:p>
    <w:p w14:paraId="0B87B63C" w14:textId="77777777" w:rsidR="004672D8" w:rsidRPr="004672D8" w:rsidRDefault="004672D8" w:rsidP="004672D8">
      <w:pPr>
        <w:spacing w:after="100" w:line="360" w:lineRule="auto"/>
        <w:ind w:left="720" w:hanging="720"/>
      </w:pPr>
      <w:r>
        <w:t xml:space="preserve">Aston Martin (2023) </w:t>
      </w:r>
      <w:r>
        <w:rPr>
          <w:i/>
          <w:iCs/>
        </w:rPr>
        <w:t>Aston Martin intensifies Racing. Green. sustainability strategy, achieving carbon neutral manufacturing</w:t>
      </w:r>
      <w:r>
        <w:t>. Available at: https://media.astonmartin.com/aston-martin-intensifies-racing-green-sustainability-strategy-achieving-carbon-neutral-manufacturing-85459/ (Accessed: 7 June 2026).</w:t>
      </w:r>
    </w:p>
    <w:p w14:paraId="7066C96D" w14:textId="77777777" w:rsidR="004672D8" w:rsidRPr="004672D8" w:rsidRDefault="004672D8" w:rsidP="004672D8">
      <w:pPr>
        <w:spacing w:after="100" w:line="360" w:lineRule="auto"/>
        <w:ind w:left="720" w:hanging="720"/>
      </w:pPr>
      <w:r>
        <w:t xml:space="preserve">Aston Martin (2024) </w:t>
      </w:r>
      <w:r>
        <w:rPr>
          <w:i/>
          <w:iCs/>
        </w:rPr>
        <w:t xml:space="preserve">Sustainability Report 2024: Racing. </w:t>
      </w:r>
      <w:r w:rsidRPr="005C1906">
        <w:rPr>
          <w:i/>
          <w:iCs/>
          <w:lang w:val="fi-FI"/>
        </w:rPr>
        <w:t>Green.</w:t>
      </w:r>
      <w:r w:rsidRPr="005C1906">
        <w:rPr>
          <w:lang w:val="fi-FI"/>
        </w:rPr>
        <w:t xml:space="preserve"> </w:t>
      </w:r>
      <w:proofErr w:type="spellStart"/>
      <w:r w:rsidRPr="005C1906">
        <w:rPr>
          <w:lang w:val="fi-FI"/>
        </w:rPr>
        <w:t>Gaydon</w:t>
      </w:r>
      <w:proofErr w:type="spellEnd"/>
      <w:r w:rsidRPr="005C1906">
        <w:rPr>
          <w:lang w:val="fi-FI"/>
        </w:rPr>
        <w:t xml:space="preserve">: Aston Martin </w:t>
      </w:r>
      <w:proofErr w:type="spellStart"/>
      <w:r w:rsidRPr="005C1906">
        <w:rPr>
          <w:lang w:val="fi-FI"/>
        </w:rPr>
        <w:t>Lagonda</w:t>
      </w:r>
      <w:proofErr w:type="spellEnd"/>
      <w:r w:rsidRPr="005C1906">
        <w:rPr>
          <w:lang w:val="fi-FI"/>
        </w:rPr>
        <w:t xml:space="preserve">. </w:t>
      </w:r>
      <w:r>
        <w:t>Available at: https://www.astonmartin.com/-/media/corporate/documents/sustainability/sustainability-reports/aston-martin-sustainability-report-2024.pdf (Accessed: 8 June 2026).</w:t>
      </w:r>
    </w:p>
    <w:p w14:paraId="324A4C31" w14:textId="77777777" w:rsidR="004672D8" w:rsidRPr="004672D8" w:rsidRDefault="004672D8" w:rsidP="004672D8">
      <w:pPr>
        <w:spacing w:after="100" w:line="360" w:lineRule="auto"/>
        <w:ind w:left="720" w:hanging="720"/>
      </w:pPr>
      <w:r>
        <w:t xml:space="preserve">Aston Martin (2025) </w:t>
      </w:r>
      <w:r>
        <w:rPr>
          <w:i/>
          <w:iCs/>
        </w:rPr>
        <w:t>Full Year 2025 Results Announcement</w:t>
      </w:r>
      <w:r>
        <w:t>. Gaydon: Aston Martin Lagonda. Available at: https://www.astonmartin.com/-/media/corporate/documents/fy-results-2025/aston-martin-lagonda-fy-2025-results.pdf (Accessed: 5 June 2026).</w:t>
      </w:r>
    </w:p>
    <w:p w14:paraId="6759B55C" w14:textId="77777777" w:rsidR="004672D8" w:rsidRPr="004672D8" w:rsidRDefault="004672D8" w:rsidP="004672D8">
      <w:pPr>
        <w:spacing w:after="100" w:line="360" w:lineRule="auto"/>
        <w:ind w:left="720" w:hanging="720"/>
      </w:pPr>
      <w:r>
        <w:t xml:space="preserve">Aston Martin (2025a) </w:t>
      </w:r>
      <w:r>
        <w:rPr>
          <w:i/>
          <w:iCs/>
        </w:rPr>
        <w:t>About Us</w:t>
      </w:r>
      <w:r>
        <w:t>. Gaydon: Aston Martin Lagonda. Available at: https://www.astonmartin.com/en/corporate/about-us (Accessed: 6 June 2026).</w:t>
      </w:r>
    </w:p>
    <w:p w14:paraId="778F8826" w14:textId="77777777" w:rsidR="00E56DFF" w:rsidRDefault="00D42BC7">
      <w:pPr>
        <w:spacing w:after="100" w:line="360" w:lineRule="auto"/>
        <w:ind w:left="720" w:hanging="720"/>
      </w:pPr>
      <w:r>
        <w:t xml:space="preserve">Automotive Logistics (2026) </w:t>
      </w:r>
      <w:r>
        <w:rPr>
          <w:i/>
          <w:iCs/>
        </w:rPr>
        <w:t>Aston Martin supply chain strategy: end-to-end logistics for ultra-luxury and £1m hypercars</w:t>
      </w:r>
      <w:r>
        <w:t>. Available at: https://www.automotivelogistics.media/video/aston-martins-martin-corner-on-endtoend-supply-chain-strategy-for-ultraluxury-vehicles/2637417 (Accessed: 18 July 2026).</w:t>
      </w:r>
    </w:p>
    <w:p w14:paraId="58671210" w14:textId="77777777" w:rsidR="004672D8" w:rsidRPr="004672D8" w:rsidRDefault="004672D8" w:rsidP="004672D8">
      <w:pPr>
        <w:spacing w:after="100" w:line="360" w:lineRule="auto"/>
        <w:ind w:left="720" w:hanging="720"/>
      </w:pPr>
      <w:r>
        <w:t xml:space="preserve">Bagga, S.K., Gera, S. and Haque, S.N. (2023) The mediating role of organizational culture: transformational leadership and change management in virtual teams. </w:t>
      </w:r>
      <w:r>
        <w:rPr>
          <w:i/>
          <w:iCs/>
        </w:rPr>
        <w:t>Asia Pacific Management Review</w:t>
      </w:r>
      <w:r>
        <w:t>, 28(2), pp. 120-131.</w:t>
      </w:r>
    </w:p>
    <w:p w14:paraId="052CDE30" w14:textId="77777777" w:rsidR="004672D8" w:rsidRPr="004672D8" w:rsidRDefault="004672D8" w:rsidP="004672D8">
      <w:pPr>
        <w:spacing w:after="100" w:line="360" w:lineRule="auto"/>
        <w:ind w:left="720" w:hanging="720"/>
      </w:pPr>
      <w:r>
        <w:t xml:space="preserve">Bain and Company (2023) </w:t>
      </w:r>
      <w:r>
        <w:rPr>
          <w:i/>
          <w:iCs/>
        </w:rPr>
        <w:t>Luxury goods worldwide market study: fall-winter 2023</w:t>
      </w:r>
      <w:r>
        <w:t>. Boston: Bain and Company. Available at: https://www.bain.com/insights/luxury-goods-worldwide-market-study-fall-winter-2023/ (Accessed: 9 June 2026).</w:t>
      </w:r>
    </w:p>
    <w:p w14:paraId="255479E8" w14:textId="77777777" w:rsidR="004672D8" w:rsidRPr="004672D8" w:rsidRDefault="004672D8" w:rsidP="004672D8">
      <w:pPr>
        <w:spacing w:after="100" w:line="360" w:lineRule="auto"/>
        <w:ind w:left="720" w:hanging="720"/>
      </w:pPr>
      <w:r>
        <w:lastRenderedPageBreak/>
        <w:t xml:space="preserve">Bass, B.M. and Avolio, B.J. (1994) </w:t>
      </w:r>
      <w:r>
        <w:rPr>
          <w:i/>
          <w:iCs/>
        </w:rPr>
        <w:t>Improving organizational effectiveness through transformational leadership</w:t>
      </w:r>
      <w:r>
        <w:t>. Thousand Oaks, CA: Sage Publications.</w:t>
      </w:r>
    </w:p>
    <w:p w14:paraId="34D5820A" w14:textId="77777777" w:rsidR="004672D8" w:rsidRPr="00086FAC" w:rsidRDefault="004672D8" w:rsidP="004672D8">
      <w:pPr>
        <w:spacing w:after="100" w:line="360" w:lineRule="auto"/>
        <w:ind w:left="720" w:hanging="720"/>
      </w:pPr>
      <w:r w:rsidRPr="00086FAC">
        <w:t xml:space="preserve">Best, A., Jones, A., Robinson, J. and Ramirez, D. (2023) Transformational leadership and organizational change. </w:t>
      </w:r>
      <w:r w:rsidRPr="00086FAC">
        <w:rPr>
          <w:i/>
          <w:iCs/>
        </w:rPr>
        <w:t>International Journal of Management</w:t>
      </w:r>
      <w:r w:rsidRPr="00086FAC">
        <w:t>, 4(1), pp. 1-3.</w:t>
      </w:r>
    </w:p>
    <w:p w14:paraId="7DEA7B6B" w14:textId="77777777" w:rsidR="004672D8" w:rsidRPr="004672D8" w:rsidRDefault="004672D8" w:rsidP="004672D8">
      <w:pPr>
        <w:spacing w:after="100" w:line="360" w:lineRule="auto"/>
        <w:ind w:left="720" w:hanging="720"/>
      </w:pPr>
      <w:r>
        <w:t xml:space="preserve">Burke, W.W. (2018) </w:t>
      </w:r>
      <w:r>
        <w:rPr>
          <w:i/>
          <w:iCs/>
        </w:rPr>
        <w:t>Organization change: theory and practice</w:t>
      </w:r>
      <w:r>
        <w:t>. 5th edn. Thousand Oaks, CA: Sage Publications.</w:t>
      </w:r>
    </w:p>
    <w:p w14:paraId="278DA425" w14:textId="77777777" w:rsidR="004672D8" w:rsidRPr="004672D8" w:rsidRDefault="004672D8" w:rsidP="004672D8">
      <w:pPr>
        <w:spacing w:after="100" w:line="360" w:lineRule="auto"/>
        <w:ind w:left="720" w:hanging="720"/>
      </w:pPr>
      <w:r>
        <w:t xml:space="preserve">Burnes, B. (2004) Kurt Lewin and the planned approach to change: a re-appraisal. </w:t>
      </w:r>
      <w:r>
        <w:rPr>
          <w:i/>
          <w:iCs/>
        </w:rPr>
        <w:t>Journal of Management Studies</w:t>
      </w:r>
      <w:r>
        <w:t>, 41(6), pp. 977-1002.</w:t>
      </w:r>
    </w:p>
    <w:p w14:paraId="7FDEE50C" w14:textId="77777777" w:rsidR="004672D8" w:rsidRPr="004672D8" w:rsidRDefault="004672D8" w:rsidP="004672D8">
      <w:pPr>
        <w:spacing w:after="100" w:line="360" w:lineRule="auto"/>
        <w:ind w:left="720" w:hanging="720"/>
      </w:pPr>
      <w:r>
        <w:t xml:space="preserve">Cameron, E. and Green, M. (2019) </w:t>
      </w:r>
      <w:r>
        <w:rPr>
          <w:i/>
          <w:iCs/>
        </w:rPr>
        <w:t>Making sense of change management: a complete guide to the models, tools and techniques of organizational change</w:t>
      </w:r>
      <w:r>
        <w:t>. 5th edn. London: Kogan Page.</w:t>
      </w:r>
    </w:p>
    <w:p w14:paraId="2505F3BF" w14:textId="77777777" w:rsidR="004672D8" w:rsidRPr="004672D8" w:rsidRDefault="004672D8" w:rsidP="004672D8">
      <w:pPr>
        <w:spacing w:after="100" w:line="360" w:lineRule="auto"/>
        <w:ind w:left="720" w:hanging="720"/>
      </w:pPr>
      <w:r>
        <w:t xml:space="preserve">Chukwuma, O. and Zondo, R.W.D. (2024) Effect of transformational leadership on employee resistance to change at eThekwini Automobiles. </w:t>
      </w:r>
      <w:r>
        <w:rPr>
          <w:i/>
          <w:iCs/>
        </w:rPr>
        <w:t>International Journal of Research in Business and Social Science</w:t>
      </w:r>
      <w:r>
        <w:t>, 13(3), pp. 179-193.</w:t>
      </w:r>
    </w:p>
    <w:p w14:paraId="7064BFEC" w14:textId="77777777" w:rsidR="004672D8" w:rsidRPr="004672D8" w:rsidRDefault="004672D8" w:rsidP="004672D8">
      <w:pPr>
        <w:spacing w:after="100" w:line="360" w:lineRule="auto"/>
        <w:ind w:left="720" w:hanging="720"/>
      </w:pPr>
      <w:r>
        <w:t xml:space="preserve">Computer Weekly (2024) </w:t>
      </w:r>
      <w:r>
        <w:rPr>
          <w:i/>
          <w:iCs/>
        </w:rPr>
        <w:t>CIO interview: Steve O'Connor, Aston Martin</w:t>
      </w:r>
      <w:r>
        <w:t>. Available at: https://www.computerweekly.com/news/366615343/CIO-interview-Steve-OConnor-Aston-Martin (Accessed: 11 June 2026).</w:t>
      </w:r>
    </w:p>
    <w:p w14:paraId="6423C342" w14:textId="77777777" w:rsidR="00E56DFF" w:rsidRDefault="00D42BC7">
      <w:pPr>
        <w:spacing w:after="100" w:line="360" w:lineRule="auto"/>
        <w:ind w:left="720" w:hanging="720"/>
      </w:pPr>
      <w:r>
        <w:t xml:space="preserve">Grand View Research (2026) </w:t>
      </w:r>
      <w:r>
        <w:rPr>
          <w:i/>
          <w:iCs/>
        </w:rPr>
        <w:t>Luxury car market size and share report, 2033</w:t>
      </w:r>
      <w:r>
        <w:t>. Available at: https://www.grandviewresearch.com/industry-analysis/luxury-car-market-report (Accessed: 18 July 2026).</w:t>
      </w:r>
    </w:p>
    <w:p w14:paraId="4B06A500" w14:textId="77777777" w:rsidR="004672D8" w:rsidRPr="004672D8" w:rsidRDefault="004672D8" w:rsidP="004672D8">
      <w:pPr>
        <w:spacing w:after="100" w:line="360" w:lineRule="auto"/>
        <w:ind w:left="720" w:hanging="720"/>
      </w:pPr>
      <w:r>
        <w:t xml:space="preserve">Hiatt, J.M. and Creasey, T.J. (2012) </w:t>
      </w:r>
      <w:r>
        <w:rPr>
          <w:i/>
          <w:iCs/>
        </w:rPr>
        <w:t>Change management: the people side of change</w:t>
      </w:r>
      <w:r>
        <w:t>. 2nd edn. Fort Collins, CO: Prosci Inc.</w:t>
      </w:r>
    </w:p>
    <w:p w14:paraId="58F4CBA9" w14:textId="77777777" w:rsidR="004672D8" w:rsidRPr="004672D8" w:rsidRDefault="004672D8" w:rsidP="004672D8">
      <w:pPr>
        <w:spacing w:after="100" w:line="360" w:lineRule="auto"/>
        <w:ind w:left="720" w:hanging="720"/>
      </w:pPr>
      <w:r>
        <w:t xml:space="preserve">Hill, T. and Westbrook, R. (1997) SWOT analysis: it's time for a product recall. </w:t>
      </w:r>
      <w:r>
        <w:rPr>
          <w:i/>
          <w:iCs/>
        </w:rPr>
        <w:t>Long Range Planning</w:t>
      </w:r>
      <w:r>
        <w:t>, 30(1), pp. 46-52.</w:t>
      </w:r>
    </w:p>
    <w:p w14:paraId="42360A5B" w14:textId="77777777" w:rsidR="004672D8" w:rsidRPr="004672D8" w:rsidRDefault="004672D8" w:rsidP="004672D8">
      <w:pPr>
        <w:spacing w:after="100" w:line="360" w:lineRule="auto"/>
        <w:ind w:left="720" w:hanging="720"/>
      </w:pPr>
      <w:r>
        <w:t xml:space="preserve">Insider Media (2024) </w:t>
      </w:r>
      <w:r>
        <w:rPr>
          <w:i/>
          <w:iCs/>
        </w:rPr>
        <w:t>Aston Martin reveals next chief executive</w:t>
      </w:r>
      <w:r>
        <w:t>. Available at: https://www.insidermedia.com/news/northwest/aston-martin-reveals-next-chief-executive (Accessed: 8 June 2026).</w:t>
      </w:r>
    </w:p>
    <w:p w14:paraId="2E38177B" w14:textId="77777777" w:rsidR="004672D8" w:rsidRPr="004672D8" w:rsidRDefault="004672D8" w:rsidP="004672D8">
      <w:pPr>
        <w:spacing w:after="100" w:line="360" w:lineRule="auto"/>
        <w:ind w:left="720" w:hanging="720"/>
      </w:pPr>
      <w:r>
        <w:t xml:space="preserve">Johnson, G., Whittington, R. and Scholes, K. (2020) </w:t>
      </w:r>
      <w:r>
        <w:rPr>
          <w:i/>
          <w:iCs/>
        </w:rPr>
        <w:t>Exploring corporate strategy</w:t>
      </w:r>
      <w:r>
        <w:t>. 12th edn. Harlow: Pearson Education.</w:t>
      </w:r>
    </w:p>
    <w:p w14:paraId="38E99C08" w14:textId="77777777" w:rsidR="004672D8" w:rsidRPr="004672D8" w:rsidRDefault="004672D8" w:rsidP="004672D8">
      <w:pPr>
        <w:spacing w:after="100" w:line="360" w:lineRule="auto"/>
        <w:ind w:left="720" w:hanging="720"/>
      </w:pPr>
      <w:r>
        <w:t xml:space="preserve">Kaminski, J. (2022) Theory applied to informatics: the Prosci ADKAR Model. </w:t>
      </w:r>
      <w:r>
        <w:rPr>
          <w:i/>
          <w:iCs/>
        </w:rPr>
        <w:t>Canadian Journal of Nursing Informatics</w:t>
      </w:r>
      <w:r>
        <w:t>, 17(2). Available at: https://cjni.net/journal/?p=10076 (Accessed: 9 June 2026).</w:t>
      </w:r>
    </w:p>
    <w:p w14:paraId="7513AA48" w14:textId="77777777" w:rsidR="004672D8" w:rsidRPr="004672D8" w:rsidRDefault="004672D8" w:rsidP="004672D8">
      <w:pPr>
        <w:spacing w:after="100" w:line="360" w:lineRule="auto"/>
        <w:ind w:left="720" w:hanging="720"/>
      </w:pPr>
      <w:r>
        <w:lastRenderedPageBreak/>
        <w:t xml:space="preserve">Kaplan, R.S. and Norton, D.P. (1996) </w:t>
      </w:r>
      <w:r>
        <w:rPr>
          <w:i/>
          <w:iCs/>
        </w:rPr>
        <w:t>The balanced scorecard: translating strategy into action</w:t>
      </w:r>
      <w:r>
        <w:t>. Boston, MA: Harvard Business School Press.</w:t>
      </w:r>
    </w:p>
    <w:p w14:paraId="0E788206" w14:textId="77777777" w:rsidR="004672D8" w:rsidRPr="004672D8" w:rsidRDefault="004672D8" w:rsidP="004672D8">
      <w:pPr>
        <w:spacing w:after="100" w:line="360" w:lineRule="auto"/>
        <w:ind w:left="720" w:hanging="720"/>
      </w:pPr>
      <w:r>
        <w:t xml:space="preserve">Kotter, J.P. (1995) Leading change: why transformation efforts fail. </w:t>
      </w:r>
      <w:r>
        <w:rPr>
          <w:i/>
          <w:iCs/>
        </w:rPr>
        <w:t>Harvard Business Review</w:t>
      </w:r>
      <w:r>
        <w:t>, 73(2), pp. 59-67.</w:t>
      </w:r>
    </w:p>
    <w:p w14:paraId="4020C904" w14:textId="77777777" w:rsidR="004672D8" w:rsidRPr="004672D8" w:rsidRDefault="004672D8" w:rsidP="004672D8">
      <w:pPr>
        <w:spacing w:after="100" w:line="360" w:lineRule="auto"/>
        <w:ind w:left="720" w:hanging="720"/>
      </w:pPr>
      <w:r>
        <w:t xml:space="preserve">Kotter, J.P. (2012) </w:t>
      </w:r>
      <w:r>
        <w:rPr>
          <w:i/>
          <w:iCs/>
        </w:rPr>
        <w:t>Leading change</w:t>
      </w:r>
      <w:r>
        <w:t>. 2nd edn. Boston, MA: Harvard Business School Press.</w:t>
      </w:r>
    </w:p>
    <w:p w14:paraId="44CC7811" w14:textId="77777777" w:rsidR="004672D8" w:rsidRPr="004672D8" w:rsidRDefault="004672D8" w:rsidP="004672D8">
      <w:pPr>
        <w:spacing w:after="100" w:line="360" w:lineRule="auto"/>
        <w:ind w:left="720" w:hanging="720"/>
      </w:pPr>
      <w:r>
        <w:t xml:space="preserve">Langton, N. and Robbins, S.P. (2007) </w:t>
      </w:r>
      <w:r>
        <w:rPr>
          <w:i/>
          <w:iCs/>
        </w:rPr>
        <w:t>Fundamentals of organizational behaviour</w:t>
      </w:r>
      <w:r>
        <w:t>. 3rd Canadian edn. Toronto: Pearson Education Canada.</w:t>
      </w:r>
    </w:p>
    <w:p w14:paraId="7327074E" w14:textId="77777777" w:rsidR="004672D8" w:rsidRPr="004672D8" w:rsidRDefault="004672D8" w:rsidP="004672D8">
      <w:pPr>
        <w:spacing w:after="100" w:line="360" w:lineRule="auto"/>
        <w:ind w:left="720" w:hanging="720"/>
      </w:pPr>
      <w:r>
        <w:t xml:space="preserve">Lewin, K. (1951) </w:t>
      </w:r>
      <w:r>
        <w:rPr>
          <w:i/>
          <w:iCs/>
        </w:rPr>
        <w:t>Field theory in social science</w:t>
      </w:r>
      <w:r>
        <w:t>. New York: Harper and Row.</w:t>
      </w:r>
    </w:p>
    <w:p w14:paraId="3B502117" w14:textId="77777777" w:rsidR="004672D8" w:rsidRDefault="004672D8" w:rsidP="004672D8">
      <w:pPr>
        <w:spacing w:after="100" w:line="360" w:lineRule="auto"/>
        <w:ind w:left="720" w:hanging="720"/>
      </w:pPr>
      <w:r>
        <w:t xml:space="preserve">Lucid Group (2023) </w:t>
      </w:r>
      <w:r>
        <w:rPr>
          <w:i/>
          <w:iCs/>
        </w:rPr>
        <w:t>Lucid's world-leading electric powertrain technology propels Aston Martin to a bold electric future</w:t>
      </w:r>
      <w:r>
        <w:t>. Available at: https://ir.lucidmotors.com/news-releases/news-release-details/lucids-world-leading-electric-powertrain-technology-propels (Accessed: 6 June 2026).</w:t>
      </w:r>
    </w:p>
    <w:p w14:paraId="1ECCD350" w14:textId="081B9EFF" w:rsidR="00BE51B6" w:rsidRPr="004672D8" w:rsidRDefault="00BE51B6" w:rsidP="00BE51B6">
      <w:pPr>
        <w:spacing w:after="100" w:line="360" w:lineRule="auto"/>
        <w:ind w:left="720" w:hanging="720"/>
      </w:pPr>
      <w:r w:rsidRPr="00BE51B6">
        <w:t xml:space="preserve">Min, Y. (2024) Transformational leadership and its influence on organizational culture: a synergistic approach. </w:t>
      </w:r>
      <w:r w:rsidRPr="00BE51B6">
        <w:rPr>
          <w:i/>
          <w:iCs/>
        </w:rPr>
        <w:t>Journal of Organizational Culture Communications and Conflict</w:t>
      </w:r>
      <w:r w:rsidRPr="00BE51B6">
        <w:t>, 28(S5), pp. 1-3. Available at: https://www.abacademies.org/articles/transformational-leadership-and-its-influence-on-organizational-culture-a-synergistic-approach-17381.html</w:t>
      </w:r>
      <w:r>
        <w:t xml:space="preserve"> </w:t>
      </w:r>
      <w:r>
        <w:t>(Accessed: 9 June 2026).</w:t>
      </w:r>
    </w:p>
    <w:p w14:paraId="0C123C9C" w14:textId="77777777" w:rsidR="004672D8" w:rsidRPr="004672D8" w:rsidRDefault="004672D8" w:rsidP="004672D8">
      <w:pPr>
        <w:spacing w:after="100" w:line="360" w:lineRule="auto"/>
        <w:ind w:left="720" w:hanging="720"/>
      </w:pPr>
      <w:r>
        <w:t xml:space="preserve">Motor1 (2025) </w:t>
      </w:r>
      <w:r>
        <w:rPr>
          <w:i/>
          <w:iCs/>
        </w:rPr>
        <w:t>How Aston Martin's CEO plans to transform the legendary brand</w:t>
      </w:r>
      <w:r>
        <w:t>. Available at: https://www.motor1.com/features/764266/aston-martin-ceo-interview-fixing-brand/ (Accessed: 9 June 2026).</w:t>
      </w:r>
    </w:p>
    <w:p w14:paraId="32ABEA90" w14:textId="77777777" w:rsidR="004672D8" w:rsidRPr="004672D8" w:rsidRDefault="004672D8" w:rsidP="004672D8">
      <w:pPr>
        <w:spacing w:after="100" w:line="360" w:lineRule="auto"/>
        <w:ind w:left="720" w:hanging="720"/>
      </w:pPr>
      <w:r>
        <w:t xml:space="preserve">Northouse, P.G. (2022) </w:t>
      </w:r>
      <w:r>
        <w:rPr>
          <w:i/>
          <w:iCs/>
        </w:rPr>
        <w:t>Leadership: theory and practice</w:t>
      </w:r>
      <w:r>
        <w:t>. 9th edn. Thousand Oaks, CA: Sage Publications.</w:t>
      </w:r>
    </w:p>
    <w:p w14:paraId="08527181" w14:textId="77777777" w:rsidR="004672D8" w:rsidRPr="004672D8" w:rsidRDefault="004672D8" w:rsidP="004672D8">
      <w:pPr>
        <w:spacing w:after="100" w:line="360" w:lineRule="auto"/>
        <w:ind w:left="720" w:hanging="720"/>
      </w:pPr>
      <w:r>
        <w:t xml:space="preserve">Pollack, J. and Pollack, R. (2022) Using Kotter's eight stage process to manage an organisational change program: presentation and practice. </w:t>
      </w:r>
      <w:r>
        <w:rPr>
          <w:i/>
          <w:iCs/>
        </w:rPr>
        <w:t>Systemic Practice and Action Research</w:t>
      </w:r>
      <w:r>
        <w:t>, 28(1), pp. 51-66.</w:t>
      </w:r>
    </w:p>
    <w:p w14:paraId="5DD91783" w14:textId="77777777" w:rsidR="004672D8" w:rsidRPr="004672D8" w:rsidRDefault="004672D8" w:rsidP="004672D8">
      <w:pPr>
        <w:spacing w:after="100" w:line="360" w:lineRule="auto"/>
        <w:ind w:left="720" w:hanging="720"/>
      </w:pPr>
      <w:r>
        <w:t xml:space="preserve">Porter, M.E. (1980) </w:t>
      </w:r>
      <w:r>
        <w:rPr>
          <w:i/>
          <w:iCs/>
        </w:rPr>
        <w:t>Competitive strategy: techniques for analyzing industries and competitors</w:t>
      </w:r>
      <w:r>
        <w:t>. New York: Free Press.</w:t>
      </w:r>
    </w:p>
    <w:p w14:paraId="6C67D886" w14:textId="77777777" w:rsidR="004672D8" w:rsidRPr="004672D8" w:rsidRDefault="004672D8" w:rsidP="004672D8">
      <w:pPr>
        <w:spacing w:after="100" w:line="360" w:lineRule="auto"/>
        <w:ind w:left="720" w:hanging="720"/>
      </w:pPr>
      <w:r>
        <w:t xml:space="preserve">Prosci (2024) </w:t>
      </w:r>
      <w:r>
        <w:rPr>
          <w:i/>
          <w:iCs/>
        </w:rPr>
        <w:t>The Prosci ADKAR Model</w:t>
      </w:r>
      <w:r>
        <w:t>. Available at: https://www.prosci.com/methodology/adkar (Accessed: 11 June 2026).</w:t>
      </w:r>
    </w:p>
    <w:p w14:paraId="66EA8802" w14:textId="77777777" w:rsidR="004672D8" w:rsidRPr="004672D8" w:rsidRDefault="004672D8" w:rsidP="004672D8">
      <w:pPr>
        <w:spacing w:after="100" w:line="360" w:lineRule="auto"/>
        <w:ind w:left="720" w:hanging="720"/>
      </w:pPr>
      <w:r>
        <w:t xml:space="preserve">Schein, E.H. (2010) </w:t>
      </w:r>
      <w:r>
        <w:rPr>
          <w:i/>
          <w:iCs/>
        </w:rPr>
        <w:t>Organizational culture and leadership</w:t>
      </w:r>
      <w:r>
        <w:t>. 4th edn. San Francisco, CA: Jossey-Bass.</w:t>
      </w:r>
    </w:p>
    <w:p w14:paraId="4E70B454" w14:textId="77777777" w:rsidR="00E56DFF" w:rsidRDefault="00D42BC7">
      <w:pPr>
        <w:spacing w:after="100" w:line="360" w:lineRule="auto"/>
        <w:ind w:left="720" w:hanging="720"/>
      </w:pPr>
      <w:r>
        <w:lastRenderedPageBreak/>
        <w:t xml:space="preserve">TechCrunch (2024) </w:t>
      </w:r>
      <w:r>
        <w:rPr>
          <w:i/>
          <w:iCs/>
        </w:rPr>
        <w:t>Rimac squeezes more power into its new all-electric hypercar Nevera R, and it only starts at $2.5 million</w:t>
      </w:r>
      <w:r>
        <w:t>. Available at: https://techcrunch.com/2024/08/16/rimac-squeezes-more-power-into-its-new-all-electric-hypercar-nevera-r-and-it-only-starts-at-2-5-million (Accessed: 18 July 2026).</w:t>
      </w:r>
    </w:p>
    <w:p w14:paraId="54C2E12B" w14:textId="77777777" w:rsidR="004672D8" w:rsidRPr="004672D8" w:rsidRDefault="004672D8" w:rsidP="004672D8">
      <w:pPr>
        <w:spacing w:after="100" w:line="360" w:lineRule="auto"/>
        <w:ind w:left="720" w:hanging="720"/>
      </w:pPr>
      <w:r>
        <w:t xml:space="preserve">Transport and Environment (2025) </w:t>
      </w:r>
      <w:r>
        <w:rPr>
          <w:i/>
          <w:iCs/>
        </w:rPr>
        <w:t>Mission accomplished: carmakers fulfill the 2024 ZEV mandate</w:t>
      </w:r>
      <w:r>
        <w:t>. Available at: https://www.transportenvironment.org/te-united-kingdom/articles/mission-accomplished-carmakers-fulfill-the-2024-zev-mandate (Accessed: 7 June 2026).</w:t>
      </w:r>
    </w:p>
    <w:p w14:paraId="5345029D" w14:textId="77777777" w:rsidR="004672D8" w:rsidRDefault="004672D8" w:rsidP="004672D8">
      <w:pPr>
        <w:spacing w:after="100" w:line="360" w:lineRule="auto"/>
        <w:ind w:left="720" w:hanging="720"/>
      </w:pPr>
      <w:r>
        <w:t xml:space="preserve">UK Government (2024) </w:t>
      </w:r>
      <w:r>
        <w:rPr>
          <w:i/>
          <w:iCs/>
        </w:rPr>
        <w:t>Pathway for zero emission vehicle transition by 2035 becomes law</w:t>
      </w:r>
      <w:r>
        <w:t>. Available at: https://www.gov.uk/government/news/pathway-for-zero-emission-vehicle-transition-by-2035-becomes-law (Accessed: 6 June 2026).</w:t>
      </w:r>
    </w:p>
    <w:p w14:paraId="36D61241" w14:textId="0F45B364" w:rsidR="008F44FA" w:rsidRPr="00086FAC" w:rsidRDefault="00086FAC" w:rsidP="00086FAC">
      <w:pPr>
        <w:spacing w:after="100" w:line="360" w:lineRule="auto"/>
        <w:ind w:left="720" w:hanging="720"/>
      </w:pPr>
      <w:r w:rsidRPr="00086FAC">
        <w:t>Yukl, G. and Gardner, W.L. (2020</w:t>
      </w:r>
      <w:r w:rsidRPr="00086FAC">
        <w:rPr>
          <w:i/>
          <w:iCs/>
        </w:rPr>
        <w:t xml:space="preserve">) Leadership in organizations. </w:t>
      </w:r>
      <w:r w:rsidRPr="00086FAC">
        <w:t xml:space="preserve">9th </w:t>
      </w:r>
      <w:proofErr w:type="spellStart"/>
      <w:r w:rsidRPr="00086FAC">
        <w:t>edn</w:t>
      </w:r>
      <w:proofErr w:type="spellEnd"/>
      <w:r w:rsidRPr="00086FAC">
        <w:t>. Harlow: Pearson Education.</w:t>
      </w:r>
    </w:p>
    <w:p w14:paraId="4D870F8B" w14:textId="77777777" w:rsidR="009E028E" w:rsidRPr="00BC6F57" w:rsidRDefault="009E028E" w:rsidP="00BC6F57">
      <w:pPr>
        <w:spacing w:before="60" w:after="200" w:line="360" w:lineRule="auto"/>
        <w:jc w:val="both"/>
        <w:rPr>
          <w:color w:val="000000" w:themeColor="text1"/>
        </w:rPr>
      </w:pPr>
    </w:p>
    <w:p w14:paraId="516C2FB8" w14:textId="77777777" w:rsidR="00352A48" w:rsidRPr="00DB45E0" w:rsidRDefault="00352A48" w:rsidP="00DB45E0">
      <w:pPr>
        <w:spacing w:before="60" w:after="200" w:line="360" w:lineRule="auto"/>
        <w:jc w:val="both"/>
        <w:rPr>
          <w:color w:val="000000" w:themeColor="text1"/>
        </w:rPr>
      </w:pPr>
    </w:p>
    <w:p w14:paraId="3E6F9915" w14:textId="77777777" w:rsidR="009C0ED8" w:rsidRPr="00DB45E0" w:rsidRDefault="009C0ED8" w:rsidP="00DB45E0">
      <w:pPr>
        <w:spacing w:line="360" w:lineRule="auto"/>
        <w:rPr>
          <w:color w:val="000000" w:themeColor="text1"/>
        </w:rPr>
      </w:pPr>
    </w:p>
    <w:sectPr w:rsidR="009C0ED8" w:rsidRPr="00DB45E0" w:rsidSect="00B37553">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41010" w14:textId="77777777" w:rsidR="00D42BC7" w:rsidRDefault="00D42BC7" w:rsidP="00B37553">
      <w:r>
        <w:separator/>
      </w:r>
    </w:p>
  </w:endnote>
  <w:endnote w:type="continuationSeparator" w:id="0">
    <w:p w14:paraId="2575F02F" w14:textId="77777777" w:rsidR="00D42BC7" w:rsidRDefault="00D42BC7" w:rsidP="00B37553">
      <w:r>
        <w:continuationSeparator/>
      </w:r>
    </w:p>
  </w:endnote>
  <w:endnote w:type="continuationNotice" w:id="1">
    <w:p w14:paraId="6DC3CC71" w14:textId="77777777" w:rsidR="00D42BC7" w:rsidRDefault="00D42B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5061356"/>
      <w:docPartObj>
        <w:docPartGallery w:val="Page Numbers (Bottom of Page)"/>
        <w:docPartUnique/>
      </w:docPartObj>
    </w:sdtPr>
    <w:sdtEndPr/>
    <w:sdtContent>
      <w:p w14:paraId="610B4B8F" w14:textId="77777777" w:rsidR="00B37553" w:rsidRDefault="00B37553">
        <w:pPr>
          <w:pStyle w:val="Footer"/>
          <w:jc w:val="center"/>
        </w:pPr>
        <w:r>
          <w:fldChar w:fldCharType="begin"/>
        </w:r>
        <w:r>
          <w:instrText>PAGE   \* MERGEFORMAT</w:instrText>
        </w:r>
        <w:r>
          <w:fldChar w:fldCharType="separate"/>
        </w:r>
        <w:r>
          <w:t>2</w:t>
        </w:r>
        <w:r>
          <w:fldChar w:fldCharType="end"/>
        </w:r>
      </w:p>
    </w:sdtContent>
  </w:sdt>
  <w:p w14:paraId="095E96D4" w14:textId="77777777" w:rsidR="00B37553" w:rsidRDefault="00B375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EF3B66" w14:textId="77777777" w:rsidR="00D42BC7" w:rsidRDefault="00D42BC7" w:rsidP="00B37553">
      <w:r>
        <w:separator/>
      </w:r>
    </w:p>
  </w:footnote>
  <w:footnote w:type="continuationSeparator" w:id="0">
    <w:p w14:paraId="3FC17EF0" w14:textId="77777777" w:rsidR="00D42BC7" w:rsidRDefault="00D42BC7" w:rsidP="00B37553">
      <w:r>
        <w:continuationSeparator/>
      </w:r>
    </w:p>
  </w:footnote>
  <w:footnote w:type="continuationNotice" w:id="1">
    <w:p w14:paraId="2645F345" w14:textId="77777777" w:rsidR="00D42BC7" w:rsidRDefault="00D42BC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6C4A63"/>
    <w:multiLevelType w:val="hybridMultilevel"/>
    <w:tmpl w:val="C37AD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9851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ED8"/>
    <w:rsid w:val="00004206"/>
    <w:rsid w:val="000119F8"/>
    <w:rsid w:val="00023D70"/>
    <w:rsid w:val="000275C5"/>
    <w:rsid w:val="00030714"/>
    <w:rsid w:val="00035AA7"/>
    <w:rsid w:val="00036A15"/>
    <w:rsid w:val="000803D7"/>
    <w:rsid w:val="00081D54"/>
    <w:rsid w:val="00086FAC"/>
    <w:rsid w:val="0009750C"/>
    <w:rsid w:val="000C377B"/>
    <w:rsid w:val="000E0078"/>
    <w:rsid w:val="000F7695"/>
    <w:rsid w:val="0010514F"/>
    <w:rsid w:val="00133477"/>
    <w:rsid w:val="00134608"/>
    <w:rsid w:val="00146404"/>
    <w:rsid w:val="00157CFF"/>
    <w:rsid w:val="001C0481"/>
    <w:rsid w:val="001E64E4"/>
    <w:rsid w:val="00240BA6"/>
    <w:rsid w:val="00240CBA"/>
    <w:rsid w:val="0024155B"/>
    <w:rsid w:val="00252C93"/>
    <w:rsid w:val="002B12CA"/>
    <w:rsid w:val="002B29FD"/>
    <w:rsid w:val="002B5AAF"/>
    <w:rsid w:val="002C7099"/>
    <w:rsid w:val="002D02CC"/>
    <w:rsid w:val="002D30D3"/>
    <w:rsid w:val="002F4D49"/>
    <w:rsid w:val="0030573C"/>
    <w:rsid w:val="003067BF"/>
    <w:rsid w:val="00321302"/>
    <w:rsid w:val="00331009"/>
    <w:rsid w:val="00352A48"/>
    <w:rsid w:val="003925A8"/>
    <w:rsid w:val="003A0CD6"/>
    <w:rsid w:val="003A2A91"/>
    <w:rsid w:val="003E37A0"/>
    <w:rsid w:val="00400D2F"/>
    <w:rsid w:val="004467F0"/>
    <w:rsid w:val="004672D8"/>
    <w:rsid w:val="004921D8"/>
    <w:rsid w:val="004A47FA"/>
    <w:rsid w:val="004C4409"/>
    <w:rsid w:val="004F680D"/>
    <w:rsid w:val="0059023F"/>
    <w:rsid w:val="005A3C8A"/>
    <w:rsid w:val="005C1906"/>
    <w:rsid w:val="00611455"/>
    <w:rsid w:val="00614C09"/>
    <w:rsid w:val="00620E47"/>
    <w:rsid w:val="00626067"/>
    <w:rsid w:val="0062660A"/>
    <w:rsid w:val="00694A60"/>
    <w:rsid w:val="00695992"/>
    <w:rsid w:val="006B042A"/>
    <w:rsid w:val="00701F59"/>
    <w:rsid w:val="00716E8D"/>
    <w:rsid w:val="007F063F"/>
    <w:rsid w:val="0080347F"/>
    <w:rsid w:val="008348DF"/>
    <w:rsid w:val="008521A1"/>
    <w:rsid w:val="00852B98"/>
    <w:rsid w:val="008B291D"/>
    <w:rsid w:val="008B6A4A"/>
    <w:rsid w:val="008E6D43"/>
    <w:rsid w:val="008F1D1E"/>
    <w:rsid w:val="008F2FDB"/>
    <w:rsid w:val="008F44FA"/>
    <w:rsid w:val="00953F00"/>
    <w:rsid w:val="009830B9"/>
    <w:rsid w:val="00986FBB"/>
    <w:rsid w:val="009C0ED8"/>
    <w:rsid w:val="009D6C1A"/>
    <w:rsid w:val="009E028E"/>
    <w:rsid w:val="00A20E65"/>
    <w:rsid w:val="00A54D4F"/>
    <w:rsid w:val="00A61C08"/>
    <w:rsid w:val="00A83645"/>
    <w:rsid w:val="00A8717B"/>
    <w:rsid w:val="00A976A7"/>
    <w:rsid w:val="00AB3B75"/>
    <w:rsid w:val="00AF43F5"/>
    <w:rsid w:val="00B13E3D"/>
    <w:rsid w:val="00B37553"/>
    <w:rsid w:val="00B429FB"/>
    <w:rsid w:val="00B62FFD"/>
    <w:rsid w:val="00BA5047"/>
    <w:rsid w:val="00BC25C6"/>
    <w:rsid w:val="00BC6F57"/>
    <w:rsid w:val="00BE51B6"/>
    <w:rsid w:val="00C13CD8"/>
    <w:rsid w:val="00C32206"/>
    <w:rsid w:val="00C7074F"/>
    <w:rsid w:val="00C94619"/>
    <w:rsid w:val="00D2714E"/>
    <w:rsid w:val="00D27D0D"/>
    <w:rsid w:val="00D35C31"/>
    <w:rsid w:val="00D42BC7"/>
    <w:rsid w:val="00D561D0"/>
    <w:rsid w:val="00DB45E0"/>
    <w:rsid w:val="00DF50B3"/>
    <w:rsid w:val="00E207F3"/>
    <w:rsid w:val="00E26197"/>
    <w:rsid w:val="00E3780E"/>
    <w:rsid w:val="00E40CCE"/>
    <w:rsid w:val="00E55180"/>
    <w:rsid w:val="00E56DFF"/>
    <w:rsid w:val="00E72FE0"/>
    <w:rsid w:val="00ED2D69"/>
    <w:rsid w:val="00ED661A"/>
    <w:rsid w:val="00EF34A4"/>
    <w:rsid w:val="00EF710D"/>
    <w:rsid w:val="00F02353"/>
    <w:rsid w:val="00F335FB"/>
    <w:rsid w:val="00F47823"/>
    <w:rsid w:val="00F662A3"/>
    <w:rsid w:val="00F91087"/>
    <w:rsid w:val="00FA0F36"/>
    <w:rsid w:val="00FE194C"/>
    <w:rsid w:val="00FF31D9"/>
    <w:rsid w:val="00FF3DC6"/>
    <w:rsid w:val="0D35CD3A"/>
    <w:rsid w:val="25902025"/>
    <w:rsid w:val="29208090"/>
    <w:rsid w:val="2B56B469"/>
    <w:rsid w:val="302CF2EE"/>
    <w:rsid w:val="5A36E249"/>
    <w:rsid w:val="72A1842C"/>
    <w:rsid w:val="73537FDC"/>
    <w:rsid w:val="7ECDAFC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FA895"/>
  <w15:chartTrackingRefBased/>
  <w15:docId w15:val="{6EDDB6F3-5168-4FA7-81DA-50868303C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0ED8"/>
    <w:pPr>
      <w:spacing w:after="0" w:line="24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9C0E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0E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0E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0E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0E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0ED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0ED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0ED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0ED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E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C0E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0E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0E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0E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0E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0E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0E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0ED8"/>
    <w:rPr>
      <w:rFonts w:eastAsiaTheme="majorEastAsia" w:cstheme="majorBidi"/>
      <w:color w:val="272727" w:themeColor="text1" w:themeTint="D8"/>
    </w:rPr>
  </w:style>
  <w:style w:type="paragraph" w:styleId="Title">
    <w:name w:val="Title"/>
    <w:basedOn w:val="Normal"/>
    <w:next w:val="Normal"/>
    <w:link w:val="TitleChar"/>
    <w:uiPriority w:val="10"/>
    <w:qFormat/>
    <w:rsid w:val="009C0ED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E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0E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0E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0ED8"/>
    <w:pPr>
      <w:spacing w:before="160"/>
      <w:jc w:val="center"/>
    </w:pPr>
    <w:rPr>
      <w:i/>
      <w:iCs/>
      <w:color w:val="404040" w:themeColor="text1" w:themeTint="BF"/>
    </w:rPr>
  </w:style>
  <w:style w:type="character" w:customStyle="1" w:styleId="QuoteChar">
    <w:name w:val="Quote Char"/>
    <w:basedOn w:val="DefaultParagraphFont"/>
    <w:link w:val="Quote"/>
    <w:uiPriority w:val="29"/>
    <w:rsid w:val="009C0ED8"/>
    <w:rPr>
      <w:i/>
      <w:iCs/>
      <w:color w:val="404040" w:themeColor="text1" w:themeTint="BF"/>
    </w:rPr>
  </w:style>
  <w:style w:type="paragraph" w:styleId="ListParagraph">
    <w:name w:val="List Paragraph"/>
    <w:basedOn w:val="Normal"/>
    <w:uiPriority w:val="34"/>
    <w:qFormat/>
    <w:rsid w:val="009C0ED8"/>
    <w:pPr>
      <w:ind w:left="720"/>
      <w:contextualSpacing/>
    </w:pPr>
  </w:style>
  <w:style w:type="character" w:styleId="IntenseEmphasis">
    <w:name w:val="Intense Emphasis"/>
    <w:basedOn w:val="DefaultParagraphFont"/>
    <w:uiPriority w:val="21"/>
    <w:qFormat/>
    <w:rsid w:val="009C0ED8"/>
    <w:rPr>
      <w:i/>
      <w:iCs/>
      <w:color w:val="0F4761" w:themeColor="accent1" w:themeShade="BF"/>
    </w:rPr>
  </w:style>
  <w:style w:type="paragraph" w:styleId="IntenseQuote">
    <w:name w:val="Intense Quote"/>
    <w:basedOn w:val="Normal"/>
    <w:next w:val="Normal"/>
    <w:link w:val="IntenseQuoteChar"/>
    <w:uiPriority w:val="30"/>
    <w:qFormat/>
    <w:rsid w:val="009C0E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0ED8"/>
    <w:rPr>
      <w:i/>
      <w:iCs/>
      <w:color w:val="0F4761" w:themeColor="accent1" w:themeShade="BF"/>
    </w:rPr>
  </w:style>
  <w:style w:type="character" w:styleId="IntenseReference">
    <w:name w:val="Intense Reference"/>
    <w:basedOn w:val="DefaultParagraphFont"/>
    <w:uiPriority w:val="32"/>
    <w:qFormat/>
    <w:rsid w:val="009C0ED8"/>
    <w:rPr>
      <w:b/>
      <w:bCs/>
      <w:smallCaps/>
      <w:color w:val="0F4761" w:themeColor="accent1" w:themeShade="BF"/>
      <w:spacing w:val="5"/>
    </w:rPr>
  </w:style>
  <w:style w:type="paragraph" w:styleId="Header">
    <w:name w:val="header"/>
    <w:basedOn w:val="Normal"/>
    <w:link w:val="HeaderChar"/>
    <w:uiPriority w:val="99"/>
    <w:unhideWhenUsed/>
    <w:rsid w:val="00B37553"/>
    <w:pPr>
      <w:tabs>
        <w:tab w:val="center" w:pos="4513"/>
        <w:tab w:val="right" w:pos="9026"/>
      </w:tabs>
    </w:pPr>
  </w:style>
  <w:style w:type="character" w:customStyle="1" w:styleId="HeaderChar">
    <w:name w:val="Header Char"/>
    <w:basedOn w:val="DefaultParagraphFont"/>
    <w:link w:val="Header"/>
    <w:uiPriority w:val="99"/>
    <w:rsid w:val="00B37553"/>
    <w:rPr>
      <w:rFonts w:ascii="Arial" w:eastAsia="Arial" w:hAnsi="Arial" w:cs="Arial"/>
      <w:kern w:val="0"/>
      <w:sz w:val="22"/>
      <w:szCs w:val="22"/>
      <w:lang w:eastAsia="en-GB"/>
      <w14:ligatures w14:val="none"/>
    </w:rPr>
  </w:style>
  <w:style w:type="paragraph" w:styleId="Footer">
    <w:name w:val="footer"/>
    <w:basedOn w:val="Normal"/>
    <w:link w:val="FooterChar"/>
    <w:uiPriority w:val="99"/>
    <w:unhideWhenUsed/>
    <w:rsid w:val="00B37553"/>
    <w:pPr>
      <w:tabs>
        <w:tab w:val="center" w:pos="4513"/>
        <w:tab w:val="right" w:pos="9026"/>
      </w:tabs>
    </w:pPr>
  </w:style>
  <w:style w:type="character" w:customStyle="1" w:styleId="FooterChar">
    <w:name w:val="Footer Char"/>
    <w:basedOn w:val="DefaultParagraphFont"/>
    <w:link w:val="Footer"/>
    <w:uiPriority w:val="99"/>
    <w:rsid w:val="00B37553"/>
    <w:rPr>
      <w:rFonts w:ascii="Arial" w:eastAsia="Arial" w:hAnsi="Arial" w:cs="Arial"/>
      <w:kern w:val="0"/>
      <w:sz w:val="22"/>
      <w:szCs w:val="22"/>
      <w:lang w:eastAsia="en-GB"/>
      <w14:ligatures w14:val="none"/>
    </w:rPr>
  </w:style>
  <w:style w:type="paragraph" w:styleId="TOCHeading">
    <w:name w:val="TOC Heading"/>
    <w:basedOn w:val="Heading1"/>
    <w:next w:val="Normal"/>
    <w:uiPriority w:val="39"/>
    <w:unhideWhenUsed/>
    <w:qFormat/>
    <w:rsid w:val="000119F8"/>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2C7099"/>
    <w:pPr>
      <w:tabs>
        <w:tab w:val="right" w:leader="dot" w:pos="9016"/>
      </w:tabs>
      <w:spacing w:after="100" w:line="360" w:lineRule="auto"/>
    </w:pPr>
  </w:style>
  <w:style w:type="paragraph" w:styleId="TOC2">
    <w:name w:val="toc 2"/>
    <w:basedOn w:val="Normal"/>
    <w:next w:val="Normal"/>
    <w:autoRedefine/>
    <w:uiPriority w:val="39"/>
    <w:unhideWhenUsed/>
    <w:rsid w:val="000119F8"/>
    <w:pPr>
      <w:spacing w:after="100"/>
      <w:ind w:left="220"/>
    </w:pPr>
  </w:style>
  <w:style w:type="paragraph" w:styleId="TOC3">
    <w:name w:val="toc 3"/>
    <w:basedOn w:val="Normal"/>
    <w:next w:val="Normal"/>
    <w:autoRedefine/>
    <w:uiPriority w:val="39"/>
    <w:unhideWhenUsed/>
    <w:rsid w:val="000119F8"/>
    <w:pPr>
      <w:spacing w:after="100"/>
      <w:ind w:left="440"/>
    </w:pPr>
  </w:style>
  <w:style w:type="character" w:styleId="Hyperlink">
    <w:name w:val="Hyperlink"/>
    <w:basedOn w:val="DefaultParagraphFont"/>
    <w:uiPriority w:val="99"/>
    <w:unhideWhenUsed/>
    <w:rsid w:val="000119F8"/>
    <w:rPr>
      <w:color w:val="467886" w:themeColor="hyperlink"/>
      <w:u w:val="single"/>
    </w:rPr>
  </w:style>
  <w:style w:type="character" w:styleId="UnresolvedMention">
    <w:name w:val="Unresolved Mention"/>
    <w:basedOn w:val="DefaultParagraphFont"/>
    <w:uiPriority w:val="99"/>
    <w:semiHidden/>
    <w:unhideWhenUsed/>
    <w:rsid w:val="00BE51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3681184">
      <w:bodyDiv w:val="1"/>
      <w:marLeft w:val="0"/>
      <w:marRight w:val="0"/>
      <w:marTop w:val="0"/>
      <w:marBottom w:val="0"/>
      <w:divBdr>
        <w:top w:val="none" w:sz="0" w:space="0" w:color="auto"/>
        <w:left w:val="none" w:sz="0" w:space="0" w:color="auto"/>
        <w:bottom w:val="none" w:sz="0" w:space="0" w:color="auto"/>
        <w:right w:val="none" w:sz="0" w:space="0" w:color="auto"/>
      </w:divBdr>
      <w:divsChild>
        <w:div w:id="992293878">
          <w:marLeft w:val="0"/>
          <w:marRight w:val="0"/>
          <w:marTop w:val="0"/>
          <w:marBottom w:val="0"/>
          <w:divBdr>
            <w:top w:val="none" w:sz="0" w:space="0" w:color="auto"/>
            <w:left w:val="none" w:sz="0" w:space="0" w:color="auto"/>
            <w:bottom w:val="none" w:sz="0" w:space="0" w:color="auto"/>
            <w:right w:val="none" w:sz="0" w:space="0" w:color="auto"/>
          </w:divBdr>
        </w:div>
        <w:div w:id="1025249092">
          <w:marLeft w:val="0"/>
          <w:marRight w:val="0"/>
          <w:marTop w:val="0"/>
          <w:marBottom w:val="0"/>
          <w:divBdr>
            <w:top w:val="none" w:sz="0" w:space="0" w:color="auto"/>
            <w:left w:val="none" w:sz="0" w:space="0" w:color="auto"/>
            <w:bottom w:val="none" w:sz="0" w:space="0" w:color="auto"/>
            <w:right w:val="none" w:sz="0" w:space="0" w:color="auto"/>
          </w:divBdr>
        </w:div>
        <w:div w:id="1855612772">
          <w:marLeft w:val="0"/>
          <w:marRight w:val="0"/>
          <w:marTop w:val="0"/>
          <w:marBottom w:val="0"/>
          <w:divBdr>
            <w:top w:val="none" w:sz="0" w:space="0" w:color="auto"/>
            <w:left w:val="none" w:sz="0" w:space="0" w:color="auto"/>
            <w:bottom w:val="none" w:sz="0" w:space="0" w:color="auto"/>
            <w:right w:val="none" w:sz="0" w:space="0" w:color="auto"/>
          </w:divBdr>
        </w:div>
      </w:divsChild>
    </w:div>
    <w:div w:id="1161237124">
      <w:bodyDiv w:val="1"/>
      <w:marLeft w:val="0"/>
      <w:marRight w:val="0"/>
      <w:marTop w:val="0"/>
      <w:marBottom w:val="0"/>
      <w:divBdr>
        <w:top w:val="none" w:sz="0" w:space="0" w:color="auto"/>
        <w:left w:val="none" w:sz="0" w:space="0" w:color="auto"/>
        <w:bottom w:val="none" w:sz="0" w:space="0" w:color="auto"/>
        <w:right w:val="none" w:sz="0" w:space="0" w:color="auto"/>
      </w:divBdr>
      <w:divsChild>
        <w:div w:id="644162278">
          <w:marLeft w:val="0"/>
          <w:marRight w:val="0"/>
          <w:marTop w:val="0"/>
          <w:marBottom w:val="0"/>
          <w:divBdr>
            <w:top w:val="none" w:sz="0" w:space="0" w:color="auto"/>
            <w:left w:val="none" w:sz="0" w:space="0" w:color="auto"/>
            <w:bottom w:val="none" w:sz="0" w:space="0" w:color="auto"/>
            <w:right w:val="none" w:sz="0" w:space="0" w:color="auto"/>
          </w:divBdr>
        </w:div>
        <w:div w:id="1631325307">
          <w:marLeft w:val="0"/>
          <w:marRight w:val="0"/>
          <w:marTop w:val="0"/>
          <w:marBottom w:val="0"/>
          <w:divBdr>
            <w:top w:val="none" w:sz="0" w:space="0" w:color="auto"/>
            <w:left w:val="none" w:sz="0" w:space="0" w:color="auto"/>
            <w:bottom w:val="none" w:sz="0" w:space="0" w:color="auto"/>
            <w:right w:val="none" w:sz="0" w:space="0" w:color="auto"/>
          </w:divBdr>
        </w:div>
      </w:divsChild>
    </w:div>
    <w:div w:id="1200582502">
      <w:bodyDiv w:val="1"/>
      <w:marLeft w:val="0"/>
      <w:marRight w:val="0"/>
      <w:marTop w:val="0"/>
      <w:marBottom w:val="0"/>
      <w:divBdr>
        <w:top w:val="none" w:sz="0" w:space="0" w:color="auto"/>
        <w:left w:val="none" w:sz="0" w:space="0" w:color="auto"/>
        <w:bottom w:val="none" w:sz="0" w:space="0" w:color="auto"/>
        <w:right w:val="none" w:sz="0" w:space="0" w:color="auto"/>
      </w:divBdr>
      <w:divsChild>
        <w:div w:id="202597222">
          <w:marLeft w:val="0"/>
          <w:marRight w:val="0"/>
          <w:marTop w:val="0"/>
          <w:marBottom w:val="0"/>
          <w:divBdr>
            <w:top w:val="none" w:sz="0" w:space="0" w:color="auto"/>
            <w:left w:val="none" w:sz="0" w:space="0" w:color="auto"/>
            <w:bottom w:val="none" w:sz="0" w:space="0" w:color="auto"/>
            <w:right w:val="none" w:sz="0" w:space="0" w:color="auto"/>
          </w:divBdr>
        </w:div>
        <w:div w:id="582303592">
          <w:marLeft w:val="0"/>
          <w:marRight w:val="0"/>
          <w:marTop w:val="0"/>
          <w:marBottom w:val="0"/>
          <w:divBdr>
            <w:top w:val="none" w:sz="0" w:space="0" w:color="auto"/>
            <w:left w:val="none" w:sz="0" w:space="0" w:color="auto"/>
            <w:bottom w:val="none" w:sz="0" w:space="0" w:color="auto"/>
            <w:right w:val="none" w:sz="0" w:space="0" w:color="auto"/>
          </w:divBdr>
        </w:div>
        <w:div w:id="1811432635">
          <w:marLeft w:val="0"/>
          <w:marRight w:val="0"/>
          <w:marTop w:val="0"/>
          <w:marBottom w:val="0"/>
          <w:divBdr>
            <w:top w:val="none" w:sz="0" w:space="0" w:color="auto"/>
            <w:left w:val="none" w:sz="0" w:space="0" w:color="auto"/>
            <w:bottom w:val="none" w:sz="0" w:space="0" w:color="auto"/>
            <w:right w:val="none" w:sz="0" w:space="0" w:color="auto"/>
          </w:divBdr>
        </w:div>
      </w:divsChild>
    </w:div>
    <w:div w:id="1321083852">
      <w:bodyDiv w:val="1"/>
      <w:marLeft w:val="0"/>
      <w:marRight w:val="0"/>
      <w:marTop w:val="0"/>
      <w:marBottom w:val="0"/>
      <w:divBdr>
        <w:top w:val="none" w:sz="0" w:space="0" w:color="auto"/>
        <w:left w:val="none" w:sz="0" w:space="0" w:color="auto"/>
        <w:bottom w:val="none" w:sz="0" w:space="0" w:color="auto"/>
        <w:right w:val="none" w:sz="0" w:space="0" w:color="auto"/>
      </w:divBdr>
      <w:divsChild>
        <w:div w:id="211163205">
          <w:marLeft w:val="0"/>
          <w:marRight w:val="0"/>
          <w:marTop w:val="0"/>
          <w:marBottom w:val="0"/>
          <w:divBdr>
            <w:top w:val="none" w:sz="0" w:space="0" w:color="auto"/>
            <w:left w:val="none" w:sz="0" w:space="0" w:color="auto"/>
            <w:bottom w:val="none" w:sz="0" w:space="0" w:color="auto"/>
            <w:right w:val="none" w:sz="0" w:space="0" w:color="auto"/>
          </w:divBdr>
        </w:div>
        <w:div w:id="7449578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0" ma:contentTypeDescription="Create a new document." ma:contentTypeScope="" ma:versionID="5787c81f38ad9ca613ac7109f56c8e3d">
  <xsd:schema xmlns:xsd="http://www.w3.org/2001/XMLSchema" xmlns:xs="http://www.w3.org/2001/XMLSchema" xmlns:p="http://schemas.microsoft.com/office/2006/metadata/properties" xmlns:ns3="a653a6be-78ee-4b80-ae82-fa43b262699b" targetNamespace="http://schemas.microsoft.com/office/2006/metadata/properties" ma:root="true" ma:fieldsID="8608a76d54831bd9dd341e2053ba72e4" ns3:_="">
    <xsd:import namespace="a653a6be-78ee-4b80-ae82-fa43b262699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6E7C1-38A5-42EE-B577-B92257E75A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1F0DBE-C7AD-4DE3-91A6-E6308684F626}">
  <ds:schemaRefs>
    <ds:schemaRef ds:uri="http://schemas.microsoft.com/office/2006/metadata/properties"/>
    <ds:schemaRef ds:uri="http://schemas.microsoft.com/office/infopath/2007/PartnerControls"/>
    <ds:schemaRef ds:uri="a653a6be-78ee-4b80-ae82-fa43b262699b"/>
  </ds:schemaRefs>
</ds:datastoreItem>
</file>

<file path=customXml/itemProps3.xml><?xml version="1.0" encoding="utf-8"?>
<ds:datastoreItem xmlns:ds="http://schemas.openxmlformats.org/officeDocument/2006/customXml" ds:itemID="{18D1B543-2991-488F-8888-8BA03488952D}">
  <ds:schemaRefs>
    <ds:schemaRef ds:uri="http://schemas.microsoft.com/sharepoint/v3/contenttype/forms"/>
  </ds:schemaRefs>
</ds:datastoreItem>
</file>

<file path=customXml/itemProps4.xml><?xml version="1.0" encoding="utf-8"?>
<ds:datastoreItem xmlns:ds="http://schemas.openxmlformats.org/officeDocument/2006/customXml" ds:itemID="{6357FF28-4E9A-4585-9995-AC96DE26D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6024</Words>
  <Characters>34339</Characters>
  <Application>Microsoft Office Word</Application>
  <DocSecurity>0</DocSecurity>
  <Lines>286</Lines>
  <Paragraphs>80</Paragraphs>
  <ScaleCrop>false</ScaleCrop>
  <Company/>
  <LinksUpToDate>false</LinksUpToDate>
  <CharactersWithSpaces>40283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Bianca-Mihaela Pletea (2323235)</dc:creator>
  <cp:keywords/>
  <dc:description/>
  <cp:lastModifiedBy>Bianca-Mihaela Pletea (2323235)</cp:lastModifiedBy>
  <cp:revision>2</cp:revision>
  <dcterms:created xsi:type="dcterms:W3CDTF">2026-07-19T13:54:00Z</dcterms:created>
  <dcterms:modified xsi:type="dcterms:W3CDTF">2026-07-19T13:54:00Z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