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2584" w:rsidRDefault="00521E9B">
      <w:r>
        <w:t>Ceri Thomas – 2205819</w:t>
      </w:r>
    </w:p>
    <w:p w:rsidR="00521E9B" w:rsidRDefault="003C578E">
      <w:r>
        <w:t>Independent Project – BMTP6015</w:t>
      </w:r>
    </w:p>
    <w:p w:rsidR="003C578E" w:rsidRDefault="003C578E">
      <w:r>
        <w:t>Tutor – Scott James</w:t>
      </w:r>
    </w:p>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E8536E" w:rsidRDefault="00E8536E"/>
    <w:p w:rsidR="001F3B78" w:rsidRDefault="001F3B78" w:rsidP="00E8536E">
      <w:pPr>
        <w:spacing w:before="100" w:beforeAutospacing="1" w:after="100" w:afterAutospacing="1" w:line="360" w:lineRule="auto"/>
        <w:outlineLvl w:val="2"/>
      </w:pPr>
    </w:p>
    <w:p w:rsidR="001F3B78" w:rsidRDefault="00222086" w:rsidP="00B00C95">
      <w:pPr>
        <w:spacing w:before="100" w:beforeAutospacing="1" w:after="100" w:afterAutospacing="1" w:line="240" w:lineRule="auto"/>
        <w:outlineLvl w:val="2"/>
        <w:rPr>
          <w:rFonts w:ascii="Arial" w:hAnsi="Arial" w:cs="Arial"/>
          <w:sz w:val="24"/>
          <w:szCs w:val="24"/>
        </w:rPr>
      </w:pPr>
      <w:r>
        <w:rPr>
          <w:rFonts w:ascii="Arial" w:hAnsi="Arial" w:cs="Arial"/>
          <w:sz w:val="24"/>
          <w:szCs w:val="24"/>
        </w:rPr>
        <w:lastRenderedPageBreak/>
        <w:t>Title</w:t>
      </w:r>
      <w:r w:rsidR="00C66569">
        <w:rPr>
          <w:rFonts w:ascii="Arial" w:hAnsi="Arial" w:cs="Arial"/>
          <w:sz w:val="24"/>
          <w:szCs w:val="24"/>
        </w:rPr>
        <w:t xml:space="preserve"> of Research…………………………………………………….</w:t>
      </w:r>
      <w:r>
        <w:rPr>
          <w:rFonts w:ascii="Arial" w:hAnsi="Arial" w:cs="Arial"/>
          <w:sz w:val="24"/>
          <w:szCs w:val="24"/>
        </w:rPr>
        <w:t>Page  1</w:t>
      </w:r>
    </w:p>
    <w:p w:rsidR="00222086" w:rsidRDefault="00222086" w:rsidP="00B00C95">
      <w:pPr>
        <w:spacing w:before="100" w:beforeAutospacing="1" w:after="100" w:afterAutospacing="1" w:line="240" w:lineRule="auto"/>
        <w:outlineLvl w:val="2"/>
        <w:rPr>
          <w:rFonts w:ascii="Arial" w:hAnsi="Arial" w:cs="Arial"/>
          <w:sz w:val="24"/>
          <w:szCs w:val="24"/>
        </w:rPr>
      </w:pPr>
      <w:r>
        <w:rPr>
          <w:rFonts w:ascii="Arial" w:hAnsi="Arial" w:cs="Arial"/>
          <w:sz w:val="24"/>
          <w:szCs w:val="24"/>
        </w:rPr>
        <w:t>Literature Revie</w:t>
      </w:r>
      <w:r w:rsidR="00C66569">
        <w:rPr>
          <w:rFonts w:ascii="Arial" w:hAnsi="Arial" w:cs="Arial"/>
          <w:sz w:val="24"/>
          <w:szCs w:val="24"/>
        </w:rPr>
        <w:t>w……………………………………………………Pages 2 – 8</w:t>
      </w:r>
    </w:p>
    <w:p w:rsidR="00222086" w:rsidRDefault="00222086" w:rsidP="00B00C95">
      <w:pPr>
        <w:spacing w:before="100" w:beforeAutospacing="1" w:after="100" w:afterAutospacing="1" w:line="240" w:lineRule="auto"/>
        <w:outlineLvl w:val="2"/>
        <w:rPr>
          <w:rFonts w:ascii="Arial" w:hAnsi="Arial" w:cs="Arial"/>
          <w:sz w:val="24"/>
          <w:szCs w:val="24"/>
        </w:rPr>
      </w:pPr>
      <w:r>
        <w:rPr>
          <w:rFonts w:ascii="Arial" w:hAnsi="Arial" w:cs="Arial"/>
          <w:sz w:val="24"/>
          <w:szCs w:val="24"/>
        </w:rPr>
        <w:t>Hypothesis…</w:t>
      </w:r>
      <w:r w:rsidR="00C66569">
        <w:rPr>
          <w:rFonts w:ascii="Arial" w:hAnsi="Arial" w:cs="Arial"/>
          <w:sz w:val="24"/>
          <w:szCs w:val="24"/>
        </w:rPr>
        <w:t>………………………………………………………...Page   9</w:t>
      </w:r>
    </w:p>
    <w:p w:rsidR="00222086" w:rsidRDefault="00222086" w:rsidP="00B00C95">
      <w:pPr>
        <w:spacing w:before="100" w:beforeAutospacing="1" w:after="100" w:afterAutospacing="1" w:line="240" w:lineRule="auto"/>
        <w:outlineLvl w:val="2"/>
        <w:rPr>
          <w:rFonts w:ascii="Arial" w:hAnsi="Arial" w:cs="Arial"/>
          <w:sz w:val="24"/>
          <w:szCs w:val="24"/>
        </w:rPr>
      </w:pPr>
      <w:r>
        <w:rPr>
          <w:rFonts w:ascii="Arial" w:hAnsi="Arial" w:cs="Arial"/>
          <w:sz w:val="24"/>
          <w:szCs w:val="24"/>
        </w:rPr>
        <w:t>Reference Li</w:t>
      </w:r>
      <w:r w:rsidR="00C66569">
        <w:rPr>
          <w:rFonts w:ascii="Arial" w:hAnsi="Arial" w:cs="Arial"/>
          <w:sz w:val="24"/>
          <w:szCs w:val="24"/>
        </w:rPr>
        <w:t>st……………………………………………………… Pages  10</w:t>
      </w:r>
      <w:r>
        <w:rPr>
          <w:rFonts w:ascii="Arial" w:hAnsi="Arial" w:cs="Arial"/>
          <w:sz w:val="24"/>
          <w:szCs w:val="24"/>
        </w:rPr>
        <w:t xml:space="preserve"> - </w:t>
      </w:r>
      <w:r w:rsidR="00C66569">
        <w:rPr>
          <w:rFonts w:ascii="Arial" w:hAnsi="Arial" w:cs="Arial"/>
          <w:sz w:val="24"/>
          <w:szCs w:val="24"/>
        </w:rPr>
        <w:t>13</w:t>
      </w:r>
    </w:p>
    <w:p w:rsidR="00B00C95" w:rsidRDefault="00B00C95" w:rsidP="00B00C95">
      <w:pPr>
        <w:spacing w:before="100" w:beforeAutospacing="1" w:after="100" w:afterAutospacing="1" w:line="240" w:lineRule="auto"/>
        <w:outlineLvl w:val="2"/>
        <w:rPr>
          <w:rFonts w:ascii="Arial" w:hAnsi="Arial" w:cs="Arial"/>
          <w:sz w:val="24"/>
          <w:szCs w:val="24"/>
        </w:rPr>
      </w:pPr>
    </w:p>
    <w:p w:rsidR="00B00C95" w:rsidRDefault="00B00C95" w:rsidP="00B00C95">
      <w:pPr>
        <w:spacing w:before="100" w:beforeAutospacing="1" w:after="100" w:afterAutospacing="1" w:line="240" w:lineRule="auto"/>
        <w:outlineLvl w:val="2"/>
        <w:rPr>
          <w:rFonts w:ascii="Arial" w:hAnsi="Arial" w:cs="Arial"/>
          <w:sz w:val="24"/>
          <w:szCs w:val="24"/>
        </w:rPr>
      </w:pPr>
    </w:p>
    <w:p w:rsidR="001F3B78" w:rsidRP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1F3B78" w:rsidRDefault="001F3B78" w:rsidP="00E8536E">
      <w:pPr>
        <w:spacing w:before="100" w:beforeAutospacing="1" w:after="100" w:afterAutospacing="1" w:line="360" w:lineRule="auto"/>
        <w:outlineLvl w:val="2"/>
        <w:rPr>
          <w:rFonts w:ascii="Arial" w:eastAsia="Times New Roman" w:hAnsi="Arial" w:cs="Arial"/>
          <w:b/>
          <w:bCs/>
          <w:sz w:val="24"/>
          <w:szCs w:val="24"/>
          <w:u w:val="single"/>
          <w:lang w:eastAsia="en-GB"/>
        </w:rPr>
      </w:pPr>
    </w:p>
    <w:p w:rsidR="00E8536E" w:rsidRDefault="00E8536E" w:rsidP="00E8536E">
      <w:pPr>
        <w:spacing w:before="100" w:beforeAutospacing="1" w:after="100" w:afterAutospacing="1" w:line="360" w:lineRule="auto"/>
        <w:outlineLvl w:val="2"/>
        <w:rPr>
          <w:rFonts w:ascii="Arial" w:eastAsia="Times New Roman" w:hAnsi="Arial" w:cs="Arial"/>
          <w:b/>
          <w:bCs/>
          <w:sz w:val="24"/>
          <w:szCs w:val="24"/>
          <w:lang w:eastAsia="en-GB"/>
        </w:rPr>
      </w:pPr>
      <w:r>
        <w:rPr>
          <w:rFonts w:ascii="Arial" w:eastAsia="Times New Roman" w:hAnsi="Arial" w:cs="Arial"/>
          <w:b/>
          <w:bCs/>
          <w:sz w:val="24"/>
          <w:szCs w:val="24"/>
          <w:u w:val="single"/>
          <w:lang w:eastAsia="en-GB"/>
        </w:rPr>
        <w:lastRenderedPageBreak/>
        <w:t>Assessing the Impact of Accessible Hospitality and Customer Services on Satisfaction and Engagement of Disabled Attendees at Events.</w:t>
      </w:r>
    </w:p>
    <w:p w:rsidR="00E8536E" w:rsidRDefault="00E8536E" w:rsidP="00E8536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The primary objective of this research is to examine how hospitality and customer service impact the satisfaction, engagement, and overall experience of disabled attendees at community events. To provide a thorough analysis, it is essential to first define the role of hospitality and customer service within the events industry, with a specific focus on accessibility standards and best practices for inclusivity. This study will evaluate the effectiveness of current industry practices in meeting the unique needs of disabled attendees, acknowledging both achievements and areas for improvement.</w:t>
      </w:r>
    </w:p>
    <w:p w:rsidR="00E8536E" w:rsidRDefault="00E8536E" w:rsidP="00E8536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A critical component of this work will involve identifying common challenges that disabled attendees face at events, such as physical accessibility barriers, communication obstacles, and inadequate staff training. Through a review of existing research and case studies, this project will assess how elements of customer service—such as clear communication, effective and inclusive staff training, accessible amenities, and flexibility in meeting individual needs, contribute to or detract from attendee satisfaction and engagement. By analysing these aspects, this study aims to highlight how accessible customer service practices can improve event outcomes, both in attendee experience and the event’s overall reputation.</w:t>
      </w:r>
    </w:p>
    <w:p w:rsidR="00E8536E" w:rsidRDefault="00E8536E" w:rsidP="00E8536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In addition, this research will explore potential future best practices and provide actionable recommendations to help event organizers enhance their hospitality services, ultimately fostering a more inclusive and supportive environment for disabled attendees and encouraging positive word-of-mouth and repeat attendance.</w:t>
      </w:r>
    </w:p>
    <w:p w:rsidR="00E8536E" w:rsidRDefault="00E8536E" w:rsidP="00E8536E">
      <w:pPr>
        <w:spacing w:before="100" w:beforeAutospacing="1" w:after="100" w:afterAutospacing="1" w:line="360" w:lineRule="auto"/>
        <w:rPr>
          <w:rFonts w:ascii="Arial" w:eastAsia="Times New Roman" w:hAnsi="Arial" w:cs="Arial"/>
          <w:sz w:val="24"/>
          <w:szCs w:val="24"/>
          <w:lang w:eastAsia="en-GB"/>
        </w:rPr>
      </w:pPr>
    </w:p>
    <w:p w:rsidR="00E8536E" w:rsidRDefault="00E8536E" w:rsidP="00E8536E">
      <w:pPr>
        <w:spacing w:before="100" w:beforeAutospacing="1" w:after="100" w:afterAutospacing="1" w:line="360" w:lineRule="auto"/>
        <w:rPr>
          <w:rFonts w:ascii="Arial" w:eastAsia="Times New Roman" w:hAnsi="Arial" w:cs="Arial"/>
          <w:sz w:val="24"/>
          <w:szCs w:val="24"/>
          <w:lang w:eastAsia="en-GB"/>
        </w:rPr>
      </w:pPr>
    </w:p>
    <w:p w:rsidR="00E8536E" w:rsidRDefault="00E8536E" w:rsidP="00E8536E">
      <w:pPr>
        <w:spacing w:before="100" w:beforeAutospacing="1" w:after="100" w:afterAutospacing="1" w:line="360" w:lineRule="auto"/>
        <w:rPr>
          <w:rFonts w:ascii="Arial" w:eastAsia="Times New Roman" w:hAnsi="Arial" w:cs="Arial"/>
          <w:sz w:val="24"/>
          <w:szCs w:val="24"/>
          <w:lang w:eastAsia="en-GB"/>
        </w:rPr>
      </w:pPr>
    </w:p>
    <w:p w:rsidR="00E8536E" w:rsidRDefault="00E8536E"/>
    <w:p w:rsidR="00E8536E" w:rsidRDefault="00E8536E"/>
    <w:p w:rsidR="00E8536E" w:rsidRDefault="00E8536E"/>
    <w:p w:rsidR="00E8536E" w:rsidRDefault="00E8536E">
      <w:pPr>
        <w:rPr>
          <w:rFonts w:ascii="Arial" w:hAnsi="Arial" w:cs="Arial"/>
          <w:b/>
          <w:sz w:val="24"/>
          <w:szCs w:val="24"/>
          <w:u w:val="single"/>
        </w:rPr>
      </w:pPr>
      <w:r w:rsidRPr="00E8536E">
        <w:rPr>
          <w:rFonts w:ascii="Arial" w:hAnsi="Arial" w:cs="Arial"/>
          <w:b/>
          <w:sz w:val="24"/>
          <w:szCs w:val="24"/>
          <w:u w:val="single"/>
        </w:rPr>
        <w:lastRenderedPageBreak/>
        <w:t>Literature Review</w:t>
      </w:r>
    </w:p>
    <w:p w:rsidR="00FF7CC3" w:rsidRDefault="00FF7CC3" w:rsidP="00E8536E">
      <w:pPr>
        <w:spacing w:line="360" w:lineRule="auto"/>
        <w:rPr>
          <w:rFonts w:ascii="Arial" w:hAnsi="Arial" w:cs="Arial"/>
          <w:b/>
          <w:sz w:val="24"/>
          <w:szCs w:val="24"/>
          <w:u w:val="single"/>
        </w:rPr>
      </w:pPr>
    </w:p>
    <w:p w:rsidR="00FF7CC3" w:rsidRDefault="00943892" w:rsidP="00E8536E">
      <w:pPr>
        <w:spacing w:line="360" w:lineRule="auto"/>
        <w:rPr>
          <w:rFonts w:ascii="Arial" w:hAnsi="Arial" w:cs="Arial"/>
          <w:b/>
          <w:sz w:val="24"/>
          <w:szCs w:val="24"/>
          <w:u w:val="single"/>
        </w:rPr>
      </w:pPr>
      <w:r>
        <w:rPr>
          <w:rFonts w:ascii="Arial" w:hAnsi="Arial" w:cs="Arial"/>
          <w:b/>
          <w:sz w:val="24"/>
          <w:szCs w:val="24"/>
          <w:u w:val="single"/>
        </w:rPr>
        <w:t xml:space="preserve">Understanding the role of </w:t>
      </w:r>
      <w:r w:rsidR="00FF7CC3" w:rsidRPr="00FF7CC3">
        <w:rPr>
          <w:rFonts w:ascii="Arial" w:hAnsi="Arial" w:cs="Arial"/>
          <w:b/>
          <w:sz w:val="24"/>
          <w:szCs w:val="24"/>
          <w:u w:val="single"/>
        </w:rPr>
        <w:t>Hospitality</w:t>
      </w:r>
    </w:p>
    <w:p w:rsidR="00E8536E" w:rsidRDefault="00E8536E" w:rsidP="00E8536E">
      <w:pPr>
        <w:spacing w:line="360" w:lineRule="auto"/>
        <w:rPr>
          <w:rFonts w:ascii="Arial" w:hAnsi="Arial" w:cs="Arial"/>
          <w:sz w:val="24"/>
          <w:szCs w:val="24"/>
        </w:rPr>
      </w:pPr>
      <w:r>
        <w:rPr>
          <w:rFonts w:ascii="Arial" w:hAnsi="Arial" w:cs="Arial"/>
          <w:sz w:val="24"/>
          <w:szCs w:val="24"/>
        </w:rPr>
        <w:t xml:space="preserve">To understand the role of hospitality and customer service in enhancing event experiences </w:t>
      </w:r>
      <w:r w:rsidR="000A5258">
        <w:rPr>
          <w:rFonts w:ascii="Arial" w:hAnsi="Arial" w:cs="Arial"/>
          <w:sz w:val="24"/>
          <w:szCs w:val="24"/>
        </w:rPr>
        <w:t>for disabled attendees, this review begins by exploring the foundational principles of these concepts and their implications in the event industry.</w:t>
      </w:r>
    </w:p>
    <w:p w:rsidR="000A5258" w:rsidRDefault="000A5258" w:rsidP="00E8536E">
      <w:pPr>
        <w:spacing w:line="360" w:lineRule="auto"/>
        <w:rPr>
          <w:rFonts w:ascii="Arial" w:hAnsi="Arial" w:cs="Arial"/>
          <w:sz w:val="24"/>
          <w:szCs w:val="24"/>
        </w:rPr>
      </w:pPr>
      <w:r>
        <w:rPr>
          <w:rFonts w:ascii="Arial" w:hAnsi="Arial" w:cs="Arial"/>
          <w:sz w:val="24"/>
          <w:szCs w:val="24"/>
        </w:rPr>
        <w:t>The roots of hospitality run deep, with the term itself derived from the Latin hospes, meaning “host, visitor or stranger” (EHL, 2023).</w:t>
      </w:r>
    </w:p>
    <w:p w:rsidR="000A5258" w:rsidRDefault="000A5258" w:rsidP="00E8536E">
      <w:pPr>
        <w:spacing w:line="360" w:lineRule="auto"/>
        <w:rPr>
          <w:rFonts w:ascii="Arial" w:hAnsi="Arial" w:cs="Arial"/>
          <w:sz w:val="24"/>
          <w:szCs w:val="24"/>
        </w:rPr>
      </w:pPr>
      <w:r>
        <w:rPr>
          <w:rFonts w:ascii="Arial" w:hAnsi="Arial" w:cs="Arial"/>
          <w:sz w:val="24"/>
          <w:szCs w:val="24"/>
        </w:rPr>
        <w:t>Historically, hospitality has involved welcoming and entertaining guests, while customer service is more directly focussed on meeting the needs of customers.  Both are essential to creating positive event experiences, though each requires distinct approaches.  For example, hospitality emphasises anticipating guests’ needs and creating a warm, welcoming atmosphere, whilst customer services is often about solving problems and adapting to specific requests (Le Roches Education, 2022).</w:t>
      </w:r>
    </w:p>
    <w:p w:rsidR="000A5258" w:rsidRDefault="000A5258" w:rsidP="00E8536E">
      <w:pPr>
        <w:spacing w:line="360" w:lineRule="auto"/>
        <w:rPr>
          <w:rFonts w:ascii="Arial" w:hAnsi="Arial" w:cs="Arial"/>
          <w:sz w:val="24"/>
          <w:szCs w:val="24"/>
        </w:rPr>
      </w:pPr>
      <w:r>
        <w:rPr>
          <w:rFonts w:ascii="Arial" w:hAnsi="Arial" w:cs="Arial"/>
          <w:sz w:val="24"/>
          <w:szCs w:val="24"/>
        </w:rPr>
        <w:t>Understanding these roles allows businesses to offer high quality, tailored experiences</w:t>
      </w:r>
      <w:r w:rsidR="00934A76">
        <w:rPr>
          <w:rFonts w:ascii="Arial" w:hAnsi="Arial" w:cs="Arial"/>
          <w:sz w:val="24"/>
          <w:szCs w:val="24"/>
        </w:rPr>
        <w:t xml:space="preserve"> that benefit both guests and customers.</w:t>
      </w:r>
    </w:p>
    <w:p w:rsidR="00934A76" w:rsidRDefault="00934A76" w:rsidP="00E8536E">
      <w:pPr>
        <w:spacing w:line="360" w:lineRule="auto"/>
        <w:rPr>
          <w:rFonts w:ascii="Arial" w:hAnsi="Arial" w:cs="Arial"/>
          <w:sz w:val="24"/>
          <w:szCs w:val="24"/>
        </w:rPr>
      </w:pPr>
      <w:r>
        <w:rPr>
          <w:rFonts w:ascii="Arial" w:hAnsi="Arial" w:cs="Arial"/>
          <w:sz w:val="24"/>
          <w:szCs w:val="24"/>
        </w:rPr>
        <w:t>The historical context of hospitality reveals that hosting and caring for visitors is a long standing part of human culture, evolving with societal and technological advancements while upholding the core principles like kindness, generosity and respect (Russell, J., 2023).  These values remain relevant in today’s hospitality and events industries, especially as inclusivity has become a growing priority.  With increased awareness of accessibility standards, events now have the opportunity to create spaces that are welcoming to all, emphasising respect and equity</w:t>
      </w:r>
      <w:proofErr w:type="gramStart"/>
      <w:r>
        <w:rPr>
          <w:rFonts w:ascii="Arial" w:hAnsi="Arial" w:cs="Arial"/>
          <w:sz w:val="24"/>
          <w:szCs w:val="24"/>
        </w:rPr>
        <w:t>.(</w:t>
      </w:r>
      <w:proofErr w:type="gramEnd"/>
      <w:r>
        <w:rPr>
          <w:rFonts w:ascii="Arial" w:hAnsi="Arial" w:cs="Arial"/>
          <w:sz w:val="24"/>
          <w:szCs w:val="24"/>
        </w:rPr>
        <w:t>add ref).</w:t>
      </w:r>
    </w:p>
    <w:p w:rsidR="00934A76" w:rsidRDefault="00934A76" w:rsidP="00E8536E">
      <w:pPr>
        <w:spacing w:line="360" w:lineRule="auto"/>
        <w:rPr>
          <w:rFonts w:ascii="Arial" w:hAnsi="Arial" w:cs="Arial"/>
          <w:sz w:val="24"/>
          <w:szCs w:val="24"/>
        </w:rPr>
      </w:pPr>
      <w:r>
        <w:rPr>
          <w:rFonts w:ascii="Arial" w:hAnsi="Arial" w:cs="Arial"/>
          <w:sz w:val="24"/>
          <w:szCs w:val="24"/>
        </w:rPr>
        <w:t>In ‘The Practical Guide to Achieving Customer Satisfaction in Events and Hotels’, Berners and Martin (2022) highlight that providing exceptional hospitality is key to ensuring memorable event experiences, especially for attendees with disabilities.  They argue that high quality customer service fosters an inclusive, welcoming environment that enhances satisfaction and encourages repeat attendance.  This proactive approach to hospitality focuses on consistently prioritising guest needs, thus building positive perceptions and fostering long term engagement.  This perspective is particularly relevant</w:t>
      </w:r>
      <w:r w:rsidR="00C93529">
        <w:rPr>
          <w:rFonts w:ascii="Arial" w:hAnsi="Arial" w:cs="Arial"/>
          <w:sz w:val="24"/>
          <w:szCs w:val="24"/>
        </w:rPr>
        <w:t xml:space="preserve"> for event organisers seeking to improve </w:t>
      </w:r>
      <w:r w:rsidR="00C93529">
        <w:rPr>
          <w:rFonts w:ascii="Arial" w:hAnsi="Arial" w:cs="Arial"/>
          <w:sz w:val="24"/>
          <w:szCs w:val="24"/>
        </w:rPr>
        <w:lastRenderedPageBreak/>
        <w:t xml:space="preserve">accessibility, as </w:t>
      </w:r>
      <w:r w:rsidR="00496098">
        <w:rPr>
          <w:rFonts w:ascii="Arial" w:hAnsi="Arial" w:cs="Arial"/>
          <w:sz w:val="24"/>
          <w:szCs w:val="24"/>
        </w:rPr>
        <w:t>(well rounded) hospitality can significantly improve disabled attendees’ experiences and overall event success.</w:t>
      </w:r>
    </w:p>
    <w:p w:rsidR="00496098" w:rsidRDefault="00496098" w:rsidP="00E8536E">
      <w:pPr>
        <w:spacing w:line="360" w:lineRule="auto"/>
        <w:rPr>
          <w:rFonts w:ascii="Arial" w:hAnsi="Arial" w:cs="Arial"/>
          <w:sz w:val="24"/>
          <w:szCs w:val="24"/>
        </w:rPr>
      </w:pPr>
      <w:r>
        <w:rPr>
          <w:rFonts w:ascii="Arial" w:hAnsi="Arial" w:cs="Arial"/>
          <w:sz w:val="24"/>
          <w:szCs w:val="24"/>
        </w:rPr>
        <w:t>While many industry experts agree on the importance of hospitality and customer services, some argue that it cannot fully substitute for other essen</w:t>
      </w:r>
      <w:r w:rsidR="00635F9A">
        <w:rPr>
          <w:rFonts w:ascii="Arial" w:hAnsi="Arial" w:cs="Arial"/>
          <w:sz w:val="24"/>
          <w:szCs w:val="24"/>
        </w:rPr>
        <w:t>tial aspects o</w:t>
      </w:r>
      <w:r w:rsidR="00FF7CC3">
        <w:rPr>
          <w:rFonts w:ascii="Arial" w:hAnsi="Arial" w:cs="Arial"/>
          <w:sz w:val="24"/>
          <w:szCs w:val="24"/>
        </w:rPr>
        <w:t>f event planning, Goldblatt,</w:t>
      </w:r>
      <w:r w:rsidR="00635F9A">
        <w:rPr>
          <w:rFonts w:ascii="Arial" w:hAnsi="Arial" w:cs="Arial"/>
          <w:sz w:val="24"/>
          <w:szCs w:val="24"/>
        </w:rPr>
        <w:t xml:space="preserve"> </w:t>
      </w:r>
      <w:r w:rsidR="00FF7CC3">
        <w:rPr>
          <w:rFonts w:ascii="Arial" w:hAnsi="Arial" w:cs="Arial"/>
          <w:sz w:val="24"/>
          <w:szCs w:val="24"/>
        </w:rPr>
        <w:t>(</w:t>
      </w:r>
      <w:r w:rsidR="00635F9A">
        <w:rPr>
          <w:rFonts w:ascii="Arial" w:hAnsi="Arial" w:cs="Arial"/>
          <w:sz w:val="24"/>
          <w:szCs w:val="24"/>
        </w:rPr>
        <w:t>2011</w:t>
      </w:r>
      <w:r w:rsidR="00FF7CC3">
        <w:rPr>
          <w:rFonts w:ascii="Arial" w:hAnsi="Arial" w:cs="Arial"/>
          <w:sz w:val="24"/>
          <w:szCs w:val="24"/>
        </w:rPr>
        <w:t>)</w:t>
      </w:r>
      <w:r>
        <w:rPr>
          <w:rFonts w:ascii="Arial" w:hAnsi="Arial" w:cs="Arial"/>
          <w:sz w:val="24"/>
          <w:szCs w:val="24"/>
        </w:rPr>
        <w:t>, for example, asserts that no amount of exceptional hospitality can make up for deficiencies in event content or logistics.  This review considers such counter arguments to provide a balanced view, acknowledging that hospitality should work alongside strong event content and effective operations.  Addressing these perspectives is essential in understanding the nuanced role of hospitality in the broader context of event success.</w:t>
      </w:r>
    </w:p>
    <w:p w:rsidR="00496098" w:rsidRDefault="00496098" w:rsidP="00E8536E">
      <w:pPr>
        <w:spacing w:line="360" w:lineRule="auto"/>
        <w:rPr>
          <w:rFonts w:ascii="Arial" w:hAnsi="Arial" w:cs="Arial"/>
          <w:sz w:val="24"/>
          <w:szCs w:val="24"/>
        </w:rPr>
      </w:pPr>
      <w:r>
        <w:rPr>
          <w:rFonts w:ascii="Arial" w:hAnsi="Arial" w:cs="Arial"/>
          <w:sz w:val="24"/>
          <w:szCs w:val="24"/>
        </w:rPr>
        <w:t>A significant portion of research underscores that well executed customer service can have a lasting impact on attendee engagement and overall satisfaction (Tracey, J.B., 2023).  Tracey’s publication, ‘Service is Life’, which quotes the esteemed hotelier E.M. Statler’s belief that “the one who progresses….gives his fellow human beings a little more, a little better service” (The Statler Foundation, 2022)</w:t>
      </w:r>
      <w:r w:rsidR="00B14503">
        <w:rPr>
          <w:rFonts w:ascii="Arial" w:hAnsi="Arial" w:cs="Arial"/>
          <w:sz w:val="24"/>
          <w:szCs w:val="24"/>
        </w:rPr>
        <w:t xml:space="preserve"> reinforces the concept that excellence in hospitality and customer service benefits both attendees and the business.  Such dedication to service also contributes to </w:t>
      </w:r>
      <w:r w:rsidR="00A92007">
        <w:rPr>
          <w:rFonts w:ascii="Arial" w:hAnsi="Arial" w:cs="Arial"/>
          <w:sz w:val="24"/>
          <w:szCs w:val="24"/>
        </w:rPr>
        <w:t>event word</w:t>
      </w:r>
      <w:r w:rsidR="00635F9A">
        <w:rPr>
          <w:rFonts w:ascii="Arial" w:hAnsi="Arial" w:cs="Arial"/>
          <w:sz w:val="24"/>
          <w:szCs w:val="24"/>
        </w:rPr>
        <w:t xml:space="preserve"> of </w:t>
      </w:r>
      <w:r w:rsidR="00B14503">
        <w:rPr>
          <w:rFonts w:ascii="Arial" w:hAnsi="Arial" w:cs="Arial"/>
          <w:sz w:val="24"/>
          <w:szCs w:val="24"/>
        </w:rPr>
        <w:t>mouth recommendations.</w:t>
      </w:r>
    </w:p>
    <w:p w:rsidR="00FF7CC3" w:rsidRDefault="00FF7CC3" w:rsidP="00E8536E">
      <w:pPr>
        <w:spacing w:line="360" w:lineRule="auto"/>
        <w:rPr>
          <w:rFonts w:ascii="Arial" w:hAnsi="Arial" w:cs="Arial"/>
          <w:sz w:val="24"/>
          <w:szCs w:val="24"/>
        </w:rPr>
      </w:pPr>
      <w:r w:rsidRPr="00FF7CC3">
        <w:rPr>
          <w:rFonts w:ascii="Arial" w:hAnsi="Arial" w:cs="Arial"/>
          <w:b/>
          <w:sz w:val="24"/>
          <w:szCs w:val="24"/>
          <w:u w:val="single"/>
        </w:rPr>
        <w:t xml:space="preserve">What is Disability and </w:t>
      </w:r>
      <w:r w:rsidR="00943892" w:rsidRPr="00FF7CC3">
        <w:rPr>
          <w:rFonts w:ascii="Arial" w:hAnsi="Arial" w:cs="Arial"/>
          <w:b/>
          <w:sz w:val="24"/>
          <w:szCs w:val="24"/>
          <w:u w:val="single"/>
        </w:rPr>
        <w:t>how</w:t>
      </w:r>
      <w:r w:rsidRPr="00FF7CC3">
        <w:rPr>
          <w:rFonts w:ascii="Arial" w:hAnsi="Arial" w:cs="Arial"/>
          <w:b/>
          <w:sz w:val="24"/>
          <w:szCs w:val="24"/>
          <w:u w:val="single"/>
        </w:rPr>
        <w:t xml:space="preserve"> does it affect Engagement?</w:t>
      </w:r>
    </w:p>
    <w:p w:rsidR="00553178" w:rsidRDefault="00FF7CC3" w:rsidP="00E8536E">
      <w:pPr>
        <w:spacing w:line="360" w:lineRule="auto"/>
        <w:rPr>
          <w:rFonts w:ascii="Arial" w:hAnsi="Arial" w:cs="Arial"/>
          <w:sz w:val="24"/>
          <w:szCs w:val="24"/>
        </w:rPr>
      </w:pPr>
      <w:r>
        <w:rPr>
          <w:rFonts w:ascii="Arial" w:hAnsi="Arial" w:cs="Arial"/>
          <w:sz w:val="24"/>
          <w:szCs w:val="24"/>
        </w:rPr>
        <w:t>N</w:t>
      </w:r>
      <w:r w:rsidR="00B14503">
        <w:rPr>
          <w:rFonts w:ascii="Arial" w:hAnsi="Arial" w:cs="Arial"/>
          <w:sz w:val="24"/>
          <w:szCs w:val="24"/>
        </w:rPr>
        <w:t xml:space="preserve">early 1.6 million people </w:t>
      </w:r>
      <w:r>
        <w:rPr>
          <w:rFonts w:ascii="Arial" w:hAnsi="Arial" w:cs="Arial"/>
          <w:sz w:val="24"/>
          <w:szCs w:val="24"/>
        </w:rPr>
        <w:t xml:space="preserve">are </w:t>
      </w:r>
      <w:r w:rsidR="00B14503">
        <w:rPr>
          <w:rFonts w:ascii="Arial" w:hAnsi="Arial" w:cs="Arial"/>
          <w:sz w:val="24"/>
          <w:szCs w:val="24"/>
        </w:rPr>
        <w:t>living with disabilities in the UK, almost a quarter of the population (Kirk-Wade, E., Wong, H., and Steibal, S., 2</w:t>
      </w:r>
      <w:r w:rsidR="00553178">
        <w:rPr>
          <w:rFonts w:ascii="Arial" w:hAnsi="Arial" w:cs="Arial"/>
          <w:sz w:val="24"/>
          <w:szCs w:val="24"/>
        </w:rPr>
        <w:t xml:space="preserve">024).  The accessibility challenges faced by people with disabilities vary according to the type of service </w:t>
      </w:r>
      <w:r w:rsidR="00981969">
        <w:rPr>
          <w:rFonts w:ascii="Arial" w:hAnsi="Arial" w:cs="Arial"/>
          <w:sz w:val="24"/>
          <w:szCs w:val="24"/>
        </w:rPr>
        <w:t xml:space="preserve">and specific barriers involved (Coleman, C., 2024). </w:t>
      </w:r>
      <w:r w:rsidR="00553178">
        <w:rPr>
          <w:rFonts w:ascii="Arial" w:hAnsi="Arial" w:cs="Arial"/>
          <w:sz w:val="24"/>
          <w:szCs w:val="24"/>
        </w:rPr>
        <w:t xml:space="preserve"> According to the World Health Organisation (WHO), disability is often created by environmental barriers rather than impairments themselves.  Barriers can include inaccessible physical spaces, limited access to assistive technology, negative social attitudes, restrictive policies that exclude people with health conditions from fully participating in all aspects of life (WHO, 2022).</w:t>
      </w:r>
    </w:p>
    <w:p w:rsidR="00B14503" w:rsidRDefault="00553178" w:rsidP="00E8536E">
      <w:pPr>
        <w:spacing w:line="360" w:lineRule="auto"/>
        <w:rPr>
          <w:rFonts w:ascii="Arial" w:hAnsi="Arial" w:cs="Arial"/>
          <w:sz w:val="24"/>
          <w:szCs w:val="24"/>
        </w:rPr>
      </w:pPr>
      <w:r>
        <w:rPr>
          <w:rFonts w:ascii="Arial" w:hAnsi="Arial" w:cs="Arial"/>
          <w:sz w:val="24"/>
          <w:szCs w:val="24"/>
        </w:rPr>
        <w:t>The U.S. Centres for Disease Control and P</w:t>
      </w:r>
      <w:r w:rsidR="00981969">
        <w:rPr>
          <w:rFonts w:ascii="Arial" w:hAnsi="Arial" w:cs="Arial"/>
          <w:sz w:val="24"/>
          <w:szCs w:val="24"/>
        </w:rPr>
        <w:t>revention (CDC) highlights several</w:t>
      </w:r>
      <w:r>
        <w:rPr>
          <w:rFonts w:ascii="Arial" w:hAnsi="Arial" w:cs="Arial"/>
          <w:sz w:val="24"/>
          <w:szCs w:val="24"/>
        </w:rPr>
        <w:t xml:space="preserve"> common types of barriers that people with disabilities often encounter.  These include attitudinal barriers, such as stereotyping or discrimination, communication barriers, which can limit access for those with visual or cognitive impairments; Policy </w:t>
      </w:r>
      <w:r>
        <w:rPr>
          <w:rFonts w:ascii="Arial" w:hAnsi="Arial" w:cs="Arial"/>
          <w:sz w:val="24"/>
          <w:szCs w:val="24"/>
        </w:rPr>
        <w:lastRenderedPageBreak/>
        <w:t>barriers can arise</w:t>
      </w:r>
      <w:r w:rsidR="00981969">
        <w:rPr>
          <w:rFonts w:ascii="Arial" w:hAnsi="Arial" w:cs="Arial"/>
          <w:sz w:val="24"/>
          <w:szCs w:val="24"/>
        </w:rPr>
        <w:t xml:space="preserve"> from weak enforcement of accessibility law.  Additionally, social and transportation barriers restrict individuals from leading independent lives due to systemic conditions and inadequ</w:t>
      </w:r>
      <w:r w:rsidR="00197FB1">
        <w:rPr>
          <w:rFonts w:ascii="Arial" w:hAnsi="Arial" w:cs="Arial"/>
          <w:sz w:val="24"/>
          <w:szCs w:val="24"/>
        </w:rPr>
        <w:t>ate transport options (CDC, 2024</w:t>
      </w:r>
      <w:r w:rsidR="00981969">
        <w:rPr>
          <w:rFonts w:ascii="Arial" w:hAnsi="Arial" w:cs="Arial"/>
          <w:sz w:val="24"/>
          <w:szCs w:val="24"/>
        </w:rPr>
        <w:t>).  Further, research by the UK’s Office for National Statistics (ONS) confirms that people with disabilities in the UK experience similar barriers, including issues with physical layouts, online accessibility, and service processes.  These barriers often require extensive preparation and adaption, which could have financial, emotional and physical costs.  The ONS also found that individuals with invisible disabilities sometimes avoid identifying as disabled to escape negative stereotypes, de</w:t>
      </w:r>
      <w:r w:rsidR="00197FB1">
        <w:rPr>
          <w:rFonts w:ascii="Arial" w:hAnsi="Arial" w:cs="Arial"/>
          <w:sz w:val="24"/>
          <w:szCs w:val="24"/>
        </w:rPr>
        <w:t>spite needing support (ONS, 2021</w:t>
      </w:r>
      <w:r w:rsidR="00981969">
        <w:rPr>
          <w:rFonts w:ascii="Arial" w:hAnsi="Arial" w:cs="Arial"/>
          <w:sz w:val="24"/>
          <w:szCs w:val="24"/>
        </w:rPr>
        <w:t>).</w:t>
      </w:r>
      <w:r w:rsidR="00125D43">
        <w:rPr>
          <w:rFonts w:ascii="Arial" w:hAnsi="Arial" w:cs="Arial"/>
          <w:sz w:val="24"/>
          <w:szCs w:val="24"/>
        </w:rPr>
        <w:t xml:space="preserve">  T</w:t>
      </w:r>
      <w:r w:rsidR="00B14503">
        <w:rPr>
          <w:rFonts w:ascii="Arial" w:hAnsi="Arial" w:cs="Arial"/>
          <w:sz w:val="24"/>
          <w:szCs w:val="24"/>
        </w:rPr>
        <w:t>he need for accessible event services</w:t>
      </w:r>
      <w:r w:rsidR="00125D43">
        <w:rPr>
          <w:rFonts w:ascii="Arial" w:hAnsi="Arial" w:cs="Arial"/>
          <w:sz w:val="24"/>
          <w:szCs w:val="24"/>
        </w:rPr>
        <w:t xml:space="preserve"> then,</w:t>
      </w:r>
      <w:r w:rsidR="00B14503">
        <w:rPr>
          <w:rFonts w:ascii="Arial" w:hAnsi="Arial" w:cs="Arial"/>
          <w:sz w:val="24"/>
          <w:szCs w:val="24"/>
        </w:rPr>
        <w:t xml:space="preserve"> </w:t>
      </w:r>
      <w:r w:rsidR="00981969">
        <w:rPr>
          <w:rFonts w:ascii="Arial" w:hAnsi="Arial" w:cs="Arial"/>
          <w:sz w:val="24"/>
          <w:szCs w:val="24"/>
        </w:rPr>
        <w:t xml:space="preserve">is clear.  </w:t>
      </w:r>
      <w:r w:rsidR="00B14503">
        <w:rPr>
          <w:rFonts w:ascii="Arial" w:hAnsi="Arial" w:cs="Arial"/>
          <w:sz w:val="24"/>
          <w:szCs w:val="24"/>
        </w:rPr>
        <w:t>Under the Equality Act 2010, service providers, including those in the event industry, must make “reasonable adjustments”</w:t>
      </w:r>
      <w:r w:rsidR="00357E1E">
        <w:rPr>
          <w:rFonts w:ascii="Arial" w:hAnsi="Arial" w:cs="Arial"/>
          <w:sz w:val="24"/>
          <w:szCs w:val="24"/>
        </w:rPr>
        <w:t xml:space="preserve"> to accommodate disabled individuals (Social Care Institute for Excellence n.d.).  This legal obligation establishes a foundation for inclusivity in hospitality and customer service, guiding industry toward best practices that foster equitable event e</w:t>
      </w:r>
      <w:r w:rsidR="00125D43">
        <w:rPr>
          <w:rFonts w:ascii="Arial" w:hAnsi="Arial" w:cs="Arial"/>
          <w:sz w:val="24"/>
          <w:szCs w:val="24"/>
        </w:rPr>
        <w:t>xperiences.</w:t>
      </w:r>
    </w:p>
    <w:p w:rsidR="009D66A6" w:rsidRDefault="009D66A6" w:rsidP="00E8536E">
      <w:pPr>
        <w:spacing w:line="360" w:lineRule="auto"/>
        <w:rPr>
          <w:rFonts w:ascii="Arial" w:hAnsi="Arial" w:cs="Arial"/>
          <w:sz w:val="24"/>
          <w:szCs w:val="24"/>
        </w:rPr>
      </w:pPr>
      <w:r>
        <w:rPr>
          <w:rFonts w:ascii="Arial" w:hAnsi="Arial" w:cs="Arial"/>
          <w:sz w:val="24"/>
          <w:szCs w:val="24"/>
        </w:rPr>
        <w:t xml:space="preserve">Changing the structure of buildings and transport services are often out of the Event Organisers’ </w:t>
      </w:r>
      <w:r w:rsidR="00221677">
        <w:rPr>
          <w:rFonts w:ascii="Arial" w:hAnsi="Arial" w:cs="Arial"/>
          <w:sz w:val="24"/>
          <w:szCs w:val="24"/>
        </w:rPr>
        <w:t>control, however, is it possible they can change the perception of disabled people and influence policy?  Tackling perceptions may be an achievable and evidenced based starting point for organisers committed to accessibility and inclusion, ultimately paving the way for deeper c</w:t>
      </w:r>
      <w:r w:rsidR="00197FB1">
        <w:rPr>
          <w:rFonts w:ascii="Arial" w:hAnsi="Arial" w:cs="Arial"/>
          <w:sz w:val="24"/>
          <w:szCs w:val="24"/>
        </w:rPr>
        <w:t>hanges across the industry. (Buhalis, D. and Darcy, S., 2011</w:t>
      </w:r>
      <w:r w:rsidR="00221677">
        <w:rPr>
          <w:rFonts w:ascii="Arial" w:hAnsi="Arial" w:cs="Arial"/>
          <w:sz w:val="24"/>
          <w:szCs w:val="24"/>
        </w:rPr>
        <w:t>)</w:t>
      </w:r>
      <w:r w:rsidR="00FF7CC3">
        <w:rPr>
          <w:rFonts w:ascii="Arial" w:hAnsi="Arial" w:cs="Arial"/>
          <w:sz w:val="24"/>
          <w:szCs w:val="24"/>
        </w:rPr>
        <w:t xml:space="preserve">.  </w:t>
      </w:r>
    </w:p>
    <w:p w:rsidR="00B92EC7" w:rsidRDefault="00B92EC7" w:rsidP="00E8536E">
      <w:pPr>
        <w:spacing w:line="360" w:lineRule="auto"/>
        <w:rPr>
          <w:rFonts w:ascii="Arial" w:hAnsi="Arial" w:cs="Arial"/>
          <w:sz w:val="24"/>
          <w:szCs w:val="24"/>
        </w:rPr>
      </w:pPr>
    </w:p>
    <w:p w:rsidR="00ED150E" w:rsidRDefault="009B70D9" w:rsidP="00E8536E">
      <w:pPr>
        <w:spacing w:line="360" w:lineRule="auto"/>
        <w:rPr>
          <w:rFonts w:ascii="Arial" w:hAnsi="Arial" w:cs="Arial"/>
          <w:b/>
          <w:sz w:val="24"/>
          <w:szCs w:val="24"/>
          <w:u w:val="single"/>
        </w:rPr>
      </w:pPr>
      <w:r>
        <w:rPr>
          <w:rFonts w:ascii="Arial" w:hAnsi="Arial" w:cs="Arial"/>
          <w:b/>
          <w:sz w:val="24"/>
          <w:szCs w:val="24"/>
          <w:u w:val="single"/>
        </w:rPr>
        <w:t xml:space="preserve">Can </w:t>
      </w:r>
      <w:r w:rsidR="00ED150E">
        <w:rPr>
          <w:rFonts w:ascii="Arial" w:hAnsi="Arial" w:cs="Arial"/>
          <w:b/>
          <w:sz w:val="24"/>
          <w:szCs w:val="24"/>
          <w:u w:val="single"/>
        </w:rPr>
        <w:t>the</w:t>
      </w:r>
      <w:r w:rsidR="00590139">
        <w:rPr>
          <w:rFonts w:ascii="Arial" w:hAnsi="Arial" w:cs="Arial"/>
          <w:b/>
          <w:sz w:val="24"/>
          <w:szCs w:val="24"/>
          <w:u w:val="single"/>
        </w:rPr>
        <w:t xml:space="preserve"> Events Industry Change the Perception of Disabled People?</w:t>
      </w:r>
    </w:p>
    <w:p w:rsidR="00142EDA" w:rsidRDefault="00142EDA" w:rsidP="00E8536E">
      <w:pPr>
        <w:spacing w:line="360" w:lineRule="auto"/>
        <w:rPr>
          <w:rFonts w:ascii="Arial" w:hAnsi="Arial" w:cs="Arial"/>
          <w:sz w:val="24"/>
          <w:szCs w:val="24"/>
        </w:rPr>
      </w:pPr>
      <w:r>
        <w:rPr>
          <w:rFonts w:ascii="Arial" w:hAnsi="Arial" w:cs="Arial"/>
          <w:sz w:val="24"/>
          <w:szCs w:val="24"/>
        </w:rPr>
        <w:t>In exploring how events can foster social change, a range of experts provide diverse perspectives, highlighting both the potential benefits and limitations.  Donald Getz argues that events can indeed drive social impact by building social capital and uniting communities around shared</w:t>
      </w:r>
      <w:r w:rsidR="00B0557A">
        <w:rPr>
          <w:rFonts w:ascii="Arial" w:hAnsi="Arial" w:cs="Arial"/>
          <w:sz w:val="24"/>
          <w:szCs w:val="24"/>
        </w:rPr>
        <w:t xml:space="preserve"> values (Getz, 2019</w:t>
      </w:r>
      <w:r w:rsidR="00590139">
        <w:rPr>
          <w:rFonts w:ascii="Arial" w:hAnsi="Arial" w:cs="Arial"/>
          <w:sz w:val="24"/>
          <w:szCs w:val="24"/>
        </w:rPr>
        <w:t>).  He emphasises that events can be a catalyst for raising awareness about social issues, particularly when designed with an intentional focus on community engagement and inclusivity</w:t>
      </w:r>
      <w:r w:rsidR="00590139" w:rsidRPr="00943892">
        <w:rPr>
          <w:rFonts w:ascii="Arial" w:hAnsi="Arial" w:cs="Arial"/>
          <w:sz w:val="24"/>
          <w:szCs w:val="24"/>
        </w:rPr>
        <w:t xml:space="preserve">.  </w:t>
      </w:r>
      <w:r w:rsidR="00943892" w:rsidRPr="00943892">
        <w:rPr>
          <w:rFonts w:ascii="Arial" w:hAnsi="Arial" w:cs="Arial"/>
          <w:sz w:val="24"/>
          <w:szCs w:val="24"/>
        </w:rPr>
        <w:t xml:space="preserve">In their work, Arcodia and Whitford argue that events, particularly festivals, can play a pivotal role in building social capital and enhancing community identity. They believe events contribute to social cohesion by bringing people together, encouraging </w:t>
      </w:r>
      <w:r w:rsidR="00943892" w:rsidRPr="00943892">
        <w:rPr>
          <w:rFonts w:ascii="Arial" w:hAnsi="Arial" w:cs="Arial"/>
          <w:sz w:val="24"/>
          <w:szCs w:val="24"/>
        </w:rPr>
        <w:lastRenderedPageBreak/>
        <w:t>shared experiences, and fostering community pride</w:t>
      </w:r>
      <w:r w:rsidR="00943892">
        <w:rPr>
          <w:rFonts w:ascii="Arial" w:hAnsi="Arial" w:cs="Arial"/>
          <w:sz w:val="24"/>
          <w:szCs w:val="24"/>
        </w:rPr>
        <w:t xml:space="preserve"> (Arcodia, C. and Whitford, M., 2006)</w:t>
      </w:r>
      <w:r w:rsidR="00943892" w:rsidRPr="00943892">
        <w:rPr>
          <w:rFonts w:ascii="Arial" w:hAnsi="Arial" w:cs="Arial"/>
          <w:sz w:val="24"/>
          <w:szCs w:val="24"/>
        </w:rPr>
        <w:t>.</w:t>
      </w:r>
      <w:r w:rsidR="00943892">
        <w:t xml:space="preserve"> </w:t>
      </w:r>
      <w:r w:rsidR="00590139">
        <w:rPr>
          <w:rFonts w:ascii="Arial" w:hAnsi="Arial" w:cs="Arial"/>
          <w:sz w:val="24"/>
          <w:szCs w:val="24"/>
        </w:rPr>
        <w:t xml:space="preserve"> However, </w:t>
      </w:r>
      <w:r w:rsidR="00BD0DF9">
        <w:rPr>
          <w:rFonts w:ascii="Arial" w:hAnsi="Arial" w:cs="Arial"/>
          <w:sz w:val="24"/>
          <w:szCs w:val="24"/>
        </w:rPr>
        <w:t>Chris Rojek offers a more critical view, questioning whether events actually foster substantial, long term social change.  In Leisure Theory (2005), Rojek critiques the commercialisation of events, arguing that profit motives can reduce events to superficial experiences, overshadowing their potential to address deep rooted social issues.  This commercialisation, he claims, can lead to a “spectacle” that prioritises entertainment over genuine social impact.  Greg Richards also raises concerns, suggesting that some events may exacerbate social inequalities rather than bridging them.  In Eventful Cities (2010), he notes that large scale, high profile events often cater to affluent audiences, inadvertently excluding local or marginalised communities.  This exclusion, he argues, challenges the notion that events are universally beneficial for social change.</w:t>
      </w:r>
    </w:p>
    <w:p w:rsidR="00BD0DF9" w:rsidRPr="00142EDA" w:rsidRDefault="00943892" w:rsidP="00E8536E">
      <w:pPr>
        <w:spacing w:line="360" w:lineRule="auto"/>
        <w:rPr>
          <w:rFonts w:ascii="Arial" w:hAnsi="Arial" w:cs="Arial"/>
          <w:sz w:val="24"/>
          <w:szCs w:val="24"/>
        </w:rPr>
      </w:pPr>
      <w:r>
        <w:rPr>
          <w:rFonts w:ascii="Arial" w:hAnsi="Arial" w:cs="Arial"/>
          <w:sz w:val="24"/>
          <w:szCs w:val="24"/>
        </w:rPr>
        <w:t>Whilst Getz, Arcodia and Whitford</w:t>
      </w:r>
      <w:r w:rsidR="00BD0DF9">
        <w:rPr>
          <w:rFonts w:ascii="Arial" w:hAnsi="Arial" w:cs="Arial"/>
          <w:sz w:val="24"/>
          <w:szCs w:val="24"/>
        </w:rPr>
        <w:t xml:space="preserve"> emphasise the transformative potential of events, critics like Rojek and Richards remind us that events’ effectiveness in driving social change</w:t>
      </w:r>
      <w:r w:rsidR="00B92EC7">
        <w:rPr>
          <w:rFonts w:ascii="Arial" w:hAnsi="Arial" w:cs="Arial"/>
          <w:sz w:val="24"/>
          <w:szCs w:val="24"/>
        </w:rPr>
        <w:t xml:space="preserve"> is context dependent.  Without careful planning and a focus on inclusivity, events may fall short of their potential, sometimes reinforcing rather than challenging social divides.</w:t>
      </w:r>
    </w:p>
    <w:p w:rsidR="00A92007" w:rsidRDefault="00357E1E" w:rsidP="00E8536E">
      <w:pPr>
        <w:spacing w:line="360" w:lineRule="auto"/>
        <w:rPr>
          <w:rFonts w:ascii="Arial" w:hAnsi="Arial" w:cs="Arial"/>
          <w:sz w:val="24"/>
          <w:szCs w:val="24"/>
        </w:rPr>
      </w:pPr>
      <w:r>
        <w:rPr>
          <w:rFonts w:ascii="Arial" w:hAnsi="Arial" w:cs="Arial"/>
          <w:sz w:val="24"/>
          <w:szCs w:val="24"/>
        </w:rPr>
        <w:t>Creating positive, memorable experiences is central to hospitality and is especially impactful for disabled attendees.  Research shows that personalised hospitality, inclusive practices, and intentional design can profoundly affect</w:t>
      </w:r>
      <w:r w:rsidR="00635F9A">
        <w:rPr>
          <w:rFonts w:ascii="Arial" w:hAnsi="Arial" w:cs="Arial"/>
          <w:sz w:val="24"/>
          <w:szCs w:val="24"/>
        </w:rPr>
        <w:t xml:space="preserve"> attendee satisfaction (Pine, B.J. and </w:t>
      </w:r>
      <w:r w:rsidR="00A92007">
        <w:rPr>
          <w:rFonts w:ascii="Arial" w:hAnsi="Arial" w:cs="Arial"/>
          <w:sz w:val="24"/>
          <w:szCs w:val="24"/>
        </w:rPr>
        <w:t>Gilmore, J.H., 1999</w:t>
      </w:r>
      <w:r>
        <w:rPr>
          <w:rFonts w:ascii="Arial" w:hAnsi="Arial" w:cs="Arial"/>
          <w:sz w:val="24"/>
          <w:szCs w:val="24"/>
        </w:rPr>
        <w:t xml:space="preserve">) </w:t>
      </w:r>
      <w:r w:rsidR="00A92007">
        <w:rPr>
          <w:rFonts w:ascii="Arial" w:hAnsi="Arial" w:cs="Arial"/>
          <w:sz w:val="24"/>
          <w:szCs w:val="24"/>
        </w:rPr>
        <w:t xml:space="preserve">and </w:t>
      </w:r>
      <w:r>
        <w:rPr>
          <w:rFonts w:ascii="Arial" w:hAnsi="Arial" w:cs="Arial"/>
          <w:sz w:val="24"/>
          <w:szCs w:val="24"/>
        </w:rPr>
        <w:t>Berners and Martin’s (2022) proactive approach to hospitality exemplifies this, advocating for an environment where attendees feel valued.  For disabled guests, such positive experiences are enhanced through accessible amenities and respectful service, which build trust and ensure a welcoming atmosphere.  Emphasising these elements is essential for generating positive word of mouth</w:t>
      </w:r>
      <w:r w:rsidR="00943892">
        <w:rPr>
          <w:rFonts w:ascii="Arial" w:hAnsi="Arial" w:cs="Arial"/>
          <w:sz w:val="24"/>
          <w:szCs w:val="24"/>
        </w:rPr>
        <w:t xml:space="preserve"> recommendation</w:t>
      </w:r>
      <w:r>
        <w:rPr>
          <w:rFonts w:ascii="Arial" w:hAnsi="Arial" w:cs="Arial"/>
          <w:sz w:val="24"/>
          <w:szCs w:val="24"/>
        </w:rPr>
        <w:t>, increasing repeat attendance, and solidifying the event’s reputation within the industry</w:t>
      </w:r>
      <w:r w:rsidRPr="00A92007">
        <w:rPr>
          <w:rFonts w:ascii="Arial" w:hAnsi="Arial" w:cs="Arial"/>
          <w:sz w:val="24"/>
          <w:szCs w:val="24"/>
        </w:rPr>
        <w:t>.</w:t>
      </w:r>
      <w:r w:rsidR="00A92007">
        <w:rPr>
          <w:rFonts w:ascii="Arial" w:hAnsi="Arial" w:cs="Arial"/>
          <w:sz w:val="24"/>
          <w:szCs w:val="24"/>
        </w:rPr>
        <w:t xml:space="preserve"> </w:t>
      </w:r>
    </w:p>
    <w:p w:rsidR="00BE7DEE" w:rsidRPr="00BE7DEE" w:rsidRDefault="00BE7DEE" w:rsidP="00E8536E">
      <w:pPr>
        <w:spacing w:line="360" w:lineRule="auto"/>
        <w:rPr>
          <w:rFonts w:ascii="Arial" w:hAnsi="Arial" w:cs="Arial"/>
          <w:b/>
          <w:sz w:val="24"/>
          <w:szCs w:val="24"/>
          <w:u w:val="single"/>
        </w:rPr>
      </w:pPr>
      <w:r w:rsidRPr="00BE7DEE">
        <w:rPr>
          <w:rFonts w:ascii="Arial" w:hAnsi="Arial" w:cs="Arial"/>
          <w:b/>
          <w:sz w:val="24"/>
          <w:szCs w:val="24"/>
          <w:u w:val="single"/>
        </w:rPr>
        <w:t>Challenges in Providing Excellent Hospitality and Customer Service</w:t>
      </w:r>
    </w:p>
    <w:p w:rsidR="00357E1E" w:rsidRDefault="00BE7DEE" w:rsidP="00E8536E">
      <w:pPr>
        <w:spacing w:line="360" w:lineRule="auto"/>
        <w:rPr>
          <w:rFonts w:ascii="Arial" w:hAnsi="Arial" w:cs="Arial"/>
          <w:sz w:val="24"/>
          <w:szCs w:val="24"/>
        </w:rPr>
      </w:pPr>
      <w:r>
        <w:rPr>
          <w:rFonts w:ascii="Arial" w:hAnsi="Arial" w:cs="Arial"/>
          <w:sz w:val="24"/>
          <w:szCs w:val="24"/>
        </w:rPr>
        <w:t>Delivering consistently high quality hospitality poses various challenges within the event industry.  Logistical constraints, limited budgets, and the complex needs of a diverse audience can make it difficult to achieve ideal service standards (Rio, J.</w:t>
      </w:r>
      <w:r w:rsidR="00A867B6">
        <w:rPr>
          <w:rFonts w:ascii="Arial" w:hAnsi="Arial" w:cs="Arial"/>
          <w:sz w:val="24"/>
          <w:szCs w:val="24"/>
        </w:rPr>
        <w:t>, 2023</w:t>
      </w:r>
      <w:r>
        <w:rPr>
          <w:rFonts w:ascii="Arial" w:hAnsi="Arial" w:cs="Arial"/>
          <w:sz w:val="24"/>
          <w:szCs w:val="24"/>
        </w:rPr>
        <w:t>)</w:t>
      </w:r>
      <w:r w:rsidR="00A867B6">
        <w:rPr>
          <w:rFonts w:ascii="Arial" w:hAnsi="Arial" w:cs="Arial"/>
          <w:sz w:val="24"/>
          <w:szCs w:val="24"/>
        </w:rPr>
        <w:t xml:space="preserve">.  This is particularly true for events aiming to be accessible to disabled </w:t>
      </w:r>
      <w:r w:rsidR="00A867B6">
        <w:rPr>
          <w:rFonts w:ascii="Arial" w:hAnsi="Arial" w:cs="Arial"/>
          <w:sz w:val="24"/>
          <w:szCs w:val="24"/>
        </w:rPr>
        <w:lastRenderedPageBreak/>
        <w:t>attendees, as physical accessibility, tailored communication, and specialised training require significant resources.  Goldblatt’s (2011) counter argument, that even exceptional hospitality cannot override poor event quality underscores the need for a holistic approach.  Ensuring a balance between hospitality, content quality, and operational efficiency is crucial</w:t>
      </w:r>
      <w:r w:rsidR="004503F3">
        <w:rPr>
          <w:rFonts w:ascii="Arial" w:hAnsi="Arial" w:cs="Arial"/>
          <w:sz w:val="24"/>
          <w:szCs w:val="24"/>
        </w:rPr>
        <w:t xml:space="preserve"> to overcoming these challenges.</w:t>
      </w:r>
      <w:r w:rsidR="00943892">
        <w:rPr>
          <w:rFonts w:ascii="Arial" w:hAnsi="Arial" w:cs="Arial"/>
          <w:sz w:val="24"/>
          <w:szCs w:val="24"/>
        </w:rPr>
        <w:t xml:space="preserve"> </w:t>
      </w:r>
      <w:r w:rsidR="005548A5">
        <w:rPr>
          <w:rFonts w:ascii="Arial" w:hAnsi="Arial" w:cs="Arial"/>
          <w:sz w:val="24"/>
          <w:szCs w:val="24"/>
        </w:rPr>
        <w:t>The four pillars of sustainability</w:t>
      </w:r>
      <w:r w:rsidR="001F3B78">
        <w:rPr>
          <w:rFonts w:ascii="Arial" w:hAnsi="Arial" w:cs="Arial"/>
          <w:sz w:val="24"/>
          <w:szCs w:val="24"/>
        </w:rPr>
        <w:t xml:space="preserve"> (Elliason-Norris, E., 2022)</w:t>
      </w:r>
      <w:r w:rsidR="005548A5">
        <w:rPr>
          <w:rFonts w:ascii="Arial" w:hAnsi="Arial" w:cs="Arial"/>
          <w:sz w:val="24"/>
          <w:szCs w:val="24"/>
        </w:rPr>
        <w:t xml:space="preserve"> are relevant here, Goldblatt is correct in that events must have a purpose and make a profit</w:t>
      </w:r>
      <w:r w:rsidR="00943892">
        <w:rPr>
          <w:rFonts w:ascii="Arial" w:hAnsi="Arial" w:cs="Arial"/>
          <w:sz w:val="24"/>
          <w:szCs w:val="24"/>
        </w:rPr>
        <w:t xml:space="preserve"> </w:t>
      </w:r>
      <w:r w:rsidR="005548A5">
        <w:rPr>
          <w:rFonts w:ascii="Arial" w:hAnsi="Arial" w:cs="Arial"/>
          <w:sz w:val="24"/>
          <w:szCs w:val="24"/>
        </w:rPr>
        <w:t xml:space="preserve">or they would be unable to operate, however, if the remaining pillars of people and planet are ignored there could be no value to such an event.  For example, if no efforts are made in accessibility and inclusivity, business could potentially lose out on </w:t>
      </w:r>
      <w:r w:rsidR="001F3B78">
        <w:rPr>
          <w:rFonts w:ascii="Arial" w:hAnsi="Arial" w:cs="Arial"/>
          <w:sz w:val="24"/>
          <w:szCs w:val="24"/>
        </w:rPr>
        <w:t xml:space="preserve">up to </w:t>
      </w:r>
      <w:r w:rsidR="005548A5">
        <w:rPr>
          <w:rFonts w:ascii="Arial" w:hAnsi="Arial" w:cs="Arial"/>
          <w:sz w:val="24"/>
          <w:szCs w:val="24"/>
        </w:rPr>
        <w:t xml:space="preserve">a quarter of its potential target audience, reducing sales and more importantly </w:t>
      </w:r>
      <w:r w:rsidR="001F3B78">
        <w:rPr>
          <w:rFonts w:ascii="Arial" w:hAnsi="Arial" w:cs="Arial"/>
          <w:sz w:val="24"/>
          <w:szCs w:val="24"/>
        </w:rPr>
        <w:t xml:space="preserve">negatively impacting </w:t>
      </w:r>
      <w:r w:rsidR="005548A5">
        <w:rPr>
          <w:rFonts w:ascii="Arial" w:hAnsi="Arial" w:cs="Arial"/>
          <w:sz w:val="24"/>
          <w:szCs w:val="24"/>
        </w:rPr>
        <w:t>brand reputation.  One of the most cost effective ways of becoming more</w:t>
      </w:r>
      <w:r w:rsidR="001F3B78">
        <w:rPr>
          <w:rFonts w:ascii="Arial" w:hAnsi="Arial" w:cs="Arial"/>
          <w:sz w:val="24"/>
          <w:szCs w:val="24"/>
        </w:rPr>
        <w:t xml:space="preserve"> inclusive and accessible is comprehensive staff training </w:t>
      </w:r>
      <w:r w:rsidR="00562A16">
        <w:rPr>
          <w:rFonts w:ascii="Arial" w:hAnsi="Arial" w:cs="Arial"/>
          <w:sz w:val="24"/>
          <w:szCs w:val="24"/>
        </w:rPr>
        <w:t>(Harter, J., Schmidt F. and Hayes, T., 2002)</w:t>
      </w:r>
      <w:r w:rsidR="001F3B78">
        <w:rPr>
          <w:rFonts w:ascii="Arial" w:hAnsi="Arial" w:cs="Arial"/>
          <w:sz w:val="24"/>
          <w:szCs w:val="24"/>
        </w:rPr>
        <w:t>.</w:t>
      </w:r>
    </w:p>
    <w:p w:rsidR="00A867B6" w:rsidRDefault="00AF1A51" w:rsidP="00E8536E">
      <w:pPr>
        <w:spacing w:line="360" w:lineRule="auto"/>
        <w:rPr>
          <w:rFonts w:ascii="Arial" w:hAnsi="Arial" w:cs="Arial"/>
          <w:b/>
          <w:sz w:val="24"/>
          <w:szCs w:val="24"/>
          <w:u w:val="single"/>
        </w:rPr>
      </w:pPr>
      <w:r>
        <w:rPr>
          <w:rFonts w:ascii="Arial" w:hAnsi="Arial" w:cs="Arial"/>
          <w:b/>
          <w:sz w:val="24"/>
          <w:szCs w:val="24"/>
          <w:u w:val="single"/>
        </w:rPr>
        <w:t xml:space="preserve">The </w:t>
      </w:r>
      <w:r w:rsidR="00A867B6" w:rsidRPr="00A867B6">
        <w:rPr>
          <w:rFonts w:ascii="Arial" w:hAnsi="Arial" w:cs="Arial"/>
          <w:b/>
          <w:sz w:val="24"/>
          <w:szCs w:val="24"/>
          <w:u w:val="single"/>
        </w:rPr>
        <w:t>Role of Training and Staff in Hospitality and Customer Service</w:t>
      </w:r>
    </w:p>
    <w:p w:rsidR="00255BAD" w:rsidRDefault="00A867B6" w:rsidP="00E8536E">
      <w:pPr>
        <w:spacing w:line="360" w:lineRule="auto"/>
        <w:rPr>
          <w:rFonts w:ascii="Arial" w:hAnsi="Arial" w:cs="Arial"/>
          <w:sz w:val="24"/>
          <w:szCs w:val="24"/>
        </w:rPr>
      </w:pPr>
      <w:r>
        <w:rPr>
          <w:rFonts w:ascii="Arial" w:hAnsi="Arial" w:cs="Arial"/>
          <w:sz w:val="24"/>
          <w:szCs w:val="24"/>
        </w:rPr>
        <w:t xml:space="preserve">Training plays a critical role in equipping staff to deliver high quality hospitality and customer service, particularly for disabled attendees.  Effective training courses that emphasise accessibility and inclusivity, enable staff to anticipate and respond to attendees’ unique needs </w:t>
      </w:r>
      <w:r w:rsidR="00FB4727">
        <w:rPr>
          <w:rFonts w:ascii="Arial" w:hAnsi="Arial" w:cs="Arial"/>
          <w:sz w:val="24"/>
          <w:szCs w:val="24"/>
        </w:rPr>
        <w:t>(Kennard, J., 2021) Studies highlight that well trained, empathetic staff improve the overall experience by fostering a supportive and inclusive environment (Darcy, S. and Pegg, S.,2011).  Case studies in the events industry reveal that attendees are more satisfied and engaged when staff demonstrate</w:t>
      </w:r>
      <w:r w:rsidR="00112430">
        <w:rPr>
          <w:rFonts w:ascii="Arial" w:hAnsi="Arial" w:cs="Arial"/>
          <w:sz w:val="24"/>
          <w:szCs w:val="24"/>
        </w:rPr>
        <w:t xml:space="preserve"> awareness and competency in handling accessibility related issues </w:t>
      </w:r>
      <w:r w:rsidR="00255BAD">
        <w:rPr>
          <w:rFonts w:ascii="Arial" w:hAnsi="Arial" w:cs="Arial"/>
          <w:sz w:val="24"/>
          <w:szCs w:val="24"/>
        </w:rPr>
        <w:t>(Rubio-Escuderos et al). Therefore, investment in staff training is an essential aspect of successful and inclusive event management.</w:t>
      </w:r>
      <w:r w:rsidR="002176F7">
        <w:rPr>
          <w:rFonts w:ascii="Arial" w:hAnsi="Arial" w:cs="Arial"/>
          <w:sz w:val="24"/>
          <w:szCs w:val="24"/>
        </w:rPr>
        <w:t xml:space="preserve">  </w:t>
      </w:r>
      <w:r w:rsidR="007853A5">
        <w:rPr>
          <w:rFonts w:ascii="Arial" w:hAnsi="Arial" w:cs="Arial"/>
          <w:sz w:val="24"/>
          <w:szCs w:val="24"/>
        </w:rPr>
        <w:t>E</w:t>
      </w:r>
      <w:r w:rsidR="00B87BD5">
        <w:rPr>
          <w:rFonts w:ascii="Arial" w:hAnsi="Arial" w:cs="Arial"/>
          <w:sz w:val="24"/>
          <w:szCs w:val="24"/>
        </w:rPr>
        <w:t>xpand</w:t>
      </w:r>
      <w:r w:rsidR="007853A5">
        <w:rPr>
          <w:rFonts w:ascii="Arial" w:hAnsi="Arial" w:cs="Arial"/>
          <w:sz w:val="24"/>
          <w:szCs w:val="24"/>
        </w:rPr>
        <w:t>ing</w:t>
      </w:r>
      <w:r w:rsidR="00B87BD5">
        <w:rPr>
          <w:rFonts w:ascii="Arial" w:hAnsi="Arial" w:cs="Arial"/>
          <w:sz w:val="24"/>
          <w:szCs w:val="24"/>
        </w:rPr>
        <w:t xml:space="preserve"> upon the critical role of training and staff in delivering quality hospitality and customer service, particularly for disabled attendees, its essential to delve deeper into how training can be structured to address specific accessibility challenges.  Comprehensive training regimes not only cover general customer service skills but also include more specialised training on disability awareness, communication methods and practical skills for navigating accessibility related issues.  Targeted training sessions prepare staff to better handle situations that may arise when assisting disabled attendees, which in turn promotes a smoother, more inclusive event experience</w:t>
      </w:r>
      <w:r w:rsidR="00286A26">
        <w:rPr>
          <w:rFonts w:ascii="Arial" w:hAnsi="Arial" w:cs="Arial"/>
          <w:sz w:val="24"/>
          <w:szCs w:val="24"/>
        </w:rPr>
        <w:t xml:space="preserve"> (Pizam, A and Shani, A.</w:t>
      </w:r>
      <w:r w:rsidR="007853A5">
        <w:rPr>
          <w:rFonts w:ascii="Arial" w:hAnsi="Arial" w:cs="Arial"/>
          <w:sz w:val="24"/>
          <w:szCs w:val="24"/>
        </w:rPr>
        <w:t xml:space="preserve">, 2009).  </w:t>
      </w:r>
      <w:r w:rsidR="007853A5">
        <w:rPr>
          <w:rFonts w:ascii="Arial" w:hAnsi="Arial" w:cs="Arial"/>
          <w:sz w:val="24"/>
          <w:szCs w:val="24"/>
        </w:rPr>
        <w:lastRenderedPageBreak/>
        <w:t xml:space="preserve">Further, training focussed on empathy building exercises, which are shown to be effective in fostering understanding and patience amongst staff members are particularly useful.  Empathy focussed training encourages staff to see the event experience from the perspective of disabled attendees, which helps them anticipate needs and proactively offer assistance.  Studies demonstrate that staff who have undergone empathy training are more adept at creating a welcoming atmosphere, reinforcing the value of inclusivity and attentiveness in hospitality and customer service settings (Darcy, S. and Pegg, S., 2011).  </w:t>
      </w:r>
    </w:p>
    <w:p w:rsidR="00667409" w:rsidRDefault="00073EB0" w:rsidP="00E8536E">
      <w:pPr>
        <w:spacing w:line="360" w:lineRule="auto"/>
        <w:rPr>
          <w:rFonts w:ascii="Arial" w:hAnsi="Arial" w:cs="Arial"/>
          <w:sz w:val="24"/>
          <w:szCs w:val="24"/>
        </w:rPr>
      </w:pPr>
      <w:r>
        <w:rPr>
          <w:rFonts w:ascii="Arial" w:hAnsi="Arial" w:cs="Arial"/>
          <w:sz w:val="24"/>
          <w:szCs w:val="24"/>
        </w:rPr>
        <w:t>Investing in training is financially beneficial for organis</w:t>
      </w:r>
      <w:r w:rsidR="00667409">
        <w:rPr>
          <w:rFonts w:ascii="Arial" w:hAnsi="Arial" w:cs="Arial"/>
          <w:sz w:val="24"/>
          <w:szCs w:val="24"/>
        </w:rPr>
        <w:t>ations.  Research by Conrad Lashley (2009</w:t>
      </w:r>
      <w:r>
        <w:rPr>
          <w:rFonts w:ascii="Arial" w:hAnsi="Arial" w:cs="Arial"/>
          <w:sz w:val="24"/>
          <w:szCs w:val="24"/>
        </w:rPr>
        <w:t xml:space="preserve">) shows that organisations that prioritise accessibility and inclusivity training often experience higher levels of repeat attendance and positive word of mouth recommendations.  This is particularly significant in the events industry where attendee satisfaction directly impacts </w:t>
      </w:r>
      <w:r w:rsidR="00667409">
        <w:rPr>
          <w:rFonts w:ascii="Arial" w:hAnsi="Arial" w:cs="Arial"/>
          <w:sz w:val="24"/>
          <w:szCs w:val="24"/>
        </w:rPr>
        <w:t>future event success.  Attendees</w:t>
      </w:r>
      <w:r>
        <w:rPr>
          <w:rFonts w:ascii="Arial" w:hAnsi="Arial" w:cs="Arial"/>
          <w:sz w:val="24"/>
          <w:szCs w:val="24"/>
        </w:rPr>
        <w:t xml:space="preserve"> who feel understood and supported are more likely to return and recommend the event to others, underscoring the business case for comprehensive training.</w:t>
      </w:r>
      <w:r w:rsidR="00667409">
        <w:rPr>
          <w:rFonts w:ascii="Arial" w:hAnsi="Arial" w:cs="Arial"/>
          <w:sz w:val="24"/>
          <w:szCs w:val="24"/>
        </w:rPr>
        <w:t xml:space="preserve">  </w:t>
      </w:r>
    </w:p>
    <w:p w:rsidR="00073EB0" w:rsidRDefault="00667409" w:rsidP="00E8536E">
      <w:pPr>
        <w:spacing w:line="360" w:lineRule="auto"/>
        <w:rPr>
          <w:rFonts w:ascii="Arial" w:hAnsi="Arial" w:cs="Arial"/>
          <w:sz w:val="24"/>
          <w:szCs w:val="24"/>
        </w:rPr>
      </w:pPr>
      <w:r>
        <w:rPr>
          <w:rFonts w:ascii="Arial" w:hAnsi="Arial" w:cs="Arial"/>
          <w:sz w:val="24"/>
          <w:szCs w:val="24"/>
        </w:rPr>
        <w:t>While staff training forms a foundation for providing inclusive and responsive service, advancements in technology are increasingly playing a complementary role.  By integrating innovative tools and digital solutions, the events industry can further enhance the hospitality and customer service experience, creating additional support mechanisms that benefit both staff and attendees.</w:t>
      </w:r>
      <w:bookmarkStart w:id="0" w:name="_GoBack"/>
      <w:bookmarkEnd w:id="0"/>
    </w:p>
    <w:p w:rsidR="00AF1A51" w:rsidRDefault="00AF1A51" w:rsidP="00E8536E">
      <w:pPr>
        <w:spacing w:line="360" w:lineRule="auto"/>
        <w:rPr>
          <w:rFonts w:ascii="Arial" w:hAnsi="Arial" w:cs="Arial"/>
          <w:b/>
          <w:sz w:val="24"/>
          <w:szCs w:val="24"/>
          <w:u w:val="single"/>
        </w:rPr>
      </w:pPr>
      <w:r w:rsidRPr="00AF1A51">
        <w:rPr>
          <w:rFonts w:ascii="Arial" w:hAnsi="Arial" w:cs="Arial"/>
          <w:b/>
          <w:sz w:val="24"/>
          <w:szCs w:val="24"/>
          <w:u w:val="single"/>
        </w:rPr>
        <w:t>The Role of Technology in Enhancing Hospitality and Customer Service</w:t>
      </w:r>
    </w:p>
    <w:p w:rsidR="00AF1A51" w:rsidRDefault="0073358F" w:rsidP="00E8536E">
      <w:pPr>
        <w:spacing w:line="360" w:lineRule="auto"/>
        <w:rPr>
          <w:rFonts w:ascii="Arial" w:hAnsi="Arial" w:cs="Arial"/>
          <w:sz w:val="24"/>
          <w:szCs w:val="24"/>
        </w:rPr>
      </w:pPr>
      <w:r>
        <w:rPr>
          <w:rFonts w:ascii="Arial" w:hAnsi="Arial" w:cs="Arial"/>
          <w:sz w:val="24"/>
          <w:szCs w:val="24"/>
        </w:rPr>
        <w:t xml:space="preserve">Technology has become a cornerstone of innovation in hospitality, providing transformative solutions that significantly enhance accessibility and inclusivity for disabled attendees.  Modern digital platforms have revolutionised service delivery, offering a range of tools designed to cater to individual needs and preferences.  For example, online booking systems now frequently include detailed accessibility information, enabling attendees to make informed choices when planning their participation in events.  Similarly, mobile applications equipped with features such as navigation aids, real time updates, and customisable setting help attendees navigate venues with ease, reducing potential stress and increasing overall satisfaction (Theocharis et al, 2017).  </w:t>
      </w:r>
    </w:p>
    <w:p w:rsidR="0073358F" w:rsidRDefault="0073358F" w:rsidP="00E8536E">
      <w:pPr>
        <w:spacing w:line="360" w:lineRule="auto"/>
        <w:rPr>
          <w:rFonts w:ascii="Arial" w:hAnsi="Arial" w:cs="Arial"/>
          <w:sz w:val="24"/>
          <w:szCs w:val="24"/>
        </w:rPr>
      </w:pPr>
      <w:r>
        <w:rPr>
          <w:rFonts w:ascii="Arial" w:hAnsi="Arial" w:cs="Arial"/>
          <w:sz w:val="24"/>
          <w:szCs w:val="24"/>
        </w:rPr>
        <w:lastRenderedPageBreak/>
        <w:t>Adaptive technologies, including hearing assistive devices, mobility aids, and augmented reality (AR) applications, have emerged as powerful</w:t>
      </w:r>
      <w:r w:rsidR="00390EE7">
        <w:rPr>
          <w:rFonts w:ascii="Arial" w:hAnsi="Arial" w:cs="Arial"/>
          <w:sz w:val="24"/>
          <w:szCs w:val="24"/>
        </w:rPr>
        <w:t xml:space="preserve"> tools in addressing specific accessibility barriers.  For instance, AR wayfinding tools can guide visually impaired attendees through event venues, while hearing loop systems enhance audio clarity for those with hearing impairments (Shakespeare, T. 2006).  These technologies not only facilitate a more holistic and enjoyable experience but also help event organisers establish a reputation for inclusivity and innovation, reinforcing attendee trust and loyalty.</w:t>
      </w:r>
    </w:p>
    <w:p w:rsidR="00390EE7" w:rsidRDefault="00390EE7" w:rsidP="00E8536E">
      <w:pPr>
        <w:spacing w:line="360" w:lineRule="auto"/>
        <w:rPr>
          <w:rFonts w:ascii="Arial" w:hAnsi="Arial" w:cs="Arial"/>
          <w:sz w:val="24"/>
          <w:szCs w:val="24"/>
        </w:rPr>
      </w:pPr>
      <w:r>
        <w:rPr>
          <w:rFonts w:ascii="Arial" w:hAnsi="Arial" w:cs="Arial"/>
          <w:sz w:val="24"/>
          <w:szCs w:val="24"/>
        </w:rPr>
        <w:t>Beyond addressing individual needs, technology offers scalable solutions for operational efficiency.  Automated check in systems and contactless payment options minimise physical interaction, accommodating attendees with mobility challenges while streamlining entry processes.  Similarly, the integration of AI driven chatbots for customer support enables real time assistance tailored to the unique requirements of disabled attendees.</w:t>
      </w:r>
    </w:p>
    <w:p w:rsidR="00390EE7" w:rsidRDefault="00390EE7" w:rsidP="00E8536E">
      <w:pPr>
        <w:spacing w:line="360" w:lineRule="auto"/>
        <w:rPr>
          <w:rFonts w:ascii="Arial" w:hAnsi="Arial" w:cs="Arial"/>
          <w:sz w:val="24"/>
          <w:szCs w:val="24"/>
        </w:rPr>
      </w:pPr>
      <w:r>
        <w:rPr>
          <w:rFonts w:ascii="Arial" w:hAnsi="Arial" w:cs="Arial"/>
          <w:sz w:val="24"/>
          <w:szCs w:val="24"/>
        </w:rPr>
        <w:t>Importantly, technology also empowers staff by providing training and resources that improve service delivery.</w:t>
      </w:r>
      <w:r w:rsidR="00012E47">
        <w:rPr>
          <w:rFonts w:ascii="Arial" w:hAnsi="Arial" w:cs="Arial"/>
          <w:sz w:val="24"/>
          <w:szCs w:val="24"/>
        </w:rPr>
        <w:t xml:space="preserve"> Virtual reality simulations for example, can train staff in accessibility scenarios, fostering empathy and enhancing their ability to respond to attendees’ needs effectively.  These tools complement </w:t>
      </w:r>
      <w:proofErr w:type="spellStart"/>
      <w:r w:rsidR="00012E47">
        <w:rPr>
          <w:rFonts w:ascii="Arial" w:hAnsi="Arial" w:cs="Arial"/>
          <w:sz w:val="24"/>
          <w:szCs w:val="24"/>
        </w:rPr>
        <w:t>tradional</w:t>
      </w:r>
      <w:proofErr w:type="spellEnd"/>
      <w:r w:rsidR="00012E47">
        <w:rPr>
          <w:rFonts w:ascii="Arial" w:hAnsi="Arial" w:cs="Arial"/>
          <w:sz w:val="24"/>
          <w:szCs w:val="24"/>
        </w:rPr>
        <w:t xml:space="preserve"> training methods, bridging gaps</w:t>
      </w:r>
      <w:r w:rsidR="004408A9">
        <w:rPr>
          <w:rFonts w:ascii="Arial" w:hAnsi="Arial" w:cs="Arial"/>
          <w:sz w:val="24"/>
          <w:szCs w:val="24"/>
        </w:rPr>
        <w:t xml:space="preserve"> in knowledge and ensuring consistency across teams.</w:t>
      </w:r>
    </w:p>
    <w:p w:rsidR="004408A9" w:rsidRDefault="004408A9" w:rsidP="00E8536E">
      <w:pPr>
        <w:spacing w:line="360" w:lineRule="auto"/>
        <w:rPr>
          <w:rFonts w:ascii="Arial" w:hAnsi="Arial" w:cs="Arial"/>
          <w:sz w:val="24"/>
          <w:szCs w:val="24"/>
        </w:rPr>
      </w:pPr>
      <w:r>
        <w:rPr>
          <w:rFonts w:ascii="Arial" w:hAnsi="Arial" w:cs="Arial"/>
          <w:sz w:val="24"/>
          <w:szCs w:val="24"/>
        </w:rPr>
        <w:t>While the benefits of technology in enhancing accessibility are clear, challenges remain.  High costs, limited adoption rates, and potential data security concerns hinder widespread implementation.  However, as the event industry continues to prioritise inclusivity, investments in technology are likely to yield long term benefits, ensuring not only compliance with accessibility standards but also fostering a culture of innovation and sustainability.  By leveraging these advancements, event organisers can create environments that are not only accessible but also welcoming and empowering for all attendees.</w:t>
      </w:r>
    </w:p>
    <w:p w:rsidR="001F3B78" w:rsidRDefault="001F3B78" w:rsidP="00E8536E">
      <w:pPr>
        <w:spacing w:line="360" w:lineRule="auto"/>
        <w:rPr>
          <w:rFonts w:ascii="Arial" w:hAnsi="Arial" w:cs="Arial"/>
          <w:b/>
          <w:sz w:val="24"/>
          <w:szCs w:val="24"/>
          <w:u w:val="single"/>
        </w:rPr>
      </w:pPr>
    </w:p>
    <w:p w:rsidR="001F3B78" w:rsidRDefault="001F3B78" w:rsidP="00E8536E">
      <w:pPr>
        <w:spacing w:line="360" w:lineRule="auto"/>
        <w:rPr>
          <w:rFonts w:ascii="Arial" w:hAnsi="Arial" w:cs="Arial"/>
          <w:b/>
          <w:sz w:val="24"/>
          <w:szCs w:val="24"/>
          <w:u w:val="single"/>
        </w:rPr>
      </w:pPr>
    </w:p>
    <w:p w:rsidR="001F3B78" w:rsidRDefault="001F3B78" w:rsidP="00E8536E">
      <w:pPr>
        <w:spacing w:line="360" w:lineRule="auto"/>
        <w:rPr>
          <w:rFonts w:ascii="Arial" w:hAnsi="Arial" w:cs="Arial"/>
          <w:b/>
          <w:sz w:val="24"/>
          <w:szCs w:val="24"/>
          <w:u w:val="single"/>
        </w:rPr>
      </w:pPr>
    </w:p>
    <w:p w:rsidR="001F3B78" w:rsidRDefault="001F3B78" w:rsidP="00E8536E">
      <w:pPr>
        <w:spacing w:line="360" w:lineRule="auto"/>
        <w:rPr>
          <w:rFonts w:ascii="Arial" w:hAnsi="Arial" w:cs="Arial"/>
          <w:b/>
          <w:sz w:val="24"/>
          <w:szCs w:val="24"/>
          <w:u w:val="single"/>
        </w:rPr>
      </w:pPr>
    </w:p>
    <w:p w:rsidR="00BC1310" w:rsidRDefault="00822392" w:rsidP="00E8536E">
      <w:pPr>
        <w:spacing w:line="360" w:lineRule="auto"/>
        <w:rPr>
          <w:rFonts w:ascii="Arial" w:hAnsi="Arial" w:cs="Arial"/>
          <w:b/>
          <w:sz w:val="24"/>
          <w:szCs w:val="24"/>
          <w:u w:val="single"/>
        </w:rPr>
      </w:pPr>
      <w:r w:rsidRPr="00822392">
        <w:rPr>
          <w:rFonts w:ascii="Arial" w:hAnsi="Arial" w:cs="Arial"/>
          <w:b/>
          <w:sz w:val="24"/>
          <w:szCs w:val="24"/>
          <w:u w:val="single"/>
        </w:rPr>
        <w:lastRenderedPageBreak/>
        <w:t>Hypothesis</w:t>
      </w:r>
    </w:p>
    <w:p w:rsidR="00B00C95" w:rsidRDefault="00B00C95" w:rsidP="00E8536E">
      <w:pPr>
        <w:spacing w:line="360" w:lineRule="auto"/>
        <w:rPr>
          <w:rFonts w:ascii="Arial" w:hAnsi="Arial" w:cs="Arial"/>
          <w:sz w:val="24"/>
          <w:szCs w:val="24"/>
        </w:rPr>
      </w:pPr>
      <w:r>
        <w:rPr>
          <w:rFonts w:ascii="Arial" w:hAnsi="Arial" w:cs="Arial"/>
          <w:sz w:val="24"/>
          <w:szCs w:val="24"/>
        </w:rPr>
        <w:t>This research hypothesises that the success and engagement of disabled attendees at events are significantly enhanced through a combination of targeted hospitality training and adaptive technology.  Specifically, that well trained staff equipped with accessibility knowledge can directly improve attendee satisfaction, repeat attendance and positive recommendations.  By fostering an inclusive and responsive event environment, such training not only benefits disabled attendees but also contributes to an overall positive experience for all participants.  Further, while existing research acknowledges the importance of staff training, limited exploration exists around its longer term impacts on staff retenti</w:t>
      </w:r>
      <w:r w:rsidR="004333DE">
        <w:rPr>
          <w:rFonts w:ascii="Arial" w:hAnsi="Arial" w:cs="Arial"/>
          <w:sz w:val="24"/>
          <w:szCs w:val="24"/>
        </w:rPr>
        <w:t>on and organisational culture, both of which are crucial for sustaining inclusivity in event hospitality.</w:t>
      </w:r>
    </w:p>
    <w:p w:rsidR="004333DE" w:rsidRDefault="004333DE" w:rsidP="00E8536E">
      <w:pPr>
        <w:spacing w:line="360" w:lineRule="auto"/>
        <w:rPr>
          <w:rFonts w:ascii="Arial" w:hAnsi="Arial" w:cs="Arial"/>
          <w:sz w:val="24"/>
          <w:szCs w:val="24"/>
        </w:rPr>
      </w:pPr>
      <w:r>
        <w:rPr>
          <w:rFonts w:ascii="Arial" w:hAnsi="Arial" w:cs="Arial"/>
          <w:sz w:val="24"/>
          <w:szCs w:val="24"/>
        </w:rPr>
        <w:t xml:space="preserve">This hypothesis further proposes that technology can serve as a powerful tool for achieving accessible service delivery, especially when paired with knowledgeable staff.  Digital innovations, such as event apps, virtual reality aids, and other adaptive tools, offer practical ways for attendees with disabilities to navigate and interact within event spaces, while simplifying service processes.  However, despite </w:t>
      </w:r>
      <w:proofErr w:type="spellStart"/>
      <w:r>
        <w:rPr>
          <w:rFonts w:ascii="Arial" w:hAnsi="Arial" w:cs="Arial"/>
          <w:sz w:val="24"/>
          <w:szCs w:val="24"/>
        </w:rPr>
        <w:t>technology</w:t>
      </w:r>
      <w:proofErr w:type="gramStart"/>
      <w:r>
        <w:rPr>
          <w:rFonts w:ascii="Arial" w:hAnsi="Arial" w:cs="Arial"/>
          <w:sz w:val="24"/>
          <w:szCs w:val="24"/>
        </w:rPr>
        <w:t>;s</w:t>
      </w:r>
      <w:proofErr w:type="spellEnd"/>
      <w:proofErr w:type="gramEnd"/>
      <w:r>
        <w:rPr>
          <w:rFonts w:ascii="Arial" w:hAnsi="Arial" w:cs="Arial"/>
          <w:sz w:val="24"/>
          <w:szCs w:val="24"/>
        </w:rPr>
        <w:t xml:space="preserve"> potential, there remains a gap in standardising its use across industry, and barriers to implementation, such as cost and accessibility of technology, may impact how successfully these tools are utilised.</w:t>
      </w:r>
    </w:p>
    <w:p w:rsidR="004333DE" w:rsidRDefault="004333DE" w:rsidP="00E8536E">
      <w:pPr>
        <w:spacing w:line="360" w:lineRule="auto"/>
        <w:rPr>
          <w:rFonts w:ascii="Arial" w:hAnsi="Arial" w:cs="Arial"/>
          <w:sz w:val="24"/>
          <w:szCs w:val="24"/>
        </w:rPr>
      </w:pPr>
      <w:r>
        <w:rPr>
          <w:rFonts w:ascii="Arial" w:hAnsi="Arial" w:cs="Arial"/>
          <w:sz w:val="24"/>
          <w:szCs w:val="24"/>
        </w:rPr>
        <w:t>Lastly, given that nearly a quarter of the population has a disability, this research proposes that inclusivity is not only a social responsibility but an economic necessity.  Event organisers and hospitality professionals who invest in both staff training and adaptive technology may find a competitive advantage in creating events that are inclusive to a broader audience.  This research aims to explore these dual components of training and technology, ultim</w:t>
      </w:r>
      <w:r w:rsidR="00222086">
        <w:rPr>
          <w:rFonts w:ascii="Arial" w:hAnsi="Arial" w:cs="Arial"/>
          <w:sz w:val="24"/>
          <w:szCs w:val="24"/>
        </w:rPr>
        <w:t>ately providing insights into how event organisers can implement sustainable, inclusive practices that support accessibility and foster long term engagement among disabled attendees.</w:t>
      </w:r>
    </w:p>
    <w:p w:rsidR="00222086" w:rsidRDefault="00222086" w:rsidP="00E8536E">
      <w:pPr>
        <w:spacing w:line="360" w:lineRule="auto"/>
        <w:rPr>
          <w:rFonts w:ascii="Arial" w:hAnsi="Arial" w:cs="Arial"/>
          <w:sz w:val="24"/>
          <w:szCs w:val="24"/>
        </w:rPr>
      </w:pPr>
    </w:p>
    <w:p w:rsidR="00222086" w:rsidRDefault="00222086" w:rsidP="00E8536E">
      <w:pPr>
        <w:spacing w:line="360" w:lineRule="auto"/>
        <w:rPr>
          <w:rFonts w:ascii="Arial" w:hAnsi="Arial" w:cs="Arial"/>
          <w:sz w:val="24"/>
          <w:szCs w:val="24"/>
        </w:rPr>
      </w:pPr>
    </w:p>
    <w:p w:rsidR="005E7F1A" w:rsidRDefault="005E7F1A" w:rsidP="005E7F1A">
      <w:pPr>
        <w:spacing w:line="360" w:lineRule="auto"/>
        <w:rPr>
          <w:rFonts w:ascii="Arial" w:hAnsi="Arial" w:cs="Arial"/>
          <w:b/>
          <w:sz w:val="24"/>
          <w:szCs w:val="24"/>
          <w:u w:val="single"/>
        </w:rPr>
      </w:pPr>
    </w:p>
    <w:p w:rsidR="005E7F1A" w:rsidRDefault="005E7F1A" w:rsidP="00222086">
      <w:pPr>
        <w:spacing w:after="240" w:line="360" w:lineRule="auto"/>
        <w:rPr>
          <w:rFonts w:ascii="Arial" w:hAnsi="Arial" w:cs="Arial"/>
          <w:b/>
          <w:sz w:val="24"/>
          <w:szCs w:val="24"/>
          <w:u w:val="single"/>
        </w:rPr>
      </w:pPr>
    </w:p>
    <w:p w:rsidR="005E7F1A" w:rsidRDefault="005E7F1A" w:rsidP="00222086">
      <w:pPr>
        <w:spacing w:after="240" w:line="360" w:lineRule="auto"/>
        <w:rPr>
          <w:rFonts w:ascii="Times New Roman" w:eastAsia="Times New Roman" w:hAnsi="Times New Roman" w:cs="Times New Roman"/>
          <w:sz w:val="24"/>
          <w:szCs w:val="24"/>
          <w:lang w:eastAsia="en-GB"/>
        </w:rPr>
      </w:pPr>
      <w:r w:rsidRPr="00222086">
        <w:rPr>
          <w:rFonts w:ascii="Arial" w:hAnsi="Arial" w:cs="Arial"/>
          <w:b/>
          <w:sz w:val="24"/>
          <w:szCs w:val="24"/>
          <w:u w:val="single"/>
        </w:rPr>
        <w:lastRenderedPageBreak/>
        <w:t>References</w:t>
      </w:r>
      <w:r w:rsidRPr="00222086">
        <w:rPr>
          <w:rFonts w:ascii="Times New Roman" w:eastAsia="Times New Roman" w:hAnsi="Times New Roman" w:cs="Times New Roman"/>
          <w:sz w:val="24"/>
          <w:szCs w:val="24"/>
          <w:lang w:eastAsia="en-GB"/>
        </w:rPr>
        <w:t xml:space="preserve"> </w:t>
      </w:r>
    </w:p>
    <w:p w:rsidR="005E7F1A" w:rsidRDefault="005E7F1A" w:rsidP="00222086">
      <w:pPr>
        <w:spacing w:after="240" w:line="360" w:lineRule="auto"/>
        <w:rPr>
          <w:rFonts w:ascii="Times New Roman" w:eastAsia="Times New Roman" w:hAnsi="Times New Roman" w:cs="Times New Roman"/>
          <w:sz w:val="24"/>
          <w:szCs w:val="24"/>
          <w:lang w:eastAsia="en-GB"/>
        </w:rPr>
      </w:pP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Arcodia, C. and Whitford, M. (2006). Festival Attendance and the Development of Social Capital. </w:t>
      </w:r>
      <w:r w:rsidRPr="00222086">
        <w:rPr>
          <w:rFonts w:ascii="Times New Roman" w:eastAsia="Times New Roman" w:hAnsi="Times New Roman" w:cs="Times New Roman"/>
          <w:i/>
          <w:iCs/>
          <w:sz w:val="24"/>
          <w:szCs w:val="24"/>
          <w:lang w:eastAsia="en-GB"/>
        </w:rPr>
        <w:t>Journal of Convention &amp; Event Tourism</w:t>
      </w:r>
      <w:r w:rsidRPr="00222086">
        <w:rPr>
          <w:rFonts w:ascii="Times New Roman" w:eastAsia="Times New Roman" w:hAnsi="Times New Roman" w:cs="Times New Roman"/>
          <w:sz w:val="24"/>
          <w:szCs w:val="24"/>
          <w:lang w:eastAsia="en-GB"/>
        </w:rPr>
        <w:t xml:space="preserve">, 8(2), pp.1–18. </w:t>
      </w:r>
      <w:proofErr w:type="spellStart"/>
      <w:r w:rsidRPr="00222086">
        <w:rPr>
          <w:rFonts w:ascii="Times New Roman" w:eastAsia="Times New Roman" w:hAnsi="Times New Roman" w:cs="Times New Roman"/>
          <w:sz w:val="24"/>
          <w:szCs w:val="24"/>
          <w:lang w:eastAsia="en-GB"/>
        </w:rPr>
        <w:t>doi:https</w:t>
      </w:r>
      <w:proofErr w:type="spellEnd"/>
      <w:r w:rsidRPr="00222086">
        <w:rPr>
          <w:rFonts w:ascii="Times New Roman" w:eastAsia="Times New Roman" w:hAnsi="Times New Roman" w:cs="Times New Roman"/>
          <w:sz w:val="24"/>
          <w:szCs w:val="24"/>
          <w:lang w:eastAsia="en-GB"/>
        </w:rPr>
        <w:t>://doi.org/10.1300/j452v08n02_01.</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Berners, P. and Martin, A. (2022). </w:t>
      </w:r>
      <w:r w:rsidRPr="00222086">
        <w:rPr>
          <w:rFonts w:ascii="Times New Roman" w:eastAsia="Times New Roman" w:hAnsi="Times New Roman" w:cs="Times New Roman"/>
          <w:i/>
          <w:iCs/>
          <w:sz w:val="24"/>
          <w:szCs w:val="24"/>
          <w:lang w:eastAsia="en-GB"/>
        </w:rPr>
        <w:t>The Practical Guide to Achieving Customer Satisfaction in Events and Hotels</w:t>
      </w:r>
      <w:r w:rsidRPr="00222086">
        <w:rPr>
          <w:rFonts w:ascii="Times New Roman" w:eastAsia="Times New Roman" w:hAnsi="Times New Roman" w:cs="Times New Roman"/>
          <w:sz w:val="24"/>
          <w:szCs w:val="24"/>
          <w:lang w:eastAsia="en-GB"/>
        </w:rPr>
        <w:t>. Taylor &amp; Francis.</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Brown, T. (2009). </w:t>
      </w:r>
      <w:r w:rsidRPr="00222086">
        <w:rPr>
          <w:rFonts w:ascii="Times New Roman" w:eastAsia="Times New Roman" w:hAnsi="Times New Roman" w:cs="Times New Roman"/>
          <w:i/>
          <w:iCs/>
          <w:sz w:val="24"/>
          <w:szCs w:val="24"/>
          <w:lang w:eastAsia="en-GB"/>
        </w:rPr>
        <w:t>Change by Design: How design thinking transforms organizations and inspires innovation.</w:t>
      </w:r>
      <w:r w:rsidRPr="00222086">
        <w:rPr>
          <w:rFonts w:ascii="Times New Roman" w:eastAsia="Times New Roman" w:hAnsi="Times New Roman" w:cs="Times New Roman"/>
          <w:sz w:val="24"/>
          <w:szCs w:val="24"/>
          <w:lang w:eastAsia="en-GB"/>
        </w:rPr>
        <w:t xml:space="preserve"> Harper Business.</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CDC (2024). </w:t>
      </w:r>
      <w:proofErr w:type="spellStart"/>
      <w:r w:rsidRPr="00222086">
        <w:rPr>
          <w:rFonts w:ascii="Times New Roman" w:eastAsia="Times New Roman" w:hAnsi="Times New Roman" w:cs="Times New Roman"/>
          <w:i/>
          <w:iCs/>
          <w:sz w:val="24"/>
          <w:szCs w:val="24"/>
          <w:lang w:eastAsia="en-GB"/>
        </w:rPr>
        <w:t>Centers</w:t>
      </w:r>
      <w:proofErr w:type="spellEnd"/>
      <w:r w:rsidRPr="00222086">
        <w:rPr>
          <w:rFonts w:ascii="Times New Roman" w:eastAsia="Times New Roman" w:hAnsi="Times New Roman" w:cs="Times New Roman"/>
          <w:i/>
          <w:iCs/>
          <w:sz w:val="24"/>
          <w:szCs w:val="24"/>
          <w:lang w:eastAsia="en-GB"/>
        </w:rPr>
        <w:t xml:space="preserve"> for Disease Control and Prevention</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www.cdc.gov. Available at: https://www.cdc.gov/index.html.</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Coleman, C. (2024). </w:t>
      </w:r>
      <w:r w:rsidRPr="00222086">
        <w:rPr>
          <w:rFonts w:ascii="Times New Roman" w:eastAsia="Times New Roman" w:hAnsi="Times New Roman" w:cs="Times New Roman"/>
          <w:i/>
          <w:iCs/>
          <w:sz w:val="24"/>
          <w:szCs w:val="24"/>
          <w:lang w:eastAsia="en-GB"/>
        </w:rPr>
        <w:t>Challenges Faced by People with Disabilities</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House of Lords Library. Available at: https://lordslibrary.parliament.uk/challenges-faced-by-people-with-disabilities/.</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Darcy, S. and Pegg, S. (2011). Towards Strategic Intent: Perceptions of disability service provision amongst hotel accommodation managers. </w:t>
      </w:r>
      <w:r w:rsidRPr="00222086">
        <w:rPr>
          <w:rFonts w:ascii="Times New Roman" w:eastAsia="Times New Roman" w:hAnsi="Times New Roman" w:cs="Times New Roman"/>
          <w:i/>
          <w:iCs/>
          <w:sz w:val="24"/>
          <w:szCs w:val="24"/>
          <w:lang w:eastAsia="en-GB"/>
        </w:rPr>
        <w:t>International Journal of Hospitality Management</w:t>
      </w:r>
      <w:r w:rsidRPr="00222086">
        <w:rPr>
          <w:rFonts w:ascii="Times New Roman" w:eastAsia="Times New Roman" w:hAnsi="Times New Roman" w:cs="Times New Roman"/>
          <w:sz w:val="24"/>
          <w:szCs w:val="24"/>
          <w:lang w:eastAsia="en-GB"/>
        </w:rPr>
        <w:t xml:space="preserve">, 30(2), pp.468–476. </w:t>
      </w:r>
      <w:proofErr w:type="spellStart"/>
      <w:r w:rsidRPr="00222086">
        <w:rPr>
          <w:rFonts w:ascii="Times New Roman" w:eastAsia="Times New Roman" w:hAnsi="Times New Roman" w:cs="Times New Roman"/>
          <w:sz w:val="24"/>
          <w:szCs w:val="24"/>
          <w:lang w:eastAsia="en-GB"/>
        </w:rPr>
        <w:t>doi:https</w:t>
      </w:r>
      <w:proofErr w:type="spellEnd"/>
      <w:r w:rsidRPr="00222086">
        <w:rPr>
          <w:rFonts w:ascii="Times New Roman" w:eastAsia="Times New Roman" w:hAnsi="Times New Roman" w:cs="Times New Roman"/>
          <w:sz w:val="24"/>
          <w:szCs w:val="24"/>
          <w:lang w:eastAsia="en-GB"/>
        </w:rPr>
        <w:t>://doi.org/10.1016/j.ijhm.2010.09.009.</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proofErr w:type="spellStart"/>
      <w:r w:rsidRPr="00222086">
        <w:rPr>
          <w:rFonts w:ascii="Times New Roman" w:eastAsia="Times New Roman" w:hAnsi="Times New Roman" w:cs="Times New Roman"/>
          <w:sz w:val="24"/>
          <w:szCs w:val="24"/>
          <w:lang w:eastAsia="en-GB"/>
        </w:rPr>
        <w:t>Dimitrios</w:t>
      </w:r>
      <w:proofErr w:type="spellEnd"/>
      <w:r w:rsidRPr="00222086">
        <w:rPr>
          <w:rFonts w:ascii="Times New Roman" w:eastAsia="Times New Roman" w:hAnsi="Times New Roman" w:cs="Times New Roman"/>
          <w:sz w:val="24"/>
          <w:szCs w:val="24"/>
          <w:lang w:eastAsia="en-GB"/>
        </w:rPr>
        <w:t xml:space="preserve"> </w:t>
      </w:r>
      <w:proofErr w:type="spellStart"/>
      <w:r w:rsidRPr="00222086">
        <w:rPr>
          <w:rFonts w:ascii="Times New Roman" w:eastAsia="Times New Roman" w:hAnsi="Times New Roman" w:cs="Times New Roman"/>
          <w:sz w:val="24"/>
          <w:szCs w:val="24"/>
          <w:lang w:eastAsia="en-GB"/>
        </w:rPr>
        <w:t>Buhalis</w:t>
      </w:r>
      <w:proofErr w:type="spellEnd"/>
      <w:r w:rsidRPr="00222086">
        <w:rPr>
          <w:rFonts w:ascii="Times New Roman" w:eastAsia="Times New Roman" w:hAnsi="Times New Roman" w:cs="Times New Roman"/>
          <w:sz w:val="24"/>
          <w:szCs w:val="24"/>
          <w:lang w:eastAsia="en-GB"/>
        </w:rPr>
        <w:t xml:space="preserve"> and Darcy, S. (2011). </w:t>
      </w:r>
      <w:r w:rsidRPr="00222086">
        <w:rPr>
          <w:rFonts w:ascii="Times New Roman" w:eastAsia="Times New Roman" w:hAnsi="Times New Roman" w:cs="Times New Roman"/>
          <w:i/>
          <w:iCs/>
          <w:sz w:val="24"/>
          <w:szCs w:val="24"/>
          <w:lang w:eastAsia="en-GB"/>
        </w:rPr>
        <w:t xml:space="preserve">Accessible </w:t>
      </w:r>
      <w:proofErr w:type="gramStart"/>
      <w:r w:rsidRPr="00222086">
        <w:rPr>
          <w:rFonts w:ascii="Times New Roman" w:eastAsia="Times New Roman" w:hAnsi="Times New Roman" w:cs="Times New Roman"/>
          <w:i/>
          <w:iCs/>
          <w:sz w:val="24"/>
          <w:szCs w:val="24"/>
          <w:lang w:eastAsia="en-GB"/>
        </w:rPr>
        <w:t>tourism :</w:t>
      </w:r>
      <w:proofErr w:type="gramEnd"/>
      <w:r w:rsidRPr="00222086">
        <w:rPr>
          <w:rFonts w:ascii="Times New Roman" w:eastAsia="Times New Roman" w:hAnsi="Times New Roman" w:cs="Times New Roman"/>
          <w:i/>
          <w:iCs/>
          <w:sz w:val="24"/>
          <w:szCs w:val="24"/>
          <w:lang w:eastAsia="en-GB"/>
        </w:rPr>
        <w:t xml:space="preserve"> concepts and issues</w:t>
      </w:r>
      <w:r w:rsidRPr="00222086">
        <w:rPr>
          <w:rFonts w:ascii="Times New Roman" w:eastAsia="Times New Roman" w:hAnsi="Times New Roman" w:cs="Times New Roman"/>
          <w:sz w:val="24"/>
          <w:szCs w:val="24"/>
          <w:lang w:eastAsia="en-GB"/>
        </w:rPr>
        <w:t>. Bristol Channel View Publications Cop.</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proofErr w:type="spellStart"/>
      <w:r w:rsidRPr="00222086">
        <w:rPr>
          <w:rFonts w:ascii="Times New Roman" w:eastAsia="Times New Roman" w:hAnsi="Times New Roman" w:cs="Times New Roman"/>
          <w:sz w:val="24"/>
          <w:szCs w:val="24"/>
          <w:lang w:eastAsia="en-GB"/>
        </w:rPr>
        <w:t>Downes</w:t>
      </w:r>
      <w:proofErr w:type="spellEnd"/>
      <w:r w:rsidRPr="00222086">
        <w:rPr>
          <w:rFonts w:ascii="Times New Roman" w:eastAsia="Times New Roman" w:hAnsi="Times New Roman" w:cs="Times New Roman"/>
          <w:sz w:val="24"/>
          <w:szCs w:val="24"/>
          <w:lang w:eastAsia="en-GB"/>
        </w:rPr>
        <w:t xml:space="preserve">, H. (2024). </w:t>
      </w:r>
      <w:r w:rsidRPr="00222086">
        <w:rPr>
          <w:rFonts w:ascii="Times New Roman" w:eastAsia="Times New Roman" w:hAnsi="Times New Roman" w:cs="Times New Roman"/>
          <w:i/>
          <w:iCs/>
          <w:sz w:val="24"/>
          <w:szCs w:val="24"/>
          <w:lang w:eastAsia="en-GB"/>
        </w:rPr>
        <w:t>Half of disabled consumers face access issues at live events - Which? News</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Which? Available at: https://www.which.co.uk/news/article/half-of-disabled-consumers-face-access-issues-at-live-events-aaXh24m218Eq.</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EHL (2023). </w:t>
      </w:r>
      <w:r w:rsidRPr="00222086">
        <w:rPr>
          <w:rFonts w:ascii="Times New Roman" w:eastAsia="Times New Roman" w:hAnsi="Times New Roman" w:cs="Times New Roman"/>
          <w:i/>
          <w:iCs/>
          <w:sz w:val="24"/>
          <w:szCs w:val="24"/>
          <w:lang w:eastAsia="en-GB"/>
        </w:rPr>
        <w:t>What is hospitality? What is international hotel management?</w:t>
      </w:r>
      <w:r w:rsidRPr="00222086">
        <w:rPr>
          <w:rFonts w:ascii="Times New Roman" w:eastAsia="Times New Roman" w:hAnsi="Times New Roman" w:cs="Times New Roman"/>
          <w:sz w:val="24"/>
          <w:szCs w:val="24"/>
          <w:lang w:eastAsia="en-GB"/>
        </w:rPr>
        <w:t xml:space="preserve">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www.ehl.edu. Available at: https://www.ehl.edu/en/what-is-hospitality.</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proofErr w:type="spellStart"/>
      <w:r w:rsidRPr="00222086">
        <w:rPr>
          <w:rFonts w:ascii="Times New Roman" w:eastAsia="Times New Roman" w:hAnsi="Times New Roman" w:cs="Times New Roman"/>
          <w:sz w:val="24"/>
          <w:szCs w:val="24"/>
          <w:lang w:eastAsia="en-GB"/>
        </w:rPr>
        <w:t>Eliasson</w:t>
      </w:r>
      <w:proofErr w:type="spellEnd"/>
      <w:r w:rsidRPr="00222086">
        <w:rPr>
          <w:rFonts w:ascii="Times New Roman" w:eastAsia="Times New Roman" w:hAnsi="Times New Roman" w:cs="Times New Roman"/>
          <w:sz w:val="24"/>
          <w:szCs w:val="24"/>
          <w:lang w:eastAsia="en-GB"/>
        </w:rPr>
        <w:t xml:space="preserve">-Norris, E. (2022). </w:t>
      </w:r>
      <w:r w:rsidRPr="00222086">
        <w:rPr>
          <w:rFonts w:ascii="Times New Roman" w:eastAsia="Times New Roman" w:hAnsi="Times New Roman" w:cs="Times New Roman"/>
          <w:i/>
          <w:iCs/>
          <w:sz w:val="24"/>
          <w:szCs w:val="24"/>
          <w:lang w:eastAsia="en-GB"/>
        </w:rPr>
        <w:t>The 4P’s: Purpose, Profit, People and Planet</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Beyond Governance. Available at: https://beyondgovernance.com/four-ps/.</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lastRenderedPageBreak/>
        <w:t xml:space="preserve">Esme Kirk-Wade, Wong, H. and </w:t>
      </w:r>
      <w:proofErr w:type="spellStart"/>
      <w:r w:rsidRPr="00222086">
        <w:rPr>
          <w:rFonts w:ascii="Times New Roman" w:eastAsia="Times New Roman" w:hAnsi="Times New Roman" w:cs="Times New Roman"/>
          <w:sz w:val="24"/>
          <w:szCs w:val="24"/>
          <w:lang w:eastAsia="en-GB"/>
        </w:rPr>
        <w:t>Stiebahl</w:t>
      </w:r>
      <w:proofErr w:type="spellEnd"/>
      <w:r w:rsidRPr="00222086">
        <w:rPr>
          <w:rFonts w:ascii="Times New Roman" w:eastAsia="Times New Roman" w:hAnsi="Times New Roman" w:cs="Times New Roman"/>
          <w:sz w:val="24"/>
          <w:szCs w:val="24"/>
          <w:lang w:eastAsia="en-GB"/>
        </w:rPr>
        <w:t xml:space="preserve">, S. (2024). </w:t>
      </w:r>
      <w:r w:rsidRPr="00222086">
        <w:rPr>
          <w:rFonts w:ascii="Times New Roman" w:eastAsia="Times New Roman" w:hAnsi="Times New Roman" w:cs="Times New Roman"/>
          <w:i/>
          <w:iCs/>
          <w:sz w:val="24"/>
          <w:szCs w:val="24"/>
          <w:lang w:eastAsia="en-GB"/>
        </w:rPr>
        <w:t>UK disability statistics: Prevalence and life experiences</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House of Commons Library. Available at: https://commonslibrary.parliament.uk/research-briefings/cbp-9602/.</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Getz, D. and Page, S.J. (2019). </w:t>
      </w:r>
      <w:r w:rsidRPr="00222086">
        <w:rPr>
          <w:rFonts w:ascii="Times New Roman" w:eastAsia="Times New Roman" w:hAnsi="Times New Roman" w:cs="Times New Roman"/>
          <w:i/>
          <w:iCs/>
          <w:sz w:val="24"/>
          <w:szCs w:val="24"/>
          <w:lang w:eastAsia="en-GB"/>
        </w:rPr>
        <w:t xml:space="preserve">Event </w:t>
      </w:r>
      <w:proofErr w:type="gramStart"/>
      <w:r w:rsidRPr="00222086">
        <w:rPr>
          <w:rFonts w:ascii="Times New Roman" w:eastAsia="Times New Roman" w:hAnsi="Times New Roman" w:cs="Times New Roman"/>
          <w:i/>
          <w:iCs/>
          <w:sz w:val="24"/>
          <w:szCs w:val="24"/>
          <w:lang w:eastAsia="en-GB"/>
        </w:rPr>
        <w:t>Studies :</w:t>
      </w:r>
      <w:proofErr w:type="gramEnd"/>
      <w:r w:rsidRPr="00222086">
        <w:rPr>
          <w:rFonts w:ascii="Times New Roman" w:eastAsia="Times New Roman" w:hAnsi="Times New Roman" w:cs="Times New Roman"/>
          <w:i/>
          <w:iCs/>
          <w:sz w:val="24"/>
          <w:szCs w:val="24"/>
          <w:lang w:eastAsia="en-GB"/>
        </w:rPr>
        <w:t xml:space="preserve"> theory, Research and Policy for Planned Events</w:t>
      </w:r>
      <w:r w:rsidRPr="00222086">
        <w:rPr>
          <w:rFonts w:ascii="Times New Roman" w:eastAsia="Times New Roman" w:hAnsi="Times New Roman" w:cs="Times New Roman"/>
          <w:sz w:val="24"/>
          <w:szCs w:val="24"/>
          <w:lang w:eastAsia="en-GB"/>
        </w:rPr>
        <w:t>. 4th ed. London: Routledge.</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Goldblatt, J.J. (2011). </w:t>
      </w:r>
      <w:r w:rsidRPr="00222086">
        <w:rPr>
          <w:rFonts w:ascii="Times New Roman" w:eastAsia="Times New Roman" w:hAnsi="Times New Roman" w:cs="Times New Roman"/>
          <w:i/>
          <w:iCs/>
          <w:sz w:val="24"/>
          <w:szCs w:val="24"/>
          <w:lang w:eastAsia="en-GB"/>
        </w:rPr>
        <w:t xml:space="preserve">Special </w:t>
      </w:r>
      <w:proofErr w:type="gramStart"/>
      <w:r w:rsidRPr="00222086">
        <w:rPr>
          <w:rFonts w:ascii="Times New Roman" w:eastAsia="Times New Roman" w:hAnsi="Times New Roman" w:cs="Times New Roman"/>
          <w:i/>
          <w:iCs/>
          <w:sz w:val="24"/>
          <w:szCs w:val="24"/>
          <w:lang w:eastAsia="en-GB"/>
        </w:rPr>
        <w:t>events :</w:t>
      </w:r>
      <w:proofErr w:type="gramEnd"/>
      <w:r w:rsidRPr="00222086">
        <w:rPr>
          <w:rFonts w:ascii="Times New Roman" w:eastAsia="Times New Roman" w:hAnsi="Times New Roman" w:cs="Times New Roman"/>
          <w:i/>
          <w:iCs/>
          <w:sz w:val="24"/>
          <w:szCs w:val="24"/>
          <w:lang w:eastAsia="en-GB"/>
        </w:rPr>
        <w:t xml:space="preserve"> a new generation and the next frontier</w:t>
      </w:r>
      <w:r w:rsidRPr="00222086">
        <w:rPr>
          <w:rFonts w:ascii="Times New Roman" w:eastAsia="Times New Roman" w:hAnsi="Times New Roman" w:cs="Times New Roman"/>
          <w:sz w:val="24"/>
          <w:szCs w:val="24"/>
          <w:lang w:eastAsia="en-GB"/>
        </w:rPr>
        <w:t>. Hoboken, N.J.: Wiley.</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Harter, J., Schmidt, F. and Hayes, T. (2002). </w:t>
      </w:r>
      <w:r w:rsidRPr="00222086">
        <w:rPr>
          <w:rFonts w:ascii="Times New Roman" w:eastAsia="Times New Roman" w:hAnsi="Times New Roman" w:cs="Times New Roman"/>
          <w:i/>
          <w:iCs/>
          <w:sz w:val="24"/>
          <w:szCs w:val="24"/>
          <w:lang w:eastAsia="en-GB"/>
        </w:rPr>
        <w:t xml:space="preserve">APA </w:t>
      </w:r>
      <w:proofErr w:type="spellStart"/>
      <w:r w:rsidRPr="00222086">
        <w:rPr>
          <w:rFonts w:ascii="Times New Roman" w:eastAsia="Times New Roman" w:hAnsi="Times New Roman" w:cs="Times New Roman"/>
          <w:i/>
          <w:iCs/>
          <w:sz w:val="24"/>
          <w:szCs w:val="24"/>
          <w:lang w:eastAsia="en-GB"/>
        </w:rPr>
        <w:t>PsycNet</w:t>
      </w:r>
      <w:proofErr w:type="spellEnd"/>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psycnet.apa.org. Available at: https://psycnet.apa.org/record/2002-12397-006.</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proofErr w:type="spellStart"/>
      <w:r w:rsidRPr="00222086">
        <w:rPr>
          <w:rFonts w:ascii="Times New Roman" w:eastAsia="Times New Roman" w:hAnsi="Times New Roman" w:cs="Times New Roman"/>
          <w:sz w:val="24"/>
          <w:szCs w:val="24"/>
          <w:lang w:eastAsia="en-GB"/>
        </w:rPr>
        <w:t>Jon_Kennard</w:t>
      </w:r>
      <w:proofErr w:type="spellEnd"/>
      <w:r w:rsidRPr="00222086">
        <w:rPr>
          <w:rFonts w:ascii="Times New Roman" w:eastAsia="Times New Roman" w:hAnsi="Times New Roman" w:cs="Times New Roman"/>
          <w:sz w:val="24"/>
          <w:szCs w:val="24"/>
          <w:lang w:eastAsia="en-GB"/>
        </w:rPr>
        <w:t xml:space="preserve"> (2021). </w:t>
      </w:r>
      <w:r w:rsidRPr="00222086">
        <w:rPr>
          <w:rFonts w:ascii="Times New Roman" w:eastAsia="Times New Roman" w:hAnsi="Times New Roman" w:cs="Times New Roman"/>
          <w:i/>
          <w:iCs/>
          <w:sz w:val="24"/>
          <w:szCs w:val="24"/>
          <w:lang w:eastAsia="en-GB"/>
        </w:rPr>
        <w:t>Improving customer service with disability awareness training -</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 Daily insights for people development professionals to transform workplace learning and performance together. Available at: https://www.trainingjournal.com/2021/business-and-industry/improving-customer-service-disability-awareness-training/ [Accessed 13 Nov. 2024].</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Kay, J., McRae, N. and Russell, L. (2020). Two Institutional Responses to Work-Integrated Learning in a Time of COVID-19: Canada and Australia. </w:t>
      </w:r>
      <w:r w:rsidRPr="00222086">
        <w:rPr>
          <w:rFonts w:ascii="Times New Roman" w:eastAsia="Times New Roman" w:hAnsi="Times New Roman" w:cs="Times New Roman"/>
          <w:i/>
          <w:iCs/>
          <w:sz w:val="24"/>
          <w:szCs w:val="24"/>
          <w:lang w:eastAsia="en-GB"/>
        </w:rPr>
        <w:t>International Journal of Work-Integrated Learning</w:t>
      </w:r>
      <w:r w:rsidRPr="00222086">
        <w:rPr>
          <w:rFonts w:ascii="Times New Roman" w:eastAsia="Times New Roman" w:hAnsi="Times New Roman" w:cs="Times New Roman"/>
          <w:sz w:val="24"/>
          <w:szCs w:val="24"/>
          <w:lang w:eastAsia="en-GB"/>
        </w:rPr>
        <w:t>, [online] 21(5), pp.491–503. Available at: https://eric.ed.gov/?id=EJ1271564.</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Lashley, C. (2009). </w:t>
      </w:r>
      <w:r w:rsidRPr="00222086">
        <w:rPr>
          <w:rFonts w:ascii="Times New Roman" w:eastAsia="Times New Roman" w:hAnsi="Times New Roman" w:cs="Times New Roman"/>
          <w:i/>
          <w:iCs/>
          <w:sz w:val="24"/>
          <w:szCs w:val="24"/>
          <w:lang w:eastAsia="en-GB"/>
        </w:rPr>
        <w:t>Hospitality Retail Management</w:t>
      </w:r>
      <w:r w:rsidRPr="00222086">
        <w:rPr>
          <w:rFonts w:ascii="Times New Roman" w:eastAsia="Times New Roman" w:hAnsi="Times New Roman" w:cs="Times New Roman"/>
          <w:sz w:val="24"/>
          <w:szCs w:val="24"/>
          <w:lang w:eastAsia="en-GB"/>
        </w:rPr>
        <w:t>. Routledge.</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Les Roches Education (2022). </w:t>
      </w:r>
      <w:r w:rsidRPr="00222086">
        <w:rPr>
          <w:rFonts w:ascii="Times New Roman" w:eastAsia="Times New Roman" w:hAnsi="Times New Roman" w:cs="Times New Roman"/>
          <w:i/>
          <w:iCs/>
          <w:sz w:val="24"/>
          <w:szCs w:val="24"/>
          <w:lang w:eastAsia="en-GB"/>
        </w:rPr>
        <w:t>Hospitality vs customer service: what is the difference?</w:t>
      </w:r>
      <w:r w:rsidRPr="00222086">
        <w:rPr>
          <w:rFonts w:ascii="Times New Roman" w:eastAsia="Times New Roman" w:hAnsi="Times New Roman" w:cs="Times New Roman"/>
          <w:sz w:val="24"/>
          <w:szCs w:val="24"/>
          <w:lang w:eastAsia="en-GB"/>
        </w:rPr>
        <w:t xml:space="preserve">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Les Roches. Available at: https://lesroches.edu/blog/hospitality-vs-customer-service-what-is-the-difference/.</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Nikolaos Theocharis, Lagos, D., Dimitris </w:t>
      </w:r>
      <w:proofErr w:type="spellStart"/>
      <w:r w:rsidRPr="00222086">
        <w:rPr>
          <w:rFonts w:ascii="Times New Roman" w:eastAsia="Times New Roman" w:hAnsi="Times New Roman" w:cs="Times New Roman"/>
          <w:sz w:val="24"/>
          <w:szCs w:val="24"/>
          <w:lang w:eastAsia="en-GB"/>
        </w:rPr>
        <w:t>Tseles</w:t>
      </w:r>
      <w:proofErr w:type="spellEnd"/>
      <w:r w:rsidRPr="00222086">
        <w:rPr>
          <w:rFonts w:ascii="Times New Roman" w:eastAsia="Times New Roman" w:hAnsi="Times New Roman" w:cs="Times New Roman"/>
          <w:sz w:val="24"/>
          <w:szCs w:val="24"/>
          <w:lang w:eastAsia="en-GB"/>
        </w:rPr>
        <w:t xml:space="preserve"> and </w:t>
      </w:r>
      <w:proofErr w:type="spellStart"/>
      <w:r w:rsidRPr="00222086">
        <w:rPr>
          <w:rFonts w:ascii="Times New Roman" w:eastAsia="Times New Roman" w:hAnsi="Times New Roman" w:cs="Times New Roman"/>
          <w:sz w:val="24"/>
          <w:szCs w:val="24"/>
          <w:lang w:eastAsia="en-GB"/>
        </w:rPr>
        <w:t>Nikoletta</w:t>
      </w:r>
      <w:proofErr w:type="spellEnd"/>
      <w:r w:rsidRPr="00222086">
        <w:rPr>
          <w:rFonts w:ascii="Times New Roman" w:eastAsia="Times New Roman" w:hAnsi="Times New Roman" w:cs="Times New Roman"/>
          <w:sz w:val="24"/>
          <w:szCs w:val="24"/>
          <w:lang w:eastAsia="en-GB"/>
        </w:rPr>
        <w:t xml:space="preserve"> </w:t>
      </w:r>
      <w:proofErr w:type="spellStart"/>
      <w:r w:rsidRPr="00222086">
        <w:rPr>
          <w:rFonts w:ascii="Times New Roman" w:eastAsia="Times New Roman" w:hAnsi="Times New Roman" w:cs="Times New Roman"/>
          <w:sz w:val="24"/>
          <w:szCs w:val="24"/>
          <w:lang w:eastAsia="en-GB"/>
        </w:rPr>
        <w:t>Klada</w:t>
      </w:r>
      <w:proofErr w:type="spellEnd"/>
      <w:r w:rsidRPr="00222086">
        <w:rPr>
          <w:rFonts w:ascii="Times New Roman" w:eastAsia="Times New Roman" w:hAnsi="Times New Roman" w:cs="Times New Roman"/>
          <w:sz w:val="24"/>
          <w:szCs w:val="24"/>
          <w:lang w:eastAsia="en-GB"/>
        </w:rPr>
        <w:t xml:space="preserve"> (2017). Hospitality Industry and Innovative technology for People with disabilities: the case of the island of Rhodes, Greece. </w:t>
      </w:r>
      <w:r w:rsidRPr="00222086">
        <w:rPr>
          <w:rFonts w:ascii="Times New Roman" w:eastAsia="Times New Roman" w:hAnsi="Times New Roman" w:cs="Times New Roman"/>
          <w:i/>
          <w:iCs/>
          <w:sz w:val="24"/>
          <w:szCs w:val="24"/>
          <w:lang w:eastAsia="en-GB"/>
        </w:rPr>
        <w:t>International Scientific Conference (NETTIES 2017), ‘Aristotelian Thinking Impact’, Piraeus University of Applied Sciences.</w:t>
      </w:r>
      <w:r w:rsidRPr="00222086">
        <w:rPr>
          <w:rFonts w:ascii="Times New Roman" w:eastAsia="Times New Roman" w:hAnsi="Times New Roman" w:cs="Times New Roman"/>
          <w:sz w:val="24"/>
          <w:szCs w:val="24"/>
          <w:lang w:eastAsia="en-GB"/>
        </w:rPr>
        <w:t xml:space="preserve">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Available at: https://www.researchgate.net/publication/344464847_Hospitality_Industry_and_Innovative_technology_for_People_with_disabilities_the_case_of_the_island_of_Rhodes_Greece.</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lastRenderedPageBreak/>
        <w:t xml:space="preserve">Office for National Statistics (2021). </w:t>
      </w:r>
      <w:r w:rsidRPr="00222086">
        <w:rPr>
          <w:rFonts w:ascii="Times New Roman" w:eastAsia="Times New Roman" w:hAnsi="Times New Roman" w:cs="Times New Roman"/>
          <w:i/>
          <w:iCs/>
          <w:sz w:val="24"/>
          <w:szCs w:val="24"/>
          <w:lang w:eastAsia="en-GB"/>
        </w:rPr>
        <w:t>Disability - Office for National Statistics</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www.ons.gov.uk. Available at: https://www.ons.gov.uk/peoplepopulationandcommunity/healthandsocialcare/disability.</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Pine, B.J. and Gilmore, J.H. (1999). </w:t>
      </w:r>
      <w:r w:rsidRPr="00222086">
        <w:rPr>
          <w:rFonts w:ascii="Times New Roman" w:eastAsia="Times New Roman" w:hAnsi="Times New Roman" w:cs="Times New Roman"/>
          <w:i/>
          <w:iCs/>
          <w:sz w:val="24"/>
          <w:szCs w:val="24"/>
          <w:lang w:eastAsia="en-GB"/>
        </w:rPr>
        <w:t xml:space="preserve">The Experience </w:t>
      </w:r>
      <w:proofErr w:type="gramStart"/>
      <w:r w:rsidRPr="00222086">
        <w:rPr>
          <w:rFonts w:ascii="Times New Roman" w:eastAsia="Times New Roman" w:hAnsi="Times New Roman" w:cs="Times New Roman"/>
          <w:i/>
          <w:iCs/>
          <w:sz w:val="24"/>
          <w:szCs w:val="24"/>
          <w:lang w:eastAsia="en-GB"/>
        </w:rPr>
        <w:t>Economy :</w:t>
      </w:r>
      <w:proofErr w:type="gramEnd"/>
      <w:r w:rsidRPr="00222086">
        <w:rPr>
          <w:rFonts w:ascii="Times New Roman" w:eastAsia="Times New Roman" w:hAnsi="Times New Roman" w:cs="Times New Roman"/>
          <w:i/>
          <w:iCs/>
          <w:sz w:val="24"/>
          <w:szCs w:val="24"/>
          <w:lang w:eastAsia="en-GB"/>
        </w:rPr>
        <w:t xml:space="preserve"> Work Is Theatre &amp; Every Business a Stage</w:t>
      </w:r>
      <w:r w:rsidRPr="00222086">
        <w:rPr>
          <w:rFonts w:ascii="Times New Roman" w:eastAsia="Times New Roman" w:hAnsi="Times New Roman" w:cs="Times New Roman"/>
          <w:sz w:val="24"/>
          <w:szCs w:val="24"/>
          <w:lang w:eastAsia="en-GB"/>
        </w:rPr>
        <w:t>. Boston: Harvard Business School Press.</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PIZAM, A. and SHANI, A. (2009). The Nature of the Hospitality Industry: Present and Future Managers’ Perspectives. </w:t>
      </w:r>
      <w:r w:rsidRPr="00222086">
        <w:rPr>
          <w:rFonts w:ascii="Times New Roman" w:eastAsia="Times New Roman" w:hAnsi="Times New Roman" w:cs="Times New Roman"/>
          <w:i/>
          <w:iCs/>
          <w:sz w:val="24"/>
          <w:szCs w:val="24"/>
          <w:lang w:eastAsia="en-GB"/>
        </w:rPr>
        <w:t>Anatolia</w:t>
      </w:r>
      <w:r w:rsidRPr="00222086">
        <w:rPr>
          <w:rFonts w:ascii="Times New Roman" w:eastAsia="Times New Roman" w:hAnsi="Times New Roman" w:cs="Times New Roman"/>
          <w:sz w:val="24"/>
          <w:szCs w:val="24"/>
          <w:lang w:eastAsia="en-GB"/>
        </w:rPr>
        <w:t xml:space="preserve">, 20(1), pp.134–150. </w:t>
      </w:r>
      <w:proofErr w:type="spellStart"/>
      <w:r w:rsidRPr="00222086">
        <w:rPr>
          <w:rFonts w:ascii="Times New Roman" w:eastAsia="Times New Roman" w:hAnsi="Times New Roman" w:cs="Times New Roman"/>
          <w:sz w:val="24"/>
          <w:szCs w:val="24"/>
          <w:lang w:eastAsia="en-GB"/>
        </w:rPr>
        <w:t>doi:https</w:t>
      </w:r>
      <w:proofErr w:type="spellEnd"/>
      <w:r w:rsidRPr="00222086">
        <w:rPr>
          <w:rFonts w:ascii="Times New Roman" w:eastAsia="Times New Roman" w:hAnsi="Times New Roman" w:cs="Times New Roman"/>
          <w:sz w:val="24"/>
          <w:szCs w:val="24"/>
          <w:lang w:eastAsia="en-GB"/>
        </w:rPr>
        <w:t>://doi.org/10.1080/13032917.2009.10518900.</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Richards, G. and Palmer, R. (2010). </w:t>
      </w:r>
      <w:r w:rsidRPr="00222086">
        <w:rPr>
          <w:rFonts w:ascii="Times New Roman" w:eastAsia="Times New Roman" w:hAnsi="Times New Roman" w:cs="Times New Roman"/>
          <w:i/>
          <w:iCs/>
          <w:sz w:val="24"/>
          <w:szCs w:val="24"/>
          <w:lang w:eastAsia="en-GB"/>
        </w:rPr>
        <w:t xml:space="preserve">Eventful </w:t>
      </w:r>
      <w:proofErr w:type="gramStart"/>
      <w:r w:rsidRPr="00222086">
        <w:rPr>
          <w:rFonts w:ascii="Times New Roman" w:eastAsia="Times New Roman" w:hAnsi="Times New Roman" w:cs="Times New Roman"/>
          <w:i/>
          <w:iCs/>
          <w:sz w:val="24"/>
          <w:szCs w:val="24"/>
          <w:lang w:eastAsia="en-GB"/>
        </w:rPr>
        <w:t>cities :</w:t>
      </w:r>
      <w:proofErr w:type="gramEnd"/>
      <w:r w:rsidRPr="00222086">
        <w:rPr>
          <w:rFonts w:ascii="Times New Roman" w:eastAsia="Times New Roman" w:hAnsi="Times New Roman" w:cs="Times New Roman"/>
          <w:i/>
          <w:iCs/>
          <w:sz w:val="24"/>
          <w:szCs w:val="24"/>
          <w:lang w:eastAsia="en-GB"/>
        </w:rPr>
        <w:t xml:space="preserve"> cultural management and urban revitalisation</w:t>
      </w:r>
      <w:r w:rsidRPr="00222086">
        <w:rPr>
          <w:rFonts w:ascii="Times New Roman" w:eastAsia="Times New Roman" w:hAnsi="Times New Roman" w:cs="Times New Roman"/>
          <w:sz w:val="24"/>
          <w:szCs w:val="24"/>
          <w:lang w:eastAsia="en-GB"/>
        </w:rPr>
        <w:t xml:space="preserve">. Oxford Taylor </w:t>
      </w:r>
      <w:proofErr w:type="gramStart"/>
      <w:r w:rsidRPr="00222086">
        <w:rPr>
          <w:rFonts w:ascii="Times New Roman" w:eastAsia="Times New Roman" w:hAnsi="Times New Roman" w:cs="Times New Roman"/>
          <w:sz w:val="24"/>
          <w:szCs w:val="24"/>
          <w:lang w:eastAsia="en-GB"/>
        </w:rPr>
        <w:t>Et</w:t>
      </w:r>
      <w:proofErr w:type="gramEnd"/>
      <w:r w:rsidRPr="00222086">
        <w:rPr>
          <w:rFonts w:ascii="Times New Roman" w:eastAsia="Times New Roman" w:hAnsi="Times New Roman" w:cs="Times New Roman"/>
          <w:sz w:val="24"/>
          <w:szCs w:val="24"/>
          <w:lang w:eastAsia="en-GB"/>
        </w:rPr>
        <w:t xml:space="preserve"> Francis.</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Rio, J. (2023). </w:t>
      </w:r>
      <w:r w:rsidRPr="00222086">
        <w:rPr>
          <w:rFonts w:ascii="Times New Roman" w:eastAsia="Times New Roman" w:hAnsi="Times New Roman" w:cs="Times New Roman"/>
          <w:i/>
          <w:iCs/>
          <w:sz w:val="24"/>
          <w:szCs w:val="24"/>
          <w:lang w:eastAsia="en-GB"/>
        </w:rPr>
        <w:t>CUSTOMER EXPERIENCE UNEARTHED</w:t>
      </w:r>
      <w:r w:rsidRPr="00222086">
        <w:rPr>
          <w:rFonts w:ascii="Times New Roman" w:eastAsia="Times New Roman" w:hAnsi="Times New Roman" w:cs="Times New Roman"/>
          <w:sz w:val="24"/>
          <w:szCs w:val="24"/>
          <w:lang w:eastAsia="en-GB"/>
        </w:rPr>
        <w:t>. Julien Rio.</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Rubio-</w:t>
      </w:r>
      <w:proofErr w:type="spellStart"/>
      <w:r w:rsidRPr="00222086">
        <w:rPr>
          <w:rFonts w:ascii="Times New Roman" w:eastAsia="Times New Roman" w:hAnsi="Times New Roman" w:cs="Times New Roman"/>
          <w:sz w:val="24"/>
          <w:szCs w:val="24"/>
          <w:lang w:eastAsia="en-GB"/>
        </w:rPr>
        <w:t>Escuderos</w:t>
      </w:r>
      <w:proofErr w:type="spellEnd"/>
      <w:r w:rsidRPr="00222086">
        <w:rPr>
          <w:rFonts w:ascii="Times New Roman" w:eastAsia="Times New Roman" w:hAnsi="Times New Roman" w:cs="Times New Roman"/>
          <w:sz w:val="24"/>
          <w:szCs w:val="24"/>
          <w:lang w:eastAsia="en-GB"/>
        </w:rPr>
        <w:t xml:space="preserve">, L., </w:t>
      </w:r>
      <w:proofErr w:type="spellStart"/>
      <w:r w:rsidRPr="00222086">
        <w:rPr>
          <w:rFonts w:ascii="Times New Roman" w:eastAsia="Times New Roman" w:hAnsi="Times New Roman" w:cs="Times New Roman"/>
          <w:sz w:val="24"/>
          <w:szCs w:val="24"/>
          <w:lang w:eastAsia="en-GB"/>
        </w:rPr>
        <w:t>García</w:t>
      </w:r>
      <w:proofErr w:type="spellEnd"/>
      <w:r w:rsidRPr="00222086">
        <w:rPr>
          <w:rFonts w:ascii="Times New Roman" w:eastAsia="Times New Roman" w:hAnsi="Times New Roman" w:cs="Times New Roman"/>
          <w:sz w:val="24"/>
          <w:szCs w:val="24"/>
          <w:lang w:eastAsia="en-GB"/>
        </w:rPr>
        <w:t xml:space="preserve">-Andreu, H., </w:t>
      </w:r>
      <w:proofErr w:type="spellStart"/>
      <w:r w:rsidRPr="00222086">
        <w:rPr>
          <w:rFonts w:ascii="Times New Roman" w:eastAsia="Times New Roman" w:hAnsi="Times New Roman" w:cs="Times New Roman"/>
          <w:sz w:val="24"/>
          <w:szCs w:val="24"/>
          <w:lang w:eastAsia="en-GB"/>
        </w:rPr>
        <w:t>Michopoulou</w:t>
      </w:r>
      <w:proofErr w:type="spellEnd"/>
      <w:r w:rsidRPr="00222086">
        <w:rPr>
          <w:rFonts w:ascii="Times New Roman" w:eastAsia="Times New Roman" w:hAnsi="Times New Roman" w:cs="Times New Roman"/>
          <w:sz w:val="24"/>
          <w:szCs w:val="24"/>
          <w:lang w:eastAsia="en-GB"/>
        </w:rPr>
        <w:t xml:space="preserve">, E. and </w:t>
      </w:r>
      <w:proofErr w:type="spellStart"/>
      <w:r w:rsidRPr="00222086">
        <w:rPr>
          <w:rFonts w:ascii="Times New Roman" w:eastAsia="Times New Roman" w:hAnsi="Times New Roman" w:cs="Times New Roman"/>
          <w:sz w:val="24"/>
          <w:szCs w:val="24"/>
          <w:lang w:eastAsia="en-GB"/>
        </w:rPr>
        <w:t>Buhalis</w:t>
      </w:r>
      <w:proofErr w:type="spellEnd"/>
      <w:r w:rsidRPr="00222086">
        <w:rPr>
          <w:rFonts w:ascii="Times New Roman" w:eastAsia="Times New Roman" w:hAnsi="Times New Roman" w:cs="Times New Roman"/>
          <w:sz w:val="24"/>
          <w:szCs w:val="24"/>
          <w:lang w:eastAsia="en-GB"/>
        </w:rPr>
        <w:t xml:space="preserve">, D. (2021). Perspectives on experiences of tourists with disabilities: implications for their daily lives and for the tourist industry. </w:t>
      </w:r>
      <w:r w:rsidRPr="00222086">
        <w:rPr>
          <w:rFonts w:ascii="Times New Roman" w:eastAsia="Times New Roman" w:hAnsi="Times New Roman" w:cs="Times New Roman"/>
          <w:i/>
          <w:iCs/>
          <w:sz w:val="24"/>
          <w:szCs w:val="24"/>
          <w:lang w:eastAsia="en-GB"/>
        </w:rPr>
        <w:t>Tourism Recreation Research</w:t>
      </w:r>
      <w:r w:rsidRPr="00222086">
        <w:rPr>
          <w:rFonts w:ascii="Times New Roman" w:eastAsia="Times New Roman" w:hAnsi="Times New Roman" w:cs="Times New Roman"/>
          <w:sz w:val="24"/>
          <w:szCs w:val="24"/>
          <w:lang w:eastAsia="en-GB"/>
        </w:rPr>
        <w:t xml:space="preserve">, 49(1), pp.1–15. </w:t>
      </w:r>
      <w:proofErr w:type="spellStart"/>
      <w:r w:rsidRPr="00222086">
        <w:rPr>
          <w:rFonts w:ascii="Times New Roman" w:eastAsia="Times New Roman" w:hAnsi="Times New Roman" w:cs="Times New Roman"/>
          <w:sz w:val="24"/>
          <w:szCs w:val="24"/>
          <w:lang w:eastAsia="en-GB"/>
        </w:rPr>
        <w:t>doi:https</w:t>
      </w:r>
      <w:proofErr w:type="spellEnd"/>
      <w:r w:rsidRPr="00222086">
        <w:rPr>
          <w:rFonts w:ascii="Times New Roman" w:eastAsia="Times New Roman" w:hAnsi="Times New Roman" w:cs="Times New Roman"/>
          <w:sz w:val="24"/>
          <w:szCs w:val="24"/>
          <w:lang w:eastAsia="en-GB"/>
        </w:rPr>
        <w:t>://doi.org/10.1080/02508281.2021.1981071.</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Russell, J. (2023). </w:t>
      </w:r>
      <w:r w:rsidRPr="00222086">
        <w:rPr>
          <w:rFonts w:ascii="Times New Roman" w:eastAsia="Times New Roman" w:hAnsi="Times New Roman" w:cs="Times New Roman"/>
          <w:i/>
          <w:iCs/>
          <w:sz w:val="24"/>
          <w:szCs w:val="24"/>
          <w:lang w:eastAsia="en-GB"/>
        </w:rPr>
        <w:t>A brief history of hospitality: circa 4,000 BC to date</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Hospitality &amp; Catering News. Available at: https://www.hospitalityandcateringnews.com/2023/08/a-brief-history-of-hospitality-circa-4000-bc-to-date/.</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Shakespeare, T. (2006). </w:t>
      </w:r>
      <w:r w:rsidRPr="00222086">
        <w:rPr>
          <w:rFonts w:ascii="Times New Roman" w:eastAsia="Times New Roman" w:hAnsi="Times New Roman" w:cs="Times New Roman"/>
          <w:i/>
          <w:iCs/>
          <w:sz w:val="24"/>
          <w:szCs w:val="24"/>
          <w:lang w:eastAsia="en-GB"/>
        </w:rPr>
        <w:t>Disability Rights and Wrongs</w:t>
      </w:r>
      <w:r w:rsidRPr="00222086">
        <w:rPr>
          <w:rFonts w:ascii="Times New Roman" w:eastAsia="Times New Roman" w:hAnsi="Times New Roman" w:cs="Times New Roman"/>
          <w:sz w:val="24"/>
          <w:szCs w:val="24"/>
          <w:lang w:eastAsia="en-GB"/>
        </w:rPr>
        <w:t>. Routledge.</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Social Care Institute for Excellence (</w:t>
      </w:r>
      <w:proofErr w:type="spellStart"/>
      <w:r w:rsidRPr="00222086">
        <w:rPr>
          <w:rFonts w:ascii="Times New Roman" w:eastAsia="Times New Roman" w:hAnsi="Times New Roman" w:cs="Times New Roman"/>
          <w:sz w:val="24"/>
          <w:szCs w:val="24"/>
          <w:lang w:eastAsia="en-GB"/>
        </w:rPr>
        <w:t>n.d.</w:t>
      </w:r>
      <w:proofErr w:type="spellEnd"/>
      <w:r w:rsidRPr="00222086">
        <w:rPr>
          <w:rFonts w:ascii="Times New Roman" w:eastAsia="Times New Roman" w:hAnsi="Times New Roman" w:cs="Times New Roman"/>
          <w:sz w:val="24"/>
          <w:szCs w:val="24"/>
          <w:lang w:eastAsia="en-GB"/>
        </w:rPr>
        <w:t xml:space="preserve">). </w:t>
      </w:r>
      <w:r w:rsidRPr="00222086">
        <w:rPr>
          <w:rFonts w:ascii="Times New Roman" w:eastAsia="Times New Roman" w:hAnsi="Times New Roman" w:cs="Times New Roman"/>
          <w:i/>
          <w:iCs/>
          <w:sz w:val="24"/>
          <w:szCs w:val="24"/>
          <w:lang w:eastAsia="en-GB"/>
        </w:rPr>
        <w:t>Making events accessible: Introduction</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SCIE. Available at: https://www.scie.org.uk/co-production/supporting/making-events-accessible/introduction/.</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i/>
          <w:iCs/>
          <w:sz w:val="24"/>
          <w:szCs w:val="24"/>
          <w:lang w:eastAsia="en-GB"/>
        </w:rPr>
        <w:t>The Equality Act 2010 (Disability) Regulations 2010</w:t>
      </w:r>
      <w:r w:rsidRPr="00222086">
        <w:rPr>
          <w:rFonts w:ascii="Times New Roman" w:eastAsia="Times New Roman" w:hAnsi="Times New Roman" w:cs="Times New Roman"/>
          <w:sz w:val="24"/>
          <w:szCs w:val="24"/>
          <w:lang w:eastAsia="en-GB"/>
        </w:rPr>
        <w:t>.</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The </w:t>
      </w:r>
      <w:proofErr w:type="spellStart"/>
      <w:r w:rsidRPr="00222086">
        <w:rPr>
          <w:rFonts w:ascii="Times New Roman" w:eastAsia="Times New Roman" w:hAnsi="Times New Roman" w:cs="Times New Roman"/>
          <w:sz w:val="24"/>
          <w:szCs w:val="24"/>
          <w:lang w:eastAsia="en-GB"/>
        </w:rPr>
        <w:t>Statler</w:t>
      </w:r>
      <w:proofErr w:type="spellEnd"/>
      <w:r w:rsidRPr="00222086">
        <w:rPr>
          <w:rFonts w:ascii="Times New Roman" w:eastAsia="Times New Roman" w:hAnsi="Times New Roman" w:cs="Times New Roman"/>
          <w:sz w:val="24"/>
          <w:szCs w:val="24"/>
          <w:lang w:eastAsia="en-GB"/>
        </w:rPr>
        <w:t xml:space="preserve"> Foundation (2022). </w:t>
      </w:r>
      <w:r w:rsidRPr="00222086">
        <w:rPr>
          <w:rFonts w:ascii="Times New Roman" w:eastAsia="Times New Roman" w:hAnsi="Times New Roman" w:cs="Times New Roman"/>
          <w:i/>
          <w:iCs/>
          <w:sz w:val="24"/>
          <w:szCs w:val="24"/>
          <w:lang w:eastAsia="en-GB"/>
        </w:rPr>
        <w:t xml:space="preserve">Home - The </w:t>
      </w:r>
      <w:proofErr w:type="spellStart"/>
      <w:r w:rsidRPr="00222086">
        <w:rPr>
          <w:rFonts w:ascii="Times New Roman" w:eastAsia="Times New Roman" w:hAnsi="Times New Roman" w:cs="Times New Roman"/>
          <w:i/>
          <w:iCs/>
          <w:sz w:val="24"/>
          <w:szCs w:val="24"/>
          <w:lang w:eastAsia="en-GB"/>
        </w:rPr>
        <w:t>Statler</w:t>
      </w:r>
      <w:proofErr w:type="spellEnd"/>
      <w:r w:rsidRPr="00222086">
        <w:rPr>
          <w:rFonts w:ascii="Times New Roman" w:eastAsia="Times New Roman" w:hAnsi="Times New Roman" w:cs="Times New Roman"/>
          <w:i/>
          <w:iCs/>
          <w:sz w:val="24"/>
          <w:szCs w:val="24"/>
          <w:lang w:eastAsia="en-GB"/>
        </w:rPr>
        <w:t xml:space="preserve"> Foundation</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xml:space="preserve">] The </w:t>
      </w:r>
      <w:proofErr w:type="spellStart"/>
      <w:r w:rsidRPr="00222086">
        <w:rPr>
          <w:rFonts w:ascii="Times New Roman" w:eastAsia="Times New Roman" w:hAnsi="Times New Roman" w:cs="Times New Roman"/>
          <w:sz w:val="24"/>
          <w:szCs w:val="24"/>
          <w:lang w:eastAsia="en-GB"/>
        </w:rPr>
        <w:t>Statler</w:t>
      </w:r>
      <w:proofErr w:type="spellEnd"/>
      <w:r w:rsidRPr="00222086">
        <w:rPr>
          <w:rFonts w:ascii="Times New Roman" w:eastAsia="Times New Roman" w:hAnsi="Times New Roman" w:cs="Times New Roman"/>
          <w:sz w:val="24"/>
          <w:szCs w:val="24"/>
          <w:lang w:eastAsia="en-GB"/>
        </w:rPr>
        <w:t xml:space="preserve"> Foundation. Available at: https://statlerfoundation.com/ [Accessed 13 Nov. 2024].</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t xml:space="preserve">Tracey, J.B. (2023). Life is Service. </w:t>
      </w:r>
      <w:r w:rsidRPr="00222086">
        <w:rPr>
          <w:rFonts w:ascii="Times New Roman" w:eastAsia="Times New Roman" w:hAnsi="Times New Roman" w:cs="Times New Roman"/>
          <w:i/>
          <w:iCs/>
          <w:sz w:val="24"/>
          <w:szCs w:val="24"/>
          <w:lang w:eastAsia="en-GB"/>
        </w:rPr>
        <w:t>Cornell Hospitality Quarterly</w:t>
      </w:r>
      <w:r w:rsidRPr="00222086">
        <w:rPr>
          <w:rFonts w:ascii="Times New Roman" w:eastAsia="Times New Roman" w:hAnsi="Times New Roman" w:cs="Times New Roman"/>
          <w:sz w:val="24"/>
          <w:szCs w:val="24"/>
          <w:lang w:eastAsia="en-GB"/>
        </w:rPr>
        <w:t xml:space="preserve">, 64(3), pp.288–288. </w:t>
      </w:r>
      <w:proofErr w:type="spellStart"/>
      <w:r w:rsidRPr="00222086">
        <w:rPr>
          <w:rFonts w:ascii="Times New Roman" w:eastAsia="Times New Roman" w:hAnsi="Times New Roman" w:cs="Times New Roman"/>
          <w:sz w:val="24"/>
          <w:szCs w:val="24"/>
          <w:lang w:eastAsia="en-GB"/>
        </w:rPr>
        <w:t>doi:https</w:t>
      </w:r>
      <w:proofErr w:type="spellEnd"/>
      <w:r w:rsidRPr="00222086">
        <w:rPr>
          <w:rFonts w:ascii="Times New Roman" w:eastAsia="Times New Roman" w:hAnsi="Times New Roman" w:cs="Times New Roman"/>
          <w:sz w:val="24"/>
          <w:szCs w:val="24"/>
          <w:lang w:eastAsia="en-GB"/>
        </w:rPr>
        <w:t>://doi.org/10.1177/19389655231183278.</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r w:rsidRPr="00222086">
        <w:rPr>
          <w:rFonts w:ascii="Times New Roman" w:eastAsia="Times New Roman" w:hAnsi="Times New Roman" w:cs="Times New Roman"/>
          <w:sz w:val="24"/>
          <w:szCs w:val="24"/>
          <w:lang w:eastAsia="en-GB"/>
        </w:rPr>
        <w:lastRenderedPageBreak/>
        <w:t xml:space="preserve">World Health Organization (2022). </w:t>
      </w:r>
      <w:r w:rsidRPr="00222086">
        <w:rPr>
          <w:rFonts w:ascii="Times New Roman" w:eastAsia="Times New Roman" w:hAnsi="Times New Roman" w:cs="Times New Roman"/>
          <w:i/>
          <w:iCs/>
          <w:sz w:val="24"/>
          <w:szCs w:val="24"/>
          <w:lang w:eastAsia="en-GB"/>
        </w:rPr>
        <w:t>World Health Statistics 2022</w:t>
      </w:r>
      <w:r w:rsidRPr="00222086">
        <w:rPr>
          <w:rFonts w:ascii="Times New Roman" w:eastAsia="Times New Roman" w:hAnsi="Times New Roman" w:cs="Times New Roman"/>
          <w:sz w:val="24"/>
          <w:szCs w:val="24"/>
          <w:lang w:eastAsia="en-GB"/>
        </w:rPr>
        <w:t>. [</w:t>
      </w:r>
      <w:proofErr w:type="gramStart"/>
      <w:r w:rsidRPr="00222086">
        <w:rPr>
          <w:rFonts w:ascii="Times New Roman" w:eastAsia="Times New Roman" w:hAnsi="Times New Roman" w:cs="Times New Roman"/>
          <w:sz w:val="24"/>
          <w:szCs w:val="24"/>
          <w:lang w:eastAsia="en-GB"/>
        </w:rPr>
        <w:t>online</w:t>
      </w:r>
      <w:proofErr w:type="gramEnd"/>
      <w:r w:rsidRPr="00222086">
        <w:rPr>
          <w:rFonts w:ascii="Times New Roman" w:eastAsia="Times New Roman" w:hAnsi="Times New Roman" w:cs="Times New Roman"/>
          <w:sz w:val="24"/>
          <w:szCs w:val="24"/>
          <w:lang w:eastAsia="en-GB"/>
        </w:rPr>
        <w:t>] www.who.int. Available at: https://www.who.int/news/item/20-05-2022-world-health-statistics-2022.</w:t>
      </w:r>
    </w:p>
    <w:p w:rsidR="00222086" w:rsidRPr="00222086" w:rsidRDefault="00222086" w:rsidP="00222086">
      <w:pPr>
        <w:spacing w:after="240" w:line="360" w:lineRule="auto"/>
        <w:rPr>
          <w:rFonts w:ascii="Times New Roman" w:eastAsia="Times New Roman" w:hAnsi="Times New Roman" w:cs="Times New Roman"/>
          <w:sz w:val="24"/>
          <w:szCs w:val="24"/>
          <w:lang w:eastAsia="en-GB"/>
        </w:rPr>
      </w:pPr>
      <w:proofErr w:type="spellStart"/>
      <w:r w:rsidRPr="00222086">
        <w:rPr>
          <w:rFonts w:ascii="MS Mincho" w:eastAsia="Times New Roman" w:hAnsi="MS Mincho" w:cs="MS Mincho"/>
          <w:sz w:val="24"/>
          <w:szCs w:val="24"/>
          <w:lang w:eastAsia="en-GB"/>
        </w:rPr>
        <w:t>作者</w:t>
      </w:r>
      <w:proofErr w:type="spellEnd"/>
      <w:r w:rsidRPr="00222086">
        <w:rPr>
          <w:rFonts w:ascii="MS Mincho" w:eastAsia="Times New Roman" w:hAnsi="MS Mincho" w:cs="MS Mincho"/>
          <w:sz w:val="24"/>
          <w:szCs w:val="24"/>
          <w:lang w:eastAsia="en-GB"/>
        </w:rPr>
        <w:t>：</w:t>
      </w:r>
      <w:r w:rsidRPr="00222086">
        <w:rPr>
          <w:rFonts w:ascii="Times New Roman" w:eastAsia="Times New Roman" w:hAnsi="Times New Roman" w:cs="Times New Roman"/>
          <w:sz w:val="24"/>
          <w:szCs w:val="24"/>
          <w:lang w:eastAsia="en-GB"/>
        </w:rPr>
        <w:t xml:space="preserve"> Chris </w:t>
      </w:r>
      <w:proofErr w:type="spellStart"/>
      <w:r w:rsidRPr="00222086">
        <w:rPr>
          <w:rFonts w:ascii="Times New Roman" w:eastAsia="Times New Roman" w:hAnsi="Times New Roman" w:cs="Times New Roman"/>
          <w:sz w:val="24"/>
          <w:szCs w:val="24"/>
          <w:lang w:eastAsia="en-GB"/>
        </w:rPr>
        <w:t>Rojek</w:t>
      </w:r>
      <w:proofErr w:type="spellEnd"/>
      <w:r w:rsidRPr="00222086">
        <w:rPr>
          <w:rFonts w:ascii="Times New Roman" w:eastAsia="Times New Roman" w:hAnsi="Times New Roman" w:cs="Times New Roman"/>
          <w:sz w:val="24"/>
          <w:szCs w:val="24"/>
          <w:lang w:eastAsia="en-GB"/>
        </w:rPr>
        <w:t xml:space="preserve"> (2005). </w:t>
      </w:r>
      <w:r w:rsidRPr="00222086">
        <w:rPr>
          <w:rFonts w:ascii="Times New Roman" w:eastAsia="Times New Roman" w:hAnsi="Times New Roman" w:cs="Times New Roman"/>
          <w:i/>
          <w:iCs/>
          <w:sz w:val="24"/>
          <w:szCs w:val="24"/>
          <w:lang w:eastAsia="en-GB"/>
        </w:rPr>
        <w:t xml:space="preserve">Leisure </w:t>
      </w:r>
      <w:proofErr w:type="gramStart"/>
      <w:r w:rsidRPr="00222086">
        <w:rPr>
          <w:rFonts w:ascii="Times New Roman" w:eastAsia="Times New Roman" w:hAnsi="Times New Roman" w:cs="Times New Roman"/>
          <w:i/>
          <w:iCs/>
          <w:sz w:val="24"/>
          <w:szCs w:val="24"/>
          <w:lang w:eastAsia="en-GB"/>
        </w:rPr>
        <w:t>theory :</w:t>
      </w:r>
      <w:proofErr w:type="gramEnd"/>
      <w:r w:rsidRPr="00222086">
        <w:rPr>
          <w:rFonts w:ascii="Times New Roman" w:eastAsia="Times New Roman" w:hAnsi="Times New Roman" w:cs="Times New Roman"/>
          <w:i/>
          <w:iCs/>
          <w:sz w:val="24"/>
          <w:szCs w:val="24"/>
          <w:lang w:eastAsia="en-GB"/>
        </w:rPr>
        <w:t xml:space="preserve"> principles and practices</w:t>
      </w:r>
      <w:r w:rsidRPr="00222086">
        <w:rPr>
          <w:rFonts w:ascii="Times New Roman" w:eastAsia="Times New Roman" w:hAnsi="Times New Roman" w:cs="Times New Roman"/>
          <w:sz w:val="24"/>
          <w:szCs w:val="24"/>
          <w:lang w:eastAsia="en-GB"/>
        </w:rPr>
        <w:t xml:space="preserve">. </w:t>
      </w:r>
      <w:proofErr w:type="spellStart"/>
      <w:r w:rsidRPr="00222086">
        <w:rPr>
          <w:rFonts w:ascii="MS Mincho" w:eastAsia="Times New Roman" w:hAnsi="MS Mincho" w:cs="MS Mincho"/>
          <w:sz w:val="24"/>
          <w:szCs w:val="24"/>
          <w:lang w:eastAsia="en-GB"/>
        </w:rPr>
        <w:t>出版商</w:t>
      </w:r>
      <w:proofErr w:type="spellEnd"/>
      <w:r w:rsidRPr="00222086">
        <w:rPr>
          <w:rFonts w:ascii="MS Mincho" w:eastAsia="Times New Roman" w:hAnsi="MS Mincho" w:cs="MS Mincho"/>
          <w:sz w:val="24"/>
          <w:szCs w:val="24"/>
          <w:lang w:eastAsia="en-GB"/>
        </w:rPr>
        <w:t>：</w:t>
      </w:r>
      <w:r w:rsidRPr="00222086">
        <w:rPr>
          <w:rFonts w:ascii="Times New Roman" w:eastAsia="Times New Roman" w:hAnsi="Times New Roman" w:cs="Times New Roman"/>
          <w:sz w:val="24"/>
          <w:szCs w:val="24"/>
          <w:lang w:eastAsia="en-GB"/>
        </w:rPr>
        <w:t xml:space="preserve"> </w:t>
      </w:r>
      <w:proofErr w:type="gramStart"/>
      <w:r w:rsidRPr="00222086">
        <w:rPr>
          <w:rFonts w:ascii="Times New Roman" w:eastAsia="Times New Roman" w:hAnsi="Times New Roman" w:cs="Times New Roman"/>
          <w:sz w:val="24"/>
          <w:szCs w:val="24"/>
          <w:lang w:eastAsia="en-GB"/>
        </w:rPr>
        <w:t>Basingstoke ;</w:t>
      </w:r>
      <w:proofErr w:type="gramEnd"/>
      <w:r w:rsidRPr="00222086">
        <w:rPr>
          <w:rFonts w:ascii="Times New Roman" w:eastAsia="Times New Roman" w:hAnsi="Times New Roman" w:cs="Times New Roman"/>
          <w:sz w:val="24"/>
          <w:szCs w:val="24"/>
          <w:lang w:eastAsia="en-GB"/>
        </w:rPr>
        <w:t xml:space="preserve"> New York: Palgrave Macmillan.</w:t>
      </w:r>
    </w:p>
    <w:p w:rsidR="00222086" w:rsidRPr="00222086" w:rsidRDefault="00222086" w:rsidP="00E8536E">
      <w:pPr>
        <w:spacing w:line="360" w:lineRule="auto"/>
        <w:rPr>
          <w:rFonts w:ascii="Arial" w:hAnsi="Arial" w:cs="Arial"/>
          <w:sz w:val="24"/>
          <w:szCs w:val="24"/>
        </w:rPr>
      </w:pPr>
    </w:p>
    <w:p w:rsidR="004408A9" w:rsidRDefault="004408A9" w:rsidP="00E8536E">
      <w:pPr>
        <w:spacing w:line="360" w:lineRule="auto"/>
        <w:rPr>
          <w:rFonts w:ascii="Arial" w:hAnsi="Arial" w:cs="Arial"/>
          <w:b/>
          <w:sz w:val="24"/>
          <w:szCs w:val="24"/>
          <w:u w:val="single"/>
        </w:rPr>
      </w:pPr>
    </w:p>
    <w:p w:rsidR="003C578E" w:rsidRDefault="003C578E"/>
    <w:p w:rsidR="003C578E" w:rsidRDefault="003C578E"/>
    <w:p w:rsidR="003C578E" w:rsidRDefault="003C578E"/>
    <w:p w:rsidR="003C578E" w:rsidRDefault="003C578E"/>
    <w:p w:rsidR="003C578E" w:rsidRDefault="003C578E"/>
    <w:p w:rsidR="003C578E" w:rsidRDefault="003C578E"/>
    <w:p w:rsidR="003C578E" w:rsidRDefault="003C578E"/>
    <w:p w:rsidR="003C578E" w:rsidRDefault="003C578E"/>
    <w:sectPr w:rsidR="003C5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1E9B"/>
    <w:rsid w:val="00012E47"/>
    <w:rsid w:val="00073EB0"/>
    <w:rsid w:val="000A5258"/>
    <w:rsid w:val="000E1D90"/>
    <w:rsid w:val="00112430"/>
    <w:rsid w:val="00125D43"/>
    <w:rsid w:val="00142EDA"/>
    <w:rsid w:val="00197FB1"/>
    <w:rsid w:val="001F3B78"/>
    <w:rsid w:val="002176F7"/>
    <w:rsid w:val="00221677"/>
    <w:rsid w:val="00222086"/>
    <w:rsid w:val="00255BAD"/>
    <w:rsid w:val="00286A26"/>
    <w:rsid w:val="00357E1E"/>
    <w:rsid w:val="00390EE7"/>
    <w:rsid w:val="003C578E"/>
    <w:rsid w:val="004333DE"/>
    <w:rsid w:val="004408A9"/>
    <w:rsid w:val="004503F3"/>
    <w:rsid w:val="00496098"/>
    <w:rsid w:val="004B4127"/>
    <w:rsid w:val="004F0FD6"/>
    <w:rsid w:val="00521E9B"/>
    <w:rsid w:val="00553178"/>
    <w:rsid w:val="005548A5"/>
    <w:rsid w:val="00562A16"/>
    <w:rsid w:val="00590139"/>
    <w:rsid w:val="005E7F1A"/>
    <w:rsid w:val="006164B6"/>
    <w:rsid w:val="00635F9A"/>
    <w:rsid w:val="00667409"/>
    <w:rsid w:val="006C19C9"/>
    <w:rsid w:val="00725709"/>
    <w:rsid w:val="0073358F"/>
    <w:rsid w:val="007853A5"/>
    <w:rsid w:val="00791868"/>
    <w:rsid w:val="007F2584"/>
    <w:rsid w:val="00822392"/>
    <w:rsid w:val="00856624"/>
    <w:rsid w:val="008D1AF2"/>
    <w:rsid w:val="0091025A"/>
    <w:rsid w:val="00914ED0"/>
    <w:rsid w:val="00934A76"/>
    <w:rsid w:val="00943892"/>
    <w:rsid w:val="00981969"/>
    <w:rsid w:val="009B0455"/>
    <w:rsid w:val="009B70D9"/>
    <w:rsid w:val="009D66A6"/>
    <w:rsid w:val="00A867B6"/>
    <w:rsid w:val="00A92007"/>
    <w:rsid w:val="00AF1A51"/>
    <w:rsid w:val="00B00C95"/>
    <w:rsid w:val="00B0557A"/>
    <w:rsid w:val="00B14503"/>
    <w:rsid w:val="00B87BD5"/>
    <w:rsid w:val="00B92EC7"/>
    <w:rsid w:val="00BC1310"/>
    <w:rsid w:val="00BD0DF9"/>
    <w:rsid w:val="00BE7DEE"/>
    <w:rsid w:val="00C66569"/>
    <w:rsid w:val="00C93529"/>
    <w:rsid w:val="00E73987"/>
    <w:rsid w:val="00E8536E"/>
    <w:rsid w:val="00ED150E"/>
    <w:rsid w:val="00FB4727"/>
    <w:rsid w:val="00FD73F4"/>
    <w:rsid w:val="00FF7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E3522D-402C-492B-A952-6EDA53858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503F3"/>
    <w:rPr>
      <w:b/>
      <w:bCs/>
    </w:rPr>
  </w:style>
  <w:style w:type="paragraph" w:styleId="NormalWeb">
    <w:name w:val="Normal (Web)"/>
    <w:basedOn w:val="Normal"/>
    <w:uiPriority w:val="99"/>
    <w:semiHidden/>
    <w:unhideWhenUsed/>
    <w:rsid w:val="00E739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verflow-hidden">
    <w:name w:val="overflow-hidden"/>
    <w:basedOn w:val="DefaultParagraphFont"/>
    <w:rsid w:val="00E73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8597345">
      <w:bodyDiv w:val="1"/>
      <w:marLeft w:val="0"/>
      <w:marRight w:val="0"/>
      <w:marTop w:val="0"/>
      <w:marBottom w:val="0"/>
      <w:divBdr>
        <w:top w:val="none" w:sz="0" w:space="0" w:color="auto"/>
        <w:left w:val="none" w:sz="0" w:space="0" w:color="auto"/>
        <w:bottom w:val="none" w:sz="0" w:space="0" w:color="auto"/>
        <w:right w:val="none" w:sz="0" w:space="0" w:color="auto"/>
      </w:divBdr>
    </w:div>
    <w:div w:id="1802723515">
      <w:bodyDiv w:val="1"/>
      <w:marLeft w:val="0"/>
      <w:marRight w:val="0"/>
      <w:marTop w:val="0"/>
      <w:marBottom w:val="0"/>
      <w:divBdr>
        <w:top w:val="none" w:sz="0" w:space="0" w:color="auto"/>
        <w:left w:val="none" w:sz="0" w:space="0" w:color="auto"/>
        <w:bottom w:val="none" w:sz="0" w:space="0" w:color="auto"/>
        <w:right w:val="none" w:sz="0" w:space="0" w:color="auto"/>
      </w:divBdr>
      <w:divsChild>
        <w:div w:id="249118020">
          <w:marLeft w:val="0"/>
          <w:marRight w:val="0"/>
          <w:marTop w:val="0"/>
          <w:marBottom w:val="0"/>
          <w:divBdr>
            <w:top w:val="none" w:sz="0" w:space="0" w:color="auto"/>
            <w:left w:val="none" w:sz="0" w:space="0" w:color="auto"/>
            <w:bottom w:val="none" w:sz="0" w:space="0" w:color="auto"/>
            <w:right w:val="none" w:sz="0" w:space="0" w:color="auto"/>
          </w:divBdr>
          <w:divsChild>
            <w:div w:id="895972317">
              <w:marLeft w:val="0"/>
              <w:marRight w:val="0"/>
              <w:marTop w:val="0"/>
              <w:marBottom w:val="0"/>
              <w:divBdr>
                <w:top w:val="none" w:sz="0" w:space="0" w:color="auto"/>
                <w:left w:val="none" w:sz="0" w:space="0" w:color="auto"/>
                <w:bottom w:val="none" w:sz="0" w:space="0" w:color="auto"/>
                <w:right w:val="none" w:sz="0" w:space="0" w:color="auto"/>
              </w:divBdr>
              <w:divsChild>
                <w:div w:id="277643104">
                  <w:marLeft w:val="0"/>
                  <w:marRight w:val="0"/>
                  <w:marTop w:val="0"/>
                  <w:marBottom w:val="0"/>
                  <w:divBdr>
                    <w:top w:val="none" w:sz="0" w:space="0" w:color="auto"/>
                    <w:left w:val="none" w:sz="0" w:space="0" w:color="auto"/>
                    <w:bottom w:val="none" w:sz="0" w:space="0" w:color="auto"/>
                    <w:right w:val="none" w:sz="0" w:space="0" w:color="auto"/>
                  </w:divBdr>
                  <w:divsChild>
                    <w:div w:id="95035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044572">
          <w:marLeft w:val="0"/>
          <w:marRight w:val="0"/>
          <w:marTop w:val="0"/>
          <w:marBottom w:val="0"/>
          <w:divBdr>
            <w:top w:val="none" w:sz="0" w:space="0" w:color="auto"/>
            <w:left w:val="none" w:sz="0" w:space="0" w:color="auto"/>
            <w:bottom w:val="none" w:sz="0" w:space="0" w:color="auto"/>
            <w:right w:val="none" w:sz="0" w:space="0" w:color="auto"/>
          </w:divBdr>
          <w:divsChild>
            <w:div w:id="835650084">
              <w:marLeft w:val="0"/>
              <w:marRight w:val="0"/>
              <w:marTop w:val="0"/>
              <w:marBottom w:val="0"/>
              <w:divBdr>
                <w:top w:val="none" w:sz="0" w:space="0" w:color="auto"/>
                <w:left w:val="none" w:sz="0" w:space="0" w:color="auto"/>
                <w:bottom w:val="none" w:sz="0" w:space="0" w:color="auto"/>
                <w:right w:val="none" w:sz="0" w:space="0" w:color="auto"/>
              </w:divBdr>
              <w:divsChild>
                <w:div w:id="1357925352">
                  <w:marLeft w:val="0"/>
                  <w:marRight w:val="0"/>
                  <w:marTop w:val="0"/>
                  <w:marBottom w:val="0"/>
                  <w:divBdr>
                    <w:top w:val="none" w:sz="0" w:space="0" w:color="auto"/>
                    <w:left w:val="none" w:sz="0" w:space="0" w:color="auto"/>
                    <w:bottom w:val="none" w:sz="0" w:space="0" w:color="auto"/>
                    <w:right w:val="none" w:sz="0" w:space="0" w:color="auto"/>
                  </w:divBdr>
                  <w:divsChild>
                    <w:div w:id="169045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91179">
      <w:bodyDiv w:val="1"/>
      <w:marLeft w:val="0"/>
      <w:marRight w:val="0"/>
      <w:marTop w:val="0"/>
      <w:marBottom w:val="0"/>
      <w:divBdr>
        <w:top w:val="none" w:sz="0" w:space="0" w:color="auto"/>
        <w:left w:val="none" w:sz="0" w:space="0" w:color="auto"/>
        <w:bottom w:val="none" w:sz="0" w:space="0" w:color="auto"/>
        <w:right w:val="none" w:sz="0" w:space="0" w:color="auto"/>
      </w:divBdr>
      <w:divsChild>
        <w:div w:id="94330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4014</Words>
  <Characters>22882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2024-11-15T14:44:00Z</dcterms:created>
  <dcterms:modified xsi:type="dcterms:W3CDTF">2024-11-15T14:44:00Z</dcterms:modified>
</cp:coreProperties>
</file>