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xmlns:a16="http://schemas.microsoft.com/office/drawing/2014/main" xmlns:c="http://schemas.openxmlformats.org/drawingml/2006/chart" mc:Ignorable="w14 w15 w16se w16cid w16 w16cex w16sdtdh w16sdtfl w16du wp14">
  <w:body>
    <w:p w:rsidR="00192D5C" w:rsidP="00192D5C" w:rsidRDefault="00192D5C" w14:paraId="69A08029" w14:textId="5DD49C20">
      <w:pPr>
        <w:spacing w:after="160" w:line="259" w:lineRule="auto"/>
        <w:jc w:val="center"/>
        <w:rPr>
          <w:b/>
          <w:bCs/>
          <w:noProof/>
          <w:sz w:val="28"/>
          <w:szCs w:val="24"/>
          <w:lang w:val="en-US"/>
        </w:rPr>
      </w:pPr>
    </w:p>
    <w:p w:rsidR="006E05BE" w:rsidP="00192D5C" w:rsidRDefault="006E05BE" w14:paraId="19B50AA6" w14:textId="342BD512">
      <w:pPr>
        <w:spacing w:after="160" w:line="259" w:lineRule="auto"/>
        <w:jc w:val="center"/>
        <w:rPr>
          <w:b/>
          <w:bCs/>
          <w:sz w:val="28"/>
          <w:szCs w:val="24"/>
          <w:lang w:val="en-US"/>
        </w:rPr>
      </w:pPr>
      <w:r>
        <w:rPr>
          <w:noProof/>
        </w:rPr>
        <w:drawing>
          <wp:inline distT="0" distB="0" distL="0" distR="0" wp14:anchorId="3ED025FE" wp14:editId="5E638DBF">
            <wp:extent cx="3864334" cy="1279098"/>
            <wp:effectExtent l="0" t="0" r="3175" b="0"/>
            <wp:docPr id="827737020"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98826" cy="1290515"/>
                    </a:xfrm>
                    <a:prstGeom prst="rect">
                      <a:avLst/>
                    </a:prstGeom>
                    <a:noFill/>
                    <a:ln>
                      <a:noFill/>
                    </a:ln>
                  </pic:spPr>
                </pic:pic>
              </a:graphicData>
            </a:graphic>
          </wp:inline>
        </w:drawing>
      </w:r>
    </w:p>
    <w:p w:rsidR="00192D5C" w:rsidP="00192D5C" w:rsidRDefault="00192D5C" w14:paraId="6F0CB23E" w14:textId="77777777">
      <w:pPr>
        <w:spacing w:after="160" w:line="259" w:lineRule="auto"/>
        <w:jc w:val="center"/>
        <w:rPr>
          <w:b/>
          <w:bCs/>
          <w:sz w:val="28"/>
          <w:szCs w:val="24"/>
        </w:rPr>
      </w:pPr>
    </w:p>
    <w:p w:rsidR="00192D5C" w:rsidP="00192D5C" w:rsidRDefault="00192D5C" w14:paraId="1BA5C31A" w14:textId="77777777">
      <w:pPr>
        <w:spacing w:after="160" w:line="259" w:lineRule="auto"/>
        <w:jc w:val="center"/>
        <w:rPr>
          <w:b/>
          <w:bCs/>
          <w:sz w:val="28"/>
          <w:szCs w:val="24"/>
        </w:rPr>
      </w:pPr>
    </w:p>
    <w:p w:rsidRPr="006E05BE" w:rsidR="00192D5C" w:rsidP="00192D5C" w:rsidRDefault="006E05BE" w14:paraId="7B06D557" w14:textId="532ACDC9">
      <w:pPr>
        <w:spacing w:after="160" w:line="259" w:lineRule="auto"/>
        <w:jc w:val="center"/>
        <w:rPr>
          <w:b/>
          <w:bCs/>
          <w:sz w:val="32"/>
          <w:szCs w:val="32"/>
        </w:rPr>
      </w:pPr>
      <w:r w:rsidRPr="006E05BE">
        <w:rPr>
          <w:b/>
          <w:bCs/>
          <w:sz w:val="32"/>
          <w:szCs w:val="32"/>
        </w:rPr>
        <w:t>Master of Business Administration</w:t>
      </w:r>
    </w:p>
    <w:p w:rsidRPr="006E05BE" w:rsidR="006E05BE" w:rsidP="00192D5C" w:rsidRDefault="006E05BE" w14:paraId="360ED9C1" w14:textId="77777777">
      <w:pPr>
        <w:spacing w:after="160" w:line="259" w:lineRule="auto"/>
        <w:jc w:val="center"/>
        <w:rPr>
          <w:b/>
          <w:bCs/>
          <w:sz w:val="32"/>
          <w:szCs w:val="32"/>
        </w:rPr>
      </w:pPr>
    </w:p>
    <w:p w:rsidRPr="006E05BE" w:rsidR="00192D5C" w:rsidP="00192D5C" w:rsidRDefault="00192D5C" w14:paraId="08392337" w14:textId="614B19A1">
      <w:pPr>
        <w:spacing w:after="160" w:line="259" w:lineRule="auto"/>
        <w:jc w:val="center"/>
        <w:rPr>
          <w:b/>
          <w:bCs/>
          <w:sz w:val="32"/>
          <w:szCs w:val="32"/>
        </w:rPr>
      </w:pPr>
      <w:r w:rsidRPr="006E05BE">
        <w:rPr>
          <w:b/>
          <w:bCs/>
          <w:sz w:val="32"/>
          <w:szCs w:val="32"/>
        </w:rPr>
        <w:t>Financial Management</w:t>
      </w:r>
    </w:p>
    <w:p w:rsidR="00192D5C" w:rsidP="00192D5C" w:rsidRDefault="00192D5C" w14:paraId="1308A5E9" w14:textId="77777777">
      <w:pPr>
        <w:spacing w:after="160" w:line="259" w:lineRule="auto"/>
        <w:jc w:val="center"/>
        <w:rPr>
          <w:b/>
          <w:bCs/>
          <w:sz w:val="32"/>
          <w:szCs w:val="28"/>
        </w:rPr>
      </w:pPr>
    </w:p>
    <w:p w:rsidRPr="00192D5C" w:rsidR="00192D5C" w:rsidP="00192D5C" w:rsidRDefault="00192D5C" w14:paraId="4DD1A693" w14:textId="77777777">
      <w:pPr>
        <w:spacing w:after="160" w:line="259" w:lineRule="auto"/>
        <w:jc w:val="center"/>
        <w:rPr>
          <w:b/>
          <w:bCs/>
          <w:sz w:val="32"/>
          <w:szCs w:val="28"/>
        </w:rPr>
      </w:pPr>
    </w:p>
    <w:p w:rsidR="00192D5C" w:rsidP="00192D5C" w:rsidRDefault="00192D5C" w14:paraId="61DC24DD" w14:textId="5D4046FD">
      <w:pPr>
        <w:spacing w:after="160" w:line="259" w:lineRule="auto"/>
        <w:jc w:val="center"/>
        <w:rPr>
          <w:b/>
          <w:bCs/>
          <w:i/>
          <w:iCs/>
          <w:sz w:val="32"/>
          <w:szCs w:val="28"/>
        </w:rPr>
      </w:pPr>
      <w:r w:rsidRPr="26655345" w:rsidR="00192D5C">
        <w:rPr>
          <w:b w:val="1"/>
          <w:bCs w:val="1"/>
          <w:i w:val="1"/>
          <w:iCs w:val="1"/>
          <w:sz w:val="32"/>
          <w:szCs w:val="32"/>
        </w:rPr>
        <w:t>LCMB7002</w:t>
      </w:r>
    </w:p>
    <w:p w:rsidR="617C405A" w:rsidP="26655345" w:rsidRDefault="617C405A" w14:paraId="67197C64" w14:textId="020C7E69">
      <w:pPr>
        <w:spacing w:after="160" w:line="259" w:lineRule="auto"/>
        <w:jc w:val="center"/>
        <w:rPr>
          <w:b w:val="1"/>
          <w:bCs w:val="1"/>
          <w:i w:val="1"/>
          <w:iCs w:val="1"/>
          <w:sz w:val="32"/>
          <w:szCs w:val="32"/>
        </w:rPr>
      </w:pPr>
      <w:r w:rsidRPr="26655345" w:rsidR="617C405A">
        <w:rPr>
          <w:b w:val="1"/>
          <w:bCs w:val="1"/>
          <w:i w:val="0"/>
          <w:iCs w:val="0"/>
          <w:sz w:val="32"/>
          <w:szCs w:val="32"/>
        </w:rPr>
        <w:t xml:space="preserve">Student </w:t>
      </w:r>
      <w:r w:rsidRPr="26655345" w:rsidR="617C405A">
        <w:rPr>
          <w:b w:val="1"/>
          <w:bCs w:val="1"/>
          <w:i w:val="0"/>
          <w:iCs w:val="0"/>
          <w:sz w:val="32"/>
          <w:szCs w:val="32"/>
        </w:rPr>
        <w:t>Id :</w:t>
      </w:r>
      <w:r w:rsidRPr="26655345" w:rsidR="617C405A">
        <w:rPr>
          <w:b w:val="1"/>
          <w:bCs w:val="1"/>
          <w:i w:val="0"/>
          <w:iCs w:val="0"/>
          <w:sz w:val="32"/>
          <w:szCs w:val="32"/>
        </w:rPr>
        <w:t xml:space="preserve"> 2519666</w:t>
      </w:r>
    </w:p>
    <w:p w:rsidRPr="00B5215D" w:rsidR="000E4EDD" w:rsidP="26655345" w:rsidRDefault="000E4EDD" w14:paraId="322454E5" w14:textId="4CC339D0">
      <w:pPr>
        <w:spacing w:after="160" w:line="259" w:lineRule="auto"/>
        <w:jc w:val="center"/>
        <w:rPr>
          <w:b w:val="1"/>
          <w:bCs w:val="1"/>
          <w:i w:val="0"/>
          <w:iCs w:val="0"/>
          <w:sz w:val="32"/>
          <w:szCs w:val="32"/>
          <w:lang w:val="en-US"/>
        </w:rPr>
      </w:pPr>
      <w:r w:rsidRPr="26655345" w:rsidR="4C63B683">
        <w:rPr>
          <w:b w:val="1"/>
          <w:bCs w:val="1"/>
          <w:i w:val="0"/>
          <w:iCs w:val="0"/>
          <w:sz w:val="32"/>
          <w:szCs w:val="32"/>
          <w:lang w:val="en-US"/>
        </w:rPr>
        <w:t xml:space="preserve">Student </w:t>
      </w:r>
      <w:r w:rsidRPr="26655345" w:rsidR="4C63B683">
        <w:rPr>
          <w:b w:val="1"/>
          <w:bCs w:val="1"/>
          <w:i w:val="0"/>
          <w:iCs w:val="0"/>
          <w:sz w:val="32"/>
          <w:szCs w:val="32"/>
          <w:lang w:val="en-US"/>
        </w:rPr>
        <w:t>name :</w:t>
      </w:r>
      <w:r w:rsidRPr="26655345" w:rsidR="4C63B683">
        <w:rPr>
          <w:b w:val="1"/>
          <w:bCs w:val="1"/>
          <w:i w:val="0"/>
          <w:iCs w:val="0"/>
          <w:sz w:val="32"/>
          <w:szCs w:val="32"/>
          <w:lang w:val="en-US"/>
        </w:rPr>
        <w:t xml:space="preserve"> </w:t>
      </w:r>
      <w:r w:rsidRPr="26655345" w:rsidR="4C63B683">
        <w:rPr>
          <w:b w:val="1"/>
          <w:bCs w:val="1"/>
          <w:i w:val="0"/>
          <w:iCs w:val="0"/>
          <w:sz w:val="32"/>
          <w:szCs w:val="32"/>
          <w:lang w:val="en-US"/>
        </w:rPr>
        <w:t>Godhani</w:t>
      </w:r>
      <w:r w:rsidRPr="26655345" w:rsidR="4C63B683">
        <w:rPr>
          <w:b w:val="1"/>
          <w:bCs w:val="1"/>
          <w:i w:val="0"/>
          <w:iCs w:val="0"/>
          <w:sz w:val="32"/>
          <w:szCs w:val="32"/>
          <w:lang w:val="en-US"/>
        </w:rPr>
        <w:t xml:space="preserve"> Hevin Ashvinbhai</w:t>
      </w:r>
    </w:p>
    <w:p w:rsidRPr="00192D5C" w:rsidR="00192D5C" w:rsidP="00192D5C" w:rsidRDefault="00192D5C" w14:paraId="05B64821" w14:textId="77777777">
      <w:pPr>
        <w:spacing w:after="160" w:line="259" w:lineRule="auto"/>
        <w:jc w:val="center"/>
        <w:rPr>
          <w:b/>
          <w:bCs/>
          <w:sz w:val="32"/>
          <w:szCs w:val="28"/>
        </w:rPr>
      </w:pPr>
    </w:p>
    <w:p w:rsidRPr="00192D5C" w:rsidR="00192D5C" w:rsidP="00192D5C" w:rsidRDefault="00192D5C" w14:paraId="53D69C39" w14:textId="77777777">
      <w:pPr>
        <w:spacing w:after="160" w:line="259" w:lineRule="auto"/>
        <w:jc w:val="center"/>
        <w:rPr>
          <w:b/>
          <w:bCs/>
          <w:sz w:val="32"/>
          <w:szCs w:val="28"/>
        </w:rPr>
      </w:pPr>
    </w:p>
    <w:p w:rsidR="00192D5C" w:rsidP="006E05BE" w:rsidRDefault="00192D5C" w14:paraId="75284564" w14:textId="2E176707">
      <w:pPr>
        <w:spacing w:after="160"/>
        <w:jc w:val="center"/>
        <w:rPr>
          <w:b/>
          <w:bCs/>
          <w:sz w:val="32"/>
          <w:szCs w:val="28"/>
        </w:rPr>
      </w:pPr>
      <w:r w:rsidRPr="00192D5C">
        <w:rPr>
          <w:b/>
          <w:bCs/>
          <w:sz w:val="32"/>
          <w:szCs w:val="28"/>
        </w:rPr>
        <w:t xml:space="preserve">Assessment </w:t>
      </w:r>
      <w:r w:rsidRPr="00192D5C" w:rsidR="006E05BE">
        <w:rPr>
          <w:b/>
          <w:bCs/>
          <w:sz w:val="32"/>
          <w:szCs w:val="28"/>
        </w:rPr>
        <w:t xml:space="preserve">Component: </w:t>
      </w:r>
      <w:r w:rsidRPr="00192D5C">
        <w:rPr>
          <w:b/>
          <w:bCs/>
          <w:sz w:val="32"/>
          <w:szCs w:val="28"/>
        </w:rPr>
        <w:t xml:space="preserve">Financial </w:t>
      </w:r>
      <w:r w:rsidRPr="00192D5C" w:rsidR="006E05BE">
        <w:rPr>
          <w:b/>
          <w:bCs/>
          <w:sz w:val="32"/>
          <w:szCs w:val="28"/>
        </w:rPr>
        <w:t xml:space="preserve">Performance </w:t>
      </w:r>
      <w:r w:rsidRPr="00192D5C">
        <w:rPr>
          <w:b/>
          <w:bCs/>
          <w:sz w:val="32"/>
          <w:szCs w:val="28"/>
        </w:rPr>
        <w:t>and management</w:t>
      </w:r>
    </w:p>
    <w:p w:rsidR="006E05BE" w:rsidP="00192D5C" w:rsidRDefault="006E05BE" w14:paraId="7BAA321C" w14:textId="77777777">
      <w:pPr>
        <w:spacing w:after="160" w:line="259" w:lineRule="auto"/>
        <w:jc w:val="center"/>
        <w:rPr>
          <w:b/>
          <w:bCs/>
          <w:sz w:val="32"/>
          <w:szCs w:val="28"/>
        </w:rPr>
      </w:pPr>
    </w:p>
    <w:p w:rsidRPr="00517427" w:rsidR="006E05BE" w:rsidP="00192D5C" w:rsidRDefault="006E05BE" w14:paraId="0C4315C3" w14:textId="158F2DB9">
      <w:pPr>
        <w:spacing w:after="160" w:line="259" w:lineRule="auto"/>
        <w:jc w:val="center"/>
        <w:rPr>
          <w:b/>
          <w:bCs/>
          <w:i/>
          <w:iCs/>
          <w:sz w:val="28"/>
          <w:szCs w:val="24"/>
          <w:u w:val="single"/>
        </w:rPr>
      </w:pPr>
      <w:r w:rsidRPr="00517427">
        <w:rPr>
          <w:b/>
          <w:bCs/>
          <w:i/>
          <w:iCs/>
          <w:sz w:val="28"/>
          <w:szCs w:val="24"/>
          <w:u w:val="single"/>
        </w:rPr>
        <w:t>Strategic CFO Challenge</w:t>
      </w:r>
      <w:r w:rsidRPr="00517427">
        <w:rPr>
          <w:b/>
          <w:bCs/>
          <w:i/>
          <w:iCs/>
          <w:sz w:val="28"/>
          <w:szCs w:val="24"/>
          <w:u w:val="single"/>
        </w:rPr>
        <w:t xml:space="preserve"> for </w:t>
      </w:r>
      <w:r w:rsidRPr="00517427">
        <w:rPr>
          <w:b/>
          <w:bCs/>
          <w:i/>
          <w:iCs/>
          <w:sz w:val="28"/>
          <w:szCs w:val="24"/>
          <w:u w:val="single"/>
        </w:rPr>
        <w:t>BYD</w:t>
      </w:r>
    </w:p>
    <w:p w:rsidR="006E05BE" w:rsidRDefault="006E05BE" w14:paraId="40DA33BD" w14:textId="5A123C15">
      <w:pPr>
        <w:spacing w:before="0" w:after="160" w:line="259" w:lineRule="auto"/>
        <w:jc w:val="left"/>
        <w:rPr>
          <w:b/>
          <w:bCs/>
          <w:sz w:val="32"/>
          <w:szCs w:val="28"/>
        </w:rPr>
      </w:pPr>
      <w:r>
        <w:rPr>
          <w:b/>
          <w:bCs/>
          <w:sz w:val="32"/>
          <w:szCs w:val="28"/>
        </w:rPr>
        <w:br w:type="page"/>
      </w:r>
    </w:p>
    <w:p w:rsidRPr="00794070" w:rsidR="00313A7D" w:rsidP="00313A7D" w:rsidRDefault="00313A7D" w14:paraId="08C06D34" w14:textId="2C16E2C7">
      <w:pPr>
        <w:jc w:val="center"/>
        <w:rPr>
          <w:b/>
          <w:bCs/>
          <w:sz w:val="28"/>
          <w:szCs w:val="24"/>
          <w:lang w:val="en-US"/>
        </w:rPr>
      </w:pPr>
      <w:r w:rsidRPr="00794070">
        <w:rPr>
          <w:b/>
          <w:bCs/>
          <w:sz w:val="28"/>
          <w:szCs w:val="24"/>
          <w:lang w:val="en-US"/>
        </w:rPr>
        <w:lastRenderedPageBreak/>
        <w:t xml:space="preserve">Executive </w:t>
      </w:r>
      <w:r w:rsidRPr="00794070" w:rsidR="006E05BE">
        <w:rPr>
          <w:b/>
          <w:bCs/>
          <w:sz w:val="28"/>
          <w:szCs w:val="24"/>
          <w:lang w:val="en-US"/>
        </w:rPr>
        <w:t>Summary</w:t>
      </w:r>
    </w:p>
    <w:p w:rsidR="00353933" w:rsidP="006E05BE" w:rsidRDefault="00C72415" w14:paraId="76175C05" w14:textId="6C56E147">
      <w:r w:rsidRPr="00C72415">
        <w:t>The report evaluates the financial performance of BYD between 2021</w:t>
      </w:r>
      <w:r w:rsidR="00DA2003">
        <w:t xml:space="preserve"> to </w:t>
      </w:r>
      <w:r w:rsidRPr="00C72415">
        <w:t xml:space="preserve">2025 that illustrated a steep rise in revenues and a rise in the profitability until 2024, stimulated by the incineration of the electric car market. Nevertheless, current tendencies show some up-and-coming problems, such as decreasing margins, high leverage, and systematic liquidity restrictions. The working capital analysis shown the greater efficiency and strain of the short-term financial stability. To address these fears, a proposed strategic plan of financial restructuring is presented and is geared at getting rid of the debt dependency, enhancement of its liquidity and improvement of its operations with reference to global financial and CSR. Furthermore, the application of investment appraisal technique will state Project C to be the preferred alternative since it will have a positive NPV, the highest IRR and profitability. Projects C could be recommended </w:t>
      </w:r>
      <w:proofErr w:type="gramStart"/>
      <w:r w:rsidRPr="00C72415">
        <w:t>in order to</w:t>
      </w:r>
      <w:proofErr w:type="gramEnd"/>
      <w:r w:rsidRPr="00C72415">
        <w:t xml:space="preserve"> maximise value and grow sustainably within the constraints of the capital.</w:t>
      </w:r>
      <w:r w:rsidR="00353933">
        <w:br w:type="page"/>
      </w:r>
    </w:p>
    <w:sdt>
      <w:sdtPr>
        <w:id w:val="502853746"/>
        <w:docPartObj>
          <w:docPartGallery w:val="Table of Contents"/>
          <w:docPartUnique/>
        </w:docPartObj>
        <w:rPr>
          <w:rFonts w:ascii="Times New Roman" w:hAnsi="Times New Roman" w:eastAsia="Aptos" w:cs="Arial" w:eastAsiaTheme="minorAscii" w:cstheme="minorBidi"/>
          <w:color w:val="auto"/>
          <w:sz w:val="24"/>
          <w:szCs w:val="24"/>
          <w:lang w:val="en-GB"/>
        </w:rPr>
      </w:sdtPr>
      <w:sdtEndPr>
        <w:rPr>
          <w:rFonts w:ascii="Arial" w:hAnsi="Arial" w:eastAsia="Aptos" w:cs="Arial" w:eastAsiaTheme="minorAscii" w:cstheme="minorBidi"/>
          <w:b w:val="1"/>
          <w:bCs w:val="1"/>
          <w:noProof/>
          <w:color w:val="auto"/>
          <w:sz w:val="24"/>
          <w:szCs w:val="24"/>
          <w:lang w:val="en-GB"/>
        </w:rPr>
      </w:sdtEndPr>
      <w:sdtContent>
        <w:p w:rsidRPr="006E05BE" w:rsidR="00A032B8" w:rsidP="00353933" w:rsidRDefault="00A032B8" w14:paraId="73CEA81A" w14:textId="0780DFD3">
          <w:pPr>
            <w:pStyle w:val="TOCHeading"/>
            <w:jc w:val="center"/>
            <w:rPr>
              <w:rFonts w:ascii="Arial" w:hAnsi="Arial" w:cs="Arial"/>
            </w:rPr>
          </w:pPr>
          <w:r w:rsidRPr="006E05BE">
            <w:rPr>
              <w:rFonts w:ascii="Arial" w:hAnsi="Arial" w:cs="Arial"/>
              <w:b/>
              <w:bCs/>
              <w:color w:val="0D0D0D" w:themeColor="text1" w:themeTint="F2"/>
              <w:sz w:val="28"/>
              <w:szCs w:val="28"/>
            </w:rPr>
            <w:t>Table of Contents</w:t>
          </w:r>
        </w:p>
        <w:p w:rsidRPr="003C2291" w:rsidR="003C2291" w:rsidP="003C2291" w:rsidRDefault="00A032B8" w14:paraId="4308AAA5" w14:textId="28FD3377">
          <w:pPr>
            <w:pStyle w:val="TOC1"/>
            <w:rPr>
              <w:rFonts w:asciiTheme="minorHAnsi" w:hAnsiTheme="minorHAnsi" w:eastAsiaTheme="minorEastAsia"/>
              <w:kern w:val="2"/>
              <w:szCs w:val="24"/>
              <w:lang w:val="en-GB" w:eastAsia="en-GB"/>
              <w14:ligatures w14:val="standardContextual"/>
            </w:rPr>
          </w:pPr>
          <w:r>
            <w:rPr>
              <w:noProof w:val="0"/>
            </w:rPr>
            <w:fldChar w:fldCharType="begin"/>
          </w:r>
          <w:r>
            <w:instrText xml:space="preserve"> TOC \o "1-3" \h \z \u </w:instrText>
          </w:r>
          <w:r>
            <w:rPr>
              <w:noProof w:val="0"/>
            </w:rPr>
            <w:fldChar w:fldCharType="separate"/>
          </w:r>
          <w:hyperlink w:history="1" w:anchor="_Toc227448937">
            <w:r w:rsidRPr="003C2291" w:rsidR="003C2291">
              <w:rPr>
                <w:rStyle w:val="Hyperlink"/>
              </w:rPr>
              <w:t>1. Introduction</w:t>
            </w:r>
            <w:r w:rsidRPr="003C2291" w:rsidR="003C2291">
              <w:rPr>
                <w:webHidden/>
              </w:rPr>
              <w:tab/>
            </w:r>
            <w:r w:rsidRPr="003C2291" w:rsidR="003C2291">
              <w:rPr>
                <w:webHidden/>
              </w:rPr>
              <w:fldChar w:fldCharType="begin"/>
            </w:r>
            <w:r w:rsidRPr="003C2291" w:rsidR="003C2291">
              <w:rPr>
                <w:webHidden/>
              </w:rPr>
              <w:instrText xml:space="preserve"> PAGEREF _Toc227448937 \h </w:instrText>
            </w:r>
            <w:r w:rsidRPr="003C2291" w:rsidR="003C2291">
              <w:rPr>
                <w:webHidden/>
              </w:rPr>
            </w:r>
            <w:r w:rsidRPr="003C2291" w:rsidR="003C2291">
              <w:rPr>
                <w:webHidden/>
              </w:rPr>
              <w:fldChar w:fldCharType="separate"/>
            </w:r>
            <w:r w:rsidRPr="003C2291" w:rsidR="003C2291">
              <w:rPr>
                <w:webHidden/>
              </w:rPr>
              <w:t>5</w:t>
            </w:r>
            <w:r w:rsidRPr="003C2291" w:rsidR="003C2291">
              <w:rPr>
                <w:webHidden/>
              </w:rPr>
              <w:fldChar w:fldCharType="end"/>
            </w:r>
          </w:hyperlink>
        </w:p>
        <w:p w:rsidR="003C2291" w:rsidP="003C2291" w:rsidRDefault="003C2291" w14:paraId="3E875050" w14:textId="28EBD888">
          <w:pPr>
            <w:pStyle w:val="TOC1"/>
            <w:rPr>
              <w:rFonts w:asciiTheme="minorHAnsi" w:hAnsiTheme="minorHAnsi" w:eastAsiaTheme="minorEastAsia"/>
              <w:kern w:val="2"/>
              <w:szCs w:val="24"/>
              <w:lang w:val="en-GB" w:eastAsia="en-GB"/>
              <w14:ligatures w14:val="standardContextual"/>
            </w:rPr>
          </w:pPr>
          <w:hyperlink w:history="1" w:anchor="_Toc227448938">
            <w:r w:rsidRPr="001D6B30">
              <w:rPr>
                <w:rStyle w:val="Hyperlink"/>
              </w:rPr>
              <w:t>2. Financial Health Check</w:t>
            </w:r>
            <w:r>
              <w:rPr>
                <w:webHidden/>
              </w:rPr>
              <w:tab/>
            </w:r>
            <w:r>
              <w:rPr>
                <w:webHidden/>
              </w:rPr>
              <w:fldChar w:fldCharType="begin"/>
            </w:r>
            <w:r>
              <w:rPr>
                <w:webHidden/>
              </w:rPr>
              <w:instrText xml:space="preserve"> PAGEREF _Toc227448938 \h </w:instrText>
            </w:r>
            <w:r>
              <w:rPr>
                <w:webHidden/>
              </w:rPr>
            </w:r>
            <w:r>
              <w:rPr>
                <w:webHidden/>
              </w:rPr>
              <w:fldChar w:fldCharType="separate"/>
            </w:r>
            <w:r>
              <w:rPr>
                <w:webHidden/>
              </w:rPr>
              <w:t>5</w:t>
            </w:r>
            <w:r>
              <w:rPr>
                <w:webHidden/>
              </w:rPr>
              <w:fldChar w:fldCharType="end"/>
            </w:r>
          </w:hyperlink>
        </w:p>
        <w:p w:rsidR="003C2291" w:rsidRDefault="003C2291" w14:paraId="6820D4C4" w14:textId="476AC4CA">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39">
            <w:r w:rsidRPr="001D6B30">
              <w:rPr>
                <w:rStyle w:val="Hyperlink"/>
                <w:noProof/>
              </w:rPr>
              <w:t>2.1 Overview of Financial Performance</w:t>
            </w:r>
            <w:r>
              <w:rPr>
                <w:noProof/>
                <w:webHidden/>
              </w:rPr>
              <w:tab/>
            </w:r>
            <w:r>
              <w:rPr>
                <w:noProof/>
                <w:webHidden/>
              </w:rPr>
              <w:fldChar w:fldCharType="begin"/>
            </w:r>
            <w:r>
              <w:rPr>
                <w:noProof/>
                <w:webHidden/>
              </w:rPr>
              <w:instrText xml:space="preserve"> PAGEREF _Toc227448939 \h </w:instrText>
            </w:r>
            <w:r>
              <w:rPr>
                <w:noProof/>
                <w:webHidden/>
              </w:rPr>
            </w:r>
            <w:r>
              <w:rPr>
                <w:noProof/>
                <w:webHidden/>
              </w:rPr>
              <w:fldChar w:fldCharType="separate"/>
            </w:r>
            <w:r>
              <w:rPr>
                <w:noProof/>
                <w:webHidden/>
              </w:rPr>
              <w:t>5</w:t>
            </w:r>
            <w:r>
              <w:rPr>
                <w:noProof/>
                <w:webHidden/>
              </w:rPr>
              <w:fldChar w:fldCharType="end"/>
            </w:r>
          </w:hyperlink>
        </w:p>
        <w:p w:rsidR="003C2291" w:rsidRDefault="003C2291" w14:paraId="4E8F5CE3" w14:textId="02F576F8">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0">
            <w:r w:rsidRPr="001D6B30">
              <w:rPr>
                <w:rStyle w:val="Hyperlink"/>
                <w:noProof/>
              </w:rPr>
              <w:t>2.2 Profitability Analysis</w:t>
            </w:r>
            <w:r>
              <w:rPr>
                <w:noProof/>
                <w:webHidden/>
              </w:rPr>
              <w:tab/>
            </w:r>
            <w:r>
              <w:rPr>
                <w:noProof/>
                <w:webHidden/>
              </w:rPr>
              <w:fldChar w:fldCharType="begin"/>
            </w:r>
            <w:r>
              <w:rPr>
                <w:noProof/>
                <w:webHidden/>
              </w:rPr>
              <w:instrText xml:space="preserve"> PAGEREF _Toc227448940 \h </w:instrText>
            </w:r>
            <w:r>
              <w:rPr>
                <w:noProof/>
                <w:webHidden/>
              </w:rPr>
            </w:r>
            <w:r>
              <w:rPr>
                <w:noProof/>
                <w:webHidden/>
              </w:rPr>
              <w:fldChar w:fldCharType="separate"/>
            </w:r>
            <w:r>
              <w:rPr>
                <w:noProof/>
                <w:webHidden/>
              </w:rPr>
              <w:t>6</w:t>
            </w:r>
            <w:r>
              <w:rPr>
                <w:noProof/>
                <w:webHidden/>
              </w:rPr>
              <w:fldChar w:fldCharType="end"/>
            </w:r>
          </w:hyperlink>
        </w:p>
        <w:p w:rsidR="003C2291" w:rsidRDefault="003C2291" w14:paraId="6CEB49B4" w14:textId="7608772E">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1">
            <w:r w:rsidRPr="001D6B30">
              <w:rPr>
                <w:rStyle w:val="Hyperlink"/>
                <w:noProof/>
              </w:rPr>
              <w:t>2.3 Liquidity Analysis</w:t>
            </w:r>
            <w:r>
              <w:rPr>
                <w:noProof/>
                <w:webHidden/>
              </w:rPr>
              <w:tab/>
            </w:r>
            <w:r>
              <w:rPr>
                <w:noProof/>
                <w:webHidden/>
              </w:rPr>
              <w:fldChar w:fldCharType="begin"/>
            </w:r>
            <w:r>
              <w:rPr>
                <w:noProof/>
                <w:webHidden/>
              </w:rPr>
              <w:instrText xml:space="preserve"> PAGEREF _Toc227448941 \h </w:instrText>
            </w:r>
            <w:r>
              <w:rPr>
                <w:noProof/>
                <w:webHidden/>
              </w:rPr>
            </w:r>
            <w:r>
              <w:rPr>
                <w:noProof/>
                <w:webHidden/>
              </w:rPr>
              <w:fldChar w:fldCharType="separate"/>
            </w:r>
            <w:r>
              <w:rPr>
                <w:noProof/>
                <w:webHidden/>
              </w:rPr>
              <w:t>8</w:t>
            </w:r>
            <w:r>
              <w:rPr>
                <w:noProof/>
                <w:webHidden/>
              </w:rPr>
              <w:fldChar w:fldCharType="end"/>
            </w:r>
          </w:hyperlink>
        </w:p>
        <w:p w:rsidR="003C2291" w:rsidRDefault="003C2291" w14:paraId="1977650C" w14:textId="176C6C3E">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2">
            <w:r w:rsidRPr="001D6B30">
              <w:rPr>
                <w:rStyle w:val="Hyperlink"/>
                <w:noProof/>
              </w:rPr>
              <w:t>2.4 Efficiency Analysis</w:t>
            </w:r>
            <w:r>
              <w:rPr>
                <w:noProof/>
                <w:webHidden/>
              </w:rPr>
              <w:tab/>
            </w:r>
            <w:r>
              <w:rPr>
                <w:noProof/>
                <w:webHidden/>
              </w:rPr>
              <w:fldChar w:fldCharType="begin"/>
            </w:r>
            <w:r>
              <w:rPr>
                <w:noProof/>
                <w:webHidden/>
              </w:rPr>
              <w:instrText xml:space="preserve"> PAGEREF _Toc227448942 \h </w:instrText>
            </w:r>
            <w:r>
              <w:rPr>
                <w:noProof/>
                <w:webHidden/>
              </w:rPr>
            </w:r>
            <w:r>
              <w:rPr>
                <w:noProof/>
                <w:webHidden/>
              </w:rPr>
              <w:fldChar w:fldCharType="separate"/>
            </w:r>
            <w:r>
              <w:rPr>
                <w:noProof/>
                <w:webHidden/>
              </w:rPr>
              <w:t>9</w:t>
            </w:r>
            <w:r>
              <w:rPr>
                <w:noProof/>
                <w:webHidden/>
              </w:rPr>
              <w:fldChar w:fldCharType="end"/>
            </w:r>
          </w:hyperlink>
        </w:p>
        <w:p w:rsidR="003C2291" w:rsidRDefault="003C2291" w14:paraId="146C2B25" w14:textId="3B1372BB">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3">
            <w:r w:rsidRPr="001D6B30">
              <w:rPr>
                <w:rStyle w:val="Hyperlink"/>
                <w:noProof/>
              </w:rPr>
              <w:t>2.5 Gearing and capital structure</w:t>
            </w:r>
            <w:r>
              <w:rPr>
                <w:noProof/>
                <w:webHidden/>
              </w:rPr>
              <w:tab/>
            </w:r>
            <w:r>
              <w:rPr>
                <w:noProof/>
                <w:webHidden/>
              </w:rPr>
              <w:fldChar w:fldCharType="begin"/>
            </w:r>
            <w:r>
              <w:rPr>
                <w:noProof/>
                <w:webHidden/>
              </w:rPr>
              <w:instrText xml:space="preserve"> PAGEREF _Toc227448943 \h </w:instrText>
            </w:r>
            <w:r>
              <w:rPr>
                <w:noProof/>
                <w:webHidden/>
              </w:rPr>
            </w:r>
            <w:r>
              <w:rPr>
                <w:noProof/>
                <w:webHidden/>
              </w:rPr>
              <w:fldChar w:fldCharType="separate"/>
            </w:r>
            <w:r>
              <w:rPr>
                <w:noProof/>
                <w:webHidden/>
              </w:rPr>
              <w:t>10</w:t>
            </w:r>
            <w:r>
              <w:rPr>
                <w:noProof/>
                <w:webHidden/>
              </w:rPr>
              <w:fldChar w:fldCharType="end"/>
            </w:r>
          </w:hyperlink>
        </w:p>
        <w:p w:rsidR="003C2291" w:rsidRDefault="003C2291" w14:paraId="14BFDD3F" w14:textId="55106829">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4">
            <w:r w:rsidRPr="001D6B30">
              <w:rPr>
                <w:rStyle w:val="Hyperlink"/>
                <w:noProof/>
              </w:rPr>
              <w:t>2.6 Investment Ratio</w:t>
            </w:r>
            <w:r>
              <w:rPr>
                <w:noProof/>
                <w:webHidden/>
              </w:rPr>
              <w:tab/>
            </w:r>
            <w:r>
              <w:rPr>
                <w:noProof/>
                <w:webHidden/>
              </w:rPr>
              <w:fldChar w:fldCharType="begin"/>
            </w:r>
            <w:r>
              <w:rPr>
                <w:noProof/>
                <w:webHidden/>
              </w:rPr>
              <w:instrText xml:space="preserve"> PAGEREF _Toc227448944 \h </w:instrText>
            </w:r>
            <w:r>
              <w:rPr>
                <w:noProof/>
                <w:webHidden/>
              </w:rPr>
            </w:r>
            <w:r>
              <w:rPr>
                <w:noProof/>
                <w:webHidden/>
              </w:rPr>
              <w:fldChar w:fldCharType="separate"/>
            </w:r>
            <w:r>
              <w:rPr>
                <w:noProof/>
                <w:webHidden/>
              </w:rPr>
              <w:t>12</w:t>
            </w:r>
            <w:r>
              <w:rPr>
                <w:noProof/>
                <w:webHidden/>
              </w:rPr>
              <w:fldChar w:fldCharType="end"/>
            </w:r>
          </w:hyperlink>
        </w:p>
        <w:p w:rsidR="003C2291" w:rsidRDefault="003C2291" w14:paraId="1F977336" w14:textId="44EDC39E">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5">
            <w:r w:rsidRPr="001D6B30">
              <w:rPr>
                <w:rStyle w:val="Hyperlink"/>
                <w:noProof/>
              </w:rPr>
              <w:t>2.7 Cash Flow Analysis</w:t>
            </w:r>
            <w:r>
              <w:rPr>
                <w:noProof/>
                <w:webHidden/>
              </w:rPr>
              <w:tab/>
            </w:r>
            <w:r>
              <w:rPr>
                <w:noProof/>
                <w:webHidden/>
              </w:rPr>
              <w:fldChar w:fldCharType="begin"/>
            </w:r>
            <w:r>
              <w:rPr>
                <w:noProof/>
                <w:webHidden/>
              </w:rPr>
              <w:instrText xml:space="preserve"> PAGEREF _Toc227448945 \h </w:instrText>
            </w:r>
            <w:r>
              <w:rPr>
                <w:noProof/>
                <w:webHidden/>
              </w:rPr>
            </w:r>
            <w:r>
              <w:rPr>
                <w:noProof/>
                <w:webHidden/>
              </w:rPr>
              <w:fldChar w:fldCharType="separate"/>
            </w:r>
            <w:r>
              <w:rPr>
                <w:noProof/>
                <w:webHidden/>
              </w:rPr>
              <w:t>13</w:t>
            </w:r>
            <w:r>
              <w:rPr>
                <w:noProof/>
                <w:webHidden/>
              </w:rPr>
              <w:fldChar w:fldCharType="end"/>
            </w:r>
          </w:hyperlink>
        </w:p>
        <w:p w:rsidR="003C2291" w:rsidRDefault="003C2291" w14:paraId="102B905F" w14:textId="0AC77C48">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6">
            <w:r w:rsidRPr="001D6B30">
              <w:rPr>
                <w:rStyle w:val="Hyperlink"/>
                <w:noProof/>
              </w:rPr>
              <w:t>2.8 Key strengths and weaknesses</w:t>
            </w:r>
            <w:r>
              <w:rPr>
                <w:noProof/>
                <w:webHidden/>
              </w:rPr>
              <w:tab/>
            </w:r>
            <w:r>
              <w:rPr>
                <w:noProof/>
                <w:webHidden/>
              </w:rPr>
              <w:fldChar w:fldCharType="begin"/>
            </w:r>
            <w:r>
              <w:rPr>
                <w:noProof/>
                <w:webHidden/>
              </w:rPr>
              <w:instrText xml:space="preserve"> PAGEREF _Toc227448946 \h </w:instrText>
            </w:r>
            <w:r>
              <w:rPr>
                <w:noProof/>
                <w:webHidden/>
              </w:rPr>
            </w:r>
            <w:r>
              <w:rPr>
                <w:noProof/>
                <w:webHidden/>
              </w:rPr>
              <w:fldChar w:fldCharType="separate"/>
            </w:r>
            <w:r>
              <w:rPr>
                <w:noProof/>
                <w:webHidden/>
              </w:rPr>
              <w:t>14</w:t>
            </w:r>
            <w:r>
              <w:rPr>
                <w:noProof/>
                <w:webHidden/>
              </w:rPr>
              <w:fldChar w:fldCharType="end"/>
            </w:r>
          </w:hyperlink>
        </w:p>
        <w:p w:rsidR="003C2291" w:rsidP="003C2291" w:rsidRDefault="003C2291" w14:paraId="724E575D" w14:textId="2F25EC02">
          <w:pPr>
            <w:pStyle w:val="TOC1"/>
            <w:rPr>
              <w:rFonts w:asciiTheme="minorHAnsi" w:hAnsiTheme="minorHAnsi" w:eastAsiaTheme="minorEastAsia"/>
              <w:kern w:val="2"/>
              <w:szCs w:val="24"/>
              <w:lang w:val="en-GB" w:eastAsia="en-GB"/>
              <w14:ligatures w14:val="standardContextual"/>
            </w:rPr>
          </w:pPr>
          <w:hyperlink w:history="1" w:anchor="_Toc227448947">
            <w:r w:rsidRPr="001D6B30">
              <w:rPr>
                <w:rStyle w:val="Hyperlink"/>
              </w:rPr>
              <w:t>3. Working Capital Management Analysis</w:t>
            </w:r>
            <w:r>
              <w:rPr>
                <w:webHidden/>
              </w:rPr>
              <w:tab/>
            </w:r>
            <w:r>
              <w:rPr>
                <w:webHidden/>
              </w:rPr>
              <w:fldChar w:fldCharType="begin"/>
            </w:r>
            <w:r>
              <w:rPr>
                <w:webHidden/>
              </w:rPr>
              <w:instrText xml:space="preserve"> PAGEREF _Toc227448947 \h </w:instrText>
            </w:r>
            <w:r>
              <w:rPr>
                <w:webHidden/>
              </w:rPr>
            </w:r>
            <w:r>
              <w:rPr>
                <w:webHidden/>
              </w:rPr>
              <w:fldChar w:fldCharType="separate"/>
            </w:r>
            <w:r>
              <w:rPr>
                <w:webHidden/>
              </w:rPr>
              <w:t>14</w:t>
            </w:r>
            <w:r>
              <w:rPr>
                <w:webHidden/>
              </w:rPr>
              <w:fldChar w:fldCharType="end"/>
            </w:r>
          </w:hyperlink>
        </w:p>
        <w:p w:rsidR="003C2291" w:rsidRDefault="003C2291" w14:paraId="427A763C" w14:textId="7AAC650D">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8">
            <w:r w:rsidRPr="001D6B30">
              <w:rPr>
                <w:rStyle w:val="Hyperlink"/>
                <w:noProof/>
              </w:rPr>
              <w:t>3.1 Cash Operating Cycle</w:t>
            </w:r>
            <w:r>
              <w:rPr>
                <w:noProof/>
                <w:webHidden/>
              </w:rPr>
              <w:tab/>
            </w:r>
            <w:r>
              <w:rPr>
                <w:noProof/>
                <w:webHidden/>
              </w:rPr>
              <w:fldChar w:fldCharType="begin"/>
            </w:r>
            <w:r>
              <w:rPr>
                <w:noProof/>
                <w:webHidden/>
              </w:rPr>
              <w:instrText xml:space="preserve"> PAGEREF _Toc227448948 \h </w:instrText>
            </w:r>
            <w:r>
              <w:rPr>
                <w:noProof/>
                <w:webHidden/>
              </w:rPr>
            </w:r>
            <w:r>
              <w:rPr>
                <w:noProof/>
                <w:webHidden/>
              </w:rPr>
              <w:fldChar w:fldCharType="separate"/>
            </w:r>
            <w:r>
              <w:rPr>
                <w:noProof/>
                <w:webHidden/>
              </w:rPr>
              <w:t>14</w:t>
            </w:r>
            <w:r>
              <w:rPr>
                <w:noProof/>
                <w:webHidden/>
              </w:rPr>
              <w:fldChar w:fldCharType="end"/>
            </w:r>
          </w:hyperlink>
        </w:p>
        <w:p w:rsidR="003C2291" w:rsidRDefault="003C2291" w14:paraId="6F16A18D" w14:textId="19F8128A">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49">
            <w:r w:rsidRPr="001D6B30">
              <w:rPr>
                <w:rStyle w:val="Hyperlink"/>
                <w:noProof/>
              </w:rPr>
              <w:t>3.2 Liquidity issues and risks</w:t>
            </w:r>
            <w:r>
              <w:rPr>
                <w:noProof/>
                <w:webHidden/>
              </w:rPr>
              <w:tab/>
            </w:r>
            <w:r>
              <w:rPr>
                <w:noProof/>
                <w:webHidden/>
              </w:rPr>
              <w:fldChar w:fldCharType="begin"/>
            </w:r>
            <w:r>
              <w:rPr>
                <w:noProof/>
                <w:webHidden/>
              </w:rPr>
              <w:instrText xml:space="preserve"> PAGEREF _Toc227448949 \h </w:instrText>
            </w:r>
            <w:r>
              <w:rPr>
                <w:noProof/>
                <w:webHidden/>
              </w:rPr>
            </w:r>
            <w:r>
              <w:rPr>
                <w:noProof/>
                <w:webHidden/>
              </w:rPr>
              <w:fldChar w:fldCharType="separate"/>
            </w:r>
            <w:r>
              <w:rPr>
                <w:noProof/>
                <w:webHidden/>
              </w:rPr>
              <w:t>15</w:t>
            </w:r>
            <w:r>
              <w:rPr>
                <w:noProof/>
                <w:webHidden/>
              </w:rPr>
              <w:fldChar w:fldCharType="end"/>
            </w:r>
          </w:hyperlink>
        </w:p>
        <w:p w:rsidR="003C2291" w:rsidRDefault="003C2291" w14:paraId="5240A28C" w14:textId="61223832">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0">
            <w:r w:rsidRPr="001D6B30">
              <w:rPr>
                <w:rStyle w:val="Hyperlink"/>
                <w:noProof/>
              </w:rPr>
              <w:t>3.3 Working capital improvement strategies</w:t>
            </w:r>
            <w:r>
              <w:rPr>
                <w:noProof/>
                <w:webHidden/>
              </w:rPr>
              <w:tab/>
            </w:r>
            <w:r>
              <w:rPr>
                <w:noProof/>
                <w:webHidden/>
              </w:rPr>
              <w:fldChar w:fldCharType="begin"/>
            </w:r>
            <w:r>
              <w:rPr>
                <w:noProof/>
                <w:webHidden/>
              </w:rPr>
              <w:instrText xml:space="preserve"> PAGEREF _Toc227448950 \h </w:instrText>
            </w:r>
            <w:r>
              <w:rPr>
                <w:noProof/>
                <w:webHidden/>
              </w:rPr>
            </w:r>
            <w:r>
              <w:rPr>
                <w:noProof/>
                <w:webHidden/>
              </w:rPr>
              <w:fldChar w:fldCharType="separate"/>
            </w:r>
            <w:r>
              <w:rPr>
                <w:noProof/>
                <w:webHidden/>
              </w:rPr>
              <w:t>16</w:t>
            </w:r>
            <w:r>
              <w:rPr>
                <w:noProof/>
                <w:webHidden/>
              </w:rPr>
              <w:fldChar w:fldCharType="end"/>
            </w:r>
          </w:hyperlink>
        </w:p>
        <w:p w:rsidR="003C2291" w:rsidRDefault="003C2291" w14:paraId="14A8A64F" w14:textId="49A21AE6">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1">
            <w:r w:rsidRPr="001D6B30">
              <w:rPr>
                <w:rStyle w:val="Hyperlink"/>
                <w:noProof/>
              </w:rPr>
              <w:t>3.4 Financing Options</w:t>
            </w:r>
            <w:r>
              <w:rPr>
                <w:noProof/>
                <w:webHidden/>
              </w:rPr>
              <w:tab/>
            </w:r>
            <w:r>
              <w:rPr>
                <w:noProof/>
                <w:webHidden/>
              </w:rPr>
              <w:fldChar w:fldCharType="begin"/>
            </w:r>
            <w:r>
              <w:rPr>
                <w:noProof/>
                <w:webHidden/>
              </w:rPr>
              <w:instrText xml:space="preserve"> PAGEREF _Toc227448951 \h </w:instrText>
            </w:r>
            <w:r>
              <w:rPr>
                <w:noProof/>
                <w:webHidden/>
              </w:rPr>
            </w:r>
            <w:r>
              <w:rPr>
                <w:noProof/>
                <w:webHidden/>
              </w:rPr>
              <w:fldChar w:fldCharType="separate"/>
            </w:r>
            <w:r>
              <w:rPr>
                <w:noProof/>
                <w:webHidden/>
              </w:rPr>
              <w:t>17</w:t>
            </w:r>
            <w:r>
              <w:rPr>
                <w:noProof/>
                <w:webHidden/>
              </w:rPr>
              <w:fldChar w:fldCharType="end"/>
            </w:r>
          </w:hyperlink>
        </w:p>
        <w:p w:rsidR="003C2291" w:rsidP="003C2291" w:rsidRDefault="003C2291" w14:paraId="2500E930" w14:textId="67AAAA41">
          <w:pPr>
            <w:pStyle w:val="TOC1"/>
            <w:rPr>
              <w:rFonts w:asciiTheme="minorHAnsi" w:hAnsiTheme="minorHAnsi" w:eastAsiaTheme="minorEastAsia"/>
              <w:kern w:val="2"/>
              <w:szCs w:val="24"/>
              <w:lang w:val="en-GB" w:eastAsia="en-GB"/>
              <w14:ligatures w14:val="standardContextual"/>
            </w:rPr>
          </w:pPr>
          <w:hyperlink w:history="1" w:anchor="_Toc227448952">
            <w:r w:rsidRPr="001D6B30">
              <w:rPr>
                <w:rStyle w:val="Hyperlink"/>
              </w:rPr>
              <w:t>4. Strategic Financial Restructuring Plan</w:t>
            </w:r>
            <w:r>
              <w:rPr>
                <w:webHidden/>
              </w:rPr>
              <w:tab/>
            </w:r>
            <w:r>
              <w:rPr>
                <w:webHidden/>
              </w:rPr>
              <w:fldChar w:fldCharType="begin"/>
            </w:r>
            <w:r>
              <w:rPr>
                <w:webHidden/>
              </w:rPr>
              <w:instrText xml:space="preserve"> PAGEREF _Toc227448952 \h </w:instrText>
            </w:r>
            <w:r>
              <w:rPr>
                <w:webHidden/>
              </w:rPr>
            </w:r>
            <w:r>
              <w:rPr>
                <w:webHidden/>
              </w:rPr>
              <w:fldChar w:fldCharType="separate"/>
            </w:r>
            <w:r>
              <w:rPr>
                <w:webHidden/>
              </w:rPr>
              <w:t>18</w:t>
            </w:r>
            <w:r>
              <w:rPr>
                <w:webHidden/>
              </w:rPr>
              <w:fldChar w:fldCharType="end"/>
            </w:r>
          </w:hyperlink>
        </w:p>
        <w:p w:rsidR="003C2291" w:rsidRDefault="003C2291" w14:paraId="2EFE8AAA" w14:textId="0A12E83A">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3">
            <w:r w:rsidRPr="001D6B30">
              <w:rPr>
                <w:rStyle w:val="Hyperlink"/>
                <w:noProof/>
              </w:rPr>
              <w:t>4.1 Need for restructuring</w:t>
            </w:r>
            <w:r>
              <w:rPr>
                <w:noProof/>
                <w:webHidden/>
              </w:rPr>
              <w:tab/>
            </w:r>
            <w:r>
              <w:rPr>
                <w:noProof/>
                <w:webHidden/>
              </w:rPr>
              <w:fldChar w:fldCharType="begin"/>
            </w:r>
            <w:r>
              <w:rPr>
                <w:noProof/>
                <w:webHidden/>
              </w:rPr>
              <w:instrText xml:space="preserve"> PAGEREF _Toc227448953 \h </w:instrText>
            </w:r>
            <w:r>
              <w:rPr>
                <w:noProof/>
                <w:webHidden/>
              </w:rPr>
            </w:r>
            <w:r>
              <w:rPr>
                <w:noProof/>
                <w:webHidden/>
              </w:rPr>
              <w:fldChar w:fldCharType="separate"/>
            </w:r>
            <w:r>
              <w:rPr>
                <w:noProof/>
                <w:webHidden/>
              </w:rPr>
              <w:t>18</w:t>
            </w:r>
            <w:r>
              <w:rPr>
                <w:noProof/>
                <w:webHidden/>
              </w:rPr>
              <w:fldChar w:fldCharType="end"/>
            </w:r>
          </w:hyperlink>
        </w:p>
        <w:p w:rsidR="003C2291" w:rsidRDefault="003C2291" w14:paraId="761A6662" w14:textId="14668DF7">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4">
            <w:r w:rsidRPr="001D6B30">
              <w:rPr>
                <w:rStyle w:val="Hyperlink"/>
                <w:noProof/>
              </w:rPr>
              <w:t>4.2 Restructuring options</w:t>
            </w:r>
            <w:r>
              <w:rPr>
                <w:noProof/>
                <w:webHidden/>
              </w:rPr>
              <w:tab/>
            </w:r>
            <w:r>
              <w:rPr>
                <w:noProof/>
                <w:webHidden/>
              </w:rPr>
              <w:fldChar w:fldCharType="begin"/>
            </w:r>
            <w:r>
              <w:rPr>
                <w:noProof/>
                <w:webHidden/>
              </w:rPr>
              <w:instrText xml:space="preserve"> PAGEREF _Toc227448954 \h </w:instrText>
            </w:r>
            <w:r>
              <w:rPr>
                <w:noProof/>
                <w:webHidden/>
              </w:rPr>
            </w:r>
            <w:r>
              <w:rPr>
                <w:noProof/>
                <w:webHidden/>
              </w:rPr>
              <w:fldChar w:fldCharType="separate"/>
            </w:r>
            <w:r>
              <w:rPr>
                <w:noProof/>
                <w:webHidden/>
              </w:rPr>
              <w:t>18</w:t>
            </w:r>
            <w:r>
              <w:rPr>
                <w:noProof/>
                <w:webHidden/>
              </w:rPr>
              <w:fldChar w:fldCharType="end"/>
            </w:r>
          </w:hyperlink>
        </w:p>
        <w:p w:rsidR="003C2291" w:rsidRDefault="003C2291" w14:paraId="6DD6BA81" w14:textId="4DCBD1D1">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5">
            <w:r w:rsidRPr="001D6B30">
              <w:rPr>
                <w:rStyle w:val="Hyperlink"/>
                <w:noProof/>
              </w:rPr>
              <w:t>4.3 Impact analysis</w:t>
            </w:r>
            <w:r>
              <w:rPr>
                <w:noProof/>
                <w:webHidden/>
              </w:rPr>
              <w:tab/>
            </w:r>
            <w:r>
              <w:rPr>
                <w:noProof/>
                <w:webHidden/>
              </w:rPr>
              <w:fldChar w:fldCharType="begin"/>
            </w:r>
            <w:r>
              <w:rPr>
                <w:noProof/>
                <w:webHidden/>
              </w:rPr>
              <w:instrText xml:space="preserve"> PAGEREF _Toc227448955 \h </w:instrText>
            </w:r>
            <w:r>
              <w:rPr>
                <w:noProof/>
                <w:webHidden/>
              </w:rPr>
            </w:r>
            <w:r>
              <w:rPr>
                <w:noProof/>
                <w:webHidden/>
              </w:rPr>
              <w:fldChar w:fldCharType="separate"/>
            </w:r>
            <w:r>
              <w:rPr>
                <w:noProof/>
                <w:webHidden/>
              </w:rPr>
              <w:t>19</w:t>
            </w:r>
            <w:r>
              <w:rPr>
                <w:noProof/>
                <w:webHidden/>
              </w:rPr>
              <w:fldChar w:fldCharType="end"/>
            </w:r>
          </w:hyperlink>
        </w:p>
        <w:p w:rsidR="003C2291" w:rsidRDefault="003C2291" w14:paraId="61BDDF45" w14:textId="08BA888C">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6">
            <w:r w:rsidRPr="001D6B30">
              <w:rPr>
                <w:rStyle w:val="Hyperlink"/>
                <w:noProof/>
              </w:rPr>
              <w:t>4.4 International considerations</w:t>
            </w:r>
            <w:r>
              <w:rPr>
                <w:noProof/>
                <w:webHidden/>
              </w:rPr>
              <w:tab/>
            </w:r>
            <w:r>
              <w:rPr>
                <w:noProof/>
                <w:webHidden/>
              </w:rPr>
              <w:fldChar w:fldCharType="begin"/>
            </w:r>
            <w:r>
              <w:rPr>
                <w:noProof/>
                <w:webHidden/>
              </w:rPr>
              <w:instrText xml:space="preserve"> PAGEREF _Toc227448956 \h </w:instrText>
            </w:r>
            <w:r>
              <w:rPr>
                <w:noProof/>
                <w:webHidden/>
              </w:rPr>
            </w:r>
            <w:r>
              <w:rPr>
                <w:noProof/>
                <w:webHidden/>
              </w:rPr>
              <w:fldChar w:fldCharType="separate"/>
            </w:r>
            <w:r>
              <w:rPr>
                <w:noProof/>
                <w:webHidden/>
              </w:rPr>
              <w:t>20</w:t>
            </w:r>
            <w:r>
              <w:rPr>
                <w:noProof/>
                <w:webHidden/>
              </w:rPr>
              <w:fldChar w:fldCharType="end"/>
            </w:r>
          </w:hyperlink>
        </w:p>
        <w:p w:rsidR="003C2291" w:rsidRDefault="003C2291" w14:paraId="4C2B565F" w14:textId="7FCA2A1E">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7">
            <w:r w:rsidRPr="001D6B30">
              <w:rPr>
                <w:rStyle w:val="Hyperlink"/>
                <w:noProof/>
              </w:rPr>
              <w:t>4.5 Ethical and CSR considerations</w:t>
            </w:r>
            <w:r>
              <w:rPr>
                <w:noProof/>
                <w:webHidden/>
              </w:rPr>
              <w:tab/>
            </w:r>
            <w:r>
              <w:rPr>
                <w:noProof/>
                <w:webHidden/>
              </w:rPr>
              <w:fldChar w:fldCharType="begin"/>
            </w:r>
            <w:r>
              <w:rPr>
                <w:noProof/>
                <w:webHidden/>
              </w:rPr>
              <w:instrText xml:space="preserve"> PAGEREF _Toc227448957 \h </w:instrText>
            </w:r>
            <w:r>
              <w:rPr>
                <w:noProof/>
                <w:webHidden/>
              </w:rPr>
            </w:r>
            <w:r>
              <w:rPr>
                <w:noProof/>
                <w:webHidden/>
              </w:rPr>
              <w:fldChar w:fldCharType="separate"/>
            </w:r>
            <w:r>
              <w:rPr>
                <w:noProof/>
                <w:webHidden/>
              </w:rPr>
              <w:t>21</w:t>
            </w:r>
            <w:r>
              <w:rPr>
                <w:noProof/>
                <w:webHidden/>
              </w:rPr>
              <w:fldChar w:fldCharType="end"/>
            </w:r>
          </w:hyperlink>
        </w:p>
        <w:p w:rsidR="003C2291" w:rsidP="003C2291" w:rsidRDefault="003C2291" w14:paraId="359D6177" w14:textId="7436E8E2">
          <w:pPr>
            <w:pStyle w:val="TOC1"/>
            <w:rPr>
              <w:rFonts w:asciiTheme="minorHAnsi" w:hAnsiTheme="minorHAnsi" w:eastAsiaTheme="minorEastAsia"/>
              <w:kern w:val="2"/>
              <w:szCs w:val="24"/>
              <w:lang w:val="en-GB" w:eastAsia="en-GB"/>
              <w14:ligatures w14:val="standardContextual"/>
            </w:rPr>
          </w:pPr>
          <w:hyperlink w:history="1" w:anchor="_Toc227448958">
            <w:r w:rsidRPr="001D6B30">
              <w:rPr>
                <w:rStyle w:val="Hyperlink"/>
              </w:rPr>
              <w:t>5. Investment appraisal and Capital Budgeting</w:t>
            </w:r>
            <w:r>
              <w:rPr>
                <w:webHidden/>
              </w:rPr>
              <w:tab/>
            </w:r>
            <w:r>
              <w:rPr>
                <w:webHidden/>
              </w:rPr>
              <w:fldChar w:fldCharType="begin"/>
            </w:r>
            <w:r>
              <w:rPr>
                <w:webHidden/>
              </w:rPr>
              <w:instrText xml:space="preserve"> PAGEREF _Toc227448958 \h </w:instrText>
            </w:r>
            <w:r>
              <w:rPr>
                <w:webHidden/>
              </w:rPr>
            </w:r>
            <w:r>
              <w:rPr>
                <w:webHidden/>
              </w:rPr>
              <w:fldChar w:fldCharType="separate"/>
            </w:r>
            <w:r>
              <w:rPr>
                <w:webHidden/>
              </w:rPr>
              <w:t>21</w:t>
            </w:r>
            <w:r>
              <w:rPr>
                <w:webHidden/>
              </w:rPr>
              <w:fldChar w:fldCharType="end"/>
            </w:r>
          </w:hyperlink>
        </w:p>
        <w:p w:rsidR="003C2291" w:rsidRDefault="003C2291" w14:paraId="71B0DBBB" w14:textId="4CC59AB5">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59">
            <w:r w:rsidRPr="001D6B30">
              <w:rPr>
                <w:rStyle w:val="Hyperlink"/>
                <w:noProof/>
              </w:rPr>
              <w:t>5.1 Overview of investment options</w:t>
            </w:r>
            <w:r>
              <w:rPr>
                <w:noProof/>
                <w:webHidden/>
              </w:rPr>
              <w:tab/>
            </w:r>
            <w:r>
              <w:rPr>
                <w:noProof/>
                <w:webHidden/>
              </w:rPr>
              <w:fldChar w:fldCharType="begin"/>
            </w:r>
            <w:r>
              <w:rPr>
                <w:noProof/>
                <w:webHidden/>
              </w:rPr>
              <w:instrText xml:space="preserve"> PAGEREF _Toc227448959 \h </w:instrText>
            </w:r>
            <w:r>
              <w:rPr>
                <w:noProof/>
                <w:webHidden/>
              </w:rPr>
            </w:r>
            <w:r>
              <w:rPr>
                <w:noProof/>
                <w:webHidden/>
              </w:rPr>
              <w:fldChar w:fldCharType="separate"/>
            </w:r>
            <w:r>
              <w:rPr>
                <w:noProof/>
                <w:webHidden/>
              </w:rPr>
              <w:t>21</w:t>
            </w:r>
            <w:r>
              <w:rPr>
                <w:noProof/>
                <w:webHidden/>
              </w:rPr>
              <w:fldChar w:fldCharType="end"/>
            </w:r>
          </w:hyperlink>
        </w:p>
        <w:p w:rsidR="003C2291" w:rsidRDefault="003C2291" w14:paraId="28EA9C68" w14:textId="75B68C10">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60">
            <w:r w:rsidRPr="001D6B30">
              <w:rPr>
                <w:rStyle w:val="Hyperlink"/>
                <w:noProof/>
              </w:rPr>
              <w:t>5.2 Payback Period (PBP) Analysis</w:t>
            </w:r>
            <w:r>
              <w:rPr>
                <w:noProof/>
                <w:webHidden/>
              </w:rPr>
              <w:tab/>
            </w:r>
            <w:r>
              <w:rPr>
                <w:noProof/>
                <w:webHidden/>
              </w:rPr>
              <w:fldChar w:fldCharType="begin"/>
            </w:r>
            <w:r>
              <w:rPr>
                <w:noProof/>
                <w:webHidden/>
              </w:rPr>
              <w:instrText xml:space="preserve"> PAGEREF _Toc227448960 \h </w:instrText>
            </w:r>
            <w:r>
              <w:rPr>
                <w:noProof/>
                <w:webHidden/>
              </w:rPr>
            </w:r>
            <w:r>
              <w:rPr>
                <w:noProof/>
                <w:webHidden/>
              </w:rPr>
              <w:fldChar w:fldCharType="separate"/>
            </w:r>
            <w:r>
              <w:rPr>
                <w:noProof/>
                <w:webHidden/>
              </w:rPr>
              <w:t>22</w:t>
            </w:r>
            <w:r>
              <w:rPr>
                <w:noProof/>
                <w:webHidden/>
              </w:rPr>
              <w:fldChar w:fldCharType="end"/>
            </w:r>
          </w:hyperlink>
        </w:p>
        <w:p w:rsidR="003C2291" w:rsidRDefault="003C2291" w14:paraId="4B7F04D7" w14:textId="5D03B603">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61">
            <w:r w:rsidRPr="001D6B30">
              <w:rPr>
                <w:rStyle w:val="Hyperlink"/>
                <w:noProof/>
              </w:rPr>
              <w:t>5.3 Accounting Rate of Return (ARR)</w:t>
            </w:r>
            <w:r>
              <w:rPr>
                <w:noProof/>
                <w:webHidden/>
              </w:rPr>
              <w:tab/>
            </w:r>
            <w:r>
              <w:rPr>
                <w:noProof/>
                <w:webHidden/>
              </w:rPr>
              <w:fldChar w:fldCharType="begin"/>
            </w:r>
            <w:r>
              <w:rPr>
                <w:noProof/>
                <w:webHidden/>
              </w:rPr>
              <w:instrText xml:space="preserve"> PAGEREF _Toc227448961 \h </w:instrText>
            </w:r>
            <w:r>
              <w:rPr>
                <w:noProof/>
                <w:webHidden/>
              </w:rPr>
            </w:r>
            <w:r>
              <w:rPr>
                <w:noProof/>
                <w:webHidden/>
              </w:rPr>
              <w:fldChar w:fldCharType="separate"/>
            </w:r>
            <w:r>
              <w:rPr>
                <w:noProof/>
                <w:webHidden/>
              </w:rPr>
              <w:t>23</w:t>
            </w:r>
            <w:r>
              <w:rPr>
                <w:noProof/>
                <w:webHidden/>
              </w:rPr>
              <w:fldChar w:fldCharType="end"/>
            </w:r>
          </w:hyperlink>
        </w:p>
        <w:p w:rsidR="003C2291" w:rsidRDefault="003C2291" w14:paraId="62E99BBF" w14:textId="785E3514">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62">
            <w:r w:rsidRPr="001D6B30">
              <w:rPr>
                <w:rStyle w:val="Hyperlink"/>
                <w:noProof/>
              </w:rPr>
              <w:t>5.4 Net Present Value (NPV)</w:t>
            </w:r>
            <w:r>
              <w:rPr>
                <w:noProof/>
                <w:webHidden/>
              </w:rPr>
              <w:tab/>
            </w:r>
            <w:r>
              <w:rPr>
                <w:noProof/>
                <w:webHidden/>
              </w:rPr>
              <w:fldChar w:fldCharType="begin"/>
            </w:r>
            <w:r>
              <w:rPr>
                <w:noProof/>
                <w:webHidden/>
              </w:rPr>
              <w:instrText xml:space="preserve"> PAGEREF _Toc227448962 \h </w:instrText>
            </w:r>
            <w:r>
              <w:rPr>
                <w:noProof/>
                <w:webHidden/>
              </w:rPr>
            </w:r>
            <w:r>
              <w:rPr>
                <w:noProof/>
                <w:webHidden/>
              </w:rPr>
              <w:fldChar w:fldCharType="separate"/>
            </w:r>
            <w:r>
              <w:rPr>
                <w:noProof/>
                <w:webHidden/>
              </w:rPr>
              <w:t>24</w:t>
            </w:r>
            <w:r>
              <w:rPr>
                <w:noProof/>
                <w:webHidden/>
              </w:rPr>
              <w:fldChar w:fldCharType="end"/>
            </w:r>
          </w:hyperlink>
        </w:p>
        <w:p w:rsidR="003C2291" w:rsidRDefault="003C2291" w14:paraId="3708E0F4" w14:textId="66D33084">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63">
            <w:r w:rsidRPr="001D6B30">
              <w:rPr>
                <w:rStyle w:val="Hyperlink"/>
                <w:noProof/>
              </w:rPr>
              <w:t>5.5 Internal Rate of Return (IRR)</w:t>
            </w:r>
            <w:r>
              <w:rPr>
                <w:noProof/>
                <w:webHidden/>
              </w:rPr>
              <w:tab/>
            </w:r>
            <w:r>
              <w:rPr>
                <w:noProof/>
                <w:webHidden/>
              </w:rPr>
              <w:fldChar w:fldCharType="begin"/>
            </w:r>
            <w:r>
              <w:rPr>
                <w:noProof/>
                <w:webHidden/>
              </w:rPr>
              <w:instrText xml:space="preserve"> PAGEREF _Toc227448963 \h </w:instrText>
            </w:r>
            <w:r>
              <w:rPr>
                <w:noProof/>
                <w:webHidden/>
              </w:rPr>
            </w:r>
            <w:r>
              <w:rPr>
                <w:noProof/>
                <w:webHidden/>
              </w:rPr>
              <w:fldChar w:fldCharType="separate"/>
            </w:r>
            <w:r>
              <w:rPr>
                <w:noProof/>
                <w:webHidden/>
              </w:rPr>
              <w:t>25</w:t>
            </w:r>
            <w:r>
              <w:rPr>
                <w:noProof/>
                <w:webHidden/>
              </w:rPr>
              <w:fldChar w:fldCharType="end"/>
            </w:r>
          </w:hyperlink>
        </w:p>
        <w:p w:rsidR="003C2291" w:rsidRDefault="003C2291" w14:paraId="6AAAC010" w14:textId="466870AF">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64">
            <w:r w:rsidRPr="001D6B30">
              <w:rPr>
                <w:rStyle w:val="Hyperlink"/>
                <w:noProof/>
              </w:rPr>
              <w:t>5.6 Profitability Index (PI)</w:t>
            </w:r>
            <w:r>
              <w:rPr>
                <w:noProof/>
                <w:webHidden/>
              </w:rPr>
              <w:tab/>
            </w:r>
            <w:r>
              <w:rPr>
                <w:noProof/>
                <w:webHidden/>
              </w:rPr>
              <w:fldChar w:fldCharType="begin"/>
            </w:r>
            <w:r>
              <w:rPr>
                <w:noProof/>
                <w:webHidden/>
              </w:rPr>
              <w:instrText xml:space="preserve"> PAGEREF _Toc227448964 \h </w:instrText>
            </w:r>
            <w:r>
              <w:rPr>
                <w:noProof/>
                <w:webHidden/>
              </w:rPr>
            </w:r>
            <w:r>
              <w:rPr>
                <w:noProof/>
                <w:webHidden/>
              </w:rPr>
              <w:fldChar w:fldCharType="separate"/>
            </w:r>
            <w:r>
              <w:rPr>
                <w:noProof/>
                <w:webHidden/>
              </w:rPr>
              <w:t>26</w:t>
            </w:r>
            <w:r>
              <w:rPr>
                <w:noProof/>
                <w:webHidden/>
              </w:rPr>
              <w:fldChar w:fldCharType="end"/>
            </w:r>
          </w:hyperlink>
        </w:p>
        <w:p w:rsidR="003C2291" w:rsidRDefault="003C2291" w14:paraId="33971455" w14:textId="359484EB">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65">
            <w:r w:rsidRPr="001D6B30">
              <w:rPr>
                <w:rStyle w:val="Hyperlink"/>
                <w:noProof/>
              </w:rPr>
              <w:t>5.7 Project comparison and decision</w:t>
            </w:r>
            <w:r>
              <w:rPr>
                <w:noProof/>
                <w:webHidden/>
              </w:rPr>
              <w:tab/>
            </w:r>
            <w:r>
              <w:rPr>
                <w:noProof/>
                <w:webHidden/>
              </w:rPr>
              <w:fldChar w:fldCharType="begin"/>
            </w:r>
            <w:r>
              <w:rPr>
                <w:noProof/>
                <w:webHidden/>
              </w:rPr>
              <w:instrText xml:space="preserve"> PAGEREF _Toc227448965 \h </w:instrText>
            </w:r>
            <w:r>
              <w:rPr>
                <w:noProof/>
                <w:webHidden/>
              </w:rPr>
            </w:r>
            <w:r>
              <w:rPr>
                <w:noProof/>
                <w:webHidden/>
              </w:rPr>
              <w:fldChar w:fldCharType="separate"/>
            </w:r>
            <w:r>
              <w:rPr>
                <w:noProof/>
                <w:webHidden/>
              </w:rPr>
              <w:t>27</w:t>
            </w:r>
            <w:r>
              <w:rPr>
                <w:noProof/>
                <w:webHidden/>
              </w:rPr>
              <w:fldChar w:fldCharType="end"/>
            </w:r>
          </w:hyperlink>
        </w:p>
        <w:p w:rsidR="003C2291" w:rsidRDefault="003C2291" w14:paraId="45F3D7A5" w14:textId="4D7A8452">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66">
            <w:r w:rsidRPr="001D6B30">
              <w:rPr>
                <w:rStyle w:val="Hyperlink"/>
                <w:noProof/>
              </w:rPr>
              <w:t>5.8 Capital Rationing Decision</w:t>
            </w:r>
            <w:r>
              <w:rPr>
                <w:noProof/>
                <w:webHidden/>
              </w:rPr>
              <w:tab/>
            </w:r>
            <w:r>
              <w:rPr>
                <w:noProof/>
                <w:webHidden/>
              </w:rPr>
              <w:fldChar w:fldCharType="begin"/>
            </w:r>
            <w:r>
              <w:rPr>
                <w:noProof/>
                <w:webHidden/>
              </w:rPr>
              <w:instrText xml:space="preserve"> PAGEREF _Toc227448966 \h </w:instrText>
            </w:r>
            <w:r>
              <w:rPr>
                <w:noProof/>
                <w:webHidden/>
              </w:rPr>
            </w:r>
            <w:r>
              <w:rPr>
                <w:noProof/>
                <w:webHidden/>
              </w:rPr>
              <w:fldChar w:fldCharType="separate"/>
            </w:r>
            <w:r>
              <w:rPr>
                <w:noProof/>
                <w:webHidden/>
              </w:rPr>
              <w:t>28</w:t>
            </w:r>
            <w:r>
              <w:rPr>
                <w:noProof/>
                <w:webHidden/>
              </w:rPr>
              <w:fldChar w:fldCharType="end"/>
            </w:r>
          </w:hyperlink>
        </w:p>
        <w:p w:rsidR="003C2291" w:rsidP="003C2291" w:rsidRDefault="003C2291" w14:paraId="36A4BBD2" w14:textId="728BB3C1">
          <w:pPr>
            <w:pStyle w:val="TOC1"/>
            <w:rPr>
              <w:rFonts w:asciiTheme="minorHAnsi" w:hAnsiTheme="minorHAnsi" w:eastAsiaTheme="minorEastAsia"/>
              <w:kern w:val="2"/>
              <w:szCs w:val="24"/>
              <w:lang w:val="en-GB" w:eastAsia="en-GB"/>
              <w14:ligatures w14:val="standardContextual"/>
            </w:rPr>
          </w:pPr>
          <w:hyperlink w:history="1" w:anchor="_Toc227448967">
            <w:r w:rsidRPr="001D6B30">
              <w:rPr>
                <w:rStyle w:val="Hyperlink"/>
              </w:rPr>
              <w:t>6. Conclusion</w:t>
            </w:r>
            <w:r>
              <w:rPr>
                <w:webHidden/>
              </w:rPr>
              <w:tab/>
            </w:r>
            <w:r>
              <w:rPr>
                <w:webHidden/>
              </w:rPr>
              <w:fldChar w:fldCharType="begin"/>
            </w:r>
            <w:r>
              <w:rPr>
                <w:webHidden/>
              </w:rPr>
              <w:instrText xml:space="preserve"> PAGEREF _Toc227448967 \h </w:instrText>
            </w:r>
            <w:r>
              <w:rPr>
                <w:webHidden/>
              </w:rPr>
            </w:r>
            <w:r>
              <w:rPr>
                <w:webHidden/>
              </w:rPr>
              <w:fldChar w:fldCharType="separate"/>
            </w:r>
            <w:r>
              <w:rPr>
                <w:webHidden/>
              </w:rPr>
              <w:t>28</w:t>
            </w:r>
            <w:r>
              <w:rPr>
                <w:webHidden/>
              </w:rPr>
              <w:fldChar w:fldCharType="end"/>
            </w:r>
          </w:hyperlink>
        </w:p>
        <w:p w:rsidR="003C2291" w:rsidP="003C2291" w:rsidRDefault="003C2291" w14:paraId="68C629D3" w14:textId="4F245F59">
          <w:pPr>
            <w:pStyle w:val="TOC1"/>
            <w:rPr>
              <w:rFonts w:asciiTheme="minorHAnsi" w:hAnsiTheme="minorHAnsi" w:eastAsiaTheme="minorEastAsia"/>
              <w:kern w:val="2"/>
              <w:szCs w:val="24"/>
              <w:lang w:val="en-GB" w:eastAsia="en-GB"/>
              <w14:ligatures w14:val="standardContextual"/>
            </w:rPr>
          </w:pPr>
          <w:hyperlink w:history="1" w:anchor="_Toc227448968">
            <w:r w:rsidRPr="001D6B30">
              <w:rPr>
                <w:rStyle w:val="Hyperlink"/>
              </w:rPr>
              <w:t>Reference List</w:t>
            </w:r>
            <w:r>
              <w:rPr>
                <w:webHidden/>
              </w:rPr>
              <w:tab/>
            </w:r>
            <w:r>
              <w:rPr>
                <w:webHidden/>
              </w:rPr>
              <w:fldChar w:fldCharType="begin"/>
            </w:r>
            <w:r>
              <w:rPr>
                <w:webHidden/>
              </w:rPr>
              <w:instrText xml:space="preserve"> PAGEREF _Toc227448968 \h </w:instrText>
            </w:r>
            <w:r>
              <w:rPr>
                <w:webHidden/>
              </w:rPr>
            </w:r>
            <w:r>
              <w:rPr>
                <w:webHidden/>
              </w:rPr>
              <w:fldChar w:fldCharType="separate"/>
            </w:r>
            <w:r>
              <w:rPr>
                <w:webHidden/>
              </w:rPr>
              <w:t>29</w:t>
            </w:r>
            <w:r>
              <w:rPr>
                <w:webHidden/>
              </w:rPr>
              <w:fldChar w:fldCharType="end"/>
            </w:r>
          </w:hyperlink>
        </w:p>
        <w:p w:rsidR="003C2291" w:rsidP="003C2291" w:rsidRDefault="003C2291" w14:paraId="153F68E2" w14:textId="37A756CB">
          <w:pPr>
            <w:pStyle w:val="TOC1"/>
            <w:rPr>
              <w:rFonts w:asciiTheme="minorHAnsi" w:hAnsiTheme="minorHAnsi" w:eastAsiaTheme="minorEastAsia"/>
              <w:kern w:val="2"/>
              <w:szCs w:val="24"/>
              <w:lang w:val="en-GB" w:eastAsia="en-GB"/>
              <w14:ligatures w14:val="standardContextual"/>
            </w:rPr>
          </w:pPr>
          <w:hyperlink w:history="1" w:anchor="_Toc227448969">
            <w:r w:rsidRPr="001D6B30">
              <w:rPr>
                <w:rStyle w:val="Hyperlink"/>
              </w:rPr>
              <w:t>Appendices</w:t>
            </w:r>
            <w:r>
              <w:rPr>
                <w:webHidden/>
              </w:rPr>
              <w:tab/>
            </w:r>
            <w:r>
              <w:rPr>
                <w:webHidden/>
              </w:rPr>
              <w:fldChar w:fldCharType="begin"/>
            </w:r>
            <w:r>
              <w:rPr>
                <w:webHidden/>
              </w:rPr>
              <w:instrText xml:space="preserve"> PAGEREF _Toc227448969 \h </w:instrText>
            </w:r>
            <w:r>
              <w:rPr>
                <w:webHidden/>
              </w:rPr>
            </w:r>
            <w:r>
              <w:rPr>
                <w:webHidden/>
              </w:rPr>
              <w:fldChar w:fldCharType="separate"/>
            </w:r>
            <w:r>
              <w:rPr>
                <w:webHidden/>
              </w:rPr>
              <w:t>36</w:t>
            </w:r>
            <w:r>
              <w:rPr>
                <w:webHidden/>
              </w:rPr>
              <w:fldChar w:fldCharType="end"/>
            </w:r>
          </w:hyperlink>
        </w:p>
        <w:p w:rsidR="003C2291" w:rsidRDefault="003C2291" w14:paraId="3CA768CA" w14:textId="4A1FC403">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70">
            <w:r w:rsidRPr="001D6B30">
              <w:rPr>
                <w:rStyle w:val="Hyperlink"/>
                <w:noProof/>
                <w:lang w:val="en-US"/>
              </w:rPr>
              <w:t>Appendix 1: Ratio tables and graphs</w:t>
            </w:r>
            <w:r>
              <w:rPr>
                <w:noProof/>
                <w:webHidden/>
              </w:rPr>
              <w:tab/>
            </w:r>
            <w:r>
              <w:rPr>
                <w:noProof/>
                <w:webHidden/>
              </w:rPr>
              <w:fldChar w:fldCharType="begin"/>
            </w:r>
            <w:r>
              <w:rPr>
                <w:noProof/>
                <w:webHidden/>
              </w:rPr>
              <w:instrText xml:space="preserve"> PAGEREF _Toc227448970 \h </w:instrText>
            </w:r>
            <w:r>
              <w:rPr>
                <w:noProof/>
                <w:webHidden/>
              </w:rPr>
            </w:r>
            <w:r>
              <w:rPr>
                <w:noProof/>
                <w:webHidden/>
              </w:rPr>
              <w:fldChar w:fldCharType="separate"/>
            </w:r>
            <w:r>
              <w:rPr>
                <w:noProof/>
                <w:webHidden/>
              </w:rPr>
              <w:t>36</w:t>
            </w:r>
            <w:r>
              <w:rPr>
                <w:noProof/>
                <w:webHidden/>
              </w:rPr>
              <w:fldChar w:fldCharType="end"/>
            </w:r>
          </w:hyperlink>
        </w:p>
        <w:p w:rsidR="003C2291" w:rsidRDefault="003C2291" w14:paraId="7D6BDA2E" w14:textId="4C846A07">
          <w:pPr>
            <w:pStyle w:val="TOC2"/>
            <w:tabs>
              <w:tab w:val="right" w:leader="dot" w:pos="9016"/>
            </w:tabs>
            <w:rPr>
              <w:rFonts w:asciiTheme="minorHAnsi" w:hAnsiTheme="minorHAnsi" w:eastAsiaTheme="minorEastAsia"/>
              <w:noProof/>
              <w:kern w:val="2"/>
              <w:szCs w:val="24"/>
              <w:lang w:eastAsia="en-GB"/>
              <w14:ligatures w14:val="standardContextual"/>
            </w:rPr>
          </w:pPr>
          <w:hyperlink w:history="1" w:anchor="_Toc227448971">
            <w:r w:rsidRPr="001D6B30">
              <w:rPr>
                <w:rStyle w:val="Hyperlink"/>
                <w:noProof/>
                <w:lang w:val="en-US"/>
              </w:rPr>
              <w:t xml:space="preserve">Appendix 2: </w:t>
            </w:r>
            <w:r w:rsidRPr="001D6B30">
              <w:rPr>
                <w:rStyle w:val="Hyperlink"/>
                <w:noProof/>
              </w:rPr>
              <w:t>Investment Appraisal Calculations</w:t>
            </w:r>
            <w:r>
              <w:rPr>
                <w:noProof/>
                <w:webHidden/>
              </w:rPr>
              <w:tab/>
            </w:r>
            <w:r>
              <w:rPr>
                <w:noProof/>
                <w:webHidden/>
              </w:rPr>
              <w:fldChar w:fldCharType="begin"/>
            </w:r>
            <w:r>
              <w:rPr>
                <w:noProof/>
                <w:webHidden/>
              </w:rPr>
              <w:instrText xml:space="preserve"> PAGEREF _Toc227448971 \h </w:instrText>
            </w:r>
            <w:r>
              <w:rPr>
                <w:noProof/>
                <w:webHidden/>
              </w:rPr>
            </w:r>
            <w:r>
              <w:rPr>
                <w:noProof/>
                <w:webHidden/>
              </w:rPr>
              <w:fldChar w:fldCharType="separate"/>
            </w:r>
            <w:r>
              <w:rPr>
                <w:noProof/>
                <w:webHidden/>
              </w:rPr>
              <w:t>41</w:t>
            </w:r>
            <w:r>
              <w:rPr>
                <w:noProof/>
                <w:webHidden/>
              </w:rPr>
              <w:fldChar w:fldCharType="end"/>
            </w:r>
          </w:hyperlink>
        </w:p>
        <w:p w:rsidR="00A032B8" w:rsidRDefault="00A032B8" w14:paraId="5A13EBD9" w14:textId="2D9E1DE2">
          <w:r>
            <w:rPr>
              <w:b/>
              <w:bCs/>
              <w:noProof/>
            </w:rPr>
            <w:fldChar w:fldCharType="end"/>
          </w:r>
        </w:p>
      </w:sdtContent>
    </w:sdt>
    <w:p w:rsidRPr="00313A7D" w:rsidR="00313A7D" w:rsidP="00313A7D" w:rsidRDefault="00313A7D" w14:paraId="0316D49C" w14:textId="77777777"/>
    <w:p w:rsidR="00053E56" w:rsidRDefault="00053E56" w14:paraId="3BC87CDE" w14:textId="77777777">
      <w:pPr>
        <w:spacing w:after="160" w:line="259" w:lineRule="auto"/>
        <w:jc w:val="left"/>
        <w:rPr>
          <w:rFonts w:eastAsiaTheme="majorEastAsia" w:cstheme="majorBidi"/>
          <w:b/>
          <w:sz w:val="28"/>
          <w:szCs w:val="32"/>
          <w:lang w:val="en-US"/>
        </w:rPr>
      </w:pPr>
      <w:r>
        <w:rPr>
          <w:lang w:val="en-US"/>
        </w:rPr>
        <w:br w:type="page"/>
      </w:r>
    </w:p>
    <w:p w:rsidR="0011205C" w:rsidP="00901725" w:rsidRDefault="00861D1A" w14:paraId="3CF696D3" w14:textId="36D368CA">
      <w:pPr>
        <w:pStyle w:val="Heading1"/>
      </w:pPr>
      <w:bookmarkStart w:name="_Toc227448937" w:id="0"/>
      <w:r>
        <w:rPr>
          <w:lang w:val="en-US"/>
        </w:rPr>
        <w:lastRenderedPageBreak/>
        <w:t xml:space="preserve">1. </w:t>
      </w:r>
      <w:r w:rsidRPr="00861D1A">
        <w:t>Introduction</w:t>
      </w:r>
      <w:bookmarkEnd w:id="0"/>
    </w:p>
    <w:p w:rsidRPr="00275F90" w:rsidR="00275F90" w:rsidP="00275F90" w:rsidRDefault="00275F90" w14:paraId="5BF3B508" w14:textId="5F1AFEE3">
      <w:r w:rsidRPr="00275F90">
        <w:t xml:space="preserve">The global </w:t>
      </w:r>
      <w:r w:rsidR="00F73835">
        <w:t>E</w:t>
      </w:r>
      <w:r w:rsidRPr="00275F90">
        <w:t xml:space="preserve">lectric </w:t>
      </w:r>
      <w:r w:rsidR="00F73835">
        <w:t>V</w:t>
      </w:r>
      <w:r w:rsidRPr="00275F90">
        <w:t>ehicle (EV) market has experienced a tremendous change with companies like BYD taking a leading role in the industry thanks to the high rate of innovation and growth. Being one of the biggest EV manufacturers in the world, BYD can boast mass expansion in under the years regarding revenue, production potential and market share. As a Chief Financial Officer (CFO) in this report, the analysis of financial performance of BYD in the last five years compared with ratio analysis and financial statements will be evaluated. It also helps pinpoint major financial issues and presents a strategic reorganization and investment decisions to improve a long-term profitability, liquidity, and shareholder value in a more competitive global EV industry.</w:t>
      </w:r>
    </w:p>
    <w:p w:rsidR="00861D1A" w:rsidP="00901725" w:rsidRDefault="00861D1A" w14:paraId="1EC4505D" w14:textId="27B8F036">
      <w:pPr>
        <w:pStyle w:val="Heading1"/>
      </w:pPr>
      <w:bookmarkStart w:name="_Toc227448938" w:id="1"/>
      <w:r>
        <w:t xml:space="preserve">2. </w:t>
      </w:r>
      <w:r w:rsidRPr="00861D1A">
        <w:t xml:space="preserve">Financial </w:t>
      </w:r>
      <w:r w:rsidRPr="00861D1A" w:rsidR="006E05BE">
        <w:t>Health Check</w:t>
      </w:r>
      <w:bookmarkEnd w:id="1"/>
    </w:p>
    <w:p w:rsidR="00785FB8" w:rsidP="00901725" w:rsidRDefault="00785FB8" w14:paraId="2562822D" w14:textId="7ADD207E">
      <w:pPr>
        <w:pStyle w:val="Heading2"/>
      </w:pPr>
      <w:bookmarkStart w:name="_Toc227448939" w:id="2"/>
      <w:r w:rsidRPr="00785FB8">
        <w:t xml:space="preserve">2.1 Overview of </w:t>
      </w:r>
      <w:r w:rsidRPr="00785FB8" w:rsidR="006E05BE">
        <w:t>Financial Performance</w:t>
      </w:r>
      <w:bookmarkEnd w:id="2"/>
    </w:p>
    <w:p w:rsidRPr="00275F90" w:rsidR="00275F90" w:rsidP="00275F90" w:rsidRDefault="00275F90" w14:paraId="59004562" w14:textId="7695D0A7">
      <w:r w:rsidRPr="00275F90">
        <w:t>BYD has been able to show outstanding financial development within the previous five years due to a swift growth in the electric vehicle (EV) market. The revenues continued rising and grew considerably in 2021 (CNY 216 billion) and in 2024 (CNY 777 billion) which indicates high demand and aggressive scaling techniques. Likewise, the net profit increased to about CNY 3.0 billion in 2021 to more than CNY 40 billion in 2024, which is the manifestation of operational efficiency and cost control (</w:t>
      </w:r>
      <w:r w:rsidRPr="006B50DB" w:rsidR="00511108">
        <w:t>Xin, 2024</w:t>
      </w:r>
      <w:r w:rsidRPr="00275F90">
        <w:t>). This trend brings into focus the fact that BYD has successfully transformed into a major EV manufacturer in the world. Nonetheless, such rapid growth comes in its wake with financial strains on liquidity, working capital and debt structure which will be measured in the following sections.</w:t>
      </w:r>
    </w:p>
    <w:p w:rsidR="005D6F22" w:rsidP="005D6F22" w:rsidRDefault="005D6F22" w14:paraId="687F3CEB" w14:textId="55FED4B9">
      <w:pPr>
        <w:jc w:val="center"/>
      </w:pPr>
      <w:r w:rsidRPr="005D6F22">
        <w:rPr>
          <w:noProof/>
        </w:rPr>
        <w:lastRenderedPageBreak/>
        <w:drawing>
          <wp:inline distT="0" distB="0" distL="0" distR="0" wp14:anchorId="2C33952D" wp14:editId="3B01DBF7">
            <wp:extent cx="4917219" cy="3258295"/>
            <wp:effectExtent l="76200" t="76200" r="131445" b="132715"/>
            <wp:docPr id="1919411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11618" name=""/>
                    <pic:cNvPicPr/>
                  </pic:nvPicPr>
                  <pic:blipFill>
                    <a:blip r:embed="rId7"/>
                    <a:stretch>
                      <a:fillRect/>
                    </a:stretch>
                  </pic:blipFill>
                  <pic:spPr>
                    <a:xfrm>
                      <a:off x="0" y="0"/>
                      <a:ext cx="4947221" cy="3278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797DC8" w:rsidR="005D6F22" w:rsidP="005D6F22" w:rsidRDefault="005D6F22" w14:paraId="062026DA" w14:textId="69A38EB8">
      <w:pPr>
        <w:jc w:val="center"/>
        <w:rPr>
          <w:b/>
          <w:bCs/>
        </w:rPr>
      </w:pPr>
      <w:r w:rsidRPr="00797DC8">
        <w:rPr>
          <w:b/>
          <w:bCs/>
        </w:rPr>
        <w:t xml:space="preserve">Figure 1: Global passenger </w:t>
      </w:r>
      <w:r w:rsidRPr="00797DC8" w:rsidR="00055D54">
        <w:rPr>
          <w:b/>
          <w:bCs/>
        </w:rPr>
        <w:t>vehicle sales for BYD</w:t>
      </w:r>
    </w:p>
    <w:p w:rsidR="00055D54" w:rsidP="005D6F22" w:rsidRDefault="00055D54" w14:paraId="20FE4D1F" w14:textId="3737748C">
      <w:pPr>
        <w:jc w:val="center"/>
      </w:pPr>
      <w:r>
        <w:t xml:space="preserve">(Source: </w:t>
      </w:r>
      <w:r w:rsidRPr="00055D54">
        <w:t>Richter</w:t>
      </w:r>
      <w:r>
        <w:t>, 2026)</w:t>
      </w:r>
    </w:p>
    <w:p w:rsidR="00275F90" w:rsidP="00275F90" w:rsidRDefault="00275F90" w14:paraId="5DA304B3" w14:textId="326AA1B8">
      <w:r w:rsidRPr="00275F90">
        <w:t xml:space="preserve">The </w:t>
      </w:r>
      <w:r>
        <w:t>growth</w:t>
      </w:r>
      <w:r w:rsidRPr="00275F90">
        <w:t xml:space="preserve"> in BYD sales of passenger cars received an outstanding boost in sales cap, as evidenced by the above graph, which started with about 200,000 units of passenger car sales in 2018 which would increase exponentially to over 4.5 million units sold by 2025, which is a significant market dominance. Nevertheless, the trend depicts growth rate after 2024 which is a sign of a market saturation and increase in competition. </w:t>
      </w:r>
    </w:p>
    <w:p w:rsidR="00785FB8" w:rsidP="00901725" w:rsidRDefault="00785FB8" w14:paraId="2CD15C10" w14:textId="1967FC26">
      <w:pPr>
        <w:pStyle w:val="Heading2"/>
      </w:pPr>
      <w:bookmarkStart w:name="_Toc227448940" w:id="3"/>
      <w:r w:rsidRPr="00785FB8">
        <w:t xml:space="preserve">2.2 Profitability </w:t>
      </w:r>
      <w:r w:rsidRPr="00785FB8" w:rsidR="006E05BE">
        <w:t>Analysis</w:t>
      </w:r>
      <w:bookmarkEnd w:id="3"/>
    </w:p>
    <w:p w:rsidR="00454C2B" w:rsidP="00367D2E" w:rsidRDefault="00454C2B" w14:paraId="732F4B12" w14:textId="72C4CE85">
      <w:pPr>
        <w:rPr>
          <w:b/>
          <w:bCs/>
          <w:i/>
          <w:iCs/>
        </w:rPr>
      </w:pPr>
      <w:r w:rsidRPr="00454C2B">
        <w:rPr>
          <w:b/>
          <w:bCs/>
          <w:i/>
          <w:iCs/>
        </w:rPr>
        <w:t xml:space="preserve">2.2.1 Net </w:t>
      </w:r>
      <w:r w:rsidRPr="00454C2B" w:rsidR="006E05BE">
        <w:rPr>
          <w:b/>
          <w:bCs/>
          <w:i/>
          <w:iCs/>
        </w:rPr>
        <w:t>Profit Margin</w:t>
      </w:r>
    </w:p>
    <w:p w:rsidRPr="00E04FFC" w:rsidR="00E04FFC" w:rsidP="00367D2E" w:rsidRDefault="00DA4906" w14:paraId="520E609E" w14:textId="3F749B16">
      <w:r w:rsidRPr="00DA4906">
        <w:t>NPM assists in the evaluation of the rate of net profit earned by a company as a percentage of its revenues (</w:t>
      </w:r>
      <w:r w:rsidRPr="006B50DB" w:rsidR="00683A20">
        <w:t>Lin, 2023</w:t>
      </w:r>
      <w:r w:rsidR="00683A20">
        <w:t xml:space="preserve">; </w:t>
      </w:r>
      <w:r w:rsidRPr="006B50DB" w:rsidR="00683A20">
        <w:t>Cao, 2025</w:t>
      </w:r>
      <w:r w:rsidRPr="00DA4906">
        <w:t xml:space="preserve">). The resultant graph reveals that the net profit margin of BYD is steadily growing since 2021 (1.39 percent) to a high of 5.19 percent in 2024 which reflects increased cost savings and economies of scale due to the fast growth in EVs. The decrease to 4.33% in 2025 however indicates increasing competition and constrained prices. </w:t>
      </w:r>
    </w:p>
    <w:p w:rsidR="00367D2E" w:rsidP="0024449A" w:rsidRDefault="009D7BB5" w14:paraId="23AC916E" w14:textId="7B7087E8">
      <w:pPr>
        <w:jc w:val="center"/>
      </w:pPr>
      <w:r>
        <w:rPr>
          <w:noProof/>
        </w:rPr>
        <w:lastRenderedPageBreak/>
        <w:drawing>
          <wp:inline distT="0" distB="0" distL="0" distR="0" wp14:anchorId="793624B1" wp14:editId="572D2EFD">
            <wp:extent cx="4481195" cy="2859405"/>
            <wp:effectExtent l="0" t="0" r="0" b="0"/>
            <wp:docPr id="348620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1195" cy="2859405"/>
                    </a:xfrm>
                    <a:prstGeom prst="rect">
                      <a:avLst/>
                    </a:prstGeom>
                    <a:noFill/>
                  </pic:spPr>
                </pic:pic>
              </a:graphicData>
            </a:graphic>
          </wp:inline>
        </w:drawing>
      </w:r>
    </w:p>
    <w:p w:rsidR="0024449A" w:rsidP="0024449A" w:rsidRDefault="0024449A" w14:paraId="23F33119" w14:textId="10D1200B">
      <w:pPr>
        <w:jc w:val="center"/>
        <w:rPr>
          <w:b/>
          <w:bCs/>
        </w:rPr>
      </w:pPr>
      <w:r w:rsidRPr="0024449A">
        <w:rPr>
          <w:b/>
          <w:bCs/>
        </w:rPr>
        <w:t xml:space="preserve">Figure 2: Net profit margin of BYD </w:t>
      </w:r>
    </w:p>
    <w:p w:rsidRPr="00B40A0C" w:rsidR="0024449A" w:rsidP="0024449A" w:rsidRDefault="0024449A" w14:paraId="09B9647E" w14:textId="34402157">
      <w:pPr>
        <w:jc w:val="center"/>
      </w:pPr>
      <w:r w:rsidRPr="00B40A0C">
        <w:t>(Source: Calculated in Excel)</w:t>
      </w:r>
    </w:p>
    <w:p w:rsidR="00454C2B" w:rsidP="00367D2E" w:rsidRDefault="00454C2B" w14:paraId="2349FE6C" w14:textId="6117F94C">
      <w:pPr>
        <w:rPr>
          <w:b/>
          <w:bCs/>
          <w:i/>
          <w:iCs/>
        </w:rPr>
      </w:pPr>
      <w:r w:rsidRPr="006D7664">
        <w:rPr>
          <w:b/>
          <w:bCs/>
          <w:i/>
          <w:iCs/>
        </w:rPr>
        <w:t xml:space="preserve">2.2.2 Return on </w:t>
      </w:r>
      <w:r w:rsidR="00FD6B2B">
        <w:rPr>
          <w:b/>
          <w:bCs/>
          <w:i/>
          <w:iCs/>
        </w:rPr>
        <w:t>A</w:t>
      </w:r>
      <w:r w:rsidRPr="006D7664">
        <w:rPr>
          <w:b/>
          <w:bCs/>
          <w:i/>
          <w:iCs/>
        </w:rPr>
        <w:t xml:space="preserve">ssets </w:t>
      </w:r>
    </w:p>
    <w:p w:rsidRPr="00DA4906" w:rsidR="00E04FFC" w:rsidP="00367D2E" w:rsidRDefault="00DA4906" w14:paraId="6F3E11D6" w14:textId="257FAD28">
      <w:r w:rsidRPr="00DA4906">
        <w:t>ROA is a ratio that looks at the efficiency with which a company is utilizing its assets to make profit (</w:t>
      </w:r>
      <w:r w:rsidRPr="002972AE" w:rsidR="00641585">
        <w:t>Lai</w:t>
      </w:r>
      <w:r w:rsidR="00641585">
        <w:t xml:space="preserve"> </w:t>
      </w:r>
      <w:r w:rsidRPr="00DE3FFA" w:rsidR="00641585">
        <w:rPr>
          <w:i/>
          <w:iCs/>
        </w:rPr>
        <w:t>et al.,</w:t>
      </w:r>
      <w:r w:rsidR="00641585">
        <w:t xml:space="preserve"> 2023</w:t>
      </w:r>
      <w:r w:rsidRPr="00DA4906">
        <w:t xml:space="preserve">). The graph of the ROA shows that it increased, compared to 1.02%, in 2021, 2022, and 2024 to 5.17% that indicates better use of assets and operational efficiency as BYD expanded the production. Yet, the loss to 4.13% in 2025 means that the asset growth is </w:t>
      </w:r>
      <w:r w:rsidRPr="00DA4906" w:rsidR="00977EE4">
        <w:t>out</w:t>
      </w:r>
      <w:r w:rsidR="00977EE4">
        <w:t>triggering</w:t>
      </w:r>
      <w:r w:rsidRPr="00DA4906">
        <w:t xml:space="preserve"> the increase in profits, implying decreasing returns on investment. The developing trend is an indication that more effective capital budgeting is required since expansion gives way to optimisation of the company.</w:t>
      </w:r>
    </w:p>
    <w:p w:rsidR="005E1DB2" w:rsidP="005E1DB2" w:rsidRDefault="009D7BB5" w14:paraId="4649CA6D" w14:textId="4759A1C2">
      <w:pPr>
        <w:jc w:val="center"/>
        <w:rPr>
          <w:b/>
          <w:bCs/>
          <w:i/>
          <w:iCs/>
        </w:rPr>
      </w:pPr>
      <w:r>
        <w:rPr>
          <w:b/>
          <w:bCs/>
          <w:i/>
          <w:iCs/>
          <w:noProof/>
        </w:rPr>
        <w:lastRenderedPageBreak/>
        <w:drawing>
          <wp:inline distT="0" distB="0" distL="0" distR="0" wp14:anchorId="0DDB5A50" wp14:editId="7F5DAA42">
            <wp:extent cx="4956175" cy="2944495"/>
            <wp:effectExtent l="0" t="0" r="0" b="8255"/>
            <wp:docPr id="449350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6175" cy="2944495"/>
                    </a:xfrm>
                    <a:prstGeom prst="rect">
                      <a:avLst/>
                    </a:prstGeom>
                    <a:noFill/>
                  </pic:spPr>
                </pic:pic>
              </a:graphicData>
            </a:graphic>
          </wp:inline>
        </w:drawing>
      </w:r>
    </w:p>
    <w:p w:rsidR="00A36E8C" w:rsidP="00A36E8C" w:rsidRDefault="00A36E8C" w14:paraId="6DB8ECC6" w14:textId="549F6C03">
      <w:pPr>
        <w:jc w:val="center"/>
        <w:rPr>
          <w:b/>
          <w:bCs/>
        </w:rPr>
      </w:pPr>
      <w:r w:rsidRPr="0024449A">
        <w:rPr>
          <w:b/>
          <w:bCs/>
        </w:rPr>
        <w:t xml:space="preserve">Figure </w:t>
      </w:r>
      <w:r>
        <w:rPr>
          <w:b/>
          <w:bCs/>
        </w:rPr>
        <w:t>3</w:t>
      </w:r>
      <w:r w:rsidRPr="0024449A">
        <w:rPr>
          <w:b/>
          <w:bCs/>
        </w:rPr>
        <w:t xml:space="preserve">: </w:t>
      </w:r>
      <w:r>
        <w:rPr>
          <w:b/>
          <w:bCs/>
        </w:rPr>
        <w:t>ROA</w:t>
      </w:r>
      <w:r w:rsidRPr="0024449A">
        <w:rPr>
          <w:b/>
          <w:bCs/>
        </w:rPr>
        <w:t xml:space="preserve"> of BYD</w:t>
      </w:r>
    </w:p>
    <w:p w:rsidRPr="00367D2E" w:rsidR="00367D2E" w:rsidP="00491F9E" w:rsidRDefault="00A36E8C" w14:paraId="41CA7B2C" w14:textId="386D8E77">
      <w:pPr>
        <w:jc w:val="center"/>
      </w:pPr>
      <w:r w:rsidRPr="00B40A0C">
        <w:t>(Source: Calculated in Excel)</w:t>
      </w:r>
    </w:p>
    <w:p w:rsidR="00785FB8" w:rsidP="00901725" w:rsidRDefault="00785FB8" w14:paraId="10EE1E17" w14:textId="53669F4A">
      <w:pPr>
        <w:pStyle w:val="Heading2"/>
      </w:pPr>
      <w:bookmarkStart w:name="_Toc227448941" w:id="4"/>
      <w:r w:rsidRPr="00785FB8">
        <w:t xml:space="preserve">2.3 Liquidity </w:t>
      </w:r>
      <w:r w:rsidRPr="00785FB8" w:rsidR="006E05BE">
        <w:t>Analysis</w:t>
      </w:r>
      <w:bookmarkEnd w:id="4"/>
    </w:p>
    <w:p w:rsidRPr="00DA4906" w:rsidR="00DA4906" w:rsidP="00DA4906" w:rsidRDefault="00DA4906" w14:paraId="0E4D0601" w14:textId="3610C1DC">
      <w:r w:rsidRPr="00DA4906">
        <w:t>Liquidity analysis evaluates how a company can cover its short-term financial commitments with the current assets meaning that it is financially stable and efficient (</w:t>
      </w:r>
      <w:r w:rsidRPr="002972AE" w:rsidR="00730022">
        <w:t>Qiu</w:t>
      </w:r>
      <w:r w:rsidR="00730022">
        <w:t xml:space="preserve"> </w:t>
      </w:r>
      <w:r w:rsidRPr="0038569B" w:rsidR="00730022">
        <w:rPr>
          <w:i/>
          <w:iCs/>
        </w:rPr>
        <w:t>et al.,</w:t>
      </w:r>
      <w:r w:rsidR="00730022">
        <w:t xml:space="preserve"> 2022</w:t>
      </w:r>
      <w:r w:rsidR="0038569B">
        <w:t xml:space="preserve">; </w:t>
      </w:r>
      <w:r w:rsidRPr="002972AE" w:rsidR="0038569B">
        <w:t>Yan</w:t>
      </w:r>
      <w:r w:rsidR="0038569B">
        <w:t xml:space="preserve"> </w:t>
      </w:r>
      <w:r w:rsidRPr="002972AE" w:rsidR="0038569B">
        <w:t>and Zhou, 2022</w:t>
      </w:r>
      <w:r w:rsidRPr="00DA4906">
        <w:t xml:space="preserve">). The graph also shows that BYD continuously had a current ratio less than 1 in 2021 to 2025 with a range between 0.72 and 0.80. Although 0.72 in 2022 is slightly improved to 0.79 in 2024 and 2025, the ratio indicates that current assets are less than current liabilities, which is an indication of potential liquidity constraints. The decline of 2022 is a sign of strain due to active growth and a higher number of short-term liabilities. Though the following years show gradual increment implying that there is improved control of working capital; the overall trend is that BYD is still working with a tight liquidity. </w:t>
      </w:r>
    </w:p>
    <w:p w:rsidR="00B42119" w:rsidP="00B42119" w:rsidRDefault="009D7BB5" w14:paraId="7A6FBDD1" w14:textId="3842A2C9">
      <w:pPr>
        <w:jc w:val="center"/>
      </w:pPr>
      <w:r>
        <w:rPr>
          <w:noProof/>
        </w:rPr>
        <w:lastRenderedPageBreak/>
        <w:drawing>
          <wp:inline distT="0" distB="0" distL="0" distR="0" wp14:anchorId="4BDF4087" wp14:editId="28149270">
            <wp:extent cx="4688205" cy="2859405"/>
            <wp:effectExtent l="0" t="0" r="0" b="0"/>
            <wp:docPr id="5981192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8205" cy="2859405"/>
                    </a:xfrm>
                    <a:prstGeom prst="rect">
                      <a:avLst/>
                    </a:prstGeom>
                    <a:noFill/>
                  </pic:spPr>
                </pic:pic>
              </a:graphicData>
            </a:graphic>
          </wp:inline>
        </w:drawing>
      </w:r>
    </w:p>
    <w:p w:rsidR="00B42119" w:rsidP="00B42119" w:rsidRDefault="00B42119" w14:paraId="7D96F10F" w14:textId="07EA45C6">
      <w:pPr>
        <w:jc w:val="center"/>
        <w:rPr>
          <w:b/>
          <w:bCs/>
        </w:rPr>
      </w:pPr>
      <w:r w:rsidRPr="0024449A">
        <w:rPr>
          <w:b/>
          <w:bCs/>
        </w:rPr>
        <w:t xml:space="preserve">Figure </w:t>
      </w:r>
      <w:r>
        <w:rPr>
          <w:b/>
          <w:bCs/>
        </w:rPr>
        <w:t>3</w:t>
      </w:r>
      <w:r w:rsidRPr="0024449A">
        <w:rPr>
          <w:b/>
          <w:bCs/>
        </w:rPr>
        <w:t xml:space="preserve">: </w:t>
      </w:r>
      <w:r>
        <w:rPr>
          <w:b/>
          <w:bCs/>
        </w:rPr>
        <w:t>Current ratio of BYD</w:t>
      </w:r>
      <w:r w:rsidRPr="0024449A">
        <w:rPr>
          <w:b/>
          <w:bCs/>
        </w:rPr>
        <w:t xml:space="preserve"> </w:t>
      </w:r>
    </w:p>
    <w:p w:rsidRPr="00B42119" w:rsidR="00B42119" w:rsidP="004F22BF" w:rsidRDefault="00B42119" w14:paraId="5D00AA6D" w14:textId="0C3DC0A2">
      <w:pPr>
        <w:jc w:val="center"/>
      </w:pPr>
      <w:r w:rsidRPr="00B40A0C">
        <w:t>(Source: Calculated in Excel)</w:t>
      </w:r>
    </w:p>
    <w:p w:rsidR="00785FB8" w:rsidP="00901725" w:rsidRDefault="00785FB8" w14:paraId="20449AFB" w14:textId="55CA3842">
      <w:pPr>
        <w:pStyle w:val="Heading2"/>
      </w:pPr>
      <w:bookmarkStart w:name="_Toc227448942" w:id="5"/>
      <w:r w:rsidRPr="00785FB8">
        <w:t xml:space="preserve">2.4 Efficiency </w:t>
      </w:r>
      <w:r w:rsidRPr="00785FB8" w:rsidR="006E05BE">
        <w:t>Analysis</w:t>
      </w:r>
      <w:bookmarkEnd w:id="5"/>
    </w:p>
    <w:p w:rsidRPr="00DA4906" w:rsidR="00DA4906" w:rsidP="00DA4906" w:rsidRDefault="00DA4906" w14:paraId="3BC8A467" w14:textId="74E7FFB8">
      <w:r w:rsidRPr="00DA4906">
        <w:t>The efficiency analysis assesses the efficiency of a firm in the utilisation of its assets to produce revenue (operational performance and resource utilisation) (</w:t>
      </w:r>
      <w:r w:rsidRPr="00A43515" w:rsidR="007D60D0">
        <w:t>Chen</w:t>
      </w:r>
      <w:r w:rsidR="007D60D0">
        <w:t xml:space="preserve"> </w:t>
      </w:r>
      <w:r w:rsidRPr="00B63E4B" w:rsidR="007D60D0">
        <w:rPr>
          <w:i/>
          <w:iCs/>
        </w:rPr>
        <w:t>et al.,</w:t>
      </w:r>
      <w:r w:rsidR="007D60D0">
        <w:t xml:space="preserve"> 2024</w:t>
      </w:r>
      <w:r w:rsidRPr="00DA4906">
        <w:t xml:space="preserve">). This can be confirmed by the asset turnover ratio which displays the steady growth of the asset turnover ratio as 0.73 in 2021 up to 1.00 for 2024 to reflect how BYD was able to effectively use the asset base to generate revenue. This trend spreads to efficiency in operations and </w:t>
      </w:r>
      <w:r w:rsidRPr="00DA4906" w:rsidR="00977EE4">
        <w:t>scalability</w:t>
      </w:r>
      <w:r w:rsidRPr="00DA4906">
        <w:t xml:space="preserve"> of production due to the improved demand in electric vehicles. Nevertheless, the minor decrease of the value to 0.95 in 2025 indicates that the growth of assets is starting to exceed the increase in revenues, perhaps as a result of excess capacity or deceleration in the growth of the demand. </w:t>
      </w:r>
    </w:p>
    <w:p w:rsidR="00B42119" w:rsidP="00B42119" w:rsidRDefault="009D7BB5" w14:paraId="6889EB9A" w14:textId="4BDA1D11">
      <w:pPr>
        <w:jc w:val="center"/>
      </w:pPr>
      <w:r>
        <w:rPr>
          <w:noProof/>
        </w:rPr>
        <w:lastRenderedPageBreak/>
        <w:drawing>
          <wp:inline distT="0" distB="0" distL="0" distR="0" wp14:anchorId="1B022CA7" wp14:editId="3A7594CC">
            <wp:extent cx="4224655" cy="2463165"/>
            <wp:effectExtent l="0" t="0" r="4445" b="0"/>
            <wp:docPr id="572038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4655" cy="2463165"/>
                    </a:xfrm>
                    <a:prstGeom prst="rect">
                      <a:avLst/>
                    </a:prstGeom>
                    <a:noFill/>
                  </pic:spPr>
                </pic:pic>
              </a:graphicData>
            </a:graphic>
          </wp:inline>
        </w:drawing>
      </w:r>
    </w:p>
    <w:p w:rsidRPr="0004561A" w:rsidR="00B42119" w:rsidP="00B42119" w:rsidRDefault="00B42119" w14:paraId="0E204ED0" w14:textId="77777777">
      <w:pPr>
        <w:jc w:val="center"/>
        <w:rPr>
          <w:b/>
          <w:bCs/>
        </w:rPr>
      </w:pPr>
      <w:r w:rsidRPr="0004561A">
        <w:rPr>
          <w:b/>
          <w:bCs/>
        </w:rPr>
        <w:t xml:space="preserve">Figure 4: Asset turnover ratio </w:t>
      </w:r>
    </w:p>
    <w:p w:rsidRPr="00B42119" w:rsidR="00B42119" w:rsidP="005123DB" w:rsidRDefault="00B42119" w14:paraId="24B25595" w14:textId="626D52E0">
      <w:pPr>
        <w:jc w:val="center"/>
      </w:pPr>
      <w:r w:rsidRPr="00B40A0C">
        <w:t>(Source: Calculated in Excel)</w:t>
      </w:r>
    </w:p>
    <w:p w:rsidR="00785FB8" w:rsidP="00901725" w:rsidRDefault="00785FB8" w14:paraId="2F2C0E2C" w14:textId="26F0871B">
      <w:pPr>
        <w:pStyle w:val="Heading2"/>
      </w:pPr>
      <w:bookmarkStart w:name="_Toc227448943" w:id="6"/>
      <w:r w:rsidRPr="00785FB8">
        <w:t xml:space="preserve">2.5 Gearing </w:t>
      </w:r>
      <w:r w:rsidR="00901725">
        <w:t>and</w:t>
      </w:r>
      <w:r w:rsidRPr="00785FB8">
        <w:t xml:space="preserve"> </w:t>
      </w:r>
      <w:r w:rsidRPr="00785FB8" w:rsidR="00901725">
        <w:t>capital structure</w:t>
      </w:r>
      <w:bookmarkEnd w:id="6"/>
    </w:p>
    <w:p w:rsidRPr="004F22BF" w:rsidR="004F22BF" w:rsidP="004F22BF" w:rsidRDefault="004F22BF" w14:paraId="6105F995" w14:textId="3F4EB86B">
      <w:pPr>
        <w:rPr>
          <w:b/>
          <w:bCs/>
          <w:i/>
          <w:iCs/>
        </w:rPr>
      </w:pPr>
      <w:r w:rsidRPr="004F22BF">
        <w:rPr>
          <w:b/>
          <w:bCs/>
          <w:i/>
          <w:iCs/>
        </w:rPr>
        <w:t>2.5.1 Debt ratio of BYD</w:t>
      </w:r>
    </w:p>
    <w:p w:rsidRPr="004F22BF" w:rsidR="004F22BF" w:rsidP="004F22BF" w:rsidRDefault="00DA4906" w14:paraId="5D79636F" w14:textId="051A6623">
      <w:r w:rsidRPr="00DA4906">
        <w:t>Gearing analysis is used to evaluate the level of financial risk and leverage by evaluating the ratio of a firm assets as low as it is financed by debt (</w:t>
      </w:r>
      <w:r w:rsidRPr="00A43515" w:rsidR="00684FB0">
        <w:t>Wang</w:t>
      </w:r>
      <w:r w:rsidR="00684FB0">
        <w:t xml:space="preserve"> </w:t>
      </w:r>
      <w:r w:rsidRPr="00EE4301" w:rsidR="00684FB0">
        <w:rPr>
          <w:i/>
          <w:iCs/>
        </w:rPr>
        <w:t>et al.,</w:t>
      </w:r>
      <w:r w:rsidR="00684FB0">
        <w:t xml:space="preserve"> 2024</w:t>
      </w:r>
      <w:r w:rsidRPr="00DA4906">
        <w:t xml:space="preserve">). The debt ratio of BYD goes up to 71.19% in 2021 and to about 76.9 in 2024, and then slightly to 76.74 in 2025. This increase shows that more and more companies are depending on debt financing to finance their high growth and investment in the EV industry that is capital intensive. Although such leverage may help one grow faster, it leads to a higher level of financial risk and besetting interest rate risk. The marginal stabilisation in 2025 indicates that BYD potentially is at a leverage level. </w:t>
      </w:r>
    </w:p>
    <w:p w:rsidR="005123DB" w:rsidP="005123DB" w:rsidRDefault="009D7BB5" w14:paraId="4C1DA7E7" w14:textId="011C7205">
      <w:pPr>
        <w:jc w:val="center"/>
      </w:pPr>
      <w:r>
        <w:rPr>
          <w:noProof/>
        </w:rPr>
        <w:lastRenderedPageBreak/>
        <w:drawing>
          <wp:inline distT="0" distB="0" distL="0" distR="0" wp14:anchorId="278F2662" wp14:editId="50CDC571">
            <wp:extent cx="4584700" cy="2755900"/>
            <wp:effectExtent l="0" t="0" r="6350" b="6350"/>
            <wp:docPr id="945152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8F747D" w:rsidR="005123DB" w:rsidP="005123DB" w:rsidRDefault="005123DB" w14:paraId="28BF2562" w14:textId="77777777">
      <w:pPr>
        <w:jc w:val="center"/>
        <w:rPr>
          <w:b/>
          <w:bCs/>
        </w:rPr>
      </w:pPr>
      <w:r w:rsidRPr="008F747D">
        <w:rPr>
          <w:b/>
          <w:bCs/>
        </w:rPr>
        <w:t>Figure 5: Debt ratio of BYD</w:t>
      </w:r>
    </w:p>
    <w:p w:rsidR="00BD4353" w:rsidP="004F22BF" w:rsidRDefault="005123DB" w14:paraId="47D6B51A" w14:textId="4F39559F">
      <w:pPr>
        <w:jc w:val="center"/>
      </w:pPr>
      <w:r w:rsidRPr="00B40A0C">
        <w:t>(Source: Calculated in Excel)</w:t>
      </w:r>
    </w:p>
    <w:p w:rsidR="004F22BF" w:rsidP="004F22BF" w:rsidRDefault="004F22BF" w14:paraId="5D2EA75B" w14:textId="3F1EEF94">
      <w:pPr>
        <w:rPr>
          <w:b/>
          <w:bCs/>
          <w:i/>
          <w:iCs/>
        </w:rPr>
      </w:pPr>
      <w:r w:rsidRPr="00D954D6">
        <w:rPr>
          <w:b/>
          <w:bCs/>
          <w:i/>
          <w:iCs/>
        </w:rPr>
        <w:t>2.</w:t>
      </w:r>
      <w:r>
        <w:rPr>
          <w:b/>
          <w:bCs/>
          <w:i/>
          <w:iCs/>
        </w:rPr>
        <w:t>5</w:t>
      </w:r>
      <w:r w:rsidRPr="00D954D6">
        <w:rPr>
          <w:b/>
          <w:bCs/>
          <w:i/>
          <w:iCs/>
        </w:rPr>
        <w:t>.1 Debt to equity ratio of BYD</w:t>
      </w:r>
    </w:p>
    <w:p w:rsidRPr="00905CFD" w:rsidR="00B9657D" w:rsidP="004F22BF" w:rsidRDefault="00905CFD" w14:paraId="59590A7A" w14:textId="228BE767">
      <w:r w:rsidRPr="00905CFD">
        <w:t>Debt- Equity ratio is a measure of the percentage of debt in comparison with the cash in the hands of shareholders, which represents how much financial leverage is utilized by an enterprise (</w:t>
      </w:r>
      <w:r w:rsidRPr="00A43515" w:rsidR="00770A46">
        <w:t>Deng, 2024</w:t>
      </w:r>
      <w:r w:rsidR="00770A46">
        <w:t xml:space="preserve">; </w:t>
      </w:r>
      <w:r w:rsidRPr="00A43515" w:rsidR="00770A46">
        <w:t>Zhang, 2025</w:t>
      </w:r>
      <w:r w:rsidRPr="00905CFD">
        <w:t>). The debt to equity ratio of BYD increases dramatically to 2.47 and 3.33 in 2021 and 2024 respectively, after which it decreases to 3.30 in 2025. This is a trend of rising reliance on debt financing as compared to equity, signifying an aggressive expansion strategy. The rapid rise in 2021-22 can be used to mark heightened borrowing to finance growth. Whereas the ratio level off in 2025, it is quite high implying high financial risks. This degree of leverage can increase the returns in times of growth</w:t>
      </w:r>
      <w:r w:rsidR="00E6078C">
        <w:t xml:space="preserve">; however, </w:t>
      </w:r>
      <w:r w:rsidRPr="00905CFD">
        <w:t xml:space="preserve">puts the company at risk of future financial strains in periods of economic recession. </w:t>
      </w:r>
    </w:p>
    <w:p w:rsidR="004F22BF" w:rsidP="004F22BF" w:rsidRDefault="009D7BB5" w14:paraId="79CC349F" w14:textId="4549BF89">
      <w:pPr>
        <w:jc w:val="center"/>
      </w:pPr>
      <w:r>
        <w:rPr>
          <w:noProof/>
        </w:rPr>
        <w:lastRenderedPageBreak/>
        <w:drawing>
          <wp:inline distT="0" distB="0" distL="0" distR="0" wp14:anchorId="56735A89" wp14:editId="3707BC60">
            <wp:extent cx="4397071" cy="2434868"/>
            <wp:effectExtent l="0" t="0" r="3810" b="3810"/>
            <wp:docPr id="15240750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98155" cy="2435468"/>
                    </a:xfrm>
                    <a:prstGeom prst="rect">
                      <a:avLst/>
                    </a:prstGeom>
                    <a:noFill/>
                  </pic:spPr>
                </pic:pic>
              </a:graphicData>
            </a:graphic>
          </wp:inline>
        </w:drawing>
      </w:r>
    </w:p>
    <w:p w:rsidRPr="008F747D" w:rsidR="004F22BF" w:rsidP="004F22BF" w:rsidRDefault="004F22BF" w14:paraId="2A0BA7C8" w14:textId="77777777">
      <w:pPr>
        <w:jc w:val="center"/>
        <w:rPr>
          <w:b/>
          <w:bCs/>
        </w:rPr>
      </w:pPr>
      <w:r w:rsidRPr="008F747D">
        <w:rPr>
          <w:b/>
          <w:bCs/>
        </w:rPr>
        <w:t xml:space="preserve">Figure </w:t>
      </w:r>
      <w:r>
        <w:rPr>
          <w:b/>
          <w:bCs/>
        </w:rPr>
        <w:t>6</w:t>
      </w:r>
      <w:r w:rsidRPr="008F747D">
        <w:rPr>
          <w:b/>
          <w:bCs/>
        </w:rPr>
        <w:t>: Debt</w:t>
      </w:r>
      <w:r>
        <w:rPr>
          <w:b/>
          <w:bCs/>
        </w:rPr>
        <w:t xml:space="preserve"> to equity</w:t>
      </w:r>
      <w:r w:rsidRPr="008F747D">
        <w:rPr>
          <w:b/>
          <w:bCs/>
        </w:rPr>
        <w:t xml:space="preserve"> ratio of BYD</w:t>
      </w:r>
    </w:p>
    <w:p w:rsidRPr="00BD4353" w:rsidR="004F22BF" w:rsidP="00B9657D" w:rsidRDefault="004F22BF" w14:paraId="7E78C28A" w14:textId="72D9ED75">
      <w:pPr>
        <w:jc w:val="center"/>
      </w:pPr>
      <w:r w:rsidRPr="00B40A0C">
        <w:t>(Source: Calculated in Excel)</w:t>
      </w:r>
    </w:p>
    <w:p w:rsidRPr="00B9657D" w:rsidR="00B9657D" w:rsidP="00B9627C" w:rsidRDefault="00785FB8" w14:paraId="5D0E41EB" w14:textId="6B0DD28F">
      <w:pPr>
        <w:pStyle w:val="Heading2"/>
      </w:pPr>
      <w:bookmarkStart w:name="_Toc227448944" w:id="7"/>
      <w:r w:rsidRPr="00D263D0">
        <w:t xml:space="preserve">2.6 Investment </w:t>
      </w:r>
      <w:r w:rsidRPr="00D263D0" w:rsidR="009D7BB5">
        <w:t>Ratio</w:t>
      </w:r>
      <w:bookmarkEnd w:id="7"/>
    </w:p>
    <w:p w:rsidRPr="005118B8" w:rsidR="00B9627C" w:rsidP="00D954D6" w:rsidRDefault="00D263D0" w14:paraId="2F2C2DDE" w14:textId="0E37F877">
      <w:r w:rsidRPr="00D263D0">
        <w:t>EPS is used to give the figure of the profit that can be attributed to shareholders of a particular stock to show how shareholders are making returns along with the performance of a company in terms of profitability (</w:t>
      </w:r>
      <w:r w:rsidRPr="00B73622" w:rsidR="00FC52C7">
        <w:t>Huang, 2022</w:t>
      </w:r>
      <w:r w:rsidR="00365BE8">
        <w:t xml:space="preserve">; </w:t>
      </w:r>
      <w:r w:rsidRPr="00B73622" w:rsidR="00365BE8">
        <w:t>Yao,  2025</w:t>
      </w:r>
      <w:r w:rsidRPr="00D263D0">
        <w:t xml:space="preserve">). The trend in the EPS of BYD shows that it shows a positive growth in 2021, 2022, 2023, and 2024, with the highest value of 13.85 in 2024, which reflects the high growth of shareholder value and profit growth. This growth indicates the better operational performance and increment in the net profits as the company grew. Nonetheless, the fall to 12.20 in 2025 implies that there will be new tension on the earnings; this could stem out of intensified competition and cost issues. </w:t>
      </w:r>
    </w:p>
    <w:p w:rsidR="00D66FFE" w:rsidP="00D66FFE" w:rsidRDefault="009D7BB5" w14:paraId="2FC76045" w14:textId="25F185DB">
      <w:pPr>
        <w:jc w:val="center"/>
        <w:rPr>
          <w:b/>
          <w:bCs/>
          <w:i/>
          <w:iCs/>
        </w:rPr>
      </w:pPr>
      <w:r>
        <w:rPr>
          <w:b/>
          <w:bCs/>
          <w:i/>
          <w:iCs/>
          <w:noProof/>
        </w:rPr>
        <w:drawing>
          <wp:inline distT="0" distB="0" distL="0" distR="0" wp14:anchorId="5808270E" wp14:editId="7DE06E39">
            <wp:extent cx="3999230" cy="1713230"/>
            <wp:effectExtent l="0" t="0" r="1270" b="1270"/>
            <wp:docPr id="20407922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99230" cy="1713230"/>
                    </a:xfrm>
                    <a:prstGeom prst="rect">
                      <a:avLst/>
                    </a:prstGeom>
                    <a:noFill/>
                  </pic:spPr>
                </pic:pic>
              </a:graphicData>
            </a:graphic>
          </wp:inline>
        </w:drawing>
      </w:r>
    </w:p>
    <w:p w:rsidRPr="008F747D" w:rsidR="00D66FFE" w:rsidP="00D66FFE" w:rsidRDefault="00D66FFE" w14:paraId="7921B3FC" w14:textId="22EE612A">
      <w:pPr>
        <w:jc w:val="center"/>
        <w:rPr>
          <w:b/>
          <w:bCs/>
        </w:rPr>
      </w:pPr>
      <w:r w:rsidRPr="008F747D">
        <w:rPr>
          <w:b/>
          <w:bCs/>
        </w:rPr>
        <w:t xml:space="preserve">Figure </w:t>
      </w:r>
      <w:r>
        <w:rPr>
          <w:b/>
          <w:bCs/>
        </w:rPr>
        <w:t>7</w:t>
      </w:r>
      <w:r w:rsidRPr="008F747D">
        <w:rPr>
          <w:b/>
          <w:bCs/>
        </w:rPr>
        <w:t xml:space="preserve">: </w:t>
      </w:r>
      <w:r w:rsidRPr="00D66FFE">
        <w:rPr>
          <w:b/>
          <w:bCs/>
        </w:rPr>
        <w:t>EPS for BYD</w:t>
      </w:r>
    </w:p>
    <w:p w:rsidRPr="00F67E38" w:rsidR="00D954D6" w:rsidP="00B9627C" w:rsidRDefault="00D66FFE" w14:paraId="5D7E694E" w14:textId="71E27CD3">
      <w:pPr>
        <w:jc w:val="center"/>
      </w:pPr>
      <w:r w:rsidRPr="00B40A0C">
        <w:lastRenderedPageBreak/>
        <w:t>(Source: Calculated in Excel)</w:t>
      </w:r>
    </w:p>
    <w:p w:rsidR="00785FB8" w:rsidP="00901725" w:rsidRDefault="00785FB8" w14:paraId="415576FD" w14:textId="0A5F3BA0">
      <w:pPr>
        <w:pStyle w:val="Heading2"/>
      </w:pPr>
      <w:bookmarkStart w:name="_Toc227448945" w:id="8"/>
      <w:r w:rsidRPr="00785FB8">
        <w:t xml:space="preserve">2.7 Cash </w:t>
      </w:r>
      <w:r w:rsidRPr="00785FB8" w:rsidR="009D7BB5">
        <w:t>Flow Analysis</w:t>
      </w:r>
      <w:bookmarkEnd w:id="8"/>
    </w:p>
    <w:p w:rsidRPr="00312A5D" w:rsidR="00312A5D" w:rsidP="00312A5D" w:rsidRDefault="00312A5D" w14:paraId="471EB3BB" w14:textId="23B3C6EB">
      <w:r w:rsidRPr="00E77546">
        <w:t>Cash flow analysis assesses whether a firm can produce cash during its operations and also the capacity to pay off obligations, invest and maintain a financial stability (</w:t>
      </w:r>
      <w:r w:rsidRPr="00B60520" w:rsidR="000153DF">
        <w:t>Wang and Wang, 2025</w:t>
      </w:r>
      <w:r w:rsidR="00C33FD6">
        <w:t xml:space="preserve">; </w:t>
      </w:r>
      <w:r w:rsidRPr="0056199D" w:rsidR="00C33FD6">
        <w:t>Zhu, 2025</w:t>
      </w:r>
      <w:r w:rsidRPr="00E77546">
        <w:t>). The cash flow ratios indicate a steady increase in the operating cash flow ratio of BYD values between 0.02 in 2021 and 0.13 in 2024 that demonstrates enhanced cash production and a better covering of liquidity. In the same measure, cash flow to debt ratio rises implying that better debt service capacity. Nonetheless, the two ratios decrease in 2025 indicating less cash generation compared to liabilities and debt. Cash flow margin is also taking the same trend with a peak of 2024 and then declines. This tendency denotes that as BYD fortified its cash flow and strengthened its capital base throughout its expansion, the present performance shows that financial strain is beginning to emerge and supports the arguments about liquidity and sustainability.</w:t>
      </w:r>
    </w:p>
    <w:p w:rsidR="001054A6" w:rsidP="00386DD4" w:rsidRDefault="009D7BB5" w14:paraId="1BA6DEB4" w14:textId="1281A731">
      <w:pPr>
        <w:jc w:val="center"/>
      </w:pPr>
      <w:r>
        <w:rPr>
          <w:noProof/>
        </w:rPr>
        <w:drawing>
          <wp:inline distT="0" distB="0" distL="0" distR="0" wp14:anchorId="13B3B933" wp14:editId="594DA361">
            <wp:extent cx="5187950" cy="3225165"/>
            <wp:effectExtent l="0" t="0" r="0" b="0"/>
            <wp:docPr id="3406777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87950" cy="3225165"/>
                    </a:xfrm>
                    <a:prstGeom prst="rect">
                      <a:avLst/>
                    </a:prstGeom>
                    <a:noFill/>
                  </pic:spPr>
                </pic:pic>
              </a:graphicData>
            </a:graphic>
          </wp:inline>
        </w:drawing>
      </w:r>
    </w:p>
    <w:p w:rsidRPr="00386DD4" w:rsidR="00386DD4" w:rsidP="00386DD4" w:rsidRDefault="00386DD4" w14:paraId="79CBA75E" w14:textId="60B12D5D">
      <w:pPr>
        <w:jc w:val="center"/>
        <w:rPr>
          <w:b/>
          <w:bCs/>
        </w:rPr>
      </w:pPr>
      <w:r w:rsidRPr="00386DD4">
        <w:rPr>
          <w:b/>
          <w:bCs/>
        </w:rPr>
        <w:t xml:space="preserve">Figure 8: Cash flow ratios of BYD </w:t>
      </w:r>
    </w:p>
    <w:p w:rsidR="00386DD4" w:rsidP="008F365E" w:rsidRDefault="00386DD4" w14:paraId="3ADA1C7C" w14:textId="3962E85E">
      <w:pPr>
        <w:jc w:val="center"/>
      </w:pPr>
      <w:r w:rsidRPr="00B40A0C">
        <w:t>(Source: Calculated in Excel)</w:t>
      </w:r>
    </w:p>
    <w:p w:rsidR="00785FB8" w:rsidP="00901725" w:rsidRDefault="00785FB8" w14:paraId="78D69482" w14:textId="784D1DB1">
      <w:pPr>
        <w:pStyle w:val="Heading2"/>
      </w:pPr>
      <w:bookmarkStart w:name="_Toc227448946" w:id="9"/>
      <w:r w:rsidRPr="00785FB8">
        <w:lastRenderedPageBreak/>
        <w:t xml:space="preserve">2.8 Key </w:t>
      </w:r>
      <w:r w:rsidRPr="00785FB8" w:rsidR="00901725">
        <w:t xml:space="preserve">strengths </w:t>
      </w:r>
      <w:r w:rsidR="00901725">
        <w:t>and</w:t>
      </w:r>
      <w:r w:rsidRPr="00785FB8" w:rsidR="00901725">
        <w:t xml:space="preserve"> weaknesses</w:t>
      </w:r>
      <w:bookmarkEnd w:id="9"/>
    </w:p>
    <w:tbl>
      <w:tblPr>
        <w:tblStyle w:val="TableGrid"/>
        <w:tblW w:w="0" w:type="auto"/>
        <w:tblLook w:val="04A0" w:firstRow="1" w:lastRow="0" w:firstColumn="1" w:lastColumn="0" w:noHBand="0" w:noVBand="1"/>
      </w:tblPr>
      <w:tblGrid>
        <w:gridCol w:w="4751"/>
        <w:gridCol w:w="4265"/>
      </w:tblGrid>
      <w:tr w:rsidRPr="00283954" w:rsidR="00283954" w:rsidTr="00283954" w14:paraId="6FF582A3" w14:textId="77777777">
        <w:tc>
          <w:tcPr>
            <w:tcW w:w="0" w:type="auto"/>
            <w:hideMark/>
          </w:tcPr>
          <w:p w:rsidRPr="00283954" w:rsidR="00283954" w:rsidP="009D7BB5" w:rsidRDefault="00283954" w14:paraId="5E455EE9" w14:textId="77777777">
            <w:pPr>
              <w:spacing w:line="240" w:lineRule="auto"/>
              <w:jc w:val="center"/>
              <w:rPr>
                <w:b/>
                <w:bCs/>
              </w:rPr>
            </w:pPr>
            <w:r w:rsidRPr="00283954">
              <w:rPr>
                <w:b/>
                <w:bCs/>
              </w:rPr>
              <w:t>Strengths</w:t>
            </w:r>
          </w:p>
        </w:tc>
        <w:tc>
          <w:tcPr>
            <w:tcW w:w="0" w:type="auto"/>
            <w:hideMark/>
          </w:tcPr>
          <w:p w:rsidRPr="00283954" w:rsidR="00283954" w:rsidP="009D7BB5" w:rsidRDefault="00283954" w14:paraId="2656EE02" w14:textId="77777777">
            <w:pPr>
              <w:spacing w:line="240" w:lineRule="auto"/>
              <w:jc w:val="center"/>
              <w:rPr>
                <w:b/>
                <w:bCs/>
              </w:rPr>
            </w:pPr>
            <w:r w:rsidRPr="00283954">
              <w:rPr>
                <w:b/>
                <w:bCs/>
              </w:rPr>
              <w:t>Weaknesses</w:t>
            </w:r>
          </w:p>
        </w:tc>
      </w:tr>
      <w:tr w:rsidRPr="00283954" w:rsidR="00283954" w:rsidTr="00283954" w14:paraId="4AA92C46" w14:textId="77777777">
        <w:tc>
          <w:tcPr>
            <w:tcW w:w="0" w:type="auto"/>
            <w:hideMark/>
          </w:tcPr>
          <w:p w:rsidRPr="00283954" w:rsidR="00283954" w:rsidP="009D7BB5" w:rsidRDefault="00283954" w14:paraId="38A1A518" w14:textId="425F44CB">
            <w:pPr>
              <w:spacing w:line="240" w:lineRule="auto"/>
            </w:pPr>
            <w:r w:rsidRPr="00283954">
              <w:t xml:space="preserve">Strong revenue and profit growth </w:t>
            </w:r>
          </w:p>
        </w:tc>
        <w:tc>
          <w:tcPr>
            <w:tcW w:w="0" w:type="auto"/>
            <w:hideMark/>
          </w:tcPr>
          <w:p w:rsidRPr="00283954" w:rsidR="00283954" w:rsidP="009D7BB5" w:rsidRDefault="00283954" w14:paraId="2C47698E" w14:textId="77777777">
            <w:pPr>
              <w:spacing w:line="240" w:lineRule="auto"/>
            </w:pPr>
            <w:r w:rsidRPr="00283954">
              <w:t>Declining profitability in 2025</w:t>
            </w:r>
          </w:p>
        </w:tc>
      </w:tr>
      <w:tr w:rsidRPr="00283954" w:rsidR="00283954" w:rsidTr="00283954" w14:paraId="334E6CF7" w14:textId="77777777">
        <w:tc>
          <w:tcPr>
            <w:tcW w:w="0" w:type="auto"/>
            <w:hideMark/>
          </w:tcPr>
          <w:p w:rsidRPr="00283954" w:rsidR="00283954" w:rsidP="009D7BB5" w:rsidRDefault="00283954" w14:paraId="57146267" w14:textId="1539343C">
            <w:pPr>
              <w:spacing w:line="240" w:lineRule="auto"/>
            </w:pPr>
            <w:r w:rsidRPr="00283954">
              <w:t xml:space="preserve">Improving net profit margin and ROA </w:t>
            </w:r>
          </w:p>
        </w:tc>
        <w:tc>
          <w:tcPr>
            <w:tcW w:w="0" w:type="auto"/>
            <w:hideMark/>
          </w:tcPr>
          <w:p w:rsidRPr="00283954" w:rsidR="00283954" w:rsidP="009D7BB5" w:rsidRDefault="00283954" w14:paraId="440FF59D" w14:textId="77777777">
            <w:pPr>
              <w:spacing w:line="240" w:lineRule="auto"/>
            </w:pPr>
            <w:r w:rsidRPr="00283954">
              <w:t>Persistently low liquidity (current ratio &lt;1)</w:t>
            </w:r>
          </w:p>
        </w:tc>
      </w:tr>
      <w:tr w:rsidRPr="00283954" w:rsidR="00283954" w:rsidTr="00283954" w14:paraId="26EA82FD" w14:textId="77777777">
        <w:tc>
          <w:tcPr>
            <w:tcW w:w="0" w:type="auto"/>
            <w:hideMark/>
          </w:tcPr>
          <w:p w:rsidRPr="00283954" w:rsidR="00283954" w:rsidP="009D7BB5" w:rsidRDefault="00283954" w14:paraId="62B70CE8" w14:textId="77777777">
            <w:pPr>
              <w:spacing w:line="240" w:lineRule="auto"/>
            </w:pPr>
            <w:r w:rsidRPr="00283954">
              <w:t>Increasing asset efficiency (asset turnover growth)</w:t>
            </w:r>
          </w:p>
        </w:tc>
        <w:tc>
          <w:tcPr>
            <w:tcW w:w="0" w:type="auto"/>
            <w:hideMark/>
          </w:tcPr>
          <w:p w:rsidRPr="00283954" w:rsidR="00283954" w:rsidP="009D7BB5" w:rsidRDefault="00283954" w14:paraId="2376FD92" w14:textId="77777777">
            <w:pPr>
              <w:spacing w:line="240" w:lineRule="auto"/>
            </w:pPr>
            <w:r w:rsidRPr="00283954">
              <w:t>High leverage (debt ratio and D/E ratio rising)</w:t>
            </w:r>
          </w:p>
        </w:tc>
      </w:tr>
      <w:tr w:rsidRPr="00283954" w:rsidR="00283954" w:rsidTr="00283954" w14:paraId="5F5FADFB" w14:textId="77777777">
        <w:tc>
          <w:tcPr>
            <w:tcW w:w="0" w:type="auto"/>
            <w:hideMark/>
          </w:tcPr>
          <w:p w:rsidRPr="00283954" w:rsidR="00283954" w:rsidP="009D7BB5" w:rsidRDefault="00283954" w14:paraId="0DAFD930" w14:textId="77777777">
            <w:pPr>
              <w:spacing w:line="240" w:lineRule="auto"/>
            </w:pPr>
            <w:r w:rsidRPr="00283954">
              <w:t>Significant EPS growth indicating shareholder value</w:t>
            </w:r>
          </w:p>
        </w:tc>
        <w:tc>
          <w:tcPr>
            <w:tcW w:w="0" w:type="auto"/>
            <w:hideMark/>
          </w:tcPr>
          <w:p w:rsidRPr="00283954" w:rsidR="00283954" w:rsidP="009D7BB5" w:rsidRDefault="00283954" w14:paraId="2E2BBF89" w14:textId="77777777">
            <w:pPr>
              <w:spacing w:line="240" w:lineRule="auto"/>
            </w:pPr>
            <w:r w:rsidRPr="00283954">
              <w:t>Decline in EPS in 2025</w:t>
            </w:r>
          </w:p>
        </w:tc>
      </w:tr>
      <w:tr w:rsidRPr="00283954" w:rsidR="00283954" w:rsidTr="00283954" w14:paraId="7D33557C" w14:textId="77777777">
        <w:tc>
          <w:tcPr>
            <w:tcW w:w="0" w:type="auto"/>
            <w:hideMark/>
          </w:tcPr>
          <w:p w:rsidRPr="00283954" w:rsidR="00283954" w:rsidP="009D7BB5" w:rsidRDefault="00283954" w14:paraId="74A24D66" w14:textId="77777777">
            <w:pPr>
              <w:spacing w:line="240" w:lineRule="auto"/>
            </w:pPr>
            <w:r w:rsidRPr="00283954">
              <w:t>Strong operating cash flow growth</w:t>
            </w:r>
          </w:p>
        </w:tc>
        <w:tc>
          <w:tcPr>
            <w:tcW w:w="0" w:type="auto"/>
            <w:hideMark/>
          </w:tcPr>
          <w:p w:rsidRPr="00283954" w:rsidR="00283954" w:rsidP="009D7BB5" w:rsidRDefault="00283954" w14:paraId="11802C62" w14:textId="77777777">
            <w:pPr>
              <w:spacing w:line="240" w:lineRule="auto"/>
            </w:pPr>
            <w:r w:rsidRPr="00283954">
              <w:t>Weak cash flow coverage relative to debt</w:t>
            </w:r>
          </w:p>
        </w:tc>
      </w:tr>
    </w:tbl>
    <w:p w:rsidRPr="00B9627C" w:rsidR="00B9627C" w:rsidP="00B9627C" w:rsidRDefault="00E77546" w14:paraId="3B320657" w14:textId="272856AD">
      <w:r w:rsidRPr="00E77546">
        <w:t xml:space="preserve">BYD exhibits good financial performance typified by a high growth rate in revenues, increasing profitability and efficiency of assets up to 2024 due to expansion and economies of scale. The high increment in EPS is an additional indicator of the rising shareholder value. Nevertheless, the analysis also shows the existence of serious flaws such as the falling profitability and EPS in 2025, which presupposes the emergence of competitive pressures. </w:t>
      </w:r>
      <w:r w:rsidR="003D188E">
        <w:t>Additionally</w:t>
      </w:r>
      <w:r w:rsidRPr="00E77546">
        <w:t xml:space="preserve">, the liquidity ratios are consistently low, which suggests the possible temporary lack of finances. </w:t>
      </w:r>
    </w:p>
    <w:p w:rsidR="00861D1A" w:rsidP="00901725" w:rsidRDefault="00F5055F" w14:paraId="295C1CDE" w14:textId="0D1A3786">
      <w:pPr>
        <w:pStyle w:val="Heading1"/>
      </w:pPr>
      <w:bookmarkStart w:name="_Toc227448947" w:id="10"/>
      <w:r>
        <w:t xml:space="preserve">3. </w:t>
      </w:r>
      <w:r w:rsidRPr="0008328D" w:rsidR="0008328D">
        <w:t xml:space="preserve">Working </w:t>
      </w:r>
      <w:r w:rsidRPr="0008328D" w:rsidR="009D7BB5">
        <w:t>Capital Management Analysis</w:t>
      </w:r>
      <w:bookmarkEnd w:id="10"/>
    </w:p>
    <w:p w:rsidR="0008328D" w:rsidP="00901725" w:rsidRDefault="0008328D" w14:paraId="6C7F2D58" w14:textId="79C2ABF3">
      <w:pPr>
        <w:pStyle w:val="Heading2"/>
      </w:pPr>
      <w:bookmarkStart w:name="_Toc227448948" w:id="11"/>
      <w:r w:rsidRPr="0008328D">
        <w:t xml:space="preserve">3.1 Cash </w:t>
      </w:r>
      <w:r w:rsidRPr="0008328D" w:rsidR="009D7BB5">
        <w:t>Operating Cycle</w:t>
      </w:r>
      <w:bookmarkEnd w:id="11"/>
    </w:p>
    <w:p w:rsidRPr="00E77546" w:rsidR="00E77546" w:rsidP="00E77546" w:rsidRDefault="00E77546" w14:paraId="1B0FD050" w14:textId="7E08BA7E">
      <w:r w:rsidRPr="00E77546">
        <w:t>The cash operating cycle (CCC) is measure of time it takes a firm to convert its activities and investment in inventory and receivables into cash inflows. It is an indicator of the effectiveness of working capital management, and it has a direct effect on the liquidity (</w:t>
      </w:r>
      <w:r w:rsidRPr="00A2116C" w:rsidR="004B16BE">
        <w:t>Lou, 2025</w:t>
      </w:r>
      <w:r w:rsidR="004B16BE">
        <w:t xml:space="preserve">; </w:t>
      </w:r>
      <w:r w:rsidRPr="004F5D3D" w:rsidR="004B16BE">
        <w:t>Meng, 2025</w:t>
      </w:r>
      <w:r w:rsidRPr="00E77546">
        <w:t xml:space="preserve">). The next CCC demonstrates a great improvement between 45days in 2021 and 11days in 2024, which reflects improved inventory management, a quicker transition of receivables, and improved supplier credit terms. This indicates the optimisation of its operations at BYD as it experienced </w:t>
      </w:r>
      <w:r w:rsidRPr="00E77546">
        <w:lastRenderedPageBreak/>
        <w:t>rapid growth. Nonetheless, a rise to 17 days in 2025 indicates that there will be a modest decline, which might be as a result of excluding the slower sales cycles or inventory accumulation. Altogether, the decreasing CCC indicates a good working capital management</w:t>
      </w:r>
      <w:r w:rsidR="008A35C2">
        <w:t xml:space="preserve">; however, </w:t>
      </w:r>
      <w:r w:rsidRPr="00E77546">
        <w:t>current tendencies show that some new inefficiencies need to be addressed.</w:t>
      </w:r>
    </w:p>
    <w:p w:rsidR="005767DB" w:rsidP="005767DB" w:rsidRDefault="009D7BB5" w14:paraId="7E450623" w14:textId="7C95E5AC">
      <w:pPr>
        <w:jc w:val="center"/>
      </w:pPr>
      <w:r>
        <w:rPr>
          <w:noProof/>
        </w:rPr>
        <w:drawing>
          <wp:inline distT="0" distB="0" distL="0" distR="0" wp14:anchorId="4A6B1B17" wp14:editId="7E903032">
            <wp:extent cx="4584700" cy="2755900"/>
            <wp:effectExtent l="0" t="0" r="6350" b="6350"/>
            <wp:docPr id="6809817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256FA8" w:rsidR="00FC4824" w:rsidP="00256FA8" w:rsidRDefault="00FC4824" w14:paraId="2FB6C372" w14:textId="075A7F25">
      <w:pPr>
        <w:jc w:val="center"/>
        <w:rPr>
          <w:b/>
          <w:bCs/>
        </w:rPr>
      </w:pPr>
      <w:r w:rsidRPr="00256FA8">
        <w:rPr>
          <w:b/>
          <w:bCs/>
        </w:rPr>
        <w:t xml:space="preserve">Figure 9: Cash operating cycle </w:t>
      </w:r>
      <w:r w:rsidRPr="00256FA8" w:rsidR="00256FA8">
        <w:rPr>
          <w:b/>
          <w:bCs/>
        </w:rPr>
        <w:t>for BYD</w:t>
      </w:r>
    </w:p>
    <w:p w:rsidRPr="00FC4824" w:rsidR="00256FA8" w:rsidP="00E77546" w:rsidRDefault="00256FA8" w14:paraId="7D5C5FF6" w14:textId="5C1CA7E7">
      <w:pPr>
        <w:jc w:val="center"/>
      </w:pPr>
      <w:r w:rsidRPr="00B40A0C">
        <w:t>(Source: Calculated in Excel)</w:t>
      </w:r>
    </w:p>
    <w:p w:rsidR="0008328D" w:rsidP="00901725" w:rsidRDefault="0008328D" w14:paraId="5C32F499" w14:textId="6CDB6607">
      <w:pPr>
        <w:pStyle w:val="Heading2"/>
      </w:pPr>
      <w:bookmarkStart w:name="_Toc227448949" w:id="12"/>
      <w:r w:rsidRPr="0008328D">
        <w:t>3.2 Liquidity</w:t>
      </w:r>
      <w:r w:rsidRPr="0008328D" w:rsidR="00901725">
        <w:t xml:space="preserve"> issues </w:t>
      </w:r>
      <w:r w:rsidR="00901725">
        <w:t>and</w:t>
      </w:r>
      <w:r w:rsidRPr="0008328D" w:rsidR="00901725">
        <w:t xml:space="preserve"> risks</w:t>
      </w:r>
      <w:bookmarkEnd w:id="12"/>
    </w:p>
    <w:p w:rsidRPr="00E77546" w:rsidR="00E77546" w:rsidP="00E77546" w:rsidRDefault="00E77546" w14:paraId="3B2D03D1" w14:textId="705A1CBF">
      <w:r w:rsidRPr="00E77546">
        <w:t>BYD still experiences significant liquidity issues, despite the improvement of the cash operating cycle. The current ratio is below 1 in all the five years which means that current liabilities are greater than current assets. This implies that it depends on constant cash flows and external sources of funds to cover the short-term debts. Also, a look at the cash flow shows that its operating cash flow ratios are relatively low, as one would indicate low liquidity coverage. The aggressive expansion plan by the firm, which is characterized by a large investment in production facilities and R&amp;D, has contributed to rising liabilities and working capital needs in the short run</w:t>
      </w:r>
      <w:r w:rsidR="00A41DA9">
        <w:t xml:space="preserve"> (</w:t>
      </w:r>
      <w:r w:rsidRPr="004F5D3D" w:rsidR="0097280A">
        <w:t>Qudrat-Ullah, 2022</w:t>
      </w:r>
      <w:r w:rsidR="0097280A">
        <w:t xml:space="preserve">; </w:t>
      </w:r>
      <w:r w:rsidRPr="00272D5D" w:rsidR="0097280A">
        <w:t>Zhou, 2024</w:t>
      </w:r>
      <w:r w:rsidR="00A41DA9">
        <w:t>)</w:t>
      </w:r>
      <w:r w:rsidRPr="00E77546">
        <w:t xml:space="preserve">. The high degree of leverage is another major threat since the increasing debt and the debt to equity ratio testify to it. This upsurges interest payments and decreases financial flexibility. Moreover, the downward trends in the entities of profitability and cash flow are expected in 2025 as it implies that the pressure </w:t>
      </w:r>
      <w:r w:rsidRPr="00E77546">
        <w:lastRenderedPageBreak/>
        <w:t>will increase due to the competition and pricing policies, imposing additional liquidity pressure</w:t>
      </w:r>
      <w:r w:rsidR="00A41DA9">
        <w:t xml:space="preserve"> (</w:t>
      </w:r>
      <w:r w:rsidRPr="00272D5D" w:rsidR="00EA0895">
        <w:t>Caldecott</w:t>
      </w:r>
      <w:r w:rsidR="00EA0895">
        <w:t xml:space="preserve"> </w:t>
      </w:r>
      <w:r w:rsidRPr="00924042" w:rsidR="00EA0895">
        <w:rPr>
          <w:i/>
          <w:iCs/>
        </w:rPr>
        <w:t>et al.,</w:t>
      </w:r>
      <w:r w:rsidR="00EA0895">
        <w:t xml:space="preserve"> 2022; </w:t>
      </w:r>
      <w:r w:rsidRPr="00272D5D" w:rsidR="00EA0895">
        <w:t>Wang</w:t>
      </w:r>
      <w:r w:rsidR="00EA0895">
        <w:t xml:space="preserve"> </w:t>
      </w:r>
      <w:r w:rsidRPr="00924042" w:rsidR="00EA0895">
        <w:rPr>
          <w:i/>
          <w:iCs/>
        </w:rPr>
        <w:t>et al.,</w:t>
      </w:r>
      <w:r w:rsidR="00EA0895">
        <w:t xml:space="preserve"> 2025</w:t>
      </w:r>
      <w:r w:rsidR="00A41DA9">
        <w:t>)</w:t>
      </w:r>
      <w:r w:rsidRPr="00E77546">
        <w:t xml:space="preserve">. </w:t>
      </w:r>
      <w:r w:rsidR="00A41DA9">
        <w:t>Moreover</w:t>
      </w:r>
      <w:r w:rsidRPr="00E77546">
        <w:t>, the liquidity-risk trade-off of BYD is that the growth of the company would be made at a cost of short-term financial stability.</w:t>
      </w:r>
    </w:p>
    <w:p w:rsidR="0008328D" w:rsidP="00901725" w:rsidRDefault="0008328D" w14:paraId="5B78AB16" w14:textId="5C2CE2C0">
      <w:pPr>
        <w:pStyle w:val="Heading2"/>
      </w:pPr>
      <w:bookmarkStart w:name="_Toc227448950" w:id="13"/>
      <w:r w:rsidRPr="0008328D">
        <w:t xml:space="preserve">3.3 Working </w:t>
      </w:r>
      <w:r w:rsidRPr="0008328D" w:rsidR="00901725">
        <w:t>capital improvement strategies</w:t>
      </w:r>
      <w:bookmarkEnd w:id="13"/>
    </w:p>
    <w:p w:rsidRPr="00F70213" w:rsidR="00F70213" w:rsidP="00BF2E47" w:rsidRDefault="005A1979" w14:paraId="1A831C0C" w14:textId="4B81F652">
      <w:pPr>
        <w:pStyle w:val="ListParagraph"/>
        <w:numPr>
          <w:ilvl w:val="0"/>
          <w:numId w:val="1"/>
        </w:numPr>
      </w:pPr>
      <w:r w:rsidRPr="00BF2E47">
        <w:rPr>
          <w:b/>
          <w:bCs/>
        </w:rPr>
        <w:t xml:space="preserve">Optimisation of </w:t>
      </w:r>
      <w:r w:rsidRPr="00BF2E47" w:rsidR="00BF2E47">
        <w:rPr>
          <w:b/>
          <w:bCs/>
        </w:rPr>
        <w:t>inventory</w:t>
      </w:r>
      <w:r w:rsidRPr="00BF2E47">
        <w:rPr>
          <w:b/>
          <w:bCs/>
        </w:rPr>
        <w:t xml:space="preserve"> management</w:t>
      </w:r>
      <w:r>
        <w:t xml:space="preserve">: </w:t>
      </w:r>
      <w:r w:rsidRPr="007D55B7" w:rsidR="007D55B7">
        <w:t xml:space="preserve">Strategies BYD ought to incorporate in order to increase the liquidity and effectiveness of working capital are integrated and data oriented which would focus on the matching of working performance and financial discipline. One of the main priorities must be inventory management wherein modern demand forecasting systems backed by artificial intelligence and real-time analytics can be applied in the company. This would enable BYD to match production to the demand of the </w:t>
      </w:r>
      <w:r w:rsidRPr="007D55B7" w:rsidR="00113825">
        <w:t>market and</w:t>
      </w:r>
      <w:r w:rsidRPr="007D55B7" w:rsidR="007D55B7">
        <w:t xml:space="preserve"> thus limit the production volumes of stock and the holding costs</w:t>
      </w:r>
      <w:r w:rsidR="001862E9">
        <w:t xml:space="preserve"> (</w:t>
      </w:r>
      <w:r w:rsidRPr="0012080C" w:rsidR="00D30E56">
        <w:t>Bello, 2023</w:t>
      </w:r>
      <w:r w:rsidR="001862E9">
        <w:t>)</w:t>
      </w:r>
      <w:r w:rsidRPr="007D55B7" w:rsidR="007D55B7">
        <w:t>. Since EV production is a capital-intensive industry, each decrease in inventory days will have a tremendous effect on cash flow and thereby the cash operating cycle.</w:t>
      </w:r>
    </w:p>
    <w:p w:rsidRPr="00F70213" w:rsidR="00F70213" w:rsidP="00BF2E47" w:rsidRDefault="00F1298C" w14:paraId="32D7B67A" w14:textId="6680303A">
      <w:pPr>
        <w:pStyle w:val="ListParagraph"/>
        <w:numPr>
          <w:ilvl w:val="0"/>
          <w:numId w:val="1"/>
        </w:numPr>
      </w:pPr>
      <w:r w:rsidRPr="00BF2E47">
        <w:rPr>
          <w:b/>
          <w:bCs/>
        </w:rPr>
        <w:t>Receivables</w:t>
      </w:r>
      <w:r w:rsidRPr="00BF2E47" w:rsidR="005A1979">
        <w:rPr>
          <w:b/>
          <w:bCs/>
        </w:rPr>
        <w:t xml:space="preserve"> m</w:t>
      </w:r>
      <w:r w:rsidRPr="00BF2E47">
        <w:rPr>
          <w:b/>
          <w:bCs/>
        </w:rPr>
        <w:t>anagement</w:t>
      </w:r>
      <w:r>
        <w:t xml:space="preserve">: </w:t>
      </w:r>
      <w:r w:rsidRPr="007D55B7" w:rsidR="007D55B7">
        <w:t>The management of the receivables should be enhanced in order to speed up the cash flows. BYD needs to reexamine their credit policy by making credit terms stricter to more risky customers and encouraging early debt payments with well-constructed discount programs. The introduction of cloud-based payment systems and robots to billing will also minimize the time of collection and increase efficiency</w:t>
      </w:r>
      <w:r w:rsidR="001862E9">
        <w:t xml:space="preserve"> (</w:t>
      </w:r>
      <w:r w:rsidRPr="0012080C" w:rsidR="00F461CF">
        <w:t>Li</w:t>
      </w:r>
      <w:r w:rsidR="00F461CF">
        <w:t xml:space="preserve"> </w:t>
      </w:r>
      <w:r w:rsidRPr="00B5616A" w:rsidR="00F461CF">
        <w:rPr>
          <w:i/>
          <w:iCs/>
        </w:rPr>
        <w:t>et al.,</w:t>
      </w:r>
      <w:r w:rsidR="00F461CF">
        <w:t xml:space="preserve"> 2024</w:t>
      </w:r>
      <w:r w:rsidR="001862E9">
        <w:t>)</w:t>
      </w:r>
      <w:r w:rsidRPr="007D55B7" w:rsidR="007D55B7">
        <w:t>. Increased rate of receivables turnover would be a direct increase in liquidity and less dependence on external financing.</w:t>
      </w:r>
    </w:p>
    <w:p w:rsidRPr="00F70213" w:rsidR="00F70213" w:rsidP="00BF2E47" w:rsidRDefault="00F1298C" w14:paraId="1880300D" w14:textId="75E30149">
      <w:pPr>
        <w:pStyle w:val="ListParagraph"/>
        <w:numPr>
          <w:ilvl w:val="0"/>
          <w:numId w:val="1"/>
        </w:numPr>
      </w:pPr>
      <w:r w:rsidRPr="00BF2E47">
        <w:rPr>
          <w:b/>
          <w:bCs/>
        </w:rPr>
        <w:t>Payables</w:t>
      </w:r>
      <w:r w:rsidRPr="00BF2E47" w:rsidR="00372793">
        <w:rPr>
          <w:b/>
          <w:bCs/>
        </w:rPr>
        <w:t xml:space="preserve"> management</w:t>
      </w:r>
      <w:r w:rsidR="00372793">
        <w:t xml:space="preserve">: </w:t>
      </w:r>
      <w:r w:rsidRPr="007D55B7" w:rsidR="007D55B7">
        <w:t>BYD ought to use its payables well through negotiating long term payment terms with its important suppliers without jeopardizing the long term relationship. Strategic alliances and long-term agreements can create bargaining power to get favourable credit terms hence enabling the company to keep money in longer periods</w:t>
      </w:r>
      <w:r w:rsidR="001862E9">
        <w:t xml:space="preserve"> (</w:t>
      </w:r>
      <w:r w:rsidRPr="0012080C" w:rsidR="00016D8F">
        <w:t>Adewale</w:t>
      </w:r>
      <w:r w:rsidR="00016D8F">
        <w:t xml:space="preserve"> </w:t>
      </w:r>
      <w:r w:rsidRPr="003E4326" w:rsidR="00016D8F">
        <w:rPr>
          <w:i/>
          <w:iCs/>
        </w:rPr>
        <w:t>et al.,</w:t>
      </w:r>
      <w:r w:rsidR="00016D8F">
        <w:t xml:space="preserve"> 2023</w:t>
      </w:r>
      <w:r w:rsidR="001862E9">
        <w:t>)</w:t>
      </w:r>
      <w:r w:rsidRPr="007D55B7" w:rsidR="007D55B7">
        <w:t xml:space="preserve">. Yet such a solution should be done with a fine balance where supply chain is not interfered </w:t>
      </w:r>
      <w:r w:rsidRPr="007D55B7" w:rsidR="001862E9">
        <w:t>with</w:t>
      </w:r>
      <w:r w:rsidRPr="007D55B7" w:rsidR="007D55B7">
        <w:t xml:space="preserve"> especially in an industry where the components availability served as a key factor.</w:t>
      </w:r>
    </w:p>
    <w:p w:rsidRPr="00F70213" w:rsidR="00F70213" w:rsidP="00BF2E47" w:rsidRDefault="00081A8D" w14:paraId="08C03260" w14:textId="20E85927">
      <w:pPr>
        <w:pStyle w:val="ListParagraph"/>
        <w:numPr>
          <w:ilvl w:val="0"/>
          <w:numId w:val="1"/>
        </w:numPr>
      </w:pPr>
      <w:r w:rsidRPr="00BF2E47">
        <w:rPr>
          <w:b/>
          <w:bCs/>
        </w:rPr>
        <w:lastRenderedPageBreak/>
        <w:t>Enhancing forecasting capabilities</w:t>
      </w:r>
      <w:r>
        <w:t xml:space="preserve">: </w:t>
      </w:r>
      <w:r w:rsidRPr="007D55B7" w:rsidR="007D55B7">
        <w:t>Financial planning combined with operational data should also be incorporated to enable BYD improve its cash flow forecasting. A precise short and medium term forecasting would allow better forecast cash shortages and make proactive financial decisions</w:t>
      </w:r>
      <w:r w:rsidR="001862E9">
        <w:t xml:space="preserve"> (</w:t>
      </w:r>
      <w:r w:rsidRPr="0012080C" w:rsidR="00C72681">
        <w:t>Du</w:t>
      </w:r>
      <w:r w:rsidR="00C72681">
        <w:t xml:space="preserve"> </w:t>
      </w:r>
      <w:r w:rsidRPr="007C1F7C" w:rsidR="00C72681">
        <w:rPr>
          <w:i/>
          <w:iCs/>
        </w:rPr>
        <w:t>et al.,</w:t>
      </w:r>
      <w:r w:rsidR="00C72681">
        <w:t xml:space="preserve"> 2024</w:t>
      </w:r>
      <w:r w:rsidR="001862E9">
        <w:t>)</w:t>
      </w:r>
      <w:r w:rsidRPr="007D55B7" w:rsidR="007D55B7">
        <w:t xml:space="preserve">. </w:t>
      </w:r>
      <w:r w:rsidRPr="007D55B7" w:rsidR="00113825">
        <w:t>These lowers</w:t>
      </w:r>
      <w:r w:rsidRPr="007D55B7" w:rsidR="007D55B7">
        <w:t xml:space="preserve"> borrowing of emergencies and enhances financial control in general.</w:t>
      </w:r>
    </w:p>
    <w:p w:rsidR="0008328D" w:rsidP="00901725" w:rsidRDefault="0008328D" w14:paraId="678F2CEC" w14:textId="65F7CD5C">
      <w:pPr>
        <w:pStyle w:val="Heading2"/>
      </w:pPr>
      <w:bookmarkStart w:name="_Toc227448951" w:id="14"/>
      <w:r w:rsidRPr="00034AD4">
        <w:t xml:space="preserve">3.4 Financing </w:t>
      </w:r>
      <w:r w:rsidRPr="00034AD4" w:rsidR="009D7BB5">
        <w:t>Options</w:t>
      </w:r>
      <w:bookmarkEnd w:id="14"/>
    </w:p>
    <w:tbl>
      <w:tblPr>
        <w:tblStyle w:val="TableGrid"/>
        <w:tblW w:w="0" w:type="auto"/>
        <w:jc w:val="center"/>
        <w:tblLook w:val="04A0" w:firstRow="1" w:lastRow="0" w:firstColumn="1" w:lastColumn="0" w:noHBand="0" w:noVBand="1"/>
      </w:tblPr>
      <w:tblGrid>
        <w:gridCol w:w="1270"/>
        <w:gridCol w:w="3231"/>
        <w:gridCol w:w="3152"/>
      </w:tblGrid>
      <w:tr w:rsidRPr="00AF71A8" w:rsidR="00AF71A8" w:rsidTr="00AF71A8" w14:paraId="7EA83192" w14:textId="77777777">
        <w:trPr>
          <w:jc w:val="center"/>
        </w:trPr>
        <w:tc>
          <w:tcPr>
            <w:tcW w:w="0" w:type="auto"/>
            <w:hideMark/>
          </w:tcPr>
          <w:p w:rsidRPr="00AF71A8" w:rsidR="00AF71A8" w:rsidP="00AF71A8" w:rsidRDefault="00AF71A8" w14:paraId="394B0CCD" w14:textId="77777777">
            <w:pPr>
              <w:rPr>
                <w:b/>
                <w:bCs/>
              </w:rPr>
            </w:pPr>
            <w:r w:rsidRPr="00AF71A8">
              <w:rPr>
                <w:b/>
                <w:bCs/>
              </w:rPr>
              <w:t>Criteria</w:t>
            </w:r>
          </w:p>
        </w:tc>
        <w:tc>
          <w:tcPr>
            <w:tcW w:w="0" w:type="auto"/>
            <w:hideMark/>
          </w:tcPr>
          <w:p w:rsidRPr="00AF71A8" w:rsidR="00AF71A8" w:rsidP="00AF71A8" w:rsidRDefault="00AF71A8" w14:paraId="0F36E4CD" w14:textId="77777777">
            <w:pPr>
              <w:rPr>
                <w:b/>
                <w:bCs/>
              </w:rPr>
            </w:pPr>
            <w:r w:rsidRPr="00AF71A8">
              <w:rPr>
                <w:b/>
                <w:bCs/>
              </w:rPr>
              <w:t>Short-term Financing</w:t>
            </w:r>
          </w:p>
        </w:tc>
        <w:tc>
          <w:tcPr>
            <w:tcW w:w="0" w:type="auto"/>
            <w:hideMark/>
          </w:tcPr>
          <w:p w:rsidRPr="00AF71A8" w:rsidR="00AF71A8" w:rsidP="00AF71A8" w:rsidRDefault="00AF71A8" w14:paraId="47F43529" w14:textId="77777777">
            <w:pPr>
              <w:rPr>
                <w:b/>
                <w:bCs/>
              </w:rPr>
            </w:pPr>
            <w:r w:rsidRPr="00AF71A8">
              <w:rPr>
                <w:b/>
                <w:bCs/>
              </w:rPr>
              <w:t>Long-term Financing</w:t>
            </w:r>
          </w:p>
        </w:tc>
      </w:tr>
      <w:tr w:rsidRPr="00AF71A8" w:rsidR="00AF71A8" w:rsidTr="00AF71A8" w14:paraId="385C6455" w14:textId="77777777">
        <w:trPr>
          <w:jc w:val="center"/>
        </w:trPr>
        <w:tc>
          <w:tcPr>
            <w:tcW w:w="0" w:type="auto"/>
            <w:hideMark/>
          </w:tcPr>
          <w:p w:rsidRPr="00AF71A8" w:rsidR="00AF71A8" w:rsidP="00AF71A8" w:rsidRDefault="00AF71A8" w14:paraId="1582996A" w14:textId="77777777">
            <w:r w:rsidRPr="00AF71A8">
              <w:t>Examples</w:t>
            </w:r>
          </w:p>
        </w:tc>
        <w:tc>
          <w:tcPr>
            <w:tcW w:w="0" w:type="auto"/>
            <w:hideMark/>
          </w:tcPr>
          <w:p w:rsidRPr="00AF71A8" w:rsidR="00AF71A8" w:rsidP="00AF71A8" w:rsidRDefault="00AF71A8" w14:paraId="4E443639" w14:textId="77777777">
            <w:r w:rsidRPr="00AF71A8">
              <w:t>Bank overdrafts, trade credit</w:t>
            </w:r>
          </w:p>
        </w:tc>
        <w:tc>
          <w:tcPr>
            <w:tcW w:w="0" w:type="auto"/>
            <w:hideMark/>
          </w:tcPr>
          <w:p w:rsidRPr="00AF71A8" w:rsidR="00AF71A8" w:rsidP="00AF71A8" w:rsidRDefault="00AF71A8" w14:paraId="29E103D2" w14:textId="77777777">
            <w:r w:rsidRPr="00AF71A8">
              <w:t>Bonds, equity financing</w:t>
            </w:r>
          </w:p>
        </w:tc>
      </w:tr>
      <w:tr w:rsidRPr="00AF71A8" w:rsidR="00AF71A8" w:rsidTr="00AF71A8" w14:paraId="767C9205" w14:textId="77777777">
        <w:trPr>
          <w:jc w:val="center"/>
        </w:trPr>
        <w:tc>
          <w:tcPr>
            <w:tcW w:w="0" w:type="auto"/>
            <w:hideMark/>
          </w:tcPr>
          <w:p w:rsidRPr="00AF71A8" w:rsidR="00AF71A8" w:rsidP="00AF71A8" w:rsidRDefault="00AF71A8" w14:paraId="4B81F0F0" w14:textId="77777777">
            <w:r w:rsidRPr="00AF71A8">
              <w:t>Cost</w:t>
            </w:r>
          </w:p>
        </w:tc>
        <w:tc>
          <w:tcPr>
            <w:tcW w:w="0" w:type="auto"/>
            <w:hideMark/>
          </w:tcPr>
          <w:p w:rsidRPr="00AF71A8" w:rsidR="00AF71A8" w:rsidP="00AF71A8" w:rsidRDefault="00AF71A8" w14:paraId="5304FBC8" w14:textId="77777777">
            <w:r w:rsidRPr="00AF71A8">
              <w:t>Lower (initially)</w:t>
            </w:r>
          </w:p>
        </w:tc>
        <w:tc>
          <w:tcPr>
            <w:tcW w:w="0" w:type="auto"/>
            <w:hideMark/>
          </w:tcPr>
          <w:p w:rsidRPr="00AF71A8" w:rsidR="00AF71A8" w:rsidP="00AF71A8" w:rsidRDefault="00AF71A8" w14:paraId="013C0446" w14:textId="106F2295">
            <w:r w:rsidRPr="00AF71A8">
              <w:t xml:space="preserve">Higher </w:t>
            </w:r>
            <w:r w:rsidR="00F45AD5">
              <w:t>yet</w:t>
            </w:r>
            <w:r w:rsidRPr="00AF71A8">
              <w:t xml:space="preserve"> stable</w:t>
            </w:r>
          </w:p>
        </w:tc>
      </w:tr>
      <w:tr w:rsidRPr="00AF71A8" w:rsidR="00AF71A8" w:rsidTr="00AF71A8" w14:paraId="2377FA48" w14:textId="77777777">
        <w:trPr>
          <w:jc w:val="center"/>
        </w:trPr>
        <w:tc>
          <w:tcPr>
            <w:tcW w:w="0" w:type="auto"/>
            <w:hideMark/>
          </w:tcPr>
          <w:p w:rsidRPr="00AF71A8" w:rsidR="00AF71A8" w:rsidP="00AF71A8" w:rsidRDefault="00AF71A8" w14:paraId="23FACA8C" w14:textId="77777777">
            <w:r w:rsidRPr="00AF71A8">
              <w:t>Risk</w:t>
            </w:r>
          </w:p>
        </w:tc>
        <w:tc>
          <w:tcPr>
            <w:tcW w:w="0" w:type="auto"/>
            <w:hideMark/>
          </w:tcPr>
          <w:p w:rsidRPr="00AF71A8" w:rsidR="00AF71A8" w:rsidP="00AF71A8" w:rsidRDefault="00AF71A8" w14:paraId="67391E1F" w14:textId="77777777">
            <w:r w:rsidRPr="00AF71A8">
              <w:t>Higher refinancing risk</w:t>
            </w:r>
          </w:p>
        </w:tc>
        <w:tc>
          <w:tcPr>
            <w:tcW w:w="0" w:type="auto"/>
            <w:hideMark/>
          </w:tcPr>
          <w:p w:rsidRPr="00AF71A8" w:rsidR="00AF71A8" w:rsidP="00AF71A8" w:rsidRDefault="00AF71A8" w14:paraId="15456D1F" w14:textId="77777777">
            <w:r w:rsidRPr="00AF71A8">
              <w:t>Lower risk</w:t>
            </w:r>
          </w:p>
        </w:tc>
      </w:tr>
      <w:tr w:rsidRPr="00AF71A8" w:rsidR="00AF71A8" w:rsidTr="00AF71A8" w14:paraId="19439D11" w14:textId="77777777">
        <w:trPr>
          <w:jc w:val="center"/>
        </w:trPr>
        <w:tc>
          <w:tcPr>
            <w:tcW w:w="0" w:type="auto"/>
            <w:hideMark/>
          </w:tcPr>
          <w:p w:rsidRPr="00AF71A8" w:rsidR="00AF71A8" w:rsidP="00AF71A8" w:rsidRDefault="00AF71A8" w14:paraId="4CC96297" w14:textId="77777777">
            <w:r w:rsidRPr="00AF71A8">
              <w:t>Flexibility</w:t>
            </w:r>
          </w:p>
        </w:tc>
        <w:tc>
          <w:tcPr>
            <w:tcW w:w="0" w:type="auto"/>
            <w:hideMark/>
          </w:tcPr>
          <w:p w:rsidRPr="00AF71A8" w:rsidR="00AF71A8" w:rsidP="00AF71A8" w:rsidRDefault="00AF71A8" w14:paraId="64D80ACD" w14:textId="77777777">
            <w:r w:rsidRPr="00AF71A8">
              <w:t>High</w:t>
            </w:r>
          </w:p>
        </w:tc>
        <w:tc>
          <w:tcPr>
            <w:tcW w:w="0" w:type="auto"/>
            <w:hideMark/>
          </w:tcPr>
          <w:p w:rsidRPr="00AF71A8" w:rsidR="00AF71A8" w:rsidP="00AF71A8" w:rsidRDefault="00AF71A8" w14:paraId="4F235368" w14:textId="77777777">
            <w:r w:rsidRPr="00AF71A8">
              <w:t>Moderate</w:t>
            </w:r>
          </w:p>
        </w:tc>
      </w:tr>
      <w:tr w:rsidRPr="00AF71A8" w:rsidR="00AF71A8" w:rsidTr="00AF71A8" w14:paraId="3784993E" w14:textId="77777777">
        <w:trPr>
          <w:jc w:val="center"/>
        </w:trPr>
        <w:tc>
          <w:tcPr>
            <w:tcW w:w="0" w:type="auto"/>
            <w:hideMark/>
          </w:tcPr>
          <w:p w:rsidRPr="00AF71A8" w:rsidR="00AF71A8" w:rsidP="00AF71A8" w:rsidRDefault="00AF71A8" w14:paraId="51ED5850" w14:textId="77777777">
            <w:r w:rsidRPr="00AF71A8">
              <w:t>Purpose</w:t>
            </w:r>
          </w:p>
        </w:tc>
        <w:tc>
          <w:tcPr>
            <w:tcW w:w="0" w:type="auto"/>
            <w:hideMark/>
          </w:tcPr>
          <w:p w:rsidRPr="00AF71A8" w:rsidR="00AF71A8" w:rsidP="00AF71A8" w:rsidRDefault="00AF71A8" w14:paraId="1961C550" w14:textId="77777777">
            <w:r w:rsidRPr="00AF71A8">
              <w:t>Working capital needs</w:t>
            </w:r>
          </w:p>
        </w:tc>
        <w:tc>
          <w:tcPr>
            <w:tcW w:w="0" w:type="auto"/>
            <w:hideMark/>
          </w:tcPr>
          <w:p w:rsidRPr="00AF71A8" w:rsidR="00AF71A8" w:rsidP="00AF71A8" w:rsidRDefault="00AF71A8" w14:paraId="56DB5624" w14:textId="77777777">
            <w:r w:rsidRPr="00AF71A8">
              <w:t>Expansion and investments</w:t>
            </w:r>
          </w:p>
        </w:tc>
      </w:tr>
    </w:tbl>
    <w:p w:rsidRPr="00AF71A8" w:rsidR="00AF71A8" w:rsidP="00AF71A8" w:rsidRDefault="00034AD4" w14:paraId="54B70592" w14:textId="1AC0184F">
      <w:r w:rsidRPr="00034AD4">
        <w:t>The financial analysis of BYD shows good development</w:t>
      </w:r>
      <w:r w:rsidR="008A35C2">
        <w:t>; however,</w:t>
      </w:r>
      <w:r w:rsidRPr="00034AD4">
        <w:t xml:space="preserve"> a variety of structural weaknesses that will require strategic financial restructuring. Although the increase in revenue was as high as CNY 216 billion in 2021 up to an estimated CNY 820 billion in 2025, there are indicator signs of profitability pressure. The net profit margin increased steadily to 5.19</w:t>
      </w:r>
      <w:r w:rsidR="002557B3">
        <w:t>%</w:t>
      </w:r>
      <w:r w:rsidRPr="00034AD4">
        <w:t xml:space="preserve"> in 2024 and decreased to 4.33</w:t>
      </w:r>
      <w:r w:rsidR="002557B3">
        <w:t xml:space="preserve">% </w:t>
      </w:r>
      <w:r w:rsidRPr="00034AD4">
        <w:t xml:space="preserve">in 2025, which signify the growing cost pressures, as well as competition. On the same note, there was a high of 5.17% in 2024 and then 4.13 in 2025 on the return on assets (ROA) which indicates that expansion of assets is no longer proportionately reflecting in profits. The issue of liquidity also supports the necessity of restructuring. Current ratio was also below 1 throughout the five years with an average of about 0.75- 0.80 and this suggests that without the constant cash flow or external funding, BYD might not easily be in a position to fulfil short term obligations. Moreover, the cash flow analysis </w:t>
      </w:r>
      <w:r w:rsidRPr="00034AD4">
        <w:lastRenderedPageBreak/>
        <w:t xml:space="preserve">indicates a rather low level of operating cash flow ratios, indicating a lack of short term liquidity cover. In terms of capital structure, BYD is highly leveraged with 71.19% level of debt ratio in 2021, which is expected to reach around 76.74% in 2025. There was also an increase in debt-to-equity ratio as it increased to over 3.30 showing an increasing trend of using debt to finance. </w:t>
      </w:r>
    </w:p>
    <w:p w:rsidR="0008328D" w:rsidP="00901725" w:rsidRDefault="0008328D" w14:paraId="5C83AD4C" w14:textId="1A078CA3">
      <w:pPr>
        <w:pStyle w:val="Heading1"/>
      </w:pPr>
      <w:bookmarkStart w:name="_Toc227448952" w:id="15"/>
      <w:r w:rsidRPr="0008328D">
        <w:t xml:space="preserve">4. Strategic </w:t>
      </w:r>
      <w:r w:rsidRPr="0008328D" w:rsidR="009D7BB5">
        <w:t>Financial Restructuring Plan</w:t>
      </w:r>
      <w:bookmarkEnd w:id="15"/>
    </w:p>
    <w:p w:rsidR="0008328D" w:rsidP="00901725" w:rsidRDefault="0008328D" w14:paraId="1F0235A8" w14:textId="5E908139">
      <w:pPr>
        <w:pStyle w:val="Heading2"/>
      </w:pPr>
      <w:bookmarkStart w:name="_Toc227448953" w:id="16"/>
      <w:r w:rsidRPr="0008328D">
        <w:t xml:space="preserve">4.1 Need for </w:t>
      </w:r>
      <w:r w:rsidRPr="0008328D" w:rsidR="00901725">
        <w:t>restructuring</w:t>
      </w:r>
      <w:bookmarkEnd w:id="16"/>
    </w:p>
    <w:p w:rsidRPr="00034AD4" w:rsidR="00034AD4" w:rsidP="00034AD4" w:rsidRDefault="00034AD4" w14:paraId="7C5866F1" w14:textId="3EAA38CF">
      <w:r w:rsidRPr="00034AD4">
        <w:t>A restructuring of debts is an important alternative to BYD considering that the company has a high leverage. This can be done by refinancing the debt at reduced interest rates, extending the time of repayment or, sometimes, long-term issues can be made out of short-term debts. This would have the effect of lessening short-term financial needs and enhancing liquidity, enabling the business to utilize their cash flows more effectively. Another possible approach that can enhance the capital structure is equity financing. Through the issue of new shares, BYD will be able to finance itself without an increase in debt, thus lowering the debt-to-equity ratio of the company</w:t>
      </w:r>
      <w:r w:rsidR="00B368A1">
        <w:t xml:space="preserve"> (</w:t>
      </w:r>
      <w:r w:rsidRPr="003B05AE" w:rsidR="00893F88">
        <w:t>Jackson, 2022</w:t>
      </w:r>
      <w:r w:rsidR="00893F88">
        <w:t xml:space="preserve">; </w:t>
      </w:r>
      <w:r w:rsidRPr="003B05AE" w:rsidR="00893F88">
        <w:t>Liu</w:t>
      </w:r>
      <w:r w:rsidR="00893F88">
        <w:t xml:space="preserve"> </w:t>
      </w:r>
      <w:r w:rsidRPr="00CC356C" w:rsidR="00893F88">
        <w:rPr>
          <w:i/>
          <w:iCs/>
        </w:rPr>
        <w:t>et al.,</w:t>
      </w:r>
      <w:r w:rsidR="00893F88">
        <w:t xml:space="preserve"> 2024</w:t>
      </w:r>
      <w:r w:rsidR="00B368A1">
        <w:t>)</w:t>
      </w:r>
      <w:r w:rsidRPr="00034AD4">
        <w:t>. This can result in the dilution of the ownership of the existing shareholders but, on the other hand, will also boost the financial stability of the companies and minimize the use of external borrowing.</w:t>
      </w:r>
    </w:p>
    <w:p w:rsidR="0008328D" w:rsidP="00901725" w:rsidRDefault="0008328D" w14:paraId="694BD0AF" w14:textId="4E76D241">
      <w:pPr>
        <w:pStyle w:val="Heading2"/>
      </w:pPr>
      <w:bookmarkStart w:name="_Toc227448954" w:id="17"/>
      <w:r w:rsidRPr="0008328D">
        <w:t xml:space="preserve">4.2 Restructuring </w:t>
      </w:r>
      <w:r w:rsidRPr="0008328D" w:rsidR="00901725">
        <w:t>options</w:t>
      </w:r>
      <w:bookmarkEnd w:id="17"/>
    </w:p>
    <w:p w:rsidR="00034AD4" w:rsidP="00034AD4" w:rsidRDefault="00034AD4" w14:paraId="39364B3D" w14:textId="645A88B7">
      <w:r w:rsidRPr="00034AD4">
        <w:t>Asset divestiture is selling of non-core or non-performing assets which provide cash inflows. In the case of BYD, it would involve selling off unprofitable business units or unneeded production plants. This approach will enhance operational effectiveness and give it extra liquidity to invest back into high-growth opportunities like electric cars and battery technology</w:t>
      </w:r>
      <w:r w:rsidR="00B368A1">
        <w:t xml:space="preserve"> (</w:t>
      </w:r>
      <w:r w:rsidRPr="003B05AE" w:rsidR="00EF151D">
        <w:t>Mastilo</w:t>
      </w:r>
      <w:r w:rsidR="00EF151D">
        <w:t xml:space="preserve"> </w:t>
      </w:r>
      <w:r w:rsidRPr="00F820E5" w:rsidR="00EF151D">
        <w:rPr>
          <w:i/>
          <w:iCs/>
        </w:rPr>
        <w:t>et al.,</w:t>
      </w:r>
      <w:r w:rsidR="00EF151D">
        <w:t xml:space="preserve"> 2024</w:t>
      </w:r>
      <w:r w:rsidR="00770911">
        <w:t xml:space="preserve">; </w:t>
      </w:r>
      <w:r w:rsidRPr="003B05AE" w:rsidR="00770911">
        <w:t>Addy</w:t>
      </w:r>
      <w:r w:rsidR="00770911">
        <w:t xml:space="preserve"> </w:t>
      </w:r>
      <w:r w:rsidRPr="00F820E5" w:rsidR="00770911">
        <w:rPr>
          <w:i/>
          <w:iCs/>
        </w:rPr>
        <w:t>et al.,</w:t>
      </w:r>
      <w:r w:rsidR="00770911">
        <w:t xml:space="preserve"> 2024</w:t>
      </w:r>
      <w:r w:rsidR="00B368A1">
        <w:t>)</w:t>
      </w:r>
      <w:r w:rsidRPr="00034AD4">
        <w:t>. Restructuring can also be done using strategic mergers and partnerships. Partnering with international automotive companies or technology solutions can support BYD in spreading the risks, cutting costs, and increasing access to the market. International market can be made very competitive through joint ventures, and this will reduce the amount of capital.</w:t>
      </w:r>
    </w:p>
    <w:p w:rsidR="00C14F75" w:rsidP="00106316" w:rsidRDefault="00C14F75" w14:paraId="76D6A466" w14:textId="68E476A3">
      <w:pPr>
        <w:jc w:val="center"/>
      </w:pPr>
      <w:r>
        <w:rPr>
          <w:noProof/>
        </w:rPr>
        <w:lastRenderedPageBreak/>
        <w:drawing>
          <wp:inline distT="0" distB="0" distL="0" distR="0" wp14:anchorId="1FA8401B" wp14:editId="0DBA75AF">
            <wp:extent cx="4675367" cy="2433099"/>
            <wp:effectExtent l="0" t="0" r="11430" b="0"/>
            <wp:docPr id="55619192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Pr="00F25348" w:rsidR="00F25348" w:rsidP="00F25348" w:rsidRDefault="00F25348" w14:paraId="7233BEFD" w14:textId="66B56232">
      <w:pPr>
        <w:jc w:val="center"/>
        <w:rPr>
          <w:b/>
          <w:bCs/>
        </w:rPr>
      </w:pPr>
      <w:r w:rsidRPr="00F25348">
        <w:rPr>
          <w:b/>
          <w:bCs/>
        </w:rPr>
        <w:t>Figure 10: Key options for restructuring</w:t>
      </w:r>
    </w:p>
    <w:p w:rsidR="00F25348" w:rsidP="00F25348" w:rsidRDefault="00F25348" w14:paraId="12728699" w14:textId="36369315">
      <w:pPr>
        <w:jc w:val="center"/>
      </w:pPr>
      <w:r>
        <w:t>(Source: Self-created)</w:t>
      </w:r>
    </w:p>
    <w:p w:rsidRPr="00F25348" w:rsidR="00034AD4" w:rsidP="00034AD4" w:rsidRDefault="00034AD4" w14:paraId="1C3FDA9D" w14:textId="29136B02">
      <w:r w:rsidRPr="00034AD4">
        <w:t xml:space="preserve">Debt restructuring can enhance short-term liquidity and minimize the refinancing </w:t>
      </w:r>
      <w:r w:rsidRPr="00034AD4" w:rsidR="00E729F0">
        <w:t>risk</w:t>
      </w:r>
      <w:r w:rsidR="00E729F0">
        <w:t xml:space="preserve">; however, </w:t>
      </w:r>
      <w:r w:rsidRPr="00034AD4">
        <w:t xml:space="preserve">it may not help much to decrease total leverage. Equity financing reduces financial risks and enhances </w:t>
      </w:r>
      <w:r>
        <w:t>solvency</w:t>
      </w:r>
      <w:r w:rsidR="004F494E">
        <w:t>; h</w:t>
      </w:r>
      <w:r>
        <w:t xml:space="preserve">owever, </w:t>
      </w:r>
      <w:r w:rsidRPr="00034AD4">
        <w:t>it can reduce the earnings per share</w:t>
      </w:r>
      <w:r w:rsidR="004F494E">
        <w:t xml:space="preserve"> (</w:t>
      </w:r>
      <w:r w:rsidRPr="00666F78" w:rsidR="00521B45">
        <w:t>Al-Okaily and Al-Okaily, 2025</w:t>
      </w:r>
      <w:r w:rsidR="009D5460">
        <w:t xml:space="preserve">; </w:t>
      </w:r>
      <w:r w:rsidRPr="00666F78" w:rsidR="009D5460">
        <w:t>Olowe</w:t>
      </w:r>
      <w:r w:rsidR="009D5460">
        <w:t xml:space="preserve"> </w:t>
      </w:r>
      <w:r w:rsidRPr="00E87AB6" w:rsidR="009D5460">
        <w:rPr>
          <w:i/>
          <w:iCs/>
        </w:rPr>
        <w:t>et al.,</w:t>
      </w:r>
      <w:r w:rsidR="009D5460">
        <w:t xml:space="preserve"> </w:t>
      </w:r>
      <w:r w:rsidR="00AF2F61">
        <w:t>2024</w:t>
      </w:r>
      <w:r w:rsidR="004F494E">
        <w:t>)</w:t>
      </w:r>
      <w:r w:rsidRPr="00034AD4">
        <w:t>. Asset divestiture increases efficiency and releases capital, and mergers and partnerships have long-term strategic benefits through assets and resource sharing and spread of risks. In general, an integrated strategy is the best. BYD must focus on equity financing and debt restructuring that stabilize its financial situation</w:t>
      </w:r>
      <w:r w:rsidR="002E5C89">
        <w:t xml:space="preserve">. However, </w:t>
      </w:r>
      <w:r w:rsidRPr="00034AD4">
        <w:t>at the same time pick only one line of asset divestitures and strategic partnership to improve the level of operational efficiency and competitiveness on a global basis.</w:t>
      </w:r>
    </w:p>
    <w:p w:rsidR="0008328D" w:rsidP="00901725" w:rsidRDefault="0008328D" w14:paraId="4044A661" w14:textId="4D1247D5">
      <w:pPr>
        <w:pStyle w:val="Heading2"/>
      </w:pPr>
      <w:bookmarkStart w:name="_Toc227448955" w:id="18"/>
      <w:r w:rsidRPr="0008328D">
        <w:t xml:space="preserve">4.3 Impact </w:t>
      </w:r>
      <w:r w:rsidRPr="0008328D" w:rsidR="00901725">
        <w:t>analysis</w:t>
      </w:r>
      <w:bookmarkEnd w:id="18"/>
    </w:p>
    <w:tbl>
      <w:tblPr>
        <w:tblStyle w:val="TableGrid"/>
        <w:tblW w:w="0" w:type="auto"/>
        <w:tblLook w:val="04A0" w:firstRow="1" w:lastRow="0" w:firstColumn="1" w:lastColumn="0" w:noHBand="0" w:noVBand="1"/>
      </w:tblPr>
      <w:tblGrid>
        <w:gridCol w:w="1875"/>
        <w:gridCol w:w="2655"/>
        <w:gridCol w:w="2436"/>
        <w:gridCol w:w="2050"/>
      </w:tblGrid>
      <w:tr w:rsidRPr="00C01225" w:rsidR="00C01225" w:rsidTr="00C01225" w14:paraId="7662DB13" w14:textId="77777777">
        <w:tc>
          <w:tcPr>
            <w:tcW w:w="0" w:type="auto"/>
            <w:hideMark/>
          </w:tcPr>
          <w:p w:rsidRPr="00C01225" w:rsidR="00C01225" w:rsidP="009D7BB5" w:rsidRDefault="00C01225" w14:paraId="2E73EFC4" w14:textId="77777777">
            <w:pPr>
              <w:spacing w:line="240" w:lineRule="auto"/>
              <w:jc w:val="center"/>
              <w:rPr>
                <w:b/>
                <w:bCs/>
              </w:rPr>
            </w:pPr>
            <w:r w:rsidRPr="00C01225">
              <w:rPr>
                <w:b/>
                <w:bCs/>
              </w:rPr>
              <w:t>Strategy</w:t>
            </w:r>
          </w:p>
        </w:tc>
        <w:tc>
          <w:tcPr>
            <w:tcW w:w="0" w:type="auto"/>
            <w:hideMark/>
          </w:tcPr>
          <w:p w:rsidRPr="00C01225" w:rsidR="00C01225" w:rsidP="009D7BB5" w:rsidRDefault="00C01225" w14:paraId="30C1F2A5" w14:textId="4D9DD2BA">
            <w:pPr>
              <w:spacing w:line="240" w:lineRule="auto"/>
              <w:jc w:val="center"/>
              <w:rPr>
                <w:b/>
                <w:bCs/>
              </w:rPr>
            </w:pPr>
            <w:r>
              <w:rPr>
                <w:b/>
                <w:bCs/>
              </w:rPr>
              <w:t>I</w:t>
            </w:r>
            <w:r w:rsidRPr="00C01225">
              <w:rPr>
                <w:b/>
                <w:bCs/>
              </w:rPr>
              <w:t>mpact on shareholder value</w:t>
            </w:r>
          </w:p>
        </w:tc>
        <w:tc>
          <w:tcPr>
            <w:tcW w:w="0" w:type="auto"/>
            <w:hideMark/>
          </w:tcPr>
          <w:p w:rsidRPr="00C01225" w:rsidR="00C01225" w:rsidP="009D7BB5" w:rsidRDefault="00C01225" w14:paraId="1B865F83" w14:textId="6F51D307">
            <w:pPr>
              <w:spacing w:line="240" w:lineRule="auto"/>
              <w:jc w:val="center"/>
              <w:rPr>
                <w:b/>
                <w:bCs/>
              </w:rPr>
            </w:pPr>
            <w:r>
              <w:rPr>
                <w:b/>
                <w:bCs/>
              </w:rPr>
              <w:t>I</w:t>
            </w:r>
            <w:r w:rsidRPr="00C01225">
              <w:rPr>
                <w:b/>
                <w:bCs/>
              </w:rPr>
              <w:t>mpact on debt structure</w:t>
            </w:r>
          </w:p>
        </w:tc>
        <w:tc>
          <w:tcPr>
            <w:tcW w:w="0" w:type="auto"/>
            <w:hideMark/>
          </w:tcPr>
          <w:p w:rsidRPr="00C01225" w:rsidR="00C01225" w:rsidP="009D7BB5" w:rsidRDefault="00C01225" w14:paraId="0D0AE794" w14:textId="3E6E2209">
            <w:pPr>
              <w:spacing w:line="240" w:lineRule="auto"/>
              <w:jc w:val="center"/>
              <w:rPr>
                <w:b/>
                <w:bCs/>
              </w:rPr>
            </w:pPr>
            <w:r>
              <w:rPr>
                <w:b/>
                <w:bCs/>
              </w:rPr>
              <w:t>I</w:t>
            </w:r>
            <w:r w:rsidRPr="00C01225">
              <w:rPr>
                <w:b/>
                <w:bCs/>
              </w:rPr>
              <w:t>mpact on flexibility</w:t>
            </w:r>
          </w:p>
        </w:tc>
      </w:tr>
      <w:tr w:rsidRPr="00C01225" w:rsidR="00C01225" w:rsidTr="00C01225" w14:paraId="140C51E2" w14:textId="77777777">
        <w:tc>
          <w:tcPr>
            <w:tcW w:w="0" w:type="auto"/>
            <w:hideMark/>
          </w:tcPr>
          <w:p w:rsidRPr="00C01225" w:rsidR="00C01225" w:rsidP="009D7BB5" w:rsidRDefault="00C01225" w14:paraId="497B5E97" w14:textId="74E35348">
            <w:pPr>
              <w:spacing w:line="240" w:lineRule="auto"/>
            </w:pPr>
            <w:r w:rsidRPr="00C01225">
              <w:t xml:space="preserve">Debt </w:t>
            </w:r>
            <w:r w:rsidR="001E3395">
              <w:t>r</w:t>
            </w:r>
            <w:r w:rsidRPr="00C01225">
              <w:t>estructuring</w:t>
            </w:r>
          </w:p>
        </w:tc>
        <w:tc>
          <w:tcPr>
            <w:tcW w:w="0" w:type="auto"/>
            <w:hideMark/>
          </w:tcPr>
          <w:p w:rsidRPr="00C01225" w:rsidR="00C01225" w:rsidP="009D7BB5" w:rsidRDefault="00C01225" w14:paraId="1CE895E8" w14:textId="77777777">
            <w:pPr>
              <w:spacing w:line="240" w:lineRule="auto"/>
            </w:pPr>
            <w:r w:rsidRPr="00C01225">
              <w:t>Moderate increase (lower risk)</w:t>
            </w:r>
          </w:p>
        </w:tc>
        <w:tc>
          <w:tcPr>
            <w:tcW w:w="0" w:type="auto"/>
            <w:hideMark/>
          </w:tcPr>
          <w:p w:rsidRPr="00C01225" w:rsidR="00C01225" w:rsidP="009D7BB5" w:rsidRDefault="00C01225" w14:paraId="21CBB0F6" w14:textId="77777777">
            <w:pPr>
              <w:spacing w:line="240" w:lineRule="auto"/>
            </w:pPr>
            <w:r w:rsidRPr="00C01225">
              <w:t>Reduced short-term pressure</w:t>
            </w:r>
          </w:p>
        </w:tc>
        <w:tc>
          <w:tcPr>
            <w:tcW w:w="0" w:type="auto"/>
            <w:hideMark/>
          </w:tcPr>
          <w:p w:rsidRPr="00C01225" w:rsidR="00C01225" w:rsidP="009D7BB5" w:rsidRDefault="00C01225" w14:paraId="1E509261" w14:textId="77777777">
            <w:pPr>
              <w:spacing w:line="240" w:lineRule="auto"/>
            </w:pPr>
            <w:r w:rsidRPr="00C01225">
              <w:t>Improved liquidity</w:t>
            </w:r>
          </w:p>
        </w:tc>
      </w:tr>
      <w:tr w:rsidRPr="00C01225" w:rsidR="00C01225" w:rsidTr="00C01225" w14:paraId="1B8EC17C" w14:textId="77777777">
        <w:tc>
          <w:tcPr>
            <w:tcW w:w="0" w:type="auto"/>
            <w:hideMark/>
          </w:tcPr>
          <w:p w:rsidRPr="00C01225" w:rsidR="00C01225" w:rsidP="009D7BB5" w:rsidRDefault="00C01225" w14:paraId="37ADF8E2" w14:textId="3E47120E">
            <w:pPr>
              <w:spacing w:line="240" w:lineRule="auto"/>
            </w:pPr>
            <w:r w:rsidRPr="00C01225">
              <w:t xml:space="preserve">Equity </w:t>
            </w:r>
            <w:r w:rsidR="001E3395">
              <w:t>f</w:t>
            </w:r>
            <w:r w:rsidRPr="00C01225">
              <w:t>inancing</w:t>
            </w:r>
          </w:p>
        </w:tc>
        <w:tc>
          <w:tcPr>
            <w:tcW w:w="0" w:type="auto"/>
            <w:hideMark/>
          </w:tcPr>
          <w:p w:rsidRPr="00C01225" w:rsidR="00C01225" w:rsidP="009D7BB5" w:rsidRDefault="00C01225" w14:paraId="2831CF45" w14:textId="77777777">
            <w:pPr>
              <w:spacing w:line="240" w:lineRule="auto"/>
            </w:pPr>
            <w:r w:rsidRPr="00C01225">
              <w:t>Mixed (dilution vs stability)</w:t>
            </w:r>
          </w:p>
        </w:tc>
        <w:tc>
          <w:tcPr>
            <w:tcW w:w="0" w:type="auto"/>
            <w:hideMark/>
          </w:tcPr>
          <w:p w:rsidRPr="00C01225" w:rsidR="00C01225" w:rsidP="009D7BB5" w:rsidRDefault="00C01225" w14:paraId="19E94364" w14:textId="77777777">
            <w:pPr>
              <w:spacing w:line="240" w:lineRule="auto"/>
            </w:pPr>
            <w:r w:rsidRPr="00C01225">
              <w:t>Lower leverage</w:t>
            </w:r>
          </w:p>
        </w:tc>
        <w:tc>
          <w:tcPr>
            <w:tcW w:w="0" w:type="auto"/>
            <w:hideMark/>
          </w:tcPr>
          <w:p w:rsidRPr="00C01225" w:rsidR="00C01225" w:rsidP="009D7BB5" w:rsidRDefault="00C01225" w14:paraId="24CB0515" w14:textId="77777777">
            <w:pPr>
              <w:spacing w:line="240" w:lineRule="auto"/>
            </w:pPr>
            <w:r w:rsidRPr="00C01225">
              <w:t>High flexibility</w:t>
            </w:r>
          </w:p>
        </w:tc>
      </w:tr>
      <w:tr w:rsidRPr="00C01225" w:rsidR="00C01225" w:rsidTr="00C01225" w14:paraId="5B56CECF" w14:textId="77777777">
        <w:tc>
          <w:tcPr>
            <w:tcW w:w="0" w:type="auto"/>
            <w:hideMark/>
          </w:tcPr>
          <w:p w:rsidRPr="00C01225" w:rsidR="00C01225" w:rsidP="009D7BB5" w:rsidRDefault="00C01225" w14:paraId="4EA17721" w14:textId="6DDA66A9">
            <w:pPr>
              <w:spacing w:line="240" w:lineRule="auto"/>
            </w:pPr>
            <w:r w:rsidRPr="00C01225">
              <w:lastRenderedPageBreak/>
              <w:t xml:space="preserve">Asset </w:t>
            </w:r>
            <w:r w:rsidR="001E3395">
              <w:t>d</w:t>
            </w:r>
            <w:r w:rsidRPr="00C01225">
              <w:t>ivestiture</w:t>
            </w:r>
          </w:p>
        </w:tc>
        <w:tc>
          <w:tcPr>
            <w:tcW w:w="0" w:type="auto"/>
            <w:hideMark/>
          </w:tcPr>
          <w:p w:rsidRPr="00C01225" w:rsidR="00C01225" w:rsidP="009D7BB5" w:rsidRDefault="00C01225" w14:paraId="236418F6" w14:textId="77777777">
            <w:pPr>
              <w:spacing w:line="240" w:lineRule="auto"/>
            </w:pPr>
            <w:r w:rsidRPr="00C01225">
              <w:t>Positive (efficiency gains)</w:t>
            </w:r>
          </w:p>
        </w:tc>
        <w:tc>
          <w:tcPr>
            <w:tcW w:w="0" w:type="auto"/>
            <w:hideMark/>
          </w:tcPr>
          <w:p w:rsidRPr="00C01225" w:rsidR="00C01225" w:rsidP="009D7BB5" w:rsidRDefault="00C01225" w14:paraId="521E6564" w14:textId="315EE650">
            <w:pPr>
              <w:spacing w:line="240" w:lineRule="auto"/>
            </w:pPr>
            <w:r w:rsidRPr="00C01225">
              <w:t xml:space="preserve">Reduced debt </w:t>
            </w:r>
            <w:r w:rsidRPr="00C01225" w:rsidR="0072771F">
              <w:t>needs</w:t>
            </w:r>
          </w:p>
        </w:tc>
        <w:tc>
          <w:tcPr>
            <w:tcW w:w="0" w:type="auto"/>
            <w:hideMark/>
          </w:tcPr>
          <w:p w:rsidRPr="00C01225" w:rsidR="00C01225" w:rsidP="009D7BB5" w:rsidRDefault="00C01225" w14:paraId="732486DD" w14:textId="77777777">
            <w:pPr>
              <w:spacing w:line="240" w:lineRule="auto"/>
            </w:pPr>
            <w:r w:rsidRPr="00C01225">
              <w:t>Moderate flexibility</w:t>
            </w:r>
          </w:p>
        </w:tc>
      </w:tr>
      <w:tr w:rsidRPr="00C01225" w:rsidR="00C01225" w:rsidTr="00C01225" w14:paraId="367FB970" w14:textId="77777777">
        <w:tc>
          <w:tcPr>
            <w:tcW w:w="0" w:type="auto"/>
            <w:hideMark/>
          </w:tcPr>
          <w:p w:rsidRPr="00C01225" w:rsidR="00C01225" w:rsidP="009D7BB5" w:rsidRDefault="00C01225" w14:paraId="2C48C539" w14:textId="26FFF979">
            <w:pPr>
              <w:spacing w:line="240" w:lineRule="auto"/>
            </w:pPr>
            <w:r w:rsidRPr="00C01225">
              <w:t>Mergers</w:t>
            </w:r>
          </w:p>
        </w:tc>
        <w:tc>
          <w:tcPr>
            <w:tcW w:w="0" w:type="auto"/>
            <w:hideMark/>
          </w:tcPr>
          <w:p w:rsidRPr="00C01225" w:rsidR="00C01225" w:rsidP="009D7BB5" w:rsidRDefault="00C01225" w14:paraId="7EC2F65E" w14:textId="77777777">
            <w:pPr>
              <w:spacing w:line="240" w:lineRule="auto"/>
            </w:pPr>
            <w:r w:rsidRPr="00C01225">
              <w:t>High long-term value</w:t>
            </w:r>
          </w:p>
        </w:tc>
        <w:tc>
          <w:tcPr>
            <w:tcW w:w="0" w:type="auto"/>
            <w:hideMark/>
          </w:tcPr>
          <w:p w:rsidRPr="00C01225" w:rsidR="00C01225" w:rsidP="009D7BB5" w:rsidRDefault="00C01225" w14:paraId="18726C1D" w14:textId="77777777">
            <w:pPr>
              <w:spacing w:line="240" w:lineRule="auto"/>
            </w:pPr>
            <w:r w:rsidRPr="00C01225">
              <w:t>Shared financial burden</w:t>
            </w:r>
          </w:p>
        </w:tc>
        <w:tc>
          <w:tcPr>
            <w:tcW w:w="0" w:type="auto"/>
            <w:hideMark/>
          </w:tcPr>
          <w:p w:rsidRPr="00C01225" w:rsidR="00C01225" w:rsidP="009D7BB5" w:rsidRDefault="00C01225" w14:paraId="78AA40AA" w14:textId="77777777">
            <w:pPr>
              <w:spacing w:line="240" w:lineRule="auto"/>
            </w:pPr>
            <w:r w:rsidRPr="00C01225">
              <w:t>High strategic flexibility</w:t>
            </w:r>
          </w:p>
        </w:tc>
      </w:tr>
    </w:tbl>
    <w:p w:rsidR="008575C5" w:rsidP="00901725" w:rsidRDefault="008575C5" w14:paraId="1D35F993" w14:textId="1AFC7EC7">
      <w:pPr>
        <w:pStyle w:val="Heading2"/>
      </w:pPr>
      <w:bookmarkStart w:name="_Toc227448956" w:id="19"/>
      <w:r w:rsidRPr="008575C5">
        <w:t xml:space="preserve">4.4 International </w:t>
      </w:r>
      <w:r w:rsidRPr="008575C5" w:rsidR="00901725">
        <w:t>considerations</w:t>
      </w:r>
      <w:bookmarkEnd w:id="19"/>
    </w:p>
    <w:p w:rsidR="009D7BB5" w:rsidP="001E3395" w:rsidRDefault="00034AD4" w14:paraId="17BB4335" w14:textId="77777777">
      <w:r w:rsidRPr="00034AD4">
        <w:t xml:space="preserve">Being a global producer of EVs, BYD needs to </w:t>
      </w:r>
      <w:r w:rsidRPr="00034AD4" w:rsidR="00A41DA9">
        <w:t>consider</w:t>
      </w:r>
      <w:r w:rsidRPr="00034AD4">
        <w:t xml:space="preserve"> </w:t>
      </w:r>
      <w:r w:rsidR="00A41DA9">
        <w:t>several</w:t>
      </w:r>
      <w:r w:rsidRPr="00034AD4">
        <w:t xml:space="preserve"> financial aspects of restructuring internationally. Major concerns involve currency risk especially as BYD moves into foreign markets like Europe, North America and Southeast Asia. Any exchange rate changes may affect the revenues, costs, and profitability (</w:t>
      </w:r>
      <w:r w:rsidRPr="00666F78" w:rsidR="00E87AB6">
        <w:t>Gatla, 2024</w:t>
      </w:r>
      <w:r w:rsidRPr="00034AD4">
        <w:t>). To counter this, BYD ought to implement hedging strategy with the use of financial instruments like forward contracts and currency swaps. The restructuring decisions are also determined by the global financing conditions. There is a difference in interest rates depending on the region and the availability of international capital markets, which may offer more favourable rates of financing. Bonds or loans in foreign markets or borrowing internationally will lead to a decrease in the cost of borrowing and diversify the funding sources.</w:t>
      </w:r>
    </w:p>
    <w:p w:rsidRPr="001E3395" w:rsidR="001E3395" w:rsidP="001E3395" w:rsidRDefault="00034AD4" w14:paraId="6D8D43E5" w14:textId="5C071B9D">
      <w:r w:rsidRPr="00034AD4">
        <w:t>Another important factor is taxation policies. One way BYD can streamline its financial structure to better advantage is by using tax incentives, which are offered in various countries, especially those that support the adoption of green energy, as well as the adoption of electric vehicles. The location of production facilities and subsidiaries in strategic locations can be used to reduce taxation. The economic conditions and inflations in the global markets should also be taken into consideration. Increase in inflation may increase the cost of production and influence the consumer demand. To overcome these risks, BYD needs to implement flexible pricing and cost control strategies</w:t>
      </w:r>
      <w:r w:rsidR="00A41DA9">
        <w:t xml:space="preserve"> (</w:t>
      </w:r>
      <w:r w:rsidRPr="00A62780" w:rsidR="00AD425B">
        <w:t>Chen</w:t>
      </w:r>
      <w:r w:rsidR="00AD425B">
        <w:t xml:space="preserve"> </w:t>
      </w:r>
      <w:r w:rsidRPr="000D1D8A" w:rsidR="00AD425B">
        <w:rPr>
          <w:i/>
          <w:iCs/>
        </w:rPr>
        <w:t>et al.,</w:t>
      </w:r>
      <w:r w:rsidR="00AD425B">
        <w:t xml:space="preserve"> 2023</w:t>
      </w:r>
      <w:r w:rsidR="00D91C42">
        <w:t xml:space="preserve">; </w:t>
      </w:r>
      <w:r w:rsidRPr="00A62780" w:rsidR="00D91C42">
        <w:t>Bi</w:t>
      </w:r>
      <w:r w:rsidR="00D91C42">
        <w:t xml:space="preserve"> </w:t>
      </w:r>
      <w:r w:rsidRPr="00154D96" w:rsidR="00D91C42">
        <w:rPr>
          <w:i/>
          <w:iCs/>
        </w:rPr>
        <w:t>et al.,</w:t>
      </w:r>
      <w:r w:rsidR="00D91C42">
        <w:t xml:space="preserve"> 2023</w:t>
      </w:r>
      <w:r w:rsidR="00A41DA9">
        <w:t>)</w:t>
      </w:r>
      <w:r w:rsidRPr="00034AD4">
        <w:t xml:space="preserve">. </w:t>
      </w:r>
      <w:r w:rsidR="00A41DA9">
        <w:t>Furthermore</w:t>
      </w:r>
      <w:r w:rsidRPr="00034AD4">
        <w:t>, compliance with the regulations is crucial. Financial reporting, environmental policies, and the policies governing trade differ among different countries. Compliance is a key course of action to preserve access to the market and prevention of legal risk.</w:t>
      </w:r>
    </w:p>
    <w:p w:rsidR="008575C5" w:rsidP="00901725" w:rsidRDefault="008575C5" w14:paraId="19A70F67" w14:textId="6477580C">
      <w:pPr>
        <w:pStyle w:val="Heading2"/>
      </w:pPr>
      <w:bookmarkStart w:name="_Toc227448957" w:id="20"/>
      <w:r w:rsidRPr="00A41DA9">
        <w:lastRenderedPageBreak/>
        <w:t xml:space="preserve">4.5 Ethical </w:t>
      </w:r>
      <w:r w:rsidRPr="00A41DA9" w:rsidR="00901725">
        <w:t>and</w:t>
      </w:r>
      <w:r w:rsidRPr="00A41DA9">
        <w:t xml:space="preserve"> CSR </w:t>
      </w:r>
      <w:r w:rsidRPr="00A41DA9" w:rsidR="00901725">
        <w:t>considerations</w:t>
      </w:r>
      <w:bookmarkEnd w:id="20"/>
    </w:p>
    <w:p w:rsidR="009D7BB5" w:rsidP="00707FF9" w:rsidRDefault="00AF1CA6" w14:paraId="4C48EB14" w14:textId="77777777">
      <w:r w:rsidRPr="00AF1CA6">
        <w:t xml:space="preserve">Restructuring of finance should be in accordance with the ethical standards and </w:t>
      </w:r>
      <w:r w:rsidRPr="00AF1CA6" w:rsidR="00BB7FB2">
        <w:t xml:space="preserve">Corporate Social Responsibility </w:t>
      </w:r>
      <w:r w:rsidRPr="00AF1CA6">
        <w:t>(CSR), especially in the EV industry, which is directly connected with the concept of sustainability. BYD must make sure that the restructuring activities do not adversely affect the employees, suppliers and the communities in the regions</w:t>
      </w:r>
      <w:r w:rsidR="005822F1">
        <w:t xml:space="preserve"> (</w:t>
      </w:r>
      <w:r w:rsidRPr="00A62780" w:rsidR="00756F47">
        <w:t>Memiş</w:t>
      </w:r>
      <w:r w:rsidR="00756F47">
        <w:t xml:space="preserve"> </w:t>
      </w:r>
      <w:r w:rsidRPr="00EA469F" w:rsidR="00756F47">
        <w:rPr>
          <w:i/>
          <w:iCs/>
        </w:rPr>
        <w:t>et al.,</w:t>
      </w:r>
      <w:r w:rsidR="00756F47">
        <w:t xml:space="preserve"> 2024</w:t>
      </w:r>
      <w:r w:rsidR="0013137F">
        <w:t xml:space="preserve">; </w:t>
      </w:r>
      <w:r w:rsidRPr="00BE29BA" w:rsidR="0013137F">
        <w:t>Iacovides</w:t>
      </w:r>
      <w:r w:rsidR="0013137F">
        <w:t xml:space="preserve"> </w:t>
      </w:r>
      <w:r w:rsidRPr="00FE0796" w:rsidR="0013137F">
        <w:rPr>
          <w:i/>
          <w:iCs/>
        </w:rPr>
        <w:t>et al.,</w:t>
      </w:r>
      <w:r w:rsidR="0013137F">
        <w:t xml:space="preserve"> 2024</w:t>
      </w:r>
      <w:r w:rsidR="005822F1">
        <w:t>)</w:t>
      </w:r>
      <w:r w:rsidRPr="00AF1CA6">
        <w:t>. To illustrate, asset sell-offs or cost reductions must be done in a responsible manner without causing unnecessary layoffs or disfavouring the stakeholders. One of the CSR priorities is environmental sustainability. BYD, being an EV company, contributes greatly to the decrease of carbon</w:t>
      </w:r>
      <w:r w:rsidR="00C53B88">
        <w:t xml:space="preserve"> (</w:t>
      </w:r>
      <w:r w:rsidRPr="00BE29BA" w:rsidR="00B96BFC">
        <w:t>Schroeder</w:t>
      </w:r>
      <w:r w:rsidR="00B96BFC">
        <w:t xml:space="preserve"> </w:t>
      </w:r>
      <w:r w:rsidRPr="00AB2832" w:rsidR="00B96BFC">
        <w:rPr>
          <w:i/>
          <w:iCs/>
        </w:rPr>
        <w:t>et al.,</w:t>
      </w:r>
      <w:r w:rsidR="00B96BFC">
        <w:t xml:space="preserve"> 2022</w:t>
      </w:r>
      <w:r w:rsidR="00C53B88">
        <w:t>)</w:t>
      </w:r>
      <w:r w:rsidRPr="00AF1CA6">
        <w:t>. The investments in clean energy technologies, battery innovation, and sustainable production processes should still be supported with the help of the restructuring strategies. Accountability and transparency are needed too.</w:t>
      </w:r>
    </w:p>
    <w:p w:rsidRPr="00707FF9" w:rsidR="00707FF9" w:rsidP="00707FF9" w:rsidRDefault="00AF1CA6" w14:paraId="05AC1B7D" w14:textId="589AF8D5">
      <w:r w:rsidRPr="00AF1CA6">
        <w:t>BYD should uphold effective communication to investors and stakeholders in terms of restructuring decisions, financial performance and long-term strategy. This builds trust and enhances corporate reputation. Otherwise, the procurement of the raw materials, especially in making the batteries, must be ethically sourced. A good practice of responsible sourcing and preventing any environmental or human rights abuse also builds a strong international brand image of BYD. In addition to that, incorporation of ethical and CSR in financial restructuring will make sure growth of BYD is sustainable</w:t>
      </w:r>
      <w:r w:rsidR="005822F1">
        <w:t xml:space="preserve"> (</w:t>
      </w:r>
      <w:r w:rsidRPr="00BE29BA" w:rsidR="00476DB4">
        <w:t>Chakri</w:t>
      </w:r>
      <w:r w:rsidR="00476DB4">
        <w:t xml:space="preserve"> </w:t>
      </w:r>
      <w:r w:rsidRPr="00EE6054" w:rsidR="00476DB4">
        <w:rPr>
          <w:i/>
          <w:iCs/>
        </w:rPr>
        <w:t>et al</w:t>
      </w:r>
      <w:r w:rsidR="00476DB4">
        <w:t>., 2023</w:t>
      </w:r>
      <w:r w:rsidR="005822F1">
        <w:t>)</w:t>
      </w:r>
      <w:r w:rsidRPr="00AF1CA6">
        <w:t>, socially responsible and is in harmony with global environmental objectives. Essentially, the strategic financial reorganization of BYD needs to concentrate on growth and financial performance, leverage minimization, liquidity enhancement, and global sustainability to maintain long-term competitiveness within the diverse relationships in the changing EV market.</w:t>
      </w:r>
    </w:p>
    <w:p w:rsidR="008575C5" w:rsidP="00901725" w:rsidRDefault="008575C5" w14:paraId="2FCC2B16" w14:textId="760D71B8">
      <w:pPr>
        <w:pStyle w:val="Heading1"/>
      </w:pPr>
      <w:bookmarkStart w:name="_Toc227448958" w:id="21"/>
      <w:r w:rsidRPr="008575C5">
        <w:t xml:space="preserve">5. Investment </w:t>
      </w:r>
      <w:r w:rsidRPr="008575C5" w:rsidR="00901725">
        <w:t xml:space="preserve">appraisal </w:t>
      </w:r>
      <w:r w:rsidR="00901725">
        <w:t>and</w:t>
      </w:r>
      <w:r w:rsidRPr="008575C5" w:rsidR="00901725">
        <w:t xml:space="preserve"> </w:t>
      </w:r>
      <w:r w:rsidRPr="008575C5" w:rsidR="009D7BB5">
        <w:t>Capital Budgeting</w:t>
      </w:r>
      <w:bookmarkEnd w:id="21"/>
    </w:p>
    <w:p w:rsidR="008575C5" w:rsidP="00901725" w:rsidRDefault="008575C5" w14:paraId="1E3FFA9A" w14:textId="3576EF69">
      <w:pPr>
        <w:pStyle w:val="Heading2"/>
      </w:pPr>
      <w:bookmarkStart w:name="_Toc227448959" w:id="22"/>
      <w:r w:rsidRPr="008575C5">
        <w:t xml:space="preserve">5.1 Overview of </w:t>
      </w:r>
      <w:r w:rsidRPr="008575C5" w:rsidR="00901725">
        <w:t>investment options</w:t>
      </w:r>
      <w:bookmarkEnd w:id="22"/>
    </w:p>
    <w:p w:rsidR="009D7BB5" w:rsidP="00AF1CA6" w:rsidRDefault="00AF1CA6" w14:paraId="6E34F303" w14:textId="77777777">
      <w:r w:rsidRPr="00AF1CA6">
        <w:t xml:space="preserve">BYD is considering three mutually exclusive investment opportunities namely Project A, Project B and Project C, each of which will have an initial capital outlay of 50 units. These projects vary in terms of the cash flow expected, the risk undertaken and the </w:t>
      </w:r>
      <w:r w:rsidRPr="00AF1CA6">
        <w:lastRenderedPageBreak/>
        <w:t>overall potential of these projects in terms of the returns in five years</w:t>
      </w:r>
      <w:r w:rsidR="002526E6">
        <w:t xml:space="preserve"> (</w:t>
      </w:r>
      <w:r w:rsidRPr="0008359A" w:rsidR="002B276C">
        <w:t>Issa, 2024</w:t>
      </w:r>
      <w:r w:rsidR="002526E6">
        <w:t>)</w:t>
      </w:r>
      <w:r w:rsidRPr="00AF1CA6">
        <w:t>. Project A produces strong and uneven cash flows, increasing in the mid-years and decreasing afterwards, showing a moderately good performance with only a little inconsistency. Project B, on the other hand, provides consistent and reliable payments (cash inflows) of 11 units per year, which is a low-risk and predictable investment with low volatility.</w:t>
      </w:r>
      <w:r w:rsidR="009D7BB5">
        <w:t xml:space="preserve"> </w:t>
      </w:r>
      <w:r w:rsidRPr="00AF1CA6">
        <w:t>The growth pattern of project C is more aggressive, with low initial returns</w:t>
      </w:r>
      <w:r w:rsidR="00A27D76">
        <w:t xml:space="preserve">; however, </w:t>
      </w:r>
      <w:r w:rsidRPr="00AF1CA6">
        <w:t>much higher cash inflows in later years, especially in years three and four and is a profile of higher-risk, high-return reimbursement.</w:t>
      </w:r>
    </w:p>
    <w:p w:rsidRPr="00AF1CA6" w:rsidR="00AF1CA6" w:rsidP="00AF1CA6" w:rsidRDefault="00AF1CA6" w14:paraId="668FE9E4" w14:textId="78C30F75">
      <w:r w:rsidRPr="00AF1CA6">
        <w:t>These differences in cash flow models ensure that the projects can be evaluated based on the various approaches of capital budgeting such as PBP, ARR, NPV, IRR and PI. All the approaches give a varying outlook to project viability</w:t>
      </w:r>
      <w:r w:rsidR="00CF10EE">
        <w:t xml:space="preserve">. However, </w:t>
      </w:r>
      <w:r w:rsidRPr="00AF1CA6">
        <w:t xml:space="preserve">they use aspects like liquidity, profitability, and time value of money. Project A might be of interest to those investors, who would want moderate returns with a manageable risk and Project B would be an option of risk-averse decision-makers who would prefer stability. Project C, though, is structured to attain highest value in the long run, although it experiences late returns and even greater uncertainty. </w:t>
      </w:r>
      <w:r w:rsidR="002526E6">
        <w:t>Therefore</w:t>
      </w:r>
      <w:r w:rsidRPr="00AF1CA6">
        <w:t>, to define the most appropriate investment model based on the strategic financial targets of BYD it is crucial to perform a thorough analysis based on all financial indicators.</w:t>
      </w:r>
    </w:p>
    <w:p w:rsidR="008575C5" w:rsidP="00901725" w:rsidRDefault="008575C5" w14:paraId="473F29C5" w14:textId="1D0DE7C6">
      <w:pPr>
        <w:pStyle w:val="Heading2"/>
      </w:pPr>
      <w:bookmarkStart w:name="_Toc227448960" w:id="23"/>
      <w:r w:rsidRPr="008575C5">
        <w:t>5.2 Payback Period (PBP) Analysis</w:t>
      </w:r>
      <w:bookmarkEnd w:id="23"/>
    </w:p>
    <w:p w:rsidRPr="00AF1CA6" w:rsidR="00AF1CA6" w:rsidP="00AF1CA6" w:rsidRDefault="00AF1CA6" w14:paraId="098FAAEA" w14:textId="6C1095D1">
      <w:r w:rsidRPr="00AF1CA6">
        <w:t>PBP is used to determine liquidity and risk of a project because of the time that it takes an investment to recover its cost as a result of its cash inflows (</w:t>
      </w:r>
      <w:r w:rsidRPr="0008359A" w:rsidR="00577732">
        <w:t>Kumar, 2025</w:t>
      </w:r>
      <w:r w:rsidRPr="00AF1CA6">
        <w:t>). The following graph shows that Project C has the shortest payback period at 3.60 years, followed by Project A at 4.50 years and Project B at 4.55 years. This indicates that Project C recovers its initial investment faster, making it less risky in terms of capital recovery. Projects A and B take longer to break even, suggesting higher exposure to uncertainty and delayed returns. The relatively close values for Projects A and B indicate similar recovery profiles, although both are inferior to Project C. From a financial perspective, a shorter payback period enhances liquidity and reduces risk, making Project C the most attractive option under this method. However, PBP does not consider the time value of money or profitability beyond the payback period.</w:t>
      </w:r>
    </w:p>
    <w:p w:rsidR="00291820" w:rsidP="00291820" w:rsidRDefault="009D7BB5" w14:paraId="77D16D00" w14:textId="66FB322B">
      <w:pPr>
        <w:jc w:val="center"/>
      </w:pPr>
      <w:r>
        <w:rPr>
          <w:noProof/>
        </w:rPr>
        <w:lastRenderedPageBreak/>
        <w:drawing>
          <wp:inline distT="0" distB="0" distL="0" distR="0" wp14:anchorId="0F39482B" wp14:editId="08A61834">
            <wp:extent cx="4584700" cy="2755900"/>
            <wp:effectExtent l="0" t="0" r="6350" b="6350"/>
            <wp:docPr id="5853197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F5191F" w:rsidR="00291820" w:rsidP="00291820" w:rsidRDefault="00291820" w14:paraId="1AD7E860" w14:textId="2AB85DBC">
      <w:pPr>
        <w:jc w:val="center"/>
        <w:rPr>
          <w:b/>
          <w:bCs/>
        </w:rPr>
      </w:pPr>
      <w:r w:rsidRPr="00F5191F">
        <w:rPr>
          <w:b/>
          <w:bCs/>
        </w:rPr>
        <w:t xml:space="preserve">Figure 11: PBP for each </w:t>
      </w:r>
      <w:r w:rsidRPr="00F5191F" w:rsidR="00F5191F">
        <w:rPr>
          <w:b/>
          <w:bCs/>
        </w:rPr>
        <w:t>project</w:t>
      </w:r>
      <w:r w:rsidRPr="00F5191F">
        <w:rPr>
          <w:b/>
          <w:bCs/>
        </w:rPr>
        <w:t xml:space="preserve"> </w:t>
      </w:r>
    </w:p>
    <w:p w:rsidRPr="00291820" w:rsidR="00291820" w:rsidP="00291820" w:rsidRDefault="00291820" w14:paraId="7D6F0166" w14:textId="05EE2984">
      <w:pPr>
        <w:jc w:val="center"/>
      </w:pPr>
      <w:r>
        <w:t>(Source: Calculated in Excel)</w:t>
      </w:r>
    </w:p>
    <w:p w:rsidR="008575C5" w:rsidP="00901725" w:rsidRDefault="008575C5" w14:paraId="1E2FDF1C" w14:textId="1A7F1C38">
      <w:pPr>
        <w:pStyle w:val="Heading2"/>
      </w:pPr>
      <w:bookmarkStart w:name="_Toc227448961" w:id="24"/>
      <w:r w:rsidRPr="008575C5">
        <w:t>5.3 Accounting Rate of Return (ARR)</w:t>
      </w:r>
      <w:bookmarkEnd w:id="24"/>
    </w:p>
    <w:p w:rsidRPr="00445672" w:rsidR="00445672" w:rsidP="00445672" w:rsidRDefault="00445672" w14:paraId="35B314C3" w14:textId="7E2B55BB">
      <w:r w:rsidRPr="00445672">
        <w:t>ARR measures the average annual profit generated by an investment as a percentage of its initial cost, reflecting overall profitability (</w:t>
      </w:r>
      <w:r w:rsidRPr="00BE29BA" w:rsidR="000032C6">
        <w:t>Chakri</w:t>
      </w:r>
      <w:r w:rsidR="000032C6">
        <w:t xml:space="preserve"> </w:t>
      </w:r>
      <w:r w:rsidRPr="00814E9D" w:rsidR="000032C6">
        <w:rPr>
          <w:i/>
          <w:iCs/>
        </w:rPr>
        <w:t>et al.,</w:t>
      </w:r>
      <w:r w:rsidR="000032C6">
        <w:t xml:space="preserve"> 2023</w:t>
      </w:r>
      <w:r w:rsidRPr="00445672">
        <w:t>). The graph indicates that Project C has the highest ARR at 26%, followed by Project B at 22% and Project A at 21.6%. This suggests that Project C generates the greatest average returns relative to its investment, making it the most profitable option under this measure. The difference between Projects A and B is minimal, indicating similar performance levels, although both lag behind Project C. A higher ARR implies better utilisation of investment resources and stronger earnings potential. However, ARR is based on accounting profits rather than cash flows and does not consider the time value of money, which limits its reliability for long-term investment decisions. Despite these limitations, the graph clearly highlights Project C as the most attractive option in terms of accounting profitability.</w:t>
      </w:r>
    </w:p>
    <w:p w:rsidR="006970AF" w:rsidP="006970AF" w:rsidRDefault="009D7BB5" w14:paraId="47C06715" w14:textId="7AEC44D5">
      <w:pPr>
        <w:jc w:val="center"/>
      </w:pPr>
      <w:r>
        <w:rPr>
          <w:noProof/>
        </w:rPr>
        <w:lastRenderedPageBreak/>
        <w:drawing>
          <wp:inline distT="0" distB="0" distL="0" distR="0" wp14:anchorId="2FCCD7C2" wp14:editId="1AD510A5">
            <wp:extent cx="4584700" cy="2755900"/>
            <wp:effectExtent l="0" t="0" r="6350" b="6350"/>
            <wp:docPr id="4059160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F5191F" w:rsidR="006970AF" w:rsidP="006970AF" w:rsidRDefault="006970AF" w14:paraId="4E6E57B3" w14:textId="6E231EBF">
      <w:pPr>
        <w:jc w:val="center"/>
        <w:rPr>
          <w:b/>
          <w:bCs/>
        </w:rPr>
      </w:pPr>
      <w:r w:rsidRPr="00F5191F">
        <w:rPr>
          <w:b/>
          <w:bCs/>
        </w:rPr>
        <w:t>Figure 1</w:t>
      </w:r>
      <w:r>
        <w:rPr>
          <w:b/>
          <w:bCs/>
        </w:rPr>
        <w:t>2</w:t>
      </w:r>
      <w:r w:rsidRPr="00F5191F">
        <w:rPr>
          <w:b/>
          <w:bCs/>
        </w:rPr>
        <w:t xml:space="preserve">: </w:t>
      </w:r>
      <w:r>
        <w:rPr>
          <w:b/>
          <w:bCs/>
        </w:rPr>
        <w:t>ARR</w:t>
      </w:r>
      <w:r w:rsidRPr="00F5191F">
        <w:rPr>
          <w:b/>
          <w:bCs/>
        </w:rPr>
        <w:t xml:space="preserve"> for each project </w:t>
      </w:r>
    </w:p>
    <w:p w:rsidRPr="006970AF" w:rsidR="006970AF" w:rsidP="00461F88" w:rsidRDefault="006970AF" w14:paraId="6F5C9934" w14:textId="40FBDCB3">
      <w:pPr>
        <w:jc w:val="center"/>
      </w:pPr>
      <w:r>
        <w:t>(Source: Calculated in Excel)</w:t>
      </w:r>
    </w:p>
    <w:p w:rsidR="008575C5" w:rsidP="00901725" w:rsidRDefault="008575C5" w14:paraId="1ED09625" w14:textId="2FBF4BFD">
      <w:pPr>
        <w:pStyle w:val="Heading2"/>
      </w:pPr>
      <w:bookmarkStart w:name="_Toc227448962" w:id="25"/>
      <w:r w:rsidRPr="008575C5">
        <w:t>5.4 Net Present Value (NPV)</w:t>
      </w:r>
      <w:bookmarkEnd w:id="25"/>
    </w:p>
    <w:p w:rsidRPr="00461F88" w:rsidR="00461F88" w:rsidP="00461F88" w:rsidRDefault="00445672" w14:paraId="75F81D94" w14:textId="13C4074F">
      <w:r w:rsidRPr="00445672">
        <w:t>NPV measures the difference between the present value of cash inflows and the initial investment, accounting for the time value of money and indicating value creation (</w:t>
      </w:r>
      <w:r w:rsidRPr="00BE29BA" w:rsidR="002D5227">
        <w:t>Schroeder</w:t>
      </w:r>
      <w:r w:rsidR="002D5227">
        <w:t xml:space="preserve"> </w:t>
      </w:r>
      <w:r w:rsidRPr="00CA28DB" w:rsidR="002D5227">
        <w:rPr>
          <w:i/>
          <w:iCs/>
        </w:rPr>
        <w:t>et al.,</w:t>
      </w:r>
      <w:r w:rsidR="002D5227">
        <w:t xml:space="preserve"> 2022</w:t>
      </w:r>
      <w:r w:rsidRPr="00445672">
        <w:t>). The graph shows that Project C has a positive NPV of 1.24, while Projects A and B have negative NPVs of -0.45 and -8.30 respectively. This indicates that Project C is expected to generate value above the required rate of return, making it financially viable. In contrast, Projects A and B are expected to destroy value, with Project B performing the worst. The sharp decline for Project B highlights poor future cash flow potential when discounted. Since NPV is considered the most reliable capital budgeting technique, the graph strongly supports selecting Project C. It reflects both profitability and risk, making it the most critical decision-making tool among all methods used.</w:t>
      </w:r>
      <w:r w:rsidR="00DB135F">
        <w:t xml:space="preserve"> </w:t>
      </w:r>
    </w:p>
    <w:p w:rsidR="006970AF" w:rsidP="008C3175" w:rsidRDefault="009D7BB5" w14:paraId="6FC2C188" w14:textId="7E0223F6">
      <w:pPr>
        <w:jc w:val="center"/>
      </w:pPr>
      <w:r>
        <w:rPr>
          <w:noProof/>
        </w:rPr>
        <w:lastRenderedPageBreak/>
        <w:drawing>
          <wp:inline distT="0" distB="0" distL="0" distR="0" wp14:anchorId="1CAC96E8" wp14:editId="2CF2E9DA">
            <wp:extent cx="5139690" cy="2755900"/>
            <wp:effectExtent l="0" t="0" r="3810" b="6350"/>
            <wp:docPr id="195207346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39690" cy="2755900"/>
                    </a:xfrm>
                    <a:prstGeom prst="rect">
                      <a:avLst/>
                    </a:prstGeom>
                    <a:noFill/>
                  </pic:spPr>
                </pic:pic>
              </a:graphicData>
            </a:graphic>
          </wp:inline>
        </w:drawing>
      </w:r>
    </w:p>
    <w:p w:rsidRPr="00F5191F" w:rsidR="008C3175" w:rsidP="008C3175" w:rsidRDefault="008C3175" w14:paraId="34C48798" w14:textId="4F939149">
      <w:pPr>
        <w:jc w:val="center"/>
        <w:rPr>
          <w:b/>
          <w:bCs/>
        </w:rPr>
      </w:pPr>
      <w:r w:rsidRPr="00F5191F">
        <w:rPr>
          <w:b/>
          <w:bCs/>
        </w:rPr>
        <w:t>Figure 1</w:t>
      </w:r>
      <w:r>
        <w:rPr>
          <w:b/>
          <w:bCs/>
        </w:rPr>
        <w:t>2</w:t>
      </w:r>
      <w:r w:rsidRPr="00F5191F">
        <w:rPr>
          <w:b/>
          <w:bCs/>
        </w:rPr>
        <w:t xml:space="preserve">: </w:t>
      </w:r>
      <w:r>
        <w:rPr>
          <w:b/>
          <w:bCs/>
        </w:rPr>
        <w:t>NPV</w:t>
      </w:r>
      <w:r w:rsidRPr="00F5191F">
        <w:rPr>
          <w:b/>
          <w:bCs/>
        </w:rPr>
        <w:t xml:space="preserve"> for each project </w:t>
      </w:r>
    </w:p>
    <w:p w:rsidRPr="006970AF" w:rsidR="008C3175" w:rsidP="00D11D77" w:rsidRDefault="008C3175" w14:paraId="41CEC767" w14:textId="101C65ED">
      <w:pPr>
        <w:jc w:val="center"/>
      </w:pPr>
      <w:r>
        <w:t>(Source: Calculated in Excel)</w:t>
      </w:r>
    </w:p>
    <w:p w:rsidR="008575C5" w:rsidP="00901725" w:rsidRDefault="008575C5" w14:paraId="4D75ACCB" w14:textId="4F812889">
      <w:pPr>
        <w:pStyle w:val="Heading2"/>
      </w:pPr>
      <w:bookmarkStart w:name="_Toc227448963" w:id="26"/>
      <w:r w:rsidRPr="008575C5">
        <w:t>5.5 Internal Rate of Return (IRR)</w:t>
      </w:r>
      <w:bookmarkEnd w:id="26"/>
    </w:p>
    <w:p w:rsidRPr="008C6049" w:rsidR="008C6049" w:rsidP="008C6049" w:rsidRDefault="00C702C4" w14:paraId="15DA987D" w14:textId="54E3EAB9">
      <w:r w:rsidRPr="00C702C4">
        <w:t>IRR represents the discount rate at which the net present value of an investment becomes zero, indicating the expected rate of return generated by the project (</w:t>
      </w:r>
      <w:r w:rsidRPr="00A62780" w:rsidR="004B6A65">
        <w:t>Memiş</w:t>
      </w:r>
      <w:r w:rsidR="004B6A65">
        <w:t xml:space="preserve"> </w:t>
      </w:r>
      <w:r w:rsidRPr="00A62771" w:rsidR="004B6A65">
        <w:rPr>
          <w:i/>
          <w:iCs/>
        </w:rPr>
        <w:t>et al.,</w:t>
      </w:r>
      <w:r w:rsidR="004B6A65">
        <w:t xml:space="preserve"> 2024</w:t>
      </w:r>
      <w:r w:rsidRPr="00C702C4">
        <w:t>). Based on the following graph, Project C will have the shortest payback period of 3.60 years, else Project A with payback period of 4.50 years and Project B with payback period of 4.55 years</w:t>
      </w:r>
      <w:r>
        <w:t xml:space="preserve"> t</w:t>
      </w:r>
      <w:r w:rsidRPr="00C702C4">
        <w:t xml:space="preserve">urn of 10%, only Project C exceeds this benchmark, making it acceptable. </w:t>
      </w:r>
      <w:r w:rsidRPr="00DA387C" w:rsidR="00DA387C">
        <w:t xml:space="preserve">Nevertheless, non-conventional cash flows are sometimes misleading in </w:t>
      </w:r>
      <w:r w:rsidRPr="00DA387C" w:rsidR="007A7DE8">
        <w:t>IRR</w:t>
      </w:r>
      <w:r w:rsidR="007A7DE8">
        <w:t xml:space="preserve">; however, </w:t>
      </w:r>
      <w:r w:rsidRPr="00DA387C" w:rsidR="00DA387C">
        <w:t>this is not the case and helps to rank the performance of the project and make well informed investment choices.</w:t>
      </w:r>
    </w:p>
    <w:p w:rsidR="00D11D77" w:rsidP="00BB6EF3" w:rsidRDefault="009D7BB5" w14:paraId="1D9E6AB4" w14:textId="045E6CCB">
      <w:pPr>
        <w:jc w:val="center"/>
      </w:pPr>
      <w:r>
        <w:rPr>
          <w:noProof/>
        </w:rPr>
        <w:lastRenderedPageBreak/>
        <w:drawing>
          <wp:inline distT="0" distB="0" distL="0" distR="0" wp14:anchorId="33B5CF0A" wp14:editId="41E4DF7C">
            <wp:extent cx="4584700" cy="2755900"/>
            <wp:effectExtent l="0" t="0" r="6350" b="6350"/>
            <wp:docPr id="4585755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Pr="00F5191F" w:rsidR="001A43D1" w:rsidP="001A43D1" w:rsidRDefault="001A43D1" w14:paraId="0FA5A9D0" w14:textId="7C796D80">
      <w:pPr>
        <w:jc w:val="center"/>
        <w:rPr>
          <w:b/>
          <w:bCs/>
        </w:rPr>
      </w:pPr>
      <w:r w:rsidRPr="00F5191F">
        <w:rPr>
          <w:b/>
          <w:bCs/>
        </w:rPr>
        <w:t>Figure 1</w:t>
      </w:r>
      <w:r w:rsidR="0093287C">
        <w:rPr>
          <w:b/>
          <w:bCs/>
        </w:rPr>
        <w:t>3</w:t>
      </w:r>
      <w:r w:rsidRPr="00F5191F">
        <w:rPr>
          <w:b/>
          <w:bCs/>
        </w:rPr>
        <w:t xml:space="preserve">: </w:t>
      </w:r>
      <w:r w:rsidR="004C01D9">
        <w:rPr>
          <w:b/>
          <w:bCs/>
        </w:rPr>
        <w:t>IRR</w:t>
      </w:r>
      <w:r w:rsidRPr="00F5191F">
        <w:rPr>
          <w:b/>
          <w:bCs/>
        </w:rPr>
        <w:t xml:space="preserve"> for each project </w:t>
      </w:r>
    </w:p>
    <w:p w:rsidRPr="00D11D77" w:rsidR="001A43D1" w:rsidP="008C6049" w:rsidRDefault="001A43D1" w14:paraId="70372C26" w14:textId="00CBBCC3">
      <w:pPr>
        <w:jc w:val="center"/>
      </w:pPr>
      <w:r>
        <w:t>(Source: Calculated in Excel)</w:t>
      </w:r>
    </w:p>
    <w:p w:rsidR="008575C5" w:rsidP="00901725" w:rsidRDefault="008575C5" w14:paraId="783CC711" w14:textId="128F521A">
      <w:pPr>
        <w:pStyle w:val="Heading2"/>
      </w:pPr>
      <w:bookmarkStart w:name="_Toc227448964" w:id="27"/>
      <w:r w:rsidRPr="008575C5">
        <w:t>5.6 Profitability Index (PI)</w:t>
      </w:r>
      <w:bookmarkEnd w:id="27"/>
    </w:p>
    <w:p w:rsidRPr="008C6049" w:rsidR="008C6049" w:rsidP="008C6049" w:rsidRDefault="00DA387C" w14:paraId="00E7840D" w14:textId="4F596F8D">
      <w:r w:rsidRPr="00DA387C">
        <w:t>Profitability Index (PI) is the ratio of the present value of future inflows of cash to the original investment, which is a measure of the value generated per unit of investment (</w:t>
      </w:r>
      <w:r w:rsidRPr="00A62780" w:rsidR="00117D04">
        <w:t>Bi</w:t>
      </w:r>
      <w:r w:rsidR="00117D04">
        <w:t xml:space="preserve"> </w:t>
      </w:r>
      <w:r w:rsidRPr="004210D6" w:rsidR="00117D04">
        <w:rPr>
          <w:i/>
          <w:iCs/>
        </w:rPr>
        <w:t>et al.,</w:t>
      </w:r>
      <w:r w:rsidR="00117D04">
        <w:t xml:space="preserve"> 2023</w:t>
      </w:r>
      <w:r w:rsidRPr="00DA387C">
        <w:t>). According to the graph below, Project C has a PI of 1.02, Project A has 0.99 and Project B has 0.83. A PI of more than 1 will amount to value creation and a value of less than 1 will show value destruction. Accordingly, Project C is only financially viable, based on this measure. Project A also is near and breakeven, indicating that it can be slightly acceptable</w:t>
      </w:r>
      <w:r w:rsidR="00CF10EE">
        <w:t xml:space="preserve">; however, </w:t>
      </w:r>
      <w:r w:rsidRPr="00DA387C">
        <w:t>Project B is evidently ineffective. The graph indicates that Project C has the best payback of the investment it is the most efficient project. PI is also effective in making capital rationing decisions, especially to help prioritise value maximising projects. Generally, these findings support the conclusion that Project C is the best investment to make.</w:t>
      </w:r>
    </w:p>
    <w:p w:rsidRPr="00BA49DB" w:rsidR="00BA49DB" w:rsidP="007502CE" w:rsidRDefault="009D7BB5" w14:paraId="689E1663" w14:textId="34F3210D">
      <w:pPr>
        <w:jc w:val="center"/>
      </w:pPr>
      <w:r>
        <w:rPr>
          <w:noProof/>
        </w:rPr>
        <w:lastRenderedPageBreak/>
        <w:drawing>
          <wp:inline distT="0" distB="0" distL="0" distR="0" wp14:anchorId="15671922" wp14:editId="05B968B8">
            <wp:extent cx="5511165" cy="2755900"/>
            <wp:effectExtent l="0" t="0" r="0" b="6350"/>
            <wp:docPr id="11086608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11165" cy="2755900"/>
                    </a:xfrm>
                    <a:prstGeom prst="rect">
                      <a:avLst/>
                    </a:prstGeom>
                    <a:noFill/>
                  </pic:spPr>
                </pic:pic>
              </a:graphicData>
            </a:graphic>
          </wp:inline>
        </w:drawing>
      </w:r>
    </w:p>
    <w:p w:rsidRPr="00F5191F" w:rsidR="00BA49DB" w:rsidP="00BA49DB" w:rsidRDefault="00BA49DB" w14:paraId="6AC17091" w14:textId="7036CA50">
      <w:pPr>
        <w:jc w:val="center"/>
        <w:rPr>
          <w:b/>
          <w:bCs/>
        </w:rPr>
      </w:pPr>
      <w:r w:rsidRPr="00F5191F">
        <w:rPr>
          <w:b/>
          <w:bCs/>
        </w:rPr>
        <w:t>Figure 1</w:t>
      </w:r>
      <w:r>
        <w:rPr>
          <w:b/>
          <w:bCs/>
        </w:rPr>
        <w:t>4</w:t>
      </w:r>
      <w:r w:rsidRPr="00F5191F">
        <w:rPr>
          <w:b/>
          <w:bCs/>
        </w:rPr>
        <w:t xml:space="preserve">: </w:t>
      </w:r>
      <w:r>
        <w:rPr>
          <w:b/>
          <w:bCs/>
        </w:rPr>
        <w:t>PI</w:t>
      </w:r>
      <w:r w:rsidRPr="00F5191F">
        <w:rPr>
          <w:b/>
          <w:bCs/>
        </w:rPr>
        <w:t xml:space="preserve"> for each project </w:t>
      </w:r>
    </w:p>
    <w:p w:rsidRPr="0093287C" w:rsidR="0093287C" w:rsidP="005A72C4" w:rsidRDefault="00BA49DB" w14:paraId="0F769FB5" w14:textId="3E3858F4">
      <w:pPr>
        <w:jc w:val="center"/>
      </w:pPr>
      <w:r>
        <w:t>(Source: Calculated in Excel)</w:t>
      </w:r>
    </w:p>
    <w:p w:rsidRPr="002D07F9" w:rsidR="002D07F9" w:rsidP="003E51BE" w:rsidRDefault="008575C5" w14:paraId="56A973A9" w14:textId="3C87E636">
      <w:pPr>
        <w:pStyle w:val="Heading2"/>
      </w:pPr>
      <w:bookmarkStart w:name="_Toc227448965" w:id="28"/>
      <w:r w:rsidRPr="008575C5">
        <w:t xml:space="preserve">5.7 Project </w:t>
      </w:r>
      <w:r w:rsidRPr="008575C5" w:rsidR="00901725">
        <w:t xml:space="preserve">comparison </w:t>
      </w:r>
      <w:r w:rsidR="00901725">
        <w:t>and</w:t>
      </w:r>
      <w:r w:rsidRPr="008575C5" w:rsidR="00901725">
        <w:t xml:space="preserve"> decision</w:t>
      </w:r>
      <w:bookmarkEnd w:id="28"/>
    </w:p>
    <w:p w:rsidRPr="002D07F9" w:rsidR="002D07F9" w:rsidP="002D07F9" w:rsidRDefault="002D07F9" w14:paraId="1FC9420E" w14:textId="295C3A32">
      <w:r w:rsidRPr="002D07F9">
        <w:t xml:space="preserve">The comparative analysis of the three projects through various capital budgeting techniques will give a full buttress of investment decision-making. According to the PBP, Project C will be the worthiest with a payback period of 3.60 years, which is much quicker than Project A (4.50 years) and Project B (4.55 years). This indicates lower liquidity risk and quicker capital recovery. This is also supported by the ARR where Project C has the greatest profit return of 26 versus 22 and 21.6 of Project B and A respectively, showing higher profitability. More to the point, the most valid method, NPV, which considers the time value of money, reveals the only project with a positive NPV of 1.24 is Project C and the rest of the projects have negative figures, which can signal value destruction. In the same vein, Internal Rate of Return (IRR) will validate that Project C (10.8%) has a higher rate of return than the required 10% - rate, at the same time, Projects A and B have even lower rates. The PI upholds this observation resulting in a single project, Project C, making it above 1, meaning value is created on every unit of investment. Generally, the total of all the evaluation methods will always tend to indicate Project C as the most viable project in terms of financial aspects. It provides better returns, expedited payback and value production. Thus, </w:t>
      </w:r>
      <w:r w:rsidRPr="009D7BB5">
        <w:rPr>
          <w:b/>
          <w:bCs/>
        </w:rPr>
        <w:t>Project C</w:t>
      </w:r>
      <w:r w:rsidRPr="002D07F9">
        <w:t xml:space="preserve"> is </w:t>
      </w:r>
      <w:r w:rsidRPr="002D07F9">
        <w:lastRenderedPageBreak/>
        <w:t>the preferred investment since it will support the goal of maximisation of shareholder wealth and long-term financial performance of BYD.</w:t>
      </w:r>
    </w:p>
    <w:p w:rsidR="008575C5" w:rsidP="00901725" w:rsidRDefault="008575C5" w14:paraId="7147EC20" w14:textId="707F23C7">
      <w:pPr>
        <w:pStyle w:val="Heading2"/>
      </w:pPr>
      <w:bookmarkStart w:name="_Toc227448966" w:id="29"/>
      <w:r w:rsidRPr="008575C5">
        <w:t xml:space="preserve">5.8 Capital </w:t>
      </w:r>
      <w:r w:rsidRPr="008575C5" w:rsidR="009D7BB5">
        <w:t>Rationing Decision</w:t>
      </w:r>
      <w:bookmarkEnd w:id="29"/>
      <w:r w:rsidR="009D7BB5">
        <w:t xml:space="preserve"> </w:t>
      </w:r>
    </w:p>
    <w:p w:rsidR="002D07F9" w:rsidP="002D07F9" w:rsidRDefault="00695EB4" w14:paraId="4A75D02F" w14:textId="178DEFA2">
      <w:r>
        <w:t>Considering</w:t>
      </w:r>
      <w:r w:rsidRPr="002D07F9" w:rsidR="002D07F9">
        <w:t xml:space="preserve"> capital rationing, whereby is budgeted 100 units, the company has the ability to invest in only two projects. According to the </w:t>
      </w:r>
      <w:r>
        <w:t>NPV</w:t>
      </w:r>
      <w:r w:rsidRPr="002D07F9" w:rsidR="002D07F9">
        <w:t xml:space="preserve"> standard, which puts maximisation of values in the first place, the best combination is Project A and Project C. Although Project C has the best positive NPV on its own, Project A, though the NPV is slightly negative, is near to break even and performs higher than Project B. Projects A </w:t>
      </w:r>
      <w:r>
        <w:t>and</w:t>
      </w:r>
      <w:r w:rsidRPr="002D07F9" w:rsidR="002D07F9">
        <w:t xml:space="preserve"> C gives the greatest total value overall, compared with the alternatives, and would on the other hand, give less total returns when it is combined with Project B since it does have an extremely negative NPV. Project C and A are also well suited with the high profitability of Project C and moderate performance of Project A, which results in a balanced portfolio. Thus, by choosing Projects A and C, the finite resources would be allocated effectively and get the greatest total financial returns.</w:t>
      </w:r>
    </w:p>
    <w:p w:rsidR="00D27484" w:rsidP="00901725" w:rsidRDefault="00901725" w14:paraId="7E8E124C" w14:textId="3F9AFDD3">
      <w:pPr>
        <w:pStyle w:val="Heading1"/>
      </w:pPr>
      <w:bookmarkStart w:name="_Toc227448967" w:id="30"/>
      <w:r>
        <w:t>6. Conclusion</w:t>
      </w:r>
      <w:bookmarkEnd w:id="30"/>
      <w:r>
        <w:t xml:space="preserve"> </w:t>
      </w:r>
    </w:p>
    <w:p w:rsidRPr="006E05BE" w:rsidR="00D27484" w:rsidP="006E05BE" w:rsidRDefault="00940EC8" w14:paraId="380862FE" w14:textId="471B7ECF">
      <w:r w:rsidRPr="002D07F9">
        <w:t>BYD has a high growth and an upgrading financial performance, however, the increasing leverage and tightening liquidity requirements signal the necessity of strategic financial solutions. The discussion suggests that although the company has successfully broadened its business, it will have to be financially stable violating the domination of working capital and equitable financing choices. Project C is the most value-creating project, with its high NPV and high returns, which are supported by the investment appraisal. When capital rationing is employed, Projects A and C are selected giving the best result. In general, BYD needs to work on efficiency, financial risk mitigation, and profitability to be viable in the long term and maintain shareholder value.</w:t>
      </w:r>
      <w:r w:rsidR="00D27484">
        <w:br w:type="page"/>
      </w:r>
    </w:p>
    <w:p w:rsidR="00901725" w:rsidP="00901725" w:rsidRDefault="00D27484" w14:paraId="776382B9" w14:textId="2D58EA26">
      <w:pPr>
        <w:pStyle w:val="Heading1"/>
        <w:rPr>
          <w:lang w:val="en-US"/>
        </w:rPr>
      </w:pPr>
      <w:bookmarkStart w:name="_Toc227448968" w:id="31"/>
      <w:r>
        <w:rPr>
          <w:lang w:val="en-US"/>
        </w:rPr>
        <w:lastRenderedPageBreak/>
        <w:t xml:space="preserve">Reference </w:t>
      </w:r>
      <w:r w:rsidR="006E05BE">
        <w:rPr>
          <w:lang w:val="en-US"/>
        </w:rPr>
        <w:t>List</w:t>
      </w:r>
      <w:bookmarkEnd w:id="31"/>
    </w:p>
    <w:p w:rsidR="002F6887" w:rsidP="00384472" w:rsidRDefault="002F6887" w14:paraId="5232E381" w14:textId="53604627">
      <w:r w:rsidRPr="003B05AE">
        <w:t xml:space="preserve">Addy, W.A., Ajayi-Nifise, A.O., Bello, B.G., Tula, S.T., Odeyemi, O. and Falaiye, T., </w:t>
      </w:r>
      <w:r>
        <w:t>(</w:t>
      </w:r>
      <w:r w:rsidRPr="003B05AE">
        <w:t>2024</w:t>
      </w:r>
      <w:r>
        <w:t>)</w:t>
      </w:r>
      <w:r w:rsidRPr="003B05AE">
        <w:t>. Transforming financial planning with AI-driven analysis: A review and application insights. </w:t>
      </w:r>
      <w:r w:rsidRPr="00384472">
        <w:rPr>
          <w:i/>
          <w:iCs/>
        </w:rPr>
        <w:t>World Journal of Advanced Engineering Technology and Sciences</w:t>
      </w:r>
      <w:r w:rsidRPr="003B05AE">
        <w:t>, </w:t>
      </w:r>
      <w:r w:rsidRPr="00384472">
        <w:rPr>
          <w:i/>
          <w:iCs/>
        </w:rPr>
        <w:t>11</w:t>
      </w:r>
      <w:r w:rsidRPr="003B05AE">
        <w:t xml:space="preserve">(1), pp.240-257. </w:t>
      </w:r>
      <w:hyperlink w:history="1" r:id="rId27">
        <w:r w:rsidRPr="002366F2">
          <w:rPr>
            <w:rStyle w:val="Hyperlink"/>
          </w:rPr>
          <w:t>https://www.researchgate.net/profile/Olubusola-Odeyemi/publication/378287614_Transforming_financial_planning_with_AI-driven_analysis_A_review_and_application_insights/links/65d0db5a476dd15fb343ff6b/Transforming-financial-planning-with-AI-driven-analysis-A-review-and-application-insights.pdf</w:t>
        </w:r>
      </w:hyperlink>
    </w:p>
    <w:p w:rsidR="002F6887" w:rsidP="00384472" w:rsidRDefault="002F6887" w14:paraId="054EA0E9" w14:textId="7A078FBA">
      <w:r w:rsidRPr="0012080C">
        <w:t xml:space="preserve">Adewale, T.T., Olorunyomi, T.D. and Odonkor, T.N., </w:t>
      </w:r>
      <w:r>
        <w:t>(</w:t>
      </w:r>
      <w:r w:rsidRPr="0012080C">
        <w:t>2023</w:t>
      </w:r>
      <w:r>
        <w:t>)</w:t>
      </w:r>
      <w:r w:rsidRPr="0012080C">
        <w:t>. Big data-driven financial analysis: A new paradigm for strategic insights and decision-making. </w:t>
      </w:r>
      <w:r w:rsidRPr="00384472">
        <w:rPr>
          <w:i/>
          <w:iCs/>
        </w:rPr>
        <w:t>Journal of Financial Innovation and Analytics</w:t>
      </w:r>
      <w:r w:rsidRPr="0012080C">
        <w:t>, </w:t>
      </w:r>
      <w:r w:rsidRPr="00384472">
        <w:rPr>
          <w:i/>
          <w:iCs/>
        </w:rPr>
        <w:t>1</w:t>
      </w:r>
      <w:r w:rsidRPr="0012080C">
        <w:t xml:space="preserve">(1), pp.1-15. </w:t>
      </w:r>
      <w:hyperlink w:history="1" r:id="rId28">
        <w:r w:rsidRPr="002366F2">
          <w:rPr>
            <w:rStyle w:val="Hyperlink"/>
          </w:rPr>
          <w:t>https://www.researchgate.net/profile/Titilope-Adewale-4/publication/387954497_Corresponding_author_Titilope_Tosin_Adewale_Big_data-driven_financial_analysis_A_new_paradigm_for_strategic_insights_and_decision-_making/links/67848cb13e33dd0be90170ab/Corresponding-author-Titilope-Tosin-Adewale-Big-data-driven-financial-analysis-A-new-paradigm-for-strategic-insights-and-decision-making.pdf</w:t>
        </w:r>
      </w:hyperlink>
    </w:p>
    <w:p w:rsidR="002F6887" w:rsidP="00384472" w:rsidRDefault="002F6887" w14:paraId="347FC457" w14:textId="1C13708C">
      <w:r w:rsidRPr="00666F78">
        <w:t xml:space="preserve">Al-Okaily, M. and Al-Okaily, A., </w:t>
      </w:r>
      <w:r>
        <w:t>(</w:t>
      </w:r>
      <w:r w:rsidRPr="00666F78">
        <w:t>2025</w:t>
      </w:r>
      <w:r>
        <w:t>)</w:t>
      </w:r>
      <w:r w:rsidRPr="00666F78">
        <w:t>. Financial data modeling: an analysis of factors influencing big data analytics-driven financial decision quality. </w:t>
      </w:r>
      <w:r w:rsidRPr="00384472">
        <w:rPr>
          <w:i/>
          <w:iCs/>
        </w:rPr>
        <w:t>Journal of Modelling in Management</w:t>
      </w:r>
      <w:r w:rsidRPr="00666F78">
        <w:t>, </w:t>
      </w:r>
      <w:r w:rsidRPr="00384472">
        <w:rPr>
          <w:i/>
          <w:iCs/>
        </w:rPr>
        <w:t>20</w:t>
      </w:r>
      <w:r w:rsidRPr="00666F78">
        <w:t xml:space="preserve">(2), pp.301-321. </w:t>
      </w:r>
      <w:hyperlink w:history="1" r:id="rId29">
        <w:r w:rsidRPr="002366F2">
          <w:rPr>
            <w:rStyle w:val="Hyperlink"/>
          </w:rPr>
          <w:t>https://www.emerald.com/jm2/article-pdf/20/2/301/9684835/jm2-08-2023-0183.pdf</w:t>
        </w:r>
      </w:hyperlink>
    </w:p>
    <w:p w:rsidR="002F6887" w:rsidP="00384472" w:rsidRDefault="002F6887" w14:paraId="249C1234" w14:textId="6BC67348">
      <w:r w:rsidRPr="0012080C">
        <w:t xml:space="preserve">Bello, O.A., </w:t>
      </w:r>
      <w:r>
        <w:t>(</w:t>
      </w:r>
      <w:r w:rsidRPr="0012080C">
        <w:t>2023</w:t>
      </w:r>
      <w:r>
        <w:t>)</w:t>
      </w:r>
      <w:r w:rsidRPr="0012080C">
        <w:t>. Machine learning algorithms for credit risk assessment: an economic and financial analysis. </w:t>
      </w:r>
      <w:r w:rsidRPr="00384472">
        <w:rPr>
          <w:i/>
          <w:iCs/>
        </w:rPr>
        <w:t>International Journal of Management</w:t>
      </w:r>
      <w:r w:rsidRPr="0012080C">
        <w:t>, </w:t>
      </w:r>
      <w:r w:rsidRPr="00384472">
        <w:rPr>
          <w:i/>
          <w:iCs/>
        </w:rPr>
        <w:t>10</w:t>
      </w:r>
      <w:r w:rsidRPr="0012080C">
        <w:t xml:space="preserve">(1), pp.109-133. </w:t>
      </w:r>
      <w:hyperlink w:history="1" r:id="rId30">
        <w:r w:rsidRPr="002366F2">
          <w:rPr>
            <w:rStyle w:val="Hyperlink"/>
          </w:rPr>
          <w:t>https://www.researchgate.net/profile/Oluwabusayo-Bello/publication/381548370_Citation_Bello_OA_2023_Machine_Learning_Algorithms_for_Credit_Risk_Assessment_An_Economic_and_Financial_Analysis/links/6673622cd21e220d89c09764/Citation-Bello-OA-2023-Machine-Learning-Algorithms-for-Credit-Risk-Assessment-An-Economic-and-Financial-Analysis.pdf</w:t>
        </w:r>
      </w:hyperlink>
    </w:p>
    <w:p w:rsidR="002F6887" w:rsidP="00384472" w:rsidRDefault="002F6887" w14:paraId="12730B24" w14:textId="34D64EED">
      <w:r w:rsidRPr="00A62780">
        <w:lastRenderedPageBreak/>
        <w:t xml:space="preserve">Bi, S., Lian, Y. and Wang, Z., </w:t>
      </w:r>
      <w:r>
        <w:t>(</w:t>
      </w:r>
      <w:r w:rsidRPr="00A62780">
        <w:t>2023</w:t>
      </w:r>
      <w:r>
        <w:t>)</w:t>
      </w:r>
      <w:r w:rsidRPr="00A62780">
        <w:t>, December. Research and design of a financial intelligent risk control platform based on big data analysis and deep machine learning. In </w:t>
      </w:r>
      <w:r w:rsidRPr="00384472">
        <w:rPr>
          <w:i/>
          <w:iCs/>
        </w:rPr>
        <w:t>International Conference on Big Data Analytics for Cyber-Physical System in Smart City</w:t>
      </w:r>
      <w:r w:rsidRPr="00A62780">
        <w:t xml:space="preserve"> (pp. 395-404). Singapore: Springer Nature Singapore. </w:t>
      </w:r>
      <w:hyperlink w:history="1" r:id="rId31">
        <w:r w:rsidRPr="002366F2">
          <w:rPr>
            <w:rStyle w:val="Hyperlink"/>
          </w:rPr>
          <w:t>https://arxiv.org/pdf/2409.10331</w:t>
        </w:r>
      </w:hyperlink>
    </w:p>
    <w:p w:rsidR="002F6887" w:rsidP="00384472" w:rsidRDefault="002F6887" w14:paraId="627F2B09" w14:textId="0C397497">
      <w:r w:rsidRPr="00272D5D">
        <w:t xml:space="preserve">Caldecott, B., McCarten, M., Christiaen, C. and Hickey, C., </w:t>
      </w:r>
      <w:r>
        <w:t>(</w:t>
      </w:r>
      <w:r w:rsidRPr="00272D5D">
        <w:t>2022</w:t>
      </w:r>
      <w:r>
        <w:t>)</w:t>
      </w:r>
      <w:r w:rsidRPr="00272D5D">
        <w:t>. Spatial finance: practical and theoretical contributions to financial analysis. </w:t>
      </w:r>
      <w:r w:rsidRPr="00384472">
        <w:rPr>
          <w:i/>
          <w:iCs/>
        </w:rPr>
        <w:t>Journal of Sustainable Finance &amp; Investment</w:t>
      </w:r>
      <w:r w:rsidRPr="00272D5D">
        <w:t xml:space="preserve">, pp.1-17. </w:t>
      </w:r>
      <w:hyperlink w:history="1" r:id="rId32">
        <w:r w:rsidRPr="002366F2">
          <w:rPr>
            <w:rStyle w:val="Hyperlink"/>
          </w:rPr>
          <w:t>https://www.tandfonline.com/doi/pdf/10.1080/20430795.2022.2153007</w:t>
        </w:r>
      </w:hyperlink>
    </w:p>
    <w:p w:rsidR="002F6887" w:rsidP="00384472" w:rsidRDefault="002F6887" w14:paraId="43A2D2A2" w14:textId="480145B4">
      <w:r w:rsidRPr="006B50DB">
        <w:t xml:space="preserve">Cao, X., </w:t>
      </w:r>
      <w:r>
        <w:t>(</w:t>
      </w:r>
      <w:r w:rsidRPr="006B50DB">
        <w:t>2025</w:t>
      </w:r>
      <w:r>
        <w:t>)</w:t>
      </w:r>
      <w:r w:rsidRPr="006B50DB">
        <w:t>, August. A Comparative Analysis of Financial Performance of Tesla and BYD Based on Financial Statements Ratios. In </w:t>
      </w:r>
      <w:r w:rsidRPr="00384472">
        <w:rPr>
          <w:i/>
          <w:iCs/>
        </w:rPr>
        <w:t>2025 5th International Conference on Enterprise Management and Economic Development (ICEMED 2025)</w:t>
      </w:r>
      <w:r w:rsidRPr="006B50DB">
        <w:t xml:space="preserve"> (pp. 544-559). Atlantis Press. </w:t>
      </w:r>
      <w:hyperlink w:history="1" r:id="rId33">
        <w:r w:rsidRPr="002366F2">
          <w:rPr>
            <w:rStyle w:val="Hyperlink"/>
          </w:rPr>
          <w:t>https://www.atlantis-press.com/article/126014981.pdf</w:t>
        </w:r>
      </w:hyperlink>
    </w:p>
    <w:p w:rsidR="002F6887" w:rsidP="00384472" w:rsidRDefault="002F6887" w14:paraId="58776CF0" w14:textId="541A90C3">
      <w:r w:rsidRPr="00BE29BA">
        <w:t xml:space="preserve">Chakri, P., Pratap, S. and Gouda, S.K., </w:t>
      </w:r>
      <w:r>
        <w:t>(</w:t>
      </w:r>
      <w:r w:rsidRPr="00BE29BA">
        <w:t>2023</w:t>
      </w:r>
      <w:r>
        <w:t>)</w:t>
      </w:r>
      <w:r w:rsidRPr="00BE29BA">
        <w:t>. An exploratory data analysis approach for analyzing financial accounting data using machine learning. </w:t>
      </w:r>
      <w:r w:rsidRPr="00384472">
        <w:rPr>
          <w:i/>
          <w:iCs/>
        </w:rPr>
        <w:t>Decision Analytics Journal</w:t>
      </w:r>
      <w:r w:rsidRPr="00BE29BA">
        <w:t>, </w:t>
      </w:r>
      <w:r w:rsidRPr="00384472">
        <w:rPr>
          <w:i/>
          <w:iCs/>
        </w:rPr>
        <w:t>7</w:t>
      </w:r>
      <w:r w:rsidRPr="00BE29BA">
        <w:t xml:space="preserve">, p.100212. </w:t>
      </w:r>
      <w:hyperlink w:history="1" r:id="rId34">
        <w:r w:rsidRPr="002366F2">
          <w:rPr>
            <w:rStyle w:val="Hyperlink"/>
          </w:rPr>
          <w:t>https://www.sciencedirect.com/science/article/pii/S2772662223000528</w:t>
        </w:r>
      </w:hyperlink>
    </w:p>
    <w:p w:rsidR="002F6887" w:rsidP="00384472" w:rsidRDefault="002F6887" w14:paraId="789B1617" w14:textId="4F1DE9AC">
      <w:r w:rsidRPr="00A43515">
        <w:t xml:space="preserve">Chen, S.L., Li, W. and Liu, Y., </w:t>
      </w:r>
      <w:r>
        <w:t>(</w:t>
      </w:r>
      <w:r w:rsidRPr="00A43515">
        <w:t>2024</w:t>
      </w:r>
      <w:r>
        <w:t>)</w:t>
      </w:r>
      <w:r w:rsidRPr="00A43515">
        <w:t>. Analysis on the development, sales and development of new energy vehicles by BYD Company. </w:t>
      </w:r>
      <w:r w:rsidRPr="00384472">
        <w:rPr>
          <w:i/>
          <w:iCs/>
        </w:rPr>
        <w:t>Highlights in Business, Economics and Management</w:t>
      </w:r>
      <w:r w:rsidRPr="00A43515">
        <w:t>, </w:t>
      </w:r>
      <w:r w:rsidRPr="00384472">
        <w:rPr>
          <w:i/>
          <w:iCs/>
        </w:rPr>
        <w:t>24</w:t>
      </w:r>
      <w:r w:rsidRPr="00A43515">
        <w:t xml:space="preserve">, pp.1660-1666. </w:t>
      </w:r>
      <w:hyperlink w:history="1" r:id="rId35">
        <w:r w:rsidRPr="002366F2">
          <w:rPr>
            <w:rStyle w:val="Hyperlink"/>
          </w:rPr>
          <w:t>https://pdfs.semanticscholar.org/3b20/a54c66619ca590b9504f8d04242430d6b585.pdf</w:t>
        </w:r>
      </w:hyperlink>
    </w:p>
    <w:p w:rsidR="002F6887" w:rsidP="00384472" w:rsidRDefault="002F6887" w14:paraId="70AB6790" w14:textId="40847A41">
      <w:r w:rsidRPr="00A62780">
        <w:t xml:space="preserve">Chen, W., Rabhi, F., Liao, W. and Al-Qudah, I., </w:t>
      </w:r>
      <w:r>
        <w:t>(</w:t>
      </w:r>
      <w:r w:rsidRPr="00A62780">
        <w:t>2023</w:t>
      </w:r>
      <w:r>
        <w:t>)</w:t>
      </w:r>
      <w:r w:rsidRPr="00A62780">
        <w:t>. Leveraging state-of-the-art topic modeling for news impact analysis on financial markets: a comparative study. </w:t>
      </w:r>
      <w:r w:rsidRPr="00384472">
        <w:rPr>
          <w:i/>
          <w:iCs/>
        </w:rPr>
        <w:t>Electronics</w:t>
      </w:r>
      <w:r w:rsidRPr="00A62780">
        <w:t>, </w:t>
      </w:r>
      <w:r w:rsidRPr="00384472">
        <w:rPr>
          <w:i/>
          <w:iCs/>
        </w:rPr>
        <w:t>12</w:t>
      </w:r>
      <w:r w:rsidRPr="00A62780">
        <w:t xml:space="preserve">(12), p.2605. </w:t>
      </w:r>
      <w:hyperlink w:history="1" r:id="rId36">
        <w:r w:rsidRPr="002366F2">
          <w:rPr>
            <w:rStyle w:val="Hyperlink"/>
          </w:rPr>
          <w:t>https://www.mdpi.com/2079-9292/12/12/2605</w:t>
        </w:r>
      </w:hyperlink>
    </w:p>
    <w:p w:rsidR="002F6887" w:rsidP="00384472" w:rsidRDefault="002F6887" w14:paraId="7AB0FF36" w14:textId="4665F4BF">
      <w:r w:rsidRPr="00A43515">
        <w:t xml:space="preserve">Deng, J., </w:t>
      </w:r>
      <w:r>
        <w:t>(</w:t>
      </w:r>
      <w:r w:rsidRPr="00A43515">
        <w:t>2024</w:t>
      </w:r>
      <w:r>
        <w:t>)</w:t>
      </w:r>
      <w:r w:rsidRPr="00A43515">
        <w:t>. Investment Analysis of BYD’s Value in the New Energy Sector. </w:t>
      </w:r>
      <w:r w:rsidRPr="00384472">
        <w:rPr>
          <w:i/>
          <w:iCs/>
        </w:rPr>
        <w:t>carbon</w:t>
      </w:r>
      <w:r w:rsidRPr="00A43515">
        <w:t>, </w:t>
      </w:r>
      <w:r w:rsidRPr="00384472">
        <w:rPr>
          <w:i/>
          <w:iCs/>
        </w:rPr>
        <w:t>39</w:t>
      </w:r>
      <w:r w:rsidRPr="00A43515">
        <w:t xml:space="preserve">. </w:t>
      </w:r>
      <w:hyperlink w:history="1" r:id="rId37">
        <w:r w:rsidRPr="002366F2">
          <w:rPr>
            <w:rStyle w:val="Hyperlink"/>
          </w:rPr>
          <w:t>https://pdfs.semanticscholar.org/d7e4/3e8f32ca594e2de1fe0bab061bb51e85377e.pdf</w:t>
        </w:r>
      </w:hyperlink>
    </w:p>
    <w:p w:rsidR="002F6887" w:rsidP="00384472" w:rsidRDefault="002F6887" w14:paraId="733BBD37" w14:textId="3966BF12">
      <w:r w:rsidRPr="0012080C">
        <w:lastRenderedPageBreak/>
        <w:t xml:space="preserve">Du, K., Xing, F., Mao, R. and Cambria, E., </w:t>
      </w:r>
      <w:r>
        <w:t>(</w:t>
      </w:r>
      <w:r w:rsidRPr="0012080C">
        <w:t>2024</w:t>
      </w:r>
      <w:r>
        <w:t>)</w:t>
      </w:r>
      <w:r w:rsidRPr="0012080C">
        <w:t>. Financial sentiment analysis: Techniques and applications. </w:t>
      </w:r>
      <w:r w:rsidRPr="00384472">
        <w:rPr>
          <w:i/>
          <w:iCs/>
        </w:rPr>
        <w:t>ACM Computing Surveys</w:t>
      </w:r>
      <w:r w:rsidRPr="0012080C">
        <w:t>, </w:t>
      </w:r>
      <w:r w:rsidRPr="00384472">
        <w:rPr>
          <w:i/>
          <w:iCs/>
        </w:rPr>
        <w:t>56</w:t>
      </w:r>
      <w:r w:rsidRPr="0012080C">
        <w:t xml:space="preserve">(9), pp.1-42. </w:t>
      </w:r>
      <w:hyperlink w:history="1" r:id="rId38">
        <w:r w:rsidRPr="002366F2">
          <w:rPr>
            <w:rStyle w:val="Hyperlink"/>
          </w:rPr>
          <w:t>https://dl.acm.org/doi/pdf/10.1145/3649451</w:t>
        </w:r>
      </w:hyperlink>
    </w:p>
    <w:p w:rsidR="002F6887" w:rsidP="00384472" w:rsidRDefault="002F6887" w14:paraId="55D6D7E5" w14:textId="291ED19B">
      <w:r w:rsidRPr="00666F78">
        <w:t xml:space="preserve">Gatla, T.R., </w:t>
      </w:r>
      <w:r>
        <w:t>(</w:t>
      </w:r>
      <w:r w:rsidRPr="00666F78">
        <w:t>2024</w:t>
      </w:r>
      <w:r>
        <w:t>)</w:t>
      </w:r>
      <w:r w:rsidRPr="00666F78">
        <w:t>. Anovel approach to decoding financial markets: The emergence of AI in financial modeling. </w:t>
      </w:r>
      <w:r w:rsidRPr="00384472">
        <w:rPr>
          <w:i/>
          <w:iCs/>
        </w:rPr>
        <w:t>International Journal of Advanced Research and Interdisciplinary Scientific Endeavours</w:t>
      </w:r>
      <w:r w:rsidRPr="00666F78">
        <w:t>, </w:t>
      </w:r>
      <w:r w:rsidRPr="00384472">
        <w:rPr>
          <w:i/>
          <w:iCs/>
        </w:rPr>
        <w:t>1</w:t>
      </w:r>
      <w:r w:rsidRPr="00666F78">
        <w:t>(1)</w:t>
      </w:r>
      <w:r>
        <w:t xml:space="preserve">, pp.23-34. </w:t>
      </w:r>
      <w:hyperlink w:history="1" r:id="rId39">
        <w:r w:rsidRPr="002366F2">
          <w:rPr>
            <w:rStyle w:val="Hyperlink"/>
          </w:rPr>
          <w:t>https://www.researchgate.net/profile/Teja-Gatla/publication/380732376_A_NOVEL_APPROACH_TO_DECODING_FINANCIAL_MARKETS_THE_EMERGENCE_OF_AIIN_FINANCIAL_MODELING/links/664c259322a7f16b4f3e8d88/A-NOVEL-APPROACH-TO-DECODING-FINANCIAL-MARKETS-THE-EMERGENCE-OF-AIIN-FINANCIAL-MODELING.pdf</w:t>
        </w:r>
      </w:hyperlink>
    </w:p>
    <w:p w:rsidR="002F6887" w:rsidP="00384472" w:rsidRDefault="002F6887" w14:paraId="2E256234" w14:textId="316C445A">
      <w:r w:rsidRPr="00B73622">
        <w:t xml:space="preserve">Huang, H., </w:t>
      </w:r>
      <w:r w:rsidR="00B86E39">
        <w:t>(</w:t>
      </w:r>
      <w:r w:rsidRPr="00B73622">
        <w:t>2022</w:t>
      </w:r>
      <w:r w:rsidR="00B86E39">
        <w:t>)</w:t>
      </w:r>
      <w:r w:rsidRPr="00B73622">
        <w:t>, December. Investment analysis of BYD: A new energy vehicle enterprise. In </w:t>
      </w:r>
      <w:r w:rsidRPr="00384472">
        <w:rPr>
          <w:i/>
          <w:iCs/>
        </w:rPr>
        <w:t>2022 2nd International Conference on Economic Development and Business Culture (ICEDBC 2022)</w:t>
      </w:r>
      <w:r w:rsidRPr="00B73622">
        <w:t xml:space="preserve"> (pp. 71-76). Atlantis Press. </w:t>
      </w:r>
      <w:hyperlink w:history="1" r:id="rId40">
        <w:r w:rsidRPr="002366F2">
          <w:rPr>
            <w:rStyle w:val="Hyperlink"/>
          </w:rPr>
          <w:t>https://www.atlantis-press.com/article/125983767.pdf</w:t>
        </w:r>
      </w:hyperlink>
    </w:p>
    <w:p w:rsidR="002F6887" w:rsidP="00384472" w:rsidRDefault="002F6887" w14:paraId="6B3541F3" w14:textId="3EE6AF1C">
      <w:r w:rsidRPr="00BE29BA">
        <w:t xml:space="preserve">Iacovides, G., Konstantinidis, T., Xu, M. and Mandic, D., </w:t>
      </w:r>
      <w:r w:rsidR="007E6AD4">
        <w:t>(</w:t>
      </w:r>
      <w:r w:rsidRPr="00BE29BA">
        <w:t>2024</w:t>
      </w:r>
      <w:r w:rsidR="007E6AD4">
        <w:t>)</w:t>
      </w:r>
      <w:r w:rsidRPr="00BE29BA">
        <w:t>, November. Finllama: Llm-based financial sentiment analysis for algorithmic trading. In </w:t>
      </w:r>
      <w:r w:rsidRPr="00384472">
        <w:rPr>
          <w:i/>
          <w:iCs/>
        </w:rPr>
        <w:t>Proceedings of the 5th ACM International Conference on AI in Finance</w:t>
      </w:r>
      <w:r w:rsidRPr="00BE29BA">
        <w:t xml:space="preserve"> (pp. 134-141). </w:t>
      </w:r>
      <w:hyperlink w:history="1" r:id="rId41">
        <w:r w:rsidRPr="002366F2">
          <w:rPr>
            <w:rStyle w:val="Hyperlink"/>
          </w:rPr>
          <w:t>https://dl.acm.org/doi/pdf/10.1145/3677052.3698696</w:t>
        </w:r>
      </w:hyperlink>
    </w:p>
    <w:p w:rsidR="002F6887" w:rsidP="00384472" w:rsidRDefault="002F6887" w14:paraId="752FF80B" w14:textId="3D4491A6">
      <w:r w:rsidRPr="0008359A">
        <w:t xml:space="preserve">Issa, A., </w:t>
      </w:r>
      <w:r w:rsidR="007E6AD4">
        <w:t>(</w:t>
      </w:r>
      <w:r w:rsidRPr="0008359A">
        <w:t>2024</w:t>
      </w:r>
      <w:r w:rsidR="007E6AD4">
        <w:t>)</w:t>
      </w:r>
      <w:r w:rsidRPr="0008359A">
        <w:t>. Do emissions reduction initiatives improve financial performance? Empirical analysis of moderating factors. </w:t>
      </w:r>
      <w:r w:rsidRPr="00384472">
        <w:rPr>
          <w:i/>
          <w:iCs/>
        </w:rPr>
        <w:t>International Journal of Accounting &amp; Information Management</w:t>
      </w:r>
      <w:r w:rsidRPr="0008359A">
        <w:t>, </w:t>
      </w:r>
      <w:r w:rsidRPr="00384472">
        <w:rPr>
          <w:i/>
          <w:iCs/>
        </w:rPr>
        <w:t>32</w:t>
      </w:r>
      <w:r w:rsidRPr="0008359A">
        <w:t xml:space="preserve">(2), pp.228-257. </w:t>
      </w:r>
      <w:hyperlink w:history="1" r:id="rId42">
        <w:r w:rsidRPr="002366F2">
          <w:rPr>
            <w:rStyle w:val="Hyperlink"/>
          </w:rPr>
          <w:t>https://www.emerald.com/ijaim/article-pdf/32/2/228/9525628/ijaim-04-2023-0107.pdf</w:t>
        </w:r>
      </w:hyperlink>
    </w:p>
    <w:p w:rsidR="002F6887" w:rsidP="00384472" w:rsidRDefault="002F6887" w14:paraId="4C4BA612" w14:textId="78154154">
      <w:r w:rsidRPr="003B05AE">
        <w:t xml:space="preserve">Jackson, A.B., </w:t>
      </w:r>
      <w:r w:rsidR="007E6AD4">
        <w:t>(</w:t>
      </w:r>
      <w:r w:rsidRPr="003B05AE">
        <w:t>2022</w:t>
      </w:r>
      <w:r w:rsidR="007E6AD4">
        <w:t>)</w:t>
      </w:r>
      <w:r w:rsidRPr="003B05AE">
        <w:t>. Financial statement analysis: a review and current issues. </w:t>
      </w:r>
      <w:r w:rsidRPr="00384472">
        <w:rPr>
          <w:i/>
          <w:iCs/>
        </w:rPr>
        <w:t>China Finance Review International</w:t>
      </w:r>
      <w:r w:rsidRPr="003B05AE">
        <w:t>, </w:t>
      </w:r>
      <w:r w:rsidRPr="00384472">
        <w:rPr>
          <w:i/>
          <w:iCs/>
        </w:rPr>
        <w:t>12</w:t>
      </w:r>
      <w:r w:rsidRPr="003B05AE">
        <w:t xml:space="preserve">(1), pp.1-19. </w:t>
      </w:r>
      <w:hyperlink w:history="1" r:id="rId43">
        <w:r w:rsidRPr="002366F2">
          <w:rPr>
            <w:rStyle w:val="Hyperlink"/>
          </w:rPr>
          <w:t>https://www.emerald.com/cfri/article-pdf/12/1/1/3310823/cfri-10-2021-0208.pdf</w:t>
        </w:r>
      </w:hyperlink>
    </w:p>
    <w:p w:rsidR="002F6887" w:rsidP="00384472" w:rsidRDefault="002F6887" w14:paraId="0D2EE5EC" w14:textId="38060FEF">
      <w:r w:rsidRPr="0008359A">
        <w:t xml:space="preserve">Kumar, R., </w:t>
      </w:r>
      <w:r w:rsidR="007E6AD4">
        <w:t>(</w:t>
      </w:r>
      <w:r w:rsidRPr="0008359A">
        <w:t>2025</w:t>
      </w:r>
      <w:r w:rsidR="007E6AD4">
        <w:t>)</w:t>
      </w:r>
      <w:r w:rsidRPr="0008359A">
        <w:t>. Global trends and research patterns in financial literacy and behavior: A bibliometric analysis. </w:t>
      </w:r>
      <w:r w:rsidRPr="00384472">
        <w:rPr>
          <w:i/>
          <w:iCs/>
        </w:rPr>
        <w:t>Management science advances</w:t>
      </w:r>
      <w:r w:rsidRPr="0008359A">
        <w:t>, </w:t>
      </w:r>
      <w:r w:rsidRPr="00384472">
        <w:rPr>
          <w:i/>
          <w:iCs/>
        </w:rPr>
        <w:t>2</w:t>
      </w:r>
      <w:r w:rsidRPr="0008359A">
        <w:t xml:space="preserve">(1), pp.1-18. </w:t>
      </w:r>
      <w:hyperlink w:history="1" r:id="rId44">
        <w:r w:rsidRPr="002366F2">
          <w:rPr>
            <w:rStyle w:val="Hyperlink"/>
          </w:rPr>
          <w:t>https://msa-journal.org/journal/article/download/6/4</w:t>
        </w:r>
      </w:hyperlink>
      <w:r>
        <w:t xml:space="preserve"> </w:t>
      </w:r>
    </w:p>
    <w:p w:rsidR="002F6887" w:rsidP="00384472" w:rsidRDefault="002F6887" w14:paraId="5B3738FE" w14:textId="655F1D98">
      <w:r w:rsidRPr="002972AE">
        <w:lastRenderedPageBreak/>
        <w:t xml:space="preserve">Lai, Y., Li, D., Luo, Y. and Wu, G., </w:t>
      </w:r>
      <w:r w:rsidR="00291D41">
        <w:t>(</w:t>
      </w:r>
      <w:r w:rsidRPr="002972AE">
        <w:t>2023</w:t>
      </w:r>
      <w:r w:rsidR="00291D41">
        <w:t>)</w:t>
      </w:r>
      <w:r w:rsidRPr="002972AE">
        <w:t>. Analysis of enterprise valuation and future development trends of BYD Company. </w:t>
      </w:r>
      <w:r w:rsidRPr="00384472">
        <w:rPr>
          <w:i/>
          <w:iCs/>
        </w:rPr>
        <w:t>Journal Name</w:t>
      </w:r>
      <w:r w:rsidRPr="002972AE">
        <w:t>, </w:t>
      </w:r>
      <w:r w:rsidRPr="00384472">
        <w:rPr>
          <w:i/>
          <w:iCs/>
        </w:rPr>
        <w:t>1</w:t>
      </w:r>
      <w:r w:rsidRPr="002972AE">
        <w:t xml:space="preserve">, pp.440-449. </w:t>
      </w:r>
      <w:hyperlink w:history="1" r:id="rId45">
        <w:r w:rsidRPr="002366F2">
          <w:rPr>
            <w:rStyle w:val="Hyperlink"/>
          </w:rPr>
          <w:t>https://pdfs.semanticscholar.org/4296/1625becbb0198511bc0648c262eb513c7414.pdf</w:t>
        </w:r>
      </w:hyperlink>
    </w:p>
    <w:p w:rsidR="002F6887" w:rsidP="00384472" w:rsidRDefault="002F6887" w14:paraId="70925332" w14:textId="373EED9E">
      <w:r w:rsidRPr="0012080C">
        <w:t xml:space="preserve">Li, X., Li, Z., Shi, C., Xu, Y., Du, Q., Tan, M. and Huang, J., </w:t>
      </w:r>
      <w:r w:rsidR="00291D41">
        <w:t>(</w:t>
      </w:r>
      <w:r w:rsidRPr="0012080C">
        <w:t>2024</w:t>
      </w:r>
      <w:r w:rsidR="00291D41">
        <w:t>)</w:t>
      </w:r>
      <w:r w:rsidRPr="0012080C">
        <w:t>, May. Alphafin: Benchmarking financial analysis with retrieval-augmented stock-chain framework. In </w:t>
      </w:r>
      <w:r w:rsidRPr="00384472">
        <w:rPr>
          <w:i/>
          <w:iCs/>
        </w:rPr>
        <w:t>Proceedings of the 2024 joint international conference on computational linguistics, language resources and evaluation (LREC-COLING 2024)</w:t>
      </w:r>
      <w:r w:rsidRPr="0012080C">
        <w:t xml:space="preserve"> (pp. 773-783). </w:t>
      </w:r>
      <w:hyperlink w:history="1" r:id="rId46">
        <w:r w:rsidRPr="002366F2">
          <w:rPr>
            <w:rStyle w:val="Hyperlink"/>
          </w:rPr>
          <w:t>https://aclanthology.org/2024.lrec-main.69.pdf</w:t>
        </w:r>
      </w:hyperlink>
    </w:p>
    <w:p w:rsidR="002F6887" w:rsidP="00384472" w:rsidRDefault="002F6887" w14:paraId="388E86B9" w14:textId="77777777">
      <w:r w:rsidRPr="006B50DB">
        <w:t xml:space="preserve">Lin, S., </w:t>
      </w:r>
      <w:r>
        <w:t>(</w:t>
      </w:r>
      <w:r w:rsidRPr="006B50DB">
        <w:t>2023</w:t>
      </w:r>
      <w:r>
        <w:t>)</w:t>
      </w:r>
      <w:r w:rsidRPr="006B50DB">
        <w:t>. Financial Report Analysis of BYD Corporation. </w:t>
      </w:r>
      <w:r w:rsidRPr="00384472">
        <w:rPr>
          <w:i/>
          <w:iCs/>
        </w:rPr>
        <w:t>Ratio (times)</w:t>
      </w:r>
      <w:r w:rsidRPr="006B50DB">
        <w:t>, </w:t>
      </w:r>
      <w:r w:rsidRPr="00384472">
        <w:rPr>
          <w:i/>
          <w:iCs/>
        </w:rPr>
        <w:t>2</w:t>
      </w:r>
      <w:r w:rsidRPr="006B50DB">
        <w:t xml:space="preserve">(2.98), pp.3-71. </w:t>
      </w:r>
      <w:hyperlink w:history="1" r:id="rId47">
        <w:r w:rsidRPr="002366F2">
          <w:rPr>
            <w:rStyle w:val="Hyperlink"/>
          </w:rPr>
          <w:t>https://pdfs.semanticscholar.org/aec7/f384a7beea87e9205eb72f0e63d5a671166c.pdf</w:t>
        </w:r>
      </w:hyperlink>
    </w:p>
    <w:p w:rsidR="002F6887" w:rsidP="00384472" w:rsidRDefault="002F6887" w14:paraId="4ED32DDD" w14:textId="0AD4A0B3">
      <w:r w:rsidRPr="003B05AE">
        <w:t xml:space="preserve">Liu, C., Arulappan, A., Naha, R., Mahanti, A., Kamruzzaman, J. and Ra, I.H., </w:t>
      </w:r>
      <w:r w:rsidR="00291D41">
        <w:t>(</w:t>
      </w:r>
      <w:r w:rsidRPr="003B05AE">
        <w:t>2024</w:t>
      </w:r>
      <w:r w:rsidR="00291D41">
        <w:t>)</w:t>
      </w:r>
      <w:r w:rsidRPr="003B05AE">
        <w:t>. Large language models and sentiment analysis in financial markets: a review, datasets, and case study. </w:t>
      </w:r>
      <w:r w:rsidRPr="00384472">
        <w:rPr>
          <w:i/>
          <w:iCs/>
        </w:rPr>
        <w:t>Ieee Access</w:t>
      </w:r>
      <w:r w:rsidRPr="003B05AE">
        <w:t>, </w:t>
      </w:r>
      <w:r w:rsidRPr="00384472">
        <w:rPr>
          <w:i/>
          <w:iCs/>
        </w:rPr>
        <w:t>12</w:t>
      </w:r>
      <w:r w:rsidRPr="003B05AE">
        <w:t xml:space="preserve">, pp.134041-134061. </w:t>
      </w:r>
      <w:hyperlink w:history="1" r:id="rId48">
        <w:r w:rsidRPr="002366F2">
          <w:rPr>
            <w:rStyle w:val="Hyperlink"/>
          </w:rPr>
          <w:t>https://ieeexplore.ieee.org/iel8/6287639/6514899/10638546.pdf</w:t>
        </w:r>
      </w:hyperlink>
    </w:p>
    <w:p w:rsidR="002F6887" w:rsidP="00384472" w:rsidRDefault="002F6887" w14:paraId="16935C24" w14:textId="59486990">
      <w:r w:rsidRPr="00A2116C">
        <w:t xml:space="preserve">Lou, J., </w:t>
      </w:r>
      <w:r w:rsidR="008A385B">
        <w:t>(</w:t>
      </w:r>
      <w:r w:rsidRPr="00A2116C">
        <w:t>2025</w:t>
      </w:r>
      <w:r w:rsidR="008A385B">
        <w:t>)</w:t>
      </w:r>
      <w:r w:rsidRPr="00A2116C">
        <w:t>, August. Comparable Analysis in Company Valuation: A case. In </w:t>
      </w:r>
      <w:r w:rsidRPr="00384472">
        <w:rPr>
          <w:i/>
          <w:iCs/>
        </w:rPr>
        <w:t>Proceedings of the 2025 5th International Conference on Enterprise Management and Economic Development (ICEMED 2025)</w:t>
      </w:r>
      <w:r w:rsidRPr="00A2116C">
        <w:t xml:space="preserve"> (p. 79). Springer Nature. </w:t>
      </w:r>
      <w:hyperlink w:history="1" r:id="rId49">
        <w:r w:rsidRPr="002366F2">
          <w:rPr>
            <w:rStyle w:val="Hyperlink"/>
          </w:rPr>
          <w:t>https://www.atlantis-press.com/article/126015012.pdf</w:t>
        </w:r>
      </w:hyperlink>
      <w:r>
        <w:t xml:space="preserve"> </w:t>
      </w:r>
    </w:p>
    <w:p w:rsidR="002F6887" w:rsidP="00384472" w:rsidRDefault="002F6887" w14:paraId="2E42974A" w14:textId="7914532A">
      <w:r w:rsidRPr="003B05AE">
        <w:t xml:space="preserve">Mastilo, Z., Štilić, A., Gligović, D. and Puška, A., </w:t>
      </w:r>
      <w:r w:rsidR="008A385B">
        <w:t>(</w:t>
      </w:r>
      <w:r w:rsidRPr="003B05AE">
        <w:t>2024</w:t>
      </w:r>
      <w:r w:rsidR="008A385B">
        <w:t>)</w:t>
      </w:r>
      <w:r w:rsidRPr="003B05AE">
        <w:t>. Assessing the banking sector of Bosnia and Herzegovina: An analysis of financial indicators through the MEREC and MARCOS methods. </w:t>
      </w:r>
      <w:r w:rsidRPr="00384472">
        <w:rPr>
          <w:i/>
          <w:iCs/>
        </w:rPr>
        <w:t>Journal of Central Banking Theory and Practice</w:t>
      </w:r>
      <w:r w:rsidRPr="003B05AE">
        <w:t>, </w:t>
      </w:r>
      <w:r w:rsidRPr="00384472">
        <w:rPr>
          <w:i/>
          <w:iCs/>
        </w:rPr>
        <w:t>13</w:t>
      </w:r>
      <w:r w:rsidRPr="003B05AE">
        <w:t xml:space="preserve">(1), pp.167-197. </w:t>
      </w:r>
      <w:hyperlink w:history="1" r:id="rId50">
        <w:r w:rsidRPr="002366F2">
          <w:rPr>
            <w:rStyle w:val="Hyperlink"/>
          </w:rPr>
          <w:t>https://sciendo.com/2/v2/download/article/10.2478/jcbtp-2024-0008.pdf</w:t>
        </w:r>
      </w:hyperlink>
    </w:p>
    <w:p w:rsidR="002F6887" w:rsidP="00384472" w:rsidRDefault="002F6887" w14:paraId="4BB2ACED" w14:textId="4D0BEFC9">
      <w:r w:rsidRPr="00A62780">
        <w:t xml:space="preserve">Memiş, E., Akarkamçı, H., Yeniad, M., Rahebi, J. and Lopez-Guede, J.M., </w:t>
      </w:r>
      <w:r w:rsidR="008A385B">
        <w:t>(</w:t>
      </w:r>
      <w:r w:rsidRPr="00A62780">
        <w:t>2024</w:t>
      </w:r>
      <w:r w:rsidR="008A385B">
        <w:t>)</w:t>
      </w:r>
      <w:r w:rsidRPr="00A62780">
        <w:t>. Comparative study for sentiment analysis of financial tweets with deep learning methods. </w:t>
      </w:r>
      <w:r w:rsidRPr="00384472">
        <w:rPr>
          <w:i/>
          <w:iCs/>
        </w:rPr>
        <w:t>Applied Sciences</w:t>
      </w:r>
      <w:r w:rsidRPr="00A62780">
        <w:t>, </w:t>
      </w:r>
      <w:r w:rsidRPr="00384472">
        <w:rPr>
          <w:i/>
          <w:iCs/>
        </w:rPr>
        <w:t>14</w:t>
      </w:r>
      <w:r w:rsidRPr="00A62780">
        <w:t xml:space="preserve">(2), p.588. </w:t>
      </w:r>
      <w:hyperlink w:history="1" r:id="rId51">
        <w:r w:rsidRPr="002366F2">
          <w:rPr>
            <w:rStyle w:val="Hyperlink"/>
          </w:rPr>
          <w:t>https://www.mdpi.com/2076-3417/14/2/588</w:t>
        </w:r>
      </w:hyperlink>
    </w:p>
    <w:p w:rsidR="002F6887" w:rsidP="00384472" w:rsidRDefault="002F6887" w14:paraId="20A0DF09" w14:textId="7C1A89AE">
      <w:r w:rsidRPr="004F5D3D">
        <w:lastRenderedPageBreak/>
        <w:t xml:space="preserve">Meng, J., </w:t>
      </w:r>
      <w:r w:rsidR="008A385B">
        <w:t>(</w:t>
      </w:r>
      <w:r w:rsidRPr="004F5D3D">
        <w:t>2025</w:t>
      </w:r>
      <w:r w:rsidR="008A385B">
        <w:t>)</w:t>
      </w:r>
      <w:r w:rsidRPr="004F5D3D">
        <w:t>. A Brief Discussion on Accounts Receivable Management—Based on BYD Auto. </w:t>
      </w:r>
      <w:r w:rsidRPr="00384472">
        <w:rPr>
          <w:i/>
          <w:iCs/>
        </w:rPr>
        <w:t>Journal of Business and Economic Research</w:t>
      </w:r>
      <w:r w:rsidRPr="004F5D3D">
        <w:t>, </w:t>
      </w:r>
      <w:r w:rsidRPr="00384472">
        <w:rPr>
          <w:i/>
          <w:iCs/>
        </w:rPr>
        <w:t>1</w:t>
      </w:r>
      <w:r w:rsidRPr="004F5D3D">
        <w:t xml:space="preserve">(9). </w:t>
      </w:r>
      <w:hyperlink w:history="1" r:id="rId52">
        <w:r w:rsidRPr="002366F2">
          <w:rPr>
            <w:rStyle w:val="Hyperlink"/>
          </w:rPr>
          <w:t>https://www.sci-open.net/index.php/JBER/article/download/7614/9707</w:t>
        </w:r>
      </w:hyperlink>
    </w:p>
    <w:p w:rsidR="002F6887" w:rsidP="00384472" w:rsidRDefault="002F6887" w14:paraId="56991510" w14:textId="05E9F75D">
      <w:r w:rsidRPr="00666F78">
        <w:t xml:space="preserve">Olowe, K.J., Edoh, N.L., Zouo, S.J.C. and Olamijuwon, J., </w:t>
      </w:r>
      <w:r w:rsidR="008A385B">
        <w:t>(</w:t>
      </w:r>
      <w:r w:rsidRPr="00666F78">
        <w:t>2024</w:t>
      </w:r>
      <w:r w:rsidR="008A385B">
        <w:t>)</w:t>
      </w:r>
      <w:r w:rsidRPr="00666F78">
        <w:t>. Review of predictive modeling and machine learning applications in financial service analysis. </w:t>
      </w:r>
      <w:r w:rsidRPr="00384472">
        <w:rPr>
          <w:i/>
          <w:iCs/>
        </w:rPr>
        <w:t>Computer Science &amp; IT Research Journal</w:t>
      </w:r>
      <w:r w:rsidRPr="00666F78">
        <w:t>, </w:t>
      </w:r>
      <w:r w:rsidRPr="00384472">
        <w:rPr>
          <w:i/>
          <w:iCs/>
        </w:rPr>
        <w:t>5</w:t>
      </w:r>
      <w:r w:rsidRPr="00666F78">
        <w:t xml:space="preserve">(11), pp.2609-2626. </w:t>
      </w:r>
      <w:hyperlink w:history="1" r:id="rId53">
        <w:r w:rsidRPr="002366F2">
          <w:rPr>
            <w:rStyle w:val="Hyperlink"/>
          </w:rPr>
          <w:t>https://www.researchgate.net/profile/Jeremiah-Olamijuwon/publication/386422838_Review_of_predictive_modeling_and_machine_learning_applications_in_financial_service_analysis/links/67509585876bd177783c047e/Review-of-predictive-modeling-and-machine-learning-applications-in-financial-service-analysis.pdf</w:t>
        </w:r>
      </w:hyperlink>
    </w:p>
    <w:p w:rsidR="002F6887" w:rsidP="00384472" w:rsidRDefault="002F6887" w14:paraId="49C9FAE0" w14:textId="13DF69AD">
      <w:r w:rsidRPr="002972AE">
        <w:t xml:space="preserve">Qiu, Y., Zhang, K. and Zong, Y., </w:t>
      </w:r>
      <w:r w:rsidR="008A385B">
        <w:t>(20</w:t>
      </w:r>
      <w:r w:rsidRPr="002972AE">
        <w:t>22</w:t>
      </w:r>
      <w:r w:rsidR="008A385B">
        <w:t>)</w:t>
      </w:r>
      <w:r w:rsidRPr="002972AE">
        <w:t>, December. The Market Analysis for BYD. In </w:t>
      </w:r>
      <w:r w:rsidRPr="00384472">
        <w:rPr>
          <w:i/>
          <w:iCs/>
        </w:rPr>
        <w:t>2022 2nd International Conference on Financial Management and Economic Transition (FMET 2022)</w:t>
      </w:r>
      <w:r w:rsidRPr="002972AE">
        <w:t xml:space="preserve"> (pp. 246-256). Atlantis Press. </w:t>
      </w:r>
      <w:hyperlink w:history="1" r:id="rId54">
        <w:r w:rsidRPr="002366F2">
          <w:rPr>
            <w:rStyle w:val="Hyperlink"/>
          </w:rPr>
          <w:t>https://www.atlantis-press.com/article/125978362.pdf</w:t>
        </w:r>
      </w:hyperlink>
    </w:p>
    <w:p w:rsidR="002F6887" w:rsidP="00384472" w:rsidRDefault="002F6887" w14:paraId="64AA4B13" w14:textId="69078EB3">
      <w:r w:rsidRPr="004F5D3D">
        <w:t xml:space="preserve">Qudrat-Ullah, H., </w:t>
      </w:r>
      <w:r w:rsidR="008A385B">
        <w:t>(</w:t>
      </w:r>
      <w:r w:rsidRPr="004F5D3D">
        <w:t>2022</w:t>
      </w:r>
      <w:r w:rsidR="008A385B">
        <w:t>)</w:t>
      </w:r>
      <w:r w:rsidRPr="004F5D3D">
        <w:t>. Adoption and growth of fuel cell vehicles in China: the case of BYD. </w:t>
      </w:r>
      <w:r w:rsidRPr="00384472">
        <w:rPr>
          <w:i/>
          <w:iCs/>
        </w:rPr>
        <w:t>Sustainability</w:t>
      </w:r>
      <w:r w:rsidRPr="004F5D3D">
        <w:t>, </w:t>
      </w:r>
      <w:r w:rsidRPr="00384472">
        <w:rPr>
          <w:i/>
          <w:iCs/>
        </w:rPr>
        <w:t>14</w:t>
      </w:r>
      <w:r w:rsidRPr="004F5D3D">
        <w:t xml:space="preserve">(19), p.12695. </w:t>
      </w:r>
      <w:hyperlink w:history="1" r:id="rId55">
        <w:r w:rsidRPr="002366F2">
          <w:rPr>
            <w:rStyle w:val="Hyperlink"/>
          </w:rPr>
          <w:t>https://www.mdpi.com/2071-1050/14/19/12695</w:t>
        </w:r>
      </w:hyperlink>
    </w:p>
    <w:p w:rsidR="002F6887" w:rsidP="00384472" w:rsidRDefault="002F6887" w14:paraId="740F00B9" w14:textId="77777777">
      <w:r w:rsidRPr="00384472">
        <w:rPr>
          <w:lang w:val="nl-NL"/>
        </w:rPr>
        <w:t xml:space="preserve">Richter, F., (2025). </w:t>
      </w:r>
      <w:r w:rsidRPr="00384472">
        <w:rPr>
          <w:i/>
          <w:iCs/>
        </w:rPr>
        <w:t xml:space="preserve">BYD's New Energy Revolution. </w:t>
      </w:r>
      <w:r>
        <w:t xml:space="preserve">Available at: </w:t>
      </w:r>
      <w:hyperlink w:history="1" r:id="rId56">
        <w:r w:rsidRPr="002366F2">
          <w:rPr>
            <w:rStyle w:val="Hyperlink"/>
          </w:rPr>
          <w:t>https://www.statista.com/chart/30754/byd-passenger-car-sales/?srsltid=AfmBOorcQdy1Y5crngpglggzL1S6dpXrf8oTbOV57q3Pbx5DiIRrEBkW</w:t>
        </w:r>
      </w:hyperlink>
      <w:r w:rsidRPr="005B07D1">
        <w:t xml:space="preserve"> </w:t>
      </w:r>
      <w:r>
        <w:t xml:space="preserve">[Accessed at: 18.04.2026] </w:t>
      </w:r>
    </w:p>
    <w:p w:rsidR="002F6887" w:rsidP="00384472" w:rsidRDefault="002F6887" w14:paraId="7E9BBDD4" w14:textId="5B6DB317">
      <w:r w:rsidRPr="00BE29BA">
        <w:t xml:space="preserve">Schroeder, R.G., Clark, M.W. and Cathey, J.M., </w:t>
      </w:r>
      <w:r w:rsidR="008A385B">
        <w:t>(</w:t>
      </w:r>
      <w:r w:rsidRPr="00BE29BA">
        <w:t>2022</w:t>
      </w:r>
      <w:r w:rsidR="008A385B">
        <w:t>)</w:t>
      </w:r>
      <w:r w:rsidRPr="00BE29BA">
        <w:t>. </w:t>
      </w:r>
      <w:r w:rsidRPr="00384472">
        <w:rPr>
          <w:i/>
          <w:iCs/>
        </w:rPr>
        <w:t>Financial accounting theory and analysis: text and cases</w:t>
      </w:r>
      <w:r w:rsidRPr="00BE29BA">
        <w:t>. John Wiley &amp; Sons.</w:t>
      </w:r>
    </w:p>
    <w:p w:rsidR="002F6887" w:rsidP="00384472" w:rsidRDefault="002F6887" w14:paraId="37CE5B56" w14:textId="0CA342AA">
      <w:r w:rsidRPr="00A43515">
        <w:t xml:space="preserve">Wang, H., He, H. and Yang, N., </w:t>
      </w:r>
      <w:r w:rsidR="009B014F">
        <w:t>(</w:t>
      </w:r>
      <w:r w:rsidRPr="00A43515">
        <w:t>2024</w:t>
      </w:r>
      <w:r w:rsidR="009B014F">
        <w:t>)</w:t>
      </w:r>
      <w:r w:rsidRPr="00A43515">
        <w:t>. Analysis of financing issues and strategies for BYD New Energy Vehicle Company. </w:t>
      </w:r>
      <w:r w:rsidRPr="00384472">
        <w:rPr>
          <w:i/>
          <w:iCs/>
        </w:rPr>
        <w:t>Academic Journal of Business &amp; Management</w:t>
      </w:r>
      <w:r w:rsidRPr="00A43515">
        <w:t>, </w:t>
      </w:r>
      <w:r w:rsidRPr="00384472">
        <w:rPr>
          <w:i/>
          <w:iCs/>
        </w:rPr>
        <w:t>6</w:t>
      </w:r>
      <w:r w:rsidRPr="00A43515">
        <w:t xml:space="preserve">(10), pp.19-24. </w:t>
      </w:r>
      <w:hyperlink w:history="1" r:id="rId57">
        <w:r w:rsidRPr="002366F2">
          <w:rPr>
            <w:rStyle w:val="Hyperlink"/>
          </w:rPr>
          <w:t>https://francis-press.com/uploads/papers/Hjei7duhTER36s9QtE6L5q1nxIRuoPDX2FCxbqb9.pdf</w:t>
        </w:r>
      </w:hyperlink>
    </w:p>
    <w:p w:rsidR="002F6887" w:rsidP="00384472" w:rsidRDefault="002F6887" w14:paraId="0292CCAF" w14:textId="5B26CCDC">
      <w:r w:rsidRPr="00B60520">
        <w:lastRenderedPageBreak/>
        <w:t xml:space="preserve">Wang, J. and Wang, Y., </w:t>
      </w:r>
      <w:r w:rsidR="009B014F">
        <w:t>(</w:t>
      </w:r>
      <w:r w:rsidRPr="00B60520">
        <w:t>2025</w:t>
      </w:r>
      <w:r w:rsidR="009B014F">
        <w:t>)</w:t>
      </w:r>
      <w:r w:rsidRPr="00B60520">
        <w:t>. A Study on Operating Capital Management Problems and Countermeasures of BYD Company Based on Channel Management. </w:t>
      </w:r>
      <w:r w:rsidRPr="00384472">
        <w:rPr>
          <w:i/>
          <w:iCs/>
        </w:rPr>
        <w:t>The Development of Humanities and Social Sciences</w:t>
      </w:r>
      <w:r w:rsidRPr="00B60520">
        <w:t>, </w:t>
      </w:r>
      <w:r w:rsidRPr="00384472">
        <w:rPr>
          <w:i/>
          <w:iCs/>
        </w:rPr>
        <w:t>1</w:t>
      </w:r>
      <w:r w:rsidRPr="00B60520">
        <w:t>(3), pp.1-14.</w:t>
      </w:r>
      <w:r w:rsidRPr="0056199D">
        <w:t xml:space="preserve"> </w:t>
      </w:r>
      <w:hyperlink w:history="1" r:id="rId58">
        <w:r w:rsidRPr="002366F2">
          <w:rPr>
            <w:rStyle w:val="Hyperlink"/>
          </w:rPr>
          <w:t>https://dhss.cscholar.com/article/download/1000224/163</w:t>
        </w:r>
      </w:hyperlink>
    </w:p>
    <w:p w:rsidR="002F6887" w:rsidP="00384472" w:rsidRDefault="002F6887" w14:paraId="54C31244" w14:textId="311DEC91">
      <w:r w:rsidRPr="00272D5D">
        <w:t xml:space="preserve">Wang, J., Ding, W. and Zhu, X., </w:t>
      </w:r>
      <w:r w:rsidR="009B014F">
        <w:t>(</w:t>
      </w:r>
      <w:r w:rsidRPr="00272D5D">
        <w:t>2025</w:t>
      </w:r>
      <w:r w:rsidR="009B014F">
        <w:t>)</w:t>
      </w:r>
      <w:r w:rsidRPr="00272D5D">
        <w:t>. Financial analysis: Intelligent financial data analysis system based on llm-rag. </w:t>
      </w:r>
      <w:r w:rsidRPr="00384472">
        <w:rPr>
          <w:i/>
          <w:iCs/>
        </w:rPr>
        <w:t>arXiv preprint arXiv:2504.06279</w:t>
      </w:r>
      <w:r w:rsidRPr="00272D5D">
        <w:t>.</w:t>
      </w:r>
      <w:r w:rsidRPr="0012080C">
        <w:t xml:space="preserve"> </w:t>
      </w:r>
      <w:hyperlink w:history="1" r:id="rId59">
        <w:r w:rsidRPr="002366F2">
          <w:rPr>
            <w:rStyle w:val="Hyperlink"/>
          </w:rPr>
          <w:t>https://arxiv.org/pdf/2504.06279</w:t>
        </w:r>
      </w:hyperlink>
    </w:p>
    <w:p w:rsidR="002F6887" w:rsidP="00384472" w:rsidRDefault="002F6887" w14:paraId="5AA0997D" w14:textId="77777777">
      <w:r w:rsidRPr="006B50DB">
        <w:t xml:space="preserve">Xin, W., </w:t>
      </w:r>
      <w:r>
        <w:t>(</w:t>
      </w:r>
      <w:r w:rsidRPr="006B50DB">
        <w:t>2024</w:t>
      </w:r>
      <w:r>
        <w:t>)</w:t>
      </w:r>
      <w:r w:rsidRPr="006B50DB">
        <w:t>. Financial Statement Analysis Processes According Financial Statement Performance of BYD Co., Ltd in China. </w:t>
      </w:r>
      <w:r w:rsidRPr="00384472">
        <w:rPr>
          <w:i/>
          <w:iCs/>
        </w:rPr>
        <w:t>Asian Journal of Technology &amp; Management Research (AJTMR) ISSN</w:t>
      </w:r>
      <w:r w:rsidRPr="006B50DB">
        <w:t>, </w:t>
      </w:r>
      <w:r w:rsidRPr="00384472">
        <w:rPr>
          <w:i/>
          <w:iCs/>
        </w:rPr>
        <w:t>2249</w:t>
      </w:r>
      <w:r w:rsidRPr="006B50DB">
        <w:t xml:space="preserve">(0892). </w:t>
      </w:r>
      <w:hyperlink w:history="1" r:id="rId60">
        <w:r w:rsidRPr="002366F2">
          <w:rPr>
            <w:rStyle w:val="Hyperlink"/>
          </w:rPr>
          <w:t>https://ajtmr.com/papers/Vol14Issue1/Vol14Issue1P31.pdf</w:t>
        </w:r>
      </w:hyperlink>
    </w:p>
    <w:p w:rsidR="002F6887" w:rsidP="00384472" w:rsidRDefault="002F6887" w14:paraId="5E2D38A2" w14:textId="5C32AD2E">
      <w:r w:rsidRPr="002972AE">
        <w:t xml:space="preserve">Yan, X. and Zhou, Q., </w:t>
      </w:r>
      <w:r w:rsidR="00CF52CC">
        <w:t>(</w:t>
      </w:r>
      <w:r w:rsidRPr="002972AE">
        <w:t>2022</w:t>
      </w:r>
      <w:r w:rsidR="00CF52CC">
        <w:t>)</w:t>
      </w:r>
      <w:r w:rsidRPr="002972AE">
        <w:t>. Research on Financial Development Capability of Listed Companies Based on Multiple Regression Model——Take BYD as an Example. </w:t>
      </w:r>
      <w:r w:rsidRPr="00384472">
        <w:rPr>
          <w:i/>
          <w:iCs/>
        </w:rPr>
        <w:t>Academic Journal of Business &amp; Management</w:t>
      </w:r>
      <w:r w:rsidRPr="002972AE">
        <w:t>, </w:t>
      </w:r>
      <w:r w:rsidRPr="00384472">
        <w:rPr>
          <w:i/>
          <w:iCs/>
        </w:rPr>
        <w:t>4</w:t>
      </w:r>
      <w:r w:rsidRPr="002972AE">
        <w:t xml:space="preserve">(11), pp.47-56. </w:t>
      </w:r>
      <w:hyperlink w:history="1" r:id="rId61">
        <w:r w:rsidRPr="002366F2">
          <w:rPr>
            <w:rStyle w:val="Hyperlink"/>
          </w:rPr>
          <w:t>https://www.francis-press.com/uploads/papers/9GMjGzMYvCQOZuwLnKRvHAlcwhUS6joBMehWjdnf.pdf</w:t>
        </w:r>
      </w:hyperlink>
    </w:p>
    <w:p w:rsidR="002F6887" w:rsidP="00384472" w:rsidRDefault="002F6887" w14:paraId="07E29218" w14:textId="414C7F27">
      <w:r w:rsidRPr="00B73622">
        <w:t xml:space="preserve">Yao, H., </w:t>
      </w:r>
      <w:r w:rsidR="00CF52CC">
        <w:t>(</w:t>
      </w:r>
      <w:r w:rsidRPr="00B73622">
        <w:t>2025</w:t>
      </w:r>
      <w:r w:rsidR="00CF52CC">
        <w:t>)</w:t>
      </w:r>
      <w:r w:rsidRPr="00B73622">
        <w:t>. Analysis of Corporate Financing Behavior Based on Pecking Order Theory: Evidence from BYD. </w:t>
      </w:r>
      <w:r w:rsidRPr="00384472">
        <w:rPr>
          <w:i/>
          <w:iCs/>
        </w:rPr>
        <w:t>Journal of Education, Humanities and Social Sciences</w:t>
      </w:r>
      <w:r w:rsidRPr="00B73622">
        <w:t>, </w:t>
      </w:r>
      <w:r w:rsidRPr="00384472">
        <w:rPr>
          <w:i/>
          <w:iCs/>
        </w:rPr>
        <w:t>61</w:t>
      </w:r>
      <w:r w:rsidRPr="00B73622">
        <w:t xml:space="preserve">, pp.172-177. </w:t>
      </w:r>
      <w:hyperlink w:history="1" r:id="rId62">
        <w:r w:rsidRPr="002366F2">
          <w:rPr>
            <w:rStyle w:val="Hyperlink"/>
          </w:rPr>
          <w:t>http://drpehss.com/index.php/ojs/article/download/28/27</w:t>
        </w:r>
      </w:hyperlink>
    </w:p>
    <w:p w:rsidR="002F6887" w:rsidP="00384472" w:rsidRDefault="002F6887" w14:paraId="1A0B6422" w14:textId="359B1078">
      <w:r w:rsidRPr="00A43515">
        <w:t xml:space="preserve">Zhang, S., </w:t>
      </w:r>
      <w:r w:rsidR="00CF52CC">
        <w:t>(</w:t>
      </w:r>
      <w:r w:rsidRPr="00A43515">
        <w:t>2025</w:t>
      </w:r>
      <w:r w:rsidR="00CF52CC">
        <w:t>)</w:t>
      </w:r>
      <w:r w:rsidRPr="00A43515">
        <w:t>. Research on financial risk assessment of company based on fuzzy hierarchy analysis method. </w:t>
      </w:r>
      <w:r w:rsidRPr="00384472">
        <w:rPr>
          <w:i/>
          <w:iCs/>
        </w:rPr>
        <w:t>Advances in Operation Research and Production Management</w:t>
      </w:r>
      <w:r w:rsidRPr="00A43515">
        <w:t>, </w:t>
      </w:r>
      <w:r w:rsidRPr="00384472">
        <w:rPr>
          <w:i/>
          <w:iCs/>
        </w:rPr>
        <w:t>4</w:t>
      </w:r>
      <w:r w:rsidRPr="00A43515">
        <w:t>(1), pp.49-60.</w:t>
      </w:r>
      <w:r w:rsidRPr="00A90AF6">
        <w:t xml:space="preserve"> </w:t>
      </w:r>
      <w:hyperlink w:history="1" r:id="rId63">
        <w:r w:rsidRPr="002366F2">
          <w:rPr>
            <w:rStyle w:val="Hyperlink"/>
          </w:rPr>
          <w:t>https://aorpm.ewapub.com/article/view/22393.pdf</w:t>
        </w:r>
      </w:hyperlink>
      <w:r>
        <w:t xml:space="preserve"> </w:t>
      </w:r>
    </w:p>
    <w:p w:rsidR="002F6887" w:rsidP="00384472" w:rsidRDefault="002F6887" w14:paraId="420D35C8" w14:textId="77777777">
      <w:r w:rsidRPr="00272D5D">
        <w:t>Zhou, S., 2024. A Research on BYD's Investment Strategy in the New Energy Vehicle Industry. </w:t>
      </w:r>
      <w:r w:rsidRPr="00384472">
        <w:rPr>
          <w:i/>
          <w:iCs/>
        </w:rPr>
        <w:t>Journal of Statistics and Economics (ISSN: 3005-5733)</w:t>
      </w:r>
      <w:r w:rsidRPr="00272D5D">
        <w:t>, </w:t>
      </w:r>
      <w:r w:rsidRPr="00384472">
        <w:rPr>
          <w:i/>
          <w:iCs/>
        </w:rPr>
        <w:t>1</w:t>
      </w:r>
      <w:r w:rsidRPr="00272D5D">
        <w:t xml:space="preserve">(2), p.77. </w:t>
      </w:r>
      <w:hyperlink w:history="1" r:id="rId64">
        <w:r w:rsidRPr="002366F2">
          <w:rPr>
            <w:rStyle w:val="Hyperlink"/>
          </w:rPr>
          <w:t>http://www.stemmpress.com/uploadfile/202402/804572a583b71cd.pdf</w:t>
        </w:r>
      </w:hyperlink>
    </w:p>
    <w:p w:rsidRPr="005B07D1" w:rsidR="00D27484" w:rsidP="006E05BE" w:rsidRDefault="002F6887" w14:paraId="7E9ED177" w14:textId="254A4EDA">
      <w:r w:rsidRPr="0056199D">
        <w:t>Zhu, L., 2025. Analysis of Technological Innovation and Competitive Advantage in New Energy Vehicle Industry: BYD as an Example. In </w:t>
      </w:r>
      <w:r w:rsidRPr="00384472">
        <w:rPr>
          <w:i/>
          <w:iCs/>
        </w:rPr>
        <w:t>SHS Web of Conferences</w:t>
      </w:r>
      <w:r w:rsidRPr="0056199D">
        <w:t xml:space="preserve"> (Vol. </w:t>
      </w:r>
      <w:r w:rsidRPr="0056199D">
        <w:lastRenderedPageBreak/>
        <w:t xml:space="preserve">218, p. 01031). EDP Sciences. </w:t>
      </w:r>
      <w:hyperlink w:history="1" r:id="rId65">
        <w:r w:rsidRPr="002366F2">
          <w:rPr>
            <w:rStyle w:val="Hyperlink"/>
          </w:rPr>
          <w:t>https://www.shs-conferences.org/articles/shsconf/pdf/2025/09/shsconf_icdde2025_01031.pdf</w:t>
        </w:r>
      </w:hyperlink>
      <w:r w:rsidRPr="005B07D1" w:rsidR="00D27484">
        <w:br w:type="page"/>
      </w:r>
    </w:p>
    <w:p w:rsidR="00D27484" w:rsidP="00330E6C" w:rsidRDefault="00D27484" w14:paraId="607066EE" w14:textId="626DB1C9">
      <w:pPr>
        <w:pStyle w:val="Heading1"/>
        <w:rPr>
          <w:lang w:val="en-US"/>
        </w:rPr>
      </w:pPr>
      <w:bookmarkStart w:name="_Toc227448969" w:id="32"/>
      <w:r>
        <w:rPr>
          <w:lang w:val="en-US"/>
        </w:rPr>
        <w:lastRenderedPageBreak/>
        <w:t>Appendices</w:t>
      </w:r>
      <w:bookmarkEnd w:id="32"/>
    </w:p>
    <w:p w:rsidR="00D27484" w:rsidP="00330E6C" w:rsidRDefault="00D27484" w14:paraId="38B8C375" w14:textId="7D272970">
      <w:pPr>
        <w:pStyle w:val="Heading2"/>
        <w:rPr>
          <w:lang w:val="en-US"/>
        </w:rPr>
      </w:pPr>
      <w:bookmarkStart w:name="_Toc227448970" w:id="33"/>
      <w:r>
        <w:rPr>
          <w:lang w:val="en-US"/>
        </w:rPr>
        <w:t xml:space="preserve">Appendix 1: </w:t>
      </w:r>
      <w:r w:rsidR="00330E6C">
        <w:rPr>
          <w:lang w:val="en-US"/>
        </w:rPr>
        <w:t>Ratio tables and graphs</w:t>
      </w:r>
      <w:bookmarkEnd w:id="33"/>
    </w:p>
    <w:p w:rsidR="007A1A73" w:rsidP="007A1A73" w:rsidRDefault="007A1A73" w14:paraId="1DE5B77E" w14:textId="0BD26682">
      <w:pPr>
        <w:jc w:val="center"/>
        <w:rPr>
          <w:lang w:val="en-US"/>
        </w:rPr>
      </w:pPr>
      <w:r w:rsidRPr="007A1A73">
        <w:rPr>
          <w:noProof/>
          <w:lang w:val="en-US"/>
        </w:rPr>
        <w:drawing>
          <wp:inline distT="0" distB="0" distL="0" distR="0" wp14:anchorId="21B34ADE" wp14:editId="764BDE9E">
            <wp:extent cx="2267266" cy="1371791"/>
            <wp:effectExtent l="0" t="0" r="0" b="0"/>
            <wp:docPr id="1300071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71090" name=""/>
                    <pic:cNvPicPr/>
                  </pic:nvPicPr>
                  <pic:blipFill>
                    <a:blip r:embed="rId66"/>
                    <a:stretch>
                      <a:fillRect/>
                    </a:stretch>
                  </pic:blipFill>
                  <pic:spPr>
                    <a:xfrm>
                      <a:off x="0" y="0"/>
                      <a:ext cx="2267266" cy="1371791"/>
                    </a:xfrm>
                    <a:prstGeom prst="rect">
                      <a:avLst/>
                    </a:prstGeom>
                  </pic:spPr>
                </pic:pic>
              </a:graphicData>
            </a:graphic>
          </wp:inline>
        </w:drawing>
      </w:r>
    </w:p>
    <w:p w:rsidR="007A1A73" w:rsidP="007A1A73" w:rsidRDefault="007A1A73" w14:paraId="6DCD4196" w14:textId="556CE671">
      <w:pPr>
        <w:jc w:val="center"/>
        <w:rPr>
          <w:lang w:val="en-US"/>
        </w:rPr>
      </w:pPr>
      <w:r>
        <w:rPr>
          <w:noProof/>
        </w:rPr>
        <w:drawing>
          <wp:inline distT="0" distB="0" distL="0" distR="0" wp14:anchorId="4DD1577D" wp14:editId="4326A761">
            <wp:extent cx="5334000" cy="2743200"/>
            <wp:effectExtent l="0" t="0" r="0" b="0"/>
            <wp:docPr id="270735799" name="Chart 1">
              <a:extLst xmlns:a="http://schemas.openxmlformats.org/drawingml/2006/main">
                <a:ext uri="{FF2B5EF4-FFF2-40B4-BE49-F238E27FC236}">
                  <a16:creationId xmlns:a16="http://schemas.microsoft.com/office/drawing/2014/main" id="{1407126D-3616-266F-498A-6C2B2A206B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rsidR="007A1A73" w:rsidP="007A1A73" w:rsidRDefault="00CD635A" w14:paraId="25EB6FDF" w14:textId="2EB7A8ED">
      <w:pPr>
        <w:jc w:val="center"/>
        <w:rPr>
          <w:lang w:val="en-US"/>
        </w:rPr>
      </w:pPr>
      <w:r w:rsidRPr="00CD635A">
        <w:rPr>
          <w:noProof/>
          <w:lang w:val="en-US"/>
        </w:rPr>
        <w:drawing>
          <wp:inline distT="0" distB="0" distL="0" distR="0" wp14:anchorId="56D84DA9" wp14:editId="432823C3">
            <wp:extent cx="2324424" cy="1390844"/>
            <wp:effectExtent l="0" t="0" r="0" b="0"/>
            <wp:docPr id="1159298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298379" name=""/>
                    <pic:cNvPicPr/>
                  </pic:nvPicPr>
                  <pic:blipFill>
                    <a:blip r:embed="rId68"/>
                    <a:stretch>
                      <a:fillRect/>
                    </a:stretch>
                  </pic:blipFill>
                  <pic:spPr>
                    <a:xfrm>
                      <a:off x="0" y="0"/>
                      <a:ext cx="2324424" cy="1390844"/>
                    </a:xfrm>
                    <a:prstGeom prst="rect">
                      <a:avLst/>
                    </a:prstGeom>
                  </pic:spPr>
                </pic:pic>
              </a:graphicData>
            </a:graphic>
          </wp:inline>
        </w:drawing>
      </w:r>
    </w:p>
    <w:p w:rsidR="00CD635A" w:rsidP="007A1A73" w:rsidRDefault="00CD635A" w14:paraId="30453798" w14:textId="31E6326D">
      <w:pPr>
        <w:jc w:val="center"/>
        <w:rPr>
          <w:lang w:val="en-US"/>
        </w:rPr>
      </w:pPr>
      <w:r>
        <w:rPr>
          <w:noProof/>
        </w:rPr>
        <w:lastRenderedPageBreak/>
        <w:drawing>
          <wp:inline distT="0" distB="0" distL="0" distR="0" wp14:anchorId="672941C2" wp14:editId="34CC983A">
            <wp:extent cx="5334000" cy="2743200"/>
            <wp:effectExtent l="0" t="0" r="0" b="0"/>
            <wp:docPr id="1290080773" name="Chart 1">
              <a:extLst xmlns:a="http://schemas.openxmlformats.org/drawingml/2006/main">
                <a:ext uri="{FF2B5EF4-FFF2-40B4-BE49-F238E27FC236}">
                  <a16:creationId xmlns:a16="http://schemas.microsoft.com/office/drawing/2014/main" id="{EC4A07BC-39A8-640A-0711-BEB757BA5E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rsidR="00CD635A" w:rsidP="007A1A73" w:rsidRDefault="00CD635A" w14:paraId="6189993A" w14:textId="05FD1C05">
      <w:pPr>
        <w:jc w:val="center"/>
        <w:rPr>
          <w:lang w:val="en-US"/>
        </w:rPr>
      </w:pPr>
      <w:r w:rsidRPr="00CD635A">
        <w:rPr>
          <w:noProof/>
          <w:lang w:val="en-US"/>
        </w:rPr>
        <w:drawing>
          <wp:inline distT="0" distB="0" distL="0" distR="0" wp14:anchorId="5A28AAE8" wp14:editId="65315DDF">
            <wp:extent cx="2286319" cy="1343212"/>
            <wp:effectExtent l="0" t="0" r="0" b="9525"/>
            <wp:docPr id="1312267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67170" name=""/>
                    <pic:cNvPicPr/>
                  </pic:nvPicPr>
                  <pic:blipFill>
                    <a:blip r:embed="rId70"/>
                    <a:stretch>
                      <a:fillRect/>
                    </a:stretch>
                  </pic:blipFill>
                  <pic:spPr>
                    <a:xfrm>
                      <a:off x="0" y="0"/>
                      <a:ext cx="2286319" cy="1343212"/>
                    </a:xfrm>
                    <a:prstGeom prst="rect">
                      <a:avLst/>
                    </a:prstGeom>
                  </pic:spPr>
                </pic:pic>
              </a:graphicData>
            </a:graphic>
          </wp:inline>
        </w:drawing>
      </w:r>
    </w:p>
    <w:p w:rsidR="00CD635A" w:rsidP="007A1A73" w:rsidRDefault="00CD635A" w14:paraId="23707F7F" w14:textId="01550D51">
      <w:pPr>
        <w:jc w:val="center"/>
        <w:rPr>
          <w:lang w:val="en-US"/>
        </w:rPr>
      </w:pPr>
      <w:r>
        <w:rPr>
          <w:noProof/>
        </w:rPr>
        <w:drawing>
          <wp:inline distT="0" distB="0" distL="0" distR="0" wp14:anchorId="36EC95BF" wp14:editId="2D399881">
            <wp:extent cx="5334000" cy="2743200"/>
            <wp:effectExtent l="0" t="0" r="0" b="0"/>
            <wp:docPr id="439478032" name="Chart 1">
              <a:extLst xmlns:a="http://schemas.openxmlformats.org/drawingml/2006/main">
                <a:ext uri="{FF2B5EF4-FFF2-40B4-BE49-F238E27FC236}">
                  <a16:creationId xmlns:a16="http://schemas.microsoft.com/office/drawing/2014/main" id="{B3C5E41D-89EB-F35E-94BD-0F76611137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rsidR="005A3B24" w:rsidP="007A1A73" w:rsidRDefault="005A3B24" w14:paraId="531C7C8B" w14:textId="382E8B8A">
      <w:pPr>
        <w:jc w:val="center"/>
        <w:rPr>
          <w:lang w:val="en-US"/>
        </w:rPr>
      </w:pPr>
      <w:r w:rsidRPr="005A3B24">
        <w:rPr>
          <w:noProof/>
          <w:lang w:val="en-US"/>
        </w:rPr>
        <w:lastRenderedPageBreak/>
        <w:drawing>
          <wp:inline distT="0" distB="0" distL="0" distR="0" wp14:anchorId="6CABF357" wp14:editId="1BA33204">
            <wp:extent cx="2314898" cy="1362265"/>
            <wp:effectExtent l="0" t="0" r="9525" b="9525"/>
            <wp:docPr id="569294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294295" name=""/>
                    <pic:cNvPicPr/>
                  </pic:nvPicPr>
                  <pic:blipFill>
                    <a:blip r:embed="rId72"/>
                    <a:stretch>
                      <a:fillRect/>
                    </a:stretch>
                  </pic:blipFill>
                  <pic:spPr>
                    <a:xfrm>
                      <a:off x="0" y="0"/>
                      <a:ext cx="2314898" cy="1362265"/>
                    </a:xfrm>
                    <a:prstGeom prst="rect">
                      <a:avLst/>
                    </a:prstGeom>
                  </pic:spPr>
                </pic:pic>
              </a:graphicData>
            </a:graphic>
          </wp:inline>
        </w:drawing>
      </w:r>
    </w:p>
    <w:p w:rsidR="005A3B24" w:rsidP="007A1A73" w:rsidRDefault="005A3B24" w14:paraId="661CD156" w14:textId="7A3DA0DE">
      <w:pPr>
        <w:jc w:val="center"/>
        <w:rPr>
          <w:lang w:val="en-US"/>
        </w:rPr>
      </w:pPr>
      <w:r>
        <w:rPr>
          <w:noProof/>
        </w:rPr>
        <w:drawing>
          <wp:inline distT="0" distB="0" distL="0" distR="0" wp14:anchorId="29516753" wp14:editId="32F5AC9A">
            <wp:extent cx="5334000" cy="2743200"/>
            <wp:effectExtent l="0" t="0" r="0" b="0"/>
            <wp:docPr id="398136263" name="Chart 1">
              <a:extLst xmlns:a="http://schemas.openxmlformats.org/drawingml/2006/main">
                <a:ext uri="{FF2B5EF4-FFF2-40B4-BE49-F238E27FC236}">
                  <a16:creationId xmlns:a16="http://schemas.microsoft.com/office/drawing/2014/main" id="{73325545-F6C3-281B-8AD4-ED6BE87E43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rsidR="005A3B24" w:rsidP="007A1A73" w:rsidRDefault="005A3B24" w14:paraId="24AF8EAF" w14:textId="3878E223">
      <w:pPr>
        <w:jc w:val="center"/>
        <w:rPr>
          <w:noProof/>
        </w:rPr>
      </w:pPr>
      <w:r w:rsidRPr="005A3B24">
        <w:rPr>
          <w:noProof/>
          <w:lang w:val="en-US"/>
        </w:rPr>
        <w:drawing>
          <wp:inline distT="0" distB="0" distL="0" distR="0" wp14:anchorId="4BA100ED" wp14:editId="7AAD541E">
            <wp:extent cx="2295845" cy="1419423"/>
            <wp:effectExtent l="0" t="0" r="9525" b="9525"/>
            <wp:docPr id="82169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698848" name=""/>
                    <pic:cNvPicPr/>
                  </pic:nvPicPr>
                  <pic:blipFill>
                    <a:blip r:embed="rId74"/>
                    <a:stretch>
                      <a:fillRect/>
                    </a:stretch>
                  </pic:blipFill>
                  <pic:spPr>
                    <a:xfrm>
                      <a:off x="0" y="0"/>
                      <a:ext cx="2295845" cy="1419423"/>
                    </a:xfrm>
                    <a:prstGeom prst="rect">
                      <a:avLst/>
                    </a:prstGeom>
                  </pic:spPr>
                </pic:pic>
              </a:graphicData>
            </a:graphic>
          </wp:inline>
        </w:drawing>
      </w:r>
      <w:r w:rsidRPr="005A3B24">
        <w:rPr>
          <w:noProof/>
        </w:rPr>
        <w:t xml:space="preserve"> </w:t>
      </w:r>
      <w:r>
        <w:rPr>
          <w:noProof/>
        </w:rPr>
        <w:drawing>
          <wp:inline distT="0" distB="0" distL="0" distR="0" wp14:anchorId="6A052FBC" wp14:editId="64054019">
            <wp:extent cx="5334000" cy="2743200"/>
            <wp:effectExtent l="0" t="0" r="0" b="0"/>
            <wp:docPr id="1105002154" name="Chart 1">
              <a:extLst xmlns:a="http://schemas.openxmlformats.org/drawingml/2006/main">
                <a:ext uri="{FF2B5EF4-FFF2-40B4-BE49-F238E27FC236}">
                  <a16:creationId xmlns:a16="http://schemas.microsoft.com/office/drawing/2014/main" id="{EDDB08FE-8C4F-0519-3D7C-98C38100F6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rsidR="005A3B24" w:rsidP="007A1A73" w:rsidRDefault="00107006" w14:paraId="3DD9EEF9" w14:textId="61B8E647">
      <w:pPr>
        <w:jc w:val="center"/>
        <w:rPr>
          <w:lang w:val="en-US"/>
        </w:rPr>
      </w:pPr>
      <w:r w:rsidRPr="00107006">
        <w:rPr>
          <w:noProof/>
          <w:lang w:val="en-US"/>
        </w:rPr>
        <w:lastRenderedPageBreak/>
        <w:drawing>
          <wp:inline distT="0" distB="0" distL="0" distR="0" wp14:anchorId="0D670E7C" wp14:editId="45A3529C">
            <wp:extent cx="2238687" cy="1381318"/>
            <wp:effectExtent l="0" t="0" r="0" b="9525"/>
            <wp:docPr id="1111732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32379" name=""/>
                    <pic:cNvPicPr/>
                  </pic:nvPicPr>
                  <pic:blipFill>
                    <a:blip r:embed="rId76"/>
                    <a:stretch>
                      <a:fillRect/>
                    </a:stretch>
                  </pic:blipFill>
                  <pic:spPr>
                    <a:xfrm>
                      <a:off x="0" y="0"/>
                      <a:ext cx="2238687" cy="1381318"/>
                    </a:xfrm>
                    <a:prstGeom prst="rect">
                      <a:avLst/>
                    </a:prstGeom>
                  </pic:spPr>
                </pic:pic>
              </a:graphicData>
            </a:graphic>
          </wp:inline>
        </w:drawing>
      </w:r>
    </w:p>
    <w:p w:rsidR="00107006" w:rsidP="007A1A73" w:rsidRDefault="00107006" w14:paraId="4620ED78" w14:textId="3E66B64A">
      <w:pPr>
        <w:jc w:val="center"/>
        <w:rPr>
          <w:lang w:val="en-US"/>
        </w:rPr>
      </w:pPr>
      <w:r>
        <w:rPr>
          <w:noProof/>
        </w:rPr>
        <w:drawing>
          <wp:inline distT="0" distB="0" distL="0" distR="0" wp14:anchorId="056C024A" wp14:editId="1BA07659">
            <wp:extent cx="5248275" cy="2743200"/>
            <wp:effectExtent l="0" t="0" r="9525" b="0"/>
            <wp:docPr id="979002533" name="Chart 1">
              <a:extLst xmlns:a="http://schemas.openxmlformats.org/drawingml/2006/main">
                <a:ext uri="{FF2B5EF4-FFF2-40B4-BE49-F238E27FC236}">
                  <a16:creationId xmlns:a16="http://schemas.microsoft.com/office/drawing/2014/main" id="{08EA64A1-B57E-5C46-EEEE-8839931C5F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rsidR="00107006" w:rsidP="007A1A73" w:rsidRDefault="00107006" w14:paraId="7F4053A6" w14:textId="1DAE06A3">
      <w:pPr>
        <w:jc w:val="center"/>
        <w:rPr>
          <w:lang w:val="en-US"/>
        </w:rPr>
      </w:pPr>
      <w:r w:rsidRPr="00107006">
        <w:rPr>
          <w:noProof/>
          <w:lang w:val="en-US"/>
        </w:rPr>
        <w:drawing>
          <wp:inline distT="0" distB="0" distL="0" distR="0" wp14:anchorId="3841500A" wp14:editId="3CA86BA5">
            <wp:extent cx="2276793" cy="1371791"/>
            <wp:effectExtent l="0" t="0" r="9525" b="0"/>
            <wp:docPr id="159174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41560" name=""/>
                    <pic:cNvPicPr/>
                  </pic:nvPicPr>
                  <pic:blipFill>
                    <a:blip r:embed="rId78"/>
                    <a:stretch>
                      <a:fillRect/>
                    </a:stretch>
                  </pic:blipFill>
                  <pic:spPr>
                    <a:xfrm>
                      <a:off x="0" y="0"/>
                      <a:ext cx="2276793" cy="1371791"/>
                    </a:xfrm>
                    <a:prstGeom prst="rect">
                      <a:avLst/>
                    </a:prstGeom>
                  </pic:spPr>
                </pic:pic>
              </a:graphicData>
            </a:graphic>
          </wp:inline>
        </w:drawing>
      </w:r>
    </w:p>
    <w:p w:rsidR="00107006" w:rsidP="007A1A73" w:rsidRDefault="00107006" w14:paraId="582EB0B5" w14:textId="0115472B">
      <w:pPr>
        <w:jc w:val="center"/>
        <w:rPr>
          <w:lang w:val="en-US"/>
        </w:rPr>
      </w:pPr>
      <w:r>
        <w:rPr>
          <w:noProof/>
        </w:rPr>
        <w:lastRenderedPageBreak/>
        <w:drawing>
          <wp:inline distT="0" distB="0" distL="0" distR="0" wp14:anchorId="2857FEEF" wp14:editId="52DBE726">
            <wp:extent cx="5248275" cy="2743200"/>
            <wp:effectExtent l="0" t="0" r="9525" b="0"/>
            <wp:docPr id="653931578" name="Chart 1">
              <a:extLst xmlns:a="http://schemas.openxmlformats.org/drawingml/2006/main">
                <a:ext uri="{FF2B5EF4-FFF2-40B4-BE49-F238E27FC236}">
                  <a16:creationId xmlns:a16="http://schemas.microsoft.com/office/drawing/2014/main" id="{6878C89A-A5DB-6C26-FDB0-7835FBBF86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rsidR="000F1131" w:rsidP="007A1A73" w:rsidRDefault="000F1131" w14:paraId="58D1A82A" w14:textId="5A17B397">
      <w:pPr>
        <w:jc w:val="center"/>
        <w:rPr>
          <w:lang w:val="en-US"/>
        </w:rPr>
      </w:pPr>
      <w:r w:rsidRPr="000F1131">
        <w:rPr>
          <w:noProof/>
          <w:lang w:val="en-US"/>
        </w:rPr>
        <w:drawing>
          <wp:inline distT="0" distB="0" distL="0" distR="0" wp14:anchorId="5A519A6B" wp14:editId="079DF0AA">
            <wp:extent cx="4944165" cy="1257475"/>
            <wp:effectExtent l="0" t="0" r="8890" b="0"/>
            <wp:docPr id="1375027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027547" name=""/>
                    <pic:cNvPicPr/>
                  </pic:nvPicPr>
                  <pic:blipFill>
                    <a:blip r:embed="rId80"/>
                    <a:stretch>
                      <a:fillRect/>
                    </a:stretch>
                  </pic:blipFill>
                  <pic:spPr>
                    <a:xfrm>
                      <a:off x="0" y="0"/>
                      <a:ext cx="4944165" cy="1257475"/>
                    </a:xfrm>
                    <a:prstGeom prst="rect">
                      <a:avLst/>
                    </a:prstGeom>
                  </pic:spPr>
                </pic:pic>
              </a:graphicData>
            </a:graphic>
          </wp:inline>
        </w:drawing>
      </w:r>
    </w:p>
    <w:p w:rsidRPr="007A1A73" w:rsidR="000F1131" w:rsidP="007A1A73" w:rsidRDefault="000F1131" w14:paraId="452D36FD" w14:textId="1F36466D">
      <w:pPr>
        <w:jc w:val="center"/>
        <w:rPr>
          <w:lang w:val="en-US"/>
        </w:rPr>
      </w:pPr>
      <w:r>
        <w:rPr>
          <w:noProof/>
        </w:rPr>
        <w:drawing>
          <wp:inline distT="0" distB="0" distL="0" distR="0" wp14:anchorId="00389114" wp14:editId="152258B3">
            <wp:extent cx="5176838" cy="3209925"/>
            <wp:effectExtent l="0" t="0" r="5080" b="9525"/>
            <wp:docPr id="1799258129" name="Chart 1">
              <a:extLst xmlns:a="http://schemas.openxmlformats.org/drawingml/2006/main">
                <a:ext uri="{FF2B5EF4-FFF2-40B4-BE49-F238E27FC236}">
                  <a16:creationId xmlns:a16="http://schemas.microsoft.com/office/drawing/2014/main" id="{4D0D8C95-B638-1093-E9C0-B4569C3D0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rsidRPr="00CA659F" w:rsidR="00CA659F" w:rsidP="00CA659F" w:rsidRDefault="00CA659F" w14:paraId="77FC5D90" w14:textId="77777777">
      <w:pPr>
        <w:rPr>
          <w:lang w:val="en-US"/>
        </w:rPr>
      </w:pPr>
    </w:p>
    <w:p w:rsidR="00FC7A5E" w:rsidRDefault="00FC7A5E" w14:paraId="6B9E290A" w14:textId="77777777">
      <w:pPr>
        <w:spacing w:after="160" w:line="259" w:lineRule="auto"/>
        <w:jc w:val="left"/>
        <w:rPr>
          <w:rFonts w:eastAsiaTheme="majorEastAsia" w:cstheme="majorBidi"/>
          <w:b/>
          <w:sz w:val="26"/>
          <w:szCs w:val="26"/>
          <w:lang w:val="en-US"/>
        </w:rPr>
      </w:pPr>
      <w:r>
        <w:rPr>
          <w:lang w:val="en-US"/>
        </w:rPr>
        <w:br w:type="page"/>
      </w:r>
    </w:p>
    <w:p w:rsidR="00330E6C" w:rsidP="00330E6C" w:rsidRDefault="00330E6C" w14:paraId="3D55D798" w14:textId="1BA0A6AE">
      <w:pPr>
        <w:pStyle w:val="Heading2"/>
      </w:pPr>
      <w:bookmarkStart w:name="_Toc227448971" w:id="34"/>
      <w:r>
        <w:rPr>
          <w:lang w:val="en-US"/>
        </w:rPr>
        <w:lastRenderedPageBreak/>
        <w:t xml:space="preserve">Appendix 2: </w:t>
      </w:r>
      <w:r w:rsidRPr="00330E6C">
        <w:t xml:space="preserve">Investment </w:t>
      </w:r>
      <w:r w:rsidRPr="00330E6C" w:rsidR="006E05BE">
        <w:t>Appraisal Calculations</w:t>
      </w:r>
      <w:bookmarkEnd w:id="34"/>
    </w:p>
    <w:p w:rsidRPr="00FC7A5E" w:rsidR="00FC7A5E" w:rsidP="00FC7A5E" w:rsidRDefault="00FC7A5E" w14:paraId="1B89E729" w14:textId="4E94928C">
      <w:pPr>
        <w:jc w:val="center"/>
      </w:pPr>
      <w:r w:rsidRPr="00FC7A5E">
        <w:rPr>
          <w:noProof/>
        </w:rPr>
        <w:drawing>
          <wp:inline distT="0" distB="0" distL="0" distR="0" wp14:anchorId="34C6DD33" wp14:editId="4C20CD49">
            <wp:extent cx="4067743" cy="3124636"/>
            <wp:effectExtent l="0" t="0" r="9525" b="0"/>
            <wp:docPr id="450804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804264" name=""/>
                    <pic:cNvPicPr/>
                  </pic:nvPicPr>
                  <pic:blipFill>
                    <a:blip r:embed="rId82"/>
                    <a:stretch>
                      <a:fillRect/>
                    </a:stretch>
                  </pic:blipFill>
                  <pic:spPr>
                    <a:xfrm>
                      <a:off x="0" y="0"/>
                      <a:ext cx="4067743" cy="3124636"/>
                    </a:xfrm>
                    <a:prstGeom prst="rect">
                      <a:avLst/>
                    </a:prstGeom>
                  </pic:spPr>
                </pic:pic>
              </a:graphicData>
            </a:graphic>
          </wp:inline>
        </w:drawing>
      </w:r>
    </w:p>
    <w:sectPr w:rsidRPr="00FC7A5E" w:rsidR="00FC7A5E" w:rsidSect="00E57777">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5812F6"/>
    <w:multiLevelType w:val="hybridMultilevel"/>
    <w:tmpl w:val="1854D7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03A337A"/>
    <w:multiLevelType w:val="hybridMultilevel"/>
    <w:tmpl w:val="3CFC0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8753198">
    <w:abstractNumId w:val="0"/>
  </w:num>
  <w:num w:numId="2" w16cid:durableId="1440489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D1A"/>
    <w:rsid w:val="000032C6"/>
    <w:rsid w:val="000153DF"/>
    <w:rsid w:val="00016D8F"/>
    <w:rsid w:val="00032A17"/>
    <w:rsid w:val="00033A71"/>
    <w:rsid w:val="00034AD4"/>
    <w:rsid w:val="000356C1"/>
    <w:rsid w:val="0004561A"/>
    <w:rsid w:val="00053E56"/>
    <w:rsid w:val="00055D54"/>
    <w:rsid w:val="00081A8D"/>
    <w:rsid w:val="0008328D"/>
    <w:rsid w:val="0008359A"/>
    <w:rsid w:val="000B613C"/>
    <w:rsid w:val="000C6AB8"/>
    <w:rsid w:val="000D1D8A"/>
    <w:rsid w:val="000D2126"/>
    <w:rsid w:val="000E4EDD"/>
    <w:rsid w:val="000E5A79"/>
    <w:rsid w:val="000F1131"/>
    <w:rsid w:val="001051F0"/>
    <w:rsid w:val="001054A6"/>
    <w:rsid w:val="00106316"/>
    <w:rsid w:val="00107006"/>
    <w:rsid w:val="0011205C"/>
    <w:rsid w:val="00113825"/>
    <w:rsid w:val="00117599"/>
    <w:rsid w:val="00117D04"/>
    <w:rsid w:val="0012080C"/>
    <w:rsid w:val="001230CA"/>
    <w:rsid w:val="0013137F"/>
    <w:rsid w:val="001357FE"/>
    <w:rsid w:val="00154D96"/>
    <w:rsid w:val="00160011"/>
    <w:rsid w:val="001759B7"/>
    <w:rsid w:val="001862E9"/>
    <w:rsid w:val="00192D5C"/>
    <w:rsid w:val="001A43D1"/>
    <w:rsid w:val="001D7CC7"/>
    <w:rsid w:val="001E3395"/>
    <w:rsid w:val="001F028D"/>
    <w:rsid w:val="002316E9"/>
    <w:rsid w:val="0024449A"/>
    <w:rsid w:val="002526E6"/>
    <w:rsid w:val="002557B3"/>
    <w:rsid w:val="00256FA8"/>
    <w:rsid w:val="002643C6"/>
    <w:rsid w:val="00272D5D"/>
    <w:rsid w:val="00275F90"/>
    <w:rsid w:val="00283954"/>
    <w:rsid w:val="00290399"/>
    <w:rsid w:val="00291820"/>
    <w:rsid w:val="00291D41"/>
    <w:rsid w:val="002972AE"/>
    <w:rsid w:val="002A75C6"/>
    <w:rsid w:val="002B276C"/>
    <w:rsid w:val="002B60D7"/>
    <w:rsid w:val="002D07F9"/>
    <w:rsid w:val="002D5227"/>
    <w:rsid w:val="002E2255"/>
    <w:rsid w:val="002E5C89"/>
    <w:rsid w:val="002E69C4"/>
    <w:rsid w:val="002F6887"/>
    <w:rsid w:val="00304B47"/>
    <w:rsid w:val="00312A5D"/>
    <w:rsid w:val="00313A7D"/>
    <w:rsid w:val="00327046"/>
    <w:rsid w:val="00330E6C"/>
    <w:rsid w:val="00336686"/>
    <w:rsid w:val="00353933"/>
    <w:rsid w:val="00365BE8"/>
    <w:rsid w:val="00367D2E"/>
    <w:rsid w:val="00372793"/>
    <w:rsid w:val="00384472"/>
    <w:rsid w:val="0038569B"/>
    <w:rsid w:val="00386DD4"/>
    <w:rsid w:val="003B05AE"/>
    <w:rsid w:val="003C2291"/>
    <w:rsid w:val="003C66BE"/>
    <w:rsid w:val="003D188E"/>
    <w:rsid w:val="003E4326"/>
    <w:rsid w:val="003E51BE"/>
    <w:rsid w:val="003E5254"/>
    <w:rsid w:val="004210D6"/>
    <w:rsid w:val="00445672"/>
    <w:rsid w:val="00445D5D"/>
    <w:rsid w:val="00451446"/>
    <w:rsid w:val="00454C2B"/>
    <w:rsid w:val="00461F88"/>
    <w:rsid w:val="004649E1"/>
    <w:rsid w:val="00476DB4"/>
    <w:rsid w:val="00481B3E"/>
    <w:rsid w:val="00486120"/>
    <w:rsid w:val="00491F9E"/>
    <w:rsid w:val="004B16BE"/>
    <w:rsid w:val="004B6A65"/>
    <w:rsid w:val="004C01D9"/>
    <w:rsid w:val="004D5744"/>
    <w:rsid w:val="004E33BD"/>
    <w:rsid w:val="004F22BF"/>
    <w:rsid w:val="004F494E"/>
    <w:rsid w:val="004F5D3D"/>
    <w:rsid w:val="00511108"/>
    <w:rsid w:val="005118B8"/>
    <w:rsid w:val="005123DB"/>
    <w:rsid w:val="00517427"/>
    <w:rsid w:val="00521B45"/>
    <w:rsid w:val="0056199D"/>
    <w:rsid w:val="00570648"/>
    <w:rsid w:val="005755F7"/>
    <w:rsid w:val="005767DB"/>
    <w:rsid w:val="00577732"/>
    <w:rsid w:val="005822F1"/>
    <w:rsid w:val="005A1979"/>
    <w:rsid w:val="005A3B24"/>
    <w:rsid w:val="005A72C4"/>
    <w:rsid w:val="005B07D1"/>
    <w:rsid w:val="005D2703"/>
    <w:rsid w:val="005D6F22"/>
    <w:rsid w:val="005E1DB2"/>
    <w:rsid w:val="005F11D7"/>
    <w:rsid w:val="005F2CB1"/>
    <w:rsid w:val="00615A4E"/>
    <w:rsid w:val="00624F4F"/>
    <w:rsid w:val="00634EC5"/>
    <w:rsid w:val="00641585"/>
    <w:rsid w:val="0065117B"/>
    <w:rsid w:val="0066235E"/>
    <w:rsid w:val="00666F78"/>
    <w:rsid w:val="006815C5"/>
    <w:rsid w:val="006829D1"/>
    <w:rsid w:val="00683A20"/>
    <w:rsid w:val="00684FB0"/>
    <w:rsid w:val="00692C2C"/>
    <w:rsid w:val="00695EB4"/>
    <w:rsid w:val="006970AF"/>
    <w:rsid w:val="006A1CB3"/>
    <w:rsid w:val="006B50DB"/>
    <w:rsid w:val="006B7B03"/>
    <w:rsid w:val="006C49CE"/>
    <w:rsid w:val="006D7664"/>
    <w:rsid w:val="006E05BE"/>
    <w:rsid w:val="00707FF9"/>
    <w:rsid w:val="00716F70"/>
    <w:rsid w:val="0072771F"/>
    <w:rsid w:val="00730022"/>
    <w:rsid w:val="007502CE"/>
    <w:rsid w:val="00756F47"/>
    <w:rsid w:val="00770911"/>
    <w:rsid w:val="00770A46"/>
    <w:rsid w:val="00785FB8"/>
    <w:rsid w:val="00794070"/>
    <w:rsid w:val="007961D1"/>
    <w:rsid w:val="00797DC8"/>
    <w:rsid w:val="00797DD4"/>
    <w:rsid w:val="007A1A73"/>
    <w:rsid w:val="007A7DE8"/>
    <w:rsid w:val="007C1F7C"/>
    <w:rsid w:val="007D55B7"/>
    <w:rsid w:val="007D60D0"/>
    <w:rsid w:val="007E6AD4"/>
    <w:rsid w:val="00814E9D"/>
    <w:rsid w:val="00836C3E"/>
    <w:rsid w:val="008575C5"/>
    <w:rsid w:val="00861D1A"/>
    <w:rsid w:val="00893F88"/>
    <w:rsid w:val="008A35C2"/>
    <w:rsid w:val="008A385B"/>
    <w:rsid w:val="008B23E7"/>
    <w:rsid w:val="008B59E7"/>
    <w:rsid w:val="008C3175"/>
    <w:rsid w:val="008C6049"/>
    <w:rsid w:val="008D5DC4"/>
    <w:rsid w:val="008D7D4D"/>
    <w:rsid w:val="008E62A5"/>
    <w:rsid w:val="008E702F"/>
    <w:rsid w:val="008F365E"/>
    <w:rsid w:val="008F747D"/>
    <w:rsid w:val="00901725"/>
    <w:rsid w:val="00905CFD"/>
    <w:rsid w:val="00924042"/>
    <w:rsid w:val="0093287C"/>
    <w:rsid w:val="00940EC8"/>
    <w:rsid w:val="00967A53"/>
    <w:rsid w:val="0097280A"/>
    <w:rsid w:val="00977EE4"/>
    <w:rsid w:val="00990398"/>
    <w:rsid w:val="009940CA"/>
    <w:rsid w:val="009B014F"/>
    <w:rsid w:val="009B6018"/>
    <w:rsid w:val="009C15AF"/>
    <w:rsid w:val="009D3B6B"/>
    <w:rsid w:val="009D5460"/>
    <w:rsid w:val="009D7BB5"/>
    <w:rsid w:val="00A032B8"/>
    <w:rsid w:val="00A170B9"/>
    <w:rsid w:val="00A2116C"/>
    <w:rsid w:val="00A27D76"/>
    <w:rsid w:val="00A3169A"/>
    <w:rsid w:val="00A36E8C"/>
    <w:rsid w:val="00A41DA9"/>
    <w:rsid w:val="00A43515"/>
    <w:rsid w:val="00A4372C"/>
    <w:rsid w:val="00A46CBE"/>
    <w:rsid w:val="00A62771"/>
    <w:rsid w:val="00A62780"/>
    <w:rsid w:val="00A651DC"/>
    <w:rsid w:val="00A90AF6"/>
    <w:rsid w:val="00A9496E"/>
    <w:rsid w:val="00AB2832"/>
    <w:rsid w:val="00AB4B90"/>
    <w:rsid w:val="00AC1B34"/>
    <w:rsid w:val="00AD425B"/>
    <w:rsid w:val="00AE268E"/>
    <w:rsid w:val="00AF1CA6"/>
    <w:rsid w:val="00AF2F61"/>
    <w:rsid w:val="00AF71A8"/>
    <w:rsid w:val="00B366E0"/>
    <w:rsid w:val="00B368A1"/>
    <w:rsid w:val="00B40A0C"/>
    <w:rsid w:val="00B42119"/>
    <w:rsid w:val="00B5215D"/>
    <w:rsid w:val="00B5616A"/>
    <w:rsid w:val="00B60520"/>
    <w:rsid w:val="00B62199"/>
    <w:rsid w:val="00B63E4B"/>
    <w:rsid w:val="00B73622"/>
    <w:rsid w:val="00B86E39"/>
    <w:rsid w:val="00B9504A"/>
    <w:rsid w:val="00B9627C"/>
    <w:rsid w:val="00B9657D"/>
    <w:rsid w:val="00B96BFC"/>
    <w:rsid w:val="00BA49DB"/>
    <w:rsid w:val="00BB4532"/>
    <w:rsid w:val="00BB6EF3"/>
    <w:rsid w:val="00BB7FB2"/>
    <w:rsid w:val="00BD4353"/>
    <w:rsid w:val="00BE29BA"/>
    <w:rsid w:val="00BE3DA9"/>
    <w:rsid w:val="00BF2E47"/>
    <w:rsid w:val="00C01225"/>
    <w:rsid w:val="00C14F75"/>
    <w:rsid w:val="00C33FD6"/>
    <w:rsid w:val="00C34699"/>
    <w:rsid w:val="00C479EA"/>
    <w:rsid w:val="00C53B88"/>
    <w:rsid w:val="00C573EB"/>
    <w:rsid w:val="00C67B7B"/>
    <w:rsid w:val="00C702C4"/>
    <w:rsid w:val="00C72415"/>
    <w:rsid w:val="00C72681"/>
    <w:rsid w:val="00C913AF"/>
    <w:rsid w:val="00CA28DB"/>
    <w:rsid w:val="00CA659F"/>
    <w:rsid w:val="00CC356C"/>
    <w:rsid w:val="00CD635A"/>
    <w:rsid w:val="00CE2602"/>
    <w:rsid w:val="00CF10EE"/>
    <w:rsid w:val="00CF309E"/>
    <w:rsid w:val="00CF52CC"/>
    <w:rsid w:val="00D04960"/>
    <w:rsid w:val="00D11D77"/>
    <w:rsid w:val="00D263D0"/>
    <w:rsid w:val="00D27352"/>
    <w:rsid w:val="00D27484"/>
    <w:rsid w:val="00D30E56"/>
    <w:rsid w:val="00D45240"/>
    <w:rsid w:val="00D6244F"/>
    <w:rsid w:val="00D66FFE"/>
    <w:rsid w:val="00D77FAC"/>
    <w:rsid w:val="00D91C42"/>
    <w:rsid w:val="00D954D6"/>
    <w:rsid w:val="00D9602B"/>
    <w:rsid w:val="00DA2003"/>
    <w:rsid w:val="00DA387C"/>
    <w:rsid w:val="00DA4906"/>
    <w:rsid w:val="00DB135F"/>
    <w:rsid w:val="00DE3FFA"/>
    <w:rsid w:val="00DF1453"/>
    <w:rsid w:val="00E04FFC"/>
    <w:rsid w:val="00E12631"/>
    <w:rsid w:val="00E23EEC"/>
    <w:rsid w:val="00E57697"/>
    <w:rsid w:val="00E57777"/>
    <w:rsid w:val="00E60459"/>
    <w:rsid w:val="00E6078C"/>
    <w:rsid w:val="00E65D35"/>
    <w:rsid w:val="00E729F0"/>
    <w:rsid w:val="00E7441A"/>
    <w:rsid w:val="00E77546"/>
    <w:rsid w:val="00E87AB6"/>
    <w:rsid w:val="00E951A8"/>
    <w:rsid w:val="00E96510"/>
    <w:rsid w:val="00EA0895"/>
    <w:rsid w:val="00EA469F"/>
    <w:rsid w:val="00EB0402"/>
    <w:rsid w:val="00ED2DDF"/>
    <w:rsid w:val="00EE31DE"/>
    <w:rsid w:val="00EE4301"/>
    <w:rsid w:val="00EE6054"/>
    <w:rsid w:val="00EE644B"/>
    <w:rsid w:val="00EF151D"/>
    <w:rsid w:val="00F1298C"/>
    <w:rsid w:val="00F25348"/>
    <w:rsid w:val="00F27523"/>
    <w:rsid w:val="00F45AD5"/>
    <w:rsid w:val="00F461CF"/>
    <w:rsid w:val="00F5055F"/>
    <w:rsid w:val="00F5191F"/>
    <w:rsid w:val="00F523E4"/>
    <w:rsid w:val="00F67E38"/>
    <w:rsid w:val="00F70213"/>
    <w:rsid w:val="00F73835"/>
    <w:rsid w:val="00F74BBF"/>
    <w:rsid w:val="00F820E5"/>
    <w:rsid w:val="00FC4824"/>
    <w:rsid w:val="00FC52C7"/>
    <w:rsid w:val="00FC7A5E"/>
    <w:rsid w:val="00FD4927"/>
    <w:rsid w:val="00FD6B2B"/>
    <w:rsid w:val="00FE0796"/>
    <w:rsid w:val="00FF56D1"/>
    <w:rsid w:val="1646D476"/>
    <w:rsid w:val="26655345"/>
    <w:rsid w:val="3711A611"/>
    <w:rsid w:val="4C63B683"/>
    <w:rsid w:val="604FA3B0"/>
    <w:rsid w:val="617C405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B79BD"/>
  <w15:chartTrackingRefBased/>
  <w15:docId w15:val="{5CC2928C-56C3-4EFD-A630-E2F81FEC4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lsdException w:name="Book Title" w:uiPriority="33" w:qFormat="1"/>
    <w:lsdException w:name="Bibliography" w:uiPriority="37" w:semiHidden="1" w:unhideWhenUsed="1"/>
    <w:lsdException w:name="TOC Heading" w:uiPriority="39"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E05BE"/>
    <w:pPr>
      <w:spacing w:before="240" w:after="240" w:line="360" w:lineRule="auto"/>
      <w:jc w:val="both"/>
    </w:pPr>
    <w:rPr>
      <w:rFonts w:ascii="Arial" w:hAnsi="Arial"/>
      <w:sz w:val="24"/>
    </w:rPr>
  </w:style>
  <w:style w:type="paragraph" w:styleId="Heading1">
    <w:name w:val="heading 1"/>
    <w:basedOn w:val="Normal"/>
    <w:next w:val="Normal"/>
    <w:link w:val="Heading1Char"/>
    <w:autoRedefine/>
    <w:uiPriority w:val="9"/>
    <w:qFormat/>
    <w:rsid w:val="006E05BE"/>
    <w:pPr>
      <w:keepNext/>
      <w:keepLines/>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E05BE"/>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EE644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6E05BE"/>
    <w:pPr>
      <w:keepNext/>
      <w:keepLines/>
      <w:outlineLvl w:val="3"/>
    </w:pPr>
    <w:rPr>
      <w:rFonts w:eastAsiaTheme="majorEastAsia" w:cstheme="majorBidi"/>
      <w:b/>
      <w:i/>
      <w:iCs/>
      <w:color w:val="000000" w:themeColor="text1"/>
    </w:rPr>
  </w:style>
  <w:style w:type="paragraph" w:styleId="Heading5">
    <w:name w:val="heading 5"/>
    <w:basedOn w:val="Normal"/>
    <w:next w:val="Normal"/>
    <w:link w:val="Heading5Char"/>
    <w:uiPriority w:val="9"/>
    <w:semiHidden/>
    <w:unhideWhenUsed/>
    <w:qFormat/>
    <w:rsid w:val="00861D1A"/>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D1A"/>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D1A"/>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D1A"/>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D1A"/>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E05BE"/>
    <w:rPr>
      <w:rFonts w:ascii="Arial" w:hAnsi="Arial" w:eastAsiaTheme="majorEastAsia" w:cstheme="majorBidi"/>
      <w:b/>
      <w:sz w:val="28"/>
      <w:szCs w:val="32"/>
    </w:rPr>
  </w:style>
  <w:style w:type="character" w:styleId="Heading2Char" w:customStyle="1">
    <w:name w:val="Heading 2 Char"/>
    <w:basedOn w:val="DefaultParagraphFont"/>
    <w:link w:val="Heading2"/>
    <w:uiPriority w:val="9"/>
    <w:rsid w:val="006E05BE"/>
    <w:rPr>
      <w:rFonts w:ascii="Arial" w:hAnsi="Arial" w:eastAsiaTheme="majorEastAsia" w:cstheme="majorBidi"/>
      <w:b/>
      <w:sz w:val="26"/>
      <w:szCs w:val="26"/>
    </w:rPr>
  </w:style>
  <w:style w:type="character" w:styleId="Heading3Char" w:customStyle="1">
    <w:name w:val="Heading 3 Char"/>
    <w:basedOn w:val="DefaultParagraphFont"/>
    <w:link w:val="Heading3"/>
    <w:uiPriority w:val="9"/>
    <w:rsid w:val="00EE644B"/>
    <w:rPr>
      <w:rFonts w:ascii="Times New Roman" w:hAnsi="Times New Roman" w:eastAsiaTheme="majorEastAsia" w:cstheme="majorBidi"/>
      <w:b/>
      <w:sz w:val="24"/>
      <w:szCs w:val="24"/>
    </w:rPr>
  </w:style>
  <w:style w:type="character" w:styleId="Heading4Char" w:customStyle="1">
    <w:name w:val="Heading 4 Char"/>
    <w:basedOn w:val="DefaultParagraphFont"/>
    <w:link w:val="Heading4"/>
    <w:uiPriority w:val="9"/>
    <w:semiHidden/>
    <w:rsid w:val="006E05BE"/>
    <w:rPr>
      <w:rFonts w:ascii="Arial" w:hAnsi="Arial" w:eastAsiaTheme="majorEastAsia" w:cstheme="majorBidi"/>
      <w:b/>
      <w:i/>
      <w:iCs/>
      <w:color w:val="000000" w:themeColor="text1"/>
      <w:sz w:val="24"/>
    </w:rPr>
  </w:style>
  <w:style w:type="character" w:styleId="Heading5Char" w:customStyle="1">
    <w:name w:val="Heading 5 Char"/>
    <w:basedOn w:val="DefaultParagraphFont"/>
    <w:link w:val="Heading5"/>
    <w:uiPriority w:val="9"/>
    <w:semiHidden/>
    <w:rsid w:val="00861D1A"/>
    <w:rPr>
      <w:rFonts w:eastAsiaTheme="majorEastAsia" w:cstheme="majorBidi"/>
      <w:color w:val="0F4761" w:themeColor="accent1" w:themeShade="BF"/>
      <w:sz w:val="24"/>
    </w:rPr>
  </w:style>
  <w:style w:type="character" w:styleId="Heading6Char" w:customStyle="1">
    <w:name w:val="Heading 6 Char"/>
    <w:basedOn w:val="DefaultParagraphFont"/>
    <w:link w:val="Heading6"/>
    <w:uiPriority w:val="9"/>
    <w:semiHidden/>
    <w:rsid w:val="00861D1A"/>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861D1A"/>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861D1A"/>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861D1A"/>
    <w:rPr>
      <w:rFonts w:eastAsiaTheme="majorEastAsia" w:cstheme="majorBidi"/>
      <w:color w:val="272727" w:themeColor="text1" w:themeTint="D8"/>
      <w:sz w:val="24"/>
    </w:rPr>
  </w:style>
  <w:style w:type="paragraph" w:styleId="Title">
    <w:name w:val="Title"/>
    <w:basedOn w:val="Normal"/>
    <w:next w:val="Normal"/>
    <w:link w:val="TitleChar"/>
    <w:uiPriority w:val="10"/>
    <w:rsid w:val="00861D1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D1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D1A"/>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D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rsid w:val="00861D1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861D1A"/>
    <w:rPr>
      <w:rFonts w:ascii="Times New Roman" w:hAnsi="Times New Roman"/>
      <w:i/>
      <w:iCs/>
      <w:color w:val="404040" w:themeColor="text1" w:themeTint="BF"/>
      <w:sz w:val="24"/>
    </w:rPr>
  </w:style>
  <w:style w:type="paragraph" w:styleId="ListParagraph">
    <w:name w:val="List Paragraph"/>
    <w:basedOn w:val="Normal"/>
    <w:uiPriority w:val="34"/>
    <w:rsid w:val="00861D1A"/>
    <w:pPr>
      <w:ind w:left="720"/>
      <w:contextualSpacing/>
    </w:pPr>
  </w:style>
  <w:style w:type="character" w:styleId="IntenseEmphasis">
    <w:name w:val="Intense Emphasis"/>
    <w:basedOn w:val="DefaultParagraphFont"/>
    <w:uiPriority w:val="21"/>
    <w:qFormat/>
    <w:rsid w:val="00861D1A"/>
    <w:rPr>
      <w:i/>
      <w:iCs/>
      <w:color w:val="0F4761" w:themeColor="accent1" w:themeShade="BF"/>
    </w:rPr>
  </w:style>
  <w:style w:type="paragraph" w:styleId="IntenseQuote">
    <w:name w:val="Intense Quote"/>
    <w:basedOn w:val="Normal"/>
    <w:next w:val="Normal"/>
    <w:link w:val="IntenseQuoteChar"/>
    <w:uiPriority w:val="30"/>
    <w:rsid w:val="00861D1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D1A"/>
    <w:rPr>
      <w:rFonts w:ascii="Times New Roman" w:hAnsi="Times New Roman"/>
      <w:i/>
      <w:iCs/>
      <w:color w:val="0F4761" w:themeColor="accent1" w:themeShade="BF"/>
      <w:sz w:val="24"/>
    </w:rPr>
  </w:style>
  <w:style w:type="character" w:styleId="IntenseReference">
    <w:name w:val="Intense Reference"/>
    <w:basedOn w:val="DefaultParagraphFont"/>
    <w:uiPriority w:val="32"/>
    <w:rsid w:val="00861D1A"/>
    <w:rPr>
      <w:b/>
      <w:bCs/>
      <w:smallCaps/>
      <w:color w:val="0F4761" w:themeColor="accent1" w:themeShade="BF"/>
      <w:spacing w:val="5"/>
    </w:rPr>
  </w:style>
  <w:style w:type="paragraph" w:styleId="NormalWeb">
    <w:name w:val="Normal (Web)"/>
    <w:basedOn w:val="Normal"/>
    <w:uiPriority w:val="99"/>
    <w:semiHidden/>
    <w:unhideWhenUsed/>
    <w:rsid w:val="00B62199"/>
    <w:rPr>
      <w:rFonts w:cs="Times New Roman"/>
      <w:szCs w:val="24"/>
    </w:rPr>
  </w:style>
  <w:style w:type="character" w:styleId="Hyperlink">
    <w:name w:val="Hyperlink"/>
    <w:basedOn w:val="DefaultParagraphFont"/>
    <w:uiPriority w:val="99"/>
    <w:unhideWhenUsed/>
    <w:rsid w:val="00D27484"/>
    <w:rPr>
      <w:color w:val="467886" w:themeColor="hyperlink"/>
      <w:u w:val="single"/>
    </w:rPr>
  </w:style>
  <w:style w:type="character" w:styleId="UnresolvedMention">
    <w:name w:val="Unresolved Mention"/>
    <w:basedOn w:val="DefaultParagraphFont"/>
    <w:uiPriority w:val="99"/>
    <w:semiHidden/>
    <w:unhideWhenUsed/>
    <w:rsid w:val="00D27484"/>
    <w:rPr>
      <w:color w:val="605E5C"/>
      <w:shd w:val="clear" w:color="auto" w:fill="E1DFDD"/>
    </w:rPr>
  </w:style>
  <w:style w:type="table" w:styleId="TableGrid">
    <w:name w:val="Table Grid"/>
    <w:basedOn w:val="TableNormal"/>
    <w:uiPriority w:val="39"/>
    <w:rsid w:val="0028395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rsid w:val="00A032B8"/>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3C2291"/>
    <w:pPr>
      <w:tabs>
        <w:tab w:val="right" w:leader="dot" w:pos="9016"/>
      </w:tabs>
      <w:spacing w:after="100"/>
    </w:pPr>
    <w:rPr>
      <w:b/>
      <w:bCs/>
      <w:noProof/>
      <w:lang w:val="en-US"/>
    </w:rPr>
  </w:style>
  <w:style w:type="paragraph" w:styleId="TOC2">
    <w:name w:val="toc 2"/>
    <w:basedOn w:val="Normal"/>
    <w:next w:val="Normal"/>
    <w:autoRedefine/>
    <w:uiPriority w:val="39"/>
    <w:unhideWhenUsed/>
    <w:rsid w:val="00A032B8"/>
    <w:pPr>
      <w:spacing w:after="100"/>
      <w:ind w:left="240"/>
    </w:pPr>
  </w:style>
  <w:style w:type="paragraph" w:styleId="NoSpacing">
    <w:name w:val="No Spacing"/>
    <w:uiPriority w:val="1"/>
    <w:qFormat/>
    <w:rsid w:val="006E05BE"/>
    <w:pPr>
      <w:spacing w:before="240" w:after="240" w:line="36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6.png" Id="rId26" /><Relationship Type="http://schemas.microsoft.com/office/2007/relationships/diagramDrawing" Target="diagrams/drawing1.xml" Id="rId21" /><Relationship Type="http://schemas.openxmlformats.org/officeDocument/2006/relationships/hyperlink" Target="https://www.emerald.com/ijaim/article-pdf/32/2/228/9525628/ijaim-04-2023-0107.pdf" TargetMode="External" Id="rId42" /><Relationship Type="http://schemas.openxmlformats.org/officeDocument/2006/relationships/hyperlink" Target="https://pdfs.semanticscholar.org/aec7/f384a7beea87e9205eb72f0e63d5a671166c.pdf" TargetMode="External" Id="rId47" /><Relationship Type="http://schemas.openxmlformats.org/officeDocument/2006/relationships/hyperlink" Target="https://aorpm.ewapub.com/article/view/22393.pdf" TargetMode="External" Id="rId63" /><Relationship Type="http://schemas.openxmlformats.org/officeDocument/2006/relationships/image" Target="media/image18.png" Id="rId68" /><Relationship Type="http://schemas.openxmlformats.org/officeDocument/2006/relationships/theme" Target="theme/theme1.xml" Id="rId84" /><Relationship Type="http://schemas.openxmlformats.org/officeDocument/2006/relationships/image" Target="media/image11.png" Id="rId16" /><Relationship Type="http://schemas.openxmlformats.org/officeDocument/2006/relationships/image" Target="media/image6.png" Id="rId11" /><Relationship Type="http://schemas.openxmlformats.org/officeDocument/2006/relationships/hyperlink" Target="https://www.tandfonline.com/doi/pdf/10.1080/20430795.2022.2153007" TargetMode="External" Id="rId32" /><Relationship Type="http://schemas.openxmlformats.org/officeDocument/2006/relationships/hyperlink" Target="https://pdfs.semanticscholar.org/d7e4/3e8f32ca594e2de1fe0bab061bb51e85377e.pdf" TargetMode="External" Id="rId37" /><Relationship Type="http://schemas.openxmlformats.org/officeDocument/2006/relationships/hyperlink" Target="https://www.researchgate.net/profile/Jeremiah-Olamijuwon/publication/386422838_Review_of_predictive_modeling_and_machine_learning_applications_in_financial_service_analysis/links/67509585876bd177783c047e/Review-of-predictive-modeling-and-machine-learning-applications-in-financial-service-analysis.pdf" TargetMode="External" Id="rId53" /><Relationship Type="http://schemas.openxmlformats.org/officeDocument/2006/relationships/hyperlink" Target="https://dhss.cscholar.com/article/download/1000224/163" TargetMode="External" Id="rId58" /><Relationship Type="http://schemas.openxmlformats.org/officeDocument/2006/relationships/image" Target="media/image21.png" Id="rId74" /><Relationship Type="http://schemas.openxmlformats.org/officeDocument/2006/relationships/chart" Target="charts/chart7.xml" Id="rId79" /><Relationship Type="http://schemas.openxmlformats.org/officeDocument/2006/relationships/webSettings" Target="webSettings.xml" Id="rId5" /><Relationship Type="http://schemas.openxmlformats.org/officeDocument/2006/relationships/hyperlink" Target="https://www.francis-press.com/uploads/papers/9GMjGzMYvCQOZuwLnKRvHAlcwhUS6joBMehWjdnf.pdf" TargetMode="External" Id="rId61" /><Relationship Type="http://schemas.openxmlformats.org/officeDocument/2006/relationships/image" Target="media/image25.png" Id="rId82" /><Relationship Type="http://schemas.openxmlformats.org/officeDocument/2006/relationships/diagramQuickStyle" Target="diagrams/quickStyle1.xml" Id="rId19" /><Relationship Type="http://schemas.openxmlformats.org/officeDocument/2006/relationships/image" Target="media/image9.png" Id="rId14" /><Relationship Type="http://schemas.openxmlformats.org/officeDocument/2006/relationships/image" Target="media/image12.png" Id="rId22" /><Relationship Type="http://schemas.openxmlformats.org/officeDocument/2006/relationships/hyperlink" Target="https://www.researchgate.net/profile/Olubusola-Odeyemi/publication/378287614_Transforming_financial_planning_with_AI-driven_analysis_A_review_and_application_insights/links/65d0db5a476dd15fb343ff6b/Transforming-financial-planning-with-AI-driven-analysis-A-review-and-application-insights.pdf" TargetMode="External" Id="rId27" /><Relationship Type="http://schemas.openxmlformats.org/officeDocument/2006/relationships/hyperlink" Target="https://www.researchgate.net/profile/Oluwabusayo-Bello/publication/381548370_Citation_Bello_OA_2023_Machine_Learning_Algorithms_for_Credit_Risk_Assessment_An_Economic_and_Financial_Analysis/links/6673622cd21e220d89c09764/Citation-Bello-OA-2023-Machine-Learning-Algorithms-for-Credit-Risk-Assessment-An-Economic-and-Financial-Analysis.pdf" TargetMode="External" Id="rId30" /><Relationship Type="http://schemas.openxmlformats.org/officeDocument/2006/relationships/hyperlink" Target="https://pdfs.semanticscholar.org/3b20/a54c66619ca590b9504f8d04242430d6b585.pdf" TargetMode="External" Id="rId35" /><Relationship Type="http://schemas.openxmlformats.org/officeDocument/2006/relationships/hyperlink" Target="https://www.emerald.com/cfri/article-pdf/12/1/1/3310823/cfri-10-2021-0208.pdf" TargetMode="External" Id="rId43" /><Relationship Type="http://schemas.openxmlformats.org/officeDocument/2006/relationships/hyperlink" Target="https://ieeexplore.ieee.org/iel8/6287639/6514899/10638546.pdf" TargetMode="External" Id="rId48" /><Relationship Type="http://schemas.openxmlformats.org/officeDocument/2006/relationships/hyperlink" Target="https://www.statista.com/chart/30754/byd-passenger-car-sales/?srsltid=AfmBOorcQdy1Y5crngpglggzL1S6dpXrf8oTbOV57q3Pbx5DiIRrEBkW" TargetMode="External" Id="rId56" /><Relationship Type="http://schemas.openxmlformats.org/officeDocument/2006/relationships/hyperlink" Target="http://www.stemmpress.com/uploadfile/202402/804572a583b71cd.pdf" TargetMode="External" Id="rId64" /><Relationship Type="http://schemas.openxmlformats.org/officeDocument/2006/relationships/chart" Target="charts/chart2.xml" Id="rId69" /><Relationship Type="http://schemas.openxmlformats.org/officeDocument/2006/relationships/chart" Target="charts/chart6.xml" Id="rId77" /><Relationship Type="http://schemas.openxmlformats.org/officeDocument/2006/relationships/image" Target="media/image3.png" Id="rId8" /><Relationship Type="http://schemas.openxmlformats.org/officeDocument/2006/relationships/hyperlink" Target="https://www.mdpi.com/2076-3417/14/2/588" TargetMode="External" Id="rId51" /><Relationship Type="http://schemas.openxmlformats.org/officeDocument/2006/relationships/image" Target="media/image20.png" Id="rId72" /><Relationship Type="http://schemas.openxmlformats.org/officeDocument/2006/relationships/image" Target="media/image24.png" Id="rId80" /><Relationship Type="http://schemas.openxmlformats.org/officeDocument/2006/relationships/styles" Target="styles.xml" Id="rId3" /><Relationship Type="http://schemas.openxmlformats.org/officeDocument/2006/relationships/image" Target="media/image7.png" Id="rId12" /><Relationship Type="http://schemas.openxmlformats.org/officeDocument/2006/relationships/diagramData" Target="diagrams/data1.xml" Id="rId17" /><Relationship Type="http://schemas.openxmlformats.org/officeDocument/2006/relationships/image" Target="media/image15.png" Id="rId25" /><Relationship Type="http://schemas.openxmlformats.org/officeDocument/2006/relationships/hyperlink" Target="https://www.atlantis-press.com/article/126014981.pdf" TargetMode="External" Id="rId33" /><Relationship Type="http://schemas.openxmlformats.org/officeDocument/2006/relationships/hyperlink" Target="https://dl.acm.org/doi/pdf/10.1145/3649451" TargetMode="External" Id="rId38" /><Relationship Type="http://schemas.openxmlformats.org/officeDocument/2006/relationships/hyperlink" Target="https://aclanthology.org/2024.lrec-main.69.pdf" TargetMode="External" Id="rId46" /><Relationship Type="http://schemas.openxmlformats.org/officeDocument/2006/relationships/hyperlink" Target="https://arxiv.org/pdf/2504.06279" TargetMode="External" Id="rId59" /><Relationship Type="http://schemas.openxmlformats.org/officeDocument/2006/relationships/chart" Target="charts/chart1.xml" Id="rId67" /><Relationship Type="http://schemas.openxmlformats.org/officeDocument/2006/relationships/diagramColors" Target="diagrams/colors1.xml" Id="rId20" /><Relationship Type="http://schemas.openxmlformats.org/officeDocument/2006/relationships/hyperlink" Target="https://dl.acm.org/doi/pdf/10.1145/3677052.3698696" TargetMode="External" Id="rId41" /><Relationship Type="http://schemas.openxmlformats.org/officeDocument/2006/relationships/hyperlink" Target="https://www.atlantis-press.com/article/125978362.pdf" TargetMode="External" Id="rId54" /><Relationship Type="http://schemas.openxmlformats.org/officeDocument/2006/relationships/hyperlink" Target="http://drpehss.com/index.php/ojs/article/download/28/27" TargetMode="External" Id="rId62" /><Relationship Type="http://schemas.openxmlformats.org/officeDocument/2006/relationships/image" Target="media/image19.png" Id="rId70" /><Relationship Type="http://schemas.openxmlformats.org/officeDocument/2006/relationships/chart" Target="charts/chart5.xml" Id="rId75" /><Relationship Type="http://schemas.openxmlformats.org/officeDocument/2006/relationships/fontTable" Target="fontTable.xml" Id="rId83"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10.png" Id="rId15" /><Relationship Type="http://schemas.openxmlformats.org/officeDocument/2006/relationships/image" Target="media/image13.png" Id="rId23" /><Relationship Type="http://schemas.openxmlformats.org/officeDocument/2006/relationships/hyperlink" Target="https://www.researchgate.net/profile/Titilope-Adewale-4/publication/387954497_Corresponding_author_Titilope_Tosin_Adewale_Big_data-driven_financial_analysis_A_new_paradigm_for_strategic_insights_and_decision-_making/links/67848cb13e33dd0be90170ab/Corresponding-author-Titilope-Tosin-Adewale-Big-data-driven-financial-analysis-A-new-paradigm-for-strategic-insights-and-decision-making.pdf" TargetMode="External" Id="rId28" /><Relationship Type="http://schemas.openxmlformats.org/officeDocument/2006/relationships/hyperlink" Target="https://www.mdpi.com/2079-9292/12/12/2605" TargetMode="External" Id="rId36" /><Relationship Type="http://schemas.openxmlformats.org/officeDocument/2006/relationships/hyperlink" Target="https://www.atlantis-press.com/article/126015012.pdf" TargetMode="External" Id="rId49" /><Relationship Type="http://schemas.openxmlformats.org/officeDocument/2006/relationships/hyperlink" Target="https://francis-press.com/uploads/papers/Hjei7duhTER36s9QtE6L5q1nxIRuoPDX2FCxbqb9.pdf" TargetMode="External" Id="rId57" /><Relationship Type="http://schemas.openxmlformats.org/officeDocument/2006/relationships/image" Target="media/image5.png" Id="rId10" /><Relationship Type="http://schemas.openxmlformats.org/officeDocument/2006/relationships/hyperlink" Target="https://arxiv.org/pdf/2409.10331" TargetMode="External" Id="rId31" /><Relationship Type="http://schemas.openxmlformats.org/officeDocument/2006/relationships/hyperlink" Target="https://msa-journal.org/journal/article/download/6/4" TargetMode="External" Id="rId44" /><Relationship Type="http://schemas.openxmlformats.org/officeDocument/2006/relationships/hyperlink" Target="https://www.sci-open.net/index.php/JBER/article/download/7614/9707" TargetMode="External" Id="rId52" /><Relationship Type="http://schemas.openxmlformats.org/officeDocument/2006/relationships/hyperlink" Target="https://ajtmr.com/papers/Vol14Issue1/Vol14Issue1P31.pdf" TargetMode="External" Id="rId60" /><Relationship Type="http://schemas.openxmlformats.org/officeDocument/2006/relationships/hyperlink" Target="https://www.shs-conferences.org/articles/shsconf/pdf/2025/09/shsconf_icdde2025_01031.pdf" TargetMode="External" Id="rId65" /><Relationship Type="http://schemas.openxmlformats.org/officeDocument/2006/relationships/chart" Target="charts/chart4.xml" Id="rId73" /><Relationship Type="http://schemas.openxmlformats.org/officeDocument/2006/relationships/image" Target="media/image23.png" Id="rId78" /><Relationship Type="http://schemas.openxmlformats.org/officeDocument/2006/relationships/chart" Target="charts/chart8.xml" Id="rId81"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8.png" Id="rId13" /><Relationship Type="http://schemas.openxmlformats.org/officeDocument/2006/relationships/diagramLayout" Target="diagrams/layout1.xml" Id="rId18" /><Relationship Type="http://schemas.openxmlformats.org/officeDocument/2006/relationships/hyperlink" Target="https://www.researchgate.net/profile/Teja-Gatla/publication/380732376_A_NOVEL_APPROACH_TO_DECODING_FINANCIAL_MARKETS_THE_EMERGENCE_OF_AIIN_FINANCIAL_MODELING/links/664c259322a7f16b4f3e8d88/A-NOVEL-APPROACH-TO-DECODING-FINANCIAL-MARKETS-THE-EMERGENCE-OF-AIIN-FINANCIAL-MODELING.pdf" TargetMode="External" Id="rId39" /><Relationship Type="http://schemas.openxmlformats.org/officeDocument/2006/relationships/hyperlink" Target="https://www.sciencedirect.com/science/article/pii/S2772662223000528" TargetMode="External" Id="rId34" /><Relationship Type="http://schemas.openxmlformats.org/officeDocument/2006/relationships/hyperlink" Target="https://sciendo.com/2/v2/download/article/10.2478/jcbtp-2024-0008.pdf" TargetMode="External" Id="rId50" /><Relationship Type="http://schemas.openxmlformats.org/officeDocument/2006/relationships/hyperlink" Target="https://www.mdpi.com/2071-1050/14/19/12695" TargetMode="External" Id="rId55" /><Relationship Type="http://schemas.openxmlformats.org/officeDocument/2006/relationships/image" Target="media/image22.png" Id="rId76" /><Relationship Type="http://schemas.openxmlformats.org/officeDocument/2006/relationships/image" Target="media/image2.png" Id="rId7" /><Relationship Type="http://schemas.openxmlformats.org/officeDocument/2006/relationships/chart" Target="charts/chart3.xml" Id="rId71" /><Relationship Type="http://schemas.openxmlformats.org/officeDocument/2006/relationships/numbering" Target="numbering.xml" Id="rId2" /><Relationship Type="http://schemas.openxmlformats.org/officeDocument/2006/relationships/hyperlink" Target="https://www.emerald.com/jm2/article-pdf/20/2/301/9684835/jm2-08-2023-0183.pdf" TargetMode="External" Id="rId29" /><Relationship Type="http://schemas.openxmlformats.org/officeDocument/2006/relationships/image" Target="media/image14.png" Id="rId24" /><Relationship Type="http://schemas.openxmlformats.org/officeDocument/2006/relationships/hyperlink" Target="https://www.atlantis-press.com/article/125983767.pdf" TargetMode="External" Id="rId40" /><Relationship Type="http://schemas.openxmlformats.org/officeDocument/2006/relationships/hyperlink" Target="https://pdfs.semanticscholar.org/4296/1625becbb0198511bc0648c262eb513c7414.pdf" TargetMode="External" Id="rId45" /><Relationship Type="http://schemas.openxmlformats.org/officeDocument/2006/relationships/image" Target="media/image17.png" Id="rId66" /></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LENOVO\OneDrive\Sayanabha\2026\April\18.04.2026\TS_53937.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BYD's Net</a:t>
            </a:r>
            <a:r>
              <a:rPr lang="en-GB" baseline="0"/>
              <a:t> Profit Margin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check'!$A$11:$A$15</c:f>
              <c:numCache>
                <c:formatCode>General</c:formatCode>
                <c:ptCount val="5"/>
                <c:pt idx="0">
                  <c:v>2021</c:v>
                </c:pt>
                <c:pt idx="1">
                  <c:v>2022</c:v>
                </c:pt>
                <c:pt idx="2">
                  <c:v>2023</c:v>
                </c:pt>
                <c:pt idx="3">
                  <c:v>2024</c:v>
                </c:pt>
                <c:pt idx="4">
                  <c:v>2025</c:v>
                </c:pt>
              </c:numCache>
            </c:numRef>
          </c:cat>
          <c:val>
            <c:numRef>
              <c:f>'Financial health check'!$B$11:$B$15</c:f>
              <c:numCache>
                <c:formatCode>0.00%</c:formatCode>
                <c:ptCount val="5"/>
                <c:pt idx="0">
                  <c:v>1.3888888888888888E-2</c:v>
                </c:pt>
                <c:pt idx="1">
                  <c:v>3.9150943396226413E-2</c:v>
                </c:pt>
                <c:pt idx="2">
                  <c:v>4.9833887043189369E-2</c:v>
                </c:pt>
                <c:pt idx="3">
                  <c:v>5.1866151866151865E-2</c:v>
                </c:pt>
                <c:pt idx="4">
                  <c:v>4.3292682926829265E-2</c:v>
                </c:pt>
              </c:numCache>
            </c:numRef>
          </c:val>
          <c:smooth val="0"/>
          <c:extLst>
            <c:ext xmlns:c16="http://schemas.microsoft.com/office/drawing/2014/chart" uri="{C3380CC4-5D6E-409C-BE32-E72D297353CC}">
              <c16:uniqueId val="{00000000-C2DB-46D1-9547-3F38141F09D1}"/>
            </c:ext>
          </c:extLst>
        </c:ser>
        <c:dLbls>
          <c:showLegendKey val="0"/>
          <c:showVal val="0"/>
          <c:showCatName val="0"/>
          <c:showSerName val="0"/>
          <c:showPercent val="0"/>
          <c:showBubbleSize val="0"/>
        </c:dLbls>
        <c:smooth val="0"/>
        <c:axId val="1012239952"/>
        <c:axId val="1012232752"/>
      </c:lineChart>
      <c:catAx>
        <c:axId val="1012239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232752"/>
        <c:crosses val="autoZero"/>
        <c:auto val="1"/>
        <c:lblAlgn val="ctr"/>
        <c:lblOffset val="100"/>
        <c:noMultiLvlLbl val="0"/>
      </c:catAx>
      <c:valAx>
        <c:axId val="10122327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239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BYD's</a:t>
            </a:r>
            <a:r>
              <a:rPr lang="en-US" baseline="0"/>
              <a:t> Return on Investment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 health check'!$B$27</c:f>
              <c:strCache>
                <c:ptCount val="1"/>
                <c:pt idx="0">
                  <c:v>ROA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check'!$A$28:$A$32</c:f>
              <c:numCache>
                <c:formatCode>General</c:formatCode>
                <c:ptCount val="5"/>
                <c:pt idx="0">
                  <c:v>2021</c:v>
                </c:pt>
                <c:pt idx="1">
                  <c:v>2022</c:v>
                </c:pt>
                <c:pt idx="2">
                  <c:v>2023</c:v>
                </c:pt>
                <c:pt idx="3">
                  <c:v>2024</c:v>
                </c:pt>
                <c:pt idx="4">
                  <c:v>2025</c:v>
                </c:pt>
              </c:numCache>
            </c:numRef>
          </c:cat>
          <c:val>
            <c:numRef>
              <c:f>'Financial health check'!$B$28:$B$32</c:f>
              <c:numCache>
                <c:formatCode>0.00%</c:formatCode>
                <c:ptCount val="5"/>
                <c:pt idx="0">
                  <c:v>1.0169491525423728E-2</c:v>
                </c:pt>
                <c:pt idx="1">
                  <c:v>3.2233009708737867E-2</c:v>
                </c:pt>
                <c:pt idx="2">
                  <c:v>4.6153846153846156E-2</c:v>
                </c:pt>
                <c:pt idx="3">
                  <c:v>5.1666666666666666E-2</c:v>
                </c:pt>
                <c:pt idx="4">
                  <c:v>4.1279069767441862E-2</c:v>
                </c:pt>
              </c:numCache>
            </c:numRef>
          </c:val>
          <c:extLst>
            <c:ext xmlns:c16="http://schemas.microsoft.com/office/drawing/2014/chart" uri="{C3380CC4-5D6E-409C-BE32-E72D297353CC}">
              <c16:uniqueId val="{00000000-4F57-43EB-9972-6B640CFDF146}"/>
            </c:ext>
          </c:extLst>
        </c:ser>
        <c:dLbls>
          <c:showLegendKey val="0"/>
          <c:showVal val="0"/>
          <c:showCatName val="0"/>
          <c:showSerName val="0"/>
          <c:showPercent val="0"/>
          <c:showBubbleSize val="0"/>
        </c:dLbls>
        <c:gapWidth val="219"/>
        <c:overlap val="-27"/>
        <c:axId val="1255139344"/>
        <c:axId val="1255139824"/>
      </c:barChart>
      <c:catAx>
        <c:axId val="1255139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39824"/>
        <c:crosses val="autoZero"/>
        <c:auto val="1"/>
        <c:lblAlgn val="ctr"/>
        <c:lblOffset val="100"/>
        <c:noMultiLvlLbl val="0"/>
      </c:catAx>
      <c:valAx>
        <c:axId val="125513982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39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Current Ratio of BYD</a:t>
            </a:r>
            <a:endParaRPr lang="en-GB"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check'!$A$43:$A$47</c:f>
              <c:numCache>
                <c:formatCode>General</c:formatCode>
                <c:ptCount val="5"/>
                <c:pt idx="0">
                  <c:v>2021</c:v>
                </c:pt>
                <c:pt idx="1">
                  <c:v>2022</c:v>
                </c:pt>
                <c:pt idx="2">
                  <c:v>2023</c:v>
                </c:pt>
                <c:pt idx="3">
                  <c:v>2024</c:v>
                </c:pt>
                <c:pt idx="4">
                  <c:v>2025</c:v>
                </c:pt>
              </c:numCache>
            </c:numRef>
          </c:cat>
          <c:val>
            <c:numRef>
              <c:f>'Financial health check'!$B$43:$B$47</c:f>
              <c:numCache>
                <c:formatCode>0.00</c:formatCode>
                <c:ptCount val="5"/>
                <c:pt idx="0">
                  <c:v>0.8</c:v>
                </c:pt>
                <c:pt idx="1">
                  <c:v>0.72</c:v>
                </c:pt>
                <c:pt idx="2">
                  <c:v>0.77419354838709675</c:v>
                </c:pt>
                <c:pt idx="3">
                  <c:v>0.78947368421052633</c:v>
                </c:pt>
                <c:pt idx="4">
                  <c:v>0.7857142857142857</c:v>
                </c:pt>
              </c:numCache>
            </c:numRef>
          </c:val>
          <c:extLst>
            <c:ext xmlns:c16="http://schemas.microsoft.com/office/drawing/2014/chart" uri="{C3380CC4-5D6E-409C-BE32-E72D297353CC}">
              <c16:uniqueId val="{00000000-BAD7-45D5-9A13-C109D0C1DE73}"/>
            </c:ext>
          </c:extLst>
        </c:ser>
        <c:dLbls>
          <c:showLegendKey val="0"/>
          <c:showVal val="0"/>
          <c:showCatName val="0"/>
          <c:showSerName val="0"/>
          <c:showPercent val="0"/>
          <c:showBubbleSize val="0"/>
        </c:dLbls>
        <c:gapWidth val="182"/>
        <c:axId val="1255159024"/>
        <c:axId val="1255154224"/>
      </c:barChart>
      <c:catAx>
        <c:axId val="12551590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54224"/>
        <c:crosses val="autoZero"/>
        <c:auto val="1"/>
        <c:lblAlgn val="ctr"/>
        <c:lblOffset val="100"/>
        <c:noMultiLvlLbl val="0"/>
      </c:catAx>
      <c:valAx>
        <c:axId val="125515422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590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Asset Turnover Ratio</a:t>
            </a:r>
            <a:r>
              <a:rPr lang="en-GB" sz="1400" b="0" i="0" u="none" strike="noStrike" baseline="0">
                <a:effectLst/>
              </a:rPr>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check'!$A$58:$A$62</c:f>
              <c:numCache>
                <c:formatCode>General</c:formatCode>
                <c:ptCount val="5"/>
                <c:pt idx="0">
                  <c:v>2021</c:v>
                </c:pt>
                <c:pt idx="1">
                  <c:v>2022</c:v>
                </c:pt>
                <c:pt idx="2">
                  <c:v>2023</c:v>
                </c:pt>
                <c:pt idx="3">
                  <c:v>2024</c:v>
                </c:pt>
                <c:pt idx="4">
                  <c:v>2025</c:v>
                </c:pt>
              </c:numCache>
            </c:numRef>
          </c:cat>
          <c:val>
            <c:numRef>
              <c:f>'Financial health check'!$B$58:$B$62</c:f>
              <c:numCache>
                <c:formatCode>0.00</c:formatCode>
                <c:ptCount val="5"/>
                <c:pt idx="0">
                  <c:v>0.73220338983050848</c:v>
                </c:pt>
                <c:pt idx="1">
                  <c:v>0.8233009708737864</c:v>
                </c:pt>
                <c:pt idx="2">
                  <c:v>0.92615384615384611</c:v>
                </c:pt>
                <c:pt idx="3">
                  <c:v>0.99615384615384617</c:v>
                </c:pt>
                <c:pt idx="4">
                  <c:v>0.95348837209302328</c:v>
                </c:pt>
              </c:numCache>
            </c:numRef>
          </c:val>
          <c:smooth val="0"/>
          <c:extLst>
            <c:ext xmlns:c16="http://schemas.microsoft.com/office/drawing/2014/chart" uri="{C3380CC4-5D6E-409C-BE32-E72D297353CC}">
              <c16:uniqueId val="{00000000-7001-4739-90E8-A91A99AE9981}"/>
            </c:ext>
          </c:extLst>
        </c:ser>
        <c:dLbls>
          <c:showLegendKey val="0"/>
          <c:showVal val="0"/>
          <c:showCatName val="0"/>
          <c:showSerName val="0"/>
          <c:showPercent val="0"/>
          <c:showBubbleSize val="0"/>
        </c:dLbls>
        <c:smooth val="0"/>
        <c:axId val="1255161904"/>
        <c:axId val="1255166704"/>
      </c:lineChart>
      <c:catAx>
        <c:axId val="1255161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66704"/>
        <c:crosses val="autoZero"/>
        <c:auto val="1"/>
        <c:lblAlgn val="ctr"/>
        <c:lblOffset val="100"/>
        <c:noMultiLvlLbl val="0"/>
      </c:catAx>
      <c:valAx>
        <c:axId val="12551667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61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Debt Ratio of BYD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check'!$A$74:$A$78</c:f>
              <c:numCache>
                <c:formatCode>General</c:formatCode>
                <c:ptCount val="5"/>
                <c:pt idx="0">
                  <c:v>2021</c:v>
                </c:pt>
                <c:pt idx="1">
                  <c:v>2022</c:v>
                </c:pt>
                <c:pt idx="2">
                  <c:v>2023</c:v>
                </c:pt>
                <c:pt idx="3">
                  <c:v>2024</c:v>
                </c:pt>
                <c:pt idx="4">
                  <c:v>2025</c:v>
                </c:pt>
              </c:numCache>
            </c:numRef>
          </c:cat>
          <c:val>
            <c:numRef>
              <c:f>'Financial health check'!$B$74:$B$78</c:f>
              <c:numCache>
                <c:formatCode>0.00%</c:formatCode>
                <c:ptCount val="5"/>
                <c:pt idx="0">
                  <c:v>0.71186440677966101</c:v>
                </c:pt>
                <c:pt idx="1">
                  <c:v>0.75339805825242723</c:v>
                </c:pt>
                <c:pt idx="2">
                  <c:v>0.75384615384615383</c:v>
                </c:pt>
                <c:pt idx="3">
                  <c:v>0.76923076923076927</c:v>
                </c:pt>
                <c:pt idx="4">
                  <c:v>0.76744186046511631</c:v>
                </c:pt>
              </c:numCache>
            </c:numRef>
          </c:val>
          <c:extLst>
            <c:ext xmlns:c16="http://schemas.microsoft.com/office/drawing/2014/chart" uri="{C3380CC4-5D6E-409C-BE32-E72D297353CC}">
              <c16:uniqueId val="{00000000-1950-4DCE-A5E7-B765E1D87FF3}"/>
            </c:ext>
          </c:extLst>
        </c:ser>
        <c:dLbls>
          <c:showLegendKey val="0"/>
          <c:showVal val="0"/>
          <c:showCatName val="0"/>
          <c:showSerName val="0"/>
          <c:showPercent val="0"/>
          <c:showBubbleSize val="0"/>
        </c:dLbls>
        <c:gapWidth val="150"/>
        <c:axId val="1255164304"/>
        <c:axId val="1255172944"/>
      </c:barChart>
      <c:catAx>
        <c:axId val="1255164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72944"/>
        <c:crosses val="autoZero"/>
        <c:auto val="1"/>
        <c:lblAlgn val="ctr"/>
        <c:lblOffset val="100"/>
        <c:noMultiLvlLbl val="0"/>
      </c:catAx>
      <c:valAx>
        <c:axId val="12551729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64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a:t>
            </a:r>
            <a:r>
              <a:rPr lang="en-GB" baseline="0"/>
              <a:t> ratio BYD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check'!$A$118:$A$122</c:f>
              <c:numCache>
                <c:formatCode>General</c:formatCode>
                <c:ptCount val="5"/>
                <c:pt idx="0">
                  <c:v>2021</c:v>
                </c:pt>
                <c:pt idx="1">
                  <c:v>2022</c:v>
                </c:pt>
                <c:pt idx="2">
                  <c:v>2023</c:v>
                </c:pt>
                <c:pt idx="3">
                  <c:v>2024</c:v>
                </c:pt>
                <c:pt idx="4">
                  <c:v>2025</c:v>
                </c:pt>
              </c:numCache>
            </c:numRef>
          </c:cat>
          <c:val>
            <c:numRef>
              <c:f>'Financial health check'!$B$118:$B$122</c:f>
              <c:numCache>
                <c:formatCode>0.00</c:formatCode>
                <c:ptCount val="5"/>
                <c:pt idx="0">
                  <c:v>2.4705882352941178</c:v>
                </c:pt>
                <c:pt idx="1">
                  <c:v>3.0551181102362204</c:v>
                </c:pt>
                <c:pt idx="2">
                  <c:v>3.0625</c:v>
                </c:pt>
                <c:pt idx="3">
                  <c:v>3.3333333333333335</c:v>
                </c:pt>
                <c:pt idx="4">
                  <c:v>3.3</c:v>
                </c:pt>
              </c:numCache>
            </c:numRef>
          </c:val>
          <c:smooth val="0"/>
          <c:extLst>
            <c:ext xmlns:c16="http://schemas.microsoft.com/office/drawing/2014/chart" uri="{C3380CC4-5D6E-409C-BE32-E72D297353CC}">
              <c16:uniqueId val="{00000000-85CC-4381-A16A-65E5FCDC9B30}"/>
            </c:ext>
          </c:extLst>
        </c:ser>
        <c:dLbls>
          <c:showLegendKey val="0"/>
          <c:showVal val="0"/>
          <c:showCatName val="0"/>
          <c:showSerName val="0"/>
          <c:showPercent val="0"/>
          <c:showBubbleSize val="0"/>
        </c:dLbls>
        <c:smooth val="0"/>
        <c:axId val="1255178704"/>
        <c:axId val="1255162384"/>
      </c:lineChart>
      <c:catAx>
        <c:axId val="1255178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62384"/>
        <c:crosses val="autoZero"/>
        <c:auto val="1"/>
        <c:lblAlgn val="ctr"/>
        <c:lblOffset val="100"/>
        <c:noMultiLvlLbl val="0"/>
      </c:catAx>
      <c:valAx>
        <c:axId val="12551623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178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EPS of BYD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check'!$A$129:$A$133</c:f>
              <c:numCache>
                <c:formatCode>General</c:formatCode>
                <c:ptCount val="5"/>
                <c:pt idx="0">
                  <c:v>2021</c:v>
                </c:pt>
                <c:pt idx="1">
                  <c:v>2022</c:v>
                </c:pt>
                <c:pt idx="2">
                  <c:v>2023</c:v>
                </c:pt>
                <c:pt idx="3">
                  <c:v>2024</c:v>
                </c:pt>
                <c:pt idx="4">
                  <c:v>2025</c:v>
                </c:pt>
              </c:numCache>
            </c:numRef>
          </c:cat>
          <c:val>
            <c:numRef>
              <c:f>'Financial health check'!$B$129:$B$133</c:f>
              <c:numCache>
                <c:formatCode>0.00</c:formatCode>
                <c:ptCount val="5"/>
                <c:pt idx="0">
                  <c:v>1.0309278350515463</c:v>
                </c:pt>
                <c:pt idx="1">
                  <c:v>5.7044673539518902</c:v>
                </c:pt>
                <c:pt idx="2">
                  <c:v>10.309278350515463</c:v>
                </c:pt>
                <c:pt idx="3">
                  <c:v>13.848797250859105</c:v>
                </c:pt>
                <c:pt idx="4">
                  <c:v>12.199312714776632</c:v>
                </c:pt>
              </c:numCache>
            </c:numRef>
          </c:val>
          <c:extLst>
            <c:ext xmlns:c16="http://schemas.microsoft.com/office/drawing/2014/chart" uri="{C3380CC4-5D6E-409C-BE32-E72D297353CC}">
              <c16:uniqueId val="{00000000-779D-4A83-A549-8D2F6A22C150}"/>
            </c:ext>
          </c:extLst>
        </c:ser>
        <c:dLbls>
          <c:showLegendKey val="0"/>
          <c:showVal val="0"/>
          <c:showCatName val="0"/>
          <c:showSerName val="0"/>
          <c:showPercent val="0"/>
          <c:showBubbleSize val="0"/>
        </c:dLbls>
        <c:gapWidth val="219"/>
        <c:overlap val="-27"/>
        <c:axId val="1012250032"/>
        <c:axId val="1012256272"/>
      </c:barChart>
      <c:catAx>
        <c:axId val="101225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256272"/>
        <c:crosses val="autoZero"/>
        <c:auto val="1"/>
        <c:lblAlgn val="ctr"/>
        <c:lblOffset val="100"/>
        <c:noMultiLvlLbl val="0"/>
      </c:catAx>
      <c:valAx>
        <c:axId val="10122562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2500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flow ratios</a:t>
            </a:r>
            <a:r>
              <a:rPr lang="en-GB" baseline="0"/>
              <a:t> of BYD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'Financial health check'!$B$158</c:f>
              <c:strCache>
                <c:ptCount val="1"/>
                <c:pt idx="0">
                  <c:v>Operating Cash Flow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check'!$A$159:$A$163</c:f>
              <c:numCache>
                <c:formatCode>General</c:formatCode>
                <c:ptCount val="5"/>
                <c:pt idx="0">
                  <c:v>2021</c:v>
                </c:pt>
                <c:pt idx="1">
                  <c:v>2022</c:v>
                </c:pt>
                <c:pt idx="2">
                  <c:v>2023</c:v>
                </c:pt>
                <c:pt idx="3">
                  <c:v>2024</c:v>
                </c:pt>
                <c:pt idx="4">
                  <c:v>2025</c:v>
                </c:pt>
              </c:numCache>
            </c:numRef>
          </c:cat>
          <c:val>
            <c:numRef>
              <c:f>'Financial health check'!$B$159:$B$163</c:f>
              <c:numCache>
                <c:formatCode>0.00</c:formatCode>
                <c:ptCount val="5"/>
                <c:pt idx="0">
                  <c:v>2.3999999999999997E-2</c:v>
                </c:pt>
                <c:pt idx="1">
                  <c:v>7.9680000000000001E-2</c:v>
                </c:pt>
                <c:pt idx="2">
                  <c:v>0.11612903225806452</c:v>
                </c:pt>
                <c:pt idx="3">
                  <c:v>0.12726315789473683</c:v>
                </c:pt>
                <c:pt idx="4">
                  <c:v>0.10142857142857144</c:v>
                </c:pt>
              </c:numCache>
            </c:numRef>
          </c:val>
          <c:extLst>
            <c:ext xmlns:c16="http://schemas.microsoft.com/office/drawing/2014/chart" uri="{C3380CC4-5D6E-409C-BE32-E72D297353CC}">
              <c16:uniqueId val="{00000000-1F8E-4403-9D09-6EB36F8B0372}"/>
            </c:ext>
          </c:extLst>
        </c:ser>
        <c:ser>
          <c:idx val="1"/>
          <c:order val="1"/>
          <c:tx>
            <c:strRef>
              <c:f>'Financial health check'!$C$158</c:f>
              <c:strCache>
                <c:ptCount val="1"/>
                <c:pt idx="0">
                  <c:v>Cash Flow to Debt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check'!$A$159:$A$163</c:f>
              <c:numCache>
                <c:formatCode>General</c:formatCode>
                <c:ptCount val="5"/>
                <c:pt idx="0">
                  <c:v>2021</c:v>
                </c:pt>
                <c:pt idx="1">
                  <c:v>2022</c:v>
                </c:pt>
                <c:pt idx="2">
                  <c:v>2023</c:v>
                </c:pt>
                <c:pt idx="3">
                  <c:v>2024</c:v>
                </c:pt>
                <c:pt idx="4">
                  <c:v>2025</c:v>
                </c:pt>
              </c:numCache>
            </c:numRef>
          </c:cat>
          <c:val>
            <c:numRef>
              <c:f>'Financial health check'!$C$159:$C$163</c:f>
              <c:numCache>
                <c:formatCode>0.000</c:formatCode>
                <c:ptCount val="5"/>
                <c:pt idx="0">
                  <c:v>1.714285714285714E-2</c:v>
                </c:pt>
                <c:pt idx="1">
                  <c:v>5.1340206185567012E-2</c:v>
                </c:pt>
                <c:pt idx="2">
                  <c:v>7.3469387755102047E-2</c:v>
                </c:pt>
                <c:pt idx="3">
                  <c:v>8.0599999999999991E-2</c:v>
                </c:pt>
                <c:pt idx="4">
                  <c:v>6.4545454545454545E-2</c:v>
                </c:pt>
              </c:numCache>
            </c:numRef>
          </c:val>
          <c:extLst>
            <c:ext xmlns:c16="http://schemas.microsoft.com/office/drawing/2014/chart" uri="{C3380CC4-5D6E-409C-BE32-E72D297353CC}">
              <c16:uniqueId val="{00000001-1F8E-4403-9D09-6EB36F8B0372}"/>
            </c:ext>
          </c:extLst>
        </c:ser>
        <c:dLbls>
          <c:showLegendKey val="0"/>
          <c:showVal val="0"/>
          <c:showCatName val="0"/>
          <c:showSerName val="0"/>
          <c:showPercent val="0"/>
          <c:showBubbleSize val="0"/>
        </c:dLbls>
        <c:gapWidth val="219"/>
        <c:overlap val="-27"/>
        <c:axId val="1402935376"/>
        <c:axId val="1402921456"/>
      </c:barChart>
      <c:lineChart>
        <c:grouping val="standard"/>
        <c:varyColors val="0"/>
        <c:ser>
          <c:idx val="2"/>
          <c:order val="2"/>
          <c:tx>
            <c:strRef>
              <c:f>'Financial health check'!$D$158</c:f>
              <c:strCache>
                <c:ptCount val="1"/>
                <c:pt idx="0">
                  <c:v>Cash Flow Margin</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'Financial health check'!$A$159:$A$163</c:f>
              <c:numCache>
                <c:formatCode>General</c:formatCode>
                <c:ptCount val="5"/>
                <c:pt idx="0">
                  <c:v>2021</c:v>
                </c:pt>
                <c:pt idx="1">
                  <c:v>2022</c:v>
                </c:pt>
                <c:pt idx="2">
                  <c:v>2023</c:v>
                </c:pt>
                <c:pt idx="3">
                  <c:v>2024</c:v>
                </c:pt>
                <c:pt idx="4">
                  <c:v>2025</c:v>
                </c:pt>
              </c:numCache>
            </c:numRef>
          </c:cat>
          <c:val>
            <c:numRef>
              <c:f>'Financial health check'!$D$159:$D$163</c:f>
              <c:numCache>
                <c:formatCode>0.00%</c:formatCode>
                <c:ptCount val="5"/>
                <c:pt idx="0">
                  <c:v>1.6666666666666666E-2</c:v>
                </c:pt>
                <c:pt idx="1">
                  <c:v>4.69811320754717E-2</c:v>
                </c:pt>
                <c:pt idx="2">
                  <c:v>5.9800664451827246E-2</c:v>
                </c:pt>
                <c:pt idx="3">
                  <c:v>6.2239382239382232E-2</c:v>
                </c:pt>
                <c:pt idx="4">
                  <c:v>5.1951219512195126E-2</c:v>
                </c:pt>
              </c:numCache>
            </c:numRef>
          </c:val>
          <c:smooth val="0"/>
          <c:extLst>
            <c:ext xmlns:c16="http://schemas.microsoft.com/office/drawing/2014/chart" uri="{C3380CC4-5D6E-409C-BE32-E72D297353CC}">
              <c16:uniqueId val="{00000002-1F8E-4403-9D09-6EB36F8B0372}"/>
            </c:ext>
          </c:extLst>
        </c:ser>
        <c:dLbls>
          <c:showLegendKey val="0"/>
          <c:showVal val="0"/>
          <c:showCatName val="0"/>
          <c:showSerName val="0"/>
          <c:showPercent val="0"/>
          <c:showBubbleSize val="0"/>
        </c:dLbls>
        <c:marker val="1"/>
        <c:smooth val="0"/>
        <c:axId val="1402935376"/>
        <c:axId val="1402921456"/>
      </c:lineChart>
      <c:catAx>
        <c:axId val="1402935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921456"/>
        <c:crosses val="autoZero"/>
        <c:auto val="1"/>
        <c:lblAlgn val="ctr"/>
        <c:lblOffset val="100"/>
        <c:noMultiLvlLbl val="0"/>
      </c:catAx>
      <c:valAx>
        <c:axId val="14029214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935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2CF941-A9EA-4F7E-9CF7-404D75F31F92}" type="doc">
      <dgm:prSet loTypeId="urn:microsoft.com/office/officeart/2005/8/layout/list1" loCatId="list" qsTypeId="urn:microsoft.com/office/officeart/2005/8/quickstyle/simple1" qsCatId="simple" csTypeId="urn:microsoft.com/office/officeart/2005/8/colors/accent0_2" csCatId="mainScheme" phldr="1"/>
      <dgm:spPr/>
      <dgm:t>
        <a:bodyPr/>
        <a:lstStyle/>
        <a:p>
          <a:endParaRPr lang="en-GB"/>
        </a:p>
      </dgm:t>
    </dgm:pt>
    <dgm:pt modelId="{66F44D79-6199-4D4C-962F-C44FD117EE4C}">
      <dgm:prSet phldrT="[Text]"/>
      <dgm:spPr/>
      <dgm:t>
        <a:bodyPr/>
        <a:lstStyle/>
        <a:p>
          <a:pPr>
            <a:buNone/>
          </a:pPr>
          <a:r>
            <a:rPr lang="en-GB"/>
            <a:t>Debt restructuring</a:t>
          </a:r>
        </a:p>
      </dgm:t>
    </dgm:pt>
    <dgm:pt modelId="{640EF9F9-3334-4A21-92F0-9F9235EC656D}" type="parTrans" cxnId="{E3A845A6-B988-4E21-97E0-330CFE080FA8}">
      <dgm:prSet/>
      <dgm:spPr/>
      <dgm:t>
        <a:bodyPr/>
        <a:lstStyle/>
        <a:p>
          <a:endParaRPr lang="en-GB"/>
        </a:p>
      </dgm:t>
    </dgm:pt>
    <dgm:pt modelId="{48B7195C-E92E-44E2-AA00-87485785BDE1}" type="sibTrans" cxnId="{E3A845A6-B988-4E21-97E0-330CFE080FA8}">
      <dgm:prSet/>
      <dgm:spPr/>
      <dgm:t>
        <a:bodyPr/>
        <a:lstStyle/>
        <a:p>
          <a:endParaRPr lang="en-GB"/>
        </a:p>
      </dgm:t>
    </dgm:pt>
    <dgm:pt modelId="{6CB7F36A-BE25-4EFC-B21A-45C3A7E0FA79}">
      <dgm:prSet phldrT="[Text]"/>
      <dgm:spPr/>
      <dgm:t>
        <a:bodyPr/>
        <a:lstStyle/>
        <a:p>
          <a:pPr>
            <a:buNone/>
          </a:pPr>
          <a:r>
            <a:rPr lang="en-GB"/>
            <a:t>Equity financing</a:t>
          </a:r>
        </a:p>
      </dgm:t>
    </dgm:pt>
    <dgm:pt modelId="{F7EB6E90-5681-4CA6-B1EC-F69571653E7A}" type="parTrans" cxnId="{B54C7654-56AF-4367-9B8D-CE0576D0B31B}">
      <dgm:prSet/>
      <dgm:spPr/>
      <dgm:t>
        <a:bodyPr/>
        <a:lstStyle/>
        <a:p>
          <a:endParaRPr lang="en-GB"/>
        </a:p>
      </dgm:t>
    </dgm:pt>
    <dgm:pt modelId="{98F4F4B4-8DC5-4CF0-8ADB-35E8717B695F}" type="sibTrans" cxnId="{B54C7654-56AF-4367-9B8D-CE0576D0B31B}">
      <dgm:prSet/>
      <dgm:spPr/>
      <dgm:t>
        <a:bodyPr/>
        <a:lstStyle/>
        <a:p>
          <a:endParaRPr lang="en-GB"/>
        </a:p>
      </dgm:t>
    </dgm:pt>
    <dgm:pt modelId="{CC08E378-3FF1-4B73-8D87-0208105A06D1}">
      <dgm:prSet phldrT="[Text]"/>
      <dgm:spPr/>
      <dgm:t>
        <a:bodyPr/>
        <a:lstStyle/>
        <a:p>
          <a:pPr>
            <a:buNone/>
          </a:pPr>
          <a:r>
            <a:rPr lang="en-GB"/>
            <a:t>Asset divestiture</a:t>
          </a:r>
        </a:p>
      </dgm:t>
    </dgm:pt>
    <dgm:pt modelId="{1F48394F-3B39-487C-AFFB-8647336C324F}" type="parTrans" cxnId="{3BEE6F00-B08C-4126-ACC5-97146C364B1C}">
      <dgm:prSet/>
      <dgm:spPr/>
      <dgm:t>
        <a:bodyPr/>
        <a:lstStyle/>
        <a:p>
          <a:endParaRPr lang="en-GB"/>
        </a:p>
      </dgm:t>
    </dgm:pt>
    <dgm:pt modelId="{B46B0FBA-6B9F-4A96-9E34-734D23B4AAA2}" type="sibTrans" cxnId="{3BEE6F00-B08C-4126-ACC5-97146C364B1C}">
      <dgm:prSet/>
      <dgm:spPr/>
      <dgm:t>
        <a:bodyPr/>
        <a:lstStyle/>
        <a:p>
          <a:endParaRPr lang="en-GB"/>
        </a:p>
      </dgm:t>
    </dgm:pt>
    <dgm:pt modelId="{FB1FA8E0-7451-4012-AB07-E8A935B07501}">
      <dgm:prSet phldrT="[Text]"/>
      <dgm:spPr/>
      <dgm:t>
        <a:bodyPr/>
        <a:lstStyle/>
        <a:p>
          <a:pPr>
            <a:buNone/>
          </a:pPr>
          <a:r>
            <a:rPr lang="en-GB"/>
            <a:t>Mergers</a:t>
          </a:r>
        </a:p>
      </dgm:t>
    </dgm:pt>
    <dgm:pt modelId="{A236BFB9-28CC-4D47-83C6-71E98EBC58D0}" type="parTrans" cxnId="{2F1288FB-6EEA-42DD-833E-4135735920EC}">
      <dgm:prSet/>
      <dgm:spPr/>
      <dgm:t>
        <a:bodyPr/>
        <a:lstStyle/>
        <a:p>
          <a:endParaRPr lang="en-GB"/>
        </a:p>
      </dgm:t>
    </dgm:pt>
    <dgm:pt modelId="{2A66CB0A-CFF8-4A26-B749-70BCA348A19C}" type="sibTrans" cxnId="{2F1288FB-6EEA-42DD-833E-4135735920EC}">
      <dgm:prSet/>
      <dgm:spPr/>
      <dgm:t>
        <a:bodyPr/>
        <a:lstStyle/>
        <a:p>
          <a:endParaRPr lang="en-GB"/>
        </a:p>
      </dgm:t>
    </dgm:pt>
    <dgm:pt modelId="{543D3167-0EC5-4A6A-8EE4-DB839EAD5711}" type="pres">
      <dgm:prSet presAssocID="{A92CF941-A9EA-4F7E-9CF7-404D75F31F92}" presName="linear" presStyleCnt="0">
        <dgm:presLayoutVars>
          <dgm:dir/>
          <dgm:animLvl val="lvl"/>
          <dgm:resizeHandles val="exact"/>
        </dgm:presLayoutVars>
      </dgm:prSet>
      <dgm:spPr/>
    </dgm:pt>
    <dgm:pt modelId="{6DB6B3D5-A73F-4074-8C34-9735A880C0B3}" type="pres">
      <dgm:prSet presAssocID="{66F44D79-6199-4D4C-962F-C44FD117EE4C}" presName="parentLin" presStyleCnt="0"/>
      <dgm:spPr/>
    </dgm:pt>
    <dgm:pt modelId="{FA83A334-6E03-4265-B2EA-EEC5178E48FB}" type="pres">
      <dgm:prSet presAssocID="{66F44D79-6199-4D4C-962F-C44FD117EE4C}" presName="parentLeftMargin" presStyleLbl="node1" presStyleIdx="0" presStyleCnt="4"/>
      <dgm:spPr/>
    </dgm:pt>
    <dgm:pt modelId="{37731EE3-2953-4AA6-AB15-232D609A5677}" type="pres">
      <dgm:prSet presAssocID="{66F44D79-6199-4D4C-962F-C44FD117EE4C}" presName="parentText" presStyleLbl="node1" presStyleIdx="0" presStyleCnt="4">
        <dgm:presLayoutVars>
          <dgm:chMax val="0"/>
          <dgm:bulletEnabled val="1"/>
        </dgm:presLayoutVars>
      </dgm:prSet>
      <dgm:spPr/>
    </dgm:pt>
    <dgm:pt modelId="{246DC2CB-0090-447F-B3A0-7CDCD6E46884}" type="pres">
      <dgm:prSet presAssocID="{66F44D79-6199-4D4C-962F-C44FD117EE4C}" presName="negativeSpace" presStyleCnt="0"/>
      <dgm:spPr/>
    </dgm:pt>
    <dgm:pt modelId="{99E69E79-30E0-425C-B2D6-525ABD29474D}" type="pres">
      <dgm:prSet presAssocID="{66F44D79-6199-4D4C-962F-C44FD117EE4C}" presName="childText" presStyleLbl="conFgAcc1" presStyleIdx="0" presStyleCnt="4">
        <dgm:presLayoutVars>
          <dgm:bulletEnabled val="1"/>
        </dgm:presLayoutVars>
      </dgm:prSet>
      <dgm:spPr/>
    </dgm:pt>
    <dgm:pt modelId="{A7F72ED8-0E21-42F0-BCE8-7A6CCD342272}" type="pres">
      <dgm:prSet presAssocID="{48B7195C-E92E-44E2-AA00-87485785BDE1}" presName="spaceBetweenRectangles" presStyleCnt="0"/>
      <dgm:spPr/>
    </dgm:pt>
    <dgm:pt modelId="{7A8033CB-826D-4BC8-86E2-57232939EE99}" type="pres">
      <dgm:prSet presAssocID="{6CB7F36A-BE25-4EFC-B21A-45C3A7E0FA79}" presName="parentLin" presStyleCnt="0"/>
      <dgm:spPr/>
    </dgm:pt>
    <dgm:pt modelId="{308ABB3F-AA2D-4EA1-B307-70E319EE73BF}" type="pres">
      <dgm:prSet presAssocID="{6CB7F36A-BE25-4EFC-B21A-45C3A7E0FA79}" presName="parentLeftMargin" presStyleLbl="node1" presStyleIdx="0" presStyleCnt="4"/>
      <dgm:spPr/>
    </dgm:pt>
    <dgm:pt modelId="{B4A9749F-A2ED-4095-95BD-1BF16C9E08C5}" type="pres">
      <dgm:prSet presAssocID="{6CB7F36A-BE25-4EFC-B21A-45C3A7E0FA79}" presName="parentText" presStyleLbl="node1" presStyleIdx="1" presStyleCnt="4">
        <dgm:presLayoutVars>
          <dgm:chMax val="0"/>
          <dgm:bulletEnabled val="1"/>
        </dgm:presLayoutVars>
      </dgm:prSet>
      <dgm:spPr/>
    </dgm:pt>
    <dgm:pt modelId="{B42FBBEA-EC07-46A3-AFF2-5FEC3E22C7BD}" type="pres">
      <dgm:prSet presAssocID="{6CB7F36A-BE25-4EFC-B21A-45C3A7E0FA79}" presName="negativeSpace" presStyleCnt="0"/>
      <dgm:spPr/>
    </dgm:pt>
    <dgm:pt modelId="{49FE2A5A-7F1A-43A6-AEBE-89C0AC6F0755}" type="pres">
      <dgm:prSet presAssocID="{6CB7F36A-BE25-4EFC-B21A-45C3A7E0FA79}" presName="childText" presStyleLbl="conFgAcc1" presStyleIdx="1" presStyleCnt="4">
        <dgm:presLayoutVars>
          <dgm:bulletEnabled val="1"/>
        </dgm:presLayoutVars>
      </dgm:prSet>
      <dgm:spPr/>
    </dgm:pt>
    <dgm:pt modelId="{0F16F951-1DC7-4375-903D-71B3E3658954}" type="pres">
      <dgm:prSet presAssocID="{98F4F4B4-8DC5-4CF0-8ADB-35E8717B695F}" presName="spaceBetweenRectangles" presStyleCnt="0"/>
      <dgm:spPr/>
    </dgm:pt>
    <dgm:pt modelId="{93F8B25A-8D4C-4943-BB18-9D7196E26B71}" type="pres">
      <dgm:prSet presAssocID="{CC08E378-3FF1-4B73-8D87-0208105A06D1}" presName="parentLin" presStyleCnt="0"/>
      <dgm:spPr/>
    </dgm:pt>
    <dgm:pt modelId="{31CE0B1D-A4B6-4D58-8A31-ED156ACBE125}" type="pres">
      <dgm:prSet presAssocID="{CC08E378-3FF1-4B73-8D87-0208105A06D1}" presName="parentLeftMargin" presStyleLbl="node1" presStyleIdx="1" presStyleCnt="4"/>
      <dgm:spPr/>
    </dgm:pt>
    <dgm:pt modelId="{C1EDAD80-D2D1-4663-8DB6-3E5593327683}" type="pres">
      <dgm:prSet presAssocID="{CC08E378-3FF1-4B73-8D87-0208105A06D1}" presName="parentText" presStyleLbl="node1" presStyleIdx="2" presStyleCnt="4">
        <dgm:presLayoutVars>
          <dgm:chMax val="0"/>
          <dgm:bulletEnabled val="1"/>
        </dgm:presLayoutVars>
      </dgm:prSet>
      <dgm:spPr/>
    </dgm:pt>
    <dgm:pt modelId="{0BF829D3-0D08-4135-9F26-A77B3BBFE1DD}" type="pres">
      <dgm:prSet presAssocID="{CC08E378-3FF1-4B73-8D87-0208105A06D1}" presName="negativeSpace" presStyleCnt="0"/>
      <dgm:spPr/>
    </dgm:pt>
    <dgm:pt modelId="{5DC5FB34-7974-4605-9B65-1615269E78E1}" type="pres">
      <dgm:prSet presAssocID="{CC08E378-3FF1-4B73-8D87-0208105A06D1}" presName="childText" presStyleLbl="conFgAcc1" presStyleIdx="2" presStyleCnt="4">
        <dgm:presLayoutVars>
          <dgm:bulletEnabled val="1"/>
        </dgm:presLayoutVars>
      </dgm:prSet>
      <dgm:spPr/>
    </dgm:pt>
    <dgm:pt modelId="{C87446EA-842B-4595-94E3-E235A44A74EB}" type="pres">
      <dgm:prSet presAssocID="{B46B0FBA-6B9F-4A96-9E34-734D23B4AAA2}" presName="spaceBetweenRectangles" presStyleCnt="0"/>
      <dgm:spPr/>
    </dgm:pt>
    <dgm:pt modelId="{13441477-7718-4772-AB31-F4944ED412B1}" type="pres">
      <dgm:prSet presAssocID="{FB1FA8E0-7451-4012-AB07-E8A935B07501}" presName="parentLin" presStyleCnt="0"/>
      <dgm:spPr/>
    </dgm:pt>
    <dgm:pt modelId="{8A6A5F9D-F19B-474D-ACA9-457B75011DA1}" type="pres">
      <dgm:prSet presAssocID="{FB1FA8E0-7451-4012-AB07-E8A935B07501}" presName="parentLeftMargin" presStyleLbl="node1" presStyleIdx="2" presStyleCnt="4"/>
      <dgm:spPr/>
    </dgm:pt>
    <dgm:pt modelId="{4405D180-330B-4FA8-9227-AC5563A20615}" type="pres">
      <dgm:prSet presAssocID="{FB1FA8E0-7451-4012-AB07-E8A935B07501}" presName="parentText" presStyleLbl="node1" presStyleIdx="3" presStyleCnt="4">
        <dgm:presLayoutVars>
          <dgm:chMax val="0"/>
          <dgm:bulletEnabled val="1"/>
        </dgm:presLayoutVars>
      </dgm:prSet>
      <dgm:spPr/>
    </dgm:pt>
    <dgm:pt modelId="{FB233E4A-50D3-4640-AC0E-AB38892ABC09}" type="pres">
      <dgm:prSet presAssocID="{FB1FA8E0-7451-4012-AB07-E8A935B07501}" presName="negativeSpace" presStyleCnt="0"/>
      <dgm:spPr/>
    </dgm:pt>
    <dgm:pt modelId="{D87B121E-6431-4323-8088-A71DE9FB6E64}" type="pres">
      <dgm:prSet presAssocID="{FB1FA8E0-7451-4012-AB07-E8A935B07501}" presName="childText" presStyleLbl="conFgAcc1" presStyleIdx="3" presStyleCnt="4">
        <dgm:presLayoutVars>
          <dgm:bulletEnabled val="1"/>
        </dgm:presLayoutVars>
      </dgm:prSet>
      <dgm:spPr/>
    </dgm:pt>
  </dgm:ptLst>
  <dgm:cxnLst>
    <dgm:cxn modelId="{3BEE6F00-B08C-4126-ACC5-97146C364B1C}" srcId="{A92CF941-A9EA-4F7E-9CF7-404D75F31F92}" destId="{CC08E378-3FF1-4B73-8D87-0208105A06D1}" srcOrd="2" destOrd="0" parTransId="{1F48394F-3B39-487C-AFFB-8647336C324F}" sibTransId="{B46B0FBA-6B9F-4A96-9E34-734D23B4AAA2}"/>
    <dgm:cxn modelId="{CBD3CA06-30B4-4CC3-8938-C683D91E249B}" type="presOf" srcId="{CC08E378-3FF1-4B73-8D87-0208105A06D1}" destId="{31CE0B1D-A4B6-4D58-8A31-ED156ACBE125}" srcOrd="0" destOrd="0" presId="urn:microsoft.com/office/officeart/2005/8/layout/list1"/>
    <dgm:cxn modelId="{7C477A0C-E5E8-4EB1-BED8-19CE70D40161}" type="presOf" srcId="{CC08E378-3FF1-4B73-8D87-0208105A06D1}" destId="{C1EDAD80-D2D1-4663-8DB6-3E5593327683}" srcOrd="1" destOrd="0" presId="urn:microsoft.com/office/officeart/2005/8/layout/list1"/>
    <dgm:cxn modelId="{E8A69814-CCBA-4C3F-BE8A-A641EF567907}" type="presOf" srcId="{66F44D79-6199-4D4C-962F-C44FD117EE4C}" destId="{37731EE3-2953-4AA6-AB15-232D609A5677}" srcOrd="1" destOrd="0" presId="urn:microsoft.com/office/officeart/2005/8/layout/list1"/>
    <dgm:cxn modelId="{31653115-6E7C-4101-AE50-DBB4D6BEE93B}" type="presOf" srcId="{6CB7F36A-BE25-4EFC-B21A-45C3A7E0FA79}" destId="{B4A9749F-A2ED-4095-95BD-1BF16C9E08C5}" srcOrd="1" destOrd="0" presId="urn:microsoft.com/office/officeart/2005/8/layout/list1"/>
    <dgm:cxn modelId="{CDFB9531-41C5-4DA5-A174-0243E21C50C9}" type="presOf" srcId="{A92CF941-A9EA-4F7E-9CF7-404D75F31F92}" destId="{543D3167-0EC5-4A6A-8EE4-DB839EAD5711}" srcOrd="0" destOrd="0" presId="urn:microsoft.com/office/officeart/2005/8/layout/list1"/>
    <dgm:cxn modelId="{3A52B033-5E20-4F7E-8B01-AC62AB28F8F7}" type="presOf" srcId="{FB1FA8E0-7451-4012-AB07-E8A935B07501}" destId="{4405D180-330B-4FA8-9227-AC5563A20615}" srcOrd="1" destOrd="0" presId="urn:microsoft.com/office/officeart/2005/8/layout/list1"/>
    <dgm:cxn modelId="{B54C7654-56AF-4367-9B8D-CE0576D0B31B}" srcId="{A92CF941-A9EA-4F7E-9CF7-404D75F31F92}" destId="{6CB7F36A-BE25-4EFC-B21A-45C3A7E0FA79}" srcOrd="1" destOrd="0" parTransId="{F7EB6E90-5681-4CA6-B1EC-F69571653E7A}" sibTransId="{98F4F4B4-8DC5-4CF0-8ADB-35E8717B695F}"/>
    <dgm:cxn modelId="{8D192458-BF2A-4F3E-B008-5D1855178A6F}" type="presOf" srcId="{6CB7F36A-BE25-4EFC-B21A-45C3A7E0FA79}" destId="{308ABB3F-AA2D-4EA1-B307-70E319EE73BF}" srcOrd="0" destOrd="0" presId="urn:microsoft.com/office/officeart/2005/8/layout/list1"/>
    <dgm:cxn modelId="{E3A845A6-B988-4E21-97E0-330CFE080FA8}" srcId="{A92CF941-A9EA-4F7E-9CF7-404D75F31F92}" destId="{66F44D79-6199-4D4C-962F-C44FD117EE4C}" srcOrd="0" destOrd="0" parTransId="{640EF9F9-3334-4A21-92F0-9F9235EC656D}" sibTransId="{48B7195C-E92E-44E2-AA00-87485785BDE1}"/>
    <dgm:cxn modelId="{3C863AB5-322E-41E8-B376-0E04D2547BCF}" type="presOf" srcId="{66F44D79-6199-4D4C-962F-C44FD117EE4C}" destId="{FA83A334-6E03-4265-B2EA-EEC5178E48FB}" srcOrd="0" destOrd="0" presId="urn:microsoft.com/office/officeart/2005/8/layout/list1"/>
    <dgm:cxn modelId="{E1E24CE8-49A2-4489-9928-A12043D665DA}" type="presOf" srcId="{FB1FA8E0-7451-4012-AB07-E8A935B07501}" destId="{8A6A5F9D-F19B-474D-ACA9-457B75011DA1}" srcOrd="0" destOrd="0" presId="urn:microsoft.com/office/officeart/2005/8/layout/list1"/>
    <dgm:cxn modelId="{2F1288FB-6EEA-42DD-833E-4135735920EC}" srcId="{A92CF941-A9EA-4F7E-9CF7-404D75F31F92}" destId="{FB1FA8E0-7451-4012-AB07-E8A935B07501}" srcOrd="3" destOrd="0" parTransId="{A236BFB9-28CC-4D47-83C6-71E98EBC58D0}" sibTransId="{2A66CB0A-CFF8-4A26-B749-70BCA348A19C}"/>
    <dgm:cxn modelId="{F5ECE8BC-5975-41E9-99DA-02157DDF4931}" type="presParOf" srcId="{543D3167-0EC5-4A6A-8EE4-DB839EAD5711}" destId="{6DB6B3D5-A73F-4074-8C34-9735A880C0B3}" srcOrd="0" destOrd="0" presId="urn:microsoft.com/office/officeart/2005/8/layout/list1"/>
    <dgm:cxn modelId="{E99A63F9-7C57-439D-BE7A-6B1ECF4CAE42}" type="presParOf" srcId="{6DB6B3D5-A73F-4074-8C34-9735A880C0B3}" destId="{FA83A334-6E03-4265-B2EA-EEC5178E48FB}" srcOrd="0" destOrd="0" presId="urn:microsoft.com/office/officeart/2005/8/layout/list1"/>
    <dgm:cxn modelId="{BD6995F3-AEA5-492F-BC6F-284D32DF9550}" type="presParOf" srcId="{6DB6B3D5-A73F-4074-8C34-9735A880C0B3}" destId="{37731EE3-2953-4AA6-AB15-232D609A5677}" srcOrd="1" destOrd="0" presId="urn:microsoft.com/office/officeart/2005/8/layout/list1"/>
    <dgm:cxn modelId="{3516E846-AEB2-4115-8A8D-CD5AB34A8E43}" type="presParOf" srcId="{543D3167-0EC5-4A6A-8EE4-DB839EAD5711}" destId="{246DC2CB-0090-447F-B3A0-7CDCD6E46884}" srcOrd="1" destOrd="0" presId="urn:microsoft.com/office/officeart/2005/8/layout/list1"/>
    <dgm:cxn modelId="{BC87E218-8EF1-4E27-BF52-D03AC0A4E347}" type="presParOf" srcId="{543D3167-0EC5-4A6A-8EE4-DB839EAD5711}" destId="{99E69E79-30E0-425C-B2D6-525ABD29474D}" srcOrd="2" destOrd="0" presId="urn:microsoft.com/office/officeart/2005/8/layout/list1"/>
    <dgm:cxn modelId="{8B52FD98-06D6-4253-A115-636E21B54455}" type="presParOf" srcId="{543D3167-0EC5-4A6A-8EE4-DB839EAD5711}" destId="{A7F72ED8-0E21-42F0-BCE8-7A6CCD342272}" srcOrd="3" destOrd="0" presId="urn:microsoft.com/office/officeart/2005/8/layout/list1"/>
    <dgm:cxn modelId="{3AC6D91A-002F-49EE-B32B-7582084FE885}" type="presParOf" srcId="{543D3167-0EC5-4A6A-8EE4-DB839EAD5711}" destId="{7A8033CB-826D-4BC8-86E2-57232939EE99}" srcOrd="4" destOrd="0" presId="urn:microsoft.com/office/officeart/2005/8/layout/list1"/>
    <dgm:cxn modelId="{53F9EB70-79B6-4E3C-9C2F-326DE26D57D4}" type="presParOf" srcId="{7A8033CB-826D-4BC8-86E2-57232939EE99}" destId="{308ABB3F-AA2D-4EA1-B307-70E319EE73BF}" srcOrd="0" destOrd="0" presId="urn:microsoft.com/office/officeart/2005/8/layout/list1"/>
    <dgm:cxn modelId="{8E7A2A2D-FF64-454B-ABB1-0880A133EB7D}" type="presParOf" srcId="{7A8033CB-826D-4BC8-86E2-57232939EE99}" destId="{B4A9749F-A2ED-4095-95BD-1BF16C9E08C5}" srcOrd="1" destOrd="0" presId="urn:microsoft.com/office/officeart/2005/8/layout/list1"/>
    <dgm:cxn modelId="{51EF84DD-F4E2-410F-990C-DFE9498D3836}" type="presParOf" srcId="{543D3167-0EC5-4A6A-8EE4-DB839EAD5711}" destId="{B42FBBEA-EC07-46A3-AFF2-5FEC3E22C7BD}" srcOrd="5" destOrd="0" presId="urn:microsoft.com/office/officeart/2005/8/layout/list1"/>
    <dgm:cxn modelId="{E9F1A8A4-F1F2-49A4-AEA5-1314E33E46E1}" type="presParOf" srcId="{543D3167-0EC5-4A6A-8EE4-DB839EAD5711}" destId="{49FE2A5A-7F1A-43A6-AEBE-89C0AC6F0755}" srcOrd="6" destOrd="0" presId="urn:microsoft.com/office/officeart/2005/8/layout/list1"/>
    <dgm:cxn modelId="{9C82549D-7921-4927-9DE9-ED90DA6FD625}" type="presParOf" srcId="{543D3167-0EC5-4A6A-8EE4-DB839EAD5711}" destId="{0F16F951-1DC7-4375-903D-71B3E3658954}" srcOrd="7" destOrd="0" presId="urn:microsoft.com/office/officeart/2005/8/layout/list1"/>
    <dgm:cxn modelId="{3EF785B5-DA2C-4FD9-A7D7-02C2B637B5FF}" type="presParOf" srcId="{543D3167-0EC5-4A6A-8EE4-DB839EAD5711}" destId="{93F8B25A-8D4C-4943-BB18-9D7196E26B71}" srcOrd="8" destOrd="0" presId="urn:microsoft.com/office/officeart/2005/8/layout/list1"/>
    <dgm:cxn modelId="{D9154EE2-8102-49DD-B2EF-C8AA76C0CA7D}" type="presParOf" srcId="{93F8B25A-8D4C-4943-BB18-9D7196E26B71}" destId="{31CE0B1D-A4B6-4D58-8A31-ED156ACBE125}" srcOrd="0" destOrd="0" presId="urn:microsoft.com/office/officeart/2005/8/layout/list1"/>
    <dgm:cxn modelId="{DFE380BA-117B-4980-A347-7A93CD754F29}" type="presParOf" srcId="{93F8B25A-8D4C-4943-BB18-9D7196E26B71}" destId="{C1EDAD80-D2D1-4663-8DB6-3E5593327683}" srcOrd="1" destOrd="0" presId="urn:microsoft.com/office/officeart/2005/8/layout/list1"/>
    <dgm:cxn modelId="{E3F545BA-F00E-4478-9BC8-66E068B34B23}" type="presParOf" srcId="{543D3167-0EC5-4A6A-8EE4-DB839EAD5711}" destId="{0BF829D3-0D08-4135-9F26-A77B3BBFE1DD}" srcOrd="9" destOrd="0" presId="urn:microsoft.com/office/officeart/2005/8/layout/list1"/>
    <dgm:cxn modelId="{4B29FF97-58D9-4C89-ACB8-81CBD6CF11E3}" type="presParOf" srcId="{543D3167-0EC5-4A6A-8EE4-DB839EAD5711}" destId="{5DC5FB34-7974-4605-9B65-1615269E78E1}" srcOrd="10" destOrd="0" presId="urn:microsoft.com/office/officeart/2005/8/layout/list1"/>
    <dgm:cxn modelId="{4C7DDFA8-02E2-4C55-B385-6F5E2A902A4A}" type="presParOf" srcId="{543D3167-0EC5-4A6A-8EE4-DB839EAD5711}" destId="{C87446EA-842B-4595-94E3-E235A44A74EB}" srcOrd="11" destOrd="0" presId="urn:microsoft.com/office/officeart/2005/8/layout/list1"/>
    <dgm:cxn modelId="{9D0A2B31-C866-4641-BE78-5A0EA2958EB6}" type="presParOf" srcId="{543D3167-0EC5-4A6A-8EE4-DB839EAD5711}" destId="{13441477-7718-4772-AB31-F4944ED412B1}" srcOrd="12" destOrd="0" presId="urn:microsoft.com/office/officeart/2005/8/layout/list1"/>
    <dgm:cxn modelId="{EA24304F-A8F3-42AC-877D-5F19A60F9C47}" type="presParOf" srcId="{13441477-7718-4772-AB31-F4944ED412B1}" destId="{8A6A5F9D-F19B-474D-ACA9-457B75011DA1}" srcOrd="0" destOrd="0" presId="urn:microsoft.com/office/officeart/2005/8/layout/list1"/>
    <dgm:cxn modelId="{3F596A1D-468A-4905-A89D-E53424814B6E}" type="presParOf" srcId="{13441477-7718-4772-AB31-F4944ED412B1}" destId="{4405D180-330B-4FA8-9227-AC5563A20615}" srcOrd="1" destOrd="0" presId="urn:microsoft.com/office/officeart/2005/8/layout/list1"/>
    <dgm:cxn modelId="{7837FEB7-46F6-4569-82FF-6439D8C6B9FD}" type="presParOf" srcId="{543D3167-0EC5-4A6A-8EE4-DB839EAD5711}" destId="{FB233E4A-50D3-4640-AC0E-AB38892ABC09}" srcOrd="13" destOrd="0" presId="urn:microsoft.com/office/officeart/2005/8/layout/list1"/>
    <dgm:cxn modelId="{F7719E2E-95E7-4E5A-B538-3DA7634A3BF5}" type="presParOf" srcId="{543D3167-0EC5-4A6A-8EE4-DB839EAD5711}" destId="{D87B121E-6431-4323-8088-A71DE9FB6E64}" srcOrd="14"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E69E79-30E0-425C-B2D6-525ABD29474D}">
      <dsp:nvSpPr>
        <dsp:cNvPr id="0" name=""/>
        <dsp:cNvSpPr/>
      </dsp:nvSpPr>
      <dsp:spPr>
        <a:xfrm>
          <a:off x="0" y="264169"/>
          <a:ext cx="4675367" cy="327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731EE3-2953-4AA6-AB15-232D609A5677}">
      <dsp:nvSpPr>
        <dsp:cNvPr id="0" name=""/>
        <dsp:cNvSpPr/>
      </dsp:nvSpPr>
      <dsp:spPr>
        <a:xfrm>
          <a:off x="233768" y="72289"/>
          <a:ext cx="3272756" cy="3837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3702" tIns="0" rIns="123702" bIns="0" numCol="1" spcCol="1270" anchor="ctr" anchorCtr="0">
          <a:noAutofit/>
        </a:bodyPr>
        <a:lstStyle/>
        <a:p>
          <a:pPr marL="0" lvl="0" indent="0" algn="l" defTabSz="577850">
            <a:lnSpc>
              <a:spcPct val="90000"/>
            </a:lnSpc>
            <a:spcBef>
              <a:spcPct val="0"/>
            </a:spcBef>
            <a:spcAft>
              <a:spcPct val="35000"/>
            </a:spcAft>
            <a:buNone/>
          </a:pPr>
          <a:r>
            <a:rPr lang="en-GB" sz="1300" kern="1200"/>
            <a:t>Debt restructuring</a:t>
          </a:r>
        </a:p>
      </dsp:txBody>
      <dsp:txXfrm>
        <a:off x="252502" y="91023"/>
        <a:ext cx="3235288" cy="346292"/>
      </dsp:txXfrm>
    </dsp:sp>
    <dsp:sp modelId="{49FE2A5A-7F1A-43A6-AEBE-89C0AC6F0755}">
      <dsp:nvSpPr>
        <dsp:cNvPr id="0" name=""/>
        <dsp:cNvSpPr/>
      </dsp:nvSpPr>
      <dsp:spPr>
        <a:xfrm>
          <a:off x="0" y="853849"/>
          <a:ext cx="4675367" cy="327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4A9749F-A2ED-4095-95BD-1BF16C9E08C5}">
      <dsp:nvSpPr>
        <dsp:cNvPr id="0" name=""/>
        <dsp:cNvSpPr/>
      </dsp:nvSpPr>
      <dsp:spPr>
        <a:xfrm>
          <a:off x="233768" y="661969"/>
          <a:ext cx="3272756" cy="3837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3702" tIns="0" rIns="123702" bIns="0" numCol="1" spcCol="1270" anchor="ctr" anchorCtr="0">
          <a:noAutofit/>
        </a:bodyPr>
        <a:lstStyle/>
        <a:p>
          <a:pPr marL="0" lvl="0" indent="0" algn="l" defTabSz="577850">
            <a:lnSpc>
              <a:spcPct val="90000"/>
            </a:lnSpc>
            <a:spcBef>
              <a:spcPct val="0"/>
            </a:spcBef>
            <a:spcAft>
              <a:spcPct val="35000"/>
            </a:spcAft>
            <a:buNone/>
          </a:pPr>
          <a:r>
            <a:rPr lang="en-GB" sz="1300" kern="1200"/>
            <a:t>Equity financing</a:t>
          </a:r>
        </a:p>
      </dsp:txBody>
      <dsp:txXfrm>
        <a:off x="252502" y="680703"/>
        <a:ext cx="3235288" cy="346292"/>
      </dsp:txXfrm>
    </dsp:sp>
    <dsp:sp modelId="{5DC5FB34-7974-4605-9B65-1615269E78E1}">
      <dsp:nvSpPr>
        <dsp:cNvPr id="0" name=""/>
        <dsp:cNvSpPr/>
      </dsp:nvSpPr>
      <dsp:spPr>
        <a:xfrm>
          <a:off x="0" y="1443529"/>
          <a:ext cx="4675367" cy="327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1EDAD80-D2D1-4663-8DB6-3E5593327683}">
      <dsp:nvSpPr>
        <dsp:cNvPr id="0" name=""/>
        <dsp:cNvSpPr/>
      </dsp:nvSpPr>
      <dsp:spPr>
        <a:xfrm>
          <a:off x="233768" y="1251649"/>
          <a:ext cx="3272756" cy="3837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3702" tIns="0" rIns="123702" bIns="0" numCol="1" spcCol="1270" anchor="ctr" anchorCtr="0">
          <a:noAutofit/>
        </a:bodyPr>
        <a:lstStyle/>
        <a:p>
          <a:pPr marL="0" lvl="0" indent="0" algn="l" defTabSz="577850">
            <a:lnSpc>
              <a:spcPct val="90000"/>
            </a:lnSpc>
            <a:spcBef>
              <a:spcPct val="0"/>
            </a:spcBef>
            <a:spcAft>
              <a:spcPct val="35000"/>
            </a:spcAft>
            <a:buNone/>
          </a:pPr>
          <a:r>
            <a:rPr lang="en-GB" sz="1300" kern="1200"/>
            <a:t>Asset divestiture</a:t>
          </a:r>
        </a:p>
      </dsp:txBody>
      <dsp:txXfrm>
        <a:off x="252502" y="1270383"/>
        <a:ext cx="3235288" cy="346292"/>
      </dsp:txXfrm>
    </dsp:sp>
    <dsp:sp modelId="{D87B121E-6431-4323-8088-A71DE9FB6E64}">
      <dsp:nvSpPr>
        <dsp:cNvPr id="0" name=""/>
        <dsp:cNvSpPr/>
      </dsp:nvSpPr>
      <dsp:spPr>
        <a:xfrm>
          <a:off x="0" y="2033209"/>
          <a:ext cx="4675367" cy="327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405D180-330B-4FA8-9227-AC5563A20615}">
      <dsp:nvSpPr>
        <dsp:cNvPr id="0" name=""/>
        <dsp:cNvSpPr/>
      </dsp:nvSpPr>
      <dsp:spPr>
        <a:xfrm>
          <a:off x="233768" y="1841329"/>
          <a:ext cx="3272756" cy="3837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3702" tIns="0" rIns="123702" bIns="0" numCol="1" spcCol="1270" anchor="ctr" anchorCtr="0">
          <a:noAutofit/>
        </a:bodyPr>
        <a:lstStyle/>
        <a:p>
          <a:pPr marL="0" lvl="0" indent="0" algn="l" defTabSz="577850">
            <a:lnSpc>
              <a:spcPct val="90000"/>
            </a:lnSpc>
            <a:spcBef>
              <a:spcPct val="0"/>
            </a:spcBef>
            <a:spcAft>
              <a:spcPct val="35000"/>
            </a:spcAft>
            <a:buNone/>
          </a:pPr>
          <a:r>
            <a:rPr lang="en-GB" sz="1300" kern="1200"/>
            <a:t>Mergers</a:t>
          </a:r>
        </a:p>
      </dsp:txBody>
      <dsp:txXfrm>
        <a:off x="252502" y="1860063"/>
        <a:ext cx="3235288"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C80E7DA-0ADC-4238-9D10-1ABB2053D9A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Hevin Ashvinbhai Godhani (2519666)</lastModifiedBy>
  <revision>271</revision>
  <dcterms:created xsi:type="dcterms:W3CDTF">2026-04-18T06:52:00.0000000Z</dcterms:created>
  <dcterms:modified xsi:type="dcterms:W3CDTF">2026-04-23T15:34:51.5848337Z</dcterms:modified>
</coreProperties>
</file>