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36877" w14:textId="7D191C4E" w:rsidR="00B52328" w:rsidRDefault="00B27962">
      <w:r>
        <w:rPr>
          <w:noProof/>
        </w:rPr>
        <mc:AlternateContent>
          <mc:Choice Requires="wps">
            <w:drawing>
              <wp:anchor distT="0" distB="0" distL="114300" distR="114300" simplePos="0" relativeHeight="251659264" behindDoc="1" locked="0" layoutInCell="1" allowOverlap="1" wp14:anchorId="475FDDE3" wp14:editId="7B02C9D7">
                <wp:simplePos x="0" y="0"/>
                <wp:positionH relativeFrom="column">
                  <wp:posOffset>-950400</wp:posOffset>
                </wp:positionH>
                <wp:positionV relativeFrom="paragraph">
                  <wp:posOffset>-943200</wp:posOffset>
                </wp:positionV>
                <wp:extent cx="7624260" cy="10756705"/>
                <wp:effectExtent l="0" t="0" r="15240" b="26035"/>
                <wp:wrapNone/>
                <wp:docPr id="228546688" name="Rectangle 5"/>
                <wp:cNvGraphicFramePr/>
                <a:graphic xmlns:a="http://schemas.openxmlformats.org/drawingml/2006/main">
                  <a:graphicData uri="http://schemas.microsoft.com/office/word/2010/wordprocessingShape">
                    <wps:wsp>
                      <wps:cNvSpPr/>
                      <wps:spPr>
                        <a:xfrm>
                          <a:off x="0" y="0"/>
                          <a:ext cx="7624260" cy="10756705"/>
                        </a:xfrm>
                        <a:prstGeom prst="rect">
                          <a:avLst/>
                        </a:prstGeom>
                        <a:blipFill>
                          <a:blip r:embed="rId8">
                            <a:alphaModFix amt="35000"/>
                          </a:blip>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AF8F3" id="Rectangle 5" o:spid="_x0000_s1026" style="position:absolute;margin-left:-74.85pt;margin-top:-74.25pt;width:600.35pt;height:8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" strokecolor="#030e13 [484]" strokeweight="1pt">
                <v:fill r:id="rId9" o:title="" opacity="22938f" recolor="t" rotate="t" type="tile"/>
              </v:rect>
            </w:pict>
          </mc:Fallback>
        </mc:AlternateContent>
      </w:r>
      <w:r w:rsidR="00B52328">
        <w:rPr>
          <w:noProof/>
        </w:rPr>
        <w:drawing>
          <wp:inline distT="0" distB="0" distL="0" distR="0" wp14:anchorId="7DBA7064" wp14:editId="1C3D58BB">
            <wp:extent cx="2296800" cy="2274570"/>
            <wp:effectExtent l="0" t="0" r="8255" b="0"/>
            <wp:docPr id="789519845" name="Picture 2"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 Birmingham"/>
                    <pic:cNvPicPr>
                      <a:picLocks noChangeAspect="1" noChangeArrowheads="1"/>
                    </pic:cNvPicPr>
                  </pic:nvPicPr>
                  <pic:blipFill>
                    <a:blip r:embed="rId10">
                      <a:alphaModFix amt="85000"/>
                      <a:extLst>
                        <a:ext uri="{28A0092B-C50C-407E-A947-70E740481C1C}">
                          <a14:useLocalDpi xmlns:a14="http://schemas.microsoft.com/office/drawing/2010/main" val="0"/>
                        </a:ext>
                      </a:extLst>
                    </a:blip>
                    <a:srcRect/>
                    <a:stretch>
                      <a:fillRect/>
                    </a:stretch>
                  </pic:blipFill>
                  <pic:spPr bwMode="auto">
                    <a:xfrm>
                      <a:off x="0" y="0"/>
                      <a:ext cx="2328878" cy="2306338"/>
                    </a:xfrm>
                    <a:prstGeom prst="rect">
                      <a:avLst/>
                    </a:prstGeom>
                    <a:noFill/>
                    <a:ln>
                      <a:noFill/>
                    </a:ln>
                  </pic:spPr>
                </pic:pic>
              </a:graphicData>
            </a:graphic>
          </wp:inline>
        </w:drawing>
      </w:r>
    </w:p>
    <w:p w14:paraId="1624829F" w14:textId="77777777" w:rsidR="00B52328" w:rsidRDefault="00B52328"/>
    <w:p w14:paraId="4A9F7AB9" w14:textId="5DAE456A" w:rsidR="00B52328" w:rsidRPr="00B27962" w:rsidRDefault="00B52328">
      <w:pPr>
        <w:rPr>
          <w:rFonts w:ascii="Algerian" w:hAnsi="Algerian"/>
          <w:color w:val="002060"/>
          <w:sz w:val="28"/>
          <w:szCs w:val="28"/>
        </w:rPr>
      </w:pPr>
      <w:r w:rsidRPr="00B27962">
        <w:rPr>
          <w:rFonts w:ascii="Algerian" w:hAnsi="Algerian"/>
          <w:color w:val="002060"/>
          <w:sz w:val="28"/>
          <w:szCs w:val="28"/>
        </w:rPr>
        <w:t xml:space="preserve">Name: nicola </w:t>
      </w:r>
      <w:r w:rsidR="00360FE8" w:rsidRPr="00B27962">
        <w:rPr>
          <w:rFonts w:ascii="Algerian" w:hAnsi="Algerian"/>
          <w:color w:val="002060"/>
          <w:sz w:val="28"/>
          <w:szCs w:val="28"/>
        </w:rPr>
        <w:t>Plummer</w:t>
      </w:r>
    </w:p>
    <w:p w14:paraId="0A930193" w14:textId="57E60E67" w:rsidR="00B52328" w:rsidRPr="00B27962" w:rsidRDefault="00B52328">
      <w:pPr>
        <w:rPr>
          <w:rFonts w:ascii="Algerian" w:hAnsi="Algerian"/>
          <w:color w:val="002060"/>
          <w:sz w:val="28"/>
          <w:szCs w:val="28"/>
        </w:rPr>
      </w:pPr>
      <w:r w:rsidRPr="00B27962">
        <w:rPr>
          <w:rFonts w:ascii="Algerian" w:hAnsi="Algerian"/>
          <w:color w:val="002060"/>
          <w:sz w:val="28"/>
          <w:szCs w:val="28"/>
        </w:rPr>
        <w:t>Student number:</w:t>
      </w:r>
    </w:p>
    <w:p w14:paraId="787192E2" w14:textId="3AE0249A" w:rsidR="00B52328" w:rsidRPr="00B27962" w:rsidRDefault="00B52328">
      <w:pPr>
        <w:rPr>
          <w:rFonts w:ascii="Algerian" w:hAnsi="Algerian"/>
          <w:color w:val="002060"/>
          <w:sz w:val="28"/>
          <w:szCs w:val="28"/>
        </w:rPr>
      </w:pPr>
      <w:r w:rsidRPr="00B27962">
        <w:rPr>
          <w:rFonts w:ascii="Algerian" w:hAnsi="Algerian"/>
          <w:color w:val="002060"/>
          <w:sz w:val="28"/>
          <w:szCs w:val="28"/>
        </w:rPr>
        <w:t xml:space="preserve">Course name: </w:t>
      </w:r>
      <w:r w:rsidR="00360FE8" w:rsidRPr="00B27962">
        <w:rPr>
          <w:rFonts w:ascii="Algerian" w:hAnsi="Algerian"/>
          <w:color w:val="002060"/>
          <w:sz w:val="28"/>
          <w:szCs w:val="28"/>
        </w:rPr>
        <w:t>BSc applied computing</w:t>
      </w:r>
    </w:p>
    <w:p w14:paraId="624D67AA" w14:textId="08E99622" w:rsidR="00360FE8" w:rsidRPr="00B27962" w:rsidRDefault="00360FE8">
      <w:pPr>
        <w:rPr>
          <w:rFonts w:ascii="Algerian" w:hAnsi="Algerian"/>
          <w:color w:val="002060"/>
          <w:sz w:val="28"/>
          <w:szCs w:val="28"/>
        </w:rPr>
      </w:pPr>
      <w:r w:rsidRPr="00B27962">
        <w:rPr>
          <w:rFonts w:ascii="Algerian" w:hAnsi="Algerian"/>
          <w:color w:val="002060"/>
          <w:sz w:val="28"/>
          <w:szCs w:val="28"/>
        </w:rPr>
        <w:t>Module Name: data warehousing and data mining</w:t>
      </w:r>
    </w:p>
    <w:p w14:paraId="745F9F5D" w14:textId="77777777" w:rsidR="00360FE8" w:rsidRDefault="00360FE8">
      <w:pPr>
        <w:rPr>
          <w:rFonts w:ascii="Algerian" w:hAnsi="Algerian"/>
          <w:sz w:val="28"/>
          <w:szCs w:val="28"/>
        </w:rPr>
      </w:pPr>
    </w:p>
    <w:p w14:paraId="6AE7C5D5" w14:textId="38753819" w:rsidR="00360FE8" w:rsidRDefault="00360FE8">
      <w:pPr>
        <w:rPr>
          <w:rFonts w:ascii="Algerian" w:hAnsi="Algerian"/>
          <w:sz w:val="28"/>
          <w:szCs w:val="28"/>
        </w:rPr>
      </w:pPr>
      <w:r>
        <w:rPr>
          <w:noProof/>
        </w:rPr>
        <w:drawing>
          <wp:inline distT="0" distB="0" distL="0" distR="0" wp14:anchorId="45B691C9" wp14:editId="2DB2B6D9">
            <wp:extent cx="5104002" cy="2505600"/>
            <wp:effectExtent l="0" t="0" r="1905" b="9525"/>
            <wp:docPr id="1686542888" name="Picture 4" descr="silhouette of virtual human on brain delta wave form 3d illustration  , represent meditation and &#10;deep sleep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lhouette of virtual human on brain delta wave form 3d illustration  , represent meditation and &#10;deep sleep therapy."/>
                    <pic:cNvPicPr>
                      <a:picLocks noChangeAspect="1" noChangeArrowheads="1"/>
                    </pic:cNvPicPr>
                  </pic:nvPicPr>
                  <pic:blipFill>
                    <a:blip r:embed="rId11" cstate="print">
                      <a:alphaModFix amt="70000"/>
                      <a:extLst>
                        <a:ext uri="{28A0092B-C50C-407E-A947-70E740481C1C}">
                          <a14:useLocalDpi xmlns:a14="http://schemas.microsoft.com/office/drawing/2010/main" val="0"/>
                        </a:ext>
                      </a:extLst>
                    </a:blip>
                    <a:srcRect/>
                    <a:stretch>
                      <a:fillRect/>
                    </a:stretch>
                  </pic:blipFill>
                  <pic:spPr bwMode="auto">
                    <a:xfrm>
                      <a:off x="0" y="0"/>
                      <a:ext cx="5194044" cy="2549802"/>
                    </a:xfrm>
                    <a:prstGeom prst="rect">
                      <a:avLst/>
                    </a:prstGeom>
                    <a:noFill/>
                    <a:ln>
                      <a:noFill/>
                    </a:ln>
                  </pic:spPr>
                </pic:pic>
              </a:graphicData>
            </a:graphic>
          </wp:inline>
        </w:drawing>
      </w:r>
    </w:p>
    <w:p w14:paraId="139A8E33" w14:textId="77777777" w:rsidR="00B27962" w:rsidRDefault="00B27962">
      <w:pPr>
        <w:rPr>
          <w:rFonts w:ascii="Algerian" w:hAnsi="Algerian"/>
          <w:sz w:val="28"/>
          <w:szCs w:val="28"/>
        </w:rPr>
      </w:pPr>
    </w:p>
    <w:p w14:paraId="62C83AC7" w14:textId="00DE7E9E" w:rsidR="00360FE8" w:rsidRPr="00B27962" w:rsidRDefault="00360FE8">
      <w:pPr>
        <w:rPr>
          <w:rFonts w:ascii="Algerian" w:hAnsi="Algerian"/>
          <w:color w:val="002060"/>
          <w:sz w:val="28"/>
          <w:szCs w:val="28"/>
        </w:rPr>
      </w:pPr>
      <w:r w:rsidRPr="00B27962">
        <w:rPr>
          <w:rFonts w:ascii="Algerian" w:hAnsi="Algerian"/>
          <w:color w:val="002060"/>
          <w:sz w:val="28"/>
          <w:szCs w:val="28"/>
        </w:rPr>
        <w:t>Module code: ACCA_BIRM</w:t>
      </w:r>
    </w:p>
    <w:p w14:paraId="6ADE5980" w14:textId="4778AD67" w:rsidR="00360FE8" w:rsidRPr="00B27962" w:rsidRDefault="00360FE8">
      <w:pPr>
        <w:rPr>
          <w:rFonts w:ascii="Algerian" w:hAnsi="Algerian"/>
          <w:color w:val="002060"/>
          <w:sz w:val="28"/>
          <w:szCs w:val="28"/>
        </w:rPr>
      </w:pPr>
      <w:r w:rsidRPr="00B27962">
        <w:rPr>
          <w:rFonts w:ascii="Algerian" w:hAnsi="Algerian"/>
          <w:color w:val="002060"/>
          <w:sz w:val="28"/>
          <w:szCs w:val="28"/>
        </w:rPr>
        <w:t>Lecturer: md Abar jahin almazi bipon</w:t>
      </w:r>
    </w:p>
    <w:p w14:paraId="70F980A5" w14:textId="2872398C" w:rsidR="00360FE8" w:rsidRPr="00B27962" w:rsidRDefault="00360FE8">
      <w:pPr>
        <w:rPr>
          <w:rFonts w:ascii="Algerian" w:hAnsi="Algerian"/>
          <w:color w:val="002060"/>
          <w:sz w:val="28"/>
          <w:szCs w:val="28"/>
        </w:rPr>
      </w:pPr>
      <w:r w:rsidRPr="00B27962">
        <w:rPr>
          <w:rFonts w:ascii="Algerian" w:hAnsi="Algerian"/>
          <w:color w:val="002060"/>
          <w:sz w:val="28"/>
          <w:szCs w:val="28"/>
        </w:rPr>
        <w:t>Submission date; July 1</w:t>
      </w:r>
      <w:r w:rsidR="00907949">
        <w:rPr>
          <w:rFonts w:ascii="Algerian" w:hAnsi="Algerian"/>
          <w:color w:val="002060"/>
          <w:sz w:val="28"/>
          <w:szCs w:val="28"/>
        </w:rPr>
        <w:t>7</w:t>
      </w:r>
      <w:r w:rsidRPr="00B27962">
        <w:rPr>
          <w:rFonts w:ascii="Algerian" w:hAnsi="Algerian"/>
          <w:color w:val="002060"/>
          <w:sz w:val="28"/>
          <w:szCs w:val="28"/>
          <w:vertAlign w:val="superscript"/>
        </w:rPr>
        <w:t>th</w:t>
      </w:r>
      <w:r w:rsidRPr="00B27962">
        <w:rPr>
          <w:rFonts w:ascii="Algerian" w:hAnsi="Algerian"/>
          <w:color w:val="002060"/>
          <w:sz w:val="28"/>
          <w:szCs w:val="28"/>
        </w:rPr>
        <w:t>, 2026</w:t>
      </w:r>
    </w:p>
    <w:p w14:paraId="255365C3" w14:textId="5E2779FE" w:rsidR="00360FE8" w:rsidRPr="00B27962" w:rsidRDefault="00360FE8">
      <w:pPr>
        <w:rPr>
          <w:rFonts w:ascii="Algerian" w:hAnsi="Algerian"/>
          <w:color w:val="002060"/>
          <w:sz w:val="28"/>
          <w:szCs w:val="28"/>
        </w:rPr>
      </w:pPr>
      <w:r w:rsidRPr="00B27962">
        <w:rPr>
          <w:rFonts w:ascii="Algerian" w:hAnsi="Algerian"/>
          <w:color w:val="002060"/>
          <w:sz w:val="28"/>
          <w:szCs w:val="28"/>
        </w:rPr>
        <w:t xml:space="preserve">Time: 2: oopm </w:t>
      </w:r>
    </w:p>
    <w:p w14:paraId="45BCB7BB" w14:textId="437ABEA3" w:rsidR="00360FE8" w:rsidRPr="008B5A3A" w:rsidRDefault="00504AB6" w:rsidP="008279D6">
      <w:pPr>
        <w:pStyle w:val="Heading1"/>
      </w:pPr>
      <w:bookmarkStart w:id="0" w:name="_Toc235140091"/>
      <w:r w:rsidRPr="008B5A3A">
        <w:lastRenderedPageBreak/>
        <w:t>ABSTRACT</w:t>
      </w:r>
      <w:bookmarkEnd w:id="0"/>
    </w:p>
    <w:p w14:paraId="4E68330F" w14:textId="2B63AD94" w:rsidR="00360FE8" w:rsidRPr="00046C87" w:rsidRDefault="00712815">
      <w:r w:rsidRPr="00046C87">
        <w:t xml:space="preserve">NHS England manages a complex healthcare system that generates large volumes of patient, clinical, workforce, operational, and financial data. However, much of this information is held in separate operational systems, </w:t>
      </w:r>
      <w:r w:rsidR="003C2795">
        <w:t>which makes</w:t>
      </w:r>
      <w:r w:rsidRPr="00046C87">
        <w:t xml:space="preserve"> it </w:t>
      </w:r>
      <w:r w:rsidR="003C2795">
        <w:t>challenging</w:t>
      </w:r>
      <w:r w:rsidRPr="00046C87">
        <w:t xml:space="preserve"> to </w:t>
      </w:r>
      <w:r w:rsidR="00F12BDA">
        <w:t>obtain</w:t>
      </w:r>
      <w:r w:rsidRPr="00046C87">
        <w:t xml:space="preserve"> a complete view of healthcare performance and support timely decision-making. This report proposes a strategic data warehousing solution to address these challenges by integrating data from multiple NHS sources into a single, trusted </w:t>
      </w:r>
      <w:r w:rsidR="00BC349F">
        <w:t xml:space="preserve">vault. </w:t>
      </w:r>
      <w:r w:rsidRPr="00046C87">
        <w:t xml:space="preserve"> The report </w:t>
      </w:r>
      <w:r w:rsidR="00757337">
        <w:t>evaluates</w:t>
      </w:r>
      <w:r w:rsidRPr="00046C87">
        <w:t xml:space="preserve"> the role of data warehouses in comparison with Online Transaction Processing (OLTP) systems and presents an NHS-specific architecture </w:t>
      </w:r>
      <w:r w:rsidR="00757337">
        <w:t>which incorpora</w:t>
      </w:r>
      <w:r w:rsidR="00336304">
        <w:t>tes</w:t>
      </w:r>
      <w:r w:rsidRPr="00046C87">
        <w:t xml:space="preserve"> Extract, Transform and Load (ETL) processes, dimensional modelling, star schemas, and departmental data marts. A </w:t>
      </w:r>
      <w:r w:rsidR="00CD7231">
        <w:t>realistic</w:t>
      </w:r>
      <w:r w:rsidRPr="00046C87">
        <w:t xml:space="preserve"> implementation plan is also developed, together with recommendations for maintaining data quality, governance, security, and regulatory compliance throughout the data lifecycle. The proposed design demonstrates how integrated healthcare data can support more effective monitoring of patient flow, workforce capacity, financial performance, waiting times, and clinical outcomes. By providing accurate and consistent information for operational and strategic decision-making, the proposed solution would help NHS England</w:t>
      </w:r>
      <w:r w:rsidR="00FF143D">
        <w:t xml:space="preserve"> to</w:t>
      </w:r>
      <w:r w:rsidRPr="00046C87">
        <w:t xml:space="preserve"> improve</w:t>
      </w:r>
      <w:r w:rsidR="00FF143D">
        <w:t xml:space="preserve"> in</w:t>
      </w:r>
      <w:r w:rsidRPr="00046C87">
        <w:t xml:space="preserve"> resource planning, </w:t>
      </w:r>
      <w:r w:rsidR="00983FD3">
        <w:t>boost</w:t>
      </w:r>
      <w:r w:rsidRPr="00046C87">
        <w:t xml:space="preserve"> patient care, and support the long-term sustainability of healthcare services through evidence-based decision-making.</w:t>
      </w:r>
    </w:p>
    <w:p w14:paraId="24643130" w14:textId="7D73588C" w:rsidR="00B52328" w:rsidRPr="00046C87" w:rsidRDefault="00B52328"/>
    <w:p w14:paraId="046312C5" w14:textId="77777777" w:rsidR="00B52328" w:rsidRDefault="00B52328"/>
    <w:p w14:paraId="160AFF42" w14:textId="2AA80820" w:rsidR="004F17C9" w:rsidRDefault="004F17C9"/>
    <w:p w14:paraId="24E13F67" w14:textId="77777777" w:rsidR="00B27962" w:rsidRDefault="00B27962"/>
    <w:p w14:paraId="6412E560" w14:textId="77777777" w:rsidR="00B27962" w:rsidRDefault="00B27962"/>
    <w:p w14:paraId="51B80DC7" w14:textId="77777777" w:rsidR="00504AB6" w:rsidRDefault="00504AB6"/>
    <w:p w14:paraId="0DA895DB" w14:textId="77777777" w:rsidR="00504AB6" w:rsidRDefault="00504AB6"/>
    <w:p w14:paraId="14ED4D61" w14:textId="77777777" w:rsidR="00504AB6" w:rsidRDefault="00504AB6"/>
    <w:p w14:paraId="11E601BE" w14:textId="77777777" w:rsidR="00504AB6" w:rsidRDefault="00504AB6"/>
    <w:p w14:paraId="31BFBBDD" w14:textId="77777777" w:rsidR="00504AB6" w:rsidRDefault="00504AB6"/>
    <w:p w14:paraId="6AE379B2" w14:textId="77777777" w:rsidR="00504AB6" w:rsidRDefault="00504AB6"/>
    <w:p w14:paraId="003111D9" w14:textId="77777777" w:rsidR="00504AB6" w:rsidRDefault="00504AB6"/>
    <w:p w14:paraId="3F3A0143" w14:textId="77777777" w:rsidR="00504AB6" w:rsidRDefault="00504AB6"/>
    <w:p w14:paraId="0E0B98D1" w14:textId="77777777" w:rsidR="00504AB6" w:rsidRDefault="00504AB6"/>
    <w:p w14:paraId="040A48FD" w14:textId="77777777" w:rsidR="00504AB6" w:rsidRDefault="00504AB6"/>
    <w:p w14:paraId="781BDA42" w14:textId="77777777" w:rsidR="00504AB6" w:rsidRDefault="00504AB6"/>
    <w:p w14:paraId="5B93F9E3" w14:textId="77777777" w:rsidR="00504AB6" w:rsidRDefault="00504AB6"/>
    <w:p w14:paraId="6101DBDF" w14:textId="77777777" w:rsidR="00504AB6" w:rsidRDefault="00504AB6"/>
    <w:p w14:paraId="4A1522E4" w14:textId="77777777" w:rsidR="00504AB6" w:rsidRDefault="00504AB6"/>
    <w:sdt>
      <w:sdtPr>
        <w:id w:val="-60410678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7DA07C6" w14:textId="60CB3010" w:rsidR="00E45982" w:rsidRDefault="00E45982">
          <w:pPr>
            <w:pStyle w:val="TOCHeading"/>
          </w:pPr>
          <w:r>
            <w:t>Table of Contents</w:t>
          </w:r>
        </w:p>
        <w:p w14:paraId="4AF6EF98" w14:textId="2046E7A7" w:rsidR="00E37FB6" w:rsidRDefault="00E4598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140091" w:history="1">
            <w:r w:rsidR="00E37FB6" w:rsidRPr="0056322B">
              <w:rPr>
                <w:rStyle w:val="Hyperlink"/>
                <w:noProof/>
              </w:rPr>
              <w:t>ABSTRACT</w:t>
            </w:r>
            <w:r w:rsidR="00E37FB6">
              <w:rPr>
                <w:noProof/>
                <w:webHidden/>
              </w:rPr>
              <w:tab/>
            </w:r>
            <w:r w:rsidR="00E37FB6">
              <w:rPr>
                <w:noProof/>
                <w:webHidden/>
              </w:rPr>
              <w:fldChar w:fldCharType="begin"/>
            </w:r>
            <w:r w:rsidR="00E37FB6">
              <w:rPr>
                <w:noProof/>
                <w:webHidden/>
              </w:rPr>
              <w:instrText xml:space="preserve"> PAGEREF _Toc235140091 \h </w:instrText>
            </w:r>
            <w:r w:rsidR="00E37FB6">
              <w:rPr>
                <w:noProof/>
                <w:webHidden/>
              </w:rPr>
            </w:r>
            <w:r w:rsidR="00E37FB6">
              <w:rPr>
                <w:noProof/>
                <w:webHidden/>
              </w:rPr>
              <w:fldChar w:fldCharType="separate"/>
            </w:r>
            <w:r w:rsidR="00E37FB6">
              <w:rPr>
                <w:noProof/>
                <w:webHidden/>
              </w:rPr>
              <w:t>1</w:t>
            </w:r>
            <w:r w:rsidR="00E37FB6">
              <w:rPr>
                <w:noProof/>
                <w:webHidden/>
              </w:rPr>
              <w:fldChar w:fldCharType="end"/>
            </w:r>
          </w:hyperlink>
        </w:p>
        <w:p w14:paraId="7E5268F7" w14:textId="1AE6EAA0" w:rsidR="00E37FB6" w:rsidRDefault="00E37FB6">
          <w:pPr>
            <w:pStyle w:val="TOC1"/>
            <w:tabs>
              <w:tab w:val="right" w:leader="dot" w:pos="9016"/>
            </w:tabs>
            <w:rPr>
              <w:rFonts w:eastAsiaTheme="minorEastAsia"/>
              <w:noProof/>
              <w:sz w:val="24"/>
              <w:szCs w:val="24"/>
              <w:lang w:eastAsia="en-GB"/>
            </w:rPr>
          </w:pPr>
          <w:hyperlink w:anchor="_Toc235140092" w:history="1">
            <w:r w:rsidRPr="0056322B">
              <w:rPr>
                <w:rStyle w:val="Hyperlink"/>
                <w:noProof/>
              </w:rPr>
              <w:t>TASK 1</w:t>
            </w:r>
            <w:r>
              <w:rPr>
                <w:noProof/>
                <w:webHidden/>
              </w:rPr>
              <w:tab/>
            </w:r>
            <w:r>
              <w:rPr>
                <w:noProof/>
                <w:webHidden/>
              </w:rPr>
              <w:fldChar w:fldCharType="begin"/>
            </w:r>
            <w:r>
              <w:rPr>
                <w:noProof/>
                <w:webHidden/>
              </w:rPr>
              <w:instrText xml:space="preserve"> PAGEREF _Toc235140092 \h </w:instrText>
            </w:r>
            <w:r>
              <w:rPr>
                <w:noProof/>
                <w:webHidden/>
              </w:rPr>
            </w:r>
            <w:r>
              <w:rPr>
                <w:noProof/>
                <w:webHidden/>
              </w:rPr>
              <w:fldChar w:fldCharType="separate"/>
            </w:r>
            <w:r>
              <w:rPr>
                <w:noProof/>
                <w:webHidden/>
              </w:rPr>
              <w:t>3</w:t>
            </w:r>
            <w:r>
              <w:rPr>
                <w:noProof/>
                <w:webHidden/>
              </w:rPr>
              <w:fldChar w:fldCharType="end"/>
            </w:r>
          </w:hyperlink>
        </w:p>
        <w:p w14:paraId="3A91C843" w14:textId="19B5D2CD" w:rsidR="00E37FB6" w:rsidRDefault="00E37FB6">
          <w:pPr>
            <w:pStyle w:val="TOC1"/>
            <w:tabs>
              <w:tab w:val="right" w:leader="dot" w:pos="9016"/>
            </w:tabs>
            <w:rPr>
              <w:rFonts w:eastAsiaTheme="minorEastAsia"/>
              <w:noProof/>
              <w:sz w:val="24"/>
              <w:szCs w:val="24"/>
              <w:lang w:eastAsia="en-GB"/>
            </w:rPr>
          </w:pPr>
          <w:hyperlink w:anchor="_Toc235140093" w:history="1">
            <w:r w:rsidRPr="0056322B">
              <w:rPr>
                <w:rStyle w:val="Hyperlink"/>
                <w:noProof/>
              </w:rPr>
              <w:t>INTRODUCTION</w:t>
            </w:r>
            <w:r>
              <w:rPr>
                <w:noProof/>
                <w:webHidden/>
              </w:rPr>
              <w:tab/>
            </w:r>
            <w:r>
              <w:rPr>
                <w:noProof/>
                <w:webHidden/>
              </w:rPr>
              <w:fldChar w:fldCharType="begin"/>
            </w:r>
            <w:r>
              <w:rPr>
                <w:noProof/>
                <w:webHidden/>
              </w:rPr>
              <w:instrText xml:space="preserve"> PAGEREF _Toc235140093 \h </w:instrText>
            </w:r>
            <w:r>
              <w:rPr>
                <w:noProof/>
                <w:webHidden/>
              </w:rPr>
            </w:r>
            <w:r>
              <w:rPr>
                <w:noProof/>
                <w:webHidden/>
              </w:rPr>
              <w:fldChar w:fldCharType="separate"/>
            </w:r>
            <w:r>
              <w:rPr>
                <w:noProof/>
                <w:webHidden/>
              </w:rPr>
              <w:t>3</w:t>
            </w:r>
            <w:r>
              <w:rPr>
                <w:noProof/>
                <w:webHidden/>
              </w:rPr>
              <w:fldChar w:fldCharType="end"/>
            </w:r>
          </w:hyperlink>
        </w:p>
        <w:p w14:paraId="05BC87FD" w14:textId="068812BC" w:rsidR="00E37FB6" w:rsidRDefault="00E37FB6">
          <w:pPr>
            <w:pStyle w:val="TOC2"/>
            <w:tabs>
              <w:tab w:val="right" w:leader="dot" w:pos="9016"/>
            </w:tabs>
            <w:rPr>
              <w:rFonts w:eastAsiaTheme="minorEastAsia"/>
              <w:noProof/>
              <w:sz w:val="24"/>
              <w:szCs w:val="24"/>
              <w:lang w:eastAsia="en-GB"/>
            </w:rPr>
          </w:pPr>
          <w:hyperlink w:anchor="_Toc235140094" w:history="1">
            <w:r w:rsidRPr="0056322B">
              <w:rPr>
                <w:rStyle w:val="Hyperlink"/>
                <w:noProof/>
              </w:rPr>
              <w:t>1.1 OLTP VS DATA WAREHOUSE</w:t>
            </w:r>
            <w:r>
              <w:rPr>
                <w:noProof/>
                <w:webHidden/>
              </w:rPr>
              <w:tab/>
            </w:r>
            <w:r>
              <w:rPr>
                <w:noProof/>
                <w:webHidden/>
              </w:rPr>
              <w:fldChar w:fldCharType="begin"/>
            </w:r>
            <w:r>
              <w:rPr>
                <w:noProof/>
                <w:webHidden/>
              </w:rPr>
              <w:instrText xml:space="preserve"> PAGEREF _Toc235140094 \h </w:instrText>
            </w:r>
            <w:r>
              <w:rPr>
                <w:noProof/>
                <w:webHidden/>
              </w:rPr>
            </w:r>
            <w:r>
              <w:rPr>
                <w:noProof/>
                <w:webHidden/>
              </w:rPr>
              <w:fldChar w:fldCharType="separate"/>
            </w:r>
            <w:r>
              <w:rPr>
                <w:noProof/>
                <w:webHidden/>
              </w:rPr>
              <w:t>3</w:t>
            </w:r>
            <w:r>
              <w:rPr>
                <w:noProof/>
                <w:webHidden/>
              </w:rPr>
              <w:fldChar w:fldCharType="end"/>
            </w:r>
          </w:hyperlink>
        </w:p>
        <w:p w14:paraId="2CB999A0" w14:textId="1123413D" w:rsidR="00E37FB6" w:rsidRDefault="00E37FB6">
          <w:pPr>
            <w:pStyle w:val="TOC2"/>
            <w:tabs>
              <w:tab w:val="right" w:leader="dot" w:pos="9016"/>
            </w:tabs>
            <w:rPr>
              <w:rFonts w:eastAsiaTheme="minorEastAsia"/>
              <w:noProof/>
              <w:sz w:val="24"/>
              <w:szCs w:val="24"/>
              <w:lang w:eastAsia="en-GB"/>
            </w:rPr>
          </w:pPr>
          <w:hyperlink w:anchor="_Toc235140095" w:history="1">
            <w:r w:rsidRPr="0056322B">
              <w:rPr>
                <w:rStyle w:val="Hyperlink"/>
                <w:noProof/>
              </w:rPr>
              <w:t>1.2 DATA WAREHOUSE ARCHITECTURE AND ETL PROCESS</w:t>
            </w:r>
            <w:r>
              <w:rPr>
                <w:noProof/>
                <w:webHidden/>
              </w:rPr>
              <w:tab/>
            </w:r>
            <w:r>
              <w:rPr>
                <w:noProof/>
                <w:webHidden/>
              </w:rPr>
              <w:fldChar w:fldCharType="begin"/>
            </w:r>
            <w:r>
              <w:rPr>
                <w:noProof/>
                <w:webHidden/>
              </w:rPr>
              <w:instrText xml:space="preserve"> PAGEREF _Toc235140095 \h </w:instrText>
            </w:r>
            <w:r>
              <w:rPr>
                <w:noProof/>
                <w:webHidden/>
              </w:rPr>
            </w:r>
            <w:r>
              <w:rPr>
                <w:noProof/>
                <w:webHidden/>
              </w:rPr>
              <w:fldChar w:fldCharType="separate"/>
            </w:r>
            <w:r>
              <w:rPr>
                <w:noProof/>
                <w:webHidden/>
              </w:rPr>
              <w:t>4</w:t>
            </w:r>
            <w:r>
              <w:rPr>
                <w:noProof/>
                <w:webHidden/>
              </w:rPr>
              <w:fldChar w:fldCharType="end"/>
            </w:r>
          </w:hyperlink>
        </w:p>
        <w:p w14:paraId="6747691D" w14:textId="2C3BD0C8" w:rsidR="00E37FB6" w:rsidRDefault="00E37FB6">
          <w:pPr>
            <w:pStyle w:val="TOC2"/>
            <w:tabs>
              <w:tab w:val="right" w:leader="dot" w:pos="9016"/>
            </w:tabs>
            <w:rPr>
              <w:rFonts w:eastAsiaTheme="minorEastAsia"/>
              <w:noProof/>
              <w:sz w:val="24"/>
              <w:szCs w:val="24"/>
              <w:lang w:eastAsia="en-GB"/>
            </w:rPr>
          </w:pPr>
          <w:hyperlink w:anchor="_Toc235140096" w:history="1">
            <w:r w:rsidRPr="0056322B">
              <w:rPr>
                <w:rStyle w:val="Hyperlink"/>
                <w:noProof/>
              </w:rPr>
              <w:t>1.3 DATA MARTS FOR MANAGEMENT DECISION-MAKING</w:t>
            </w:r>
            <w:r>
              <w:rPr>
                <w:noProof/>
                <w:webHidden/>
              </w:rPr>
              <w:tab/>
            </w:r>
            <w:r>
              <w:rPr>
                <w:noProof/>
                <w:webHidden/>
              </w:rPr>
              <w:fldChar w:fldCharType="begin"/>
            </w:r>
            <w:r>
              <w:rPr>
                <w:noProof/>
                <w:webHidden/>
              </w:rPr>
              <w:instrText xml:space="preserve"> PAGEREF _Toc235140096 \h </w:instrText>
            </w:r>
            <w:r>
              <w:rPr>
                <w:noProof/>
                <w:webHidden/>
              </w:rPr>
            </w:r>
            <w:r>
              <w:rPr>
                <w:noProof/>
                <w:webHidden/>
              </w:rPr>
              <w:fldChar w:fldCharType="separate"/>
            </w:r>
            <w:r>
              <w:rPr>
                <w:noProof/>
                <w:webHidden/>
              </w:rPr>
              <w:t>7</w:t>
            </w:r>
            <w:r>
              <w:rPr>
                <w:noProof/>
                <w:webHidden/>
              </w:rPr>
              <w:fldChar w:fldCharType="end"/>
            </w:r>
          </w:hyperlink>
        </w:p>
        <w:p w14:paraId="39985D25" w14:textId="6815B72B" w:rsidR="00E37FB6" w:rsidRDefault="00E37FB6">
          <w:pPr>
            <w:pStyle w:val="TOC3"/>
            <w:tabs>
              <w:tab w:val="right" w:leader="dot" w:pos="9016"/>
            </w:tabs>
            <w:rPr>
              <w:rFonts w:eastAsiaTheme="minorEastAsia"/>
              <w:noProof/>
              <w:sz w:val="24"/>
              <w:szCs w:val="24"/>
              <w:lang w:eastAsia="en-GB"/>
            </w:rPr>
          </w:pPr>
          <w:hyperlink w:anchor="_Toc235140097" w:history="1">
            <w:r w:rsidRPr="0056322B">
              <w:rPr>
                <w:rStyle w:val="Hyperlink"/>
                <w:noProof/>
              </w:rPr>
              <w:t>Chief Executive Data Mart</w:t>
            </w:r>
            <w:r>
              <w:rPr>
                <w:noProof/>
                <w:webHidden/>
              </w:rPr>
              <w:tab/>
            </w:r>
            <w:r>
              <w:rPr>
                <w:noProof/>
                <w:webHidden/>
              </w:rPr>
              <w:fldChar w:fldCharType="begin"/>
            </w:r>
            <w:r>
              <w:rPr>
                <w:noProof/>
                <w:webHidden/>
              </w:rPr>
              <w:instrText xml:space="preserve"> PAGEREF _Toc235140097 \h </w:instrText>
            </w:r>
            <w:r>
              <w:rPr>
                <w:noProof/>
                <w:webHidden/>
              </w:rPr>
            </w:r>
            <w:r>
              <w:rPr>
                <w:noProof/>
                <w:webHidden/>
              </w:rPr>
              <w:fldChar w:fldCharType="separate"/>
            </w:r>
            <w:r>
              <w:rPr>
                <w:noProof/>
                <w:webHidden/>
              </w:rPr>
              <w:t>7</w:t>
            </w:r>
            <w:r>
              <w:rPr>
                <w:noProof/>
                <w:webHidden/>
              </w:rPr>
              <w:fldChar w:fldCharType="end"/>
            </w:r>
          </w:hyperlink>
        </w:p>
        <w:p w14:paraId="253A2597" w14:textId="1CE83AD0" w:rsidR="00E37FB6" w:rsidRDefault="00E37FB6">
          <w:pPr>
            <w:pStyle w:val="TOC3"/>
            <w:tabs>
              <w:tab w:val="right" w:leader="dot" w:pos="9016"/>
            </w:tabs>
            <w:rPr>
              <w:rFonts w:eastAsiaTheme="minorEastAsia"/>
              <w:noProof/>
              <w:sz w:val="24"/>
              <w:szCs w:val="24"/>
              <w:lang w:eastAsia="en-GB"/>
            </w:rPr>
          </w:pPr>
          <w:hyperlink w:anchor="_Toc235140098" w:history="1">
            <w:r w:rsidRPr="0056322B">
              <w:rPr>
                <w:rStyle w:val="Hyperlink"/>
                <w:noProof/>
              </w:rPr>
              <w:t>Finance Director Data Mart</w:t>
            </w:r>
            <w:r>
              <w:rPr>
                <w:noProof/>
                <w:webHidden/>
              </w:rPr>
              <w:tab/>
            </w:r>
            <w:r>
              <w:rPr>
                <w:noProof/>
                <w:webHidden/>
              </w:rPr>
              <w:fldChar w:fldCharType="begin"/>
            </w:r>
            <w:r>
              <w:rPr>
                <w:noProof/>
                <w:webHidden/>
              </w:rPr>
              <w:instrText xml:space="preserve"> PAGEREF _Toc235140098 \h </w:instrText>
            </w:r>
            <w:r>
              <w:rPr>
                <w:noProof/>
                <w:webHidden/>
              </w:rPr>
            </w:r>
            <w:r>
              <w:rPr>
                <w:noProof/>
                <w:webHidden/>
              </w:rPr>
              <w:fldChar w:fldCharType="separate"/>
            </w:r>
            <w:r>
              <w:rPr>
                <w:noProof/>
                <w:webHidden/>
              </w:rPr>
              <w:t>7</w:t>
            </w:r>
            <w:r>
              <w:rPr>
                <w:noProof/>
                <w:webHidden/>
              </w:rPr>
              <w:fldChar w:fldCharType="end"/>
            </w:r>
          </w:hyperlink>
        </w:p>
        <w:p w14:paraId="42C0E0D4" w14:textId="685C9D02" w:rsidR="00E37FB6" w:rsidRDefault="00E37FB6">
          <w:pPr>
            <w:pStyle w:val="TOC3"/>
            <w:tabs>
              <w:tab w:val="right" w:leader="dot" w:pos="9016"/>
            </w:tabs>
            <w:rPr>
              <w:rFonts w:eastAsiaTheme="minorEastAsia"/>
              <w:noProof/>
              <w:sz w:val="24"/>
              <w:szCs w:val="24"/>
              <w:lang w:eastAsia="en-GB"/>
            </w:rPr>
          </w:pPr>
          <w:hyperlink w:anchor="_Toc235140099" w:history="1">
            <w:r w:rsidRPr="0056322B">
              <w:rPr>
                <w:rStyle w:val="Hyperlink"/>
                <w:noProof/>
              </w:rPr>
              <w:t>Medical Director Data Mart</w:t>
            </w:r>
            <w:r>
              <w:rPr>
                <w:noProof/>
                <w:webHidden/>
              </w:rPr>
              <w:tab/>
            </w:r>
            <w:r>
              <w:rPr>
                <w:noProof/>
                <w:webHidden/>
              </w:rPr>
              <w:fldChar w:fldCharType="begin"/>
            </w:r>
            <w:r>
              <w:rPr>
                <w:noProof/>
                <w:webHidden/>
              </w:rPr>
              <w:instrText xml:space="preserve"> PAGEREF _Toc235140099 \h </w:instrText>
            </w:r>
            <w:r>
              <w:rPr>
                <w:noProof/>
                <w:webHidden/>
              </w:rPr>
            </w:r>
            <w:r>
              <w:rPr>
                <w:noProof/>
                <w:webHidden/>
              </w:rPr>
              <w:fldChar w:fldCharType="separate"/>
            </w:r>
            <w:r>
              <w:rPr>
                <w:noProof/>
                <w:webHidden/>
              </w:rPr>
              <w:t>7</w:t>
            </w:r>
            <w:r>
              <w:rPr>
                <w:noProof/>
                <w:webHidden/>
              </w:rPr>
              <w:fldChar w:fldCharType="end"/>
            </w:r>
          </w:hyperlink>
        </w:p>
        <w:p w14:paraId="7C7E1016" w14:textId="5B6EE2D2" w:rsidR="00E37FB6" w:rsidRDefault="00E37FB6">
          <w:pPr>
            <w:pStyle w:val="TOC3"/>
            <w:tabs>
              <w:tab w:val="right" w:leader="dot" w:pos="9016"/>
            </w:tabs>
            <w:rPr>
              <w:rFonts w:eastAsiaTheme="minorEastAsia"/>
              <w:noProof/>
              <w:sz w:val="24"/>
              <w:szCs w:val="24"/>
              <w:lang w:eastAsia="en-GB"/>
            </w:rPr>
          </w:pPr>
          <w:hyperlink w:anchor="_Toc235140100" w:history="1">
            <w:r w:rsidRPr="0056322B">
              <w:rPr>
                <w:rStyle w:val="Hyperlink"/>
                <w:noProof/>
              </w:rPr>
              <w:t>Benefits of Data Marts</w:t>
            </w:r>
            <w:r>
              <w:rPr>
                <w:noProof/>
                <w:webHidden/>
              </w:rPr>
              <w:tab/>
            </w:r>
            <w:r>
              <w:rPr>
                <w:noProof/>
                <w:webHidden/>
              </w:rPr>
              <w:fldChar w:fldCharType="begin"/>
            </w:r>
            <w:r>
              <w:rPr>
                <w:noProof/>
                <w:webHidden/>
              </w:rPr>
              <w:instrText xml:space="preserve"> PAGEREF _Toc235140100 \h </w:instrText>
            </w:r>
            <w:r>
              <w:rPr>
                <w:noProof/>
                <w:webHidden/>
              </w:rPr>
            </w:r>
            <w:r>
              <w:rPr>
                <w:noProof/>
                <w:webHidden/>
              </w:rPr>
              <w:fldChar w:fldCharType="separate"/>
            </w:r>
            <w:r>
              <w:rPr>
                <w:noProof/>
                <w:webHidden/>
              </w:rPr>
              <w:t>8</w:t>
            </w:r>
            <w:r>
              <w:rPr>
                <w:noProof/>
                <w:webHidden/>
              </w:rPr>
              <w:fldChar w:fldCharType="end"/>
            </w:r>
          </w:hyperlink>
        </w:p>
        <w:p w14:paraId="0B3C0B7D" w14:textId="575D1053" w:rsidR="00E37FB6" w:rsidRDefault="00E37FB6">
          <w:pPr>
            <w:pStyle w:val="TOC2"/>
            <w:tabs>
              <w:tab w:val="right" w:leader="dot" w:pos="9016"/>
            </w:tabs>
            <w:rPr>
              <w:rFonts w:eastAsiaTheme="minorEastAsia"/>
              <w:noProof/>
              <w:sz w:val="24"/>
              <w:szCs w:val="24"/>
              <w:lang w:eastAsia="en-GB"/>
            </w:rPr>
          </w:pPr>
          <w:hyperlink w:anchor="_Toc235140101" w:history="1">
            <w:r w:rsidRPr="0056322B">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_Toc235140101 \h </w:instrText>
            </w:r>
            <w:r>
              <w:rPr>
                <w:noProof/>
                <w:webHidden/>
              </w:rPr>
            </w:r>
            <w:r>
              <w:rPr>
                <w:noProof/>
                <w:webHidden/>
              </w:rPr>
              <w:fldChar w:fldCharType="separate"/>
            </w:r>
            <w:r>
              <w:rPr>
                <w:noProof/>
                <w:webHidden/>
              </w:rPr>
              <w:t>8</w:t>
            </w:r>
            <w:r>
              <w:rPr>
                <w:noProof/>
                <w:webHidden/>
              </w:rPr>
              <w:fldChar w:fldCharType="end"/>
            </w:r>
          </w:hyperlink>
        </w:p>
        <w:p w14:paraId="199178AE" w14:textId="74F6CA74" w:rsidR="00E37FB6" w:rsidRDefault="00E37FB6">
          <w:pPr>
            <w:pStyle w:val="TOC1"/>
            <w:tabs>
              <w:tab w:val="right" w:leader="dot" w:pos="9016"/>
            </w:tabs>
            <w:rPr>
              <w:rFonts w:eastAsiaTheme="minorEastAsia"/>
              <w:noProof/>
              <w:sz w:val="24"/>
              <w:szCs w:val="24"/>
              <w:lang w:eastAsia="en-GB"/>
            </w:rPr>
          </w:pPr>
          <w:hyperlink w:anchor="_Toc235140102" w:history="1">
            <w:r w:rsidRPr="0056322B">
              <w:rPr>
                <w:rStyle w:val="Hyperlink"/>
                <w:noProof/>
              </w:rPr>
              <w:t>TASK 2</w:t>
            </w:r>
            <w:r>
              <w:rPr>
                <w:noProof/>
                <w:webHidden/>
              </w:rPr>
              <w:tab/>
            </w:r>
            <w:r>
              <w:rPr>
                <w:noProof/>
                <w:webHidden/>
              </w:rPr>
              <w:fldChar w:fldCharType="begin"/>
            </w:r>
            <w:r>
              <w:rPr>
                <w:noProof/>
                <w:webHidden/>
              </w:rPr>
              <w:instrText xml:space="preserve"> PAGEREF _Toc235140102 \h </w:instrText>
            </w:r>
            <w:r>
              <w:rPr>
                <w:noProof/>
                <w:webHidden/>
              </w:rPr>
            </w:r>
            <w:r>
              <w:rPr>
                <w:noProof/>
                <w:webHidden/>
              </w:rPr>
              <w:fldChar w:fldCharType="separate"/>
            </w:r>
            <w:r>
              <w:rPr>
                <w:noProof/>
                <w:webHidden/>
              </w:rPr>
              <w:t>10</w:t>
            </w:r>
            <w:r>
              <w:rPr>
                <w:noProof/>
                <w:webHidden/>
              </w:rPr>
              <w:fldChar w:fldCharType="end"/>
            </w:r>
          </w:hyperlink>
        </w:p>
        <w:p w14:paraId="7CCF5C83" w14:textId="36C9F363" w:rsidR="00E37FB6" w:rsidRDefault="00E37FB6">
          <w:pPr>
            <w:pStyle w:val="TOC1"/>
            <w:tabs>
              <w:tab w:val="right" w:leader="dot" w:pos="9016"/>
            </w:tabs>
            <w:rPr>
              <w:rFonts w:eastAsiaTheme="minorEastAsia"/>
              <w:noProof/>
              <w:sz w:val="24"/>
              <w:szCs w:val="24"/>
              <w:lang w:eastAsia="en-GB"/>
            </w:rPr>
          </w:pPr>
          <w:hyperlink w:anchor="_Toc235140103" w:history="1">
            <w:r w:rsidRPr="0056322B">
              <w:rPr>
                <w:rStyle w:val="Hyperlink"/>
                <w:noProof/>
              </w:rPr>
              <w:t>NHS ENGLAND DATA WAREHOUSE DESIGN AND IMPLEMENTATION PLAN</w:t>
            </w:r>
            <w:r>
              <w:rPr>
                <w:noProof/>
                <w:webHidden/>
              </w:rPr>
              <w:tab/>
            </w:r>
            <w:r>
              <w:rPr>
                <w:noProof/>
                <w:webHidden/>
              </w:rPr>
              <w:fldChar w:fldCharType="begin"/>
            </w:r>
            <w:r>
              <w:rPr>
                <w:noProof/>
                <w:webHidden/>
              </w:rPr>
              <w:instrText xml:space="preserve"> PAGEREF _Toc235140103 \h </w:instrText>
            </w:r>
            <w:r>
              <w:rPr>
                <w:noProof/>
                <w:webHidden/>
              </w:rPr>
            </w:r>
            <w:r>
              <w:rPr>
                <w:noProof/>
                <w:webHidden/>
              </w:rPr>
              <w:fldChar w:fldCharType="separate"/>
            </w:r>
            <w:r>
              <w:rPr>
                <w:noProof/>
                <w:webHidden/>
              </w:rPr>
              <w:t>10</w:t>
            </w:r>
            <w:r>
              <w:rPr>
                <w:noProof/>
                <w:webHidden/>
              </w:rPr>
              <w:fldChar w:fldCharType="end"/>
            </w:r>
          </w:hyperlink>
        </w:p>
        <w:p w14:paraId="3A1CFB5C" w14:textId="7B86DEDB" w:rsidR="00E37FB6" w:rsidRDefault="00E37FB6">
          <w:pPr>
            <w:pStyle w:val="TOC2"/>
            <w:tabs>
              <w:tab w:val="right" w:leader="dot" w:pos="9016"/>
            </w:tabs>
            <w:rPr>
              <w:rFonts w:eastAsiaTheme="minorEastAsia"/>
              <w:noProof/>
              <w:sz w:val="24"/>
              <w:szCs w:val="24"/>
              <w:lang w:eastAsia="en-GB"/>
            </w:rPr>
          </w:pPr>
          <w:hyperlink w:anchor="_Toc235140104" w:history="1">
            <w:r w:rsidRPr="0056322B">
              <w:rPr>
                <w:rStyle w:val="Hyperlink"/>
                <w:noProof/>
              </w:rPr>
              <w:t>2.1 Source System Identification</w:t>
            </w:r>
            <w:r>
              <w:rPr>
                <w:noProof/>
                <w:webHidden/>
              </w:rPr>
              <w:tab/>
            </w:r>
            <w:r>
              <w:rPr>
                <w:noProof/>
                <w:webHidden/>
              </w:rPr>
              <w:fldChar w:fldCharType="begin"/>
            </w:r>
            <w:r>
              <w:rPr>
                <w:noProof/>
                <w:webHidden/>
              </w:rPr>
              <w:instrText xml:space="preserve"> PAGEREF _Toc235140104 \h </w:instrText>
            </w:r>
            <w:r>
              <w:rPr>
                <w:noProof/>
                <w:webHidden/>
              </w:rPr>
            </w:r>
            <w:r>
              <w:rPr>
                <w:noProof/>
                <w:webHidden/>
              </w:rPr>
              <w:fldChar w:fldCharType="separate"/>
            </w:r>
            <w:r>
              <w:rPr>
                <w:noProof/>
                <w:webHidden/>
              </w:rPr>
              <w:t>10</w:t>
            </w:r>
            <w:r>
              <w:rPr>
                <w:noProof/>
                <w:webHidden/>
              </w:rPr>
              <w:fldChar w:fldCharType="end"/>
            </w:r>
          </w:hyperlink>
        </w:p>
        <w:p w14:paraId="04E3D650" w14:textId="7893C61A" w:rsidR="00E37FB6" w:rsidRDefault="00E37FB6">
          <w:pPr>
            <w:pStyle w:val="TOC2"/>
            <w:tabs>
              <w:tab w:val="right" w:leader="dot" w:pos="9016"/>
            </w:tabs>
            <w:rPr>
              <w:rFonts w:eastAsiaTheme="minorEastAsia"/>
              <w:noProof/>
              <w:sz w:val="24"/>
              <w:szCs w:val="24"/>
              <w:lang w:eastAsia="en-GB"/>
            </w:rPr>
          </w:pPr>
          <w:hyperlink w:anchor="_Toc235140105" w:history="1">
            <w:r w:rsidRPr="0056322B">
              <w:rPr>
                <w:rStyle w:val="Hyperlink"/>
                <w:noProof/>
              </w:rPr>
              <w:t>2.2 STAR SCHEMA DESIGN</w:t>
            </w:r>
            <w:r>
              <w:rPr>
                <w:noProof/>
                <w:webHidden/>
              </w:rPr>
              <w:tab/>
            </w:r>
            <w:r>
              <w:rPr>
                <w:noProof/>
                <w:webHidden/>
              </w:rPr>
              <w:fldChar w:fldCharType="begin"/>
            </w:r>
            <w:r>
              <w:rPr>
                <w:noProof/>
                <w:webHidden/>
              </w:rPr>
              <w:instrText xml:space="preserve"> PAGEREF _Toc235140105 \h </w:instrText>
            </w:r>
            <w:r>
              <w:rPr>
                <w:noProof/>
                <w:webHidden/>
              </w:rPr>
            </w:r>
            <w:r>
              <w:rPr>
                <w:noProof/>
                <w:webHidden/>
              </w:rPr>
              <w:fldChar w:fldCharType="separate"/>
            </w:r>
            <w:r>
              <w:rPr>
                <w:noProof/>
                <w:webHidden/>
              </w:rPr>
              <w:t>12</w:t>
            </w:r>
            <w:r>
              <w:rPr>
                <w:noProof/>
                <w:webHidden/>
              </w:rPr>
              <w:fldChar w:fldCharType="end"/>
            </w:r>
          </w:hyperlink>
        </w:p>
        <w:p w14:paraId="33A15F07" w14:textId="6F2E21DF" w:rsidR="00E37FB6" w:rsidRDefault="00E37FB6">
          <w:pPr>
            <w:pStyle w:val="TOC2"/>
            <w:tabs>
              <w:tab w:val="right" w:leader="dot" w:pos="9016"/>
            </w:tabs>
            <w:rPr>
              <w:rFonts w:eastAsiaTheme="minorEastAsia"/>
              <w:noProof/>
              <w:sz w:val="24"/>
              <w:szCs w:val="24"/>
              <w:lang w:eastAsia="en-GB"/>
            </w:rPr>
          </w:pPr>
          <w:hyperlink w:anchor="_Toc235140106" w:history="1">
            <w:r w:rsidRPr="0056322B">
              <w:rPr>
                <w:rStyle w:val="Hyperlink"/>
                <w:noProof/>
              </w:rPr>
              <w:t>2.3 DATA MARTS AND SCHEMA</w:t>
            </w:r>
            <w:r>
              <w:rPr>
                <w:noProof/>
                <w:webHidden/>
              </w:rPr>
              <w:tab/>
            </w:r>
            <w:r>
              <w:rPr>
                <w:noProof/>
                <w:webHidden/>
              </w:rPr>
              <w:fldChar w:fldCharType="begin"/>
            </w:r>
            <w:r>
              <w:rPr>
                <w:noProof/>
                <w:webHidden/>
              </w:rPr>
              <w:instrText xml:space="preserve"> PAGEREF _Toc235140106 \h </w:instrText>
            </w:r>
            <w:r>
              <w:rPr>
                <w:noProof/>
                <w:webHidden/>
              </w:rPr>
            </w:r>
            <w:r>
              <w:rPr>
                <w:noProof/>
                <w:webHidden/>
              </w:rPr>
              <w:fldChar w:fldCharType="separate"/>
            </w:r>
            <w:r>
              <w:rPr>
                <w:noProof/>
                <w:webHidden/>
              </w:rPr>
              <w:t>15</w:t>
            </w:r>
            <w:r>
              <w:rPr>
                <w:noProof/>
                <w:webHidden/>
              </w:rPr>
              <w:fldChar w:fldCharType="end"/>
            </w:r>
          </w:hyperlink>
        </w:p>
        <w:p w14:paraId="50C77093" w14:textId="56BF3F48" w:rsidR="00E37FB6" w:rsidRDefault="00E37FB6">
          <w:pPr>
            <w:pStyle w:val="TOC2"/>
            <w:tabs>
              <w:tab w:val="right" w:leader="dot" w:pos="9016"/>
            </w:tabs>
            <w:rPr>
              <w:rFonts w:eastAsiaTheme="minorEastAsia"/>
              <w:noProof/>
              <w:sz w:val="24"/>
              <w:szCs w:val="24"/>
              <w:lang w:eastAsia="en-GB"/>
            </w:rPr>
          </w:pPr>
          <w:hyperlink w:anchor="_Toc235140107" w:history="1">
            <w:r w:rsidRPr="0056322B">
              <w:rPr>
                <w:rStyle w:val="Hyperlink"/>
                <w:noProof/>
              </w:rPr>
              <w:t>2.4 SIMPLIFIED ETL PLAN</w:t>
            </w:r>
            <w:r>
              <w:rPr>
                <w:noProof/>
                <w:webHidden/>
              </w:rPr>
              <w:tab/>
            </w:r>
            <w:r>
              <w:rPr>
                <w:noProof/>
                <w:webHidden/>
              </w:rPr>
              <w:fldChar w:fldCharType="begin"/>
            </w:r>
            <w:r>
              <w:rPr>
                <w:noProof/>
                <w:webHidden/>
              </w:rPr>
              <w:instrText xml:space="preserve"> PAGEREF _Toc235140107 \h </w:instrText>
            </w:r>
            <w:r>
              <w:rPr>
                <w:noProof/>
                <w:webHidden/>
              </w:rPr>
            </w:r>
            <w:r>
              <w:rPr>
                <w:noProof/>
                <w:webHidden/>
              </w:rPr>
              <w:fldChar w:fldCharType="separate"/>
            </w:r>
            <w:r>
              <w:rPr>
                <w:noProof/>
                <w:webHidden/>
              </w:rPr>
              <w:t>16</w:t>
            </w:r>
            <w:r>
              <w:rPr>
                <w:noProof/>
                <w:webHidden/>
              </w:rPr>
              <w:fldChar w:fldCharType="end"/>
            </w:r>
          </w:hyperlink>
        </w:p>
        <w:p w14:paraId="0E3699DD" w14:textId="4586C0B6" w:rsidR="00E37FB6" w:rsidRDefault="00E37FB6">
          <w:pPr>
            <w:pStyle w:val="TOC2"/>
            <w:tabs>
              <w:tab w:val="right" w:leader="dot" w:pos="9016"/>
            </w:tabs>
            <w:rPr>
              <w:rFonts w:eastAsiaTheme="minorEastAsia"/>
              <w:noProof/>
              <w:sz w:val="24"/>
              <w:szCs w:val="24"/>
              <w:lang w:eastAsia="en-GB"/>
            </w:rPr>
          </w:pPr>
          <w:hyperlink w:anchor="_Toc235140108" w:history="1">
            <w:r w:rsidRPr="0056322B">
              <w:rPr>
                <w:rStyle w:val="Hyperlink"/>
                <w:noProof/>
              </w:rPr>
              <w:t>2.5 Data Quality and Governance</w:t>
            </w:r>
            <w:r>
              <w:rPr>
                <w:noProof/>
                <w:webHidden/>
              </w:rPr>
              <w:tab/>
            </w:r>
            <w:r>
              <w:rPr>
                <w:noProof/>
                <w:webHidden/>
              </w:rPr>
              <w:fldChar w:fldCharType="begin"/>
            </w:r>
            <w:r>
              <w:rPr>
                <w:noProof/>
                <w:webHidden/>
              </w:rPr>
              <w:instrText xml:space="preserve"> PAGEREF _Toc235140108 \h </w:instrText>
            </w:r>
            <w:r>
              <w:rPr>
                <w:noProof/>
                <w:webHidden/>
              </w:rPr>
            </w:r>
            <w:r>
              <w:rPr>
                <w:noProof/>
                <w:webHidden/>
              </w:rPr>
              <w:fldChar w:fldCharType="separate"/>
            </w:r>
            <w:r>
              <w:rPr>
                <w:noProof/>
                <w:webHidden/>
              </w:rPr>
              <w:t>18</w:t>
            </w:r>
            <w:r>
              <w:rPr>
                <w:noProof/>
                <w:webHidden/>
              </w:rPr>
              <w:fldChar w:fldCharType="end"/>
            </w:r>
          </w:hyperlink>
        </w:p>
        <w:p w14:paraId="5FB95A52" w14:textId="40337F72" w:rsidR="00E37FB6" w:rsidRDefault="00E37FB6">
          <w:pPr>
            <w:pStyle w:val="TOC1"/>
            <w:tabs>
              <w:tab w:val="right" w:leader="dot" w:pos="9016"/>
            </w:tabs>
            <w:rPr>
              <w:rFonts w:eastAsiaTheme="minorEastAsia"/>
              <w:noProof/>
              <w:sz w:val="24"/>
              <w:szCs w:val="24"/>
              <w:lang w:eastAsia="en-GB"/>
            </w:rPr>
          </w:pPr>
          <w:hyperlink w:anchor="_Toc235140109" w:history="1">
            <w:r w:rsidRPr="0056322B">
              <w:rPr>
                <w:rStyle w:val="Hyperlink"/>
                <w:noProof/>
              </w:rPr>
              <w:t>CONCLUSION</w:t>
            </w:r>
            <w:r>
              <w:rPr>
                <w:noProof/>
                <w:webHidden/>
              </w:rPr>
              <w:tab/>
            </w:r>
            <w:r>
              <w:rPr>
                <w:noProof/>
                <w:webHidden/>
              </w:rPr>
              <w:fldChar w:fldCharType="begin"/>
            </w:r>
            <w:r>
              <w:rPr>
                <w:noProof/>
                <w:webHidden/>
              </w:rPr>
              <w:instrText xml:space="preserve"> PAGEREF _Toc235140109 \h </w:instrText>
            </w:r>
            <w:r>
              <w:rPr>
                <w:noProof/>
                <w:webHidden/>
              </w:rPr>
            </w:r>
            <w:r>
              <w:rPr>
                <w:noProof/>
                <w:webHidden/>
              </w:rPr>
              <w:fldChar w:fldCharType="separate"/>
            </w:r>
            <w:r>
              <w:rPr>
                <w:noProof/>
                <w:webHidden/>
              </w:rPr>
              <w:t>18</w:t>
            </w:r>
            <w:r>
              <w:rPr>
                <w:noProof/>
                <w:webHidden/>
              </w:rPr>
              <w:fldChar w:fldCharType="end"/>
            </w:r>
          </w:hyperlink>
        </w:p>
        <w:p w14:paraId="64CAEDFA" w14:textId="1503D4E4" w:rsidR="00E37FB6" w:rsidRDefault="00E37FB6">
          <w:pPr>
            <w:pStyle w:val="TOC1"/>
            <w:tabs>
              <w:tab w:val="right" w:leader="dot" w:pos="9016"/>
            </w:tabs>
            <w:rPr>
              <w:rFonts w:eastAsiaTheme="minorEastAsia"/>
              <w:noProof/>
              <w:sz w:val="24"/>
              <w:szCs w:val="24"/>
              <w:lang w:eastAsia="en-GB"/>
            </w:rPr>
          </w:pPr>
          <w:hyperlink w:anchor="_Toc235140110" w:history="1">
            <w:r w:rsidRPr="0056322B">
              <w:rPr>
                <w:rStyle w:val="Hyperlink"/>
                <w:noProof/>
              </w:rPr>
              <w:t>REFERENCES</w:t>
            </w:r>
            <w:r>
              <w:rPr>
                <w:noProof/>
                <w:webHidden/>
              </w:rPr>
              <w:tab/>
            </w:r>
            <w:r>
              <w:rPr>
                <w:noProof/>
                <w:webHidden/>
              </w:rPr>
              <w:fldChar w:fldCharType="begin"/>
            </w:r>
            <w:r>
              <w:rPr>
                <w:noProof/>
                <w:webHidden/>
              </w:rPr>
              <w:instrText xml:space="preserve"> PAGEREF _Toc235140110 \h </w:instrText>
            </w:r>
            <w:r>
              <w:rPr>
                <w:noProof/>
                <w:webHidden/>
              </w:rPr>
            </w:r>
            <w:r>
              <w:rPr>
                <w:noProof/>
                <w:webHidden/>
              </w:rPr>
              <w:fldChar w:fldCharType="separate"/>
            </w:r>
            <w:r>
              <w:rPr>
                <w:noProof/>
                <w:webHidden/>
              </w:rPr>
              <w:t>19</w:t>
            </w:r>
            <w:r>
              <w:rPr>
                <w:noProof/>
                <w:webHidden/>
              </w:rPr>
              <w:fldChar w:fldCharType="end"/>
            </w:r>
          </w:hyperlink>
        </w:p>
        <w:p w14:paraId="2268EDB4" w14:textId="58188921" w:rsidR="00E45982" w:rsidRDefault="00E45982">
          <w:r>
            <w:rPr>
              <w:b/>
              <w:bCs/>
            </w:rPr>
            <w:fldChar w:fldCharType="end"/>
          </w:r>
        </w:p>
      </w:sdtContent>
    </w:sdt>
    <w:p w14:paraId="16319291" w14:textId="77777777" w:rsidR="00504AB6" w:rsidRDefault="00504AB6"/>
    <w:p w14:paraId="07E8D2F9" w14:textId="77777777" w:rsidR="00504AB6" w:rsidRDefault="00504AB6"/>
    <w:p w14:paraId="2D8B13AE" w14:textId="77777777" w:rsidR="00504AB6" w:rsidRDefault="00504AB6"/>
    <w:p w14:paraId="5C09E359" w14:textId="77777777" w:rsidR="00504AB6" w:rsidRDefault="00504AB6"/>
    <w:p w14:paraId="48A8BFC3" w14:textId="77777777" w:rsidR="00504AB6" w:rsidRDefault="00504AB6"/>
    <w:p w14:paraId="5AEA1965" w14:textId="77777777" w:rsidR="00504AB6" w:rsidRDefault="00504AB6"/>
    <w:p w14:paraId="781BE9E7" w14:textId="77777777" w:rsidR="00504AB6" w:rsidRDefault="00504AB6"/>
    <w:p w14:paraId="4DA103EC" w14:textId="77777777" w:rsidR="00504AB6" w:rsidRDefault="00504AB6"/>
    <w:p w14:paraId="323F9CEA" w14:textId="77777777" w:rsidR="00504AB6" w:rsidRDefault="00504AB6"/>
    <w:p w14:paraId="4099D8F8" w14:textId="77777777" w:rsidR="00B27962" w:rsidRDefault="00B27962" w:rsidP="008B5A3A">
      <w:pPr>
        <w:spacing w:line="360" w:lineRule="auto"/>
      </w:pPr>
    </w:p>
    <w:p w14:paraId="4A697587" w14:textId="77777777" w:rsidR="007C431C" w:rsidRPr="008B5A3A" w:rsidRDefault="007C431C" w:rsidP="008B5A3A">
      <w:pPr>
        <w:spacing w:line="360" w:lineRule="auto"/>
      </w:pPr>
    </w:p>
    <w:p w14:paraId="5AF41551" w14:textId="5C144B84" w:rsidR="00B27962" w:rsidRPr="008B5A3A" w:rsidRDefault="00CD2C95" w:rsidP="00045FCD">
      <w:pPr>
        <w:pStyle w:val="Heading1"/>
      </w:pPr>
      <w:bookmarkStart w:id="1" w:name="_Toc235140092"/>
      <w:r w:rsidRPr="008B5A3A">
        <w:t>TASK 1</w:t>
      </w:r>
      <w:bookmarkEnd w:id="1"/>
    </w:p>
    <w:p w14:paraId="50DED055" w14:textId="37BB91EA" w:rsidR="00B27962" w:rsidRPr="008B5A3A" w:rsidRDefault="00B27962" w:rsidP="00045FCD">
      <w:pPr>
        <w:pStyle w:val="Heading1"/>
      </w:pPr>
      <w:bookmarkStart w:id="2" w:name="_Toc235140093"/>
      <w:r w:rsidRPr="008B5A3A">
        <w:t>INTRODUCTION</w:t>
      </w:r>
      <w:bookmarkEnd w:id="2"/>
    </w:p>
    <w:p w14:paraId="2A18E360" w14:textId="52976924" w:rsidR="00B27962" w:rsidRPr="00B64A50" w:rsidRDefault="00B27962" w:rsidP="008B5A3A">
      <w:pPr>
        <w:spacing w:line="360" w:lineRule="auto"/>
        <w:rPr>
          <w:rFonts w:cs="Arial"/>
        </w:rPr>
      </w:pPr>
      <w:r w:rsidRPr="008B5A3A">
        <w:rPr>
          <w:rFonts w:cs="Arial"/>
        </w:rPr>
        <w:t xml:space="preserve">NHS England manages a complex healthcare system that generates a large volume of patient, clinical, workforce, operational, and financial data. However, much of this information is stored across separate systems, which limits the organisation’s ability to </w:t>
      </w:r>
      <w:r w:rsidR="00B50BD1" w:rsidRPr="008B5A3A">
        <w:rPr>
          <w:rFonts w:cs="Arial"/>
        </w:rPr>
        <w:t>achieve</w:t>
      </w:r>
      <w:r w:rsidRPr="008B5A3A">
        <w:rPr>
          <w:rFonts w:cs="Arial"/>
        </w:rPr>
        <w:t xml:space="preserve"> a </w:t>
      </w:r>
      <w:r w:rsidR="00212C0C" w:rsidRPr="008B5A3A">
        <w:rPr>
          <w:rFonts w:cs="Arial"/>
        </w:rPr>
        <w:t>cohesive perspective</w:t>
      </w:r>
      <w:r w:rsidRPr="008B5A3A">
        <w:rPr>
          <w:rFonts w:cs="Arial"/>
        </w:rPr>
        <w:t xml:space="preserve"> of performance</w:t>
      </w:r>
      <w:r w:rsidR="00044179" w:rsidRPr="008B5A3A">
        <w:rPr>
          <w:rFonts w:cs="Arial"/>
        </w:rPr>
        <w:t xml:space="preserve"> that can</w:t>
      </w:r>
      <w:r w:rsidRPr="008B5A3A">
        <w:rPr>
          <w:rFonts w:cs="Arial"/>
        </w:rPr>
        <w:t xml:space="preserve"> support timely decision-making</w:t>
      </w:r>
      <w:r w:rsidR="00CA6F5A">
        <w:rPr>
          <w:rFonts w:cs="Arial"/>
        </w:rPr>
        <w:t>.</w:t>
      </w:r>
      <w:r w:rsidRPr="008B5A3A">
        <w:rPr>
          <w:rFonts w:cs="Arial"/>
        </w:rPr>
        <w:t xml:space="preserve"> This report examines how a </w:t>
      </w:r>
      <w:r w:rsidR="009A246A" w:rsidRPr="008B5A3A">
        <w:rPr>
          <w:rFonts w:cs="Arial"/>
        </w:rPr>
        <w:t>D</w:t>
      </w:r>
      <w:r w:rsidRPr="008B5A3A">
        <w:rPr>
          <w:rFonts w:cs="Arial"/>
        </w:rPr>
        <w:t xml:space="preserve">ata </w:t>
      </w:r>
      <w:r w:rsidR="009A246A" w:rsidRPr="008B5A3A">
        <w:rPr>
          <w:rFonts w:cs="Arial"/>
        </w:rPr>
        <w:t>W</w:t>
      </w:r>
      <w:r w:rsidRPr="008B5A3A">
        <w:rPr>
          <w:rFonts w:cs="Arial"/>
        </w:rPr>
        <w:t xml:space="preserve">arehouse could integrate data from </w:t>
      </w:r>
      <w:r w:rsidR="00830D44" w:rsidRPr="008B5A3A">
        <w:rPr>
          <w:rFonts w:cs="Arial"/>
        </w:rPr>
        <w:t>several</w:t>
      </w:r>
      <w:r w:rsidRPr="008B5A3A">
        <w:rPr>
          <w:rFonts w:cs="Arial"/>
        </w:rPr>
        <w:t xml:space="preserve"> NHS sources to </w:t>
      </w:r>
      <w:r w:rsidR="00554CDC" w:rsidRPr="008B5A3A">
        <w:rPr>
          <w:rFonts w:cs="Arial"/>
        </w:rPr>
        <w:t>optimise</w:t>
      </w:r>
      <w:r w:rsidRPr="008B5A3A">
        <w:rPr>
          <w:rFonts w:cs="Arial"/>
        </w:rPr>
        <w:t xml:space="preserve"> operational efficiency, patient outcomes, </w:t>
      </w:r>
      <w:r w:rsidR="002828F6" w:rsidRPr="008B5A3A">
        <w:rPr>
          <w:rFonts w:cs="Arial"/>
        </w:rPr>
        <w:t xml:space="preserve">and </w:t>
      </w:r>
      <w:r w:rsidR="000A1A63" w:rsidRPr="008B5A3A">
        <w:rPr>
          <w:rFonts w:cs="Arial"/>
        </w:rPr>
        <w:t xml:space="preserve">a </w:t>
      </w:r>
      <w:r w:rsidR="00F534DA" w:rsidRPr="008B5A3A">
        <w:rPr>
          <w:rFonts w:cs="Arial"/>
        </w:rPr>
        <w:t xml:space="preserve">methodical and </w:t>
      </w:r>
      <w:r w:rsidR="002828F6" w:rsidRPr="008B5A3A">
        <w:rPr>
          <w:rFonts w:cs="Arial"/>
        </w:rPr>
        <w:t>crucial</w:t>
      </w:r>
      <w:r w:rsidRPr="008B5A3A">
        <w:rPr>
          <w:rFonts w:cs="Arial"/>
        </w:rPr>
        <w:t xml:space="preserve"> planning. It discusses the differences between OLTP systems and </w:t>
      </w:r>
      <w:r w:rsidR="000A1A63" w:rsidRPr="008B5A3A">
        <w:rPr>
          <w:rFonts w:cs="Arial"/>
        </w:rPr>
        <w:t>D</w:t>
      </w:r>
      <w:r w:rsidRPr="008B5A3A">
        <w:rPr>
          <w:rFonts w:cs="Arial"/>
        </w:rPr>
        <w:t xml:space="preserve">ata </w:t>
      </w:r>
      <w:r w:rsidR="000A1A63" w:rsidRPr="008B5A3A">
        <w:rPr>
          <w:rFonts w:cs="Arial"/>
        </w:rPr>
        <w:t>W</w:t>
      </w:r>
      <w:r w:rsidRPr="008B5A3A">
        <w:rPr>
          <w:rFonts w:cs="Arial"/>
        </w:rPr>
        <w:t xml:space="preserve">arehouses, </w:t>
      </w:r>
      <w:r w:rsidR="000A1A63" w:rsidRPr="008B5A3A">
        <w:rPr>
          <w:rFonts w:cs="Arial"/>
        </w:rPr>
        <w:t>D</w:t>
      </w:r>
      <w:r w:rsidRPr="008B5A3A">
        <w:rPr>
          <w:rFonts w:cs="Arial"/>
        </w:rPr>
        <w:t xml:space="preserve">ata </w:t>
      </w:r>
      <w:r w:rsidR="000A1A63" w:rsidRPr="008B5A3A">
        <w:rPr>
          <w:rFonts w:cs="Arial"/>
        </w:rPr>
        <w:t>W</w:t>
      </w:r>
      <w:r w:rsidRPr="008B5A3A">
        <w:rPr>
          <w:rFonts w:cs="Arial"/>
        </w:rPr>
        <w:t>arehouse</w:t>
      </w:r>
      <w:r w:rsidRPr="00B27962">
        <w:rPr>
          <w:rFonts w:ascii="Arial" w:hAnsi="Arial" w:cs="Arial"/>
        </w:rPr>
        <w:t xml:space="preserve"> </w:t>
      </w:r>
      <w:r w:rsidR="000F3DCB" w:rsidRPr="00B64A50">
        <w:rPr>
          <w:rFonts w:cs="Arial"/>
        </w:rPr>
        <w:t>A</w:t>
      </w:r>
      <w:r w:rsidRPr="00B64A50">
        <w:rPr>
          <w:rFonts w:cs="Arial"/>
        </w:rPr>
        <w:t xml:space="preserve">rchitecture and ETL processes, </w:t>
      </w:r>
      <w:r w:rsidR="000A1A63" w:rsidRPr="00B64A50">
        <w:rPr>
          <w:rFonts w:cs="Arial"/>
        </w:rPr>
        <w:t>D</w:t>
      </w:r>
      <w:r w:rsidRPr="00B64A50">
        <w:rPr>
          <w:rFonts w:cs="Arial"/>
        </w:rPr>
        <w:t xml:space="preserve">ata </w:t>
      </w:r>
      <w:r w:rsidR="000A1A63" w:rsidRPr="00B64A50">
        <w:rPr>
          <w:rFonts w:cs="Arial"/>
        </w:rPr>
        <w:t>M</w:t>
      </w:r>
      <w:r w:rsidRPr="00B64A50">
        <w:rPr>
          <w:rFonts w:cs="Arial"/>
        </w:rPr>
        <w:t xml:space="preserve">arts for executive decision-making, and </w:t>
      </w:r>
      <w:r w:rsidR="000F3DCB" w:rsidRPr="00B64A50">
        <w:rPr>
          <w:rFonts w:cs="Arial"/>
        </w:rPr>
        <w:t>D</w:t>
      </w:r>
      <w:r w:rsidRPr="00B64A50">
        <w:rPr>
          <w:rFonts w:cs="Arial"/>
        </w:rPr>
        <w:t xml:space="preserve">imensional </w:t>
      </w:r>
      <w:r w:rsidR="000F3DCB" w:rsidRPr="00B64A50">
        <w:rPr>
          <w:rFonts w:cs="Arial"/>
        </w:rPr>
        <w:t>M</w:t>
      </w:r>
      <w:r w:rsidRPr="00B64A50">
        <w:rPr>
          <w:rFonts w:cs="Arial"/>
        </w:rPr>
        <w:t>odelling within NHS England’s specific operational context.</w:t>
      </w:r>
    </w:p>
    <w:p w14:paraId="4ED7702A" w14:textId="77777777" w:rsidR="000F3DCB" w:rsidRDefault="000F3DCB" w:rsidP="00B27962">
      <w:pPr>
        <w:rPr>
          <w:rFonts w:ascii="Arial" w:hAnsi="Arial" w:cs="Arial"/>
        </w:rPr>
      </w:pPr>
    </w:p>
    <w:p w14:paraId="3D65C891" w14:textId="7869462B" w:rsidR="000F3DCB" w:rsidRPr="00273773" w:rsidRDefault="000F3DCB" w:rsidP="00045FCD">
      <w:pPr>
        <w:pStyle w:val="Heading2"/>
      </w:pPr>
      <w:bookmarkStart w:id="3" w:name="_Toc235140094"/>
      <w:r w:rsidRPr="00273773">
        <w:t>1.1 OLTP VS DATA WAREHOUSE</w:t>
      </w:r>
      <w:bookmarkEnd w:id="3"/>
    </w:p>
    <w:p w14:paraId="67DC5DA4" w14:textId="54C93F2D" w:rsidR="000F51C6" w:rsidRPr="00273773" w:rsidRDefault="000F3DCB" w:rsidP="002F17F3">
      <w:pPr>
        <w:spacing w:line="360" w:lineRule="auto"/>
        <w:rPr>
          <w:rFonts w:cs="Arial"/>
        </w:rPr>
      </w:pPr>
      <w:r w:rsidRPr="00273773">
        <w:rPr>
          <w:rFonts w:cs="Arial"/>
        </w:rPr>
        <w:t>NHS England operates through Integrated Care Systems (ICSs), NHS Trusts, community providers, mental health services, and specialist centres. Daily healthcare activities rely on Online Transaction Processing (OLTP) systems such as Electronic Patient Records (EPRs), Patient Administration Systems (PAS), workforce platforms, and financial applications. These systems process routine transactions, including patient registrations, appointments, admissions, discharges, staff scheduling, and financial activity, while maintaining accurate operational records [1].</w:t>
      </w:r>
    </w:p>
    <w:p w14:paraId="0DD1139A" w14:textId="03C9E9F1" w:rsidR="00BA5251" w:rsidRPr="00273773" w:rsidRDefault="00BA5251" w:rsidP="002F17F3">
      <w:pPr>
        <w:spacing w:line="360" w:lineRule="auto"/>
        <w:rPr>
          <w:rFonts w:cs="Arial"/>
        </w:rPr>
      </w:pPr>
      <w:r w:rsidRPr="00273773">
        <w:rPr>
          <w:rFonts w:cs="Arial"/>
        </w:rPr>
        <w:t xml:space="preserve">However, OLTP systems have </w:t>
      </w:r>
      <w:r w:rsidR="00723EA7" w:rsidRPr="00273773">
        <w:rPr>
          <w:rFonts w:cs="Arial"/>
        </w:rPr>
        <w:t>constraints</w:t>
      </w:r>
      <w:r w:rsidRPr="00273773">
        <w:rPr>
          <w:rFonts w:cs="Arial"/>
        </w:rPr>
        <w:t xml:space="preserve"> for strategic analysis because NHS data is often </w:t>
      </w:r>
      <w:r w:rsidR="004D0D27" w:rsidRPr="00273773">
        <w:rPr>
          <w:rFonts w:cs="Arial"/>
        </w:rPr>
        <w:t>stretched</w:t>
      </w:r>
      <w:r w:rsidRPr="00273773">
        <w:rPr>
          <w:rFonts w:cs="Arial"/>
        </w:rPr>
        <w:t xml:space="preserve"> across separate hospitals, Trusts, ICSs, and regional systems. This </w:t>
      </w:r>
      <w:r w:rsidR="000C5EA2" w:rsidRPr="00273773">
        <w:rPr>
          <w:rFonts w:cs="Arial"/>
        </w:rPr>
        <w:t>decentralisation of data</w:t>
      </w:r>
      <w:r w:rsidRPr="00273773">
        <w:rPr>
          <w:rFonts w:cs="Arial"/>
        </w:rPr>
        <w:t xml:space="preserve"> makes it </w:t>
      </w:r>
      <w:r w:rsidR="000C5EA2" w:rsidRPr="00273773">
        <w:rPr>
          <w:rFonts w:cs="Arial"/>
        </w:rPr>
        <w:t>very challenging</w:t>
      </w:r>
      <w:r w:rsidRPr="00273773">
        <w:rPr>
          <w:rFonts w:cs="Arial"/>
        </w:rPr>
        <w:t xml:space="preserve"> to </w:t>
      </w:r>
      <w:r w:rsidR="005A593F" w:rsidRPr="00273773">
        <w:rPr>
          <w:rFonts w:cs="Arial"/>
        </w:rPr>
        <w:t>evaluate</w:t>
      </w:r>
      <w:r w:rsidRPr="00273773">
        <w:rPr>
          <w:rFonts w:cs="Arial"/>
        </w:rPr>
        <w:t xml:space="preserve"> RTT waiting times, bed occupancy, workforce shortages, and elective care backlogs across England. </w:t>
      </w:r>
      <w:bookmarkStart w:id="4" w:name="OLE_LINK1"/>
      <w:r w:rsidRPr="00273773">
        <w:rPr>
          <w:rFonts w:cs="Arial"/>
        </w:rPr>
        <w:t xml:space="preserve">Running complex </w:t>
      </w:r>
      <w:r w:rsidR="00B53B65" w:rsidRPr="00273773">
        <w:rPr>
          <w:rFonts w:cs="Arial"/>
        </w:rPr>
        <w:t>data</w:t>
      </w:r>
      <w:r w:rsidRPr="00273773">
        <w:rPr>
          <w:rFonts w:cs="Arial"/>
        </w:rPr>
        <w:t xml:space="preserve"> queries on operational systems </w:t>
      </w:r>
      <w:r w:rsidR="007B1D2A" w:rsidRPr="00273773">
        <w:rPr>
          <w:rFonts w:cs="Arial"/>
        </w:rPr>
        <w:t>can</w:t>
      </w:r>
      <w:r w:rsidRPr="00273773">
        <w:rPr>
          <w:rFonts w:cs="Arial"/>
        </w:rPr>
        <w:t xml:space="preserve"> also </w:t>
      </w:r>
      <w:r w:rsidR="007B1D2A" w:rsidRPr="00273773">
        <w:rPr>
          <w:rFonts w:cs="Arial"/>
        </w:rPr>
        <w:t>put</w:t>
      </w:r>
      <w:r w:rsidRPr="00273773">
        <w:rPr>
          <w:rFonts w:cs="Arial"/>
        </w:rPr>
        <w:t xml:space="preserve"> </w:t>
      </w:r>
      <w:r w:rsidR="00BF2763" w:rsidRPr="00273773">
        <w:rPr>
          <w:rFonts w:cs="Arial"/>
        </w:rPr>
        <w:t>extra strain</w:t>
      </w:r>
      <w:r w:rsidRPr="00273773">
        <w:rPr>
          <w:rFonts w:cs="Arial"/>
        </w:rPr>
        <w:t xml:space="preserve"> on systems designed </w:t>
      </w:r>
      <w:r w:rsidR="004B7A60" w:rsidRPr="00273773">
        <w:rPr>
          <w:rFonts w:cs="Arial"/>
        </w:rPr>
        <w:t>that are built for</w:t>
      </w:r>
      <w:r w:rsidRPr="00273773">
        <w:rPr>
          <w:rFonts w:cs="Arial"/>
        </w:rPr>
        <w:t xml:space="preserve"> daily transactions </w:t>
      </w:r>
      <w:bookmarkEnd w:id="4"/>
      <w:r w:rsidRPr="00273773">
        <w:rPr>
          <w:rFonts w:cs="Arial"/>
        </w:rPr>
        <w:t>[</w:t>
      </w:r>
      <w:r w:rsidR="00BA1049">
        <w:rPr>
          <w:rFonts w:cs="Arial"/>
        </w:rPr>
        <w:t>2</w:t>
      </w:r>
      <w:r w:rsidRPr="00273773">
        <w:rPr>
          <w:rFonts w:cs="Arial"/>
        </w:rPr>
        <w:t>], [</w:t>
      </w:r>
      <w:r w:rsidR="002413B5">
        <w:rPr>
          <w:rFonts w:cs="Arial"/>
        </w:rPr>
        <w:t>3</w:t>
      </w:r>
      <w:r w:rsidRPr="00273773">
        <w:rPr>
          <w:rFonts w:cs="Arial"/>
        </w:rPr>
        <w:t>].</w:t>
      </w:r>
    </w:p>
    <w:p w14:paraId="28E9C31A" w14:textId="5E8D07C4" w:rsidR="00BA5251" w:rsidRPr="00273773" w:rsidRDefault="00BA5251" w:rsidP="002F17F3">
      <w:pPr>
        <w:spacing w:line="360" w:lineRule="auto"/>
        <w:rPr>
          <w:rFonts w:cs="Arial"/>
        </w:rPr>
      </w:pPr>
      <w:r w:rsidRPr="00273773">
        <w:rPr>
          <w:rFonts w:cs="Arial"/>
        </w:rPr>
        <w:t xml:space="preserve">A </w:t>
      </w:r>
      <w:r w:rsidR="00E10140" w:rsidRPr="00273773">
        <w:rPr>
          <w:rFonts w:cs="Arial"/>
        </w:rPr>
        <w:t>D</w:t>
      </w:r>
      <w:r w:rsidRPr="00273773">
        <w:rPr>
          <w:rFonts w:cs="Arial"/>
        </w:rPr>
        <w:t xml:space="preserve">ata </w:t>
      </w:r>
      <w:r w:rsidR="00E10140" w:rsidRPr="00273773">
        <w:rPr>
          <w:rFonts w:cs="Arial"/>
        </w:rPr>
        <w:t>W</w:t>
      </w:r>
      <w:r w:rsidRPr="00273773">
        <w:rPr>
          <w:rFonts w:cs="Arial"/>
        </w:rPr>
        <w:t xml:space="preserve">arehouse </w:t>
      </w:r>
      <w:r w:rsidR="008A7FA1" w:rsidRPr="00273773">
        <w:rPr>
          <w:rFonts w:cs="Arial"/>
        </w:rPr>
        <w:t>deals with</w:t>
      </w:r>
      <w:r w:rsidRPr="00273773">
        <w:rPr>
          <w:rFonts w:cs="Arial"/>
        </w:rPr>
        <w:t xml:space="preserve"> these </w:t>
      </w:r>
      <w:r w:rsidR="003F35B1" w:rsidRPr="00273773">
        <w:rPr>
          <w:rFonts w:cs="Arial"/>
        </w:rPr>
        <w:t>restrictions</w:t>
      </w:r>
      <w:r w:rsidRPr="00273773">
        <w:rPr>
          <w:rFonts w:cs="Arial"/>
        </w:rPr>
        <w:t xml:space="preserve"> by integrating data from multiple sources into a central</w:t>
      </w:r>
      <w:r w:rsidR="003F7F00" w:rsidRPr="00273773">
        <w:rPr>
          <w:rFonts w:cs="Arial"/>
        </w:rPr>
        <w:t>ised</w:t>
      </w:r>
      <w:r w:rsidRPr="00273773">
        <w:rPr>
          <w:rFonts w:cs="Arial"/>
        </w:rPr>
        <w:t xml:space="preserve"> </w:t>
      </w:r>
      <w:r w:rsidR="003F7F00" w:rsidRPr="00273773">
        <w:rPr>
          <w:rFonts w:cs="Arial"/>
        </w:rPr>
        <w:t>d</w:t>
      </w:r>
      <w:r w:rsidR="00F52935" w:rsidRPr="00273773">
        <w:rPr>
          <w:rFonts w:cs="Arial"/>
        </w:rPr>
        <w:t>atabase</w:t>
      </w:r>
      <w:r w:rsidRPr="00273773">
        <w:rPr>
          <w:rFonts w:cs="Arial"/>
        </w:rPr>
        <w:t xml:space="preserve"> for reporting and </w:t>
      </w:r>
      <w:r w:rsidR="00F52935" w:rsidRPr="00273773">
        <w:rPr>
          <w:rFonts w:cs="Arial"/>
        </w:rPr>
        <w:t>evaluation</w:t>
      </w:r>
      <w:r w:rsidRPr="00273773">
        <w:rPr>
          <w:rFonts w:cs="Arial"/>
        </w:rPr>
        <w:t xml:space="preserve">. It supports historical analysis, allowing NHS England to identify trends, compare regional performance, forecast demand, and examine large </w:t>
      </w:r>
      <w:r w:rsidRPr="00273773">
        <w:rPr>
          <w:rFonts w:cs="Arial"/>
        </w:rPr>
        <w:lastRenderedPageBreak/>
        <w:t>datasets</w:t>
      </w:r>
      <w:r w:rsidR="002413B5">
        <w:rPr>
          <w:rFonts w:cs="Arial"/>
        </w:rPr>
        <w:t>.</w:t>
      </w:r>
      <w:r w:rsidRPr="00273773">
        <w:rPr>
          <w:rFonts w:cs="Arial"/>
        </w:rPr>
        <w:t xml:space="preserve"> For example, leaders could compare waiting-list pressures between London teaching hospitals and </w:t>
      </w:r>
      <w:r w:rsidR="003D5434" w:rsidRPr="00273773">
        <w:rPr>
          <w:rFonts w:cs="Arial"/>
        </w:rPr>
        <w:t>Midlands’s</w:t>
      </w:r>
      <w:r w:rsidRPr="00273773">
        <w:rPr>
          <w:rFonts w:cs="Arial"/>
        </w:rPr>
        <w:t xml:space="preserve"> district general hospitals.</w:t>
      </w:r>
    </w:p>
    <w:p w14:paraId="35D7D4AD" w14:textId="6E9EB734" w:rsidR="00FC6BE4" w:rsidRDefault="00C8775C" w:rsidP="002F17F3">
      <w:pPr>
        <w:spacing w:line="360" w:lineRule="auto"/>
        <w:rPr>
          <w:rFonts w:cs="Arial"/>
        </w:rPr>
      </w:pPr>
      <w:r w:rsidRPr="00273773">
        <w:rPr>
          <w:rFonts w:cs="Arial"/>
        </w:rPr>
        <w:t>In general,</w:t>
      </w:r>
      <w:r w:rsidR="00BA5251" w:rsidRPr="00273773">
        <w:rPr>
          <w:rFonts w:cs="Arial"/>
        </w:rPr>
        <w:t xml:space="preserve"> a </w:t>
      </w:r>
      <w:r w:rsidRPr="00273773">
        <w:rPr>
          <w:rFonts w:cs="Arial"/>
        </w:rPr>
        <w:t>D</w:t>
      </w:r>
      <w:r w:rsidR="00BA5251" w:rsidRPr="00273773">
        <w:rPr>
          <w:rFonts w:cs="Arial"/>
        </w:rPr>
        <w:t xml:space="preserve">ata </w:t>
      </w:r>
      <w:r w:rsidRPr="00273773">
        <w:rPr>
          <w:rFonts w:cs="Arial"/>
        </w:rPr>
        <w:t>W</w:t>
      </w:r>
      <w:r w:rsidR="00BA5251" w:rsidRPr="00273773">
        <w:rPr>
          <w:rFonts w:cs="Arial"/>
        </w:rPr>
        <w:t xml:space="preserve">arehouse would provide a </w:t>
      </w:r>
      <w:r w:rsidR="00575784" w:rsidRPr="00273773">
        <w:rPr>
          <w:rFonts w:cs="Arial"/>
        </w:rPr>
        <w:t xml:space="preserve">unified and </w:t>
      </w:r>
      <w:r w:rsidR="007860D9" w:rsidRPr="00273773">
        <w:rPr>
          <w:rFonts w:cs="Arial"/>
        </w:rPr>
        <w:t>dependable</w:t>
      </w:r>
      <w:r w:rsidR="00BA5251" w:rsidRPr="00273773">
        <w:rPr>
          <w:rFonts w:cs="Arial"/>
        </w:rPr>
        <w:t xml:space="preserve"> view of patient, clinical, workforce, operational, and financial information, </w:t>
      </w:r>
      <w:r w:rsidR="003C4F46" w:rsidRPr="00273773">
        <w:rPr>
          <w:rFonts w:cs="Arial"/>
        </w:rPr>
        <w:t xml:space="preserve">that will </w:t>
      </w:r>
      <w:r w:rsidR="00BA5251" w:rsidRPr="00273773">
        <w:rPr>
          <w:rFonts w:cs="Arial"/>
        </w:rPr>
        <w:t xml:space="preserve">support better resource </w:t>
      </w:r>
      <w:r w:rsidR="00B95341" w:rsidRPr="00273773">
        <w:rPr>
          <w:rFonts w:cs="Arial"/>
        </w:rPr>
        <w:t>distri</w:t>
      </w:r>
      <w:r w:rsidR="00646017" w:rsidRPr="00273773">
        <w:rPr>
          <w:rFonts w:cs="Arial"/>
        </w:rPr>
        <w:t>bution</w:t>
      </w:r>
      <w:r w:rsidR="00BA5251" w:rsidRPr="00273773">
        <w:rPr>
          <w:rFonts w:cs="Arial"/>
        </w:rPr>
        <w:t xml:space="preserve">, performance </w:t>
      </w:r>
      <w:r w:rsidR="000B3779" w:rsidRPr="00273773">
        <w:rPr>
          <w:rFonts w:cs="Arial"/>
        </w:rPr>
        <w:t>evaluation</w:t>
      </w:r>
      <w:r w:rsidR="00BA5251" w:rsidRPr="00273773">
        <w:rPr>
          <w:rFonts w:cs="Arial"/>
        </w:rPr>
        <w:t>, service planning, and coordinated decision-making across NHS England</w:t>
      </w:r>
      <w:r w:rsidR="002413B5">
        <w:rPr>
          <w:rFonts w:cs="Arial"/>
        </w:rPr>
        <w:t xml:space="preserve"> [</w:t>
      </w:r>
      <w:r w:rsidR="00E90361">
        <w:rPr>
          <w:rFonts w:cs="Arial"/>
        </w:rPr>
        <w:t>4</w:t>
      </w:r>
      <w:r w:rsidR="002413B5">
        <w:rPr>
          <w:rFonts w:cs="Arial"/>
        </w:rPr>
        <w:t>],</w:t>
      </w:r>
      <w:r w:rsidR="00BA5251" w:rsidRPr="00273773">
        <w:rPr>
          <w:rFonts w:cs="Arial"/>
        </w:rPr>
        <w:t xml:space="preserve"> [</w:t>
      </w:r>
      <w:r w:rsidR="00E90361">
        <w:rPr>
          <w:rFonts w:cs="Arial"/>
        </w:rPr>
        <w:t>5</w:t>
      </w:r>
      <w:r w:rsidR="00BA5251" w:rsidRPr="00273773">
        <w:rPr>
          <w:rFonts w:cs="Arial"/>
        </w:rPr>
        <w:t>].</w:t>
      </w:r>
    </w:p>
    <w:p w14:paraId="4414D7C8" w14:textId="77777777" w:rsidR="00F50847" w:rsidRPr="002F17F3" w:rsidRDefault="00F50847" w:rsidP="002F17F3">
      <w:pPr>
        <w:spacing w:line="360" w:lineRule="auto"/>
        <w:rPr>
          <w:rFonts w:cs="Arial"/>
        </w:rPr>
      </w:pPr>
    </w:p>
    <w:p w14:paraId="13122A59" w14:textId="25225DE0" w:rsidR="00FC6BE4" w:rsidRPr="00273773" w:rsidRDefault="00457F10" w:rsidP="00045FCD">
      <w:pPr>
        <w:pStyle w:val="Heading2"/>
      </w:pPr>
      <w:bookmarkStart w:id="5" w:name="_Toc235140095"/>
      <w:r w:rsidRPr="00273773">
        <w:t>1.2 DATA WAREHOUSE ARCHITECTURE AND ETL PROCESS</w:t>
      </w:r>
      <w:bookmarkEnd w:id="5"/>
    </w:p>
    <w:p w14:paraId="0FDB260C" w14:textId="62F3D859" w:rsidR="003E79F6" w:rsidRDefault="00FC6BE4" w:rsidP="002F17F3">
      <w:pPr>
        <w:spacing w:line="360" w:lineRule="auto"/>
        <w:rPr>
          <w:rFonts w:cs="Arial"/>
        </w:rPr>
      </w:pPr>
      <w:r w:rsidRPr="00273773">
        <w:rPr>
          <w:rFonts w:cs="Arial"/>
        </w:rPr>
        <w:t xml:space="preserve">NHS England oversees healthcare delivery across multiple ICSs, NHS Trusts, community providers, mental health services, and specialist treatment centres. These organisations generate information through EPRs, PAS platforms, workforce systems, diagnostic applications, and financial systems. A proposed data warehouse </w:t>
      </w:r>
      <w:r w:rsidR="003D5434" w:rsidRPr="00273773">
        <w:rPr>
          <w:rFonts w:cs="Arial"/>
        </w:rPr>
        <w:t>architecture,</w:t>
      </w:r>
      <w:r w:rsidR="001716EF">
        <w:rPr>
          <w:rFonts w:cs="Arial"/>
        </w:rPr>
        <w:t xml:space="preserve"> see Fig 1, </w:t>
      </w:r>
      <w:r w:rsidRPr="00273773">
        <w:rPr>
          <w:rFonts w:cs="Arial"/>
        </w:rPr>
        <w:t xml:space="preserve">would integrate these separate sources into a structured analytical environment, helping NHS England develop a more consistent national view of healthcare activity and performance </w:t>
      </w:r>
      <w:r w:rsidR="008258A1">
        <w:rPr>
          <w:rFonts w:cs="Arial"/>
        </w:rPr>
        <w:t>[</w:t>
      </w:r>
      <w:r w:rsidR="006156D8">
        <w:rPr>
          <w:rFonts w:cs="Arial"/>
        </w:rPr>
        <w:t>5</w:t>
      </w:r>
      <w:r w:rsidR="008258A1">
        <w:rPr>
          <w:rFonts w:cs="Arial"/>
        </w:rPr>
        <w:t>]</w:t>
      </w:r>
      <w:r w:rsidR="00470648">
        <w:rPr>
          <w:rFonts w:cs="Arial"/>
        </w:rPr>
        <w:t>, [6].</w:t>
      </w:r>
    </w:p>
    <w:p w14:paraId="21AF89D2" w14:textId="77777777" w:rsidR="005846F2" w:rsidRDefault="005846F2" w:rsidP="002F17F3">
      <w:pPr>
        <w:spacing w:line="360" w:lineRule="auto"/>
        <w:rPr>
          <w:rFonts w:cs="Arial"/>
        </w:rPr>
      </w:pPr>
    </w:p>
    <w:p w14:paraId="4E103886" w14:textId="5F5558A6" w:rsidR="005846F2" w:rsidRPr="00273773" w:rsidRDefault="005846F2" w:rsidP="002F17F3">
      <w:pPr>
        <w:spacing w:line="360" w:lineRule="auto"/>
        <w:rPr>
          <w:rFonts w:cs="Arial"/>
        </w:rPr>
      </w:pPr>
      <w:r w:rsidRPr="006E004C">
        <w:lastRenderedPageBreak/>
        <w:drawing>
          <wp:inline distT="0" distB="0" distL="0" distR="0" wp14:anchorId="6836CEB0" wp14:editId="19A435D8">
            <wp:extent cx="5619750" cy="6838950"/>
            <wp:effectExtent l="0" t="0" r="0" b="0"/>
            <wp:docPr id="19309830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9750" cy="6838950"/>
                    </a:xfrm>
                    <a:prstGeom prst="rect">
                      <a:avLst/>
                    </a:prstGeom>
                    <a:noFill/>
                    <a:ln>
                      <a:noFill/>
                    </a:ln>
                  </pic:spPr>
                </pic:pic>
              </a:graphicData>
            </a:graphic>
          </wp:inline>
        </w:drawing>
      </w:r>
    </w:p>
    <w:p w14:paraId="5064F859" w14:textId="446455E7" w:rsidR="0090364E" w:rsidRDefault="0090364E" w:rsidP="00FC6BE4">
      <w:pPr>
        <w:rPr>
          <w:rFonts w:ascii="Arial" w:hAnsi="Arial" w:cs="Arial"/>
        </w:rPr>
      </w:pPr>
      <w:r>
        <w:rPr>
          <w:rFonts w:ascii="Arial" w:hAnsi="Arial" w:cs="Arial"/>
        </w:rPr>
        <w:t xml:space="preserve">                  </w:t>
      </w:r>
    </w:p>
    <w:p w14:paraId="3E594E1B" w14:textId="77777777" w:rsidR="0090364E" w:rsidRDefault="0090364E" w:rsidP="0090364E">
      <w:r>
        <w:t xml:space="preserve">Figure </w:t>
      </w:r>
      <w:r>
        <w:fldChar w:fldCharType="begin"/>
      </w:r>
      <w:r>
        <w:instrText xml:space="preserve"> SEQ Figure \* ARABIC </w:instrText>
      </w:r>
      <w:r>
        <w:fldChar w:fldCharType="separate"/>
      </w:r>
      <w:r>
        <w:rPr>
          <w:noProof/>
        </w:rPr>
        <w:t>1</w:t>
      </w:r>
      <w:r>
        <w:rPr>
          <w:noProof/>
        </w:rPr>
        <w:fldChar w:fldCharType="end"/>
      </w:r>
      <w:r w:rsidRPr="00D8220C">
        <w:t xml:space="preserve">: </w:t>
      </w:r>
      <w:r>
        <w:t xml:space="preserve">A </w:t>
      </w:r>
      <w:r w:rsidRPr="00D8220C">
        <w:t xml:space="preserve">proposed NHS England </w:t>
      </w:r>
      <w:r>
        <w:t>D</w:t>
      </w:r>
      <w:r w:rsidRPr="00D8220C">
        <w:t xml:space="preserve">ata </w:t>
      </w:r>
      <w:r>
        <w:t>W</w:t>
      </w:r>
      <w:r w:rsidRPr="00D8220C">
        <w:t xml:space="preserve">arehouse </w:t>
      </w:r>
      <w:r>
        <w:t>A</w:t>
      </w:r>
      <w:r w:rsidRPr="00D8220C">
        <w:t>rchitecture</w:t>
      </w:r>
      <w:r>
        <w:t>.</w:t>
      </w:r>
    </w:p>
    <w:p w14:paraId="337B4C2A" w14:textId="77777777" w:rsidR="007E0E4B" w:rsidRDefault="007E0E4B" w:rsidP="0090364E"/>
    <w:p w14:paraId="708D20D2" w14:textId="77777777" w:rsidR="007E0E4B" w:rsidRDefault="007E0E4B" w:rsidP="0090364E">
      <w:pPr>
        <w:rPr>
          <w:b/>
          <w:bCs/>
        </w:rPr>
      </w:pPr>
    </w:p>
    <w:p w14:paraId="12065442" w14:textId="7A3D7962" w:rsidR="00D8220C" w:rsidRDefault="00D8220C" w:rsidP="00D8220C">
      <w:pPr>
        <w:rPr>
          <w:b/>
          <w:bCs/>
        </w:rPr>
      </w:pPr>
    </w:p>
    <w:p w14:paraId="6EA47D85" w14:textId="632069F6" w:rsidR="004E4A89" w:rsidRPr="00441935" w:rsidRDefault="004E4A89" w:rsidP="007E0E4B">
      <w:pPr>
        <w:spacing w:line="360" w:lineRule="auto"/>
        <w:rPr>
          <w:rFonts w:cs="Arial"/>
        </w:rPr>
      </w:pPr>
      <w:r w:rsidRPr="00441935">
        <w:rPr>
          <w:rFonts w:cs="Arial"/>
        </w:rPr>
        <w:lastRenderedPageBreak/>
        <w:t xml:space="preserve">The proposed architecture would combine data from London teaching hospitals, </w:t>
      </w:r>
      <w:r w:rsidR="003A3F2F" w:rsidRPr="00441935">
        <w:rPr>
          <w:rFonts w:cs="Arial"/>
        </w:rPr>
        <w:t>Midlands’s</w:t>
      </w:r>
      <w:r w:rsidRPr="00441935">
        <w:rPr>
          <w:rFonts w:cs="Arial"/>
        </w:rPr>
        <w:t xml:space="preserve"> district general hospitals, Northwest community services, Southwest rural providers, and Northern specialist centres. This includes patient admissions, clinical activity, workforce capacity, treatment costs, bed use, waiting lists, and quality indicators. Integrating </w:t>
      </w:r>
      <w:bookmarkStart w:id="6" w:name="OLE_LINK2"/>
      <w:r w:rsidRPr="00441935">
        <w:rPr>
          <w:rFonts w:cs="Arial"/>
        </w:rPr>
        <w:t xml:space="preserve">these sources would </w:t>
      </w:r>
      <w:r w:rsidR="00EC4B28" w:rsidRPr="00441935">
        <w:rPr>
          <w:rFonts w:cs="Arial"/>
        </w:rPr>
        <w:t xml:space="preserve">minimise </w:t>
      </w:r>
      <w:r w:rsidR="00243BA9" w:rsidRPr="00441935">
        <w:rPr>
          <w:rFonts w:cs="Arial"/>
        </w:rPr>
        <w:t>decentralised</w:t>
      </w:r>
      <w:r w:rsidRPr="00441935">
        <w:rPr>
          <w:rFonts w:cs="Arial"/>
        </w:rPr>
        <w:t xml:space="preserve"> reporting and provide a wider view of </w:t>
      </w:r>
      <w:r w:rsidR="0012170C" w:rsidRPr="00441935">
        <w:rPr>
          <w:rFonts w:cs="Arial"/>
        </w:rPr>
        <w:t>implementation</w:t>
      </w:r>
      <w:r w:rsidRPr="00441935">
        <w:rPr>
          <w:rFonts w:cs="Arial"/>
        </w:rPr>
        <w:t xml:space="preserve"> across regions and care pathways</w:t>
      </w:r>
      <w:bookmarkEnd w:id="6"/>
      <w:r w:rsidR="00117A47" w:rsidRPr="00441935">
        <w:rPr>
          <w:rFonts w:cs="Arial"/>
        </w:rPr>
        <w:t>.</w:t>
      </w:r>
    </w:p>
    <w:p w14:paraId="377053A0" w14:textId="6AD76AB0" w:rsidR="004E4A89" w:rsidRPr="00441935" w:rsidRDefault="004E4A89" w:rsidP="00F70B1C">
      <w:pPr>
        <w:spacing w:line="360" w:lineRule="auto"/>
        <w:rPr>
          <w:rFonts w:cs="Arial"/>
        </w:rPr>
      </w:pPr>
      <w:r w:rsidRPr="00441935">
        <w:rPr>
          <w:rFonts w:cs="Arial"/>
        </w:rPr>
        <w:t xml:space="preserve">The ETL process supports this integration through three stages. During Extract, data is copied from EPR, PAS, workforce, diagnostic, </w:t>
      </w:r>
      <w:r w:rsidR="0043039B" w:rsidRPr="00441935">
        <w:rPr>
          <w:rFonts w:cs="Arial"/>
        </w:rPr>
        <w:t>clinical, finance systems and</w:t>
      </w:r>
      <w:r w:rsidRPr="00441935">
        <w:rPr>
          <w:rFonts w:cs="Arial"/>
        </w:rPr>
        <w:t xml:space="preserve"> external NHS data. During Transform, it is cleaned, validated, and standardised. For example, ICD-10 codes, provider identifiers, patient references, and workforce categories can be </w:t>
      </w:r>
      <w:r w:rsidR="00AD5976" w:rsidRPr="00441935">
        <w:rPr>
          <w:rFonts w:cs="Arial"/>
        </w:rPr>
        <w:t>modified</w:t>
      </w:r>
      <w:r w:rsidRPr="00441935">
        <w:rPr>
          <w:rFonts w:cs="Arial"/>
        </w:rPr>
        <w:t xml:space="preserve"> into </w:t>
      </w:r>
      <w:r w:rsidR="005761A2" w:rsidRPr="00441935">
        <w:rPr>
          <w:rFonts w:cs="Arial"/>
        </w:rPr>
        <w:t>steady</w:t>
      </w:r>
      <w:r w:rsidRPr="00441935">
        <w:rPr>
          <w:rFonts w:cs="Arial"/>
        </w:rPr>
        <w:t xml:space="preserve"> formats. During Load, the prepared data is </w:t>
      </w:r>
      <w:r w:rsidR="002978E6" w:rsidRPr="00441935">
        <w:rPr>
          <w:rFonts w:cs="Arial"/>
        </w:rPr>
        <w:t xml:space="preserve">then </w:t>
      </w:r>
      <w:r w:rsidRPr="00441935">
        <w:rPr>
          <w:rFonts w:cs="Arial"/>
        </w:rPr>
        <w:t xml:space="preserve">transferred into the warehouse for </w:t>
      </w:r>
      <w:r w:rsidR="00302793" w:rsidRPr="00441935">
        <w:rPr>
          <w:rFonts w:cs="Arial"/>
        </w:rPr>
        <w:t>evaluation</w:t>
      </w:r>
      <w:r w:rsidRPr="00441935">
        <w:rPr>
          <w:rFonts w:cs="Arial"/>
        </w:rPr>
        <w:t xml:space="preserve">. ETL frameworks therefore help </w:t>
      </w:r>
      <w:r w:rsidR="0026230F" w:rsidRPr="00441935">
        <w:rPr>
          <w:rFonts w:cs="Arial"/>
        </w:rPr>
        <w:t>transform</w:t>
      </w:r>
      <w:r w:rsidRPr="00441935">
        <w:rPr>
          <w:rFonts w:cs="Arial"/>
        </w:rPr>
        <w:t xml:space="preserve"> different healthcare data sources into consistent structures </w:t>
      </w:r>
      <w:r w:rsidR="0010704F" w:rsidRPr="00441935">
        <w:rPr>
          <w:rFonts w:cs="Arial"/>
        </w:rPr>
        <w:t>[</w:t>
      </w:r>
      <w:r w:rsidR="00C13567" w:rsidRPr="00441935">
        <w:rPr>
          <w:rFonts w:cs="Arial"/>
        </w:rPr>
        <w:t>7</w:t>
      </w:r>
      <w:r w:rsidR="0010704F" w:rsidRPr="00441935">
        <w:rPr>
          <w:rFonts w:cs="Arial"/>
        </w:rPr>
        <w:t>].</w:t>
      </w:r>
    </w:p>
    <w:p w14:paraId="6B44E1C9" w14:textId="5ACFF222" w:rsidR="004E4A89" w:rsidRPr="00441935" w:rsidRDefault="004E4A89" w:rsidP="00F70B1C">
      <w:pPr>
        <w:spacing w:line="360" w:lineRule="auto"/>
        <w:rPr>
          <w:rFonts w:cs="Arial"/>
        </w:rPr>
      </w:pPr>
      <w:r w:rsidRPr="00441935">
        <w:rPr>
          <w:rFonts w:cs="Arial"/>
        </w:rPr>
        <w:t xml:space="preserve">Cloud technologies and automated data pipelines can also </w:t>
      </w:r>
      <w:r w:rsidR="00C76372" w:rsidRPr="00441935">
        <w:rPr>
          <w:rFonts w:cs="Arial"/>
        </w:rPr>
        <w:t>maximise</w:t>
      </w:r>
      <w:r w:rsidRPr="00441935">
        <w:rPr>
          <w:rFonts w:cs="Arial"/>
        </w:rPr>
        <w:t xml:space="preserve"> scalability as NHS data volumes increase</w:t>
      </w:r>
      <w:r w:rsidR="00DF6766" w:rsidRPr="00441935">
        <w:rPr>
          <w:rFonts w:cs="Arial"/>
        </w:rPr>
        <w:t>.</w:t>
      </w:r>
      <w:r w:rsidRPr="00441935">
        <w:rPr>
          <w:rFonts w:cs="Arial"/>
        </w:rPr>
        <w:t xml:space="preserve"> This would </w:t>
      </w:r>
      <w:r w:rsidR="00132FCE" w:rsidRPr="00441935">
        <w:rPr>
          <w:rFonts w:cs="Arial"/>
        </w:rPr>
        <w:t>endorse</w:t>
      </w:r>
      <w:r w:rsidRPr="00441935">
        <w:rPr>
          <w:rFonts w:cs="Arial"/>
        </w:rPr>
        <w:t xml:space="preserve"> </w:t>
      </w:r>
      <w:r w:rsidR="00841A6A" w:rsidRPr="00441935">
        <w:rPr>
          <w:rFonts w:cs="Arial"/>
        </w:rPr>
        <w:t>expandable</w:t>
      </w:r>
      <w:r w:rsidRPr="00441935">
        <w:rPr>
          <w:rFonts w:cs="Arial"/>
        </w:rPr>
        <w:t xml:space="preserve"> clinical, operational, workforce, and financial data while keeping analytical workloads separate from frontline systems</w:t>
      </w:r>
      <w:r w:rsidR="007753EB">
        <w:rPr>
          <w:rFonts w:cs="Arial"/>
        </w:rPr>
        <w:t xml:space="preserve"> [8].</w:t>
      </w:r>
    </w:p>
    <w:p w14:paraId="4C96D2DB" w14:textId="77403FCC" w:rsidR="004E4A89" w:rsidRPr="00441935" w:rsidRDefault="004E4A89" w:rsidP="00F70B1C">
      <w:pPr>
        <w:spacing w:line="360" w:lineRule="auto"/>
        <w:rPr>
          <w:rFonts w:cs="Arial"/>
        </w:rPr>
      </w:pPr>
      <w:r w:rsidRPr="00441935">
        <w:rPr>
          <w:rFonts w:cs="Arial"/>
        </w:rPr>
        <w:t xml:space="preserve">To minimise disruption, scheduled extraction and incremental loading can copy new or updated records without stopping clinicians and administrative staff from using operational systems. Research involving English prescription data also shows the value of </w:t>
      </w:r>
      <w:r w:rsidR="00610A2D" w:rsidRPr="00441935">
        <w:rPr>
          <w:rFonts w:cs="Arial"/>
        </w:rPr>
        <w:t xml:space="preserve">expandable </w:t>
      </w:r>
      <w:r w:rsidR="00893176" w:rsidRPr="00441935">
        <w:rPr>
          <w:rFonts w:cs="Arial"/>
        </w:rPr>
        <w:t xml:space="preserve">data </w:t>
      </w:r>
      <w:r w:rsidRPr="00441935">
        <w:rPr>
          <w:rFonts w:cs="Arial"/>
        </w:rPr>
        <w:t>analy</w:t>
      </w:r>
      <w:r w:rsidR="00893176" w:rsidRPr="00441935">
        <w:rPr>
          <w:rFonts w:cs="Arial"/>
        </w:rPr>
        <w:t>sis</w:t>
      </w:r>
      <w:r w:rsidRPr="00441935">
        <w:rPr>
          <w:rFonts w:cs="Arial"/>
        </w:rPr>
        <w:t xml:space="preserve"> for NHS intelligence [</w:t>
      </w:r>
      <w:r w:rsidR="007B4575">
        <w:rPr>
          <w:rFonts w:cs="Arial"/>
        </w:rPr>
        <w:t>8</w:t>
      </w:r>
      <w:r w:rsidRPr="00441935">
        <w:rPr>
          <w:rFonts w:cs="Arial"/>
        </w:rPr>
        <w:t>]</w:t>
      </w:r>
      <w:r w:rsidR="00B84A8E" w:rsidRPr="00441935">
        <w:rPr>
          <w:rFonts w:cs="Arial"/>
        </w:rPr>
        <w:t>, [</w:t>
      </w:r>
      <w:r w:rsidR="007B4575">
        <w:rPr>
          <w:rFonts w:cs="Arial"/>
        </w:rPr>
        <w:t>9</w:t>
      </w:r>
      <w:r w:rsidR="00B84A8E" w:rsidRPr="00441935">
        <w:rPr>
          <w:rFonts w:cs="Arial"/>
        </w:rPr>
        <w:t>].</w:t>
      </w:r>
    </w:p>
    <w:p w14:paraId="5123F8B2" w14:textId="44614BC9" w:rsidR="004E4A89" w:rsidRDefault="00E35FAA" w:rsidP="00F70B1C">
      <w:pPr>
        <w:spacing w:line="360" w:lineRule="auto"/>
        <w:rPr>
          <w:rFonts w:cs="Arial"/>
        </w:rPr>
      </w:pPr>
      <w:r w:rsidRPr="00441935">
        <w:rPr>
          <w:rFonts w:cs="Arial"/>
        </w:rPr>
        <w:t>Ultimately,</w:t>
      </w:r>
      <w:r w:rsidR="004E4A89" w:rsidRPr="00441935">
        <w:rPr>
          <w:rFonts w:cs="Arial"/>
        </w:rPr>
        <w:t xml:space="preserve"> this architecture would help NHS England </w:t>
      </w:r>
      <w:r w:rsidR="00B3408D" w:rsidRPr="00441935">
        <w:rPr>
          <w:rFonts w:cs="Arial"/>
        </w:rPr>
        <w:t xml:space="preserve">to properly </w:t>
      </w:r>
      <w:r w:rsidR="004E4A89" w:rsidRPr="00441935">
        <w:rPr>
          <w:rFonts w:cs="Arial"/>
        </w:rPr>
        <w:t>monitor patient flow, elective care pressures, workforce capacity, financial performance, and regional differences. A more integrated analytical environment would strengthen strategic planning and support evidence-based responses to changing healthcare demands</w:t>
      </w:r>
      <w:r w:rsidR="00362787" w:rsidRPr="00441935">
        <w:rPr>
          <w:rFonts w:cs="Arial"/>
        </w:rPr>
        <w:t xml:space="preserve"> [</w:t>
      </w:r>
      <w:r w:rsidR="007B4575">
        <w:rPr>
          <w:rFonts w:cs="Arial"/>
        </w:rPr>
        <w:t>10</w:t>
      </w:r>
      <w:r w:rsidR="00362787" w:rsidRPr="00441935">
        <w:rPr>
          <w:rFonts w:cs="Arial"/>
        </w:rPr>
        <w:t>].</w:t>
      </w:r>
    </w:p>
    <w:p w14:paraId="02DD6BDE" w14:textId="77777777" w:rsidR="00946757" w:rsidRPr="00441935" w:rsidRDefault="00946757" w:rsidP="00F70B1C">
      <w:pPr>
        <w:spacing w:line="360" w:lineRule="auto"/>
        <w:rPr>
          <w:rFonts w:cs="Arial"/>
        </w:rPr>
      </w:pPr>
    </w:p>
    <w:p w14:paraId="3BE11AB6" w14:textId="77777777" w:rsidR="009E235E" w:rsidRDefault="009E235E" w:rsidP="004E4A89">
      <w:pPr>
        <w:rPr>
          <w:rFonts w:ascii="Arial" w:hAnsi="Arial" w:cs="Arial"/>
        </w:rPr>
      </w:pPr>
    </w:p>
    <w:p w14:paraId="5491FE7F" w14:textId="77777777" w:rsidR="00E353D2" w:rsidRDefault="00E353D2" w:rsidP="004E4A89">
      <w:pPr>
        <w:rPr>
          <w:rFonts w:ascii="Arial" w:hAnsi="Arial" w:cs="Arial"/>
        </w:rPr>
      </w:pPr>
    </w:p>
    <w:p w14:paraId="63A0E47D" w14:textId="77777777" w:rsidR="00E353D2" w:rsidRDefault="00E353D2" w:rsidP="004E4A89">
      <w:pPr>
        <w:rPr>
          <w:rFonts w:ascii="Arial" w:hAnsi="Arial" w:cs="Arial"/>
        </w:rPr>
      </w:pPr>
    </w:p>
    <w:p w14:paraId="46626ABF" w14:textId="77777777" w:rsidR="00E353D2" w:rsidRDefault="00E353D2" w:rsidP="004E4A89">
      <w:pPr>
        <w:rPr>
          <w:rFonts w:ascii="Arial" w:hAnsi="Arial" w:cs="Arial"/>
        </w:rPr>
      </w:pPr>
    </w:p>
    <w:p w14:paraId="21508101" w14:textId="77777777" w:rsidR="00E353D2" w:rsidRDefault="00E353D2" w:rsidP="004E4A89">
      <w:pPr>
        <w:rPr>
          <w:rFonts w:ascii="Arial" w:hAnsi="Arial" w:cs="Arial"/>
        </w:rPr>
      </w:pPr>
    </w:p>
    <w:p w14:paraId="31517BCF" w14:textId="77777777" w:rsidR="00E353D2" w:rsidRDefault="00E353D2" w:rsidP="004E4A89">
      <w:pPr>
        <w:rPr>
          <w:rFonts w:ascii="Arial" w:hAnsi="Arial" w:cs="Arial"/>
        </w:rPr>
      </w:pPr>
    </w:p>
    <w:p w14:paraId="1FCD4ABE" w14:textId="77777777" w:rsidR="00E353D2" w:rsidRDefault="00E353D2" w:rsidP="004E4A89">
      <w:pPr>
        <w:rPr>
          <w:rFonts w:ascii="Arial" w:hAnsi="Arial" w:cs="Arial"/>
        </w:rPr>
      </w:pPr>
    </w:p>
    <w:p w14:paraId="075F329C" w14:textId="77777777" w:rsidR="00ED00F8" w:rsidRDefault="00ED00F8" w:rsidP="004E4A89">
      <w:pPr>
        <w:rPr>
          <w:rFonts w:ascii="Arial" w:hAnsi="Arial" w:cs="Arial"/>
        </w:rPr>
      </w:pPr>
    </w:p>
    <w:p w14:paraId="6CB72C89" w14:textId="77777777" w:rsidR="009E235E" w:rsidRPr="00441935" w:rsidRDefault="009E235E" w:rsidP="00045FCD">
      <w:pPr>
        <w:pStyle w:val="Heading2"/>
      </w:pPr>
      <w:bookmarkStart w:id="7" w:name="_Toc235140096"/>
      <w:r w:rsidRPr="00441935">
        <w:t>1.3 DATA MARTS FOR MANAGEMENT DECISION-MAKING</w:t>
      </w:r>
      <w:bookmarkEnd w:id="7"/>
    </w:p>
    <w:p w14:paraId="4A34870B" w14:textId="0583E6FA" w:rsidR="009E235E" w:rsidRPr="00441935" w:rsidRDefault="009E235E" w:rsidP="00F70B1C">
      <w:pPr>
        <w:spacing w:line="360" w:lineRule="auto"/>
        <w:rPr>
          <w:rFonts w:cs="Arial"/>
        </w:rPr>
      </w:pPr>
      <w:r w:rsidRPr="00441935">
        <w:rPr>
          <w:rFonts w:cs="Arial"/>
        </w:rPr>
        <w:t>An NHS England enterprise data warehouse would provide integrated information, but senior leaders require insights suited to their responsibilities. Data marts offer focused subsets of warehouse data while maintaining consistency with the central source</w:t>
      </w:r>
      <w:r w:rsidR="009B70A6" w:rsidRPr="00441935">
        <w:rPr>
          <w:rFonts w:cs="Arial"/>
        </w:rPr>
        <w:t xml:space="preserve"> [10]</w:t>
      </w:r>
      <w:r w:rsidR="00E4508A" w:rsidRPr="00441935">
        <w:rPr>
          <w:rFonts w:cs="Arial"/>
        </w:rPr>
        <w:t>, [11].</w:t>
      </w:r>
    </w:p>
    <w:p w14:paraId="32B0C209" w14:textId="77777777" w:rsidR="00AD4A8B" w:rsidRPr="00441935" w:rsidRDefault="00AD4A8B" w:rsidP="00F70B1C">
      <w:pPr>
        <w:spacing w:line="360" w:lineRule="auto"/>
        <w:rPr>
          <w:rFonts w:cs="Arial"/>
        </w:rPr>
      </w:pPr>
    </w:p>
    <w:p w14:paraId="5C2D93D3" w14:textId="77777777" w:rsidR="009E235E" w:rsidRPr="00441935" w:rsidRDefault="009E235E" w:rsidP="00F7716B">
      <w:pPr>
        <w:pStyle w:val="Heading3"/>
      </w:pPr>
      <w:bookmarkStart w:id="8" w:name="_Toc235140097"/>
      <w:r w:rsidRPr="00441935">
        <w:t>Chief Executive Data Mart</w:t>
      </w:r>
      <w:bookmarkEnd w:id="8"/>
    </w:p>
    <w:p w14:paraId="5B8CF5E5" w14:textId="36278D1C" w:rsidR="009E235E" w:rsidRPr="00441935" w:rsidRDefault="009E235E" w:rsidP="00E353D2">
      <w:pPr>
        <w:spacing w:line="360" w:lineRule="auto"/>
        <w:rPr>
          <w:rFonts w:cs="Arial"/>
        </w:rPr>
      </w:pPr>
      <w:r w:rsidRPr="00441935">
        <w:rPr>
          <w:rFonts w:cs="Arial"/>
        </w:rPr>
        <w:t xml:space="preserve">The Chief Executive requires a national view of healthcare performance. An executive data mart could provide indicators such as RTT waiting times, elective care backlogs, emergency pressures, bed occupancy, ambulance performance, patient outcomes, and regional differences. Dashboards could compare London teaching hospitals, </w:t>
      </w:r>
      <w:r w:rsidR="003D5434" w:rsidRPr="00441935">
        <w:rPr>
          <w:rFonts w:cs="Arial"/>
        </w:rPr>
        <w:t>Midlands’s</w:t>
      </w:r>
      <w:r w:rsidRPr="00441935">
        <w:rPr>
          <w:rFonts w:cs="Arial"/>
        </w:rPr>
        <w:t xml:space="preserve"> district general hospitals, Northwest community services, Southwest rural providers, and Northern specialist centres. This would help identify underperforming areas, capacity pressures, and priorities for resource allocation and service improvement</w:t>
      </w:r>
      <w:r w:rsidR="00E055CC" w:rsidRPr="00441935">
        <w:rPr>
          <w:rFonts w:cs="Arial"/>
        </w:rPr>
        <w:t>.</w:t>
      </w:r>
    </w:p>
    <w:p w14:paraId="2FBB7EEB" w14:textId="55D1902E" w:rsidR="00946757" w:rsidRPr="00441935" w:rsidRDefault="009E235E" w:rsidP="00E353D2">
      <w:pPr>
        <w:spacing w:line="360" w:lineRule="auto"/>
        <w:rPr>
          <w:rFonts w:cs="Arial"/>
        </w:rPr>
      </w:pPr>
      <w:r w:rsidRPr="00441935">
        <w:rPr>
          <w:rFonts w:cs="Arial"/>
        </w:rPr>
        <w:t>For example, the Chief Executive could compare elective recovery across regions, identify areas with ongoing bed pressures, and assess progress against national operational objectives.</w:t>
      </w:r>
    </w:p>
    <w:p w14:paraId="1D4F6D81" w14:textId="77777777" w:rsidR="00AD4A8B" w:rsidRPr="00441935" w:rsidRDefault="00AD4A8B" w:rsidP="009E235E">
      <w:pPr>
        <w:rPr>
          <w:rFonts w:cs="Arial"/>
        </w:rPr>
      </w:pPr>
    </w:p>
    <w:p w14:paraId="39AFBA1D" w14:textId="77777777" w:rsidR="009E235E" w:rsidRPr="00441935" w:rsidRDefault="009E235E" w:rsidP="00F7716B">
      <w:pPr>
        <w:pStyle w:val="Heading3"/>
      </w:pPr>
      <w:bookmarkStart w:id="9" w:name="_Toc235140098"/>
      <w:r w:rsidRPr="00441935">
        <w:t>Finance Director Data Mart</w:t>
      </w:r>
      <w:bookmarkEnd w:id="9"/>
    </w:p>
    <w:p w14:paraId="2583B5B1" w14:textId="607610B5" w:rsidR="009E235E" w:rsidRPr="00441935" w:rsidRDefault="009E235E" w:rsidP="00E353D2">
      <w:pPr>
        <w:spacing w:line="360" w:lineRule="auto"/>
        <w:rPr>
          <w:rFonts w:cs="Arial"/>
        </w:rPr>
      </w:pPr>
      <w:r w:rsidRPr="00441935">
        <w:rPr>
          <w:rFonts w:cs="Arial"/>
        </w:rPr>
        <w:t>The Finance Director requires detailed information about financial performance. A finance data mart could combine treatment costs, national tariffs, expenditure, budgets, cost per patient episode, agency staffing costs, and overtime. This would support comparisons across Trusts, ICSs, regions, services, and national levels</w:t>
      </w:r>
      <w:r w:rsidR="007C65D6" w:rsidRPr="00441935">
        <w:rPr>
          <w:rFonts w:cs="Arial"/>
        </w:rPr>
        <w:t>.</w:t>
      </w:r>
    </w:p>
    <w:p w14:paraId="599DC19C" w14:textId="14CEB78A" w:rsidR="00946757" w:rsidRPr="00441935" w:rsidRDefault="009E235E" w:rsidP="00E353D2">
      <w:pPr>
        <w:spacing w:line="360" w:lineRule="auto"/>
        <w:rPr>
          <w:rFonts w:cs="Arial"/>
        </w:rPr>
      </w:pPr>
      <w:r w:rsidRPr="00441935">
        <w:rPr>
          <w:rFonts w:cs="Arial"/>
        </w:rPr>
        <w:t xml:space="preserve">The Finance Director could identify overspending, compare treatment costs between providers, and assess the financial impact of agency staff use. </w:t>
      </w:r>
      <w:r w:rsidR="00AE4404" w:rsidRPr="00441935">
        <w:rPr>
          <w:rFonts w:cs="Arial"/>
        </w:rPr>
        <w:t>Co</w:t>
      </w:r>
      <w:r w:rsidR="00AB0F74" w:rsidRPr="00441935">
        <w:rPr>
          <w:rFonts w:cs="Arial"/>
        </w:rPr>
        <w:t>rrelating of</w:t>
      </w:r>
      <w:r w:rsidRPr="00441935">
        <w:rPr>
          <w:rFonts w:cs="Arial"/>
        </w:rPr>
        <w:t xml:space="preserve"> financial information with patient activity would also show whether resource use reflects service demand.</w:t>
      </w:r>
    </w:p>
    <w:p w14:paraId="4EDA2710" w14:textId="0D63F66C" w:rsidR="002004E1" w:rsidRPr="00441935" w:rsidRDefault="009E235E" w:rsidP="00F7716B">
      <w:pPr>
        <w:pStyle w:val="Heading3"/>
      </w:pPr>
      <w:bookmarkStart w:id="10" w:name="_Toc235140099"/>
      <w:r w:rsidRPr="00441935">
        <w:t>Medical Director Data Mart</w:t>
      </w:r>
      <w:bookmarkEnd w:id="10"/>
    </w:p>
    <w:p w14:paraId="57DDA9BB" w14:textId="09E08AA2" w:rsidR="009E235E" w:rsidRPr="00441935" w:rsidRDefault="009E235E" w:rsidP="00E353D2">
      <w:pPr>
        <w:spacing w:line="360" w:lineRule="auto"/>
        <w:rPr>
          <w:rFonts w:cs="Arial"/>
        </w:rPr>
      </w:pPr>
      <w:r w:rsidRPr="00441935">
        <w:rPr>
          <w:rFonts w:cs="Arial"/>
        </w:rPr>
        <w:t xml:space="preserve">The Medical Director requires clinical and quality information. A clinical data mart could include readmission rates, mortality indicators, patient safety incidents, infection measures, treatment outcomes, and patient satisfaction. These measures could be </w:t>
      </w:r>
      <w:r w:rsidR="00F508C4" w:rsidRPr="00441935">
        <w:rPr>
          <w:rFonts w:cs="Arial"/>
        </w:rPr>
        <w:t>assessed</w:t>
      </w:r>
      <w:r w:rsidRPr="00441935">
        <w:rPr>
          <w:rFonts w:cs="Arial"/>
        </w:rPr>
        <w:t xml:space="preserve"> across acute care, community services, mental health pathways, cancer treatment, cardiac services, and other specialist areas</w:t>
      </w:r>
      <w:r w:rsidR="007C65D6" w:rsidRPr="00441935">
        <w:rPr>
          <w:rFonts w:cs="Arial"/>
        </w:rPr>
        <w:t>.</w:t>
      </w:r>
    </w:p>
    <w:p w14:paraId="6DC55CBF" w14:textId="618B7792" w:rsidR="009E235E" w:rsidRPr="00441935" w:rsidRDefault="009E235E" w:rsidP="00E353D2">
      <w:pPr>
        <w:spacing w:line="360" w:lineRule="auto"/>
        <w:rPr>
          <w:rFonts w:cs="Arial"/>
        </w:rPr>
      </w:pPr>
      <w:r w:rsidRPr="00441935">
        <w:rPr>
          <w:rFonts w:cs="Arial"/>
        </w:rPr>
        <w:lastRenderedPageBreak/>
        <w:t>This would allow the Medical Director to compare outcomes between providers, identify trends across specialties, and target quality improvement where concerns arise</w:t>
      </w:r>
      <w:r w:rsidR="007C65D6" w:rsidRPr="00441935">
        <w:rPr>
          <w:rFonts w:cs="Arial"/>
        </w:rPr>
        <w:t>.</w:t>
      </w:r>
    </w:p>
    <w:p w14:paraId="47679472" w14:textId="1B79D1AD" w:rsidR="002004E1" w:rsidRPr="00441935" w:rsidRDefault="009E235E" w:rsidP="00F7716B">
      <w:pPr>
        <w:pStyle w:val="Heading3"/>
      </w:pPr>
      <w:bookmarkStart w:id="11" w:name="_Toc235140100"/>
      <w:r w:rsidRPr="00441935">
        <w:t>Benefits of Data Marts</w:t>
      </w:r>
      <w:bookmarkEnd w:id="11"/>
    </w:p>
    <w:p w14:paraId="173D52E8" w14:textId="15CE2A1F" w:rsidR="00DE466B" w:rsidRDefault="009E235E" w:rsidP="00E353D2">
      <w:pPr>
        <w:spacing w:line="360" w:lineRule="auto"/>
        <w:rPr>
          <w:rFonts w:cs="Arial"/>
        </w:rPr>
      </w:pPr>
      <w:r w:rsidRPr="00441935">
        <w:rPr>
          <w:rFonts w:cs="Arial"/>
        </w:rPr>
        <w:t xml:space="preserve">Although each leader requires different information, all three data marts would use the same integrated warehouse. This supports consistent executive, financial, and clinical reporting while </w:t>
      </w:r>
      <w:r w:rsidR="00AF260E" w:rsidRPr="00441935">
        <w:rPr>
          <w:rFonts w:cs="Arial"/>
        </w:rPr>
        <w:t>minimising the threat of</w:t>
      </w:r>
      <w:r w:rsidRPr="00441935">
        <w:rPr>
          <w:rFonts w:cs="Arial"/>
        </w:rPr>
        <w:t xml:space="preserve"> conflicting departmental information. Tailored analytical views would help NHS England’s senior leaders understand complex data and make evidence-based decisions suited to their responsibilities</w:t>
      </w:r>
      <w:r w:rsidR="00123C60">
        <w:rPr>
          <w:rFonts w:cs="Arial"/>
        </w:rPr>
        <w:t xml:space="preserve"> [9].</w:t>
      </w:r>
    </w:p>
    <w:p w14:paraId="3B81ECF9" w14:textId="77777777" w:rsidR="00DE466B" w:rsidRPr="00441935" w:rsidRDefault="00DE466B" w:rsidP="009E235E">
      <w:pPr>
        <w:rPr>
          <w:rFonts w:cs="Arial"/>
        </w:rPr>
      </w:pPr>
    </w:p>
    <w:p w14:paraId="12559243" w14:textId="77777777" w:rsidR="006E5834" w:rsidRDefault="006E5834" w:rsidP="002B2C10">
      <w:pPr>
        <w:pStyle w:val="Heading2"/>
      </w:pPr>
      <w:bookmarkStart w:id="12" w:name="_Toc235140101"/>
      <w:r w:rsidRPr="00441935">
        <w:t>1.4 OLTP NORMALISATION VS DATA WAREHOUSE DIMENSIONAL MODELLING</w:t>
      </w:r>
      <w:bookmarkEnd w:id="12"/>
    </w:p>
    <w:p w14:paraId="275B2A7C" w14:textId="77777777" w:rsidR="00F705E0" w:rsidRPr="00441935" w:rsidRDefault="00F705E0" w:rsidP="006E5834">
      <w:pPr>
        <w:rPr>
          <w:rFonts w:cs="Arial"/>
          <w:b/>
          <w:bCs/>
        </w:rPr>
      </w:pPr>
    </w:p>
    <w:p w14:paraId="77D8BF32" w14:textId="1E73F31F" w:rsidR="006E5834" w:rsidRPr="00441935" w:rsidRDefault="006E5834" w:rsidP="00DE466B">
      <w:pPr>
        <w:spacing w:line="360" w:lineRule="auto"/>
        <w:rPr>
          <w:rFonts w:cs="Arial"/>
        </w:rPr>
      </w:pPr>
      <w:r w:rsidRPr="00441935">
        <w:rPr>
          <w:rFonts w:cs="Arial"/>
        </w:rPr>
        <w:t xml:space="preserve">NHS operational systems such as EPRs, PAS platforms, workforce applications, and finance systems usually use normalised relational structures. </w:t>
      </w:r>
      <w:r w:rsidR="000018C7">
        <w:rPr>
          <w:rFonts w:cs="Arial"/>
        </w:rPr>
        <w:t xml:space="preserve"> Fig 2</w:t>
      </w:r>
      <w:r w:rsidR="005C3544">
        <w:rPr>
          <w:rFonts w:cs="Arial"/>
        </w:rPr>
        <w:t xml:space="preserve"> </w:t>
      </w:r>
      <w:r w:rsidR="0003575F">
        <w:rPr>
          <w:rFonts w:cs="Arial"/>
        </w:rPr>
        <w:t xml:space="preserve">shows the NHS star schema for </w:t>
      </w:r>
      <w:r w:rsidR="007C7EC6">
        <w:rPr>
          <w:rFonts w:cs="Arial"/>
        </w:rPr>
        <w:t xml:space="preserve">patient activity analysis. </w:t>
      </w:r>
      <w:r w:rsidR="000018C7">
        <w:rPr>
          <w:rFonts w:cs="Arial"/>
        </w:rPr>
        <w:t xml:space="preserve"> </w:t>
      </w:r>
      <w:r w:rsidRPr="00441935">
        <w:rPr>
          <w:rFonts w:cs="Arial"/>
        </w:rPr>
        <w:t xml:space="preserve">Data is separated into </w:t>
      </w:r>
      <w:r w:rsidR="003541D2" w:rsidRPr="00441935">
        <w:rPr>
          <w:rFonts w:cs="Arial"/>
        </w:rPr>
        <w:t>connected</w:t>
      </w:r>
      <w:r w:rsidRPr="00441935">
        <w:rPr>
          <w:rFonts w:cs="Arial"/>
        </w:rPr>
        <w:t xml:space="preserve"> tables to </w:t>
      </w:r>
      <w:r w:rsidR="00801113" w:rsidRPr="00441935">
        <w:rPr>
          <w:rFonts w:cs="Arial"/>
        </w:rPr>
        <w:t>minimise</w:t>
      </w:r>
      <w:r w:rsidRPr="00441935">
        <w:rPr>
          <w:rFonts w:cs="Arial"/>
        </w:rPr>
        <w:t xml:space="preserve"> duplication and maintain consistency. For example, patient details, appointments, diagnoses, treatments, staff records, and provider locations can be stored in separate tables and linked using primary and foreign keys. This approach works well for regular operational transactions but can make large analytical queries across different healthcare areas more difficult</w:t>
      </w:r>
      <w:r w:rsidR="005709EB" w:rsidRPr="00441935">
        <w:rPr>
          <w:rFonts w:cs="Arial"/>
        </w:rPr>
        <w:t>.</w:t>
      </w:r>
    </w:p>
    <w:p w14:paraId="512BDD78" w14:textId="7233AB64" w:rsidR="006E5834" w:rsidRPr="00441935" w:rsidRDefault="006E5834" w:rsidP="00DE466B">
      <w:pPr>
        <w:spacing w:line="360" w:lineRule="auto"/>
        <w:rPr>
          <w:rFonts w:cs="Arial"/>
        </w:rPr>
      </w:pPr>
      <w:r w:rsidRPr="00441935">
        <w:rPr>
          <w:rFonts w:cs="Arial"/>
        </w:rPr>
        <w:t>In comparison, data warehouses commonly use dimensional models that make analytical queries and reporting easier. A star schema has a central fact table connected to surrounding dimension tables. For NHS England, this allows gaugeable healthcare activities to be assessed alongside detailed information about patients, providers, treatments, workforce groups, finance, and time</w:t>
      </w:r>
      <w:r w:rsidR="00242AFA">
        <w:rPr>
          <w:rFonts w:cs="Arial"/>
        </w:rPr>
        <w:t>.</w:t>
      </w:r>
    </w:p>
    <w:p w14:paraId="7DC6AF8A" w14:textId="77777777" w:rsidR="00B36958" w:rsidRDefault="00B36958" w:rsidP="00B27962">
      <w:pPr>
        <w:rPr>
          <w:rFonts w:ascii="Arial" w:hAnsi="Arial" w:cs="Arial"/>
        </w:rPr>
      </w:pPr>
    </w:p>
    <w:p w14:paraId="7752B30E" w14:textId="5C905197" w:rsidR="008546FF" w:rsidRDefault="00441935" w:rsidP="008546FF">
      <w:pPr>
        <w:keepNext/>
      </w:pPr>
      <w:r>
        <w:lastRenderedPageBreak/>
        <w:t xml:space="preserve"> </w:t>
      </w:r>
      <w:r w:rsidR="00101154" w:rsidRPr="00E75C8B">
        <w:rPr>
          <w:rFonts w:ascii="Arial" w:hAnsi="Arial" w:cs="Arial"/>
          <w:noProof/>
          <w:color w:val="000000" w:themeColor="text1"/>
        </w:rPr>
        <w:drawing>
          <wp:inline distT="0" distB="0" distL="0" distR="0" wp14:anchorId="3CBC531F" wp14:editId="7E628373">
            <wp:extent cx="5880735" cy="7772400"/>
            <wp:effectExtent l="0" t="0" r="0" b="0"/>
            <wp:docPr id="117766684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A7E3E3B" w14:textId="77777777" w:rsidR="006B6743" w:rsidRDefault="006B6743" w:rsidP="008546FF">
      <w:pPr>
        <w:keepNext/>
      </w:pPr>
    </w:p>
    <w:p w14:paraId="521F90C1" w14:textId="77777777" w:rsidR="006B6743" w:rsidRDefault="006B6743" w:rsidP="008546FF">
      <w:pPr>
        <w:keepNext/>
      </w:pPr>
    </w:p>
    <w:p w14:paraId="7BFA62D2" w14:textId="07E01A41" w:rsidR="00E07190" w:rsidRPr="00441935" w:rsidRDefault="008546FF" w:rsidP="008546FF">
      <w:pPr>
        <w:pStyle w:val="Caption"/>
        <w:rPr>
          <w:i w:val="0"/>
          <w:iCs w:val="0"/>
          <w:color w:val="000000" w:themeColor="text1"/>
          <w:sz w:val="22"/>
          <w:szCs w:val="22"/>
        </w:rPr>
      </w:pPr>
      <w:r w:rsidRPr="00441935">
        <w:rPr>
          <w:i w:val="0"/>
          <w:iCs w:val="0"/>
          <w:color w:val="000000" w:themeColor="text1"/>
          <w:sz w:val="22"/>
          <w:szCs w:val="22"/>
        </w:rPr>
        <w:t xml:space="preserve">Figure </w:t>
      </w:r>
      <w:r w:rsidR="00D7074D" w:rsidRPr="00441935">
        <w:rPr>
          <w:i w:val="0"/>
          <w:iCs w:val="0"/>
          <w:color w:val="000000" w:themeColor="text1"/>
          <w:sz w:val="22"/>
          <w:szCs w:val="22"/>
        </w:rPr>
        <w:fldChar w:fldCharType="begin"/>
      </w:r>
      <w:r w:rsidR="00D7074D" w:rsidRPr="00441935">
        <w:rPr>
          <w:i w:val="0"/>
          <w:iCs w:val="0"/>
          <w:color w:val="000000" w:themeColor="text1"/>
          <w:sz w:val="22"/>
          <w:szCs w:val="22"/>
        </w:rPr>
        <w:instrText xml:space="preserve"> SEQ Figure \* ARABIC </w:instrText>
      </w:r>
      <w:r w:rsidR="00D7074D" w:rsidRPr="00441935">
        <w:rPr>
          <w:i w:val="0"/>
          <w:iCs w:val="0"/>
          <w:color w:val="000000" w:themeColor="text1"/>
          <w:sz w:val="22"/>
          <w:szCs w:val="22"/>
        </w:rPr>
        <w:fldChar w:fldCharType="separate"/>
      </w:r>
      <w:r w:rsidR="00D7074D" w:rsidRPr="00441935">
        <w:rPr>
          <w:i w:val="0"/>
          <w:iCs w:val="0"/>
          <w:noProof/>
          <w:color w:val="000000" w:themeColor="text1"/>
          <w:sz w:val="22"/>
          <w:szCs w:val="22"/>
        </w:rPr>
        <w:t>2</w:t>
      </w:r>
      <w:r w:rsidR="00D7074D" w:rsidRPr="00441935">
        <w:rPr>
          <w:i w:val="0"/>
          <w:iCs w:val="0"/>
          <w:noProof/>
          <w:color w:val="000000" w:themeColor="text1"/>
          <w:sz w:val="22"/>
          <w:szCs w:val="22"/>
        </w:rPr>
        <w:fldChar w:fldCharType="end"/>
      </w:r>
      <w:r w:rsidR="00445631" w:rsidRPr="00441935">
        <w:rPr>
          <w:i w:val="0"/>
          <w:iCs w:val="0"/>
          <w:color w:val="000000" w:themeColor="text1"/>
          <w:sz w:val="22"/>
          <w:szCs w:val="22"/>
        </w:rPr>
        <w:t>:</w:t>
      </w:r>
      <w:r w:rsidR="007E3F90" w:rsidRPr="00441935">
        <w:rPr>
          <w:i w:val="0"/>
          <w:iCs w:val="0"/>
          <w:color w:val="000000" w:themeColor="text1"/>
          <w:sz w:val="22"/>
          <w:szCs w:val="22"/>
        </w:rPr>
        <w:t xml:space="preserve"> </w:t>
      </w:r>
      <w:r w:rsidR="00546393" w:rsidRPr="00441935">
        <w:rPr>
          <w:i w:val="0"/>
          <w:iCs w:val="0"/>
          <w:color w:val="000000" w:themeColor="text1"/>
          <w:sz w:val="22"/>
          <w:szCs w:val="22"/>
        </w:rPr>
        <w:t>NHS England Star Schema for Patient Activity Analysis.</w:t>
      </w:r>
    </w:p>
    <w:p w14:paraId="559B6CA0" w14:textId="77777777" w:rsidR="00AC6456" w:rsidRDefault="00AC6456" w:rsidP="00AC6456"/>
    <w:p w14:paraId="42FBC0CE" w14:textId="102261AE" w:rsidR="00202AAD" w:rsidRPr="00A9104B" w:rsidRDefault="00202AAD" w:rsidP="00DE466B">
      <w:pPr>
        <w:spacing w:line="360" w:lineRule="auto"/>
      </w:pPr>
      <w:r w:rsidRPr="00A9104B">
        <w:t xml:space="preserve">In this </w:t>
      </w:r>
      <w:r w:rsidR="003D5434" w:rsidRPr="00A9104B">
        <w:t>model,</w:t>
      </w:r>
      <w:r w:rsidR="003D5434">
        <w:t xml:space="preserve"> FACT</w:t>
      </w:r>
      <w:r w:rsidRPr="00A9104B">
        <w:rPr>
          <w:b/>
          <w:bCs/>
        </w:rPr>
        <w:t>_</w:t>
      </w:r>
      <w:r w:rsidRPr="003D5434">
        <w:t>CARE_ACTIVITY</w:t>
      </w:r>
      <w:r w:rsidRPr="00A9104B">
        <w:t xml:space="preserve"> stores measurable NHS activity, including admissions, length of stay, bed days used, treatment costs, RTT waiting days, and readmission indicators. The surrounding dimensions provide descriptive context for analysis. For example, NHS England could examine average RTT waiting days by ICS region and specialty or compare treatment costs across providers and financial years. Healthcare data integration and ETL approaches support the preparation of source data for analytical structures of this kind</w:t>
      </w:r>
      <w:r>
        <w:t>.</w:t>
      </w:r>
    </w:p>
    <w:p w14:paraId="4F2076F3" w14:textId="77777777" w:rsidR="00202AAD" w:rsidRDefault="00202AAD" w:rsidP="00DE466B">
      <w:pPr>
        <w:spacing w:line="360" w:lineRule="auto"/>
      </w:pPr>
      <w:r w:rsidRPr="00A9104B">
        <w:t>The dimensional model therefore provides a clearer analytical structure than highly normalised operational databases. By combining measurable activity with patient, provider, treatment, workforce, finance, and date dimensions, NHS England could monitor performance patterns and support more informed strategic planning [1</w:t>
      </w:r>
      <w:r>
        <w:t>].</w:t>
      </w:r>
    </w:p>
    <w:p w14:paraId="7951E0C5" w14:textId="77777777" w:rsidR="00AC6456" w:rsidRDefault="00AC6456" w:rsidP="00AC6456"/>
    <w:p w14:paraId="18C6B46A" w14:textId="77777777" w:rsidR="00292246" w:rsidRDefault="00292246" w:rsidP="00A3579B"/>
    <w:p w14:paraId="581A6BF4" w14:textId="1D149BCC" w:rsidR="00EA5BC2" w:rsidRPr="00F70B1C" w:rsidRDefault="00EA5BC2" w:rsidP="002B2C10">
      <w:pPr>
        <w:pStyle w:val="Heading1"/>
      </w:pPr>
      <w:bookmarkStart w:id="13" w:name="_Toc235140102"/>
      <w:r w:rsidRPr="00F70B1C">
        <w:t>TASK 2</w:t>
      </w:r>
      <w:bookmarkEnd w:id="13"/>
    </w:p>
    <w:p w14:paraId="1E5F283F" w14:textId="658DE2A7" w:rsidR="00B76C2C" w:rsidRPr="003A3F2F" w:rsidRDefault="00F6500D" w:rsidP="00EB0E16">
      <w:pPr>
        <w:pStyle w:val="Heading1"/>
      </w:pPr>
      <w:r w:rsidRPr="00F70B1C">
        <w:rPr>
          <w:sz w:val="22"/>
          <w:szCs w:val="22"/>
        </w:rPr>
        <w:t xml:space="preserve"> </w:t>
      </w:r>
      <w:bookmarkStart w:id="14" w:name="_Toc235140103"/>
      <w:r w:rsidRPr="00746EC2">
        <w:t>NHS ENGLAND DATA WAREHOUSE DESIGN AND IMPLEMENTATION PLAN</w:t>
      </w:r>
      <w:bookmarkEnd w:id="14"/>
    </w:p>
    <w:p w14:paraId="2C4382E4" w14:textId="171C7BD9" w:rsidR="00B76C2C" w:rsidRPr="00DC58FB" w:rsidRDefault="000E27AA" w:rsidP="00DC58FB">
      <w:pPr>
        <w:pStyle w:val="Heading2"/>
      </w:pPr>
      <w:bookmarkStart w:id="15" w:name="_Toc235140104"/>
      <w:r w:rsidRPr="00F70B1C">
        <w:t xml:space="preserve">2.1 </w:t>
      </w:r>
      <w:bookmarkStart w:id="16" w:name="OLE_LINK13"/>
      <w:r w:rsidRPr="00F70B1C">
        <w:t>Source System Identification</w:t>
      </w:r>
      <w:bookmarkEnd w:id="15"/>
      <w:bookmarkEnd w:id="16"/>
    </w:p>
    <w:p w14:paraId="25B4EA7E" w14:textId="36624DEC" w:rsidR="0080705E" w:rsidRPr="00F70B1C" w:rsidRDefault="000E27AA" w:rsidP="00D34B70">
      <w:pPr>
        <w:spacing w:line="360" w:lineRule="auto"/>
        <w:rPr>
          <w:rFonts w:cs="Arial"/>
        </w:rPr>
      </w:pPr>
      <w:r w:rsidRPr="00F70B1C">
        <w:rPr>
          <w:rFonts w:cs="Arial"/>
        </w:rPr>
        <w:t>NHS England’s data warehouse would collect information from both internal and external sources.</w:t>
      </w:r>
      <w:r w:rsidR="00733F53">
        <w:rPr>
          <w:rFonts w:cs="Arial"/>
        </w:rPr>
        <w:t xml:space="preserve"> Fig </w:t>
      </w:r>
      <w:r w:rsidR="00817DE0">
        <w:rPr>
          <w:rFonts w:cs="Arial"/>
        </w:rPr>
        <w:t>3</w:t>
      </w:r>
      <w:r w:rsidR="00733F53">
        <w:rPr>
          <w:rFonts w:cs="Arial"/>
        </w:rPr>
        <w:t xml:space="preserve"> </w:t>
      </w:r>
      <w:r w:rsidR="0069050E">
        <w:rPr>
          <w:rFonts w:cs="Arial"/>
        </w:rPr>
        <w:t>shows</w:t>
      </w:r>
      <w:r w:rsidR="00733F53">
        <w:rPr>
          <w:rFonts w:cs="Arial"/>
        </w:rPr>
        <w:t xml:space="preserve"> both</w:t>
      </w:r>
      <w:r w:rsidR="00817DE0">
        <w:rPr>
          <w:rFonts w:cs="Arial"/>
        </w:rPr>
        <w:t xml:space="preserve"> internal and external</w:t>
      </w:r>
      <w:r w:rsidR="00733F53">
        <w:rPr>
          <w:rFonts w:cs="Arial"/>
        </w:rPr>
        <w:t xml:space="preserve"> </w:t>
      </w:r>
      <w:r w:rsidR="0041092A">
        <w:rPr>
          <w:rFonts w:cs="Arial"/>
        </w:rPr>
        <w:t>sources of data</w:t>
      </w:r>
      <w:r w:rsidR="0069050E">
        <w:rPr>
          <w:rFonts w:cs="Arial"/>
        </w:rPr>
        <w:t xml:space="preserve">. </w:t>
      </w:r>
      <w:r w:rsidR="0041092A">
        <w:rPr>
          <w:rFonts w:cs="Arial"/>
        </w:rPr>
        <w:t xml:space="preserve"> </w:t>
      </w:r>
      <w:r w:rsidRPr="00F70B1C">
        <w:rPr>
          <w:rFonts w:cs="Arial"/>
        </w:rPr>
        <w:t xml:space="preserve"> Internal sources include Electronic Patient Records (EPRs), Patient Administration Systems (PAS), laboratory and radiology systems, pharmacy systems, theatre systems, bed management systems, financial applications, and the Electronic Staff Record (ESR). Together, these systems provide patient, treatment, workforce, operational, and financial information. External sources include GP records, NHS Spine services, Integrated Care System datasets, Office for National Statistics population data, UK Health Security Agency information, and national tariff and performance datasets. Bringing these sources together would allow NHS England to analyse complete care pathways and compare demand, capacity, costs, and patient outcomes across different regions. Healthcare data warehouses are valuable because they combine clinical and administrative data from different systems to support wider analysis and better decision-</w:t>
      </w:r>
      <w:r w:rsidR="00B13765" w:rsidRPr="00F70B1C">
        <w:rPr>
          <w:rFonts w:cs="Arial"/>
        </w:rPr>
        <w:t>making</w:t>
      </w:r>
      <w:r w:rsidR="00512BB7" w:rsidRPr="00F70B1C">
        <w:rPr>
          <w:rFonts w:cs="Arial"/>
        </w:rPr>
        <w:t xml:space="preserve"> [1], [6].</w:t>
      </w:r>
    </w:p>
    <w:p w14:paraId="525CFB61" w14:textId="77777777" w:rsidR="00AB71CA" w:rsidRDefault="00AB71CA" w:rsidP="00D34B70">
      <w:pPr>
        <w:spacing w:line="360" w:lineRule="auto"/>
        <w:rPr>
          <w:rFonts w:ascii="Arial" w:hAnsi="Arial" w:cs="Arial"/>
        </w:rPr>
      </w:pPr>
    </w:p>
    <w:p w14:paraId="192784E6" w14:textId="77777777" w:rsidR="00AB71CA" w:rsidRDefault="00AB71CA" w:rsidP="00D34B70">
      <w:pPr>
        <w:spacing w:line="360" w:lineRule="auto"/>
        <w:rPr>
          <w:rFonts w:ascii="Arial" w:hAnsi="Arial" w:cs="Arial"/>
        </w:rPr>
      </w:pPr>
    </w:p>
    <w:p w14:paraId="20D7BDEB" w14:textId="6853C576" w:rsidR="003E53E3" w:rsidRPr="003E53E3" w:rsidRDefault="003E53E3" w:rsidP="003E53E3">
      <w:pPr>
        <w:spacing w:line="360" w:lineRule="auto"/>
        <w:rPr>
          <w:rFonts w:ascii="Arial" w:hAnsi="Arial" w:cs="Arial"/>
        </w:rPr>
      </w:pPr>
      <w:r w:rsidRPr="003E53E3">
        <w:rPr>
          <w:rFonts w:ascii="Arial" w:hAnsi="Arial" w:cs="Arial"/>
        </w:rPr>
        <w:drawing>
          <wp:inline distT="0" distB="0" distL="0" distR="0" wp14:anchorId="4F6640FB" wp14:editId="58DDF1F2">
            <wp:extent cx="6271260" cy="5981694"/>
            <wp:effectExtent l="0" t="0" r="0" b="635"/>
            <wp:docPr id="88717894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14633" cy="6023064"/>
                    </a:xfrm>
                    <a:prstGeom prst="rect">
                      <a:avLst/>
                    </a:prstGeom>
                    <a:noFill/>
                    <a:ln>
                      <a:noFill/>
                    </a:ln>
                  </pic:spPr>
                </pic:pic>
              </a:graphicData>
            </a:graphic>
          </wp:inline>
        </w:drawing>
      </w:r>
    </w:p>
    <w:p w14:paraId="6A39F6C5" w14:textId="77777777" w:rsidR="00686607" w:rsidRDefault="00686607" w:rsidP="000E27AA"/>
    <w:p w14:paraId="53DACB42" w14:textId="4C345A71" w:rsidR="00D55456" w:rsidRDefault="008859C5" w:rsidP="000E27AA">
      <w:r>
        <w:t xml:space="preserve">  </w:t>
      </w:r>
      <w:r w:rsidR="003E53E3">
        <w:t xml:space="preserve">Figure 3: </w:t>
      </w:r>
      <w:r w:rsidR="00C27490">
        <w:t xml:space="preserve">NHS Source </w:t>
      </w:r>
      <w:r w:rsidR="003E28E5">
        <w:t>System Identification</w:t>
      </w:r>
      <w:r>
        <w:t xml:space="preserve">                     </w:t>
      </w:r>
      <w:r w:rsidR="002173CD">
        <w:t xml:space="preserve">  </w:t>
      </w:r>
    </w:p>
    <w:p w14:paraId="1CD1D102" w14:textId="77777777" w:rsidR="005439D4" w:rsidRDefault="005439D4" w:rsidP="000E27AA"/>
    <w:p w14:paraId="49A91D6B" w14:textId="38911C11" w:rsidR="005439D4" w:rsidRPr="004F067E" w:rsidRDefault="00EA3395" w:rsidP="005439D4">
      <w:r>
        <w:t xml:space="preserve">    </w:t>
      </w:r>
    </w:p>
    <w:p w14:paraId="77DA7D17" w14:textId="77777777" w:rsidR="005439D4" w:rsidRDefault="005439D4" w:rsidP="005439D4">
      <w:pPr>
        <w:rPr>
          <w:b/>
          <w:bCs/>
          <w:sz w:val="28"/>
          <w:szCs w:val="28"/>
        </w:rPr>
      </w:pPr>
    </w:p>
    <w:p w14:paraId="34B318F4" w14:textId="0E5A769C" w:rsidR="002E7370" w:rsidRPr="004F067E" w:rsidRDefault="002E7370" w:rsidP="002E7370">
      <w:bookmarkStart w:id="17" w:name="OLE_LINK7"/>
    </w:p>
    <w:bookmarkEnd w:id="17"/>
    <w:p w14:paraId="131BBEA3" w14:textId="77777777" w:rsidR="003D0DA2" w:rsidRDefault="003D0DA2" w:rsidP="00CB0822">
      <w:pPr>
        <w:rPr>
          <w:b/>
          <w:bCs/>
          <w:sz w:val="28"/>
          <w:szCs w:val="28"/>
        </w:rPr>
      </w:pPr>
    </w:p>
    <w:p w14:paraId="3553C1BA" w14:textId="77777777" w:rsidR="00AB71CA" w:rsidRDefault="00AB71CA" w:rsidP="00CB0822">
      <w:pPr>
        <w:rPr>
          <w:b/>
          <w:bCs/>
          <w:sz w:val="28"/>
          <w:szCs w:val="28"/>
        </w:rPr>
      </w:pPr>
    </w:p>
    <w:p w14:paraId="33634690" w14:textId="77777777" w:rsidR="008D59A4" w:rsidRDefault="008D59A4" w:rsidP="00CB0822"/>
    <w:p w14:paraId="097E46DF" w14:textId="4C83DAEF" w:rsidR="009A1989" w:rsidRPr="00AB71CA" w:rsidRDefault="008D59A4" w:rsidP="00EB0E16">
      <w:pPr>
        <w:pStyle w:val="Heading2"/>
      </w:pPr>
      <w:bookmarkStart w:id="18" w:name="_Toc235140105"/>
      <w:r w:rsidRPr="000B7A30">
        <w:t>2.2 STAR SCHEMA DESIGN</w:t>
      </w:r>
      <w:bookmarkEnd w:id="18"/>
    </w:p>
    <w:p w14:paraId="55BD5C5F" w14:textId="67294130" w:rsidR="008D59A4" w:rsidRPr="00A5506E" w:rsidRDefault="008D59A4" w:rsidP="00746EC2">
      <w:pPr>
        <w:spacing w:line="360" w:lineRule="auto"/>
        <w:rPr>
          <w:rFonts w:cs="Arial"/>
        </w:rPr>
      </w:pPr>
      <w:r w:rsidRPr="00A5506E">
        <w:rPr>
          <w:rFonts w:cs="Arial"/>
        </w:rPr>
        <w:t xml:space="preserve">A suitable data warehouse for NHS England could use a patient activity star </w:t>
      </w:r>
      <w:r w:rsidR="003D5434" w:rsidRPr="00A5506E">
        <w:rPr>
          <w:rFonts w:cs="Arial"/>
        </w:rPr>
        <w:t xml:space="preserve">schema </w:t>
      </w:r>
      <w:r w:rsidR="003D5434">
        <w:rPr>
          <w:rFonts w:cs="Arial"/>
        </w:rPr>
        <w:t>as</w:t>
      </w:r>
      <w:r w:rsidR="0063212D">
        <w:rPr>
          <w:rFonts w:cs="Arial"/>
        </w:rPr>
        <w:t xml:space="preserve"> shown in Fig </w:t>
      </w:r>
      <w:r w:rsidR="00EA0245">
        <w:rPr>
          <w:rFonts w:cs="Arial"/>
        </w:rPr>
        <w:t xml:space="preserve">4 is </w:t>
      </w:r>
      <w:r w:rsidRPr="00A5506E">
        <w:rPr>
          <w:rFonts w:cs="Arial"/>
        </w:rPr>
        <w:t>built around FACT_PATIENT_ACTIVITY. The grain of the fact table would represent one recorded healthcare activity, such as a patient admission, outpatient appointment, procedure, diagnostic test, or community visit. Defining a clear grain is important because every measure in the fact table must represent the same level of healthcare activity.</w:t>
      </w:r>
    </w:p>
    <w:p w14:paraId="5C8D9827" w14:textId="345D34A8" w:rsidR="008D59A4" w:rsidRPr="00A5506E" w:rsidRDefault="008D59A4" w:rsidP="00746EC2">
      <w:pPr>
        <w:spacing w:line="360" w:lineRule="auto"/>
        <w:rPr>
          <w:rFonts w:cs="Arial"/>
        </w:rPr>
      </w:pPr>
      <w:r w:rsidRPr="00A5506E">
        <w:rPr>
          <w:rFonts w:cs="Arial"/>
        </w:rPr>
        <w:t xml:space="preserve">The fact table would include foreign keys linked to the patient, date, provider, service, treatment, staff, and finance dimension tables. It would also contain measures such as admissions, appointments, length of stay, bed days used, referral-to-treatment waiting days, treatment costs, and readmission status. These measures would help NHS England compare healthcare activity, waiting pressures, resource use, and costs across different providers and services. Dimensional models make large healthcare datasets easier to analyse and support both day-to-day reporting and long-term decision-making </w:t>
      </w:r>
      <w:r w:rsidR="000B0292">
        <w:rPr>
          <w:rFonts w:cs="Arial"/>
        </w:rPr>
        <w:t>[9]</w:t>
      </w:r>
    </w:p>
    <w:p w14:paraId="3F1302BC" w14:textId="77777777" w:rsidR="008D59A4" w:rsidRPr="00A5506E" w:rsidRDefault="008D59A4" w:rsidP="00746EC2">
      <w:pPr>
        <w:spacing w:line="360" w:lineRule="auto"/>
        <w:rPr>
          <w:rFonts w:cs="Arial"/>
        </w:rPr>
      </w:pPr>
      <w:r w:rsidRPr="00A5506E">
        <w:rPr>
          <w:rFonts w:cs="Arial"/>
        </w:rPr>
        <w:t>DIM_PATIENT would store patient master data, including a pseudonymised NHS number, age band, sex, ethnicity, postcode area, and deprivation band. Personal patient information should not be included in reporting tables unless it is essential. Using pseudonymised data helps protect patient privacy while still allowing healthcare activity to be analysed across different population groups.</w:t>
      </w:r>
    </w:p>
    <w:p w14:paraId="575CB5B8" w14:textId="14A297D4" w:rsidR="008D59A4" w:rsidRPr="00A5506E" w:rsidRDefault="008D59A4" w:rsidP="00746EC2">
      <w:pPr>
        <w:spacing w:line="360" w:lineRule="auto"/>
        <w:rPr>
          <w:rFonts w:cs="Arial"/>
        </w:rPr>
      </w:pPr>
      <w:r w:rsidRPr="00A5506E">
        <w:rPr>
          <w:rFonts w:cs="Arial"/>
        </w:rPr>
        <w:t>DIM_STAFF would store workforce master data, including staff group, role, grade, contract type, and whether staff are directly employed or work through an agency. This would support analysis of workforce capacity, agency use, sickness levels, and staffing costs. DIM_PROVIDER would contain information about NHS Trusts, hospitals, Integrated Care Systems, regions, and provider types. Together, these master data tables provide consistent information about NHS organisations and staff</w:t>
      </w:r>
      <w:r w:rsidR="00797AC5">
        <w:rPr>
          <w:rFonts w:cs="Arial"/>
        </w:rPr>
        <w:t xml:space="preserve"> </w:t>
      </w:r>
      <w:r w:rsidR="007C2329">
        <w:rPr>
          <w:rFonts w:cs="Arial"/>
        </w:rPr>
        <w:t>[10].</w:t>
      </w:r>
    </w:p>
    <w:p w14:paraId="1AB4425E" w14:textId="626616FD" w:rsidR="008D59A4" w:rsidRDefault="008D59A4" w:rsidP="00746EC2">
      <w:pPr>
        <w:spacing w:line="360" w:lineRule="auto"/>
        <w:rPr>
          <w:rFonts w:cs="Arial"/>
        </w:rPr>
      </w:pPr>
      <w:r w:rsidRPr="00A5506E">
        <w:rPr>
          <w:rFonts w:cs="Arial"/>
        </w:rPr>
        <w:t xml:space="preserve">Metadata would mainly be stored in DIM_SERVICE, DIM_TREATMENT, DIM_DATE, and DIM_FINANCE. DIM_SERVICE would describe service type, clinical specialty, care setting, care pathway, and commissioning type. DIM_TREATMENT would include ICD-10 diagnosis codes, OPCS procedure codes, diagnosis groups, and outcome types. DIM_DATE would contain the day, month, quarter, year, and NHS financial year, while DIM_FINANCE would include tariff codes, cost centres, budget codes, and funding streams. Standardising this metadata is </w:t>
      </w:r>
      <w:r w:rsidRPr="00A5506E">
        <w:rPr>
          <w:rFonts w:cs="Arial"/>
        </w:rPr>
        <w:lastRenderedPageBreak/>
        <w:t>important because different source systems may use different names and coding structures for the same healthcare activities [</w:t>
      </w:r>
      <w:r w:rsidR="00446337">
        <w:rPr>
          <w:rFonts w:cs="Arial"/>
        </w:rPr>
        <w:t>10], [11]</w:t>
      </w:r>
      <w:r w:rsidR="00C67A2D">
        <w:rPr>
          <w:rFonts w:cs="Arial"/>
        </w:rPr>
        <w:t>.</w:t>
      </w:r>
    </w:p>
    <w:p w14:paraId="2D0D75BB" w14:textId="77777777" w:rsidR="00746EC2" w:rsidRPr="00A5506E" w:rsidRDefault="00746EC2" w:rsidP="00746EC2">
      <w:pPr>
        <w:spacing w:line="360" w:lineRule="auto"/>
        <w:rPr>
          <w:rFonts w:cs="Arial"/>
        </w:rPr>
      </w:pPr>
    </w:p>
    <w:p w14:paraId="1062C08E" w14:textId="77777777" w:rsidR="008D59A4" w:rsidRPr="00A5506E" w:rsidRDefault="008D59A4" w:rsidP="00746EC2">
      <w:pPr>
        <w:spacing w:line="360" w:lineRule="auto"/>
        <w:rPr>
          <w:rFonts w:cs="Arial"/>
        </w:rPr>
      </w:pPr>
      <w:r w:rsidRPr="00A5506E">
        <w:rPr>
          <w:rFonts w:cs="Arial"/>
        </w:rPr>
        <w:t>A second fact table, FACT_MONTHLY_PERFORMANCE, would store aggregated data. Its grain would represent one provider, one service, and one month. Measures could include total admissions, average RTT waiting days, bed occupancy rates, readmission rates, total treatment costs, and target achievement. Calculating these measures in advance would improve dashboard performance and make national comparisons more efficient.</w:t>
      </w:r>
    </w:p>
    <w:p w14:paraId="50406AEC" w14:textId="77777777" w:rsidR="00500A66" w:rsidRPr="00A5506E" w:rsidRDefault="008D59A4" w:rsidP="00746EC2">
      <w:pPr>
        <w:spacing w:line="360" w:lineRule="auto"/>
        <w:rPr>
          <w:rFonts w:cs="Arial"/>
        </w:rPr>
      </w:pPr>
      <w:r w:rsidRPr="00A5506E">
        <w:rPr>
          <w:rFonts w:cs="Arial"/>
        </w:rPr>
        <w:t>Using separate fact tables is appropriate because individual patient activity and monthly performance represent different levels of detail. Combining them into one table could result in double-counting and inaccurate totals. The proposed design therefore keeps detailed patient activity available for investigation while providing summary information for executive reporting. It would enable NHS England to identify which ICS has the longest RTT waiting times, which services have the highest readmission rates, and whether staffing</w:t>
      </w:r>
      <w:r w:rsidRPr="00A5506E">
        <w:rPr>
          <w:rFonts w:cs="Arial"/>
          <w:b/>
          <w:bCs/>
        </w:rPr>
        <w:t xml:space="preserve"> </w:t>
      </w:r>
      <w:r w:rsidRPr="00A5506E">
        <w:rPr>
          <w:rFonts w:cs="Arial"/>
        </w:rPr>
        <w:t>levels and spending reflect patient demand.</w:t>
      </w:r>
      <w:r w:rsidR="008865B0" w:rsidRPr="00A5506E">
        <w:rPr>
          <w:rFonts w:cs="Arial"/>
        </w:rPr>
        <w:t xml:space="preserve"> </w:t>
      </w:r>
    </w:p>
    <w:p w14:paraId="3233C968" w14:textId="7522BA48" w:rsidR="001D2608" w:rsidRDefault="006C55BB" w:rsidP="001D2608">
      <w:pPr>
        <w:keepNext/>
      </w:pPr>
      <w:r>
        <w:rPr>
          <w:noProof/>
        </w:rPr>
        <w:lastRenderedPageBreak/>
        <mc:AlternateContent>
          <mc:Choice Requires="wps">
            <w:drawing>
              <wp:anchor distT="0" distB="0" distL="114300" distR="114300" simplePos="0" relativeHeight="251695104" behindDoc="0" locked="0" layoutInCell="1" allowOverlap="1" wp14:anchorId="5051473A" wp14:editId="551CBEAF">
                <wp:simplePos x="0" y="0"/>
                <wp:positionH relativeFrom="column">
                  <wp:posOffset>3524638</wp:posOffset>
                </wp:positionH>
                <wp:positionV relativeFrom="paragraph">
                  <wp:posOffset>5171440</wp:posOffset>
                </wp:positionV>
                <wp:extent cx="239007" cy="781604"/>
                <wp:effectExtent l="0" t="0" r="27940" b="19050"/>
                <wp:wrapNone/>
                <wp:docPr id="1792892274" name="Straight Connector 40"/>
                <wp:cNvGraphicFramePr/>
                <a:graphic xmlns:a="http://schemas.openxmlformats.org/drawingml/2006/main">
                  <a:graphicData uri="http://schemas.microsoft.com/office/word/2010/wordprocessingShape">
                    <wps:wsp>
                      <wps:cNvCnPr/>
                      <wps:spPr>
                        <a:xfrm>
                          <a:off x="0" y="0"/>
                          <a:ext cx="239007" cy="78160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65A40F" id="Straight Connector 4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5pt,407.2pt" to="296.35pt,4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" strokecolor="black [3200]" strokeweight=".5pt">
                <v:stroke joinstyle="miter"/>
              </v:line>
            </w:pict>
          </mc:Fallback>
        </mc:AlternateContent>
      </w:r>
      <w:r w:rsidR="004151BD">
        <w:rPr>
          <w:noProof/>
        </w:rPr>
        <mc:AlternateContent>
          <mc:Choice Requires="wps">
            <w:drawing>
              <wp:anchor distT="0" distB="0" distL="114300" distR="114300" simplePos="0" relativeHeight="251694080" behindDoc="0" locked="0" layoutInCell="1" allowOverlap="1" wp14:anchorId="0A84A30D" wp14:editId="67B38782">
                <wp:simplePos x="0" y="0"/>
                <wp:positionH relativeFrom="column">
                  <wp:posOffset>2809401</wp:posOffset>
                </wp:positionH>
                <wp:positionV relativeFrom="paragraph">
                  <wp:posOffset>5929119</wp:posOffset>
                </wp:positionV>
                <wp:extent cx="0" cy="513057"/>
                <wp:effectExtent l="0" t="0" r="38100" b="20955"/>
                <wp:wrapNone/>
                <wp:docPr id="1830990613" name="Straight Connector 39"/>
                <wp:cNvGraphicFramePr/>
                <a:graphic xmlns:a="http://schemas.openxmlformats.org/drawingml/2006/main">
                  <a:graphicData uri="http://schemas.microsoft.com/office/word/2010/wordprocessingShape">
                    <wps:wsp>
                      <wps:cNvCnPr/>
                      <wps:spPr>
                        <a:xfrm flipH="1">
                          <a:off x="0" y="0"/>
                          <a:ext cx="0" cy="513057"/>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0F385" id="Straight Connector 39"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2pt,466.85pt" to="221.2pt,5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" strokecolor="black [3200]">
                <v:stroke joinstyle="miter"/>
              </v:line>
            </w:pict>
          </mc:Fallback>
        </mc:AlternateContent>
      </w:r>
      <w:r w:rsidR="00BF2ED9">
        <w:rPr>
          <w:noProof/>
        </w:rPr>
        <mc:AlternateContent>
          <mc:Choice Requires="wps">
            <w:drawing>
              <wp:anchor distT="0" distB="0" distL="114300" distR="114300" simplePos="0" relativeHeight="251692032" behindDoc="0" locked="0" layoutInCell="1" allowOverlap="1" wp14:anchorId="20D3E2D7" wp14:editId="25D9ABAF">
                <wp:simplePos x="0" y="0"/>
                <wp:positionH relativeFrom="column">
                  <wp:posOffset>3496235</wp:posOffset>
                </wp:positionH>
                <wp:positionV relativeFrom="paragraph">
                  <wp:posOffset>4410635</wp:posOffset>
                </wp:positionV>
                <wp:extent cx="848113" cy="0"/>
                <wp:effectExtent l="0" t="0" r="0" b="0"/>
                <wp:wrapNone/>
                <wp:docPr id="171989275" name="Straight Connector 37"/>
                <wp:cNvGraphicFramePr/>
                <a:graphic xmlns:a="http://schemas.openxmlformats.org/drawingml/2006/main">
                  <a:graphicData uri="http://schemas.microsoft.com/office/word/2010/wordprocessingShape">
                    <wps:wsp>
                      <wps:cNvCnPr/>
                      <wps:spPr>
                        <a:xfrm>
                          <a:off x="0" y="0"/>
                          <a:ext cx="84811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817D3" id="Straight Connector 3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3pt,347.3pt" to="342.1pt,3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" strokecolor="black [3200]">
                <v:stroke joinstyle="miter"/>
              </v:line>
            </w:pict>
          </mc:Fallback>
        </mc:AlternateContent>
      </w:r>
      <w:r w:rsidR="00BF2ED9">
        <w:rPr>
          <w:noProof/>
        </w:rPr>
        <mc:AlternateContent>
          <mc:Choice Requires="wps">
            <w:drawing>
              <wp:anchor distT="0" distB="0" distL="114300" distR="114300" simplePos="0" relativeHeight="251693056" behindDoc="0" locked="0" layoutInCell="1" allowOverlap="1" wp14:anchorId="2F47890A" wp14:editId="036AFB73">
                <wp:simplePos x="0" y="0"/>
                <wp:positionH relativeFrom="column">
                  <wp:posOffset>1278505</wp:posOffset>
                </wp:positionH>
                <wp:positionV relativeFrom="paragraph">
                  <wp:posOffset>5904293</wp:posOffset>
                </wp:positionV>
                <wp:extent cx="820581" cy="0"/>
                <wp:effectExtent l="0" t="0" r="0" b="0"/>
                <wp:wrapNone/>
                <wp:docPr id="14882520" name="Straight Connector 38"/>
                <wp:cNvGraphicFramePr/>
                <a:graphic xmlns:a="http://schemas.openxmlformats.org/drawingml/2006/main">
                  <a:graphicData uri="http://schemas.microsoft.com/office/word/2010/wordprocessingShape">
                    <wps:wsp>
                      <wps:cNvCnPr/>
                      <wps:spPr>
                        <a:xfrm>
                          <a:off x="0" y="0"/>
                          <a:ext cx="82058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B4C7D" id="Straight Connector 3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65pt,464.9pt" to="165.25pt,4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" strokecolor="black [3200]">
                <v:stroke joinstyle="miter"/>
              </v:line>
            </w:pict>
          </mc:Fallback>
        </mc:AlternateContent>
      </w:r>
      <w:r w:rsidR="003C1169">
        <w:rPr>
          <w:noProof/>
        </w:rPr>
        <mc:AlternateContent>
          <mc:Choice Requires="wps">
            <w:drawing>
              <wp:anchor distT="0" distB="0" distL="114300" distR="114300" simplePos="0" relativeHeight="251688960" behindDoc="0" locked="0" layoutInCell="1" allowOverlap="1" wp14:anchorId="2E7D92B7" wp14:editId="6A577816">
                <wp:simplePos x="0" y="0"/>
                <wp:positionH relativeFrom="column">
                  <wp:posOffset>2887345</wp:posOffset>
                </wp:positionH>
                <wp:positionV relativeFrom="paragraph">
                  <wp:posOffset>1713865</wp:posOffset>
                </wp:positionV>
                <wp:extent cx="0" cy="1087200"/>
                <wp:effectExtent l="0" t="0" r="38100" b="36830"/>
                <wp:wrapNone/>
                <wp:docPr id="1106818668" name="Straight Connector 34"/>
                <wp:cNvGraphicFramePr/>
                <a:graphic xmlns:a="http://schemas.openxmlformats.org/drawingml/2006/main">
                  <a:graphicData uri="http://schemas.microsoft.com/office/word/2010/wordprocessingShape">
                    <wps:wsp>
                      <wps:cNvCnPr/>
                      <wps:spPr>
                        <a:xfrm>
                          <a:off x="0" y="0"/>
                          <a:ext cx="0" cy="108720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C9382" id="Straight Connector 3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35pt,134.95pt" to="227.35pt,2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" strokecolor="black [3200]">
                <v:stroke joinstyle="miter"/>
              </v:line>
            </w:pict>
          </mc:Fallback>
        </mc:AlternateContent>
      </w:r>
      <w:r w:rsidR="001671B9">
        <w:rPr>
          <w:noProof/>
        </w:rPr>
        <mc:AlternateContent>
          <mc:Choice Requires="wps">
            <w:drawing>
              <wp:anchor distT="0" distB="0" distL="114300" distR="114300" simplePos="0" relativeHeight="251689984" behindDoc="0" locked="0" layoutInCell="1" allowOverlap="1" wp14:anchorId="0D04390D" wp14:editId="3AF85220">
                <wp:simplePos x="0" y="0"/>
                <wp:positionH relativeFrom="column">
                  <wp:posOffset>3525197</wp:posOffset>
                </wp:positionH>
                <wp:positionV relativeFrom="paragraph">
                  <wp:posOffset>2408058</wp:posOffset>
                </wp:positionV>
                <wp:extent cx="591671" cy="428400"/>
                <wp:effectExtent l="0" t="0" r="18415" b="29210"/>
                <wp:wrapNone/>
                <wp:docPr id="259146767" name="Straight Connector 35"/>
                <wp:cNvGraphicFramePr/>
                <a:graphic xmlns:a="http://schemas.openxmlformats.org/drawingml/2006/main">
                  <a:graphicData uri="http://schemas.microsoft.com/office/word/2010/wordprocessingShape">
                    <wps:wsp>
                      <wps:cNvCnPr/>
                      <wps:spPr>
                        <a:xfrm flipH="1">
                          <a:off x="0" y="0"/>
                          <a:ext cx="591671" cy="42840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6FFE35" id="Straight Connector 35"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5pt,189.6pt" to="324.15pt,2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" strokecolor="black [3200]">
                <v:stroke joinstyle="miter"/>
              </v:line>
            </w:pict>
          </mc:Fallback>
        </mc:AlternateContent>
      </w:r>
      <w:r w:rsidR="00814842">
        <w:rPr>
          <w:noProof/>
        </w:rPr>
        <mc:AlternateContent>
          <mc:Choice Requires="wps">
            <w:drawing>
              <wp:anchor distT="0" distB="0" distL="114300" distR="114300" simplePos="0" relativeHeight="251687936" behindDoc="0" locked="0" layoutInCell="1" allowOverlap="1" wp14:anchorId="7214F97C" wp14:editId="363C82C1">
                <wp:simplePos x="0" y="0"/>
                <wp:positionH relativeFrom="column">
                  <wp:posOffset>1344706</wp:posOffset>
                </wp:positionH>
                <wp:positionV relativeFrom="paragraph">
                  <wp:posOffset>2027403</wp:posOffset>
                </wp:positionV>
                <wp:extent cx="754768" cy="773723"/>
                <wp:effectExtent l="0" t="0" r="26670" b="26670"/>
                <wp:wrapNone/>
                <wp:docPr id="1606411380" name="Straight Connector 33"/>
                <wp:cNvGraphicFramePr/>
                <a:graphic xmlns:a="http://schemas.openxmlformats.org/drawingml/2006/main">
                  <a:graphicData uri="http://schemas.microsoft.com/office/word/2010/wordprocessingShape">
                    <wps:wsp>
                      <wps:cNvCnPr/>
                      <wps:spPr>
                        <a:xfrm>
                          <a:off x="0" y="0"/>
                          <a:ext cx="754768" cy="773723"/>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07FAF7" id="Straight Connector 3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9pt,159.65pt" to="165.35pt,2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" strokecolor="black [3200]">
                <v:stroke joinstyle="miter"/>
              </v:line>
            </w:pict>
          </mc:Fallback>
        </mc:AlternateContent>
      </w:r>
      <w:r w:rsidR="0035143C">
        <w:rPr>
          <w:noProof/>
        </w:rPr>
        <mc:AlternateContent>
          <mc:Choice Requires="wps">
            <w:drawing>
              <wp:anchor distT="0" distB="0" distL="114300" distR="114300" simplePos="0" relativeHeight="251691008" behindDoc="0" locked="0" layoutInCell="1" allowOverlap="1" wp14:anchorId="39602EC3" wp14:editId="31FC37D0">
                <wp:simplePos x="0" y="0"/>
                <wp:positionH relativeFrom="column">
                  <wp:posOffset>1371600</wp:posOffset>
                </wp:positionH>
                <wp:positionV relativeFrom="paragraph">
                  <wp:posOffset>4170218</wp:posOffset>
                </wp:positionV>
                <wp:extent cx="726151" cy="34637"/>
                <wp:effectExtent l="0" t="0" r="36195" b="22860"/>
                <wp:wrapNone/>
                <wp:docPr id="1628265143" name="Straight Connector 36"/>
                <wp:cNvGraphicFramePr/>
                <a:graphic xmlns:a="http://schemas.openxmlformats.org/drawingml/2006/main">
                  <a:graphicData uri="http://schemas.microsoft.com/office/word/2010/wordprocessingShape">
                    <wps:wsp>
                      <wps:cNvCnPr/>
                      <wps:spPr>
                        <a:xfrm>
                          <a:off x="0" y="0"/>
                          <a:ext cx="726151" cy="34637"/>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A9E85A" id="Straight Connector 3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328.35pt" to="165.2pt,3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" strokecolor="black [3200]">
                <v:stroke joinstyle="miter"/>
              </v:line>
            </w:pict>
          </mc:Fallback>
        </mc:AlternateContent>
      </w:r>
      <w:r w:rsidR="008865B0" w:rsidRPr="008865B0">
        <w:rPr>
          <w:noProof/>
        </w:rPr>
        <w:drawing>
          <wp:inline distT="0" distB="0" distL="0" distR="0" wp14:anchorId="1F21B42C" wp14:editId="3622B01F">
            <wp:extent cx="5768340" cy="7943131"/>
            <wp:effectExtent l="0" t="0" r="3810" b="1270"/>
            <wp:docPr id="32002014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8868" cy="7971399"/>
                    </a:xfrm>
                    <a:prstGeom prst="rect">
                      <a:avLst/>
                    </a:prstGeom>
                    <a:noFill/>
                    <a:ln>
                      <a:noFill/>
                    </a:ln>
                  </pic:spPr>
                </pic:pic>
              </a:graphicData>
            </a:graphic>
          </wp:inline>
        </w:drawing>
      </w:r>
    </w:p>
    <w:p w14:paraId="64675B58" w14:textId="77777777" w:rsidR="00AA6584" w:rsidRDefault="00AA6584" w:rsidP="001D2608">
      <w:pPr>
        <w:keepNext/>
      </w:pPr>
    </w:p>
    <w:p w14:paraId="7F27A0A5" w14:textId="7A301AA1" w:rsidR="008C465F" w:rsidRPr="009041E9" w:rsidRDefault="008C465F" w:rsidP="008C465F">
      <w:r w:rsidRPr="009041E9">
        <w:t xml:space="preserve">Figure </w:t>
      </w:r>
      <w:r w:rsidR="00905A71" w:rsidRPr="009041E9">
        <w:t>4:</w:t>
      </w:r>
      <w:r w:rsidR="009041E9" w:rsidRPr="009041E9">
        <w:t xml:space="preserve"> A detailed</w:t>
      </w:r>
      <w:r w:rsidRPr="009041E9">
        <w:t xml:space="preserve"> implementation design including master data, metadata, workforce, finance, and monthly aggregate data. </w:t>
      </w:r>
    </w:p>
    <w:p w14:paraId="646E8C23" w14:textId="77777777" w:rsidR="0075410F" w:rsidRPr="00F50847" w:rsidRDefault="0075410F" w:rsidP="008C465F">
      <w:pPr>
        <w:rPr>
          <w:sz w:val="18"/>
          <w:szCs w:val="18"/>
        </w:rPr>
      </w:pPr>
    </w:p>
    <w:p w14:paraId="79F216A7" w14:textId="77777777" w:rsidR="00FD7CD2" w:rsidRPr="00271886" w:rsidRDefault="00FD7CD2" w:rsidP="008D59A4">
      <w:pPr>
        <w:rPr>
          <w:rFonts w:ascii="Arial" w:hAnsi="Arial" w:cs="Arial"/>
          <w:i/>
          <w:iCs/>
        </w:rPr>
      </w:pPr>
    </w:p>
    <w:p w14:paraId="69BD19D6" w14:textId="5A9ED966" w:rsidR="00C01608" w:rsidRDefault="00C01608" w:rsidP="00EB0E16">
      <w:pPr>
        <w:pStyle w:val="Heading2"/>
      </w:pPr>
      <w:bookmarkStart w:id="19" w:name="_Toc235140106"/>
      <w:r w:rsidRPr="00B5604B">
        <w:t>2.3 DATA MARTS AND SCHEMA</w:t>
      </w:r>
      <w:bookmarkEnd w:id="19"/>
    </w:p>
    <w:p w14:paraId="74E2638D" w14:textId="77777777" w:rsidR="00C01608" w:rsidRPr="00B5604B" w:rsidRDefault="00C01608" w:rsidP="00C01608">
      <w:pPr>
        <w:rPr>
          <w:b/>
          <w:bCs/>
        </w:rPr>
      </w:pPr>
    </w:p>
    <w:p w14:paraId="169514AA" w14:textId="393965FB" w:rsidR="00C01608" w:rsidRPr="00B5604B" w:rsidRDefault="00C01608" w:rsidP="00C01608">
      <w:r w:rsidRPr="00B5604B">
        <w:t>Three main data marts would be developed from the enterprise data warehouse.</w:t>
      </w:r>
      <w:r w:rsidR="00E51958">
        <w:t xml:space="preserve"> Fig 5 alludes to this</w:t>
      </w:r>
      <w:r w:rsidR="008D2947">
        <w:t>.</w:t>
      </w:r>
      <w:r w:rsidRPr="00B5604B">
        <w:t xml:space="preserve"> Each data mart would share common dimensions, including date, provider, service, and location, to ensure reporting remains consistent across NHS England.</w:t>
      </w:r>
    </w:p>
    <w:p w14:paraId="70468324" w14:textId="77777777" w:rsidR="00C01608" w:rsidRPr="00B5604B" w:rsidRDefault="00C01608" w:rsidP="00C01608">
      <w:r w:rsidRPr="00B5604B">
        <w:t xml:space="preserve">The </w:t>
      </w:r>
      <w:r w:rsidRPr="00504AB6">
        <w:t>Operations Data Mart</w:t>
      </w:r>
      <w:r w:rsidRPr="00B5604B">
        <w:t xml:space="preserve"> would store information on patient activity, waiting lists, admissions, discharges, bed occupancy, theatre use, appointments, and ambulance performance. Its main fact tables would be </w:t>
      </w:r>
      <w:r w:rsidRPr="00504AB6">
        <w:t>FACT_PATIENT_ACTIVITY</w:t>
      </w:r>
      <w:r w:rsidRPr="00B5604B">
        <w:t xml:space="preserve"> and </w:t>
      </w:r>
      <w:r w:rsidRPr="00504AB6">
        <w:t>FACT_MONTHLY_PERFORMANCE.</w:t>
      </w:r>
      <w:r w:rsidRPr="00B5604B">
        <w:t xml:space="preserve"> Operational managers could use this information to analyse RTT waiting times, bed occupancy, delayed discharges, elective care backlogs, and regional capacity. This would support both day-to-day service management and future demand planning.</w:t>
      </w:r>
    </w:p>
    <w:p w14:paraId="5C21DD8F" w14:textId="6C041204" w:rsidR="00C01608" w:rsidRPr="00B5604B" w:rsidRDefault="00C01608" w:rsidP="00C01608">
      <w:r w:rsidRPr="00B5604B">
        <w:t xml:space="preserve">The </w:t>
      </w:r>
      <w:r w:rsidRPr="00474210">
        <w:t>Clinical Quality Data Mart</w:t>
      </w:r>
      <w:r w:rsidRPr="00B5604B">
        <w:t xml:space="preserve"> would contain information about diagnoses, treatments, readmissions, mortality indicators, infections, patient safety incidents, treatment outcomes, and patient satisfaction. It would connect activity and quality fact tables with the patient, treatment, service, provider, and date dimensions. This would allow medical leaders to compare outcomes across NHS Trusts, specialties, demographic groups, and care pathways, helping them identify differences and focus on quality improvement</w:t>
      </w:r>
      <w:r w:rsidR="00C31574">
        <w:t>.</w:t>
      </w:r>
    </w:p>
    <w:p w14:paraId="1A3D9CEE" w14:textId="77777777" w:rsidR="00C01608" w:rsidRPr="00B5604B" w:rsidRDefault="00C01608" w:rsidP="00C01608">
      <w:r w:rsidRPr="00B5604B">
        <w:t xml:space="preserve">The </w:t>
      </w:r>
      <w:r w:rsidRPr="00474210">
        <w:t>Finance Data Mart</w:t>
      </w:r>
      <w:r w:rsidRPr="00B5604B">
        <w:t xml:space="preserve"> would combine treatment activity with tariffs, budgets, expenditure, agency staffing costs, overtime, and cost per patient episode. Its schema would link financial and activity fact tables with the provider, service, staff, finance, and date dimensions. This would help finance teams identify budget differences, compare costs between providers, and assess whether spending reflects patient demand.</w:t>
      </w:r>
    </w:p>
    <w:p w14:paraId="48BA121B" w14:textId="4AF5B0DA" w:rsidR="00C01608" w:rsidRDefault="00C01608" w:rsidP="00C01608">
      <w:r w:rsidRPr="00B5604B">
        <w:t xml:space="preserve">Because all three data marts would use the same governed enterprise warehouse, NHS England could ensure departments work from one reliable version of performance data instead of producing conflicting </w:t>
      </w:r>
      <w:r w:rsidR="00F96A61" w:rsidRPr="00B5604B">
        <w:t>reports</w:t>
      </w:r>
      <w:r w:rsidR="00014936">
        <w:t xml:space="preserve"> [1</w:t>
      </w:r>
      <w:r w:rsidR="000E0C21">
        <w:t>1</w:t>
      </w:r>
      <w:r w:rsidR="0093101D">
        <w:t>]</w:t>
      </w:r>
      <w:r w:rsidR="003057B8">
        <w:t>.</w:t>
      </w:r>
    </w:p>
    <w:p w14:paraId="2C282020" w14:textId="77777777" w:rsidR="000F521F" w:rsidRDefault="000F521F" w:rsidP="00C01608"/>
    <w:p w14:paraId="38CDC76C" w14:textId="49684F6D" w:rsidR="000F521F" w:rsidRDefault="000F521F" w:rsidP="00C01608">
      <w:r w:rsidRPr="00DD1389">
        <w:rPr>
          <w:rFonts w:ascii="Arial" w:hAnsi="Arial" w:cs="Arial"/>
        </w:rPr>
        <w:lastRenderedPageBreak/>
        <w:drawing>
          <wp:inline distT="0" distB="0" distL="0" distR="0" wp14:anchorId="41BBF698" wp14:editId="581E6A8B">
            <wp:extent cx="5731510" cy="4709364"/>
            <wp:effectExtent l="0" t="0" r="2540" b="0"/>
            <wp:docPr id="53615846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709364"/>
                    </a:xfrm>
                    <a:prstGeom prst="rect">
                      <a:avLst/>
                    </a:prstGeom>
                    <a:noFill/>
                    <a:ln>
                      <a:noFill/>
                    </a:ln>
                  </pic:spPr>
                </pic:pic>
              </a:graphicData>
            </a:graphic>
          </wp:inline>
        </w:drawing>
      </w:r>
    </w:p>
    <w:p w14:paraId="30169E60" w14:textId="224BB6F9" w:rsidR="000F521F" w:rsidRPr="00B5604B" w:rsidRDefault="000F521F" w:rsidP="00C01608">
      <w:r>
        <w:t xml:space="preserve">Figure 5: </w:t>
      </w:r>
      <w:r w:rsidR="0050158A">
        <w:t>NHS Enterprise Data Warehouse</w:t>
      </w:r>
    </w:p>
    <w:p w14:paraId="5F8C43F1" w14:textId="77777777" w:rsidR="00FD7CD2" w:rsidRDefault="00FD7CD2" w:rsidP="008D59A4">
      <w:pPr>
        <w:rPr>
          <w:rFonts w:ascii="Arial" w:hAnsi="Arial" w:cs="Arial"/>
        </w:rPr>
      </w:pPr>
    </w:p>
    <w:p w14:paraId="421E57B7" w14:textId="77777777" w:rsidR="00162BC3" w:rsidRDefault="00162BC3" w:rsidP="008D59A4">
      <w:pPr>
        <w:rPr>
          <w:rFonts w:ascii="Arial" w:hAnsi="Arial" w:cs="Arial"/>
        </w:rPr>
      </w:pPr>
    </w:p>
    <w:p w14:paraId="1E3F2460" w14:textId="77777777" w:rsidR="00162BC3" w:rsidRDefault="00162BC3" w:rsidP="008D59A4">
      <w:pPr>
        <w:rPr>
          <w:rFonts w:ascii="Arial" w:hAnsi="Arial" w:cs="Arial"/>
        </w:rPr>
      </w:pPr>
    </w:p>
    <w:p w14:paraId="262140C9" w14:textId="77777777" w:rsidR="00162BC3" w:rsidRPr="00810D5B" w:rsidRDefault="00162BC3" w:rsidP="00EB0E16">
      <w:pPr>
        <w:pStyle w:val="Heading2"/>
      </w:pPr>
      <w:bookmarkStart w:id="20" w:name="_Toc235140107"/>
      <w:r w:rsidRPr="00810D5B">
        <w:t>2.4 SIMPLIFIED ETL PLAN</w:t>
      </w:r>
      <w:bookmarkEnd w:id="20"/>
    </w:p>
    <w:p w14:paraId="64BF2959" w14:textId="12FABC1A" w:rsidR="00162BC3" w:rsidRDefault="00162BC3" w:rsidP="00162BC3">
      <w:r w:rsidRPr="00692A44">
        <w:t xml:space="preserve">Data would first be extracted from EPR, PAS, clinical, ESR workforce, finance, and external systems using scheduled or incremental transfers. </w:t>
      </w:r>
      <w:r w:rsidR="008D2947">
        <w:t xml:space="preserve"> This is highlighted in Fig 6</w:t>
      </w:r>
      <w:r w:rsidR="00B26B25">
        <w:t xml:space="preserve">. </w:t>
      </w:r>
      <w:r w:rsidRPr="00692A44">
        <w:t xml:space="preserve">The data would then move into a staging area where </w:t>
      </w:r>
      <w:r w:rsidR="00301D3F">
        <w:t>null and void</w:t>
      </w:r>
      <w:r w:rsidRPr="00692A44">
        <w:t xml:space="preserve"> records, duplicate entries, missing values, and </w:t>
      </w:r>
      <w:r w:rsidR="007B1EAB">
        <w:t>organisation</w:t>
      </w:r>
      <w:r w:rsidRPr="00692A44">
        <w:t xml:space="preserve"> issues would be identified. Patient information would be pseudonymised, dates standardised into one format, and NHS provider, ICD-10, OPCS, staff, and tariff codes matched to agreed standards. Surrogate keys would then be generated for the dimension tables. The dimension tables would be loaded before the patient activity fact tables to ensure all foreign-key relationships remain valid. Monthly measures, including bed occupancy, average RTT waiting times, readmissions, and treatment costs, would then be calculated and loaded into the aggregate fact table. Incremental loading would also reduce the impact on frontline operational </w:t>
      </w:r>
      <w:r w:rsidR="00D75EAD" w:rsidRPr="00692A44">
        <w:t>systems [</w:t>
      </w:r>
      <w:r w:rsidR="002A053B">
        <w:t>7</w:t>
      </w:r>
      <w:r w:rsidRPr="00692A44">
        <w:t>]</w:t>
      </w:r>
      <w:r w:rsidR="00BE5C71">
        <w:t>, [8].</w:t>
      </w:r>
    </w:p>
    <w:p w14:paraId="4365A1B9" w14:textId="77777777" w:rsidR="003B7DD7" w:rsidRDefault="003B7DD7" w:rsidP="00162BC3"/>
    <w:p w14:paraId="57D4A416" w14:textId="77777777" w:rsidR="00AD026C" w:rsidRDefault="00AD026C" w:rsidP="00AD026C"/>
    <w:p w14:paraId="47BB7B24" w14:textId="01136CCC" w:rsidR="00CC3F64" w:rsidRPr="00CC3F64" w:rsidRDefault="00CC3F64" w:rsidP="00CC3F64">
      <w:r w:rsidRPr="00CC3F64">
        <w:lastRenderedPageBreak/>
        <w:drawing>
          <wp:inline distT="0" distB="0" distL="0" distR="0" wp14:anchorId="1B708C1A" wp14:editId="38502CC1">
            <wp:extent cx="6332220" cy="7566660"/>
            <wp:effectExtent l="0" t="0" r="0" b="0"/>
            <wp:docPr id="29650166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2220" cy="7566660"/>
                    </a:xfrm>
                    <a:prstGeom prst="rect">
                      <a:avLst/>
                    </a:prstGeom>
                    <a:noFill/>
                    <a:ln>
                      <a:noFill/>
                    </a:ln>
                  </pic:spPr>
                </pic:pic>
              </a:graphicData>
            </a:graphic>
          </wp:inline>
        </w:drawing>
      </w:r>
    </w:p>
    <w:p w14:paraId="327C4641" w14:textId="168FF5C7" w:rsidR="00211F88" w:rsidRPr="00211F88" w:rsidRDefault="00211F88" w:rsidP="00211F88"/>
    <w:p w14:paraId="6212DAA7" w14:textId="380EEE23" w:rsidR="00EF5AAB" w:rsidRDefault="004B4EB7" w:rsidP="00AD026C">
      <w:r>
        <w:t>Figure 6: A simplified NHS ETL plan.</w:t>
      </w:r>
      <w:r w:rsidR="00B26B25">
        <w:t xml:space="preserve"> </w:t>
      </w:r>
    </w:p>
    <w:p w14:paraId="08812C8C" w14:textId="77777777" w:rsidR="002D0B8B" w:rsidRDefault="002D0B8B" w:rsidP="00AD026C"/>
    <w:p w14:paraId="557BD221" w14:textId="77777777" w:rsidR="002D0B8B" w:rsidRDefault="002D0B8B" w:rsidP="00AD026C"/>
    <w:p w14:paraId="4211B41F" w14:textId="75CA28D0" w:rsidR="002C0A92" w:rsidRDefault="002C0A92" w:rsidP="002C0A92"/>
    <w:p w14:paraId="3209341E" w14:textId="77777777" w:rsidR="00162BC3" w:rsidRDefault="00162BC3" w:rsidP="008D59A4">
      <w:pPr>
        <w:rPr>
          <w:rFonts w:ascii="Arial" w:hAnsi="Arial" w:cs="Arial"/>
        </w:rPr>
      </w:pPr>
    </w:p>
    <w:p w14:paraId="0558CC9A" w14:textId="77777777" w:rsidR="00D75EAD" w:rsidRPr="002D0C90" w:rsidRDefault="00D75EAD" w:rsidP="004B4EB7">
      <w:pPr>
        <w:pStyle w:val="Heading2"/>
      </w:pPr>
      <w:bookmarkStart w:id="21" w:name="_Toc235140108"/>
      <w:r w:rsidRPr="002D0C90">
        <w:t>2.5 Data Quality and Governance</w:t>
      </w:r>
      <w:bookmarkEnd w:id="21"/>
    </w:p>
    <w:p w14:paraId="3AADE7B1" w14:textId="00AF26DD" w:rsidR="00D75EAD" w:rsidRDefault="00D75EAD" w:rsidP="00D75EAD">
      <w:r w:rsidRPr="002D0C90">
        <w:t>Data should be checked for accuracy, completeness, consistency, validity, timeliness, and duplication throughout ETL and warehouse operation. Data owners should approve definitions, coding standards, and correction procedures. Patient information must be protected through pseudonymisation, encryption, role-based access, audit logs, and retention controls. Processing must follow UK data-protection requirements and NHS information-governance policies. Organisations accessing NHS patient data must also provide security assurance through the Data Security and Protection Toolkit [</w:t>
      </w:r>
      <w:r w:rsidR="00086E8D">
        <w:t>13], [14].</w:t>
      </w:r>
    </w:p>
    <w:p w14:paraId="49964B31" w14:textId="77777777" w:rsidR="00FA0E6B" w:rsidRDefault="00FA0E6B" w:rsidP="00D75EAD"/>
    <w:p w14:paraId="7953EFA1" w14:textId="77777777" w:rsidR="002D0B8B" w:rsidRDefault="002D0B8B" w:rsidP="00D75EAD"/>
    <w:p w14:paraId="068C95BD" w14:textId="77777777" w:rsidR="002D0B8B" w:rsidRDefault="002D0B8B" w:rsidP="00D75EAD"/>
    <w:p w14:paraId="2BC03E8C" w14:textId="77777777" w:rsidR="002D0B8B" w:rsidRDefault="002D0B8B" w:rsidP="00D75EAD"/>
    <w:p w14:paraId="05D13481" w14:textId="77777777" w:rsidR="002D0B8B" w:rsidRDefault="002D0B8B" w:rsidP="00D75EAD"/>
    <w:p w14:paraId="5A665F98" w14:textId="77777777" w:rsidR="00FA0E6B" w:rsidRPr="00AD026C" w:rsidRDefault="00FA0E6B" w:rsidP="004B4EB7">
      <w:pPr>
        <w:pStyle w:val="Heading1"/>
      </w:pPr>
      <w:bookmarkStart w:id="22" w:name="_Toc235140109"/>
      <w:r w:rsidRPr="00AD026C">
        <w:t>CONCLUSION</w:t>
      </w:r>
      <w:bookmarkEnd w:id="22"/>
    </w:p>
    <w:p w14:paraId="246E264F" w14:textId="77777777" w:rsidR="00FA0E6B" w:rsidRDefault="00FA0E6B" w:rsidP="00FA0E6B">
      <w:r w:rsidRPr="00A9104B">
        <w:t>This report has shown how a data warehouse could help NHS England address fragmented data across healthcare systems. Integrating patient, clinical, workforce, operational, and financial information would provide a more comprehensive view of national performance. ETL processes, data marts, and dimensional modelling could support analysis of patient flow, waiting times, resource use, costs, and clinical outcomes. Consequently, a data warehouse could strengthen evidence-based decision-making, improve operational efficiency, and support sustainable healthcare planning across England while contributing to NHS England’s ongoing digital transformation objectives</w:t>
      </w:r>
      <w:r>
        <w:t>.</w:t>
      </w:r>
    </w:p>
    <w:p w14:paraId="30C0613E" w14:textId="77777777" w:rsidR="00FA0E6B" w:rsidRDefault="00FA0E6B" w:rsidP="00FA0E6B"/>
    <w:p w14:paraId="228B7078" w14:textId="77777777" w:rsidR="00FA0E6B" w:rsidRDefault="00FA0E6B" w:rsidP="00D75EAD"/>
    <w:p w14:paraId="3C9E5089" w14:textId="77777777" w:rsidR="00D75EAD" w:rsidRDefault="00D75EAD" w:rsidP="00D75EAD"/>
    <w:p w14:paraId="42AA20B6" w14:textId="77777777" w:rsidR="00162BC3" w:rsidRDefault="00162BC3" w:rsidP="008D59A4">
      <w:pPr>
        <w:rPr>
          <w:rFonts w:ascii="Arial" w:hAnsi="Arial" w:cs="Arial"/>
        </w:rPr>
      </w:pPr>
    </w:p>
    <w:p w14:paraId="3F3B840C" w14:textId="77777777" w:rsidR="00162BC3" w:rsidRDefault="00162BC3" w:rsidP="008D59A4">
      <w:pPr>
        <w:rPr>
          <w:rFonts w:ascii="Arial" w:hAnsi="Arial" w:cs="Arial"/>
        </w:rPr>
      </w:pPr>
    </w:p>
    <w:p w14:paraId="2C36DF5A" w14:textId="77777777" w:rsidR="00162BC3" w:rsidRDefault="00162BC3" w:rsidP="008D59A4">
      <w:pPr>
        <w:rPr>
          <w:rFonts w:ascii="Arial" w:hAnsi="Arial" w:cs="Arial"/>
        </w:rPr>
      </w:pPr>
    </w:p>
    <w:p w14:paraId="72AE024C" w14:textId="77777777" w:rsidR="00162BC3" w:rsidRDefault="00162BC3" w:rsidP="008D59A4">
      <w:pPr>
        <w:rPr>
          <w:rFonts w:ascii="Arial" w:hAnsi="Arial" w:cs="Arial"/>
        </w:rPr>
      </w:pPr>
    </w:p>
    <w:p w14:paraId="05E01A6F" w14:textId="77777777" w:rsidR="002D0B8B" w:rsidRDefault="002D0B8B" w:rsidP="008D59A4">
      <w:pPr>
        <w:rPr>
          <w:rFonts w:ascii="Arial" w:hAnsi="Arial" w:cs="Arial"/>
        </w:rPr>
      </w:pPr>
    </w:p>
    <w:p w14:paraId="4313F21D" w14:textId="77777777" w:rsidR="002D0B8B" w:rsidRDefault="002D0B8B" w:rsidP="008D59A4">
      <w:pPr>
        <w:rPr>
          <w:rFonts w:ascii="Arial" w:hAnsi="Arial" w:cs="Arial"/>
        </w:rPr>
      </w:pPr>
    </w:p>
    <w:p w14:paraId="706428A5" w14:textId="77777777" w:rsidR="002D0B8B" w:rsidRDefault="002D0B8B" w:rsidP="008D59A4">
      <w:pPr>
        <w:rPr>
          <w:rFonts w:ascii="Arial" w:hAnsi="Arial" w:cs="Arial"/>
        </w:rPr>
      </w:pPr>
    </w:p>
    <w:p w14:paraId="197D17F8" w14:textId="77777777" w:rsidR="002D0B8B" w:rsidRDefault="002D0B8B" w:rsidP="008D59A4">
      <w:pPr>
        <w:rPr>
          <w:rFonts w:ascii="Arial" w:hAnsi="Arial" w:cs="Arial"/>
        </w:rPr>
      </w:pPr>
    </w:p>
    <w:p w14:paraId="682EF6FF" w14:textId="77777777" w:rsidR="002D0B8B" w:rsidRDefault="002D0B8B" w:rsidP="008D59A4">
      <w:pPr>
        <w:rPr>
          <w:rFonts w:ascii="Arial" w:hAnsi="Arial" w:cs="Arial"/>
        </w:rPr>
      </w:pPr>
    </w:p>
    <w:p w14:paraId="123261F8" w14:textId="77777777" w:rsidR="00162BC3" w:rsidRDefault="00162BC3" w:rsidP="008D59A4">
      <w:pPr>
        <w:rPr>
          <w:rFonts w:ascii="Arial" w:hAnsi="Arial" w:cs="Arial"/>
        </w:rPr>
      </w:pPr>
    </w:p>
    <w:p w14:paraId="0BB2DEF7" w14:textId="77777777" w:rsidR="00A45EB5" w:rsidRPr="00A9104B" w:rsidRDefault="00A45EB5" w:rsidP="00A45EB5"/>
    <w:p w14:paraId="68206F30" w14:textId="77777777" w:rsidR="00A45EB5" w:rsidRPr="00A9104B" w:rsidRDefault="00A45EB5" w:rsidP="00B67D03">
      <w:pPr>
        <w:pStyle w:val="Heading1"/>
      </w:pPr>
      <w:bookmarkStart w:id="23" w:name="_Toc235140110"/>
      <w:r w:rsidRPr="00A9104B">
        <w:t>REFERENCES</w:t>
      </w:r>
      <w:bookmarkEnd w:id="23"/>
    </w:p>
    <w:p w14:paraId="0BBE6492" w14:textId="3CD1791C" w:rsidR="009A23D7" w:rsidRDefault="00A45EB5" w:rsidP="00A45EB5">
      <w:r w:rsidRPr="00A9104B">
        <w:t xml:space="preserve">[1] S. Lyu et al., “The development and use of data warehousing in clinical settings: A scoping review,” </w:t>
      </w:r>
      <w:r w:rsidRPr="00A9104B">
        <w:rPr>
          <w:i/>
          <w:iCs/>
        </w:rPr>
        <w:t>Frontiers in Digital Health</w:t>
      </w:r>
      <w:r w:rsidRPr="00A9104B">
        <w:t>, vol. 7, 2025.</w:t>
      </w:r>
      <w:r>
        <w:t xml:space="preserve"> [Accessed: </w:t>
      </w:r>
      <w:r w:rsidR="00B328C2">
        <w:t>Jun. 16, 2026]</w:t>
      </w:r>
      <w:r w:rsidR="00594D99">
        <w:t>.</w:t>
      </w:r>
    </w:p>
    <w:p w14:paraId="7AFC2F82" w14:textId="42E2261B" w:rsidR="009A23D7" w:rsidRDefault="00A45EB5" w:rsidP="00A45EB5">
      <w:r>
        <w:t xml:space="preserve">[2] </w:t>
      </w:r>
      <w:r w:rsidRPr="008005A9">
        <w:t xml:space="preserve">S. Khanra, A. Dhir, A. K. M. N. Islam, and M. Mäntymäki, “Big data analytics in healthcare: a systematic literature review,” </w:t>
      </w:r>
      <w:r w:rsidRPr="008005A9">
        <w:rPr>
          <w:i/>
          <w:iCs/>
        </w:rPr>
        <w:t>Enterprise Information Systems</w:t>
      </w:r>
      <w:r w:rsidRPr="008005A9">
        <w:t>, vol. 14, no. 7, pp. 878–912, Aug. 2020,</w:t>
      </w:r>
      <w:r>
        <w:t xml:space="preserve"> </w:t>
      </w:r>
      <w:hyperlink r:id="rId22" w:history="1">
        <w:r w:rsidRPr="00151CFC">
          <w:rPr>
            <w:rStyle w:val="Hyperlink"/>
          </w:rPr>
          <w:t>https://doi.org/10.1080/17517575.2020.1812005</w:t>
        </w:r>
      </w:hyperlink>
      <w:r>
        <w:t xml:space="preserve">  [Accessed:  </w:t>
      </w:r>
      <w:r w:rsidR="00594D99">
        <w:t>Jun. 24, 2026]</w:t>
      </w:r>
    </w:p>
    <w:p w14:paraId="143DFD83" w14:textId="68689465" w:rsidR="009A23D7" w:rsidRDefault="00A45EB5" w:rsidP="00A45EB5">
      <w:r>
        <w:t xml:space="preserve">[3] </w:t>
      </w:r>
      <w:r w:rsidRPr="00384A1B">
        <w:t>K. Lipinska et al., “Selecting and Preparing Clinical Sites for the Successful Conduct of Decentralized Clinical Trial Activities–Findings From the Trials@Home &lt;scp&gt;RADIAL&lt;/scp&gt; Proof</w:t>
      </w:r>
      <w:r w:rsidRPr="00384A1B">
        <w:rPr>
          <w:rFonts w:ascii="Cambria Math" w:hAnsi="Cambria Math" w:cs="Cambria Math"/>
        </w:rPr>
        <w:t>‐</w:t>
      </w:r>
      <w:r w:rsidRPr="00384A1B">
        <w:t>of</w:t>
      </w:r>
      <w:r w:rsidRPr="00384A1B">
        <w:rPr>
          <w:rFonts w:ascii="Cambria Math" w:hAnsi="Cambria Math" w:cs="Cambria Math"/>
        </w:rPr>
        <w:t>‐</w:t>
      </w:r>
      <w:r w:rsidRPr="00384A1B">
        <w:t xml:space="preserve">Concept Trial,” Clinical Pharmacology &amp; Therapeutics, vol. 118, no. 5, pp. 1057–1066, Oct. 2025, </w:t>
      </w:r>
      <w:hyperlink r:id="rId23" w:history="1">
        <w:r w:rsidRPr="0001370A">
          <w:rPr>
            <w:rStyle w:val="Hyperlink"/>
          </w:rPr>
          <w:t>https://doi.org/10.1002/cpt.70075</w:t>
        </w:r>
      </w:hyperlink>
      <w:r w:rsidRPr="00384A1B">
        <w:t>.</w:t>
      </w:r>
      <w:r>
        <w:t xml:space="preserve"> Accessed: </w:t>
      </w:r>
      <w:r w:rsidR="0051576A">
        <w:t>Jun. 24, 2026]</w:t>
      </w:r>
    </w:p>
    <w:p w14:paraId="36A9E49E" w14:textId="6ED48A97" w:rsidR="00A45EB5" w:rsidRDefault="00A45EB5" w:rsidP="00A45EB5">
      <w:r>
        <w:t xml:space="preserve">[4] </w:t>
      </w:r>
      <w:r w:rsidRPr="004570C0">
        <w:t xml:space="preserve">Rahman Akorede Shittu </w:t>
      </w:r>
      <w:r w:rsidRPr="004570C0">
        <w:rPr>
          <w:i/>
          <w:iCs/>
        </w:rPr>
        <w:t>et al.</w:t>
      </w:r>
      <w:r w:rsidRPr="004570C0">
        <w:t xml:space="preserve">, “The role of business intelligence tools in improving healthcare patient outcomes and operations,” </w:t>
      </w:r>
      <w:r w:rsidRPr="004570C0">
        <w:rPr>
          <w:i/>
          <w:iCs/>
        </w:rPr>
        <w:t>World Journal of Advanced Research and Reviews</w:t>
      </w:r>
      <w:r w:rsidRPr="004570C0">
        <w:t xml:space="preserve">, vol. 24, no. 2, pp. 1039–1060, Nov. 2024, </w:t>
      </w:r>
      <w:hyperlink r:id="rId24" w:history="1">
        <w:r w:rsidRPr="00151CFC">
          <w:rPr>
            <w:rStyle w:val="Hyperlink"/>
          </w:rPr>
          <w:t>https://doi.org/10.30574/wjarr.2024.24.2.3414</w:t>
        </w:r>
      </w:hyperlink>
      <w:r>
        <w:t xml:space="preserve">  [Accessed:</w:t>
      </w:r>
      <w:r w:rsidR="0066255E">
        <w:t xml:space="preserve"> Jun. </w:t>
      </w:r>
      <w:r w:rsidR="006D1A74">
        <w:t>28</w:t>
      </w:r>
      <w:r w:rsidR="00B328C2">
        <w:t>, 2026].</w:t>
      </w:r>
    </w:p>
    <w:p w14:paraId="628E8A3C" w14:textId="5D66BCC1" w:rsidR="00A45EB5" w:rsidRDefault="00A45EB5" w:rsidP="00A45EB5">
      <w:r>
        <w:t xml:space="preserve">[5] </w:t>
      </w:r>
      <w:r w:rsidRPr="00334B93">
        <w:t xml:space="preserve">K. Shahzad, S. A. Khan, M. Latif, A. Muhammed, and A. Iqbal, “Big data analytics in healthcare: current practices, innovations, and future prospects,” Journal of Big Data, vol. 12, no. 1, Oct. 2025, </w:t>
      </w:r>
      <w:hyperlink r:id="rId25" w:history="1">
        <w:r w:rsidRPr="00151CFC">
          <w:rPr>
            <w:rStyle w:val="Hyperlink"/>
          </w:rPr>
          <w:t>https://doi./10.1186/s40537-025-01288-2</w:t>
        </w:r>
      </w:hyperlink>
      <w:r w:rsidRPr="00334B93">
        <w:t>.</w:t>
      </w:r>
      <w:r>
        <w:t xml:space="preserve"> [Accessed:  </w:t>
      </w:r>
      <w:r w:rsidR="0066255E">
        <w:t>Jul. 01, 2026]</w:t>
      </w:r>
    </w:p>
    <w:p w14:paraId="44FE460D" w14:textId="5ED27484" w:rsidR="00A45EB5" w:rsidRDefault="00A45EB5" w:rsidP="00A45EB5">
      <w:r>
        <w:t xml:space="preserve">[6] </w:t>
      </w:r>
      <w:r w:rsidRPr="001F245B">
        <w:t xml:space="preserve">T. Knezevic Ivanovski, S. Honap, R. Matic, S. Markovic, and L. Peyrin-Biroulet, “Building a healthcare data warehouse: considerations, opportunities, and challenges,” Frontiers in Digital Health, vol. 7, Dec. 2025, </w:t>
      </w:r>
      <w:hyperlink r:id="rId26" w:history="1">
        <w:r w:rsidRPr="00151CFC">
          <w:rPr>
            <w:rStyle w:val="Hyperlink"/>
          </w:rPr>
          <w:t>https://doi.org/10.3389/fdgth.2025.1691142</w:t>
        </w:r>
      </w:hyperlink>
      <w:r w:rsidRPr="001F245B">
        <w:t>.</w:t>
      </w:r>
      <w:r>
        <w:t xml:space="preserve"> [Accessed: </w:t>
      </w:r>
      <w:r w:rsidR="00142143">
        <w:t>Jul. 0</w:t>
      </w:r>
      <w:r w:rsidR="008505D1">
        <w:t>1</w:t>
      </w:r>
      <w:r w:rsidR="00142143">
        <w:t>, 2026</w:t>
      </w:r>
      <w:r w:rsidR="0066255E">
        <w:t>].</w:t>
      </w:r>
    </w:p>
    <w:p w14:paraId="69D22727" w14:textId="0FDA4A61" w:rsidR="00A45EB5" w:rsidRDefault="00A45EB5" w:rsidP="00A45EB5">
      <w:r>
        <w:t xml:space="preserve">[7] </w:t>
      </w:r>
      <w:r w:rsidRPr="00592C85">
        <w:t xml:space="preserve">M. T. -, “Cloud-Native ETL: Integrating Databricks and Azure Data Factory for Scalable Data Processing in Enterprise Environments,” </w:t>
      </w:r>
      <w:r w:rsidRPr="00592C85">
        <w:rPr>
          <w:i/>
          <w:iCs/>
        </w:rPr>
        <w:t>International Journal For Multidisciplinary Research</w:t>
      </w:r>
      <w:r w:rsidRPr="00592C85">
        <w:t>, vol. 6, no. 6, Nov. 2024,</w:t>
      </w:r>
      <w:r>
        <w:t xml:space="preserve"> </w:t>
      </w:r>
      <w:hyperlink r:id="rId27" w:history="1">
        <w:r w:rsidRPr="0001370A">
          <w:rPr>
            <w:rStyle w:val="Hyperlink"/>
          </w:rPr>
          <w:t>https://doi.org/10.36948/ijfmr.2024.v06i06.29886</w:t>
        </w:r>
      </w:hyperlink>
      <w:r>
        <w:t xml:space="preserve"> [Accessed: </w:t>
      </w:r>
      <w:r w:rsidR="00F93082">
        <w:t xml:space="preserve">Jul. </w:t>
      </w:r>
      <w:r w:rsidR="00142143">
        <w:t>0</w:t>
      </w:r>
      <w:r w:rsidR="008845CB">
        <w:t>1</w:t>
      </w:r>
      <w:r w:rsidR="00142143">
        <w:t>, 2026]</w:t>
      </w:r>
    </w:p>
    <w:p w14:paraId="3E34F97B" w14:textId="7DD017E6" w:rsidR="00A45EB5" w:rsidRDefault="00A45EB5" w:rsidP="00A45EB5">
      <w:r>
        <w:t xml:space="preserve">[8] </w:t>
      </w:r>
      <w:r w:rsidRPr="00EC4A68">
        <w:t xml:space="preserve">A. Onyebuchi </w:t>
      </w:r>
      <w:r w:rsidRPr="00EC4A68">
        <w:rPr>
          <w:i/>
          <w:iCs/>
        </w:rPr>
        <w:t>et al.</w:t>
      </w:r>
      <w:r w:rsidRPr="00EC4A68">
        <w:t xml:space="preserve">, “Business Demand for a Cloud Enterprise Data Warehouse in Electronic Healthcare Computing,” </w:t>
      </w:r>
      <w:r w:rsidRPr="00EC4A68">
        <w:rPr>
          <w:i/>
          <w:iCs/>
        </w:rPr>
        <w:t>International Journal of Cloud Applications and Computing</w:t>
      </w:r>
      <w:r w:rsidRPr="00EC4A68">
        <w:t xml:space="preserve">, vol. 12, no. 1, pp. 1–22, Mar. 2022, </w:t>
      </w:r>
      <w:hyperlink r:id="rId28" w:history="1">
        <w:r w:rsidRPr="00151CFC">
          <w:rPr>
            <w:rStyle w:val="Hyperlink"/>
          </w:rPr>
          <w:t>https://doi.org./10.4018/ijcac.297098</w:t>
        </w:r>
      </w:hyperlink>
      <w:r w:rsidRPr="00EC4A68">
        <w:t>.</w:t>
      </w:r>
      <w:r>
        <w:t xml:space="preserve"> [Accessed: </w:t>
      </w:r>
      <w:r w:rsidR="00615853">
        <w:t xml:space="preserve">Jul. </w:t>
      </w:r>
      <w:r w:rsidR="00142143">
        <w:t>0</w:t>
      </w:r>
      <w:r w:rsidR="00F93082">
        <w:t>9, 2026]</w:t>
      </w:r>
    </w:p>
    <w:p w14:paraId="1153B642" w14:textId="593E0B2C" w:rsidR="00A45EB5" w:rsidRDefault="0011652E" w:rsidP="00A45EB5">
      <w:r>
        <w:t>[</w:t>
      </w:r>
      <w:r w:rsidR="0093101D">
        <w:t>9</w:t>
      </w:r>
      <w:r>
        <w:t xml:space="preserve">] </w:t>
      </w:r>
      <w:r w:rsidRPr="0081501F">
        <w:t xml:space="preserve">S. Pandya, </w:t>
      </w:r>
      <w:r w:rsidRPr="0081501F">
        <w:rPr>
          <w:i/>
          <w:iCs/>
        </w:rPr>
        <w:t>From Transcription to Intelligence: Applying Large Language Models to Healthcare Enterprise Decision Support Systems</w:t>
      </w:r>
      <w:r w:rsidRPr="0081501F">
        <w:t>. Geh press, 2026.</w:t>
      </w:r>
      <w:r w:rsidR="0069000E">
        <w:t xml:space="preserve"> [Accessed: Jul. </w:t>
      </w:r>
      <w:r w:rsidR="00615853">
        <w:t>1</w:t>
      </w:r>
      <w:r w:rsidR="00870A48">
        <w:t>0</w:t>
      </w:r>
      <w:r w:rsidR="00615853">
        <w:t>, 2026].</w:t>
      </w:r>
    </w:p>
    <w:tbl>
      <w:tblPr>
        <w:tblW w:w="425" w:type="pct"/>
        <w:tblCellMar>
          <w:top w:w="15" w:type="dxa"/>
          <w:left w:w="15" w:type="dxa"/>
          <w:bottom w:w="15" w:type="dxa"/>
          <w:right w:w="15" w:type="dxa"/>
        </w:tblCellMar>
        <w:tblLook w:val="04A0" w:firstRow="1" w:lastRow="0" w:firstColumn="1" w:lastColumn="0" w:noHBand="0" w:noVBand="1"/>
      </w:tblPr>
      <w:tblGrid>
        <w:gridCol w:w="784"/>
      </w:tblGrid>
      <w:tr w:rsidR="00A45EB5" w:rsidRPr="00384A1B" w14:paraId="7FCC29B0" w14:textId="77777777" w:rsidTr="007A4FA5">
        <w:tc>
          <w:tcPr>
            <w:tcW w:w="768" w:type="dxa"/>
            <w:noWrap/>
            <w:tcMar>
              <w:top w:w="0" w:type="dxa"/>
              <w:left w:w="0" w:type="dxa"/>
              <w:bottom w:w="0" w:type="dxa"/>
              <w:right w:w="0" w:type="dxa"/>
            </w:tcMar>
            <w:hideMark/>
          </w:tcPr>
          <w:p w14:paraId="5383BBE5" w14:textId="77777777" w:rsidR="00A45EB5" w:rsidRPr="00384A1B" w:rsidRDefault="00A45EB5" w:rsidP="007A4FA5"/>
        </w:tc>
      </w:tr>
      <w:tr w:rsidR="00A45EB5" w:rsidRPr="00384A1B" w14:paraId="77C15860" w14:textId="77777777" w:rsidTr="007A4FA5">
        <w:tc>
          <w:tcPr>
            <w:tcW w:w="768" w:type="dxa"/>
            <w:noWrap/>
            <w:tcMar>
              <w:top w:w="0" w:type="dxa"/>
              <w:left w:w="0" w:type="dxa"/>
              <w:bottom w:w="0" w:type="dxa"/>
              <w:right w:w="0" w:type="dxa"/>
            </w:tcMar>
            <w:hideMark/>
          </w:tcPr>
          <w:p w14:paraId="56683B8C" w14:textId="77777777" w:rsidR="00A45EB5" w:rsidRPr="00384A1B" w:rsidRDefault="00A45EB5" w:rsidP="007A4FA5"/>
        </w:tc>
      </w:tr>
    </w:tbl>
    <w:p w14:paraId="71050563" w14:textId="6A425007" w:rsidR="00A45EB5" w:rsidRDefault="00A45EB5" w:rsidP="00A45EB5">
      <w:r>
        <w:t>[</w:t>
      </w:r>
      <w:r w:rsidR="00CF0350">
        <w:t>10</w:t>
      </w:r>
      <w:r>
        <w:t xml:space="preserve">] </w:t>
      </w:r>
      <w:r w:rsidRPr="007352B8">
        <w:t>Desmond, Jacob, et al. "OMOP ETL Framework for Semi-Structured Health Data." </w:t>
      </w:r>
      <w:r w:rsidRPr="007352B8">
        <w:rPr>
          <w:i/>
          <w:iCs/>
        </w:rPr>
        <w:t>arXiv preprint arXiv:2511.09017</w:t>
      </w:r>
      <w:r w:rsidRPr="007352B8">
        <w:t> (2025).</w:t>
      </w:r>
      <w:r>
        <w:t xml:space="preserve"> [Accessed:</w:t>
      </w:r>
      <w:bookmarkStart w:id="24" w:name="OLE_LINK11"/>
      <w:r w:rsidR="0069000E">
        <w:t xml:space="preserve"> Jul. 1</w:t>
      </w:r>
      <w:r w:rsidR="00870A48">
        <w:t>0</w:t>
      </w:r>
      <w:r w:rsidR="0069000E">
        <w:t>, 2026].</w:t>
      </w:r>
    </w:p>
    <w:bookmarkEnd w:id="24"/>
    <w:p w14:paraId="454A969E" w14:textId="34F9D21E" w:rsidR="00145A9E" w:rsidRDefault="00A45EB5" w:rsidP="00A45EB5">
      <w:r>
        <w:t>[1</w:t>
      </w:r>
      <w:r w:rsidR="00CF0350">
        <w:t>1</w:t>
      </w:r>
      <w:r>
        <w:t xml:space="preserve">] </w:t>
      </w:r>
      <w:r w:rsidRPr="00CA2D56">
        <w:t>Yu, Q., Healy, S., Ravi, I. and Patel, P., 2022, March. Data ingestion pipeline and data marts to empower UK researchers, academics, and business and economic decision makers. In </w:t>
      </w:r>
      <w:r w:rsidRPr="00CA2D56">
        <w:rPr>
          <w:i/>
          <w:iCs/>
        </w:rPr>
        <w:t>Future of Information and Communication Conference</w:t>
      </w:r>
      <w:r w:rsidRPr="00CA2D56">
        <w:t> (pp. 158-172). Cham: Springer International Publishing.</w:t>
      </w:r>
      <w:r>
        <w:t xml:space="preserve"> [Accessed:</w:t>
      </w:r>
      <w:r w:rsidR="00062D0F">
        <w:t xml:space="preserve"> Jul. 11, 2026]</w:t>
      </w:r>
      <w:r w:rsidR="0069000E">
        <w:t>.</w:t>
      </w:r>
    </w:p>
    <w:p w14:paraId="412E9E9C" w14:textId="0CF70A12" w:rsidR="00A45EB5" w:rsidRDefault="00A45EB5" w:rsidP="00A45EB5">
      <w:r>
        <w:lastRenderedPageBreak/>
        <w:t>[1</w:t>
      </w:r>
      <w:r w:rsidR="00CF0350">
        <w:t>2</w:t>
      </w:r>
      <w:r>
        <w:t xml:space="preserve">] </w:t>
      </w:r>
      <w:r w:rsidRPr="00401F5D">
        <w:t xml:space="preserve">Dheeraj Kumar Bansal, “Enterprise Data Engineering: Architecting Modern Data Warehouses for Business Success,” </w:t>
      </w:r>
      <w:r w:rsidRPr="00401F5D">
        <w:rPr>
          <w:i/>
          <w:iCs/>
        </w:rPr>
        <w:t>International Journal of Scientific Research in Computer Science, Engineering and Information Technology</w:t>
      </w:r>
      <w:r w:rsidRPr="00401F5D">
        <w:t>, vol. 11, no. 1, pp. 3266–3277, Feb. 2025,</w:t>
      </w:r>
      <w:r>
        <w:t xml:space="preserve"> </w:t>
      </w:r>
      <w:hyperlink r:id="rId29" w:history="1">
        <w:r w:rsidRPr="0001370A">
          <w:rPr>
            <w:rStyle w:val="Hyperlink"/>
          </w:rPr>
          <w:t>https://doi.org/10.32628/cseit251112348</w:t>
        </w:r>
      </w:hyperlink>
      <w:r w:rsidRPr="00401F5D">
        <w:t>.</w:t>
      </w:r>
      <w:r>
        <w:t xml:space="preserve"> [Accessed: </w:t>
      </w:r>
      <w:r w:rsidR="00086E8D">
        <w:t>Jul. 11, 2026].</w:t>
      </w:r>
    </w:p>
    <w:tbl>
      <w:tblPr>
        <w:tblW w:w="5000" w:type="pct"/>
        <w:tblCellMar>
          <w:top w:w="15" w:type="dxa"/>
          <w:left w:w="15" w:type="dxa"/>
          <w:bottom w:w="15" w:type="dxa"/>
          <w:right w:w="15" w:type="dxa"/>
        </w:tblCellMar>
        <w:tblLook w:val="04A0" w:firstRow="1" w:lastRow="0" w:firstColumn="1" w:lastColumn="0" w:noHBand="0" w:noVBand="1"/>
      </w:tblPr>
      <w:tblGrid>
        <w:gridCol w:w="752"/>
        <w:gridCol w:w="8274"/>
      </w:tblGrid>
      <w:tr w:rsidR="00A45EB5" w:rsidRPr="0081501F" w14:paraId="4183FDF3" w14:textId="77777777" w:rsidTr="00CF0350">
        <w:tc>
          <w:tcPr>
            <w:tcW w:w="736" w:type="dxa"/>
            <w:noWrap/>
            <w:tcMar>
              <w:top w:w="0" w:type="dxa"/>
              <w:left w:w="0" w:type="dxa"/>
              <w:bottom w:w="0" w:type="dxa"/>
              <w:right w:w="0" w:type="dxa"/>
            </w:tcMar>
            <w:hideMark/>
          </w:tcPr>
          <w:p w14:paraId="597A8D15" w14:textId="77777777" w:rsidR="00A45EB5" w:rsidRPr="0081501F" w:rsidRDefault="00A45EB5" w:rsidP="007A4FA5"/>
        </w:tc>
        <w:tc>
          <w:tcPr>
            <w:tcW w:w="0" w:type="auto"/>
            <w:tcMar>
              <w:top w:w="0" w:type="dxa"/>
              <w:left w:w="0" w:type="dxa"/>
              <w:bottom w:w="0" w:type="dxa"/>
              <w:right w:w="0" w:type="dxa"/>
            </w:tcMar>
            <w:hideMark/>
          </w:tcPr>
          <w:p w14:paraId="4D834F3F" w14:textId="77777777" w:rsidR="00A45EB5" w:rsidRPr="0081501F" w:rsidRDefault="00A45EB5" w:rsidP="007A4FA5"/>
        </w:tc>
      </w:tr>
    </w:tbl>
    <w:p w14:paraId="48F5BAB8" w14:textId="77777777" w:rsidR="00A45EB5" w:rsidRDefault="00A45EB5" w:rsidP="00A45EB5"/>
    <w:p w14:paraId="74DE2196" w14:textId="04A69510" w:rsidR="00A45EB5" w:rsidRDefault="00A45EB5" w:rsidP="00A45EB5">
      <w:r>
        <w:t>[1</w:t>
      </w:r>
      <w:r w:rsidR="00FE3018">
        <w:t>3</w:t>
      </w:r>
      <w:r>
        <w:t xml:space="preserve">] </w:t>
      </w:r>
      <w:r w:rsidRPr="00AF5E65">
        <w:t>R. D. Thantilage, N.-A. Le-Khac, and M.-T. Kechadi, “Healthcare data security and privacy in Data Warehouse architectures,” Informatics in Medicine Unlocked, vol. 39, p. 101270, 2023,</w:t>
      </w:r>
      <w:r>
        <w:t xml:space="preserve"> </w:t>
      </w:r>
      <w:hyperlink r:id="rId30" w:history="1">
        <w:r w:rsidRPr="00E725A8">
          <w:rPr>
            <w:rStyle w:val="Hyperlink"/>
          </w:rPr>
          <w:t>https://doi.org/10.1016/j.imu.2023.101270</w:t>
        </w:r>
      </w:hyperlink>
      <w:r w:rsidRPr="00AF5E65">
        <w:t>.</w:t>
      </w:r>
      <w:r>
        <w:t xml:space="preserve"> [Accessed: </w:t>
      </w:r>
      <w:r w:rsidR="001733E3">
        <w:t>Jul. 1</w:t>
      </w:r>
      <w:r w:rsidR="00062D0F">
        <w:t>5</w:t>
      </w:r>
      <w:r w:rsidR="001733E3">
        <w:t>, 2026].</w:t>
      </w:r>
    </w:p>
    <w:p w14:paraId="08BB699D" w14:textId="45372C65" w:rsidR="00A45EB5" w:rsidRDefault="00A45EB5" w:rsidP="00A45EB5">
      <w:r>
        <w:t>[1</w:t>
      </w:r>
      <w:r w:rsidR="00FE3018">
        <w:t>4</w:t>
      </w:r>
      <w:r>
        <w:t xml:space="preserve">] </w:t>
      </w:r>
      <w:r w:rsidRPr="00DE0E2C">
        <w:t>Kumar, Indresh, Bhavna Dhingra, and Shikha Malik. "Healthcare Data Security and Privacy in the AI Era." In </w:t>
      </w:r>
      <w:r w:rsidRPr="00DE0E2C">
        <w:rPr>
          <w:i/>
          <w:iCs/>
        </w:rPr>
        <w:t>Artificial Intelligence in Smart Healthcare Systems</w:t>
      </w:r>
      <w:r w:rsidRPr="00DE0E2C">
        <w:t>, pp. 151-160. CRC Press, 2026.</w:t>
      </w:r>
      <w:r>
        <w:t xml:space="preserve"> [Accessed:</w:t>
      </w:r>
      <w:r w:rsidR="00FE3018">
        <w:t xml:space="preserve"> Jul. </w:t>
      </w:r>
      <w:r w:rsidR="00203D3A">
        <w:t>1</w:t>
      </w:r>
      <w:r w:rsidR="00145A9E">
        <w:t>5</w:t>
      </w:r>
      <w:r w:rsidR="00203D3A">
        <w:t>, 2026</w:t>
      </w:r>
      <w:r w:rsidR="001733E3">
        <w:t>].</w:t>
      </w:r>
    </w:p>
    <w:p w14:paraId="6EDF74EC" w14:textId="77777777" w:rsidR="00FD7CD2" w:rsidRDefault="00FD7CD2" w:rsidP="008D59A4">
      <w:pPr>
        <w:rPr>
          <w:rFonts w:ascii="Arial" w:hAnsi="Arial" w:cs="Arial"/>
        </w:rPr>
      </w:pPr>
    </w:p>
    <w:p w14:paraId="3C673D58" w14:textId="77777777" w:rsidR="00FD7CD2" w:rsidRDefault="00FD7CD2" w:rsidP="008D59A4">
      <w:pPr>
        <w:rPr>
          <w:rFonts w:ascii="Arial" w:hAnsi="Arial" w:cs="Arial"/>
        </w:rPr>
      </w:pPr>
    </w:p>
    <w:p w14:paraId="4B9C323A" w14:textId="77777777" w:rsidR="00C01608" w:rsidRDefault="00C01608" w:rsidP="008D59A4">
      <w:pPr>
        <w:rPr>
          <w:rFonts w:ascii="Arial" w:hAnsi="Arial" w:cs="Arial"/>
        </w:rPr>
      </w:pPr>
    </w:p>
    <w:p w14:paraId="19DAEEA1" w14:textId="77777777" w:rsidR="00CB5A70" w:rsidRDefault="00CB5A70" w:rsidP="008D59A4">
      <w:pPr>
        <w:rPr>
          <w:rFonts w:ascii="Arial" w:hAnsi="Arial" w:cs="Arial"/>
        </w:rPr>
      </w:pPr>
    </w:p>
    <w:p w14:paraId="71960258" w14:textId="77777777" w:rsidR="00CB5A70" w:rsidRDefault="00CB5A70" w:rsidP="008D59A4">
      <w:pPr>
        <w:rPr>
          <w:rFonts w:ascii="Arial" w:hAnsi="Arial" w:cs="Arial"/>
        </w:rPr>
      </w:pPr>
    </w:p>
    <w:p w14:paraId="4303EB37" w14:textId="77777777" w:rsidR="00CB5A70" w:rsidRDefault="00CB5A70" w:rsidP="008D59A4">
      <w:pPr>
        <w:rPr>
          <w:rFonts w:ascii="Arial" w:hAnsi="Arial" w:cs="Arial"/>
        </w:rPr>
      </w:pPr>
    </w:p>
    <w:p w14:paraId="6953D929" w14:textId="77777777" w:rsidR="00CB5A70" w:rsidRDefault="00CB5A70" w:rsidP="008D59A4">
      <w:pPr>
        <w:rPr>
          <w:rFonts w:ascii="Arial" w:hAnsi="Arial" w:cs="Arial"/>
        </w:rPr>
      </w:pPr>
    </w:p>
    <w:p w14:paraId="479EF17F" w14:textId="77777777" w:rsidR="00CB5A70" w:rsidRDefault="00CB5A70" w:rsidP="008D59A4">
      <w:pPr>
        <w:rPr>
          <w:rFonts w:ascii="Arial" w:hAnsi="Arial" w:cs="Arial"/>
        </w:rPr>
      </w:pPr>
    </w:p>
    <w:p w14:paraId="4E450FA4" w14:textId="7FE1A5C9" w:rsidR="00DD1389" w:rsidRDefault="00DD1389" w:rsidP="00DD1389">
      <w:pPr>
        <w:rPr>
          <w:rFonts w:ascii="Arial" w:hAnsi="Arial" w:cs="Arial"/>
        </w:rPr>
      </w:pPr>
    </w:p>
    <w:p w14:paraId="65B1A644" w14:textId="77777777" w:rsidR="00376B61" w:rsidRPr="00DD1389" w:rsidRDefault="00376B61" w:rsidP="00DD1389">
      <w:pPr>
        <w:rPr>
          <w:rFonts w:ascii="Arial" w:hAnsi="Arial" w:cs="Arial"/>
        </w:rPr>
      </w:pPr>
    </w:p>
    <w:p w14:paraId="3D6C5BA8" w14:textId="22F33026" w:rsidR="00376B61" w:rsidRPr="00B31B43" w:rsidRDefault="00376B61" w:rsidP="00376B61">
      <w:pPr>
        <w:rPr>
          <w:rFonts w:cs="Arial"/>
        </w:rPr>
      </w:pPr>
    </w:p>
    <w:p w14:paraId="77F6B012" w14:textId="764C080E" w:rsidR="000E3C94" w:rsidRPr="000E3C94" w:rsidRDefault="000E3C94" w:rsidP="000E3C94">
      <w:pPr>
        <w:rPr>
          <w:rFonts w:ascii="Arial" w:hAnsi="Arial" w:cs="Arial"/>
        </w:rPr>
      </w:pPr>
    </w:p>
    <w:p w14:paraId="20348A05" w14:textId="77777777" w:rsidR="00C01608" w:rsidRDefault="00C01608" w:rsidP="008D59A4">
      <w:pPr>
        <w:rPr>
          <w:rFonts w:ascii="Arial" w:hAnsi="Arial" w:cs="Arial"/>
        </w:rPr>
      </w:pPr>
    </w:p>
    <w:p w14:paraId="77714CF1" w14:textId="77777777" w:rsidR="00C01608" w:rsidRDefault="00C01608" w:rsidP="008D59A4">
      <w:pPr>
        <w:rPr>
          <w:rFonts w:ascii="Arial" w:hAnsi="Arial" w:cs="Arial"/>
        </w:rPr>
      </w:pPr>
    </w:p>
    <w:p w14:paraId="6499F2BA" w14:textId="77777777" w:rsidR="00C01608" w:rsidRDefault="00C01608" w:rsidP="008D59A4">
      <w:pPr>
        <w:rPr>
          <w:rFonts w:ascii="Arial" w:hAnsi="Arial" w:cs="Arial"/>
        </w:rPr>
      </w:pPr>
    </w:p>
    <w:p w14:paraId="39E64249" w14:textId="77777777" w:rsidR="00C01608" w:rsidRDefault="00C01608" w:rsidP="008D59A4">
      <w:pPr>
        <w:rPr>
          <w:rFonts w:ascii="Arial" w:hAnsi="Arial" w:cs="Arial"/>
        </w:rPr>
      </w:pPr>
    </w:p>
    <w:p w14:paraId="2F022641" w14:textId="77777777" w:rsidR="00C01608" w:rsidRDefault="00C01608" w:rsidP="008D59A4">
      <w:pPr>
        <w:rPr>
          <w:rFonts w:ascii="Arial" w:hAnsi="Arial" w:cs="Arial"/>
        </w:rPr>
      </w:pPr>
    </w:p>
    <w:p w14:paraId="24FC6A81" w14:textId="77777777" w:rsidR="00C01608" w:rsidRDefault="00C01608" w:rsidP="008D59A4">
      <w:pPr>
        <w:rPr>
          <w:rFonts w:ascii="Arial" w:hAnsi="Arial" w:cs="Arial"/>
        </w:rPr>
      </w:pPr>
    </w:p>
    <w:sectPr w:rsidR="00C01608" w:rsidSect="004C31FF">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ADFC3" w14:textId="77777777" w:rsidR="002A27AB" w:rsidRDefault="002A27AB" w:rsidP="004C31FF">
      <w:pPr>
        <w:spacing w:after="0" w:line="240" w:lineRule="auto"/>
      </w:pPr>
      <w:r>
        <w:separator/>
      </w:r>
    </w:p>
  </w:endnote>
  <w:endnote w:type="continuationSeparator" w:id="0">
    <w:p w14:paraId="2D63BDCF" w14:textId="77777777" w:rsidR="002A27AB" w:rsidRDefault="002A27AB" w:rsidP="004C3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770888"/>
      <w:docPartObj>
        <w:docPartGallery w:val="Page Numbers (Bottom of Page)"/>
        <w:docPartUnique/>
      </w:docPartObj>
    </w:sdtPr>
    <w:sdtContent>
      <w:p w14:paraId="540FD99C" w14:textId="4F1B3356" w:rsidR="004C31FF" w:rsidRDefault="004C31FF">
        <w:pPr>
          <w:pStyle w:val="Footer"/>
          <w:jc w:val="right"/>
        </w:pPr>
        <w:r>
          <w:fldChar w:fldCharType="begin"/>
        </w:r>
        <w:r>
          <w:instrText>PAGE   \* MERGEFORMAT</w:instrText>
        </w:r>
        <w:r>
          <w:fldChar w:fldCharType="separate"/>
        </w:r>
        <w:r>
          <w:t>2</w:t>
        </w:r>
        <w:r>
          <w:fldChar w:fldCharType="end"/>
        </w:r>
      </w:p>
    </w:sdtContent>
  </w:sdt>
  <w:p w14:paraId="3D96B702" w14:textId="77777777" w:rsidR="004C31FF" w:rsidRDefault="004C3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70E64" w14:textId="77777777" w:rsidR="002A27AB" w:rsidRDefault="002A27AB" w:rsidP="004C31FF">
      <w:pPr>
        <w:spacing w:after="0" w:line="240" w:lineRule="auto"/>
      </w:pPr>
      <w:r>
        <w:separator/>
      </w:r>
    </w:p>
  </w:footnote>
  <w:footnote w:type="continuationSeparator" w:id="0">
    <w:p w14:paraId="797FEC80" w14:textId="77777777" w:rsidR="002A27AB" w:rsidRDefault="002A27AB" w:rsidP="004C31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560755"/>
    <w:multiLevelType w:val="multilevel"/>
    <w:tmpl w:val="D234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1148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28"/>
    <w:rsid w:val="000018C7"/>
    <w:rsid w:val="00014936"/>
    <w:rsid w:val="0001633F"/>
    <w:rsid w:val="00016C69"/>
    <w:rsid w:val="000304FF"/>
    <w:rsid w:val="0003575F"/>
    <w:rsid w:val="000408C1"/>
    <w:rsid w:val="00044179"/>
    <w:rsid w:val="00045FCD"/>
    <w:rsid w:val="000463C1"/>
    <w:rsid w:val="00046C87"/>
    <w:rsid w:val="0005231D"/>
    <w:rsid w:val="00052BD8"/>
    <w:rsid w:val="000557A5"/>
    <w:rsid w:val="000557F3"/>
    <w:rsid w:val="00062A3C"/>
    <w:rsid w:val="00062D0F"/>
    <w:rsid w:val="00072C4C"/>
    <w:rsid w:val="000830B0"/>
    <w:rsid w:val="000869EC"/>
    <w:rsid w:val="00086E8D"/>
    <w:rsid w:val="00092A7F"/>
    <w:rsid w:val="000946CE"/>
    <w:rsid w:val="00094FE4"/>
    <w:rsid w:val="00095099"/>
    <w:rsid w:val="000A1A63"/>
    <w:rsid w:val="000A1B1C"/>
    <w:rsid w:val="000A52B6"/>
    <w:rsid w:val="000B0292"/>
    <w:rsid w:val="000B0878"/>
    <w:rsid w:val="000B1929"/>
    <w:rsid w:val="000B30EE"/>
    <w:rsid w:val="000B3779"/>
    <w:rsid w:val="000B50A2"/>
    <w:rsid w:val="000B6738"/>
    <w:rsid w:val="000B7A30"/>
    <w:rsid w:val="000C5EA2"/>
    <w:rsid w:val="000D16DE"/>
    <w:rsid w:val="000D2119"/>
    <w:rsid w:val="000D2653"/>
    <w:rsid w:val="000D4072"/>
    <w:rsid w:val="000E0C21"/>
    <w:rsid w:val="000E27AA"/>
    <w:rsid w:val="000E3C94"/>
    <w:rsid w:val="000E73DE"/>
    <w:rsid w:val="000F152A"/>
    <w:rsid w:val="000F3DCB"/>
    <w:rsid w:val="000F51C6"/>
    <w:rsid w:val="000F521F"/>
    <w:rsid w:val="000F6E16"/>
    <w:rsid w:val="00100F67"/>
    <w:rsid w:val="00101154"/>
    <w:rsid w:val="00101B5E"/>
    <w:rsid w:val="00106678"/>
    <w:rsid w:val="0010704F"/>
    <w:rsid w:val="00112627"/>
    <w:rsid w:val="00114C0A"/>
    <w:rsid w:val="0011652E"/>
    <w:rsid w:val="00117A47"/>
    <w:rsid w:val="0012170C"/>
    <w:rsid w:val="00123761"/>
    <w:rsid w:val="00123C60"/>
    <w:rsid w:val="00125A45"/>
    <w:rsid w:val="00127BF3"/>
    <w:rsid w:val="00132FCE"/>
    <w:rsid w:val="00136383"/>
    <w:rsid w:val="00142143"/>
    <w:rsid w:val="00142910"/>
    <w:rsid w:val="00145A9E"/>
    <w:rsid w:val="00147383"/>
    <w:rsid w:val="0015101E"/>
    <w:rsid w:val="00151DBA"/>
    <w:rsid w:val="00153BDB"/>
    <w:rsid w:val="00162BC3"/>
    <w:rsid w:val="0016390A"/>
    <w:rsid w:val="001671B9"/>
    <w:rsid w:val="001716EF"/>
    <w:rsid w:val="001733E3"/>
    <w:rsid w:val="00174A40"/>
    <w:rsid w:val="00176284"/>
    <w:rsid w:val="00196F43"/>
    <w:rsid w:val="001A7BC8"/>
    <w:rsid w:val="001B4577"/>
    <w:rsid w:val="001C547A"/>
    <w:rsid w:val="001C7E71"/>
    <w:rsid w:val="001D1029"/>
    <w:rsid w:val="001D2608"/>
    <w:rsid w:val="001D4C85"/>
    <w:rsid w:val="001E1194"/>
    <w:rsid w:val="001E5C58"/>
    <w:rsid w:val="001F6035"/>
    <w:rsid w:val="002004E1"/>
    <w:rsid w:val="00202AAD"/>
    <w:rsid w:val="00203D3A"/>
    <w:rsid w:val="00211C46"/>
    <w:rsid w:val="00211F88"/>
    <w:rsid w:val="00212296"/>
    <w:rsid w:val="00212C0C"/>
    <w:rsid w:val="002173CD"/>
    <w:rsid w:val="00226463"/>
    <w:rsid w:val="002413B5"/>
    <w:rsid w:val="00242AFA"/>
    <w:rsid w:val="00243BA9"/>
    <w:rsid w:val="002502B0"/>
    <w:rsid w:val="002568AB"/>
    <w:rsid w:val="00261525"/>
    <w:rsid w:val="0026230F"/>
    <w:rsid w:val="00262437"/>
    <w:rsid w:val="0026377B"/>
    <w:rsid w:val="00266D30"/>
    <w:rsid w:val="00271886"/>
    <w:rsid w:val="00273773"/>
    <w:rsid w:val="002828F6"/>
    <w:rsid w:val="002864D6"/>
    <w:rsid w:val="00292246"/>
    <w:rsid w:val="00292A3E"/>
    <w:rsid w:val="002967C6"/>
    <w:rsid w:val="002978E6"/>
    <w:rsid w:val="002A053B"/>
    <w:rsid w:val="002A0A2A"/>
    <w:rsid w:val="002A27AB"/>
    <w:rsid w:val="002A37E6"/>
    <w:rsid w:val="002A6BD4"/>
    <w:rsid w:val="002B2C10"/>
    <w:rsid w:val="002C0A92"/>
    <w:rsid w:val="002C7B50"/>
    <w:rsid w:val="002D0B8B"/>
    <w:rsid w:val="002D1B17"/>
    <w:rsid w:val="002E3BCD"/>
    <w:rsid w:val="002E7370"/>
    <w:rsid w:val="002F02F5"/>
    <w:rsid w:val="002F17F3"/>
    <w:rsid w:val="00301D3F"/>
    <w:rsid w:val="00302793"/>
    <w:rsid w:val="0030373C"/>
    <w:rsid w:val="003057B8"/>
    <w:rsid w:val="0030630C"/>
    <w:rsid w:val="00320AF7"/>
    <w:rsid w:val="003211FC"/>
    <w:rsid w:val="00321B35"/>
    <w:rsid w:val="003323BE"/>
    <w:rsid w:val="00336304"/>
    <w:rsid w:val="00347032"/>
    <w:rsid w:val="0035143C"/>
    <w:rsid w:val="003541D2"/>
    <w:rsid w:val="00357381"/>
    <w:rsid w:val="00360FE8"/>
    <w:rsid w:val="00362787"/>
    <w:rsid w:val="003670CE"/>
    <w:rsid w:val="0037624D"/>
    <w:rsid w:val="00376B61"/>
    <w:rsid w:val="003A2626"/>
    <w:rsid w:val="003A3F2F"/>
    <w:rsid w:val="003A69B9"/>
    <w:rsid w:val="003B2142"/>
    <w:rsid w:val="003B7DD7"/>
    <w:rsid w:val="003C0BEA"/>
    <w:rsid w:val="003C1169"/>
    <w:rsid w:val="003C2795"/>
    <w:rsid w:val="003C4CC5"/>
    <w:rsid w:val="003C4F46"/>
    <w:rsid w:val="003C6BE7"/>
    <w:rsid w:val="003C7C20"/>
    <w:rsid w:val="003D0DA2"/>
    <w:rsid w:val="003D2AD8"/>
    <w:rsid w:val="003D3BC6"/>
    <w:rsid w:val="003D5434"/>
    <w:rsid w:val="003E28E5"/>
    <w:rsid w:val="003E53E3"/>
    <w:rsid w:val="003E787F"/>
    <w:rsid w:val="003E79F6"/>
    <w:rsid w:val="003F35B1"/>
    <w:rsid w:val="003F35E6"/>
    <w:rsid w:val="003F3BB1"/>
    <w:rsid w:val="003F7F00"/>
    <w:rsid w:val="004029AA"/>
    <w:rsid w:val="0041092A"/>
    <w:rsid w:val="004151BD"/>
    <w:rsid w:val="0043039B"/>
    <w:rsid w:val="0043085E"/>
    <w:rsid w:val="00441935"/>
    <w:rsid w:val="0044426E"/>
    <w:rsid w:val="00445631"/>
    <w:rsid w:val="00446337"/>
    <w:rsid w:val="00451832"/>
    <w:rsid w:val="004534B3"/>
    <w:rsid w:val="00457F10"/>
    <w:rsid w:val="00470648"/>
    <w:rsid w:val="00473B34"/>
    <w:rsid w:val="00474210"/>
    <w:rsid w:val="00482977"/>
    <w:rsid w:val="004B4EB7"/>
    <w:rsid w:val="004B6E6B"/>
    <w:rsid w:val="004B7A60"/>
    <w:rsid w:val="004C2528"/>
    <w:rsid w:val="004C31FF"/>
    <w:rsid w:val="004C32A2"/>
    <w:rsid w:val="004C41EA"/>
    <w:rsid w:val="004D0D27"/>
    <w:rsid w:val="004D3185"/>
    <w:rsid w:val="004D6178"/>
    <w:rsid w:val="004D7577"/>
    <w:rsid w:val="004E28D3"/>
    <w:rsid w:val="004E2ABC"/>
    <w:rsid w:val="004E4A89"/>
    <w:rsid w:val="004E57E7"/>
    <w:rsid w:val="004E63B4"/>
    <w:rsid w:val="004F0073"/>
    <w:rsid w:val="004F067E"/>
    <w:rsid w:val="004F17C9"/>
    <w:rsid w:val="004F1812"/>
    <w:rsid w:val="00500A66"/>
    <w:rsid w:val="0050158A"/>
    <w:rsid w:val="00503309"/>
    <w:rsid w:val="00504AB6"/>
    <w:rsid w:val="00512BB7"/>
    <w:rsid w:val="00512FBD"/>
    <w:rsid w:val="0051576A"/>
    <w:rsid w:val="005168CF"/>
    <w:rsid w:val="00525571"/>
    <w:rsid w:val="00525F5F"/>
    <w:rsid w:val="00534538"/>
    <w:rsid w:val="005428E4"/>
    <w:rsid w:val="005439D4"/>
    <w:rsid w:val="00546393"/>
    <w:rsid w:val="005534E7"/>
    <w:rsid w:val="00554CDC"/>
    <w:rsid w:val="00562EFE"/>
    <w:rsid w:val="005709EB"/>
    <w:rsid w:val="0057233D"/>
    <w:rsid w:val="00575784"/>
    <w:rsid w:val="005761A2"/>
    <w:rsid w:val="005846F2"/>
    <w:rsid w:val="0059076C"/>
    <w:rsid w:val="00593068"/>
    <w:rsid w:val="00594D99"/>
    <w:rsid w:val="005A3E13"/>
    <w:rsid w:val="005A593F"/>
    <w:rsid w:val="005B51F1"/>
    <w:rsid w:val="005C3544"/>
    <w:rsid w:val="005C39AD"/>
    <w:rsid w:val="005C65FF"/>
    <w:rsid w:val="005E4A5C"/>
    <w:rsid w:val="005E5B62"/>
    <w:rsid w:val="005F16AF"/>
    <w:rsid w:val="00600279"/>
    <w:rsid w:val="00604040"/>
    <w:rsid w:val="00606880"/>
    <w:rsid w:val="00610A2D"/>
    <w:rsid w:val="006145A3"/>
    <w:rsid w:val="006149E7"/>
    <w:rsid w:val="006156D8"/>
    <w:rsid w:val="00615853"/>
    <w:rsid w:val="0063212D"/>
    <w:rsid w:val="006418F2"/>
    <w:rsid w:val="00642BDD"/>
    <w:rsid w:val="00646017"/>
    <w:rsid w:val="0066255E"/>
    <w:rsid w:val="0066484C"/>
    <w:rsid w:val="00671A0C"/>
    <w:rsid w:val="00672602"/>
    <w:rsid w:val="00682B7C"/>
    <w:rsid w:val="00686607"/>
    <w:rsid w:val="0069000E"/>
    <w:rsid w:val="0069050E"/>
    <w:rsid w:val="006A0D6B"/>
    <w:rsid w:val="006A6081"/>
    <w:rsid w:val="006A726B"/>
    <w:rsid w:val="006B1F20"/>
    <w:rsid w:val="006B6142"/>
    <w:rsid w:val="006B6743"/>
    <w:rsid w:val="006C55BB"/>
    <w:rsid w:val="006D1A74"/>
    <w:rsid w:val="006D4E0D"/>
    <w:rsid w:val="006E004C"/>
    <w:rsid w:val="006E0DA9"/>
    <w:rsid w:val="006E11D6"/>
    <w:rsid w:val="006E2BBC"/>
    <w:rsid w:val="006E5834"/>
    <w:rsid w:val="006E728C"/>
    <w:rsid w:val="006F20CD"/>
    <w:rsid w:val="006F33AA"/>
    <w:rsid w:val="006F72E6"/>
    <w:rsid w:val="0070585E"/>
    <w:rsid w:val="0070598F"/>
    <w:rsid w:val="00712815"/>
    <w:rsid w:val="0071332A"/>
    <w:rsid w:val="00716621"/>
    <w:rsid w:val="0072106D"/>
    <w:rsid w:val="00722437"/>
    <w:rsid w:val="00723EA7"/>
    <w:rsid w:val="00724837"/>
    <w:rsid w:val="00733F53"/>
    <w:rsid w:val="00742FBE"/>
    <w:rsid w:val="00746EC2"/>
    <w:rsid w:val="007476AA"/>
    <w:rsid w:val="0075192B"/>
    <w:rsid w:val="0075410F"/>
    <w:rsid w:val="00757337"/>
    <w:rsid w:val="0075744F"/>
    <w:rsid w:val="007575D5"/>
    <w:rsid w:val="0076171B"/>
    <w:rsid w:val="007753EB"/>
    <w:rsid w:val="00784855"/>
    <w:rsid w:val="007860D9"/>
    <w:rsid w:val="00791461"/>
    <w:rsid w:val="007967F0"/>
    <w:rsid w:val="00797AC5"/>
    <w:rsid w:val="007A24FE"/>
    <w:rsid w:val="007A770F"/>
    <w:rsid w:val="007B1D2A"/>
    <w:rsid w:val="007B1EAB"/>
    <w:rsid w:val="007B4575"/>
    <w:rsid w:val="007C2329"/>
    <w:rsid w:val="007C431C"/>
    <w:rsid w:val="007C65D6"/>
    <w:rsid w:val="007C7EC6"/>
    <w:rsid w:val="007D5250"/>
    <w:rsid w:val="007D73D4"/>
    <w:rsid w:val="007E0E4B"/>
    <w:rsid w:val="007E3F90"/>
    <w:rsid w:val="00801113"/>
    <w:rsid w:val="0080705E"/>
    <w:rsid w:val="00810D5B"/>
    <w:rsid w:val="00810F99"/>
    <w:rsid w:val="00811067"/>
    <w:rsid w:val="00812941"/>
    <w:rsid w:val="00814842"/>
    <w:rsid w:val="00817DE0"/>
    <w:rsid w:val="008204F5"/>
    <w:rsid w:val="008258A1"/>
    <w:rsid w:val="008279D6"/>
    <w:rsid w:val="00827C05"/>
    <w:rsid w:val="00830D44"/>
    <w:rsid w:val="008328AD"/>
    <w:rsid w:val="00836A3B"/>
    <w:rsid w:val="00840635"/>
    <w:rsid w:val="00841A6A"/>
    <w:rsid w:val="0084752F"/>
    <w:rsid w:val="008505D1"/>
    <w:rsid w:val="00850D92"/>
    <w:rsid w:val="008514EA"/>
    <w:rsid w:val="008546FF"/>
    <w:rsid w:val="00854805"/>
    <w:rsid w:val="008632EC"/>
    <w:rsid w:val="00870A48"/>
    <w:rsid w:val="00870FB0"/>
    <w:rsid w:val="008845CB"/>
    <w:rsid w:val="008859C5"/>
    <w:rsid w:val="008865B0"/>
    <w:rsid w:val="0088709A"/>
    <w:rsid w:val="008920BA"/>
    <w:rsid w:val="00893176"/>
    <w:rsid w:val="008A7FA1"/>
    <w:rsid w:val="008B5A3A"/>
    <w:rsid w:val="008C101E"/>
    <w:rsid w:val="008C1EEC"/>
    <w:rsid w:val="008C465F"/>
    <w:rsid w:val="008C6ABE"/>
    <w:rsid w:val="008C6B9B"/>
    <w:rsid w:val="008D1172"/>
    <w:rsid w:val="008D2947"/>
    <w:rsid w:val="008D59A4"/>
    <w:rsid w:val="008E1FFF"/>
    <w:rsid w:val="008E336A"/>
    <w:rsid w:val="008E56B5"/>
    <w:rsid w:val="008F1297"/>
    <w:rsid w:val="008F2B83"/>
    <w:rsid w:val="008F67F1"/>
    <w:rsid w:val="0090364E"/>
    <w:rsid w:val="009041E9"/>
    <w:rsid w:val="00905A71"/>
    <w:rsid w:val="00907949"/>
    <w:rsid w:val="00910FCE"/>
    <w:rsid w:val="0093101D"/>
    <w:rsid w:val="00933FAD"/>
    <w:rsid w:val="00935FDD"/>
    <w:rsid w:val="00946757"/>
    <w:rsid w:val="00957D8B"/>
    <w:rsid w:val="009659F5"/>
    <w:rsid w:val="009670B6"/>
    <w:rsid w:val="00973E31"/>
    <w:rsid w:val="00983FD3"/>
    <w:rsid w:val="009A185F"/>
    <w:rsid w:val="009A1989"/>
    <w:rsid w:val="009A23D7"/>
    <w:rsid w:val="009A246A"/>
    <w:rsid w:val="009B6F2F"/>
    <w:rsid w:val="009B70A6"/>
    <w:rsid w:val="009C421E"/>
    <w:rsid w:val="009D4548"/>
    <w:rsid w:val="009E235E"/>
    <w:rsid w:val="009E3AC4"/>
    <w:rsid w:val="00A0532F"/>
    <w:rsid w:val="00A120EF"/>
    <w:rsid w:val="00A25727"/>
    <w:rsid w:val="00A32A67"/>
    <w:rsid w:val="00A3579B"/>
    <w:rsid w:val="00A35900"/>
    <w:rsid w:val="00A45EB5"/>
    <w:rsid w:val="00A5506E"/>
    <w:rsid w:val="00A66CF6"/>
    <w:rsid w:val="00A724C6"/>
    <w:rsid w:val="00AA30D6"/>
    <w:rsid w:val="00AA6584"/>
    <w:rsid w:val="00AB0F74"/>
    <w:rsid w:val="00AB3339"/>
    <w:rsid w:val="00AB6EDA"/>
    <w:rsid w:val="00AB71CA"/>
    <w:rsid w:val="00AC0348"/>
    <w:rsid w:val="00AC29A0"/>
    <w:rsid w:val="00AC6456"/>
    <w:rsid w:val="00AD026C"/>
    <w:rsid w:val="00AD0560"/>
    <w:rsid w:val="00AD4A8B"/>
    <w:rsid w:val="00AD5976"/>
    <w:rsid w:val="00AE4404"/>
    <w:rsid w:val="00AF260E"/>
    <w:rsid w:val="00AF3EEB"/>
    <w:rsid w:val="00B110E8"/>
    <w:rsid w:val="00B13765"/>
    <w:rsid w:val="00B173BC"/>
    <w:rsid w:val="00B221A4"/>
    <w:rsid w:val="00B22236"/>
    <w:rsid w:val="00B26B25"/>
    <w:rsid w:val="00B27962"/>
    <w:rsid w:val="00B31B43"/>
    <w:rsid w:val="00B328C2"/>
    <w:rsid w:val="00B3408D"/>
    <w:rsid w:val="00B36958"/>
    <w:rsid w:val="00B4416C"/>
    <w:rsid w:val="00B50BD1"/>
    <w:rsid w:val="00B52059"/>
    <w:rsid w:val="00B52328"/>
    <w:rsid w:val="00B52542"/>
    <w:rsid w:val="00B53B65"/>
    <w:rsid w:val="00B61A4F"/>
    <w:rsid w:val="00B64A50"/>
    <w:rsid w:val="00B67D03"/>
    <w:rsid w:val="00B76C2C"/>
    <w:rsid w:val="00B82B67"/>
    <w:rsid w:val="00B832DE"/>
    <w:rsid w:val="00B83EE0"/>
    <w:rsid w:val="00B84A8E"/>
    <w:rsid w:val="00B95341"/>
    <w:rsid w:val="00B957A9"/>
    <w:rsid w:val="00BA1049"/>
    <w:rsid w:val="00BA5251"/>
    <w:rsid w:val="00BB3CB7"/>
    <w:rsid w:val="00BB415A"/>
    <w:rsid w:val="00BC349F"/>
    <w:rsid w:val="00BD5C11"/>
    <w:rsid w:val="00BE5C71"/>
    <w:rsid w:val="00BF2763"/>
    <w:rsid w:val="00BF2ED9"/>
    <w:rsid w:val="00BF2F91"/>
    <w:rsid w:val="00C01608"/>
    <w:rsid w:val="00C07D8B"/>
    <w:rsid w:val="00C13567"/>
    <w:rsid w:val="00C20946"/>
    <w:rsid w:val="00C27490"/>
    <w:rsid w:val="00C31574"/>
    <w:rsid w:val="00C37E34"/>
    <w:rsid w:val="00C53848"/>
    <w:rsid w:val="00C67A2D"/>
    <w:rsid w:val="00C74F49"/>
    <w:rsid w:val="00C76372"/>
    <w:rsid w:val="00C8775C"/>
    <w:rsid w:val="00C91331"/>
    <w:rsid w:val="00C91A8C"/>
    <w:rsid w:val="00C94B47"/>
    <w:rsid w:val="00CA5686"/>
    <w:rsid w:val="00CA6F5A"/>
    <w:rsid w:val="00CB0822"/>
    <w:rsid w:val="00CB5A70"/>
    <w:rsid w:val="00CC3F64"/>
    <w:rsid w:val="00CD2C95"/>
    <w:rsid w:val="00CD59FB"/>
    <w:rsid w:val="00CD7231"/>
    <w:rsid w:val="00CE762D"/>
    <w:rsid w:val="00CF0350"/>
    <w:rsid w:val="00CF32E2"/>
    <w:rsid w:val="00CF33DD"/>
    <w:rsid w:val="00CF363B"/>
    <w:rsid w:val="00D01139"/>
    <w:rsid w:val="00D152DB"/>
    <w:rsid w:val="00D34B70"/>
    <w:rsid w:val="00D362A6"/>
    <w:rsid w:val="00D444B9"/>
    <w:rsid w:val="00D4657E"/>
    <w:rsid w:val="00D55456"/>
    <w:rsid w:val="00D64CA2"/>
    <w:rsid w:val="00D65506"/>
    <w:rsid w:val="00D7074D"/>
    <w:rsid w:val="00D75EAD"/>
    <w:rsid w:val="00D8220C"/>
    <w:rsid w:val="00D84B73"/>
    <w:rsid w:val="00D9486D"/>
    <w:rsid w:val="00D97E31"/>
    <w:rsid w:val="00DA6F20"/>
    <w:rsid w:val="00DA7936"/>
    <w:rsid w:val="00DB179C"/>
    <w:rsid w:val="00DB7860"/>
    <w:rsid w:val="00DC14FA"/>
    <w:rsid w:val="00DC351C"/>
    <w:rsid w:val="00DC58FB"/>
    <w:rsid w:val="00DC5A45"/>
    <w:rsid w:val="00DC7B0E"/>
    <w:rsid w:val="00DD1389"/>
    <w:rsid w:val="00DD7DBE"/>
    <w:rsid w:val="00DE466B"/>
    <w:rsid w:val="00DF2FC4"/>
    <w:rsid w:val="00DF6766"/>
    <w:rsid w:val="00E055CC"/>
    <w:rsid w:val="00E07190"/>
    <w:rsid w:val="00E10140"/>
    <w:rsid w:val="00E152E2"/>
    <w:rsid w:val="00E32FED"/>
    <w:rsid w:val="00E33EB4"/>
    <w:rsid w:val="00E353D2"/>
    <w:rsid w:val="00E35FAA"/>
    <w:rsid w:val="00E37FB6"/>
    <w:rsid w:val="00E4508A"/>
    <w:rsid w:val="00E4561F"/>
    <w:rsid w:val="00E45982"/>
    <w:rsid w:val="00E51958"/>
    <w:rsid w:val="00E555C7"/>
    <w:rsid w:val="00E63A38"/>
    <w:rsid w:val="00E63B23"/>
    <w:rsid w:val="00E64EB8"/>
    <w:rsid w:val="00E739BE"/>
    <w:rsid w:val="00E75C8B"/>
    <w:rsid w:val="00E90361"/>
    <w:rsid w:val="00E91552"/>
    <w:rsid w:val="00EA0245"/>
    <w:rsid w:val="00EA2A88"/>
    <w:rsid w:val="00EA3076"/>
    <w:rsid w:val="00EA3395"/>
    <w:rsid w:val="00EA3AEB"/>
    <w:rsid w:val="00EA5BC2"/>
    <w:rsid w:val="00EB0E16"/>
    <w:rsid w:val="00EB58DF"/>
    <w:rsid w:val="00EC1996"/>
    <w:rsid w:val="00EC4B28"/>
    <w:rsid w:val="00EC6AEE"/>
    <w:rsid w:val="00ED00F8"/>
    <w:rsid w:val="00EE3821"/>
    <w:rsid w:val="00EF3F9D"/>
    <w:rsid w:val="00EF5AAB"/>
    <w:rsid w:val="00EF7DFB"/>
    <w:rsid w:val="00F0086C"/>
    <w:rsid w:val="00F05545"/>
    <w:rsid w:val="00F111C3"/>
    <w:rsid w:val="00F1169D"/>
    <w:rsid w:val="00F12BDA"/>
    <w:rsid w:val="00F17CA0"/>
    <w:rsid w:val="00F2121F"/>
    <w:rsid w:val="00F26433"/>
    <w:rsid w:val="00F314BB"/>
    <w:rsid w:val="00F34B23"/>
    <w:rsid w:val="00F35C0E"/>
    <w:rsid w:val="00F37F73"/>
    <w:rsid w:val="00F43F19"/>
    <w:rsid w:val="00F50847"/>
    <w:rsid w:val="00F508C4"/>
    <w:rsid w:val="00F52935"/>
    <w:rsid w:val="00F5300D"/>
    <w:rsid w:val="00F534DA"/>
    <w:rsid w:val="00F57B45"/>
    <w:rsid w:val="00F63DC0"/>
    <w:rsid w:val="00F6500D"/>
    <w:rsid w:val="00F705E0"/>
    <w:rsid w:val="00F70B1C"/>
    <w:rsid w:val="00F75685"/>
    <w:rsid w:val="00F7716B"/>
    <w:rsid w:val="00F86C58"/>
    <w:rsid w:val="00F93082"/>
    <w:rsid w:val="00F96A61"/>
    <w:rsid w:val="00FA08C1"/>
    <w:rsid w:val="00FA0E6B"/>
    <w:rsid w:val="00FA1210"/>
    <w:rsid w:val="00FA2997"/>
    <w:rsid w:val="00FB628B"/>
    <w:rsid w:val="00FC666E"/>
    <w:rsid w:val="00FC66AB"/>
    <w:rsid w:val="00FC6BE4"/>
    <w:rsid w:val="00FD290B"/>
    <w:rsid w:val="00FD2B58"/>
    <w:rsid w:val="00FD54CE"/>
    <w:rsid w:val="00FD752F"/>
    <w:rsid w:val="00FD7CD2"/>
    <w:rsid w:val="00FE3018"/>
    <w:rsid w:val="00FF143D"/>
    <w:rsid w:val="00FF2053"/>
    <w:rsid w:val="00FF4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86470"/>
  <w15:chartTrackingRefBased/>
  <w15:docId w15:val="{BA6DC9D0-EA30-415A-9900-B5CA80A8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E6B"/>
  </w:style>
  <w:style w:type="paragraph" w:styleId="Heading1">
    <w:name w:val="heading 1"/>
    <w:basedOn w:val="Normal"/>
    <w:next w:val="Normal"/>
    <w:link w:val="Heading1Char"/>
    <w:uiPriority w:val="9"/>
    <w:qFormat/>
    <w:rsid w:val="00B523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2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23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3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3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3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23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23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3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3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328"/>
    <w:rPr>
      <w:rFonts w:eastAsiaTheme="majorEastAsia" w:cstheme="majorBidi"/>
      <w:color w:val="272727" w:themeColor="text1" w:themeTint="D8"/>
    </w:rPr>
  </w:style>
  <w:style w:type="paragraph" w:styleId="Title">
    <w:name w:val="Title"/>
    <w:basedOn w:val="Normal"/>
    <w:next w:val="Normal"/>
    <w:link w:val="TitleChar"/>
    <w:uiPriority w:val="10"/>
    <w:qFormat/>
    <w:rsid w:val="00B52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328"/>
    <w:pPr>
      <w:spacing w:before="160"/>
      <w:jc w:val="center"/>
    </w:pPr>
    <w:rPr>
      <w:i/>
      <w:iCs/>
      <w:color w:val="404040" w:themeColor="text1" w:themeTint="BF"/>
    </w:rPr>
  </w:style>
  <w:style w:type="character" w:customStyle="1" w:styleId="QuoteChar">
    <w:name w:val="Quote Char"/>
    <w:basedOn w:val="DefaultParagraphFont"/>
    <w:link w:val="Quote"/>
    <w:uiPriority w:val="29"/>
    <w:rsid w:val="00B52328"/>
    <w:rPr>
      <w:i/>
      <w:iCs/>
      <w:color w:val="404040" w:themeColor="text1" w:themeTint="BF"/>
    </w:rPr>
  </w:style>
  <w:style w:type="paragraph" w:styleId="ListParagraph">
    <w:name w:val="List Paragraph"/>
    <w:basedOn w:val="Normal"/>
    <w:uiPriority w:val="34"/>
    <w:qFormat/>
    <w:rsid w:val="00B52328"/>
    <w:pPr>
      <w:ind w:left="720"/>
      <w:contextualSpacing/>
    </w:pPr>
  </w:style>
  <w:style w:type="character" w:styleId="IntenseEmphasis">
    <w:name w:val="Intense Emphasis"/>
    <w:basedOn w:val="DefaultParagraphFont"/>
    <w:uiPriority w:val="21"/>
    <w:qFormat/>
    <w:rsid w:val="00B52328"/>
    <w:rPr>
      <w:i/>
      <w:iCs/>
      <w:color w:val="0F4761" w:themeColor="accent1" w:themeShade="BF"/>
    </w:rPr>
  </w:style>
  <w:style w:type="paragraph" w:styleId="IntenseQuote">
    <w:name w:val="Intense Quote"/>
    <w:basedOn w:val="Normal"/>
    <w:next w:val="Normal"/>
    <w:link w:val="IntenseQuoteChar"/>
    <w:uiPriority w:val="30"/>
    <w:qFormat/>
    <w:rsid w:val="00B52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328"/>
    <w:rPr>
      <w:i/>
      <w:iCs/>
      <w:color w:val="0F4761" w:themeColor="accent1" w:themeShade="BF"/>
    </w:rPr>
  </w:style>
  <w:style w:type="character" w:styleId="IntenseReference">
    <w:name w:val="Intense Reference"/>
    <w:basedOn w:val="DefaultParagraphFont"/>
    <w:uiPriority w:val="32"/>
    <w:qFormat/>
    <w:rsid w:val="00B52328"/>
    <w:rPr>
      <w:b/>
      <w:bCs/>
      <w:smallCaps/>
      <w:color w:val="0F4761" w:themeColor="accent1" w:themeShade="BF"/>
      <w:spacing w:val="5"/>
    </w:rPr>
  </w:style>
  <w:style w:type="paragraph" w:styleId="Caption">
    <w:name w:val="caption"/>
    <w:basedOn w:val="Normal"/>
    <w:next w:val="Normal"/>
    <w:uiPriority w:val="35"/>
    <w:unhideWhenUsed/>
    <w:qFormat/>
    <w:rsid w:val="00503309"/>
    <w:pPr>
      <w:spacing w:after="200" w:line="240" w:lineRule="auto"/>
    </w:pPr>
    <w:rPr>
      <w:i/>
      <w:iCs/>
      <w:color w:val="0E2841" w:themeColor="text2"/>
      <w:sz w:val="18"/>
      <w:szCs w:val="18"/>
    </w:rPr>
  </w:style>
  <w:style w:type="character" w:styleId="Hyperlink">
    <w:name w:val="Hyperlink"/>
    <w:basedOn w:val="DefaultParagraphFont"/>
    <w:uiPriority w:val="99"/>
    <w:unhideWhenUsed/>
    <w:rsid w:val="00A45EB5"/>
    <w:rPr>
      <w:color w:val="467886" w:themeColor="hyperlink"/>
      <w:u w:val="single"/>
    </w:rPr>
  </w:style>
  <w:style w:type="paragraph" w:styleId="Header">
    <w:name w:val="header"/>
    <w:basedOn w:val="Normal"/>
    <w:link w:val="HeaderChar"/>
    <w:uiPriority w:val="99"/>
    <w:unhideWhenUsed/>
    <w:rsid w:val="004C31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1FF"/>
  </w:style>
  <w:style w:type="paragraph" w:styleId="Footer">
    <w:name w:val="footer"/>
    <w:basedOn w:val="Normal"/>
    <w:link w:val="FooterChar"/>
    <w:uiPriority w:val="99"/>
    <w:unhideWhenUsed/>
    <w:rsid w:val="004C31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1FF"/>
  </w:style>
  <w:style w:type="paragraph" w:styleId="TOCHeading">
    <w:name w:val="TOC Heading"/>
    <w:basedOn w:val="Heading1"/>
    <w:next w:val="Normal"/>
    <w:uiPriority w:val="39"/>
    <w:unhideWhenUsed/>
    <w:qFormat/>
    <w:rsid w:val="00E4598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45982"/>
    <w:pPr>
      <w:spacing w:after="100"/>
    </w:pPr>
  </w:style>
  <w:style w:type="paragraph" w:styleId="TOC2">
    <w:name w:val="toc 2"/>
    <w:basedOn w:val="Normal"/>
    <w:next w:val="Normal"/>
    <w:autoRedefine/>
    <w:uiPriority w:val="39"/>
    <w:unhideWhenUsed/>
    <w:rsid w:val="00E45982"/>
    <w:pPr>
      <w:spacing w:after="100"/>
      <w:ind w:left="220"/>
    </w:pPr>
  </w:style>
  <w:style w:type="paragraph" w:styleId="TOC3">
    <w:name w:val="toc 3"/>
    <w:basedOn w:val="Normal"/>
    <w:next w:val="Normal"/>
    <w:autoRedefine/>
    <w:uiPriority w:val="39"/>
    <w:unhideWhenUsed/>
    <w:rsid w:val="00E4598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hyperlink" Target="https://doi.org/10.3389/fdgth.2025.1691142"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hyperlink" Target="https://doi./10.1186/s40537-025-01288-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png"/><Relationship Id="rId29" Type="http://schemas.openxmlformats.org/officeDocument/2006/relationships/hyperlink" Target="https://doi.org/10.32628/cseit2511123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30574/wjarr.2024.24.2.341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doi.org/10.1002/cpt.70075" TargetMode="External"/><Relationship Id="rId28" Type="http://schemas.openxmlformats.org/officeDocument/2006/relationships/hyperlink" Target="https://doi.org./10.4018/ijcac.297098" TargetMode="External"/><Relationship Id="rId10" Type="http://schemas.openxmlformats.org/officeDocument/2006/relationships/image" Target="media/image3.jpeg"/><Relationship Id="rId19" Type="http://schemas.openxmlformats.org/officeDocument/2006/relationships/image" Target="media/image7.em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hyperlink" Target="https://doi.org/10.1080/17517575.2020.1812005" TargetMode="External"/><Relationship Id="rId27" Type="http://schemas.openxmlformats.org/officeDocument/2006/relationships/hyperlink" Target="https://doi.org/10.36948/ijfmr.2024.v06i06.29886" TargetMode="External"/><Relationship Id="rId30" Type="http://schemas.openxmlformats.org/officeDocument/2006/relationships/hyperlink" Target="https://doi.org/10.1016/j.imu.2023.101270" TargetMode="Externa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0A6AC2-6A6B-4795-9548-A25017DB0AB6}"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3B9DFE2F-2EBA-4B10-B331-7B599BD7B2B1}">
      <dgm:prSet phldrT="[Text]" custT="1"/>
      <dgm:spPr>
        <a:solidFill>
          <a:schemeClr val="bg2"/>
        </a:solidFill>
        <a:ln>
          <a:solidFill>
            <a:schemeClr val="bg1">
              <a:lumMod val="50000"/>
            </a:schemeClr>
          </a:solidFill>
        </a:ln>
      </dgm:spPr>
      <dgm:t>
        <a:bodyPr/>
        <a:lstStyle/>
        <a:p>
          <a:r>
            <a:rPr lang="en-GB" sz="800">
              <a:solidFill>
                <a:schemeClr val="tx1"/>
              </a:solidFill>
            </a:rPr>
            <a:t>FACT_PATIENT_ACTIVITY</a:t>
          </a:r>
        </a:p>
        <a:p>
          <a:r>
            <a:rPr lang="en-GB" sz="800">
              <a:solidFill>
                <a:schemeClr val="tx1"/>
              </a:solidFill>
            </a:rPr>
            <a:t>ActivityKey (PK)</a:t>
          </a:r>
        </a:p>
        <a:p>
          <a:r>
            <a:rPr lang="en-GB" sz="800">
              <a:solidFill>
                <a:schemeClr val="tx1"/>
              </a:solidFill>
            </a:rPr>
            <a:t>DateKey (FK)</a:t>
          </a:r>
        </a:p>
        <a:p>
          <a:r>
            <a:rPr lang="en-GB" sz="800">
              <a:solidFill>
                <a:schemeClr val="tx1"/>
              </a:solidFill>
            </a:rPr>
            <a:t>PatientKey (FK)</a:t>
          </a:r>
        </a:p>
        <a:p>
          <a:r>
            <a:rPr lang="en-GB" sz="800">
              <a:solidFill>
                <a:schemeClr val="tx1"/>
              </a:solidFill>
            </a:rPr>
            <a:t>ProviderKey (FK)</a:t>
          </a:r>
        </a:p>
        <a:p>
          <a:r>
            <a:rPr lang="en-GB" sz="800">
              <a:solidFill>
                <a:schemeClr val="tx1"/>
              </a:solidFill>
            </a:rPr>
            <a:t>TreatmentKey (FK)</a:t>
          </a:r>
        </a:p>
        <a:p>
          <a:r>
            <a:rPr lang="en-GB" sz="800">
              <a:solidFill>
                <a:schemeClr val="tx1"/>
              </a:solidFill>
            </a:rPr>
            <a:t>Admissions</a:t>
          </a:r>
        </a:p>
        <a:p>
          <a:r>
            <a:rPr lang="en-GB" sz="800">
              <a:solidFill>
                <a:schemeClr val="tx1"/>
              </a:solidFill>
            </a:rPr>
            <a:t>LengthOfStay</a:t>
          </a:r>
        </a:p>
        <a:p>
          <a:r>
            <a:rPr lang="en-GB" sz="800">
              <a:solidFill>
                <a:schemeClr val="tx1"/>
              </a:solidFill>
            </a:rPr>
            <a:t>BedDaysUsed</a:t>
          </a:r>
        </a:p>
        <a:p>
          <a:r>
            <a:rPr lang="en-GB" sz="800">
              <a:solidFill>
                <a:schemeClr val="tx1"/>
              </a:solidFill>
            </a:rPr>
            <a:t>TreatmentCost</a:t>
          </a:r>
        </a:p>
        <a:p>
          <a:r>
            <a:rPr lang="en-GB" sz="800">
              <a:solidFill>
                <a:schemeClr val="tx1"/>
              </a:solidFill>
            </a:rPr>
            <a:t>RTTWaitingDays</a:t>
          </a:r>
        </a:p>
        <a:p>
          <a:endParaRPr lang="en-GB" sz="1200">
            <a:solidFill>
              <a:schemeClr val="tx1"/>
            </a:solidFill>
          </a:endParaRPr>
        </a:p>
        <a:p>
          <a:endParaRPr lang="en-GB" sz="1200">
            <a:solidFill>
              <a:schemeClr val="tx1"/>
            </a:solidFill>
          </a:endParaRPr>
        </a:p>
      </dgm:t>
    </dgm:pt>
    <dgm:pt modelId="{60D0B0B6-184B-4C1F-A087-BBDA66DAE1CE}" type="parTrans" cxnId="{19B9A4DA-C968-443E-BEF8-38C171EA8874}">
      <dgm:prSet/>
      <dgm:spPr/>
      <dgm:t>
        <a:bodyPr/>
        <a:lstStyle/>
        <a:p>
          <a:endParaRPr lang="en-GB"/>
        </a:p>
      </dgm:t>
    </dgm:pt>
    <dgm:pt modelId="{95A4165B-9E15-44F6-8401-5F45846D6B54}" type="sibTrans" cxnId="{19B9A4DA-C968-443E-BEF8-38C171EA8874}">
      <dgm:prSet/>
      <dgm:spPr/>
      <dgm:t>
        <a:bodyPr/>
        <a:lstStyle/>
        <a:p>
          <a:endParaRPr lang="en-GB"/>
        </a:p>
      </dgm:t>
    </dgm:pt>
    <dgm:pt modelId="{8E12529A-AEC1-4F19-BA09-1C12FF423F6F}">
      <dgm:prSet phldrT="[Text]" custT="1"/>
      <dgm:spPr>
        <a:solidFill>
          <a:schemeClr val="bg2"/>
        </a:solidFill>
        <a:ln>
          <a:solidFill>
            <a:schemeClr val="bg1">
              <a:lumMod val="50000"/>
            </a:schemeClr>
          </a:solidFill>
        </a:ln>
      </dgm:spPr>
      <dgm:t>
        <a:bodyPr/>
        <a:lstStyle/>
        <a:p>
          <a:r>
            <a:rPr lang="en-GB" sz="800">
              <a:solidFill>
                <a:schemeClr val="tx1"/>
              </a:solidFill>
            </a:rPr>
            <a:t>DIM_TREATMENT</a:t>
          </a:r>
        </a:p>
        <a:p>
          <a:r>
            <a:rPr lang="en-GB" sz="800">
              <a:solidFill>
                <a:schemeClr val="tx1"/>
              </a:solidFill>
            </a:rPr>
            <a:t>TreatmentKey (PK)</a:t>
          </a:r>
        </a:p>
        <a:p>
          <a:r>
            <a:rPr lang="en-GB" sz="800">
              <a:solidFill>
                <a:schemeClr val="tx1"/>
              </a:solidFill>
            </a:rPr>
            <a:t>ICO10Code</a:t>
          </a:r>
        </a:p>
        <a:p>
          <a:r>
            <a:rPr lang="en-GB" sz="800">
              <a:solidFill>
                <a:schemeClr val="tx1"/>
              </a:solidFill>
            </a:rPr>
            <a:t>ProcedureCode</a:t>
          </a:r>
        </a:p>
        <a:p>
          <a:r>
            <a:rPr lang="en-GB" sz="800">
              <a:solidFill>
                <a:schemeClr val="tx1"/>
              </a:solidFill>
            </a:rPr>
            <a:t>SpecialityCode</a:t>
          </a:r>
        </a:p>
        <a:p>
          <a:r>
            <a:rPr lang="en-GB" sz="800">
              <a:solidFill>
                <a:schemeClr val="tx1"/>
              </a:solidFill>
            </a:rPr>
            <a:t>CarePathway</a:t>
          </a:r>
        </a:p>
      </dgm:t>
    </dgm:pt>
    <dgm:pt modelId="{28D031DD-DB1D-4EA4-9B10-AF040405854D}" type="parTrans" cxnId="{10CE09F8-65A5-443F-A73A-F6BCEE4DBEBD}">
      <dgm:prSet/>
      <dgm:spPr/>
      <dgm:t>
        <a:bodyPr/>
        <a:lstStyle/>
        <a:p>
          <a:endParaRPr lang="en-GB"/>
        </a:p>
      </dgm:t>
    </dgm:pt>
    <dgm:pt modelId="{57D9ECE3-44B7-47FC-91BB-F670D32532D7}" type="sibTrans" cxnId="{10CE09F8-65A5-443F-A73A-F6BCEE4DBEBD}">
      <dgm:prSet/>
      <dgm:spPr/>
      <dgm:t>
        <a:bodyPr/>
        <a:lstStyle/>
        <a:p>
          <a:endParaRPr lang="en-GB"/>
        </a:p>
      </dgm:t>
    </dgm:pt>
    <dgm:pt modelId="{32498F1D-FDC4-44AB-BCB8-0D414762DEA4}">
      <dgm:prSet phldrT="[Text]" custT="1"/>
      <dgm:spPr>
        <a:solidFill>
          <a:schemeClr val="bg2"/>
        </a:solidFill>
        <a:ln>
          <a:solidFill>
            <a:schemeClr val="bg1">
              <a:lumMod val="50000"/>
            </a:schemeClr>
          </a:solidFill>
        </a:ln>
      </dgm:spPr>
      <dgm:t>
        <a:bodyPr/>
        <a:lstStyle/>
        <a:p>
          <a:r>
            <a:rPr lang="en-GB" sz="800">
              <a:solidFill>
                <a:schemeClr val="tx1"/>
              </a:solidFill>
            </a:rPr>
            <a:t>DIM_PATIENT </a:t>
          </a:r>
        </a:p>
        <a:p>
          <a:r>
            <a:rPr lang="en-GB" sz="800">
              <a:solidFill>
                <a:schemeClr val="tx1"/>
              </a:solidFill>
            </a:rPr>
            <a:t>PatientKey (PK)</a:t>
          </a:r>
        </a:p>
        <a:p>
          <a:r>
            <a:rPr lang="en-GB" sz="800">
              <a:solidFill>
                <a:schemeClr val="tx1"/>
              </a:solidFill>
            </a:rPr>
            <a:t>AgeBand</a:t>
          </a:r>
        </a:p>
        <a:p>
          <a:r>
            <a:rPr lang="en-GB" sz="800">
              <a:solidFill>
                <a:schemeClr val="tx1"/>
              </a:solidFill>
            </a:rPr>
            <a:t>Sex</a:t>
          </a:r>
        </a:p>
        <a:p>
          <a:r>
            <a:rPr lang="en-GB" sz="800">
              <a:solidFill>
                <a:schemeClr val="tx1"/>
              </a:solidFill>
            </a:rPr>
            <a:t>EthnicityPostCodeArea</a:t>
          </a:r>
        </a:p>
      </dgm:t>
    </dgm:pt>
    <dgm:pt modelId="{EAB7BA21-84A6-4191-BFDE-56DE8F6CECA5}" type="parTrans" cxnId="{1D34D7E0-7841-43E8-98CB-1A9C998DB42A}">
      <dgm:prSet/>
      <dgm:spPr/>
      <dgm:t>
        <a:bodyPr/>
        <a:lstStyle/>
        <a:p>
          <a:endParaRPr lang="en-GB"/>
        </a:p>
      </dgm:t>
    </dgm:pt>
    <dgm:pt modelId="{68C622E0-A2D9-4658-B95A-A8FB24F96B43}" type="sibTrans" cxnId="{1D34D7E0-7841-43E8-98CB-1A9C998DB42A}">
      <dgm:prSet/>
      <dgm:spPr/>
      <dgm:t>
        <a:bodyPr/>
        <a:lstStyle/>
        <a:p>
          <a:endParaRPr lang="en-GB"/>
        </a:p>
      </dgm:t>
    </dgm:pt>
    <dgm:pt modelId="{DA5B0C10-A675-4DFE-A7D1-C3587F11392F}">
      <dgm:prSet phldrT="[Text]" custT="1"/>
      <dgm:spPr>
        <a:solidFill>
          <a:schemeClr val="bg2"/>
        </a:solidFill>
        <a:ln>
          <a:solidFill>
            <a:schemeClr val="bg1">
              <a:lumMod val="50000"/>
            </a:schemeClr>
          </a:solidFill>
        </a:ln>
      </dgm:spPr>
      <dgm:t>
        <a:bodyPr/>
        <a:lstStyle/>
        <a:p>
          <a:r>
            <a:rPr lang="en-GB" sz="800">
              <a:solidFill>
                <a:schemeClr val="tx1"/>
              </a:solidFill>
            </a:rPr>
            <a:t>DIM_PROVIDER</a:t>
          </a:r>
        </a:p>
        <a:p>
          <a:r>
            <a:rPr lang="en-GB" sz="800">
              <a:solidFill>
                <a:schemeClr val="tx1"/>
              </a:solidFill>
            </a:rPr>
            <a:t>ProviderKey (PK)</a:t>
          </a:r>
        </a:p>
        <a:p>
          <a:r>
            <a:rPr lang="en-GB" sz="800">
              <a:solidFill>
                <a:schemeClr val="tx1"/>
              </a:solidFill>
            </a:rPr>
            <a:t>NHS Trust</a:t>
          </a:r>
        </a:p>
        <a:p>
          <a:r>
            <a:rPr lang="en-GB" sz="800">
              <a:solidFill>
                <a:schemeClr val="tx1"/>
              </a:solidFill>
            </a:rPr>
            <a:t>ICS Region</a:t>
          </a:r>
        </a:p>
        <a:p>
          <a:r>
            <a:rPr lang="en-GB" sz="800">
              <a:solidFill>
                <a:schemeClr val="tx1"/>
              </a:solidFill>
            </a:rPr>
            <a:t>ProviderType</a:t>
          </a:r>
        </a:p>
        <a:p>
          <a:r>
            <a:rPr lang="en-GB" sz="800">
              <a:solidFill>
                <a:schemeClr val="tx1"/>
              </a:solidFill>
            </a:rPr>
            <a:t>Location</a:t>
          </a:r>
        </a:p>
      </dgm:t>
    </dgm:pt>
    <dgm:pt modelId="{33DD45A0-95E6-42A8-9FF8-49B9299C5AB3}" type="parTrans" cxnId="{FA4FD263-B296-4035-88D5-6E14B60BDFE1}">
      <dgm:prSet/>
      <dgm:spPr/>
      <dgm:t>
        <a:bodyPr/>
        <a:lstStyle/>
        <a:p>
          <a:endParaRPr lang="en-GB"/>
        </a:p>
      </dgm:t>
    </dgm:pt>
    <dgm:pt modelId="{E0BE8E1D-B36B-4369-8EB5-E6E9CC31CF10}" type="sibTrans" cxnId="{FA4FD263-B296-4035-88D5-6E14B60BDFE1}">
      <dgm:prSet/>
      <dgm:spPr/>
      <dgm:t>
        <a:bodyPr/>
        <a:lstStyle/>
        <a:p>
          <a:endParaRPr lang="en-GB"/>
        </a:p>
      </dgm:t>
    </dgm:pt>
    <dgm:pt modelId="{5265499A-1286-43C5-9FA3-43C493F11D09}">
      <dgm:prSet phldrT="[Text]" custT="1"/>
      <dgm:spPr>
        <a:solidFill>
          <a:schemeClr val="bg2"/>
        </a:solidFill>
        <a:ln>
          <a:solidFill>
            <a:schemeClr val="bg1">
              <a:lumMod val="50000"/>
            </a:schemeClr>
          </a:solidFill>
        </a:ln>
      </dgm:spPr>
      <dgm:t>
        <a:bodyPr/>
        <a:lstStyle/>
        <a:p>
          <a:r>
            <a:rPr lang="en-GB" sz="800">
              <a:solidFill>
                <a:schemeClr val="tx1"/>
              </a:solidFill>
            </a:rPr>
            <a:t>DIM_DATE</a:t>
          </a:r>
        </a:p>
        <a:p>
          <a:r>
            <a:rPr lang="en-GB" sz="800">
              <a:solidFill>
                <a:schemeClr val="tx1"/>
              </a:solidFill>
            </a:rPr>
            <a:t>DateKey (PK)</a:t>
          </a:r>
        </a:p>
        <a:p>
          <a:r>
            <a:rPr lang="en-GB" sz="800">
              <a:solidFill>
                <a:schemeClr val="tx1"/>
              </a:solidFill>
            </a:rPr>
            <a:t>Month</a:t>
          </a:r>
        </a:p>
        <a:p>
          <a:r>
            <a:rPr lang="en-GB" sz="800">
              <a:solidFill>
                <a:schemeClr val="tx1"/>
              </a:solidFill>
            </a:rPr>
            <a:t>Quarter</a:t>
          </a:r>
        </a:p>
        <a:p>
          <a:r>
            <a:rPr lang="en-GB" sz="800">
              <a:solidFill>
                <a:schemeClr val="tx1"/>
              </a:solidFill>
            </a:rPr>
            <a:t>Year</a:t>
          </a:r>
        </a:p>
        <a:p>
          <a:r>
            <a:rPr lang="en-GB" sz="800">
              <a:solidFill>
                <a:schemeClr val="tx1"/>
              </a:solidFill>
            </a:rPr>
            <a:t>NHS Financial Year</a:t>
          </a:r>
        </a:p>
        <a:p>
          <a:endParaRPr lang="en-GB" sz="900"/>
        </a:p>
      </dgm:t>
    </dgm:pt>
    <dgm:pt modelId="{C145E3ED-051F-4D5A-B7D6-13DC6EC0C60E}" type="parTrans" cxnId="{CD280661-4044-4B6B-B01E-B8C6199974D1}">
      <dgm:prSet/>
      <dgm:spPr/>
      <dgm:t>
        <a:bodyPr/>
        <a:lstStyle/>
        <a:p>
          <a:endParaRPr lang="en-GB"/>
        </a:p>
      </dgm:t>
    </dgm:pt>
    <dgm:pt modelId="{8EFA1884-0B24-437E-A029-A73350A4485D}" type="sibTrans" cxnId="{CD280661-4044-4B6B-B01E-B8C6199974D1}">
      <dgm:prSet/>
      <dgm:spPr/>
      <dgm:t>
        <a:bodyPr/>
        <a:lstStyle/>
        <a:p>
          <a:endParaRPr lang="en-GB"/>
        </a:p>
      </dgm:t>
    </dgm:pt>
    <dgm:pt modelId="{BBC1F257-CF16-4848-B782-74A1E6E68FBE}" type="pres">
      <dgm:prSet presAssocID="{BA0A6AC2-6A6B-4795-9548-A25017DB0AB6}" presName="cycle" presStyleCnt="0">
        <dgm:presLayoutVars>
          <dgm:chMax val="1"/>
          <dgm:dir/>
          <dgm:animLvl val="ctr"/>
          <dgm:resizeHandles val="exact"/>
        </dgm:presLayoutVars>
      </dgm:prSet>
      <dgm:spPr/>
    </dgm:pt>
    <dgm:pt modelId="{0D60371A-FBC0-4FAB-8DE9-53D67F8C9A8D}" type="pres">
      <dgm:prSet presAssocID="{3B9DFE2F-2EBA-4B10-B331-7B599BD7B2B1}" presName="centerShape" presStyleLbl="node0" presStyleIdx="0" presStyleCnt="1" custFlipHor="1" custScaleX="112501" custScaleY="177507" custLinFactNeighborX="-3528" custLinFactNeighborY="3681"/>
      <dgm:spPr>
        <a:prstGeom prst="rect">
          <a:avLst/>
        </a:prstGeom>
      </dgm:spPr>
    </dgm:pt>
    <dgm:pt modelId="{CBAE34E5-027C-4E62-B31C-DCD3A4E0B8E7}" type="pres">
      <dgm:prSet presAssocID="{28D031DD-DB1D-4EA4-9B10-AF040405854D}" presName="Name9" presStyleLbl="parChTrans1D2" presStyleIdx="0" presStyleCnt="4"/>
      <dgm:spPr/>
    </dgm:pt>
    <dgm:pt modelId="{3E5E2BB3-EF16-42D8-A093-48DA143FE5B3}" type="pres">
      <dgm:prSet presAssocID="{28D031DD-DB1D-4EA4-9B10-AF040405854D}" presName="connTx" presStyleLbl="parChTrans1D2" presStyleIdx="0" presStyleCnt="4"/>
      <dgm:spPr/>
    </dgm:pt>
    <dgm:pt modelId="{FC7005ED-F9F1-4949-B441-2359F361327F}" type="pres">
      <dgm:prSet presAssocID="{8E12529A-AEC1-4F19-BA09-1C12FF423F6F}" presName="node" presStyleLbl="node1" presStyleIdx="0" presStyleCnt="4" custAng="0" custScaleX="88601" custScaleY="92624" custRadScaleRad="161721" custRadScaleInc="320260">
        <dgm:presLayoutVars>
          <dgm:bulletEnabled val="1"/>
        </dgm:presLayoutVars>
      </dgm:prSet>
      <dgm:spPr>
        <a:prstGeom prst="rect">
          <a:avLst/>
        </a:prstGeom>
      </dgm:spPr>
    </dgm:pt>
    <dgm:pt modelId="{D9C32A7F-D4F1-41B4-8651-1EEE5B2EC7DD}" type="pres">
      <dgm:prSet presAssocID="{EAB7BA21-84A6-4191-BFDE-56DE8F6CECA5}" presName="Name9" presStyleLbl="parChTrans1D2" presStyleIdx="1" presStyleCnt="4"/>
      <dgm:spPr/>
    </dgm:pt>
    <dgm:pt modelId="{6541C573-0F15-43BD-A05C-F854B3629845}" type="pres">
      <dgm:prSet presAssocID="{EAB7BA21-84A6-4191-BFDE-56DE8F6CECA5}" presName="connTx" presStyleLbl="parChTrans1D2" presStyleIdx="1" presStyleCnt="4"/>
      <dgm:spPr/>
    </dgm:pt>
    <dgm:pt modelId="{2329AD75-3E34-4287-B4F3-4A4FD3870B28}" type="pres">
      <dgm:prSet presAssocID="{32498F1D-FDC4-44AB-BCB8-0D414762DEA4}" presName="node" presStyleLbl="node1" presStyleIdx="1" presStyleCnt="4" custScaleX="81868" custScaleY="91438" custRadScaleRad="162802" custRadScaleInc="-119044">
        <dgm:presLayoutVars>
          <dgm:bulletEnabled val="1"/>
        </dgm:presLayoutVars>
      </dgm:prSet>
      <dgm:spPr>
        <a:prstGeom prst="rect">
          <a:avLst/>
        </a:prstGeom>
      </dgm:spPr>
    </dgm:pt>
    <dgm:pt modelId="{C6EF4BF2-7E2F-4952-99D7-54158069AF75}" type="pres">
      <dgm:prSet presAssocID="{33DD45A0-95E6-42A8-9FF8-49B9299C5AB3}" presName="Name9" presStyleLbl="parChTrans1D2" presStyleIdx="2" presStyleCnt="4"/>
      <dgm:spPr/>
    </dgm:pt>
    <dgm:pt modelId="{0F3B6BF5-77DA-469E-9E00-F49A8AFE31AB}" type="pres">
      <dgm:prSet presAssocID="{33DD45A0-95E6-42A8-9FF8-49B9299C5AB3}" presName="connTx" presStyleLbl="parChTrans1D2" presStyleIdx="2" presStyleCnt="4"/>
      <dgm:spPr/>
    </dgm:pt>
    <dgm:pt modelId="{46AD1578-0755-4FDA-90B4-6C1F49B33726}" type="pres">
      <dgm:prSet presAssocID="{DA5B0C10-A675-4DFE-A7D1-C3587F11392F}" presName="node" presStyleLbl="node1" presStyleIdx="2" presStyleCnt="4" custScaleX="87641" custRadScaleRad="166468" custRadScaleInc="81007">
        <dgm:presLayoutVars>
          <dgm:bulletEnabled val="1"/>
        </dgm:presLayoutVars>
      </dgm:prSet>
      <dgm:spPr>
        <a:prstGeom prst="rect">
          <a:avLst/>
        </a:prstGeom>
      </dgm:spPr>
    </dgm:pt>
    <dgm:pt modelId="{F8D22DCA-6F48-460F-9C62-2532F8E7E99F}" type="pres">
      <dgm:prSet presAssocID="{C145E3ED-051F-4D5A-B7D6-13DC6EC0C60E}" presName="Name9" presStyleLbl="parChTrans1D2" presStyleIdx="3" presStyleCnt="4"/>
      <dgm:spPr/>
    </dgm:pt>
    <dgm:pt modelId="{B143E600-105D-40E1-A2A9-BDDCFCDCE4B4}" type="pres">
      <dgm:prSet presAssocID="{C145E3ED-051F-4D5A-B7D6-13DC6EC0C60E}" presName="connTx" presStyleLbl="parChTrans1D2" presStyleIdx="3" presStyleCnt="4"/>
      <dgm:spPr/>
    </dgm:pt>
    <dgm:pt modelId="{CFBE911C-F674-4D9E-97A3-655445DACDB9}" type="pres">
      <dgm:prSet presAssocID="{5265499A-1286-43C5-9FA3-43C493F11D09}" presName="node" presStyleLbl="node1" presStyleIdx="3" presStyleCnt="4" custScaleX="97823" custScaleY="77734" custRadScaleRad="165172" custRadScaleInc="120441">
        <dgm:presLayoutVars>
          <dgm:bulletEnabled val="1"/>
        </dgm:presLayoutVars>
      </dgm:prSet>
      <dgm:spPr>
        <a:prstGeom prst="rect">
          <a:avLst/>
        </a:prstGeom>
      </dgm:spPr>
    </dgm:pt>
  </dgm:ptLst>
  <dgm:cxnLst>
    <dgm:cxn modelId="{E423811E-4C6A-4830-A5BB-97E2D2BD5764}" type="presOf" srcId="{32498F1D-FDC4-44AB-BCB8-0D414762DEA4}" destId="{2329AD75-3E34-4287-B4F3-4A4FD3870B28}" srcOrd="0" destOrd="0" presId="urn:microsoft.com/office/officeart/2005/8/layout/radial1"/>
    <dgm:cxn modelId="{AF553A3B-116F-4FF4-A552-E9A41993A231}" type="presOf" srcId="{8E12529A-AEC1-4F19-BA09-1C12FF423F6F}" destId="{FC7005ED-F9F1-4949-B441-2359F361327F}" srcOrd="0" destOrd="0" presId="urn:microsoft.com/office/officeart/2005/8/layout/radial1"/>
    <dgm:cxn modelId="{811E033F-AD3A-4AFB-9BD7-8594CC7AA5CC}" type="presOf" srcId="{C145E3ED-051F-4D5A-B7D6-13DC6EC0C60E}" destId="{B143E600-105D-40E1-A2A9-BDDCFCDCE4B4}" srcOrd="1" destOrd="0" presId="urn:microsoft.com/office/officeart/2005/8/layout/radial1"/>
    <dgm:cxn modelId="{CD280661-4044-4B6B-B01E-B8C6199974D1}" srcId="{3B9DFE2F-2EBA-4B10-B331-7B599BD7B2B1}" destId="{5265499A-1286-43C5-9FA3-43C493F11D09}" srcOrd="3" destOrd="0" parTransId="{C145E3ED-051F-4D5A-B7D6-13DC6EC0C60E}" sibTransId="{8EFA1884-0B24-437E-A029-A73350A4485D}"/>
    <dgm:cxn modelId="{2EC46462-5CCB-4D35-9D18-34B0A50133DE}" type="presOf" srcId="{33DD45A0-95E6-42A8-9FF8-49B9299C5AB3}" destId="{C6EF4BF2-7E2F-4952-99D7-54158069AF75}" srcOrd="0" destOrd="0" presId="urn:microsoft.com/office/officeart/2005/8/layout/radial1"/>
    <dgm:cxn modelId="{FA4FD263-B296-4035-88D5-6E14B60BDFE1}" srcId="{3B9DFE2F-2EBA-4B10-B331-7B599BD7B2B1}" destId="{DA5B0C10-A675-4DFE-A7D1-C3587F11392F}" srcOrd="2" destOrd="0" parTransId="{33DD45A0-95E6-42A8-9FF8-49B9299C5AB3}" sibTransId="{E0BE8E1D-B36B-4369-8EB5-E6E9CC31CF10}"/>
    <dgm:cxn modelId="{E4E10969-8579-410E-9704-A9CF1B9E9B97}" type="presOf" srcId="{BA0A6AC2-6A6B-4795-9548-A25017DB0AB6}" destId="{BBC1F257-CF16-4848-B782-74A1E6E68FBE}" srcOrd="0" destOrd="0" presId="urn:microsoft.com/office/officeart/2005/8/layout/radial1"/>
    <dgm:cxn modelId="{1ED5444E-209C-4333-93F6-DE28EBA9FB0D}" type="presOf" srcId="{5265499A-1286-43C5-9FA3-43C493F11D09}" destId="{CFBE911C-F674-4D9E-97A3-655445DACDB9}" srcOrd="0" destOrd="0" presId="urn:microsoft.com/office/officeart/2005/8/layout/radial1"/>
    <dgm:cxn modelId="{4ED7FA71-41DE-4DA1-AC66-EF89735AAA63}" type="presOf" srcId="{33DD45A0-95E6-42A8-9FF8-49B9299C5AB3}" destId="{0F3B6BF5-77DA-469E-9E00-F49A8AFE31AB}" srcOrd="1" destOrd="0" presId="urn:microsoft.com/office/officeart/2005/8/layout/radial1"/>
    <dgm:cxn modelId="{F75DDF76-1A19-4E90-B9BD-6C011ED4C8C3}" type="presOf" srcId="{EAB7BA21-84A6-4191-BFDE-56DE8F6CECA5}" destId="{6541C573-0F15-43BD-A05C-F854B3629845}" srcOrd="1" destOrd="0" presId="urn:microsoft.com/office/officeart/2005/8/layout/radial1"/>
    <dgm:cxn modelId="{E242EF57-AB5B-482F-A3B2-90568780CA52}" type="presOf" srcId="{DA5B0C10-A675-4DFE-A7D1-C3587F11392F}" destId="{46AD1578-0755-4FDA-90B4-6C1F49B33726}" srcOrd="0" destOrd="0" presId="urn:microsoft.com/office/officeart/2005/8/layout/radial1"/>
    <dgm:cxn modelId="{22044A7F-CA14-43C5-A58F-A36600CD3EA8}" type="presOf" srcId="{EAB7BA21-84A6-4191-BFDE-56DE8F6CECA5}" destId="{D9C32A7F-D4F1-41B4-8651-1EEE5B2EC7DD}" srcOrd="0" destOrd="0" presId="urn:microsoft.com/office/officeart/2005/8/layout/radial1"/>
    <dgm:cxn modelId="{47B49EB1-6A96-452D-8A6E-0B96870D94D0}" type="presOf" srcId="{28D031DD-DB1D-4EA4-9B10-AF040405854D}" destId="{3E5E2BB3-EF16-42D8-A093-48DA143FE5B3}" srcOrd="1" destOrd="0" presId="urn:microsoft.com/office/officeart/2005/8/layout/radial1"/>
    <dgm:cxn modelId="{226748BA-D598-405D-BBA5-A89D26E32DA7}" type="presOf" srcId="{28D031DD-DB1D-4EA4-9B10-AF040405854D}" destId="{CBAE34E5-027C-4E62-B31C-DCD3A4E0B8E7}" srcOrd="0" destOrd="0" presId="urn:microsoft.com/office/officeart/2005/8/layout/radial1"/>
    <dgm:cxn modelId="{C1C67BD0-107D-424E-9DE8-316F92AC8D86}" type="presOf" srcId="{C145E3ED-051F-4D5A-B7D6-13DC6EC0C60E}" destId="{F8D22DCA-6F48-460F-9C62-2532F8E7E99F}" srcOrd="0" destOrd="0" presId="urn:microsoft.com/office/officeart/2005/8/layout/radial1"/>
    <dgm:cxn modelId="{19B9A4DA-C968-443E-BEF8-38C171EA8874}" srcId="{BA0A6AC2-6A6B-4795-9548-A25017DB0AB6}" destId="{3B9DFE2F-2EBA-4B10-B331-7B599BD7B2B1}" srcOrd="0" destOrd="0" parTransId="{60D0B0B6-184B-4C1F-A087-BBDA66DAE1CE}" sibTransId="{95A4165B-9E15-44F6-8401-5F45846D6B54}"/>
    <dgm:cxn modelId="{1D34D7E0-7841-43E8-98CB-1A9C998DB42A}" srcId="{3B9DFE2F-2EBA-4B10-B331-7B599BD7B2B1}" destId="{32498F1D-FDC4-44AB-BCB8-0D414762DEA4}" srcOrd="1" destOrd="0" parTransId="{EAB7BA21-84A6-4191-BFDE-56DE8F6CECA5}" sibTransId="{68C622E0-A2D9-4658-B95A-A8FB24F96B43}"/>
    <dgm:cxn modelId="{ECDFE1ED-6D4A-4D1F-8892-3B80E9EF7CFC}" type="presOf" srcId="{3B9DFE2F-2EBA-4B10-B331-7B599BD7B2B1}" destId="{0D60371A-FBC0-4FAB-8DE9-53D67F8C9A8D}" srcOrd="0" destOrd="0" presId="urn:microsoft.com/office/officeart/2005/8/layout/radial1"/>
    <dgm:cxn modelId="{10CE09F8-65A5-443F-A73A-F6BCEE4DBEBD}" srcId="{3B9DFE2F-2EBA-4B10-B331-7B599BD7B2B1}" destId="{8E12529A-AEC1-4F19-BA09-1C12FF423F6F}" srcOrd="0" destOrd="0" parTransId="{28D031DD-DB1D-4EA4-9B10-AF040405854D}" sibTransId="{57D9ECE3-44B7-47FC-91BB-F670D32532D7}"/>
    <dgm:cxn modelId="{F432312B-0B4D-41F4-86BE-CF6C55864233}" type="presParOf" srcId="{BBC1F257-CF16-4848-B782-74A1E6E68FBE}" destId="{0D60371A-FBC0-4FAB-8DE9-53D67F8C9A8D}" srcOrd="0" destOrd="0" presId="urn:microsoft.com/office/officeart/2005/8/layout/radial1"/>
    <dgm:cxn modelId="{EA19EC39-B4B4-471B-820A-0E932E8127E9}" type="presParOf" srcId="{BBC1F257-CF16-4848-B782-74A1E6E68FBE}" destId="{CBAE34E5-027C-4E62-B31C-DCD3A4E0B8E7}" srcOrd="1" destOrd="0" presId="urn:microsoft.com/office/officeart/2005/8/layout/radial1"/>
    <dgm:cxn modelId="{64C2946F-4D14-4DBF-AC50-98862A106FAC}" type="presParOf" srcId="{CBAE34E5-027C-4E62-B31C-DCD3A4E0B8E7}" destId="{3E5E2BB3-EF16-42D8-A093-48DA143FE5B3}" srcOrd="0" destOrd="0" presId="urn:microsoft.com/office/officeart/2005/8/layout/radial1"/>
    <dgm:cxn modelId="{2E942884-4BC8-454B-8905-1AB7F35208AA}" type="presParOf" srcId="{BBC1F257-CF16-4848-B782-74A1E6E68FBE}" destId="{FC7005ED-F9F1-4949-B441-2359F361327F}" srcOrd="2" destOrd="0" presId="urn:microsoft.com/office/officeart/2005/8/layout/radial1"/>
    <dgm:cxn modelId="{16F9690F-8971-44DC-95A4-EB4F8D773CE5}" type="presParOf" srcId="{BBC1F257-CF16-4848-B782-74A1E6E68FBE}" destId="{D9C32A7F-D4F1-41B4-8651-1EEE5B2EC7DD}" srcOrd="3" destOrd="0" presId="urn:microsoft.com/office/officeart/2005/8/layout/radial1"/>
    <dgm:cxn modelId="{54839F3E-CA7A-4797-86DA-D8F9D6B4C93E}" type="presParOf" srcId="{D9C32A7F-D4F1-41B4-8651-1EEE5B2EC7DD}" destId="{6541C573-0F15-43BD-A05C-F854B3629845}" srcOrd="0" destOrd="0" presId="urn:microsoft.com/office/officeart/2005/8/layout/radial1"/>
    <dgm:cxn modelId="{F20D6884-0B25-49A9-9B86-3FEA38966B6D}" type="presParOf" srcId="{BBC1F257-CF16-4848-B782-74A1E6E68FBE}" destId="{2329AD75-3E34-4287-B4F3-4A4FD3870B28}" srcOrd="4" destOrd="0" presId="urn:microsoft.com/office/officeart/2005/8/layout/radial1"/>
    <dgm:cxn modelId="{010AB602-7EDB-48B4-9400-4BC86F93F562}" type="presParOf" srcId="{BBC1F257-CF16-4848-B782-74A1E6E68FBE}" destId="{C6EF4BF2-7E2F-4952-99D7-54158069AF75}" srcOrd="5" destOrd="0" presId="urn:microsoft.com/office/officeart/2005/8/layout/radial1"/>
    <dgm:cxn modelId="{BCBEF10D-95E8-4030-84D7-EE48DADFAC54}" type="presParOf" srcId="{C6EF4BF2-7E2F-4952-99D7-54158069AF75}" destId="{0F3B6BF5-77DA-469E-9E00-F49A8AFE31AB}" srcOrd="0" destOrd="0" presId="urn:microsoft.com/office/officeart/2005/8/layout/radial1"/>
    <dgm:cxn modelId="{A3FA6F74-6F4D-4381-B169-BB58EC91EE0F}" type="presParOf" srcId="{BBC1F257-CF16-4848-B782-74A1E6E68FBE}" destId="{46AD1578-0755-4FDA-90B4-6C1F49B33726}" srcOrd="6" destOrd="0" presId="urn:microsoft.com/office/officeart/2005/8/layout/radial1"/>
    <dgm:cxn modelId="{8AACF516-2662-45B8-890D-45589ED521A3}" type="presParOf" srcId="{BBC1F257-CF16-4848-B782-74A1E6E68FBE}" destId="{F8D22DCA-6F48-460F-9C62-2532F8E7E99F}" srcOrd="7" destOrd="0" presId="urn:microsoft.com/office/officeart/2005/8/layout/radial1"/>
    <dgm:cxn modelId="{E48C358B-5E6B-4DE7-B3A9-6ED6E8B941AE}" type="presParOf" srcId="{F8D22DCA-6F48-460F-9C62-2532F8E7E99F}" destId="{B143E600-105D-40E1-A2A9-BDDCFCDCE4B4}" srcOrd="0" destOrd="0" presId="urn:microsoft.com/office/officeart/2005/8/layout/radial1"/>
    <dgm:cxn modelId="{EE078F89-CA6A-48AC-81C4-04834DBB9437}" type="presParOf" srcId="{BBC1F257-CF16-4848-B782-74A1E6E68FBE}" destId="{CFBE911C-F674-4D9E-97A3-655445DACDB9}" srcOrd="8" destOrd="0" presId="urn:microsoft.com/office/officeart/2005/8/layout/radial1"/>
  </dgm:cxnLst>
  <dgm:bg>
    <a:noFill/>
  </dgm:bg>
  <dgm:whole>
    <a:ln>
      <a:no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60371A-FBC0-4FAB-8DE9-53D67F8C9A8D}">
      <dsp:nvSpPr>
        <dsp:cNvPr id="0" name=""/>
        <dsp:cNvSpPr/>
      </dsp:nvSpPr>
      <dsp:spPr>
        <a:xfrm flipH="1">
          <a:off x="1945922" y="2575285"/>
          <a:ext cx="1820539" cy="2872494"/>
        </a:xfrm>
        <a:prstGeom prst="rect">
          <a:avLst/>
        </a:prstGeom>
        <a:solidFill>
          <a:schemeClr val="bg2"/>
        </a:solidFill>
        <a:ln w="12700" cap="flat" cmpd="sng" algn="ctr">
          <a:solidFill>
            <a:schemeClr val="bg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FACT_PATIENT_ACTIVITY</a:t>
          </a:r>
        </a:p>
        <a:p>
          <a:pPr marL="0" lvl="0" indent="0" algn="ctr" defTabSz="355600">
            <a:lnSpc>
              <a:spcPct val="90000"/>
            </a:lnSpc>
            <a:spcBef>
              <a:spcPct val="0"/>
            </a:spcBef>
            <a:spcAft>
              <a:spcPct val="35000"/>
            </a:spcAft>
            <a:buNone/>
          </a:pPr>
          <a:r>
            <a:rPr lang="en-GB" sz="800" kern="1200">
              <a:solidFill>
                <a:schemeClr val="tx1"/>
              </a:solidFill>
            </a:rPr>
            <a:t>ActivityKey (PK)</a:t>
          </a:r>
        </a:p>
        <a:p>
          <a:pPr marL="0" lvl="0" indent="0" algn="ctr" defTabSz="355600">
            <a:lnSpc>
              <a:spcPct val="90000"/>
            </a:lnSpc>
            <a:spcBef>
              <a:spcPct val="0"/>
            </a:spcBef>
            <a:spcAft>
              <a:spcPct val="35000"/>
            </a:spcAft>
            <a:buNone/>
          </a:pPr>
          <a:r>
            <a:rPr lang="en-GB" sz="800" kern="1200">
              <a:solidFill>
                <a:schemeClr val="tx1"/>
              </a:solidFill>
            </a:rPr>
            <a:t>DateKey (FK)</a:t>
          </a:r>
        </a:p>
        <a:p>
          <a:pPr marL="0" lvl="0" indent="0" algn="ctr" defTabSz="355600">
            <a:lnSpc>
              <a:spcPct val="90000"/>
            </a:lnSpc>
            <a:spcBef>
              <a:spcPct val="0"/>
            </a:spcBef>
            <a:spcAft>
              <a:spcPct val="35000"/>
            </a:spcAft>
            <a:buNone/>
          </a:pPr>
          <a:r>
            <a:rPr lang="en-GB" sz="800" kern="1200">
              <a:solidFill>
                <a:schemeClr val="tx1"/>
              </a:solidFill>
            </a:rPr>
            <a:t>PatientKey (FK)</a:t>
          </a:r>
        </a:p>
        <a:p>
          <a:pPr marL="0" lvl="0" indent="0" algn="ctr" defTabSz="355600">
            <a:lnSpc>
              <a:spcPct val="90000"/>
            </a:lnSpc>
            <a:spcBef>
              <a:spcPct val="0"/>
            </a:spcBef>
            <a:spcAft>
              <a:spcPct val="35000"/>
            </a:spcAft>
            <a:buNone/>
          </a:pPr>
          <a:r>
            <a:rPr lang="en-GB" sz="800" kern="1200">
              <a:solidFill>
                <a:schemeClr val="tx1"/>
              </a:solidFill>
            </a:rPr>
            <a:t>ProviderKey (FK)</a:t>
          </a:r>
        </a:p>
        <a:p>
          <a:pPr marL="0" lvl="0" indent="0" algn="ctr" defTabSz="355600">
            <a:lnSpc>
              <a:spcPct val="90000"/>
            </a:lnSpc>
            <a:spcBef>
              <a:spcPct val="0"/>
            </a:spcBef>
            <a:spcAft>
              <a:spcPct val="35000"/>
            </a:spcAft>
            <a:buNone/>
          </a:pPr>
          <a:r>
            <a:rPr lang="en-GB" sz="800" kern="1200">
              <a:solidFill>
                <a:schemeClr val="tx1"/>
              </a:solidFill>
            </a:rPr>
            <a:t>TreatmentKey (FK)</a:t>
          </a:r>
        </a:p>
        <a:p>
          <a:pPr marL="0" lvl="0" indent="0" algn="ctr" defTabSz="355600">
            <a:lnSpc>
              <a:spcPct val="90000"/>
            </a:lnSpc>
            <a:spcBef>
              <a:spcPct val="0"/>
            </a:spcBef>
            <a:spcAft>
              <a:spcPct val="35000"/>
            </a:spcAft>
            <a:buNone/>
          </a:pPr>
          <a:r>
            <a:rPr lang="en-GB" sz="800" kern="1200">
              <a:solidFill>
                <a:schemeClr val="tx1"/>
              </a:solidFill>
            </a:rPr>
            <a:t>Admissions</a:t>
          </a:r>
        </a:p>
        <a:p>
          <a:pPr marL="0" lvl="0" indent="0" algn="ctr" defTabSz="355600">
            <a:lnSpc>
              <a:spcPct val="90000"/>
            </a:lnSpc>
            <a:spcBef>
              <a:spcPct val="0"/>
            </a:spcBef>
            <a:spcAft>
              <a:spcPct val="35000"/>
            </a:spcAft>
            <a:buNone/>
          </a:pPr>
          <a:r>
            <a:rPr lang="en-GB" sz="800" kern="1200">
              <a:solidFill>
                <a:schemeClr val="tx1"/>
              </a:solidFill>
            </a:rPr>
            <a:t>LengthOfStay</a:t>
          </a:r>
        </a:p>
        <a:p>
          <a:pPr marL="0" lvl="0" indent="0" algn="ctr" defTabSz="355600">
            <a:lnSpc>
              <a:spcPct val="90000"/>
            </a:lnSpc>
            <a:spcBef>
              <a:spcPct val="0"/>
            </a:spcBef>
            <a:spcAft>
              <a:spcPct val="35000"/>
            </a:spcAft>
            <a:buNone/>
          </a:pPr>
          <a:r>
            <a:rPr lang="en-GB" sz="800" kern="1200">
              <a:solidFill>
                <a:schemeClr val="tx1"/>
              </a:solidFill>
            </a:rPr>
            <a:t>BedDaysUsed</a:t>
          </a:r>
        </a:p>
        <a:p>
          <a:pPr marL="0" lvl="0" indent="0" algn="ctr" defTabSz="355600">
            <a:lnSpc>
              <a:spcPct val="90000"/>
            </a:lnSpc>
            <a:spcBef>
              <a:spcPct val="0"/>
            </a:spcBef>
            <a:spcAft>
              <a:spcPct val="35000"/>
            </a:spcAft>
            <a:buNone/>
          </a:pPr>
          <a:r>
            <a:rPr lang="en-GB" sz="800" kern="1200">
              <a:solidFill>
                <a:schemeClr val="tx1"/>
              </a:solidFill>
            </a:rPr>
            <a:t>TreatmentCost</a:t>
          </a:r>
        </a:p>
        <a:p>
          <a:pPr marL="0" lvl="0" indent="0" algn="ctr" defTabSz="355600">
            <a:lnSpc>
              <a:spcPct val="90000"/>
            </a:lnSpc>
            <a:spcBef>
              <a:spcPct val="0"/>
            </a:spcBef>
            <a:spcAft>
              <a:spcPct val="35000"/>
            </a:spcAft>
            <a:buNone/>
          </a:pPr>
          <a:r>
            <a:rPr lang="en-GB" sz="800" kern="1200">
              <a:solidFill>
                <a:schemeClr val="tx1"/>
              </a:solidFill>
            </a:rPr>
            <a:t>RTTWaitingDays</a:t>
          </a:r>
        </a:p>
        <a:p>
          <a:pPr marL="0" lvl="0" indent="0" algn="ctr" defTabSz="355600">
            <a:lnSpc>
              <a:spcPct val="90000"/>
            </a:lnSpc>
            <a:spcBef>
              <a:spcPct val="0"/>
            </a:spcBef>
            <a:spcAft>
              <a:spcPct val="35000"/>
            </a:spcAft>
            <a:buNone/>
          </a:pPr>
          <a:endParaRPr lang="en-GB" sz="1200" kern="1200">
            <a:solidFill>
              <a:schemeClr val="tx1"/>
            </a:solidFill>
          </a:endParaRPr>
        </a:p>
        <a:p>
          <a:pPr marL="0" lvl="0" indent="0" algn="ctr" defTabSz="355600">
            <a:lnSpc>
              <a:spcPct val="90000"/>
            </a:lnSpc>
            <a:spcBef>
              <a:spcPct val="0"/>
            </a:spcBef>
            <a:spcAft>
              <a:spcPct val="35000"/>
            </a:spcAft>
            <a:buNone/>
          </a:pPr>
          <a:endParaRPr lang="en-GB" sz="1200" kern="1200">
            <a:solidFill>
              <a:schemeClr val="tx1"/>
            </a:solidFill>
          </a:endParaRPr>
        </a:p>
      </dsp:txBody>
      <dsp:txXfrm>
        <a:off x="1945922" y="2575285"/>
        <a:ext cx="1820539" cy="2872494"/>
      </dsp:txXfrm>
    </dsp:sp>
    <dsp:sp modelId="{CBAE34E5-027C-4E62-B31C-DCD3A4E0B8E7}">
      <dsp:nvSpPr>
        <dsp:cNvPr id="0" name=""/>
        <dsp:cNvSpPr/>
      </dsp:nvSpPr>
      <dsp:spPr>
        <a:xfrm rot="3031610">
          <a:off x="3303224" y="5444058"/>
          <a:ext cx="1506241" cy="49531"/>
        </a:xfrm>
        <a:custGeom>
          <a:avLst/>
          <a:gdLst/>
          <a:ahLst/>
          <a:cxnLst/>
          <a:rect l="0" t="0" r="0" b="0"/>
          <a:pathLst>
            <a:path>
              <a:moveTo>
                <a:pt x="0" y="24765"/>
              </a:moveTo>
              <a:lnTo>
                <a:pt x="1506241"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018689" y="5431168"/>
        <a:ext cx="75312" cy="75312"/>
      </dsp:txXfrm>
    </dsp:sp>
    <dsp:sp modelId="{FC7005ED-F9F1-4949-B441-2359F361327F}">
      <dsp:nvSpPr>
        <dsp:cNvPr id="0" name=""/>
        <dsp:cNvSpPr/>
      </dsp:nvSpPr>
      <dsp:spPr>
        <a:xfrm>
          <a:off x="4285961" y="5868684"/>
          <a:ext cx="1433779" cy="1498881"/>
        </a:xfrm>
        <a:prstGeom prst="rect">
          <a:avLst/>
        </a:prstGeom>
        <a:solidFill>
          <a:schemeClr val="bg2"/>
        </a:solidFill>
        <a:ln w="12700" cap="flat" cmpd="sng" algn="ctr">
          <a:solidFill>
            <a:schemeClr val="bg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DIM_TREATMENT</a:t>
          </a:r>
        </a:p>
        <a:p>
          <a:pPr marL="0" lvl="0" indent="0" algn="ctr" defTabSz="355600">
            <a:lnSpc>
              <a:spcPct val="90000"/>
            </a:lnSpc>
            <a:spcBef>
              <a:spcPct val="0"/>
            </a:spcBef>
            <a:spcAft>
              <a:spcPct val="35000"/>
            </a:spcAft>
            <a:buNone/>
          </a:pPr>
          <a:r>
            <a:rPr lang="en-GB" sz="800" kern="1200">
              <a:solidFill>
                <a:schemeClr val="tx1"/>
              </a:solidFill>
            </a:rPr>
            <a:t>TreatmentKey (PK)</a:t>
          </a:r>
        </a:p>
        <a:p>
          <a:pPr marL="0" lvl="0" indent="0" algn="ctr" defTabSz="355600">
            <a:lnSpc>
              <a:spcPct val="90000"/>
            </a:lnSpc>
            <a:spcBef>
              <a:spcPct val="0"/>
            </a:spcBef>
            <a:spcAft>
              <a:spcPct val="35000"/>
            </a:spcAft>
            <a:buNone/>
          </a:pPr>
          <a:r>
            <a:rPr lang="en-GB" sz="800" kern="1200">
              <a:solidFill>
                <a:schemeClr val="tx1"/>
              </a:solidFill>
            </a:rPr>
            <a:t>ICO10Code</a:t>
          </a:r>
        </a:p>
        <a:p>
          <a:pPr marL="0" lvl="0" indent="0" algn="ctr" defTabSz="355600">
            <a:lnSpc>
              <a:spcPct val="90000"/>
            </a:lnSpc>
            <a:spcBef>
              <a:spcPct val="0"/>
            </a:spcBef>
            <a:spcAft>
              <a:spcPct val="35000"/>
            </a:spcAft>
            <a:buNone/>
          </a:pPr>
          <a:r>
            <a:rPr lang="en-GB" sz="800" kern="1200">
              <a:solidFill>
                <a:schemeClr val="tx1"/>
              </a:solidFill>
            </a:rPr>
            <a:t>ProcedureCode</a:t>
          </a:r>
        </a:p>
        <a:p>
          <a:pPr marL="0" lvl="0" indent="0" algn="ctr" defTabSz="355600">
            <a:lnSpc>
              <a:spcPct val="90000"/>
            </a:lnSpc>
            <a:spcBef>
              <a:spcPct val="0"/>
            </a:spcBef>
            <a:spcAft>
              <a:spcPct val="35000"/>
            </a:spcAft>
            <a:buNone/>
          </a:pPr>
          <a:r>
            <a:rPr lang="en-GB" sz="800" kern="1200">
              <a:solidFill>
                <a:schemeClr val="tx1"/>
              </a:solidFill>
            </a:rPr>
            <a:t>SpecialityCode</a:t>
          </a:r>
        </a:p>
        <a:p>
          <a:pPr marL="0" lvl="0" indent="0" algn="ctr" defTabSz="355600">
            <a:lnSpc>
              <a:spcPct val="90000"/>
            </a:lnSpc>
            <a:spcBef>
              <a:spcPct val="0"/>
            </a:spcBef>
            <a:spcAft>
              <a:spcPct val="35000"/>
            </a:spcAft>
            <a:buNone/>
          </a:pPr>
          <a:r>
            <a:rPr lang="en-GB" sz="800" kern="1200">
              <a:solidFill>
                <a:schemeClr val="tx1"/>
              </a:solidFill>
            </a:rPr>
            <a:t>CarePathway</a:t>
          </a:r>
        </a:p>
      </dsp:txBody>
      <dsp:txXfrm>
        <a:off x="4285961" y="5868684"/>
        <a:ext cx="1433779" cy="1498881"/>
      </dsp:txXfrm>
    </dsp:sp>
    <dsp:sp modelId="{D9C32A7F-D4F1-41B4-8651-1EEE5B2EC7DD}">
      <dsp:nvSpPr>
        <dsp:cNvPr id="0" name=""/>
        <dsp:cNvSpPr/>
      </dsp:nvSpPr>
      <dsp:spPr>
        <a:xfrm rot="18411761">
          <a:off x="3195906" y="2348758"/>
          <a:ext cx="1776938" cy="49531"/>
        </a:xfrm>
        <a:custGeom>
          <a:avLst/>
          <a:gdLst/>
          <a:ahLst/>
          <a:cxnLst/>
          <a:rect l="0" t="0" r="0" b="0"/>
          <a:pathLst>
            <a:path>
              <a:moveTo>
                <a:pt x="0" y="24765"/>
              </a:moveTo>
              <a:lnTo>
                <a:pt x="1776938"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039952" y="2329101"/>
        <a:ext cx="88846" cy="88846"/>
      </dsp:txXfrm>
    </dsp:sp>
    <dsp:sp modelId="{2329AD75-3E34-4287-B4F3-4A4FD3870B28}">
      <dsp:nvSpPr>
        <dsp:cNvPr id="0" name=""/>
        <dsp:cNvSpPr/>
      </dsp:nvSpPr>
      <dsp:spPr>
        <a:xfrm>
          <a:off x="4380254" y="355624"/>
          <a:ext cx="1324823" cy="1479689"/>
        </a:xfrm>
        <a:prstGeom prst="rect">
          <a:avLst/>
        </a:prstGeom>
        <a:solidFill>
          <a:schemeClr val="bg2"/>
        </a:solidFill>
        <a:ln w="12700" cap="flat" cmpd="sng" algn="ctr">
          <a:solidFill>
            <a:schemeClr val="bg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DIM_PATIENT </a:t>
          </a:r>
        </a:p>
        <a:p>
          <a:pPr marL="0" lvl="0" indent="0" algn="ctr" defTabSz="355600">
            <a:lnSpc>
              <a:spcPct val="90000"/>
            </a:lnSpc>
            <a:spcBef>
              <a:spcPct val="0"/>
            </a:spcBef>
            <a:spcAft>
              <a:spcPct val="35000"/>
            </a:spcAft>
            <a:buNone/>
          </a:pPr>
          <a:r>
            <a:rPr lang="en-GB" sz="800" kern="1200">
              <a:solidFill>
                <a:schemeClr val="tx1"/>
              </a:solidFill>
            </a:rPr>
            <a:t>PatientKey (PK)</a:t>
          </a:r>
        </a:p>
        <a:p>
          <a:pPr marL="0" lvl="0" indent="0" algn="ctr" defTabSz="355600">
            <a:lnSpc>
              <a:spcPct val="90000"/>
            </a:lnSpc>
            <a:spcBef>
              <a:spcPct val="0"/>
            </a:spcBef>
            <a:spcAft>
              <a:spcPct val="35000"/>
            </a:spcAft>
            <a:buNone/>
          </a:pPr>
          <a:r>
            <a:rPr lang="en-GB" sz="800" kern="1200">
              <a:solidFill>
                <a:schemeClr val="tx1"/>
              </a:solidFill>
            </a:rPr>
            <a:t>AgeBand</a:t>
          </a:r>
        </a:p>
        <a:p>
          <a:pPr marL="0" lvl="0" indent="0" algn="ctr" defTabSz="355600">
            <a:lnSpc>
              <a:spcPct val="90000"/>
            </a:lnSpc>
            <a:spcBef>
              <a:spcPct val="0"/>
            </a:spcBef>
            <a:spcAft>
              <a:spcPct val="35000"/>
            </a:spcAft>
            <a:buNone/>
          </a:pPr>
          <a:r>
            <a:rPr lang="en-GB" sz="800" kern="1200">
              <a:solidFill>
                <a:schemeClr val="tx1"/>
              </a:solidFill>
            </a:rPr>
            <a:t>Sex</a:t>
          </a:r>
        </a:p>
        <a:p>
          <a:pPr marL="0" lvl="0" indent="0" algn="ctr" defTabSz="355600">
            <a:lnSpc>
              <a:spcPct val="90000"/>
            </a:lnSpc>
            <a:spcBef>
              <a:spcPct val="0"/>
            </a:spcBef>
            <a:spcAft>
              <a:spcPct val="35000"/>
            </a:spcAft>
            <a:buNone/>
          </a:pPr>
          <a:r>
            <a:rPr lang="en-GB" sz="800" kern="1200">
              <a:solidFill>
                <a:schemeClr val="tx1"/>
              </a:solidFill>
            </a:rPr>
            <a:t>EthnicityPostCodeArea</a:t>
          </a:r>
        </a:p>
      </dsp:txBody>
      <dsp:txXfrm>
        <a:off x="4380254" y="355624"/>
        <a:ext cx="1324823" cy="1479689"/>
      </dsp:txXfrm>
    </dsp:sp>
    <dsp:sp modelId="{C6EF4BF2-7E2F-4952-99D7-54158069AF75}">
      <dsp:nvSpPr>
        <dsp:cNvPr id="0" name=""/>
        <dsp:cNvSpPr/>
      </dsp:nvSpPr>
      <dsp:spPr>
        <a:xfrm rot="7558580">
          <a:off x="1092275" y="5481028"/>
          <a:ext cx="1358427" cy="49531"/>
        </a:xfrm>
        <a:custGeom>
          <a:avLst/>
          <a:gdLst/>
          <a:ahLst/>
          <a:cxnLst/>
          <a:rect l="0" t="0" r="0" b="0"/>
          <a:pathLst>
            <a:path>
              <a:moveTo>
                <a:pt x="0" y="24765"/>
              </a:moveTo>
              <a:lnTo>
                <a:pt x="1358427"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37528" y="5471834"/>
        <a:ext cx="67921" cy="67921"/>
      </dsp:txXfrm>
    </dsp:sp>
    <dsp:sp modelId="{46AD1578-0755-4FDA-90B4-6C1F49B33726}">
      <dsp:nvSpPr>
        <dsp:cNvPr id="0" name=""/>
        <dsp:cNvSpPr/>
      </dsp:nvSpPr>
      <dsp:spPr>
        <a:xfrm>
          <a:off x="211024" y="5869464"/>
          <a:ext cx="1418244" cy="1618243"/>
        </a:xfrm>
        <a:prstGeom prst="rect">
          <a:avLst/>
        </a:prstGeom>
        <a:solidFill>
          <a:schemeClr val="bg2"/>
        </a:solidFill>
        <a:ln w="12700" cap="flat" cmpd="sng" algn="ctr">
          <a:solidFill>
            <a:schemeClr val="bg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DIM_PROVIDER</a:t>
          </a:r>
        </a:p>
        <a:p>
          <a:pPr marL="0" lvl="0" indent="0" algn="ctr" defTabSz="355600">
            <a:lnSpc>
              <a:spcPct val="90000"/>
            </a:lnSpc>
            <a:spcBef>
              <a:spcPct val="0"/>
            </a:spcBef>
            <a:spcAft>
              <a:spcPct val="35000"/>
            </a:spcAft>
            <a:buNone/>
          </a:pPr>
          <a:r>
            <a:rPr lang="en-GB" sz="800" kern="1200">
              <a:solidFill>
                <a:schemeClr val="tx1"/>
              </a:solidFill>
            </a:rPr>
            <a:t>ProviderKey (PK)</a:t>
          </a:r>
        </a:p>
        <a:p>
          <a:pPr marL="0" lvl="0" indent="0" algn="ctr" defTabSz="355600">
            <a:lnSpc>
              <a:spcPct val="90000"/>
            </a:lnSpc>
            <a:spcBef>
              <a:spcPct val="0"/>
            </a:spcBef>
            <a:spcAft>
              <a:spcPct val="35000"/>
            </a:spcAft>
            <a:buNone/>
          </a:pPr>
          <a:r>
            <a:rPr lang="en-GB" sz="800" kern="1200">
              <a:solidFill>
                <a:schemeClr val="tx1"/>
              </a:solidFill>
            </a:rPr>
            <a:t>NHS Trust</a:t>
          </a:r>
        </a:p>
        <a:p>
          <a:pPr marL="0" lvl="0" indent="0" algn="ctr" defTabSz="355600">
            <a:lnSpc>
              <a:spcPct val="90000"/>
            </a:lnSpc>
            <a:spcBef>
              <a:spcPct val="0"/>
            </a:spcBef>
            <a:spcAft>
              <a:spcPct val="35000"/>
            </a:spcAft>
            <a:buNone/>
          </a:pPr>
          <a:r>
            <a:rPr lang="en-GB" sz="800" kern="1200">
              <a:solidFill>
                <a:schemeClr val="tx1"/>
              </a:solidFill>
            </a:rPr>
            <a:t>ICS Region</a:t>
          </a:r>
        </a:p>
        <a:p>
          <a:pPr marL="0" lvl="0" indent="0" algn="ctr" defTabSz="355600">
            <a:lnSpc>
              <a:spcPct val="90000"/>
            </a:lnSpc>
            <a:spcBef>
              <a:spcPct val="0"/>
            </a:spcBef>
            <a:spcAft>
              <a:spcPct val="35000"/>
            </a:spcAft>
            <a:buNone/>
          </a:pPr>
          <a:r>
            <a:rPr lang="en-GB" sz="800" kern="1200">
              <a:solidFill>
                <a:schemeClr val="tx1"/>
              </a:solidFill>
            </a:rPr>
            <a:t>ProviderType</a:t>
          </a:r>
        </a:p>
        <a:p>
          <a:pPr marL="0" lvl="0" indent="0" algn="ctr" defTabSz="355600">
            <a:lnSpc>
              <a:spcPct val="90000"/>
            </a:lnSpc>
            <a:spcBef>
              <a:spcPct val="0"/>
            </a:spcBef>
            <a:spcAft>
              <a:spcPct val="35000"/>
            </a:spcAft>
            <a:buNone/>
          </a:pPr>
          <a:r>
            <a:rPr lang="en-GB" sz="800" kern="1200">
              <a:solidFill>
                <a:schemeClr val="tx1"/>
              </a:solidFill>
            </a:rPr>
            <a:t>Location</a:t>
          </a:r>
        </a:p>
      </dsp:txBody>
      <dsp:txXfrm>
        <a:off x="211024" y="5869464"/>
        <a:ext cx="1418244" cy="1618243"/>
      </dsp:txXfrm>
    </dsp:sp>
    <dsp:sp modelId="{F8D22DCA-6F48-460F-9C62-2532F8E7E99F}">
      <dsp:nvSpPr>
        <dsp:cNvPr id="0" name=""/>
        <dsp:cNvSpPr/>
      </dsp:nvSpPr>
      <dsp:spPr>
        <a:xfrm rot="14258098">
          <a:off x="938872" y="2270456"/>
          <a:ext cx="1659171" cy="49531"/>
        </a:xfrm>
        <a:custGeom>
          <a:avLst/>
          <a:gdLst/>
          <a:ahLst/>
          <a:cxnLst/>
          <a:rect l="0" t="0" r="0" b="0"/>
          <a:pathLst>
            <a:path>
              <a:moveTo>
                <a:pt x="0" y="24765"/>
              </a:moveTo>
              <a:lnTo>
                <a:pt x="1659171"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26978" y="2253743"/>
        <a:ext cx="82958" cy="82958"/>
      </dsp:txXfrm>
    </dsp:sp>
    <dsp:sp modelId="{CFBE911C-F674-4D9E-97A3-655445DACDB9}">
      <dsp:nvSpPr>
        <dsp:cNvPr id="0" name=""/>
        <dsp:cNvSpPr/>
      </dsp:nvSpPr>
      <dsp:spPr>
        <a:xfrm>
          <a:off x="176849" y="403799"/>
          <a:ext cx="1583013" cy="1257925"/>
        </a:xfrm>
        <a:prstGeom prst="rect">
          <a:avLst/>
        </a:prstGeom>
        <a:solidFill>
          <a:schemeClr val="bg2"/>
        </a:solidFill>
        <a:ln w="12700" cap="flat" cmpd="sng" algn="ctr">
          <a:solidFill>
            <a:schemeClr val="bg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DIM_DATE</a:t>
          </a:r>
        </a:p>
        <a:p>
          <a:pPr marL="0" lvl="0" indent="0" algn="ctr" defTabSz="355600">
            <a:lnSpc>
              <a:spcPct val="90000"/>
            </a:lnSpc>
            <a:spcBef>
              <a:spcPct val="0"/>
            </a:spcBef>
            <a:spcAft>
              <a:spcPct val="35000"/>
            </a:spcAft>
            <a:buNone/>
          </a:pPr>
          <a:r>
            <a:rPr lang="en-GB" sz="800" kern="1200">
              <a:solidFill>
                <a:schemeClr val="tx1"/>
              </a:solidFill>
            </a:rPr>
            <a:t>DateKey (PK)</a:t>
          </a:r>
        </a:p>
        <a:p>
          <a:pPr marL="0" lvl="0" indent="0" algn="ctr" defTabSz="355600">
            <a:lnSpc>
              <a:spcPct val="90000"/>
            </a:lnSpc>
            <a:spcBef>
              <a:spcPct val="0"/>
            </a:spcBef>
            <a:spcAft>
              <a:spcPct val="35000"/>
            </a:spcAft>
            <a:buNone/>
          </a:pPr>
          <a:r>
            <a:rPr lang="en-GB" sz="800" kern="1200">
              <a:solidFill>
                <a:schemeClr val="tx1"/>
              </a:solidFill>
            </a:rPr>
            <a:t>Month</a:t>
          </a:r>
        </a:p>
        <a:p>
          <a:pPr marL="0" lvl="0" indent="0" algn="ctr" defTabSz="355600">
            <a:lnSpc>
              <a:spcPct val="90000"/>
            </a:lnSpc>
            <a:spcBef>
              <a:spcPct val="0"/>
            </a:spcBef>
            <a:spcAft>
              <a:spcPct val="35000"/>
            </a:spcAft>
            <a:buNone/>
          </a:pPr>
          <a:r>
            <a:rPr lang="en-GB" sz="800" kern="1200">
              <a:solidFill>
                <a:schemeClr val="tx1"/>
              </a:solidFill>
            </a:rPr>
            <a:t>Quarter</a:t>
          </a:r>
        </a:p>
        <a:p>
          <a:pPr marL="0" lvl="0" indent="0" algn="ctr" defTabSz="355600">
            <a:lnSpc>
              <a:spcPct val="90000"/>
            </a:lnSpc>
            <a:spcBef>
              <a:spcPct val="0"/>
            </a:spcBef>
            <a:spcAft>
              <a:spcPct val="35000"/>
            </a:spcAft>
            <a:buNone/>
          </a:pPr>
          <a:r>
            <a:rPr lang="en-GB" sz="800" kern="1200">
              <a:solidFill>
                <a:schemeClr val="tx1"/>
              </a:solidFill>
            </a:rPr>
            <a:t>Year</a:t>
          </a:r>
        </a:p>
        <a:p>
          <a:pPr marL="0" lvl="0" indent="0" algn="ctr" defTabSz="355600">
            <a:lnSpc>
              <a:spcPct val="90000"/>
            </a:lnSpc>
            <a:spcBef>
              <a:spcPct val="0"/>
            </a:spcBef>
            <a:spcAft>
              <a:spcPct val="35000"/>
            </a:spcAft>
            <a:buNone/>
          </a:pPr>
          <a:r>
            <a:rPr lang="en-GB" sz="800" kern="1200">
              <a:solidFill>
                <a:schemeClr val="tx1"/>
              </a:solidFill>
            </a:rPr>
            <a:t>NHS Financial Year</a:t>
          </a:r>
        </a:p>
        <a:p>
          <a:pPr marL="0" lvl="0" indent="0" algn="ctr" defTabSz="355600">
            <a:lnSpc>
              <a:spcPct val="90000"/>
            </a:lnSpc>
            <a:spcBef>
              <a:spcPct val="0"/>
            </a:spcBef>
            <a:spcAft>
              <a:spcPct val="35000"/>
            </a:spcAft>
            <a:buNone/>
          </a:pPr>
          <a:endParaRPr lang="en-GB" sz="900" kern="1200"/>
        </a:p>
      </dsp:txBody>
      <dsp:txXfrm>
        <a:off x="176849" y="403799"/>
        <a:ext cx="1583013" cy="125792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0BBD2-92D5-4670-AE06-82CF1B111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21</Pages>
  <Words>3632</Words>
  <Characters>23614</Characters>
  <Application>Microsoft Office Word</Application>
  <DocSecurity>0</DocSecurity>
  <Lines>429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minottplummer</dc:creator>
  <cp:keywords/>
  <dc:description/>
  <cp:lastModifiedBy>nicola minottplummer</cp:lastModifiedBy>
  <cp:revision>276</cp:revision>
  <dcterms:created xsi:type="dcterms:W3CDTF">2026-07-13T09:09:00Z</dcterms:created>
  <dcterms:modified xsi:type="dcterms:W3CDTF">2026-07-16T23:26:00Z</dcterms:modified>
</cp:coreProperties>
</file>