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7BEFC" w14:textId="77777777" w:rsidR="0091088B" w:rsidRPr="009C7F29" w:rsidRDefault="0091088B" w:rsidP="0091088B">
      <w:pPr>
        <w:spacing w:before="100" w:beforeAutospacing="1" w:after="100" w:afterAutospacing="1" w:line="240" w:lineRule="auto"/>
        <w:outlineLvl w:val="1"/>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Examining the Physiological and Emotional Effects of Trauma on Young People</w:t>
      </w:r>
    </w:p>
    <w:p w14:paraId="46A671C9" w14:textId="77777777" w:rsidR="0091088B" w:rsidRPr="009C7F29" w:rsidRDefault="0091088B" w:rsidP="0091088B">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Introduction</w:t>
      </w:r>
    </w:p>
    <w:p w14:paraId="7A67F43F" w14:textId="762A43E8" w:rsidR="0091088B" w:rsidRPr="009C7F29" w:rsidRDefault="0091088B"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Trauma is an emotional and physiological response to distressing experiences that exceed a young person’s ability to </w:t>
      </w:r>
      <w:r w:rsidR="00BE4C3E" w:rsidRPr="009C7F29">
        <w:rPr>
          <w:rFonts w:ascii="Calibri" w:eastAsia="Times New Roman" w:hAnsi="Calibri" w:cs="Calibri"/>
          <w:kern w:val="0"/>
          <w:sz w:val="28"/>
          <w:szCs w:val="28"/>
          <w:lang w:eastAsia="en-GB"/>
          <w14:ligatures w14:val="none"/>
        </w:rPr>
        <w:t>respond</w:t>
      </w:r>
      <w:r w:rsidRPr="009C7F29">
        <w:rPr>
          <w:rFonts w:ascii="Calibri" w:eastAsia="Times New Roman" w:hAnsi="Calibri" w:cs="Calibri"/>
          <w:kern w:val="0"/>
          <w:sz w:val="28"/>
          <w:szCs w:val="28"/>
          <w:lang w:eastAsia="en-GB"/>
          <w14:ligatures w14:val="none"/>
        </w:rPr>
        <w:t>. Events such as abuse, neglect, violence, or bereavement can cause significant disruptions to development, affecting learning, behaviour, and emotional regulation. Understanding these effects is vital for those working in education, health, and social care to ensure young people receive the right support</w:t>
      </w:r>
      <w:r w:rsidR="00A2683B" w:rsidRPr="009C7F29">
        <w:rPr>
          <w:rFonts w:ascii="Calibri" w:eastAsia="Times New Roman" w:hAnsi="Calibri" w:cs="Calibri"/>
          <w:kern w:val="0"/>
          <w:sz w:val="28"/>
          <w:szCs w:val="28"/>
          <w:lang w:eastAsia="en-GB"/>
          <w14:ligatures w14:val="none"/>
        </w:rPr>
        <w:t xml:space="preserve"> (Ungar et al., 2022).</w:t>
      </w:r>
      <w:r w:rsidRPr="009C7F29">
        <w:rPr>
          <w:rFonts w:ascii="Calibri" w:eastAsia="Times New Roman" w:hAnsi="Calibri" w:cs="Calibri"/>
          <w:kern w:val="0"/>
          <w:sz w:val="28"/>
          <w:szCs w:val="28"/>
          <w:lang w:eastAsia="en-GB"/>
          <w14:ligatures w14:val="none"/>
        </w:rPr>
        <w:t>. This essay explores the physiological and emotional implications of trauma, examines how trauma influences behaviour, and evaluates approaches for support. It also compares two key trauma-informed frameworks, Bath’s Three Pillars of Trauma-Informed Care and the Sanctuary Model</w:t>
      </w:r>
      <w:r w:rsidR="00676637" w:rsidRPr="009C7F29">
        <w:rPr>
          <w:rFonts w:ascii="Calibri" w:eastAsia="Times New Roman" w:hAnsi="Calibri" w:cs="Calibri"/>
          <w:kern w:val="0"/>
          <w:sz w:val="28"/>
          <w:szCs w:val="28"/>
          <w:lang w:eastAsia="en-GB"/>
          <w14:ligatures w14:val="none"/>
        </w:rPr>
        <w:t xml:space="preserve"> (Galvin et al., 2021; Steinkopf et al., 2022). Also,</w:t>
      </w:r>
      <w:r w:rsidRPr="009C7F29">
        <w:rPr>
          <w:rFonts w:ascii="Calibri" w:eastAsia="Times New Roman" w:hAnsi="Calibri" w:cs="Calibri"/>
          <w:kern w:val="0"/>
          <w:sz w:val="28"/>
          <w:szCs w:val="28"/>
          <w:lang w:eastAsia="en-GB"/>
          <w14:ligatures w14:val="none"/>
        </w:rPr>
        <w:t xml:space="preserve"> considering the importance of practitioner wellbeing and burnout prevention in trauma-informed settings</w:t>
      </w:r>
      <w:r w:rsidR="00860638" w:rsidRPr="009C7F29">
        <w:rPr>
          <w:rFonts w:ascii="Calibri" w:eastAsia="Times New Roman" w:hAnsi="Calibri" w:cs="Calibri"/>
          <w:kern w:val="0"/>
          <w:sz w:val="28"/>
          <w:szCs w:val="28"/>
          <w:lang w:eastAsia="en-GB"/>
          <w14:ligatures w14:val="none"/>
        </w:rPr>
        <w:t xml:space="preserve"> (British Medical Association, 2024). </w:t>
      </w:r>
    </w:p>
    <w:p w14:paraId="011218FD" w14:textId="161E58F8" w:rsidR="0091088B" w:rsidRPr="009C7F29" w:rsidRDefault="0091088B" w:rsidP="0091088B">
      <w:pPr>
        <w:spacing w:after="0" w:line="240" w:lineRule="auto"/>
        <w:rPr>
          <w:rFonts w:ascii="Calibri" w:eastAsia="Times New Roman" w:hAnsi="Calibri" w:cs="Calibri"/>
          <w:kern w:val="0"/>
          <w:sz w:val="28"/>
          <w:szCs w:val="28"/>
          <w:lang w:eastAsia="en-GB"/>
          <w14:ligatures w14:val="none"/>
        </w:rPr>
      </w:pPr>
    </w:p>
    <w:p w14:paraId="2E555E61" w14:textId="77777777" w:rsidR="0091088B" w:rsidRPr="009C7F29" w:rsidRDefault="0091088B" w:rsidP="0091088B">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Physiological Implications of Trauma</w:t>
      </w:r>
    </w:p>
    <w:p w14:paraId="7AA51303" w14:textId="6AF71C88" w:rsidR="0091088B" w:rsidRPr="009C7F29" w:rsidRDefault="00D15A60"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According to Knight (2025), w</w:t>
      </w:r>
      <w:r w:rsidR="0091088B" w:rsidRPr="009C7F29">
        <w:rPr>
          <w:rFonts w:ascii="Calibri" w:eastAsia="Times New Roman" w:hAnsi="Calibri" w:cs="Calibri"/>
          <w:kern w:val="0"/>
          <w:sz w:val="28"/>
          <w:szCs w:val="28"/>
          <w:lang w:eastAsia="en-GB"/>
          <w14:ligatures w14:val="none"/>
        </w:rPr>
        <w:t xml:space="preserve">hen a young person experiences trauma, the body activates a survival response often described as fight, flight, or freeze. This process is controlled by the autonomic nervous system and the hypothalamic-pituitary-adrenal axis, which releases stress hormones such as cortisol and </w:t>
      </w:r>
      <w:r w:rsidR="001D2FBB" w:rsidRPr="009C7F29">
        <w:rPr>
          <w:rFonts w:ascii="Calibri" w:eastAsia="Times New Roman" w:hAnsi="Calibri" w:cs="Calibri"/>
          <w:kern w:val="0"/>
          <w:sz w:val="28"/>
          <w:szCs w:val="28"/>
          <w:lang w:eastAsia="en-GB"/>
          <w14:ligatures w14:val="none"/>
        </w:rPr>
        <w:t>epinephrine (also known as adrenaline)</w:t>
      </w:r>
      <w:r w:rsidR="0091088B" w:rsidRPr="009C7F29">
        <w:rPr>
          <w:rFonts w:ascii="Calibri" w:eastAsia="Times New Roman" w:hAnsi="Calibri" w:cs="Calibri"/>
          <w:kern w:val="0"/>
          <w:sz w:val="28"/>
          <w:szCs w:val="28"/>
          <w:lang w:eastAsia="en-GB"/>
          <w14:ligatures w14:val="none"/>
        </w:rPr>
        <w:t xml:space="preserve">. These hormones help the body respond to immediate danger by increasing heart rate, alertness, and muscle tension. However, </w:t>
      </w:r>
      <w:r w:rsidRPr="009C7F29">
        <w:rPr>
          <w:rFonts w:ascii="Calibri" w:eastAsia="Times New Roman" w:hAnsi="Calibri" w:cs="Calibri"/>
          <w:kern w:val="0"/>
          <w:sz w:val="28"/>
          <w:szCs w:val="28"/>
          <w:lang w:eastAsia="en-GB"/>
          <w14:ligatures w14:val="none"/>
        </w:rPr>
        <w:t xml:space="preserve">Chu et al. (2024) found that </w:t>
      </w:r>
      <w:r w:rsidR="0091088B" w:rsidRPr="009C7F29">
        <w:rPr>
          <w:rFonts w:ascii="Calibri" w:eastAsia="Times New Roman" w:hAnsi="Calibri" w:cs="Calibri"/>
          <w:kern w:val="0"/>
          <w:sz w:val="28"/>
          <w:szCs w:val="28"/>
          <w:lang w:eastAsia="en-GB"/>
          <w14:ligatures w14:val="none"/>
        </w:rPr>
        <w:t xml:space="preserve">when exposure to trauma is prolonged or repeated, this system becomes dysregulated. </w:t>
      </w:r>
      <w:r w:rsidR="001D2FBB" w:rsidRPr="009C7F29">
        <w:rPr>
          <w:rFonts w:ascii="Calibri" w:eastAsia="Times New Roman" w:hAnsi="Calibri" w:cs="Calibri"/>
          <w:kern w:val="0"/>
          <w:sz w:val="28"/>
          <w:szCs w:val="28"/>
          <w:lang w:eastAsia="en-GB"/>
          <w14:ligatures w14:val="none"/>
        </w:rPr>
        <w:t xml:space="preserve">A constant state of alertness </w:t>
      </w:r>
      <w:r w:rsidR="0091088B" w:rsidRPr="009C7F29">
        <w:rPr>
          <w:rFonts w:ascii="Calibri" w:eastAsia="Times New Roman" w:hAnsi="Calibri" w:cs="Calibri"/>
          <w:kern w:val="0"/>
          <w:sz w:val="28"/>
          <w:szCs w:val="28"/>
          <w:lang w:eastAsia="en-GB"/>
          <w14:ligatures w14:val="none"/>
        </w:rPr>
        <w:t>can cause chronic stress, fatigue, and impaired immune function, leaving young people vulnerable to illness and difficulty managing stress.</w:t>
      </w:r>
      <w:r w:rsidR="00A772F0" w:rsidRPr="009C7F29">
        <w:rPr>
          <w:rFonts w:ascii="Calibri" w:eastAsia="Times New Roman" w:hAnsi="Calibri" w:cs="Calibri"/>
          <w:kern w:val="0"/>
          <w:sz w:val="28"/>
          <w:szCs w:val="28"/>
          <w:lang w:eastAsia="en-GB"/>
          <w14:ligatures w14:val="none"/>
        </w:rPr>
        <w:t xml:space="preserve"> </w:t>
      </w:r>
      <w:r w:rsidR="0091088B" w:rsidRPr="009C7F29">
        <w:rPr>
          <w:rFonts w:ascii="Calibri" w:eastAsia="Times New Roman" w:hAnsi="Calibri" w:cs="Calibri"/>
          <w:kern w:val="0"/>
          <w:sz w:val="28"/>
          <w:szCs w:val="28"/>
          <w:lang w:eastAsia="en-GB"/>
          <w14:ligatures w14:val="none"/>
        </w:rPr>
        <w:t xml:space="preserve">Neuroscientific research shows that trauma can also disrupt brain development. The amygdala, responsible for detecting </w:t>
      </w:r>
      <w:r w:rsidR="00002821" w:rsidRPr="009C7F29">
        <w:rPr>
          <w:rFonts w:ascii="Calibri" w:eastAsia="Times New Roman" w:hAnsi="Calibri" w:cs="Calibri"/>
          <w:kern w:val="0"/>
          <w:sz w:val="28"/>
          <w:szCs w:val="28"/>
          <w:lang w:eastAsia="en-GB"/>
          <w14:ligatures w14:val="none"/>
        </w:rPr>
        <w:t>danger</w:t>
      </w:r>
      <w:r w:rsidR="0091088B" w:rsidRPr="009C7F29">
        <w:rPr>
          <w:rFonts w:ascii="Calibri" w:eastAsia="Times New Roman" w:hAnsi="Calibri" w:cs="Calibri"/>
          <w:kern w:val="0"/>
          <w:sz w:val="28"/>
          <w:szCs w:val="28"/>
          <w:lang w:eastAsia="en-GB"/>
          <w14:ligatures w14:val="none"/>
        </w:rPr>
        <w:t xml:space="preserve">, can become overactive, making young people hypersensitive to perceived </w:t>
      </w:r>
      <w:r w:rsidR="00002821" w:rsidRPr="009C7F29">
        <w:rPr>
          <w:rFonts w:ascii="Calibri" w:eastAsia="Times New Roman" w:hAnsi="Calibri" w:cs="Calibri"/>
          <w:kern w:val="0"/>
          <w:sz w:val="28"/>
          <w:szCs w:val="28"/>
          <w:lang w:eastAsia="en-GB"/>
          <w14:ligatures w14:val="none"/>
        </w:rPr>
        <w:t>stress</w:t>
      </w:r>
      <w:r w:rsidR="0091088B" w:rsidRPr="009C7F29">
        <w:rPr>
          <w:rFonts w:ascii="Calibri" w:eastAsia="Times New Roman" w:hAnsi="Calibri" w:cs="Calibri"/>
          <w:kern w:val="0"/>
          <w:sz w:val="28"/>
          <w:szCs w:val="28"/>
          <w:lang w:eastAsia="en-GB"/>
          <w14:ligatures w14:val="none"/>
        </w:rPr>
        <w:t xml:space="preserve">. The hippocampus, which </w:t>
      </w:r>
      <w:r w:rsidR="00002821" w:rsidRPr="009C7F29">
        <w:rPr>
          <w:rFonts w:ascii="Calibri" w:eastAsia="Times New Roman" w:hAnsi="Calibri" w:cs="Calibri"/>
          <w:kern w:val="0"/>
          <w:sz w:val="28"/>
          <w:szCs w:val="28"/>
          <w:lang w:eastAsia="en-GB"/>
          <w14:ligatures w14:val="none"/>
        </w:rPr>
        <w:t xml:space="preserve">supports </w:t>
      </w:r>
      <w:r w:rsidR="0091088B" w:rsidRPr="009C7F29">
        <w:rPr>
          <w:rFonts w:ascii="Calibri" w:eastAsia="Times New Roman" w:hAnsi="Calibri" w:cs="Calibri"/>
          <w:kern w:val="0"/>
          <w:sz w:val="28"/>
          <w:szCs w:val="28"/>
          <w:lang w:eastAsia="en-GB"/>
          <w14:ligatures w14:val="none"/>
        </w:rPr>
        <w:t xml:space="preserve">memory and learning, may shrink or function less effectively, leading to difficulties concentrating and retaining information. The prefrontal cortex, responsible for reasoning, planning, and impulse control, may develop more slowly, which can lead to impulsive behaviour or difficulty managing emotions. These physiological changes </w:t>
      </w:r>
      <w:r w:rsidR="0091088B" w:rsidRPr="009C7F29">
        <w:rPr>
          <w:rFonts w:ascii="Calibri" w:eastAsia="Times New Roman" w:hAnsi="Calibri" w:cs="Calibri"/>
          <w:kern w:val="0"/>
          <w:sz w:val="28"/>
          <w:szCs w:val="28"/>
          <w:lang w:eastAsia="en-GB"/>
          <w14:ligatures w14:val="none"/>
        </w:rPr>
        <w:lastRenderedPageBreak/>
        <w:t>highlight that trauma is not only psychological but also deeply embodied, influencing how a young person processes information and interacts with their environment</w:t>
      </w:r>
      <w:r w:rsidR="00F14AC5" w:rsidRPr="009C7F29">
        <w:rPr>
          <w:rFonts w:ascii="Calibri" w:eastAsia="Times New Roman" w:hAnsi="Calibri" w:cs="Calibri"/>
          <w:kern w:val="0"/>
          <w:sz w:val="28"/>
          <w:szCs w:val="28"/>
          <w:lang w:eastAsia="en-GB"/>
          <w14:ligatures w14:val="none"/>
        </w:rPr>
        <w:t xml:space="preserve"> (Cross et al., 2017).</w:t>
      </w:r>
      <w:r w:rsidR="00A772F0" w:rsidRPr="009C7F29">
        <w:rPr>
          <w:rFonts w:ascii="Calibri" w:eastAsia="Times New Roman" w:hAnsi="Calibri" w:cs="Calibri"/>
          <w:kern w:val="0"/>
          <w:sz w:val="28"/>
          <w:szCs w:val="28"/>
          <w:lang w:eastAsia="en-GB"/>
          <w14:ligatures w14:val="none"/>
        </w:rPr>
        <w:t xml:space="preserve"> Al-</w:t>
      </w:r>
      <w:proofErr w:type="spellStart"/>
      <w:r w:rsidR="00A772F0" w:rsidRPr="009C7F29">
        <w:rPr>
          <w:rFonts w:ascii="Calibri" w:eastAsia="Times New Roman" w:hAnsi="Calibri" w:cs="Calibri"/>
          <w:kern w:val="0"/>
          <w:sz w:val="28"/>
          <w:szCs w:val="28"/>
          <w:lang w:eastAsia="en-GB"/>
          <w14:ligatures w14:val="none"/>
        </w:rPr>
        <w:t>Beltagi</w:t>
      </w:r>
      <w:proofErr w:type="spellEnd"/>
      <w:r w:rsidR="00A772F0" w:rsidRPr="009C7F29">
        <w:rPr>
          <w:rFonts w:ascii="Calibri" w:eastAsia="Times New Roman" w:hAnsi="Calibri" w:cs="Calibri"/>
          <w:kern w:val="0"/>
          <w:sz w:val="28"/>
          <w:szCs w:val="28"/>
          <w:lang w:eastAsia="en-GB"/>
          <w14:ligatures w14:val="none"/>
        </w:rPr>
        <w:t xml:space="preserve"> et al. (2025) state that c</w:t>
      </w:r>
      <w:r w:rsidR="0091088B" w:rsidRPr="009C7F29">
        <w:rPr>
          <w:rFonts w:ascii="Calibri" w:eastAsia="Times New Roman" w:hAnsi="Calibri" w:cs="Calibri"/>
          <w:kern w:val="0"/>
          <w:sz w:val="28"/>
          <w:szCs w:val="28"/>
          <w:lang w:eastAsia="en-GB"/>
          <w14:ligatures w14:val="none"/>
        </w:rPr>
        <w:t xml:space="preserve">hronic exposure to trauma can also lead to physical symptoms such as headaches, </w:t>
      </w:r>
      <w:proofErr w:type="spellStart"/>
      <w:r w:rsidR="0091088B" w:rsidRPr="009C7F29">
        <w:rPr>
          <w:rFonts w:ascii="Calibri" w:eastAsia="Times New Roman" w:hAnsi="Calibri" w:cs="Calibri"/>
          <w:kern w:val="0"/>
          <w:sz w:val="28"/>
          <w:szCs w:val="28"/>
          <w:lang w:eastAsia="en-GB"/>
          <w14:ligatures w14:val="none"/>
        </w:rPr>
        <w:t>stomachaches</w:t>
      </w:r>
      <w:proofErr w:type="spellEnd"/>
      <w:r w:rsidR="0091088B" w:rsidRPr="009C7F29">
        <w:rPr>
          <w:rFonts w:ascii="Calibri" w:eastAsia="Times New Roman" w:hAnsi="Calibri" w:cs="Calibri"/>
          <w:kern w:val="0"/>
          <w:sz w:val="28"/>
          <w:szCs w:val="28"/>
          <w:lang w:eastAsia="en-GB"/>
          <w14:ligatures w14:val="none"/>
        </w:rPr>
        <w:t>, muscle tension, and disrupted sleep patterns. These symptoms are often misunderstood or dismissed, but they represent the body’s ongoing attempt to manage stress. Recognising the physiological dimension of trauma allows practitioners to respond with empathy and adapt expectations in education or care environments.</w:t>
      </w:r>
    </w:p>
    <w:p w14:paraId="29D74C05" w14:textId="0F5543F6" w:rsidR="0091088B" w:rsidRPr="009C7F29" w:rsidRDefault="0091088B" w:rsidP="0091088B">
      <w:pPr>
        <w:spacing w:after="0" w:line="240" w:lineRule="auto"/>
        <w:rPr>
          <w:rFonts w:ascii="Calibri" w:eastAsia="Times New Roman" w:hAnsi="Calibri" w:cs="Calibri"/>
          <w:kern w:val="0"/>
          <w:sz w:val="28"/>
          <w:szCs w:val="28"/>
          <w:lang w:eastAsia="en-GB"/>
          <w14:ligatures w14:val="none"/>
        </w:rPr>
      </w:pPr>
    </w:p>
    <w:p w14:paraId="438C29AB" w14:textId="77777777" w:rsidR="0091088B" w:rsidRPr="009C7F29" w:rsidRDefault="0091088B" w:rsidP="0091088B">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Emotional Implications of Trauma</w:t>
      </w:r>
    </w:p>
    <w:p w14:paraId="73275464" w14:textId="0DA19C9E" w:rsidR="0091088B" w:rsidRPr="009C7F29" w:rsidRDefault="0091088B"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Emotionally, trauma can produce overwhelming feelings of fear, anger, guilt, or shame. Young people who have lived through traumatic experiences may feel unsafe even in secure environments, leading to anxiety and emotional withdrawal. They may also experience rapid mood changes or find it difficult to calm down after becoming upset. This emotional dysregulation can make relationships and learning more difficult, particularly in settings that rely on trust and cooperation</w:t>
      </w:r>
      <w:r w:rsidR="00A772F0" w:rsidRPr="009C7F29">
        <w:rPr>
          <w:rFonts w:ascii="Calibri" w:eastAsia="Times New Roman" w:hAnsi="Calibri" w:cs="Calibri"/>
          <w:kern w:val="0"/>
          <w:sz w:val="28"/>
          <w:szCs w:val="28"/>
          <w:lang w:eastAsia="en-GB"/>
          <w14:ligatures w14:val="none"/>
        </w:rPr>
        <w:t xml:space="preserve"> (Weis et al., 2022). </w:t>
      </w:r>
    </w:p>
    <w:p w14:paraId="46DD8746" w14:textId="539933BD" w:rsidR="0091088B" w:rsidRPr="009C7F29" w:rsidRDefault="0091088B"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Attachment theory helps explain how trauma affects emotional development. When caregivers are abusive, neglectful, or inconsistent, young people may not develop secure attachments. Instead, they may form anxious, avoidant, or disorganised attachment patterns that affect how they relate to others. A child who learns that adults are unpredictable may either become overly compliant to avoid conflict or defensive and mistrustful. Emotional security depends on consistent and nurturing relationships, so trauma can seriously damage a young person’s sense of safety and self-worth</w:t>
      </w:r>
      <w:r w:rsidR="0079797F" w:rsidRPr="009C7F29">
        <w:rPr>
          <w:rFonts w:ascii="Calibri" w:eastAsia="Times New Roman" w:hAnsi="Calibri" w:cs="Calibri"/>
          <w:kern w:val="0"/>
          <w:sz w:val="28"/>
          <w:szCs w:val="28"/>
          <w:lang w:eastAsia="en-GB"/>
          <w14:ligatures w14:val="none"/>
        </w:rPr>
        <w:t xml:space="preserve"> (</w:t>
      </w:r>
      <w:proofErr w:type="spellStart"/>
      <w:r w:rsidR="0079797F" w:rsidRPr="009C7F29">
        <w:rPr>
          <w:rFonts w:ascii="Calibri" w:eastAsia="Times New Roman" w:hAnsi="Calibri" w:cs="Calibri"/>
          <w:kern w:val="0"/>
          <w:sz w:val="28"/>
          <w:szCs w:val="28"/>
          <w:lang w:eastAsia="en-GB"/>
          <w14:ligatures w14:val="none"/>
        </w:rPr>
        <w:t>Karatzias</w:t>
      </w:r>
      <w:proofErr w:type="spellEnd"/>
      <w:r w:rsidR="0079797F" w:rsidRPr="009C7F29">
        <w:rPr>
          <w:rFonts w:ascii="Calibri" w:eastAsia="Times New Roman" w:hAnsi="Calibri" w:cs="Calibri"/>
          <w:kern w:val="0"/>
          <w:sz w:val="28"/>
          <w:szCs w:val="28"/>
          <w:lang w:eastAsia="en-GB"/>
          <w14:ligatures w14:val="none"/>
        </w:rPr>
        <w:t xml:space="preserve"> et al., 2022).</w:t>
      </w:r>
    </w:p>
    <w:p w14:paraId="3B9B6784" w14:textId="2148F14F" w:rsidR="0091088B" w:rsidRPr="009C7F29" w:rsidRDefault="0091088B"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Self-concept is also affected. Young people may internalise negative messages from their environment and blame themselves for what has happened. This can lead to feelings of helplessness, shame, and low self-esteem. Over time, these emotional struggles can contribute to mental health conditions such as anxiety, depression, or post-traumatic stress. Understanding these responses as survival mechanisms rather than signs of weakness allows practitioners to approach young people with compassion and patience</w:t>
      </w:r>
      <w:r w:rsidR="00661D38" w:rsidRPr="009C7F29">
        <w:rPr>
          <w:rFonts w:ascii="Calibri" w:eastAsia="Times New Roman" w:hAnsi="Calibri" w:cs="Calibri"/>
          <w:kern w:val="0"/>
          <w:sz w:val="28"/>
          <w:szCs w:val="28"/>
          <w:lang w:eastAsia="en-GB"/>
          <w14:ligatures w14:val="none"/>
        </w:rPr>
        <w:t xml:space="preserve"> (Melamed et al., 2025).</w:t>
      </w:r>
    </w:p>
    <w:p w14:paraId="53DEF9AF" w14:textId="0EC470FD" w:rsidR="0091088B" w:rsidRPr="009C7F29" w:rsidRDefault="0091088B" w:rsidP="0091088B">
      <w:pPr>
        <w:spacing w:after="0" w:line="240" w:lineRule="auto"/>
        <w:rPr>
          <w:rFonts w:ascii="Calibri" w:eastAsia="Times New Roman" w:hAnsi="Calibri" w:cs="Calibri"/>
          <w:kern w:val="0"/>
          <w:sz w:val="28"/>
          <w:szCs w:val="28"/>
          <w:lang w:eastAsia="en-GB"/>
          <w14:ligatures w14:val="none"/>
        </w:rPr>
      </w:pPr>
    </w:p>
    <w:p w14:paraId="2C1D9A66" w14:textId="77777777" w:rsidR="0091088B" w:rsidRPr="009C7F29" w:rsidRDefault="0091088B" w:rsidP="0091088B">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The Relationship Between Trauma and Behaviour</w:t>
      </w:r>
    </w:p>
    <w:p w14:paraId="06B8FD25" w14:textId="350C91C3" w:rsidR="0091088B" w:rsidRPr="009C7F29" w:rsidRDefault="0091088B"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lastRenderedPageBreak/>
        <w:t>The behavioural effects of trauma are often the most visible to practitioners. Some young people become withdrawn or avoidant, while others act out through aggression, defiance, or risk-taking. These behaviours are rarely random; they are attempts to manage overwhelming emotions or regain a sense of control. For example, a young person who has witnessed violence may respond to perceived authority with anger or fear, interpreting neutral situations as threatening</w:t>
      </w:r>
      <w:r w:rsidR="00114300" w:rsidRPr="009C7F29">
        <w:rPr>
          <w:rFonts w:ascii="Calibri" w:eastAsia="Times New Roman" w:hAnsi="Calibri" w:cs="Calibri"/>
          <w:kern w:val="0"/>
          <w:sz w:val="28"/>
          <w:szCs w:val="28"/>
          <w:lang w:eastAsia="en-GB"/>
          <w14:ligatures w14:val="none"/>
        </w:rPr>
        <w:t xml:space="preserve"> (National Health Service (NHS) Wales, 2025).</w:t>
      </w:r>
    </w:p>
    <w:p w14:paraId="6F5D3BCC" w14:textId="27F63B42" w:rsidR="0091088B" w:rsidRPr="009C7F29" w:rsidRDefault="00C52223" w:rsidP="00C52223">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Davis et al. (2022) suggested that t</w:t>
      </w:r>
      <w:r w:rsidR="0091088B" w:rsidRPr="009C7F29">
        <w:rPr>
          <w:rFonts w:ascii="Calibri" w:eastAsia="Times New Roman" w:hAnsi="Calibri" w:cs="Calibri"/>
          <w:kern w:val="0"/>
          <w:sz w:val="28"/>
          <w:szCs w:val="28"/>
          <w:lang w:eastAsia="en-GB"/>
          <w14:ligatures w14:val="none"/>
        </w:rPr>
        <w:t xml:space="preserve">rauma also affects cognition and concentration, which can appear as disinterest or poor motivation in school. However, these responses often stem from disrupted brain processes rather than </w:t>
      </w:r>
      <w:r w:rsidR="005B4F82" w:rsidRPr="009C7F29">
        <w:rPr>
          <w:rFonts w:ascii="Calibri" w:eastAsia="Times New Roman" w:hAnsi="Calibri" w:cs="Calibri"/>
          <w:kern w:val="0"/>
          <w:sz w:val="28"/>
          <w:szCs w:val="28"/>
          <w:lang w:eastAsia="en-GB"/>
          <w14:ligatures w14:val="none"/>
        </w:rPr>
        <w:t xml:space="preserve">a </w:t>
      </w:r>
      <w:r w:rsidR="0091088B" w:rsidRPr="009C7F29">
        <w:rPr>
          <w:rFonts w:ascii="Calibri" w:eastAsia="Times New Roman" w:hAnsi="Calibri" w:cs="Calibri"/>
          <w:kern w:val="0"/>
          <w:sz w:val="28"/>
          <w:szCs w:val="28"/>
          <w:lang w:eastAsia="en-GB"/>
          <w14:ligatures w14:val="none"/>
        </w:rPr>
        <w:t>lack of effort. Trauma can also lead to maladaptive coping mechanisms such as self-harm, substance use, or controlling behaviours. It is important to recognise that these actions serve a purpose for the young person, often helping them to manage feelings of fear or pain.</w:t>
      </w:r>
      <w:r w:rsidRPr="009C7F29">
        <w:rPr>
          <w:rFonts w:ascii="Calibri" w:eastAsia="Times New Roman" w:hAnsi="Calibri" w:cs="Calibri"/>
          <w:kern w:val="0"/>
          <w:sz w:val="28"/>
          <w:szCs w:val="28"/>
          <w:lang w:eastAsia="en-GB"/>
          <w14:ligatures w14:val="none"/>
        </w:rPr>
        <w:t xml:space="preserve">  </w:t>
      </w:r>
    </w:p>
    <w:p w14:paraId="66CBE7AF" w14:textId="77777777" w:rsidR="0091088B" w:rsidRPr="009C7F29" w:rsidRDefault="0091088B" w:rsidP="0091088B">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Implications for Support and Provision</w:t>
      </w:r>
    </w:p>
    <w:p w14:paraId="147306B6" w14:textId="22DD6C9E" w:rsidR="0091088B" w:rsidRPr="009C7F29" w:rsidRDefault="0091088B" w:rsidP="0091088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Supporting young people affected by trauma requires a comprehensive trauma-informed approach that recognises the links between emotional, physiological, and behavioural responses. Trauma-informed practice aims to create environments where young people feel safe, empowered, and understood. It emphasises principles such as safety, trust, collaboration, empowerment, and cultural sensitivity</w:t>
      </w:r>
      <w:r w:rsidR="009F0513" w:rsidRPr="009C7F29">
        <w:rPr>
          <w:rFonts w:ascii="Calibri" w:eastAsia="Times New Roman" w:hAnsi="Calibri" w:cs="Calibri"/>
          <w:kern w:val="0"/>
          <w:sz w:val="28"/>
          <w:szCs w:val="28"/>
          <w:lang w:eastAsia="en-GB"/>
          <w14:ligatures w14:val="none"/>
        </w:rPr>
        <w:t xml:space="preserve"> (Lewis et al., 2022).</w:t>
      </w:r>
      <w:r w:rsidR="00D1597E"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Bath’s Three Pillars of Trauma-Informed Care provide a simple yet effective framework for practice. The three pillars</w:t>
      </w:r>
      <w:r w:rsidR="009F0513" w:rsidRPr="009C7F29">
        <w:rPr>
          <w:rFonts w:ascii="Calibri" w:eastAsia="Times New Roman" w:hAnsi="Calibri" w:cs="Calibri"/>
          <w:kern w:val="0"/>
          <w:sz w:val="28"/>
          <w:szCs w:val="28"/>
          <w:lang w:eastAsia="en-GB"/>
          <w14:ligatures w14:val="none"/>
        </w:rPr>
        <w:t xml:space="preserve"> of </w:t>
      </w:r>
      <w:r w:rsidRPr="009C7F29">
        <w:rPr>
          <w:rFonts w:ascii="Calibri" w:eastAsia="Times New Roman" w:hAnsi="Calibri" w:cs="Calibri"/>
          <w:kern w:val="0"/>
          <w:sz w:val="28"/>
          <w:szCs w:val="28"/>
          <w:lang w:eastAsia="en-GB"/>
          <w14:ligatures w14:val="none"/>
        </w:rPr>
        <w:t>safety, connection, and emotional regulation</w:t>
      </w:r>
      <w:r w:rsidR="009F0513"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form the foundation for recovery. The first pillar, safety, involves creating predictable environments where young people feel</w:t>
      </w:r>
      <w:r w:rsidR="00D1597E"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 xml:space="preserve">physically and emotionally secure. This </w:t>
      </w:r>
      <w:r w:rsidR="00D1597E" w:rsidRPr="009C7F29">
        <w:rPr>
          <w:rFonts w:ascii="Calibri" w:eastAsia="Times New Roman" w:hAnsi="Calibri" w:cs="Calibri"/>
          <w:kern w:val="0"/>
          <w:sz w:val="28"/>
          <w:szCs w:val="28"/>
          <w:lang w:eastAsia="en-GB"/>
          <w14:ligatures w14:val="none"/>
        </w:rPr>
        <w:t>includes</w:t>
      </w:r>
      <w:r w:rsidRPr="009C7F29">
        <w:rPr>
          <w:rFonts w:ascii="Calibri" w:eastAsia="Times New Roman" w:hAnsi="Calibri" w:cs="Calibri"/>
          <w:kern w:val="0"/>
          <w:sz w:val="28"/>
          <w:szCs w:val="28"/>
          <w:lang w:eastAsia="en-GB"/>
          <w14:ligatures w14:val="none"/>
        </w:rPr>
        <w:t xml:space="preserve"> </w:t>
      </w:r>
      <w:r w:rsidR="008501B3" w:rsidRPr="009C7F29">
        <w:rPr>
          <w:rFonts w:ascii="Calibri" w:eastAsia="Times New Roman" w:hAnsi="Calibri" w:cs="Calibri"/>
          <w:kern w:val="0"/>
          <w:sz w:val="28"/>
          <w:szCs w:val="28"/>
          <w:lang w:eastAsia="en-GB"/>
          <w14:ligatures w14:val="none"/>
        </w:rPr>
        <w:t xml:space="preserve">maintaining consistent routines, using calm communication, and having </w:t>
      </w:r>
      <w:r w:rsidRPr="009C7F29">
        <w:rPr>
          <w:rFonts w:ascii="Calibri" w:eastAsia="Times New Roman" w:hAnsi="Calibri" w:cs="Calibri"/>
          <w:kern w:val="0"/>
          <w:sz w:val="28"/>
          <w:szCs w:val="28"/>
          <w:lang w:eastAsia="en-GB"/>
          <w14:ligatures w14:val="none"/>
        </w:rPr>
        <w:t>a clear understanding of boundaries. The second pillar, connection, highlights the importance of positive relationships. Supportive and attuned relationships allow young people to rebuild trust and develop a sense of belonging. The third pillar, emotional regulation, focuses on helping young people manage and understand their emotions through co-regulation and skill-building. Together, these pillars create a foundation for healing by addressing both relational and emotional needs</w:t>
      </w:r>
      <w:r w:rsidR="00D1597E" w:rsidRPr="009C7F29">
        <w:rPr>
          <w:rFonts w:ascii="Calibri" w:eastAsia="Times New Roman" w:hAnsi="Calibri" w:cs="Calibri"/>
          <w:kern w:val="0"/>
          <w:sz w:val="28"/>
          <w:szCs w:val="28"/>
          <w:lang w:eastAsia="en-GB"/>
          <w14:ligatures w14:val="none"/>
        </w:rPr>
        <w:t xml:space="preserve"> (Stephenson, 2023).</w:t>
      </w:r>
      <w:r w:rsidR="008501B3"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 xml:space="preserve">The Sanctuary Model offers a complementary approach </w:t>
      </w:r>
      <w:r w:rsidR="00D1597E" w:rsidRPr="009C7F29">
        <w:rPr>
          <w:rFonts w:ascii="Calibri" w:eastAsia="Times New Roman" w:hAnsi="Calibri" w:cs="Calibri"/>
          <w:kern w:val="0"/>
          <w:sz w:val="28"/>
          <w:szCs w:val="28"/>
          <w:lang w:eastAsia="en-GB"/>
          <w14:ligatures w14:val="none"/>
        </w:rPr>
        <w:t xml:space="preserve">that </w:t>
      </w:r>
      <w:r w:rsidRPr="009C7F29">
        <w:rPr>
          <w:rFonts w:ascii="Calibri" w:eastAsia="Times New Roman" w:hAnsi="Calibri" w:cs="Calibri"/>
          <w:kern w:val="0"/>
          <w:sz w:val="28"/>
          <w:szCs w:val="28"/>
          <w:lang w:eastAsia="en-GB"/>
          <w14:ligatures w14:val="none"/>
        </w:rPr>
        <w:t>focuses more on organisational culture. It encourages entire systems</w:t>
      </w:r>
      <w:r w:rsidR="00D1597E"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such as schools or residential settings</w:t>
      </w:r>
      <w:r w:rsidR="00D1597E"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to adopt trauma-informed values</w:t>
      </w:r>
      <w:r w:rsidR="00F648BC" w:rsidRPr="009C7F29">
        <w:rPr>
          <w:rFonts w:ascii="Calibri" w:eastAsia="Times New Roman" w:hAnsi="Calibri" w:cs="Calibri"/>
          <w:kern w:val="0"/>
          <w:sz w:val="28"/>
          <w:szCs w:val="28"/>
          <w:lang w:eastAsia="en-GB"/>
          <w14:ligatures w14:val="none"/>
        </w:rPr>
        <w:t>,</w:t>
      </w:r>
      <w:r w:rsidRPr="009C7F29">
        <w:rPr>
          <w:rFonts w:ascii="Calibri" w:eastAsia="Times New Roman" w:hAnsi="Calibri" w:cs="Calibri"/>
          <w:kern w:val="0"/>
          <w:sz w:val="28"/>
          <w:szCs w:val="28"/>
          <w:lang w:eastAsia="en-GB"/>
          <w14:ligatures w14:val="none"/>
        </w:rPr>
        <w:t xml:space="preserve"> including non-violence, shared governance, and emotional intelligence. While Bath’s model centres on the direct relationship between practitioner and young person, the Sanctuary </w:t>
      </w:r>
      <w:r w:rsidRPr="009C7F29">
        <w:rPr>
          <w:rFonts w:ascii="Calibri" w:eastAsia="Times New Roman" w:hAnsi="Calibri" w:cs="Calibri"/>
          <w:kern w:val="0"/>
          <w:sz w:val="28"/>
          <w:szCs w:val="28"/>
          <w:lang w:eastAsia="en-GB"/>
          <w14:ligatures w14:val="none"/>
        </w:rPr>
        <w:lastRenderedPageBreak/>
        <w:t xml:space="preserve">Model </w:t>
      </w:r>
      <w:r w:rsidR="008501B3" w:rsidRPr="009C7F29">
        <w:rPr>
          <w:rFonts w:ascii="Calibri" w:eastAsia="Times New Roman" w:hAnsi="Calibri" w:cs="Calibri"/>
          <w:kern w:val="0"/>
          <w:sz w:val="28"/>
          <w:szCs w:val="28"/>
          <w:lang w:eastAsia="en-GB"/>
          <w14:ligatures w14:val="none"/>
        </w:rPr>
        <w:t>integrates</w:t>
      </w:r>
      <w:r w:rsidRPr="009C7F29">
        <w:rPr>
          <w:rFonts w:ascii="Calibri" w:eastAsia="Times New Roman" w:hAnsi="Calibri" w:cs="Calibri"/>
          <w:kern w:val="0"/>
          <w:sz w:val="28"/>
          <w:szCs w:val="28"/>
          <w:lang w:eastAsia="en-GB"/>
          <w14:ligatures w14:val="none"/>
        </w:rPr>
        <w:t xml:space="preserve"> trauma-informed principles into organisational structures. In practice, combining these two models can provide both relational depth and systemic consistency. For example, a school might use Bath’s framework to guide one-to-one support while adopting the Sanctuary Model to shape policies, communication, and staff wellbeing</w:t>
      </w:r>
      <w:r w:rsidR="008501B3" w:rsidRPr="009C7F29">
        <w:rPr>
          <w:rFonts w:ascii="Calibri" w:eastAsia="Times New Roman" w:hAnsi="Calibri" w:cs="Calibri"/>
          <w:kern w:val="0"/>
          <w:sz w:val="28"/>
          <w:szCs w:val="28"/>
          <w:lang w:eastAsia="en-GB"/>
          <w14:ligatures w14:val="none"/>
        </w:rPr>
        <w:t xml:space="preserve"> (Garwood et al., 2020).</w:t>
      </w:r>
    </w:p>
    <w:p w14:paraId="5B93616F" w14:textId="2F8229C2" w:rsidR="0091088B" w:rsidRPr="009C7F29" w:rsidRDefault="0091088B" w:rsidP="0091088B">
      <w:pPr>
        <w:spacing w:after="0" w:line="240" w:lineRule="auto"/>
        <w:rPr>
          <w:rFonts w:ascii="Calibri" w:eastAsia="Times New Roman" w:hAnsi="Calibri" w:cs="Calibri"/>
          <w:kern w:val="0"/>
          <w:sz w:val="28"/>
          <w:szCs w:val="28"/>
          <w:lang w:eastAsia="en-GB"/>
          <w14:ligatures w14:val="none"/>
        </w:rPr>
      </w:pPr>
    </w:p>
    <w:p w14:paraId="6851A906" w14:textId="14808F37" w:rsidR="0091088B" w:rsidRPr="009C7F29" w:rsidRDefault="0091088B" w:rsidP="0091088B">
      <w:pPr>
        <w:spacing w:after="0" w:line="240" w:lineRule="auto"/>
        <w:rPr>
          <w:rFonts w:ascii="Calibri" w:eastAsia="Times New Roman" w:hAnsi="Calibri" w:cs="Calibri"/>
          <w:kern w:val="0"/>
          <w:sz w:val="28"/>
          <w:szCs w:val="28"/>
          <w:lang w:eastAsia="en-GB"/>
          <w14:ligatures w14:val="none"/>
        </w:rPr>
      </w:pPr>
    </w:p>
    <w:p w14:paraId="1FCE2A6A" w14:textId="77777777" w:rsidR="0091088B" w:rsidRPr="009C7F29" w:rsidRDefault="0091088B" w:rsidP="0091088B">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Professional Burnout and Practitioner Wellbeing</w:t>
      </w:r>
    </w:p>
    <w:p w14:paraId="6F2877F5" w14:textId="665F6899" w:rsidR="00FE3200" w:rsidRPr="009C7F29" w:rsidRDefault="0091088B" w:rsidP="00FE3200">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Working with trauma can be deeply rewarding but also emotionally demanding. Professionals who regularly hear traumatic stories or manage </w:t>
      </w:r>
      <w:r w:rsidR="00110040" w:rsidRPr="009C7F29">
        <w:rPr>
          <w:rFonts w:ascii="Calibri" w:eastAsia="Times New Roman" w:hAnsi="Calibri" w:cs="Calibri"/>
          <w:kern w:val="0"/>
          <w:sz w:val="28"/>
          <w:szCs w:val="28"/>
          <w:lang w:eastAsia="en-GB"/>
          <w14:ligatures w14:val="none"/>
        </w:rPr>
        <w:t>crises</w:t>
      </w:r>
      <w:r w:rsidRPr="009C7F29">
        <w:rPr>
          <w:rFonts w:ascii="Calibri" w:eastAsia="Times New Roman" w:hAnsi="Calibri" w:cs="Calibri"/>
          <w:kern w:val="0"/>
          <w:sz w:val="28"/>
          <w:szCs w:val="28"/>
          <w:lang w:eastAsia="en-GB"/>
          <w14:ligatures w14:val="none"/>
        </w:rPr>
        <w:t xml:space="preserve"> are at risk of compassion fatigue, secondary traumatic stress, and burnout. This can lead to emotional exhaustion, reduced empathy, and impaired decision-making</w:t>
      </w:r>
      <w:r w:rsidR="00110040" w:rsidRPr="009C7F29">
        <w:rPr>
          <w:rFonts w:ascii="Calibri" w:eastAsia="Times New Roman" w:hAnsi="Calibri" w:cs="Calibri"/>
          <w:kern w:val="0"/>
          <w:sz w:val="28"/>
          <w:szCs w:val="28"/>
          <w:lang w:eastAsia="en-GB"/>
          <w14:ligatures w14:val="none"/>
        </w:rPr>
        <w:t>.</w:t>
      </w:r>
      <w:r w:rsidRPr="009C7F29">
        <w:rPr>
          <w:rFonts w:ascii="Calibri" w:eastAsia="Times New Roman" w:hAnsi="Calibri" w:cs="Calibri"/>
          <w:kern w:val="0"/>
          <w:sz w:val="28"/>
          <w:szCs w:val="28"/>
          <w:lang w:eastAsia="en-GB"/>
          <w14:ligatures w14:val="none"/>
        </w:rPr>
        <w:t xml:space="preserve"> In trauma-informed work, practitioner wellbeing is not optional</w:t>
      </w:r>
      <w:r w:rsidR="00110040"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 xml:space="preserve">it is fundamental to </w:t>
      </w:r>
      <w:r w:rsidR="00110040" w:rsidRPr="009C7F29">
        <w:rPr>
          <w:rFonts w:ascii="Calibri" w:eastAsia="Times New Roman" w:hAnsi="Calibri" w:cs="Calibri"/>
          <w:kern w:val="0"/>
          <w:sz w:val="28"/>
          <w:szCs w:val="28"/>
          <w:lang w:eastAsia="en-GB"/>
          <w14:ligatures w14:val="none"/>
        </w:rPr>
        <w:t>provide</w:t>
      </w:r>
      <w:r w:rsidRPr="009C7F29">
        <w:rPr>
          <w:rFonts w:ascii="Calibri" w:eastAsia="Times New Roman" w:hAnsi="Calibri" w:cs="Calibri"/>
          <w:kern w:val="0"/>
          <w:sz w:val="28"/>
          <w:szCs w:val="28"/>
          <w:lang w:eastAsia="en-GB"/>
          <w14:ligatures w14:val="none"/>
        </w:rPr>
        <w:t xml:space="preserve"> safe and effective care</w:t>
      </w:r>
      <w:r w:rsidR="00110040" w:rsidRPr="009C7F29">
        <w:rPr>
          <w:rFonts w:ascii="Calibri" w:eastAsia="Times New Roman" w:hAnsi="Calibri" w:cs="Calibri"/>
          <w:kern w:val="0"/>
          <w:sz w:val="28"/>
          <w:szCs w:val="28"/>
          <w:lang w:eastAsia="en-GB"/>
          <w14:ligatures w14:val="none"/>
        </w:rPr>
        <w:t xml:space="preserve"> (Gilbert-Eliot, 2025). </w:t>
      </w:r>
      <w:r w:rsidRPr="009C7F29">
        <w:rPr>
          <w:rFonts w:ascii="Calibri" w:eastAsia="Times New Roman" w:hAnsi="Calibri" w:cs="Calibri"/>
          <w:kern w:val="0"/>
          <w:sz w:val="28"/>
          <w:szCs w:val="28"/>
          <w:lang w:eastAsia="en-GB"/>
          <w14:ligatures w14:val="none"/>
        </w:rPr>
        <w:t xml:space="preserve">Regular supervision, reflective practice, and peer support are key protective factors. Practitioners need opportunities to process emotional experiences and recognise their own limits. Organisations must create cultures where staff can seek support without stigma. Embedding trauma-informed principles for staff wellbeing </w:t>
      </w:r>
      <w:r w:rsidR="00110040" w:rsidRPr="009C7F29">
        <w:rPr>
          <w:rFonts w:ascii="Calibri" w:eastAsia="Times New Roman" w:hAnsi="Calibri" w:cs="Calibri"/>
          <w:kern w:val="0"/>
          <w:sz w:val="28"/>
          <w:szCs w:val="28"/>
          <w:lang w:eastAsia="en-GB"/>
          <w14:ligatures w14:val="none"/>
        </w:rPr>
        <w:t>can be observed</w:t>
      </w:r>
      <w:r w:rsidRPr="009C7F29">
        <w:rPr>
          <w:rFonts w:ascii="Calibri" w:eastAsia="Times New Roman" w:hAnsi="Calibri" w:cs="Calibri"/>
          <w:kern w:val="0"/>
          <w:sz w:val="28"/>
          <w:szCs w:val="28"/>
          <w:lang w:eastAsia="en-GB"/>
          <w14:ligatures w14:val="none"/>
        </w:rPr>
        <w:t xml:space="preserve"> </w:t>
      </w:r>
      <w:r w:rsidR="00110040" w:rsidRPr="009C7F29">
        <w:rPr>
          <w:rFonts w:ascii="Calibri" w:eastAsia="Times New Roman" w:hAnsi="Calibri" w:cs="Calibri"/>
          <w:kern w:val="0"/>
          <w:sz w:val="28"/>
          <w:szCs w:val="28"/>
          <w:lang w:eastAsia="en-GB"/>
          <w14:ligatures w14:val="none"/>
        </w:rPr>
        <w:t xml:space="preserve">in </w:t>
      </w:r>
      <w:r w:rsidRPr="009C7F29">
        <w:rPr>
          <w:rFonts w:ascii="Calibri" w:eastAsia="Times New Roman" w:hAnsi="Calibri" w:cs="Calibri"/>
          <w:kern w:val="0"/>
          <w:sz w:val="28"/>
          <w:szCs w:val="28"/>
          <w:lang w:eastAsia="en-GB"/>
          <w14:ligatures w14:val="none"/>
        </w:rPr>
        <w:t>the same care extended to young people</w:t>
      </w:r>
      <w:r w:rsidR="00FE3200" w:rsidRPr="009C7F29">
        <w:rPr>
          <w:rFonts w:ascii="Calibri" w:eastAsia="Times New Roman" w:hAnsi="Calibri" w:cs="Calibri"/>
          <w:kern w:val="0"/>
          <w:sz w:val="28"/>
          <w:szCs w:val="28"/>
          <w:lang w:eastAsia="en-GB"/>
          <w14:ligatures w14:val="none"/>
        </w:rPr>
        <w:t>, characterised by</w:t>
      </w:r>
      <w:r w:rsidRPr="009C7F29">
        <w:rPr>
          <w:rFonts w:ascii="Calibri" w:eastAsia="Times New Roman" w:hAnsi="Calibri" w:cs="Calibri"/>
          <w:kern w:val="0"/>
          <w:sz w:val="28"/>
          <w:szCs w:val="28"/>
          <w:lang w:eastAsia="en-GB"/>
          <w14:ligatures w14:val="none"/>
        </w:rPr>
        <w:t xml:space="preserve"> safety, connection, and regulation. When professionals feel supported, they are more able to provide consistent, empathetic, and effective care</w:t>
      </w:r>
      <w:r w:rsidR="00FE3200" w:rsidRPr="009C7F29">
        <w:rPr>
          <w:rFonts w:ascii="Calibri" w:eastAsia="Times New Roman" w:hAnsi="Calibri" w:cs="Calibri"/>
          <w:kern w:val="0"/>
          <w:sz w:val="28"/>
          <w:szCs w:val="28"/>
          <w:lang w:eastAsia="en-GB"/>
          <w14:ligatures w14:val="none"/>
        </w:rPr>
        <w:t xml:space="preserve"> (Mahon, 2020). Critical reflection and trauma-informed practice require constant self-awareness and emotional competence. Practitioners need to be aware of how their personal reactions and experiences can affect how they interact with adolescents. Effective practice requires upholding boundaries and creating a balance between self-care and empathy. In this regard, trauma-informed care exceeds intervention and becomes a mutually respectful and emotionally safe approach for both professionals and young people</w:t>
      </w:r>
      <w:r w:rsidR="009C7616" w:rsidRPr="009C7F29">
        <w:rPr>
          <w:rFonts w:ascii="Calibri" w:eastAsia="Times New Roman" w:hAnsi="Calibri" w:cs="Calibri"/>
          <w:kern w:val="0"/>
          <w:sz w:val="28"/>
          <w:szCs w:val="28"/>
          <w:lang w:eastAsia="en-GB"/>
          <w14:ligatures w14:val="none"/>
        </w:rPr>
        <w:t xml:space="preserve"> (GOV.UK, 2022).</w:t>
      </w:r>
    </w:p>
    <w:p w14:paraId="00E21D5A" w14:textId="0FBA1338" w:rsidR="0091088B" w:rsidRPr="009C7F29" w:rsidRDefault="0091088B" w:rsidP="00FE3200">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0CAB8E8F" w14:textId="77777777" w:rsidR="00110040" w:rsidRPr="009C7F29" w:rsidRDefault="00110040" w:rsidP="00110040">
      <w:pPr>
        <w:spacing w:before="100" w:beforeAutospacing="1" w:after="100" w:afterAutospacing="1" w:line="240" w:lineRule="auto"/>
        <w:outlineLvl w:val="2"/>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Recommendations</w:t>
      </w:r>
    </w:p>
    <w:p w14:paraId="2DCD049A" w14:textId="18CED236" w:rsidR="00110040" w:rsidRPr="009C7F29" w:rsidRDefault="00110040" w:rsidP="00110040">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To strengthen trauma-informed provision for young people, organisations should align their practice with the UK government’s Working Definition of Trauma-Informed Practice. This policy promotes six key principles of safety, trustworthiness, choice, collaboration, empowerment, and cultural awareness. </w:t>
      </w:r>
      <w:r w:rsidRPr="009C7F29">
        <w:rPr>
          <w:rFonts w:ascii="Calibri" w:eastAsia="Times New Roman" w:hAnsi="Calibri" w:cs="Calibri"/>
          <w:kern w:val="0"/>
          <w:sz w:val="28"/>
          <w:szCs w:val="28"/>
          <w:lang w:eastAsia="en-GB"/>
          <w14:ligatures w14:val="none"/>
        </w:rPr>
        <w:lastRenderedPageBreak/>
        <w:t>Embedding these principles alongside Bath’s Three Pillars of Trauma-Informed Care, which focus on safety, connection, and emotional regulation, helps ensure that both policy and daily practice support recovery</w:t>
      </w:r>
      <w:r w:rsidR="009C7616" w:rsidRPr="009C7F29">
        <w:rPr>
          <w:rFonts w:ascii="Calibri" w:eastAsia="Times New Roman" w:hAnsi="Calibri" w:cs="Calibri"/>
          <w:kern w:val="0"/>
          <w:sz w:val="28"/>
          <w:szCs w:val="28"/>
          <w:lang w:eastAsia="en-GB"/>
          <w14:ligatures w14:val="none"/>
        </w:rPr>
        <w:t xml:space="preserve"> (Office for Health Improvement and Disparities, 2022).</w:t>
      </w:r>
      <w:r w:rsidR="00AF12B2" w:rsidRPr="009C7F29">
        <w:rPr>
          <w:rFonts w:ascii="Calibri" w:eastAsia="Times New Roman" w:hAnsi="Calibri" w:cs="Calibri"/>
          <w:kern w:val="0"/>
          <w:sz w:val="28"/>
          <w:szCs w:val="28"/>
          <w:lang w:eastAsia="en-GB"/>
          <w14:ligatures w14:val="none"/>
        </w:rPr>
        <w:t xml:space="preserve"> </w:t>
      </w:r>
      <w:r w:rsidRPr="009C7F29">
        <w:rPr>
          <w:rFonts w:ascii="Calibri" w:eastAsia="Times New Roman" w:hAnsi="Calibri" w:cs="Calibri"/>
          <w:kern w:val="0"/>
          <w:sz w:val="28"/>
          <w:szCs w:val="28"/>
          <w:lang w:eastAsia="en-GB"/>
          <w14:ligatures w14:val="none"/>
        </w:rPr>
        <w:t xml:space="preserve">Creating calm, predictable environments and viewing behaviour as communication </w:t>
      </w:r>
      <w:r w:rsidR="00FE3200" w:rsidRPr="009C7F29">
        <w:rPr>
          <w:rFonts w:ascii="Calibri" w:eastAsia="Times New Roman" w:hAnsi="Calibri" w:cs="Calibri"/>
          <w:kern w:val="0"/>
          <w:sz w:val="28"/>
          <w:szCs w:val="28"/>
          <w:lang w:eastAsia="en-GB"/>
          <w14:ligatures w14:val="none"/>
        </w:rPr>
        <w:t>encourages</w:t>
      </w:r>
      <w:r w:rsidRPr="009C7F29">
        <w:rPr>
          <w:rFonts w:ascii="Calibri" w:eastAsia="Times New Roman" w:hAnsi="Calibri" w:cs="Calibri"/>
          <w:kern w:val="0"/>
          <w:sz w:val="28"/>
          <w:szCs w:val="28"/>
          <w:lang w:eastAsia="en-GB"/>
          <w14:ligatures w14:val="none"/>
        </w:rPr>
        <w:t xml:space="preserve"> young people to feel safe and understood. Collaboration between schools, health, and social care services is also essential to provide consistent, sustained support. Implementing frameworks such as the Sanctuary Model can strengthen organisational consistency and reduce fragmented care</w:t>
      </w:r>
      <w:r w:rsidR="00AF12B2" w:rsidRPr="009C7F29">
        <w:rPr>
          <w:rFonts w:ascii="Calibri" w:eastAsia="Times New Roman" w:hAnsi="Calibri" w:cs="Calibri"/>
          <w:kern w:val="0"/>
          <w:sz w:val="28"/>
          <w:szCs w:val="28"/>
          <w:lang w:eastAsia="en-GB"/>
          <w14:ligatures w14:val="none"/>
        </w:rPr>
        <w:t xml:space="preserve"> (Ramasubramanian et al., 2021). Practitioner wellbeing should be prioritised through reflective supervision, supportive leadership, and manageable caseloads to prevent burnout. Lastly, trauma-informed practice must be regarded as an ongoing, reflective process supported by continuous evaluation and involving young people in service design to ensure responsive and effective care (Teoh et al., 2025).</w:t>
      </w:r>
    </w:p>
    <w:p w14:paraId="51816E15" w14:textId="77777777" w:rsidR="008501B3" w:rsidRPr="009C7F29" w:rsidRDefault="008501B3" w:rsidP="0091088B">
      <w:pPr>
        <w:spacing w:after="0" w:line="240" w:lineRule="auto"/>
        <w:rPr>
          <w:rFonts w:ascii="Calibri" w:eastAsia="Times New Roman" w:hAnsi="Calibri" w:cs="Calibri"/>
          <w:kern w:val="0"/>
          <w:sz w:val="28"/>
          <w:szCs w:val="28"/>
          <w:lang w:eastAsia="en-GB"/>
          <w14:ligatures w14:val="none"/>
        </w:rPr>
      </w:pPr>
    </w:p>
    <w:p w14:paraId="3BF0D1AB" w14:textId="08654F09" w:rsidR="0064158D" w:rsidRPr="009C7F29" w:rsidRDefault="0064158D" w:rsidP="0064158D">
      <w:pPr>
        <w:spacing w:before="100" w:beforeAutospacing="1" w:after="100" w:afterAutospacing="1" w:line="240" w:lineRule="auto"/>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Limitations</w:t>
      </w:r>
    </w:p>
    <w:p w14:paraId="48B12B6C" w14:textId="6613DB7C" w:rsidR="00807E2F" w:rsidRPr="009C7F29" w:rsidRDefault="00807E2F" w:rsidP="00807E2F">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While trauma-informed models such as Bath’s Three Pillars and the Sanctuary Model provide effective frameworks for supporting young people, their implementation presents several significant challenges. Evidence on long-term outcomes remains limited, and successful delivery often depends on sustained training, reflective supervision, and adequate resources. For instance, low staff training budgets and high turnover rates mean many practitioners do not receive ongoing development or support, weakening consistency and confidence in trauma-informed practice. Without strong organisational commitment and leadership, these frameworks risk being adopted superficially, with language used symbolically rather than as part of genuine cultural change (Burge et al., 2021).</w:t>
      </w:r>
      <w:r w:rsidR="00270D7D" w:rsidRPr="009C7F29">
        <w:rPr>
          <w:rFonts w:ascii="Calibri" w:eastAsia="Times New Roman" w:hAnsi="Calibri" w:cs="Calibri"/>
          <w:kern w:val="0"/>
          <w:sz w:val="28"/>
          <w:szCs w:val="28"/>
          <w:lang w:eastAsia="en-GB"/>
          <w14:ligatures w14:val="none"/>
        </w:rPr>
        <w:t xml:space="preserve"> </w:t>
      </w:r>
      <w:r w:rsidR="002F1910" w:rsidRPr="009C7F29">
        <w:rPr>
          <w:rFonts w:ascii="Calibri" w:eastAsia="Times New Roman" w:hAnsi="Calibri" w:cs="Calibri"/>
          <w:kern w:val="0"/>
          <w:sz w:val="28"/>
          <w:szCs w:val="28"/>
          <w:lang w:eastAsia="en-GB"/>
          <w14:ligatures w14:val="none"/>
        </w:rPr>
        <w:t>Another major limitation is workforce instability and limited resources. High staff turnover, workload pressures, and insufficient supervision can weaken the consistent delivery of trauma-informed care. When practitioners are overstretched or unsupported, it becomes difficult to maintain the reflective practice, empathy, and emotional regulation that trauma-informed models require. Limited funding can also restrict access to quality training and development opportunities, meaning staff may lack the confidence or skills to apply trauma-informed principles effectively. These challenges can lead to inconsistent practice and reduced trust between young people and professionals, undermining the stability that trauma-informed environments depend on</w:t>
      </w:r>
      <w:r w:rsidR="00270D7D" w:rsidRPr="009C7F29">
        <w:rPr>
          <w:rFonts w:ascii="Calibri" w:eastAsia="Times New Roman" w:hAnsi="Calibri" w:cs="Calibri"/>
          <w:kern w:val="0"/>
          <w:sz w:val="28"/>
          <w:szCs w:val="28"/>
          <w:lang w:eastAsia="en-GB"/>
          <w14:ligatures w14:val="none"/>
        </w:rPr>
        <w:t xml:space="preserve"> (Ballout, 2025). </w:t>
      </w:r>
      <w:r w:rsidRPr="009C7F29">
        <w:rPr>
          <w:rFonts w:ascii="Calibri" w:eastAsia="Times New Roman" w:hAnsi="Calibri" w:cs="Calibri"/>
          <w:kern w:val="0"/>
          <w:sz w:val="28"/>
          <w:szCs w:val="28"/>
          <w:lang w:eastAsia="en-GB"/>
          <w14:ligatures w14:val="none"/>
        </w:rPr>
        <w:t xml:space="preserve">High emotional demands also place </w:t>
      </w:r>
      <w:r w:rsidRPr="009C7F29">
        <w:rPr>
          <w:rFonts w:ascii="Calibri" w:eastAsia="Times New Roman" w:hAnsi="Calibri" w:cs="Calibri"/>
          <w:kern w:val="0"/>
          <w:sz w:val="28"/>
          <w:szCs w:val="28"/>
          <w:lang w:eastAsia="en-GB"/>
          <w14:ligatures w14:val="none"/>
        </w:rPr>
        <w:lastRenderedPageBreak/>
        <w:t>pressure on staff wellbeing, potentially leading to compassion fatigue or burnout when reflective and emotional support systems are inadequate. Addressing these limitations requires culturally adaptive frameworks, organisational accountability, and sustained investment in workforce development and evaluation to ensure equitable and effective implementation</w:t>
      </w:r>
      <w:r w:rsidR="00270D7D" w:rsidRPr="009C7F29">
        <w:rPr>
          <w:rFonts w:ascii="Calibri" w:eastAsia="Times New Roman" w:hAnsi="Calibri" w:cs="Calibri"/>
          <w:kern w:val="0"/>
          <w:sz w:val="28"/>
          <w:szCs w:val="28"/>
          <w:lang w:eastAsia="en-GB"/>
          <w14:ligatures w14:val="none"/>
        </w:rPr>
        <w:t xml:space="preserve"> (Kelly, 2020).</w:t>
      </w:r>
    </w:p>
    <w:p w14:paraId="7E2E4809" w14:textId="77777777" w:rsidR="00807E2F" w:rsidRPr="009C7F29" w:rsidRDefault="00807E2F" w:rsidP="0064158D">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1455C6EC" w14:textId="136DFA58" w:rsidR="00270D7D" w:rsidRPr="009C7F29" w:rsidRDefault="00270D7D" w:rsidP="00270D7D">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t>Conclusion</w:t>
      </w:r>
      <w:r w:rsidRPr="009C7F29">
        <w:rPr>
          <w:rFonts w:ascii="Calibri" w:eastAsia="Times New Roman" w:hAnsi="Calibri" w:cs="Calibri"/>
          <w:kern w:val="0"/>
          <w:sz w:val="28"/>
          <w:szCs w:val="28"/>
          <w:lang w:eastAsia="en-GB"/>
          <w14:ligatures w14:val="none"/>
        </w:rPr>
        <w:br/>
        <w:t>Understanding the physiological and emotional effects of trauma on young people is essential for developing effective, compassionate, and sustainable support systems. Trauma affects not only the brain and body but also a young person’s capacity for trust, learning, and emotional regulation. The evidence reviewed highlights that trauma responses are deeply rooted in both physiological processes and relational experiences, reinforcing the need for trauma-informed approaches that recognise behaviour as communication rather than defiance</w:t>
      </w:r>
      <w:r w:rsidR="002827AD" w:rsidRPr="009C7F29">
        <w:rPr>
          <w:rFonts w:ascii="Calibri" w:eastAsia="Times New Roman" w:hAnsi="Calibri" w:cs="Calibri"/>
          <w:kern w:val="0"/>
          <w:sz w:val="28"/>
          <w:szCs w:val="28"/>
          <w:lang w:eastAsia="en-GB"/>
          <w14:ligatures w14:val="none"/>
        </w:rPr>
        <w:t xml:space="preserve"> (Campbell, 2022).</w:t>
      </w:r>
    </w:p>
    <w:p w14:paraId="0B0A2DF9" w14:textId="7CFAB9A9" w:rsidR="00270D7D" w:rsidRPr="009C7F29" w:rsidRDefault="00270D7D" w:rsidP="00270D7D">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Bath’s Three Pillars of Trauma-Informed Care and the Sanctuary Model both provide valuable frameworks for supporting recovery. Bath’s model offers clear, relationship-focused guidance for building safety, connection, and emotional regulation at an individual level, while the Sanctuary Model extends these principles to organisational culture, ensuring systemic consistency. When integrated, these models create environments that promote healing and resilience across multiple layers of care</w:t>
      </w:r>
      <w:r w:rsidR="002827AD" w:rsidRPr="009C7F29">
        <w:rPr>
          <w:rFonts w:ascii="Calibri" w:eastAsia="Times New Roman" w:hAnsi="Calibri" w:cs="Calibri"/>
          <w:kern w:val="0"/>
          <w:sz w:val="28"/>
          <w:szCs w:val="28"/>
          <w:lang w:eastAsia="en-GB"/>
          <w14:ligatures w14:val="none"/>
        </w:rPr>
        <w:t xml:space="preserve"> (Farr et al., 2025). </w:t>
      </w:r>
      <w:r w:rsidRPr="009C7F29">
        <w:rPr>
          <w:rFonts w:ascii="Calibri" w:eastAsia="Times New Roman" w:hAnsi="Calibri" w:cs="Calibri"/>
          <w:kern w:val="0"/>
          <w:sz w:val="28"/>
          <w:szCs w:val="28"/>
          <w:lang w:eastAsia="en-GB"/>
          <w14:ligatures w14:val="none"/>
        </w:rPr>
        <w:t>However, effective implementation depends on stable leadership, ongoing staff training, and emotional support for practitioners. Without these, trauma-informed approaches risk becoming inconsistent or superficial. Addressing workforce pressures, funding gaps, and the emotional toll on staff is therefore crucial to sustainability</w:t>
      </w:r>
      <w:r w:rsidR="002827AD" w:rsidRPr="009C7F29">
        <w:rPr>
          <w:rFonts w:ascii="Calibri" w:eastAsia="Times New Roman" w:hAnsi="Calibri" w:cs="Calibri"/>
          <w:kern w:val="0"/>
          <w:sz w:val="28"/>
          <w:szCs w:val="28"/>
          <w:lang w:eastAsia="en-GB"/>
          <w14:ligatures w14:val="none"/>
        </w:rPr>
        <w:t xml:space="preserve"> (</w:t>
      </w:r>
      <w:proofErr w:type="spellStart"/>
      <w:r w:rsidR="002827AD" w:rsidRPr="009C7F29">
        <w:rPr>
          <w:rFonts w:ascii="Calibri" w:eastAsia="Times New Roman" w:hAnsi="Calibri" w:cs="Calibri"/>
          <w:kern w:val="0"/>
          <w:sz w:val="28"/>
          <w:szCs w:val="28"/>
          <w:lang w:eastAsia="en-GB"/>
          <w14:ligatures w14:val="none"/>
        </w:rPr>
        <w:t>Casingcasing</w:t>
      </w:r>
      <w:proofErr w:type="spellEnd"/>
      <w:r w:rsidR="002827AD" w:rsidRPr="009C7F29">
        <w:rPr>
          <w:rFonts w:ascii="Calibri" w:eastAsia="Times New Roman" w:hAnsi="Calibri" w:cs="Calibri"/>
          <w:kern w:val="0"/>
          <w:sz w:val="28"/>
          <w:szCs w:val="28"/>
          <w:lang w:eastAsia="en-GB"/>
          <w14:ligatures w14:val="none"/>
        </w:rPr>
        <w:t xml:space="preserve"> et al., 2025). </w:t>
      </w:r>
      <w:r w:rsidRPr="009C7F29">
        <w:rPr>
          <w:rFonts w:ascii="Calibri" w:eastAsia="Times New Roman" w:hAnsi="Calibri" w:cs="Calibri"/>
          <w:kern w:val="0"/>
          <w:sz w:val="28"/>
          <w:szCs w:val="28"/>
          <w:lang w:eastAsia="en-GB"/>
          <w14:ligatures w14:val="none"/>
        </w:rPr>
        <w:t>In summary, trauma-informed care represents a holistic and evolving practice that prioritises safety, empathy, and collaboration. By embedding trauma awareness into both policy and everyday interactions, professionals can create environments where young people feel understood, supported, and empowered to rebuild trust and achieve positive outcomes</w:t>
      </w:r>
      <w:r w:rsidR="00A1712C" w:rsidRPr="009C7F29">
        <w:rPr>
          <w:rFonts w:ascii="Calibri" w:eastAsia="Times New Roman" w:hAnsi="Calibri" w:cs="Calibri"/>
          <w:kern w:val="0"/>
          <w:sz w:val="28"/>
          <w:szCs w:val="28"/>
          <w:lang w:eastAsia="en-GB"/>
          <w14:ligatures w14:val="none"/>
        </w:rPr>
        <w:t xml:space="preserve"> (Emsley et al., 2025).</w:t>
      </w:r>
    </w:p>
    <w:p w14:paraId="547F3E42" w14:textId="77777777" w:rsidR="00270D7D" w:rsidRPr="009C7F29" w:rsidRDefault="00270D7D" w:rsidP="0064158D">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56AF15C" w14:textId="78435FD6" w:rsidR="00331EC7" w:rsidRPr="009C7F29" w:rsidRDefault="00331EC7" w:rsidP="00331EC7">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2DFBE75E" w14:textId="61EDA981" w:rsidR="0064158D" w:rsidRPr="009C7F29" w:rsidRDefault="003172EB" w:rsidP="00331EC7">
      <w:pPr>
        <w:spacing w:before="100" w:beforeAutospacing="1" w:after="100" w:afterAutospacing="1" w:line="240" w:lineRule="auto"/>
        <w:rPr>
          <w:rFonts w:ascii="Calibri" w:eastAsia="Times New Roman" w:hAnsi="Calibri" w:cs="Calibri"/>
          <w:b/>
          <w:bCs/>
          <w:kern w:val="0"/>
          <w:sz w:val="28"/>
          <w:szCs w:val="28"/>
          <w:lang w:eastAsia="en-GB"/>
          <w14:ligatures w14:val="none"/>
        </w:rPr>
      </w:pPr>
      <w:r w:rsidRPr="009C7F29">
        <w:rPr>
          <w:rFonts w:ascii="Calibri" w:eastAsia="Times New Roman" w:hAnsi="Calibri" w:cs="Calibri"/>
          <w:b/>
          <w:bCs/>
          <w:kern w:val="0"/>
          <w:sz w:val="28"/>
          <w:szCs w:val="28"/>
          <w:lang w:eastAsia="en-GB"/>
          <w14:ligatures w14:val="none"/>
        </w:rPr>
        <w:lastRenderedPageBreak/>
        <w:t>References:</w:t>
      </w:r>
    </w:p>
    <w:p w14:paraId="77C8FF54"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4F83A64"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Al-</w:t>
      </w:r>
      <w:proofErr w:type="spellStart"/>
      <w:r w:rsidRPr="009C7F29">
        <w:rPr>
          <w:rFonts w:ascii="Calibri" w:eastAsia="Times New Roman" w:hAnsi="Calibri" w:cs="Calibri"/>
          <w:kern w:val="0"/>
          <w:sz w:val="28"/>
          <w:szCs w:val="28"/>
          <w:lang w:eastAsia="en-GB"/>
          <w14:ligatures w14:val="none"/>
        </w:rPr>
        <w:t>Beltagi</w:t>
      </w:r>
      <w:proofErr w:type="spellEnd"/>
      <w:r w:rsidRPr="009C7F29">
        <w:rPr>
          <w:rFonts w:ascii="Calibri" w:eastAsia="Times New Roman" w:hAnsi="Calibri" w:cs="Calibri"/>
          <w:kern w:val="0"/>
          <w:sz w:val="28"/>
          <w:szCs w:val="28"/>
          <w:lang w:eastAsia="en-GB"/>
          <w14:ligatures w14:val="none"/>
        </w:rPr>
        <w:t xml:space="preserve">, M., Saeed, N. K., </w:t>
      </w:r>
      <w:proofErr w:type="spellStart"/>
      <w:r w:rsidRPr="009C7F29">
        <w:rPr>
          <w:rFonts w:ascii="Calibri" w:eastAsia="Times New Roman" w:hAnsi="Calibri" w:cs="Calibri"/>
          <w:kern w:val="0"/>
          <w:sz w:val="28"/>
          <w:szCs w:val="28"/>
          <w:lang w:eastAsia="en-GB"/>
          <w14:ligatures w14:val="none"/>
        </w:rPr>
        <w:t>Bediwy</w:t>
      </w:r>
      <w:proofErr w:type="spellEnd"/>
      <w:r w:rsidRPr="009C7F29">
        <w:rPr>
          <w:rFonts w:ascii="Calibri" w:eastAsia="Times New Roman" w:hAnsi="Calibri" w:cs="Calibri"/>
          <w:kern w:val="0"/>
          <w:sz w:val="28"/>
          <w:szCs w:val="28"/>
          <w:lang w:eastAsia="en-GB"/>
          <w14:ligatures w14:val="none"/>
        </w:rPr>
        <w:t xml:space="preserve">, A. S., and </w:t>
      </w:r>
      <w:proofErr w:type="spellStart"/>
      <w:r w:rsidRPr="009C7F29">
        <w:rPr>
          <w:rFonts w:ascii="Calibri" w:eastAsia="Times New Roman" w:hAnsi="Calibri" w:cs="Calibri"/>
          <w:kern w:val="0"/>
          <w:sz w:val="28"/>
          <w:szCs w:val="28"/>
          <w:lang w:eastAsia="en-GB"/>
          <w14:ligatures w14:val="none"/>
        </w:rPr>
        <w:t>Elbeltagi</w:t>
      </w:r>
      <w:proofErr w:type="spellEnd"/>
      <w:r w:rsidRPr="009C7F29">
        <w:rPr>
          <w:rFonts w:ascii="Calibri" w:eastAsia="Times New Roman" w:hAnsi="Calibri" w:cs="Calibri"/>
          <w:kern w:val="0"/>
          <w:sz w:val="28"/>
          <w:szCs w:val="28"/>
          <w:lang w:eastAsia="en-GB"/>
          <w14:ligatures w14:val="none"/>
        </w:rPr>
        <w:t xml:space="preserve">, R. (2025) ‘Breaking the cycle: Psychological and social dimensions of </w:t>
      </w:r>
      <w:proofErr w:type="spellStart"/>
      <w:r w:rsidRPr="009C7F29">
        <w:rPr>
          <w:rFonts w:ascii="Calibri" w:eastAsia="Times New Roman" w:hAnsi="Calibri" w:cs="Calibri"/>
          <w:kern w:val="0"/>
          <w:sz w:val="28"/>
          <w:szCs w:val="28"/>
          <w:lang w:eastAsia="en-GB"/>
          <w14:ligatures w14:val="none"/>
        </w:rPr>
        <w:t>pediatric</w:t>
      </w:r>
      <w:proofErr w:type="spellEnd"/>
      <w:r w:rsidRPr="009C7F29">
        <w:rPr>
          <w:rFonts w:ascii="Calibri" w:eastAsia="Times New Roman" w:hAnsi="Calibri" w:cs="Calibri"/>
          <w:kern w:val="0"/>
          <w:sz w:val="28"/>
          <w:szCs w:val="28"/>
          <w:lang w:eastAsia="en-GB"/>
          <w14:ligatures w14:val="none"/>
        </w:rPr>
        <w:t xml:space="preserve"> functional gastrointestinal disorders’, </w:t>
      </w:r>
      <w:r w:rsidRPr="009C7F29">
        <w:rPr>
          <w:rFonts w:ascii="Calibri" w:eastAsia="Times New Roman" w:hAnsi="Calibri" w:cs="Calibri"/>
          <w:i/>
          <w:iCs/>
          <w:kern w:val="0"/>
          <w:sz w:val="28"/>
          <w:szCs w:val="28"/>
          <w:lang w:eastAsia="en-GB"/>
          <w14:ligatures w14:val="none"/>
        </w:rPr>
        <w:t xml:space="preserve">World Journal of Clinical </w:t>
      </w:r>
      <w:proofErr w:type="spellStart"/>
      <w:r w:rsidRPr="009C7F29">
        <w:rPr>
          <w:rFonts w:ascii="Calibri" w:eastAsia="Times New Roman" w:hAnsi="Calibri" w:cs="Calibri"/>
          <w:i/>
          <w:iCs/>
          <w:kern w:val="0"/>
          <w:sz w:val="28"/>
          <w:szCs w:val="28"/>
          <w:lang w:eastAsia="en-GB"/>
          <w14:ligatures w14:val="none"/>
        </w:rPr>
        <w:t>Pediatrics</w:t>
      </w:r>
      <w:proofErr w:type="spellEnd"/>
      <w:r w:rsidRPr="009C7F29">
        <w:rPr>
          <w:rFonts w:ascii="Calibri" w:eastAsia="Times New Roman" w:hAnsi="Calibri" w:cs="Calibri"/>
          <w:kern w:val="0"/>
          <w:sz w:val="28"/>
          <w:szCs w:val="28"/>
          <w:lang w:eastAsia="en-GB"/>
          <w14:ligatures w14:val="none"/>
        </w:rPr>
        <w:t>, 14(2), pp. 103323.</w:t>
      </w:r>
    </w:p>
    <w:p w14:paraId="71E4F859"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8186F6E"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Ballout, S. (2025) ‘Trauma, Mental Health Workforce Shortages, and Health Equity: A Crisis in Public Health’, </w:t>
      </w:r>
      <w:r w:rsidRPr="009C7F29">
        <w:rPr>
          <w:rFonts w:ascii="Calibri" w:eastAsia="Times New Roman" w:hAnsi="Calibri" w:cs="Calibri"/>
          <w:i/>
          <w:iCs/>
          <w:kern w:val="0"/>
          <w:sz w:val="28"/>
          <w:szCs w:val="28"/>
          <w:lang w:eastAsia="en-GB"/>
          <w14:ligatures w14:val="none"/>
        </w:rPr>
        <w:t>International Journal of Environmental Research and Public Health</w:t>
      </w:r>
      <w:r w:rsidRPr="009C7F29">
        <w:rPr>
          <w:rFonts w:ascii="Calibri" w:eastAsia="Times New Roman" w:hAnsi="Calibri" w:cs="Calibri"/>
          <w:kern w:val="0"/>
          <w:sz w:val="28"/>
          <w:szCs w:val="28"/>
          <w:lang w:eastAsia="en-GB"/>
          <w14:ligatures w14:val="none"/>
        </w:rPr>
        <w:t>, 22(4), pp. 620.</w:t>
      </w:r>
    </w:p>
    <w:p w14:paraId="5C77CDF7"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B255212"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British Medical Association. (2024) </w:t>
      </w:r>
      <w:r w:rsidRPr="009C7F29">
        <w:rPr>
          <w:rFonts w:ascii="Calibri" w:eastAsia="Times New Roman" w:hAnsi="Calibri" w:cs="Calibri"/>
          <w:i/>
          <w:iCs/>
          <w:kern w:val="0"/>
          <w:sz w:val="28"/>
          <w:szCs w:val="28"/>
          <w:lang w:eastAsia="en-GB"/>
          <w14:ligatures w14:val="none"/>
        </w:rPr>
        <w:t>Vicarious trauma: signs and strategies for coping</w:t>
      </w:r>
      <w:r w:rsidRPr="009C7F29">
        <w:rPr>
          <w:rFonts w:ascii="Calibri" w:eastAsia="Times New Roman" w:hAnsi="Calibri" w:cs="Calibri"/>
          <w:kern w:val="0"/>
          <w:sz w:val="28"/>
          <w:szCs w:val="28"/>
          <w:lang w:eastAsia="en-GB"/>
          <w14:ligatures w14:val="none"/>
        </w:rPr>
        <w:t>. Available at: https://www.bma.org.uk/advice-and-support/your-wellbeing/vicarious-trauma/vicarious-trauma-signs-and-strategies-for-coping (Accessed 12th November, 2025).</w:t>
      </w:r>
    </w:p>
    <w:p w14:paraId="61CA7878"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2F7C7E38"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Burge, R., Tickle, A., &amp; Moghaddam, N. (2021) ‘Evaluating trauma-informed care training for services supporting individuals experiencing homelessness and multiple disadvantage’, </w:t>
      </w:r>
      <w:r w:rsidRPr="009C7F29">
        <w:rPr>
          <w:rFonts w:ascii="Calibri" w:eastAsia="Times New Roman" w:hAnsi="Calibri" w:cs="Calibri"/>
          <w:i/>
          <w:iCs/>
          <w:kern w:val="0"/>
          <w:sz w:val="28"/>
          <w:szCs w:val="28"/>
          <w:lang w:eastAsia="en-GB"/>
          <w14:ligatures w14:val="none"/>
        </w:rPr>
        <w:t>Housing, Care and Support</w:t>
      </w:r>
      <w:r w:rsidRPr="009C7F29">
        <w:rPr>
          <w:rFonts w:ascii="Calibri" w:eastAsia="Times New Roman" w:hAnsi="Calibri" w:cs="Calibri"/>
          <w:kern w:val="0"/>
          <w:sz w:val="28"/>
          <w:szCs w:val="28"/>
          <w:lang w:eastAsia="en-GB"/>
          <w14:ligatures w14:val="none"/>
        </w:rPr>
        <w:t>, 24(1), 14-25.</w:t>
      </w:r>
    </w:p>
    <w:p w14:paraId="5602F007"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49BF1389"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Campbell, K. A. (2022) ‘The neurobiology of childhood trauma, from early physical pain onwards: as relevant as ever in today's fractured world’, </w:t>
      </w:r>
      <w:r w:rsidRPr="009C7F29">
        <w:rPr>
          <w:rFonts w:ascii="Calibri" w:eastAsia="Times New Roman" w:hAnsi="Calibri" w:cs="Calibri"/>
          <w:i/>
          <w:iCs/>
          <w:kern w:val="0"/>
          <w:sz w:val="28"/>
          <w:szCs w:val="28"/>
          <w:lang w:eastAsia="en-GB"/>
          <w14:ligatures w14:val="none"/>
        </w:rPr>
        <w:t xml:space="preserve">European journal of </w:t>
      </w:r>
      <w:proofErr w:type="spellStart"/>
      <w:r w:rsidRPr="009C7F29">
        <w:rPr>
          <w:rFonts w:ascii="Calibri" w:eastAsia="Times New Roman" w:hAnsi="Calibri" w:cs="Calibri"/>
          <w:i/>
          <w:iCs/>
          <w:kern w:val="0"/>
          <w:sz w:val="28"/>
          <w:szCs w:val="28"/>
          <w:lang w:eastAsia="en-GB"/>
          <w14:ligatures w14:val="none"/>
        </w:rPr>
        <w:t>psychotraumatology</w:t>
      </w:r>
      <w:proofErr w:type="spellEnd"/>
      <w:r w:rsidRPr="009C7F29">
        <w:rPr>
          <w:rFonts w:ascii="Calibri" w:eastAsia="Times New Roman" w:hAnsi="Calibri" w:cs="Calibri"/>
          <w:kern w:val="0"/>
          <w:sz w:val="28"/>
          <w:szCs w:val="28"/>
          <w:lang w:eastAsia="en-GB"/>
          <w14:ligatures w14:val="none"/>
        </w:rPr>
        <w:t>, 13(2), pp. 2131969.</w:t>
      </w:r>
    </w:p>
    <w:p w14:paraId="425D4430"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0F0DC1FA"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Chu, B., Marwaha, K., Sanvictores, T., Awosika, A. O., and Ayers, D. (2024) </w:t>
      </w:r>
      <w:r w:rsidRPr="009C7F29">
        <w:rPr>
          <w:rFonts w:ascii="Calibri" w:eastAsia="Times New Roman" w:hAnsi="Calibri" w:cs="Calibri"/>
          <w:i/>
          <w:iCs/>
          <w:kern w:val="0"/>
          <w:sz w:val="28"/>
          <w:szCs w:val="28"/>
          <w:lang w:eastAsia="en-GB"/>
          <w14:ligatures w14:val="none"/>
        </w:rPr>
        <w:t>Physiology, stress reaction.</w:t>
      </w:r>
      <w:r w:rsidRPr="009C7F29">
        <w:rPr>
          <w:rFonts w:ascii="Calibri" w:eastAsia="Times New Roman" w:hAnsi="Calibri" w:cs="Calibri"/>
          <w:kern w:val="0"/>
          <w:sz w:val="28"/>
          <w:szCs w:val="28"/>
          <w:lang w:eastAsia="en-GB"/>
          <w14:ligatures w14:val="none"/>
        </w:rPr>
        <w:t xml:space="preserve"> 1</w:t>
      </w:r>
      <w:r w:rsidRPr="009C7F29">
        <w:rPr>
          <w:rFonts w:ascii="Calibri" w:eastAsia="Times New Roman" w:hAnsi="Calibri" w:cs="Calibri"/>
          <w:kern w:val="0"/>
          <w:sz w:val="28"/>
          <w:szCs w:val="28"/>
          <w:vertAlign w:val="superscript"/>
          <w:lang w:eastAsia="en-GB"/>
          <w14:ligatures w14:val="none"/>
        </w:rPr>
        <w:t>st</w:t>
      </w:r>
      <w:r w:rsidRPr="009C7F29">
        <w:rPr>
          <w:rFonts w:ascii="Calibri" w:eastAsia="Times New Roman" w:hAnsi="Calibri" w:cs="Calibri"/>
          <w:kern w:val="0"/>
          <w:sz w:val="28"/>
          <w:szCs w:val="28"/>
          <w:lang w:eastAsia="en-GB"/>
          <w14:ligatures w14:val="none"/>
        </w:rPr>
        <w:t xml:space="preserve"> </w:t>
      </w:r>
      <w:proofErr w:type="spellStart"/>
      <w:r w:rsidRPr="009C7F29">
        <w:rPr>
          <w:rFonts w:ascii="Calibri" w:eastAsia="Times New Roman" w:hAnsi="Calibri" w:cs="Calibri"/>
          <w:kern w:val="0"/>
          <w:sz w:val="28"/>
          <w:szCs w:val="28"/>
          <w:lang w:eastAsia="en-GB"/>
          <w14:ligatures w14:val="none"/>
        </w:rPr>
        <w:t>edn</w:t>
      </w:r>
      <w:proofErr w:type="spellEnd"/>
      <w:r w:rsidRPr="009C7F29">
        <w:rPr>
          <w:rFonts w:ascii="Calibri" w:eastAsia="Times New Roman" w:hAnsi="Calibri" w:cs="Calibri"/>
          <w:kern w:val="0"/>
          <w:sz w:val="28"/>
          <w:szCs w:val="28"/>
          <w:lang w:eastAsia="en-GB"/>
          <w14:ligatures w14:val="none"/>
        </w:rPr>
        <w:t>. </w:t>
      </w:r>
      <w:proofErr w:type="spellStart"/>
      <w:r w:rsidRPr="009C7F29">
        <w:rPr>
          <w:rFonts w:ascii="Calibri" w:eastAsia="Times New Roman" w:hAnsi="Calibri" w:cs="Calibri"/>
          <w:kern w:val="0"/>
          <w:sz w:val="28"/>
          <w:szCs w:val="28"/>
          <w:lang w:eastAsia="en-GB"/>
          <w14:ligatures w14:val="none"/>
        </w:rPr>
        <w:t>StatPearls</w:t>
      </w:r>
      <w:proofErr w:type="spellEnd"/>
      <w:r w:rsidRPr="009C7F29">
        <w:rPr>
          <w:rFonts w:ascii="Calibri" w:eastAsia="Times New Roman" w:hAnsi="Calibri" w:cs="Calibri"/>
          <w:kern w:val="0"/>
          <w:sz w:val="28"/>
          <w:szCs w:val="28"/>
          <w:lang w:eastAsia="en-GB"/>
          <w14:ligatures w14:val="none"/>
        </w:rPr>
        <w:t xml:space="preserve"> Publishing.</w:t>
      </w:r>
    </w:p>
    <w:p w14:paraId="1DD753D0"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68B70AAE"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bookmarkStart w:id="0" w:name="_Hlk213892144"/>
      <w:proofErr w:type="spellStart"/>
      <w:r w:rsidRPr="009C7F29">
        <w:rPr>
          <w:rFonts w:ascii="Calibri" w:eastAsia="Times New Roman" w:hAnsi="Calibri" w:cs="Calibri"/>
          <w:kern w:val="0"/>
          <w:sz w:val="28"/>
          <w:szCs w:val="28"/>
          <w:lang w:eastAsia="en-GB"/>
          <w14:ligatures w14:val="none"/>
        </w:rPr>
        <w:t>Casingcasing</w:t>
      </w:r>
      <w:bookmarkEnd w:id="0"/>
      <w:proofErr w:type="spellEnd"/>
      <w:r w:rsidRPr="009C7F29">
        <w:rPr>
          <w:rFonts w:ascii="Calibri" w:eastAsia="Times New Roman" w:hAnsi="Calibri" w:cs="Calibri"/>
          <w:kern w:val="0"/>
          <w:sz w:val="28"/>
          <w:szCs w:val="28"/>
          <w:lang w:eastAsia="en-GB"/>
          <w14:ligatures w14:val="none"/>
        </w:rPr>
        <w:t xml:space="preserve">, M. L., Winship, G., Segarra, N., Beach, S., and Rennick-Egglestone, S. (2025) ‘How is trauma-informed care conceptualised in UK </w:t>
      </w:r>
      <w:r w:rsidRPr="009C7F29">
        <w:rPr>
          <w:rFonts w:ascii="Calibri" w:eastAsia="Times New Roman" w:hAnsi="Calibri" w:cs="Calibri"/>
          <w:kern w:val="0"/>
          <w:sz w:val="28"/>
          <w:szCs w:val="28"/>
          <w:lang w:eastAsia="en-GB"/>
          <w14:ligatures w14:val="none"/>
        </w:rPr>
        <w:lastRenderedPageBreak/>
        <w:t xml:space="preserve">mental health services? Systematic scoping review protocol’, </w:t>
      </w:r>
      <w:r w:rsidRPr="009C7F29">
        <w:rPr>
          <w:rFonts w:ascii="Calibri" w:eastAsia="Times New Roman" w:hAnsi="Calibri" w:cs="Calibri"/>
          <w:i/>
          <w:iCs/>
          <w:kern w:val="0"/>
          <w:sz w:val="28"/>
          <w:szCs w:val="28"/>
          <w:lang w:eastAsia="en-GB"/>
          <w14:ligatures w14:val="none"/>
        </w:rPr>
        <w:t>NIHR Open Research, </w:t>
      </w:r>
      <w:r w:rsidRPr="009C7F29">
        <w:rPr>
          <w:rFonts w:ascii="Calibri" w:eastAsia="Times New Roman" w:hAnsi="Calibri" w:cs="Calibri"/>
          <w:kern w:val="0"/>
          <w:sz w:val="28"/>
          <w:szCs w:val="28"/>
          <w:lang w:eastAsia="en-GB"/>
          <w14:ligatures w14:val="none"/>
        </w:rPr>
        <w:t>5(4), pp. 47.</w:t>
      </w:r>
    </w:p>
    <w:p w14:paraId="5121B749"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158151F3"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Cross, D., Fani, N., Powers, A., and Bradley, B. (2017) ‘Neurobiological Development in the Context of Childhood Trauma’, </w:t>
      </w:r>
      <w:r w:rsidRPr="009C7F29">
        <w:rPr>
          <w:rFonts w:ascii="Calibri" w:eastAsia="Times New Roman" w:hAnsi="Calibri" w:cs="Calibri"/>
          <w:i/>
          <w:iCs/>
          <w:kern w:val="0"/>
          <w:sz w:val="28"/>
          <w:szCs w:val="28"/>
          <w:lang w:eastAsia="en-GB"/>
          <w14:ligatures w14:val="none"/>
        </w:rPr>
        <w:t>Clinical Psychology : A Publication of the Division of Clinical Psychology of the American Psychological Association</w:t>
      </w:r>
      <w:r w:rsidRPr="009C7F29">
        <w:rPr>
          <w:rFonts w:ascii="Calibri" w:eastAsia="Times New Roman" w:hAnsi="Calibri" w:cs="Calibri"/>
          <w:kern w:val="0"/>
          <w:sz w:val="28"/>
          <w:szCs w:val="28"/>
          <w:lang w:eastAsia="en-GB"/>
          <w14:ligatures w14:val="none"/>
        </w:rPr>
        <w:t xml:space="preserve">, 24(2), pp.111. </w:t>
      </w:r>
    </w:p>
    <w:p w14:paraId="1D31965F"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12626BBE"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Davis, R. S., Halligan, S. L., Meiser-Stedman, R., Elliott, E., Ward, G., and Hiller, R. M. (2022) ‘A Longitudinal Investigation of the Relationship Between Trauma-Related Cognitive Processes and Internalising and Externalising Psychopathology in Young People in Out-of-Home Care’, </w:t>
      </w:r>
      <w:r w:rsidRPr="009C7F29">
        <w:rPr>
          <w:rFonts w:ascii="Calibri" w:eastAsia="Times New Roman" w:hAnsi="Calibri" w:cs="Calibri"/>
          <w:i/>
          <w:iCs/>
          <w:kern w:val="0"/>
          <w:sz w:val="28"/>
          <w:szCs w:val="28"/>
          <w:lang w:eastAsia="en-GB"/>
          <w14:ligatures w14:val="none"/>
        </w:rPr>
        <w:t>Research on Child and Adolescent Psychopathology</w:t>
      </w:r>
      <w:r w:rsidRPr="009C7F29">
        <w:rPr>
          <w:rFonts w:ascii="Calibri" w:eastAsia="Times New Roman" w:hAnsi="Calibri" w:cs="Calibri"/>
          <w:kern w:val="0"/>
          <w:sz w:val="28"/>
          <w:szCs w:val="28"/>
          <w:lang w:eastAsia="en-GB"/>
          <w14:ligatures w14:val="none"/>
        </w:rPr>
        <w:t xml:space="preserve">, 51(4), pp. 485. </w:t>
      </w:r>
    </w:p>
    <w:p w14:paraId="64CC1876"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04D348CD"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Emsley, E., Smith, J., Martin, D., and Lewis, N. V. (2022) ‘Trauma-informed care in the UK: Where are we? A qualitative study of health policies and professional perspectives’, </w:t>
      </w:r>
      <w:r w:rsidRPr="009C7F29">
        <w:rPr>
          <w:rFonts w:ascii="Calibri" w:eastAsia="Times New Roman" w:hAnsi="Calibri" w:cs="Calibri"/>
          <w:i/>
          <w:iCs/>
          <w:kern w:val="0"/>
          <w:sz w:val="28"/>
          <w:szCs w:val="28"/>
          <w:lang w:eastAsia="en-GB"/>
          <w14:ligatures w14:val="none"/>
        </w:rPr>
        <w:t>BMC Health Services Research</w:t>
      </w:r>
      <w:r w:rsidRPr="009C7F29">
        <w:rPr>
          <w:rFonts w:ascii="Calibri" w:eastAsia="Times New Roman" w:hAnsi="Calibri" w:cs="Calibri"/>
          <w:kern w:val="0"/>
          <w:sz w:val="28"/>
          <w:szCs w:val="28"/>
          <w:lang w:eastAsia="en-GB"/>
          <w14:ligatures w14:val="none"/>
        </w:rPr>
        <w:t xml:space="preserve">, 22(4), pp. 1164. </w:t>
      </w:r>
    </w:p>
    <w:p w14:paraId="389CA376" w14:textId="77777777" w:rsidR="003172EB" w:rsidRPr="009C7F29" w:rsidRDefault="003172EB" w:rsidP="003172EB">
      <w:pPr>
        <w:spacing w:before="100" w:beforeAutospacing="1" w:after="100" w:afterAutospacing="1" w:line="240" w:lineRule="auto"/>
        <w:rPr>
          <w:rFonts w:ascii="Calibri" w:eastAsia="Times New Roman" w:hAnsi="Calibri" w:cs="Calibri"/>
          <w:b/>
          <w:bCs/>
          <w:kern w:val="0"/>
          <w:sz w:val="28"/>
          <w:szCs w:val="28"/>
          <w:lang w:eastAsia="en-GB"/>
          <w14:ligatures w14:val="none"/>
        </w:rPr>
      </w:pPr>
    </w:p>
    <w:p w14:paraId="6C37A82D"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Farr, M., Eyles, E., Stone, T., </w:t>
      </w:r>
      <w:proofErr w:type="spellStart"/>
      <w:r w:rsidRPr="009C7F29">
        <w:rPr>
          <w:rFonts w:ascii="Calibri" w:eastAsia="Times New Roman" w:hAnsi="Calibri" w:cs="Calibri"/>
          <w:kern w:val="0"/>
          <w:sz w:val="28"/>
          <w:szCs w:val="28"/>
          <w:lang w:eastAsia="en-GB"/>
          <w14:ligatures w14:val="none"/>
        </w:rPr>
        <w:t>Redaniel</w:t>
      </w:r>
      <w:proofErr w:type="spellEnd"/>
      <w:r w:rsidRPr="009C7F29">
        <w:rPr>
          <w:rFonts w:ascii="Calibri" w:eastAsia="Times New Roman" w:hAnsi="Calibri" w:cs="Calibri"/>
          <w:kern w:val="0"/>
          <w:sz w:val="28"/>
          <w:szCs w:val="28"/>
          <w:lang w:eastAsia="en-GB"/>
          <w14:ligatures w14:val="none"/>
        </w:rPr>
        <w:t>, M. T., Traub, T., Burrowes, J., and Redwood, S. (2025) ‘Implementing trauma-informed practice across services to support people experiencing multiple disadvantage: a mixed method study’,  </w:t>
      </w:r>
      <w:r w:rsidRPr="009C7F29">
        <w:rPr>
          <w:rFonts w:ascii="Calibri" w:eastAsia="Times New Roman" w:hAnsi="Calibri" w:cs="Calibri"/>
          <w:i/>
          <w:iCs/>
          <w:kern w:val="0"/>
          <w:sz w:val="28"/>
          <w:szCs w:val="28"/>
          <w:lang w:eastAsia="en-GB"/>
          <w14:ligatures w14:val="none"/>
        </w:rPr>
        <w:t>BMC Health Services Research</w:t>
      </w:r>
      <w:r w:rsidRPr="009C7F29">
        <w:rPr>
          <w:rFonts w:ascii="Calibri" w:eastAsia="Times New Roman" w:hAnsi="Calibri" w:cs="Calibri"/>
          <w:kern w:val="0"/>
          <w:sz w:val="28"/>
          <w:szCs w:val="28"/>
          <w:lang w:eastAsia="en-GB"/>
          <w14:ligatures w14:val="none"/>
        </w:rPr>
        <w:t>, 25(1), pp. 1266.</w:t>
      </w:r>
    </w:p>
    <w:p w14:paraId="2E3BBD09"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Garwood, M. M., Beyer, M. R., Hammel, J., Schutz, T., and Paradis, H. A. (2020) ‘Trauma-informed care intervention for culture and climate change within a child welfare agency’, </w:t>
      </w:r>
      <w:r w:rsidRPr="009C7F29">
        <w:rPr>
          <w:rFonts w:ascii="Calibri" w:eastAsia="Times New Roman" w:hAnsi="Calibri" w:cs="Calibri"/>
          <w:i/>
          <w:iCs/>
          <w:kern w:val="0"/>
          <w:sz w:val="28"/>
          <w:szCs w:val="28"/>
          <w:lang w:eastAsia="en-GB"/>
          <w14:ligatures w14:val="none"/>
        </w:rPr>
        <w:t>Child Welfare</w:t>
      </w:r>
      <w:r w:rsidRPr="009C7F29">
        <w:rPr>
          <w:rFonts w:ascii="Calibri" w:eastAsia="Times New Roman" w:hAnsi="Calibri" w:cs="Calibri"/>
          <w:kern w:val="0"/>
          <w:sz w:val="28"/>
          <w:szCs w:val="28"/>
          <w:lang w:eastAsia="en-GB"/>
          <w14:ligatures w14:val="none"/>
        </w:rPr>
        <w:t>, 98(4), pp. 1-26.</w:t>
      </w:r>
    </w:p>
    <w:p w14:paraId="44CFD152"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39E0277"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Galvin, E., Morris, H., Mousa, A., O'Donnell, R., Halfpenny, N., and </w:t>
      </w:r>
      <w:proofErr w:type="spellStart"/>
      <w:r w:rsidRPr="009C7F29">
        <w:rPr>
          <w:rFonts w:ascii="Calibri" w:eastAsia="Times New Roman" w:hAnsi="Calibri" w:cs="Calibri"/>
          <w:kern w:val="0"/>
          <w:sz w:val="28"/>
          <w:szCs w:val="28"/>
          <w:lang w:eastAsia="en-GB"/>
          <w14:ligatures w14:val="none"/>
        </w:rPr>
        <w:t>Skouteris</w:t>
      </w:r>
      <w:proofErr w:type="spellEnd"/>
      <w:r w:rsidRPr="009C7F29">
        <w:rPr>
          <w:rFonts w:ascii="Calibri" w:eastAsia="Times New Roman" w:hAnsi="Calibri" w:cs="Calibri"/>
          <w:kern w:val="0"/>
          <w:sz w:val="28"/>
          <w:szCs w:val="28"/>
          <w:lang w:eastAsia="en-GB"/>
          <w14:ligatures w14:val="none"/>
        </w:rPr>
        <w:t>, H. (2021) ‘Implementation of The Sanctuary Model in residential out-of-home care: Enablers, barriers, successes and challenges’, </w:t>
      </w:r>
      <w:r w:rsidRPr="009C7F29">
        <w:rPr>
          <w:rFonts w:ascii="Calibri" w:eastAsia="Times New Roman" w:hAnsi="Calibri" w:cs="Calibri"/>
          <w:i/>
          <w:iCs/>
          <w:kern w:val="0"/>
          <w:sz w:val="28"/>
          <w:szCs w:val="28"/>
          <w:lang w:eastAsia="en-GB"/>
          <w14:ligatures w14:val="none"/>
        </w:rPr>
        <w:t>Children and Youth Services Review</w:t>
      </w:r>
      <w:r w:rsidRPr="009C7F29">
        <w:rPr>
          <w:rFonts w:ascii="Calibri" w:eastAsia="Times New Roman" w:hAnsi="Calibri" w:cs="Calibri"/>
          <w:kern w:val="0"/>
          <w:sz w:val="28"/>
          <w:szCs w:val="28"/>
          <w:lang w:eastAsia="en-GB"/>
          <w14:ligatures w14:val="none"/>
        </w:rPr>
        <w:t>, 121(1), pp. 105901.</w:t>
      </w:r>
    </w:p>
    <w:p w14:paraId="0FD17A9B"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2594B05"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lastRenderedPageBreak/>
        <w:t xml:space="preserve">GOV.UK (2022) </w:t>
      </w:r>
      <w:r w:rsidRPr="009C7F29">
        <w:rPr>
          <w:rFonts w:ascii="Calibri" w:eastAsia="Times New Roman" w:hAnsi="Calibri" w:cs="Calibri"/>
          <w:i/>
          <w:iCs/>
          <w:kern w:val="0"/>
          <w:sz w:val="28"/>
          <w:szCs w:val="28"/>
          <w:lang w:eastAsia="en-GB"/>
          <w14:ligatures w14:val="none"/>
        </w:rPr>
        <w:t>Working definition of trauma-informed practice</w:t>
      </w:r>
      <w:r w:rsidRPr="009C7F29">
        <w:rPr>
          <w:rFonts w:ascii="Calibri" w:eastAsia="Times New Roman" w:hAnsi="Calibri" w:cs="Calibri"/>
          <w:kern w:val="0"/>
          <w:sz w:val="28"/>
          <w:szCs w:val="28"/>
          <w:lang w:eastAsia="en-GB"/>
          <w14:ligatures w14:val="none"/>
        </w:rPr>
        <w:t>. Available at:  https://www.gov.uk/government/publications/working-definition-of-trauma-informed-practice/working-definition-of-trauma-informed-practice#:~:text=Trauma%2Dinformed%20practice%20acknowledges%20the,attempting%20to%20prevent%20re%2Dtraumatisation (Accessed 14</w:t>
      </w:r>
      <w:r w:rsidRPr="009C7F29">
        <w:rPr>
          <w:rFonts w:ascii="Calibri" w:eastAsia="Times New Roman" w:hAnsi="Calibri" w:cs="Calibri"/>
          <w:kern w:val="0"/>
          <w:sz w:val="28"/>
          <w:szCs w:val="28"/>
          <w:vertAlign w:val="superscript"/>
          <w:lang w:eastAsia="en-GB"/>
          <w14:ligatures w14:val="none"/>
        </w:rPr>
        <w:t>th</w:t>
      </w:r>
      <w:r w:rsidRPr="009C7F29">
        <w:rPr>
          <w:rFonts w:ascii="Calibri" w:eastAsia="Times New Roman" w:hAnsi="Calibri" w:cs="Calibri"/>
          <w:kern w:val="0"/>
          <w:sz w:val="28"/>
          <w:szCs w:val="28"/>
          <w:lang w:eastAsia="en-GB"/>
          <w14:ligatures w14:val="none"/>
        </w:rPr>
        <w:t xml:space="preserve"> November, 2025).</w:t>
      </w:r>
    </w:p>
    <w:p w14:paraId="66A0004A"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2338124B"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roofErr w:type="spellStart"/>
      <w:r w:rsidRPr="009C7F29">
        <w:rPr>
          <w:rFonts w:ascii="Calibri" w:eastAsia="Times New Roman" w:hAnsi="Calibri" w:cs="Calibri"/>
          <w:kern w:val="0"/>
          <w:sz w:val="28"/>
          <w:szCs w:val="28"/>
          <w:lang w:eastAsia="en-GB"/>
          <w14:ligatures w14:val="none"/>
        </w:rPr>
        <w:t>Karatzias</w:t>
      </w:r>
      <w:proofErr w:type="spellEnd"/>
      <w:r w:rsidRPr="009C7F29">
        <w:rPr>
          <w:rFonts w:ascii="Calibri" w:eastAsia="Times New Roman" w:hAnsi="Calibri" w:cs="Calibri"/>
          <w:kern w:val="0"/>
          <w:sz w:val="28"/>
          <w:szCs w:val="28"/>
          <w:lang w:eastAsia="en-GB"/>
          <w14:ligatures w14:val="none"/>
        </w:rPr>
        <w:t xml:space="preserve">, T., Shevlin, M., Ford, J. D., Fyvie, C., Grandison, G., Hyland, P., and </w:t>
      </w:r>
      <w:proofErr w:type="spellStart"/>
      <w:r w:rsidRPr="009C7F29">
        <w:rPr>
          <w:rFonts w:ascii="Calibri" w:eastAsia="Times New Roman" w:hAnsi="Calibri" w:cs="Calibri"/>
          <w:kern w:val="0"/>
          <w:sz w:val="28"/>
          <w:szCs w:val="28"/>
          <w:lang w:eastAsia="en-GB"/>
          <w14:ligatures w14:val="none"/>
        </w:rPr>
        <w:t>Cloitre</w:t>
      </w:r>
      <w:proofErr w:type="spellEnd"/>
      <w:r w:rsidRPr="009C7F29">
        <w:rPr>
          <w:rFonts w:ascii="Calibri" w:eastAsia="Times New Roman" w:hAnsi="Calibri" w:cs="Calibri"/>
          <w:kern w:val="0"/>
          <w:sz w:val="28"/>
          <w:szCs w:val="28"/>
          <w:lang w:eastAsia="en-GB"/>
          <w14:ligatures w14:val="none"/>
        </w:rPr>
        <w:t xml:space="preserve">, M. (2022) ‘Childhood trauma, attachment orientation, and complex PTSD (CPTSD) symptoms in a clinical sample: Implications for treatment’, </w:t>
      </w:r>
      <w:r w:rsidRPr="009C7F29">
        <w:rPr>
          <w:rFonts w:ascii="Calibri" w:eastAsia="Times New Roman" w:hAnsi="Calibri" w:cs="Calibri"/>
          <w:i/>
          <w:iCs/>
          <w:kern w:val="0"/>
          <w:sz w:val="28"/>
          <w:szCs w:val="28"/>
          <w:lang w:eastAsia="en-GB"/>
          <w14:ligatures w14:val="none"/>
        </w:rPr>
        <w:t>Development and Psychopathology</w:t>
      </w:r>
      <w:r w:rsidRPr="009C7F29">
        <w:rPr>
          <w:rFonts w:ascii="Calibri" w:eastAsia="Times New Roman" w:hAnsi="Calibri" w:cs="Calibri"/>
          <w:kern w:val="0"/>
          <w:sz w:val="28"/>
          <w:szCs w:val="28"/>
          <w:lang w:eastAsia="en-GB"/>
          <w14:ligatures w14:val="none"/>
        </w:rPr>
        <w:t>, 34(3), pp. 1192-1197.</w:t>
      </w:r>
    </w:p>
    <w:p w14:paraId="392280F1"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BB97224"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Knight, J. D. (2025) ‘Is the nervous system sympathetic?’ </w:t>
      </w:r>
      <w:r w:rsidRPr="009C7F29">
        <w:rPr>
          <w:rFonts w:ascii="Calibri" w:eastAsia="Times New Roman" w:hAnsi="Calibri" w:cs="Calibri"/>
          <w:i/>
          <w:iCs/>
          <w:kern w:val="0"/>
          <w:sz w:val="28"/>
          <w:szCs w:val="28"/>
          <w:lang w:eastAsia="en-GB"/>
          <w14:ligatures w14:val="none"/>
        </w:rPr>
        <w:t>Journal of Surgery and Medical Case Reports</w:t>
      </w:r>
      <w:r w:rsidRPr="009C7F29">
        <w:rPr>
          <w:rFonts w:ascii="Calibri" w:eastAsia="Times New Roman" w:hAnsi="Calibri" w:cs="Calibri"/>
          <w:kern w:val="0"/>
          <w:sz w:val="28"/>
          <w:szCs w:val="28"/>
          <w:lang w:eastAsia="en-GB"/>
          <w14:ligatures w14:val="none"/>
        </w:rPr>
        <w:t>, 2(2), pp. 1-4.</w:t>
      </w:r>
    </w:p>
    <w:p w14:paraId="145CD20E"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47F32A0B"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Kelly, L. (2020) ‘Burnout, compassion fatigue, and secondary trauma in nurses: Recognizing the occupational phenomenon and personal consequences of caregiving’, </w:t>
      </w:r>
      <w:r w:rsidRPr="009C7F29">
        <w:rPr>
          <w:rFonts w:ascii="Calibri" w:eastAsia="Times New Roman" w:hAnsi="Calibri" w:cs="Calibri"/>
          <w:i/>
          <w:iCs/>
          <w:kern w:val="0"/>
          <w:sz w:val="28"/>
          <w:szCs w:val="28"/>
          <w:lang w:eastAsia="en-GB"/>
          <w14:ligatures w14:val="none"/>
        </w:rPr>
        <w:t>Critical Care Nursing Quarterly</w:t>
      </w:r>
      <w:r w:rsidRPr="009C7F29">
        <w:rPr>
          <w:rFonts w:ascii="Calibri" w:eastAsia="Times New Roman" w:hAnsi="Calibri" w:cs="Calibri"/>
          <w:kern w:val="0"/>
          <w:sz w:val="28"/>
          <w:szCs w:val="28"/>
          <w:lang w:eastAsia="en-GB"/>
          <w14:ligatures w14:val="none"/>
        </w:rPr>
        <w:t>, 43(1), pp. 73-80.</w:t>
      </w:r>
    </w:p>
    <w:p w14:paraId="56A0C25C"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704D1F82"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Lewis, N. V., Bierce, A., Feder, G. S., Macleod, J., Turner, K. M., Zammit, S., and Dawson, S. (2023) ‘Trauma-Informed Approaches in Primary Healthcare and Community Mental Healthcare: A Mixed Methods Systematic Review of Organisational Change Interventions’, </w:t>
      </w:r>
      <w:r w:rsidRPr="009C7F29">
        <w:rPr>
          <w:rFonts w:ascii="Calibri" w:eastAsia="Times New Roman" w:hAnsi="Calibri" w:cs="Calibri"/>
          <w:i/>
          <w:iCs/>
          <w:kern w:val="0"/>
          <w:sz w:val="28"/>
          <w:szCs w:val="28"/>
          <w:lang w:eastAsia="en-GB"/>
          <w14:ligatures w14:val="none"/>
        </w:rPr>
        <w:t>Health &amp; Social Care in the Community</w:t>
      </w:r>
      <w:r w:rsidRPr="009C7F29">
        <w:rPr>
          <w:rFonts w:ascii="Calibri" w:eastAsia="Times New Roman" w:hAnsi="Calibri" w:cs="Calibri"/>
          <w:kern w:val="0"/>
          <w:sz w:val="28"/>
          <w:szCs w:val="28"/>
          <w:lang w:eastAsia="en-GB"/>
          <w14:ligatures w14:val="none"/>
        </w:rPr>
        <w:t xml:space="preserve">, 3(1), pp. 4475114. </w:t>
      </w:r>
    </w:p>
    <w:p w14:paraId="59BEA121"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01386634"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Mahon, D. (2022) ‘Implementing trauma-informed care in human services: An ecological scoping review’, </w:t>
      </w:r>
      <w:proofErr w:type="spellStart"/>
      <w:r w:rsidRPr="009C7F29">
        <w:rPr>
          <w:rFonts w:ascii="Calibri" w:eastAsia="Times New Roman" w:hAnsi="Calibri" w:cs="Calibri"/>
          <w:i/>
          <w:iCs/>
          <w:kern w:val="0"/>
          <w:sz w:val="28"/>
          <w:szCs w:val="28"/>
          <w:lang w:eastAsia="en-GB"/>
          <w14:ligatures w14:val="none"/>
        </w:rPr>
        <w:t>Behavioral</w:t>
      </w:r>
      <w:proofErr w:type="spellEnd"/>
      <w:r w:rsidRPr="009C7F29">
        <w:rPr>
          <w:rFonts w:ascii="Calibri" w:eastAsia="Times New Roman" w:hAnsi="Calibri" w:cs="Calibri"/>
          <w:i/>
          <w:iCs/>
          <w:kern w:val="0"/>
          <w:sz w:val="28"/>
          <w:szCs w:val="28"/>
          <w:lang w:eastAsia="en-GB"/>
          <w14:ligatures w14:val="none"/>
        </w:rPr>
        <w:t xml:space="preserve"> Sciences</w:t>
      </w:r>
      <w:r w:rsidRPr="009C7F29">
        <w:rPr>
          <w:rFonts w:ascii="Calibri" w:eastAsia="Times New Roman" w:hAnsi="Calibri" w:cs="Calibri"/>
          <w:kern w:val="0"/>
          <w:sz w:val="28"/>
          <w:szCs w:val="28"/>
          <w:lang w:eastAsia="en-GB"/>
          <w14:ligatures w14:val="none"/>
        </w:rPr>
        <w:t>, 12(11), pp. 431-434.</w:t>
      </w:r>
    </w:p>
    <w:p w14:paraId="6BB58BFD"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2EC86478"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Melamed, D. M., Botting, J., Lofthouse, K., Pass, L., and  Meiser-Stedman, R. (2024) ‘The relationship between negative self-concept, trauma, and </w:t>
      </w:r>
      <w:r w:rsidRPr="009C7F29">
        <w:rPr>
          <w:rFonts w:ascii="Calibri" w:eastAsia="Times New Roman" w:hAnsi="Calibri" w:cs="Calibri"/>
          <w:kern w:val="0"/>
          <w:sz w:val="28"/>
          <w:szCs w:val="28"/>
          <w:lang w:eastAsia="en-GB"/>
          <w14:ligatures w14:val="none"/>
        </w:rPr>
        <w:lastRenderedPageBreak/>
        <w:t>maltreatment in children and adolescents: A meta-analysis’, </w:t>
      </w:r>
      <w:r w:rsidRPr="009C7F29">
        <w:rPr>
          <w:rFonts w:ascii="Calibri" w:eastAsia="Times New Roman" w:hAnsi="Calibri" w:cs="Calibri"/>
          <w:i/>
          <w:iCs/>
          <w:kern w:val="0"/>
          <w:sz w:val="28"/>
          <w:szCs w:val="28"/>
          <w:lang w:eastAsia="en-GB"/>
          <w14:ligatures w14:val="none"/>
        </w:rPr>
        <w:t>Clinical child and family psychology review</w:t>
      </w:r>
      <w:r w:rsidRPr="009C7F29">
        <w:rPr>
          <w:rFonts w:ascii="Calibri" w:eastAsia="Times New Roman" w:hAnsi="Calibri" w:cs="Calibri"/>
          <w:kern w:val="0"/>
          <w:sz w:val="28"/>
          <w:szCs w:val="28"/>
          <w:lang w:eastAsia="en-GB"/>
          <w14:ligatures w14:val="none"/>
        </w:rPr>
        <w:t>, 27(1), pp. 220-234.</w:t>
      </w:r>
    </w:p>
    <w:p w14:paraId="58C322D7"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511C6460"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National Health System (NHS) Wales (2025). </w:t>
      </w:r>
      <w:r w:rsidRPr="009C7F29">
        <w:rPr>
          <w:rFonts w:ascii="Calibri" w:eastAsia="Times New Roman" w:hAnsi="Calibri" w:cs="Calibri"/>
          <w:i/>
          <w:iCs/>
          <w:kern w:val="0"/>
          <w:sz w:val="28"/>
          <w:szCs w:val="28"/>
          <w:lang w:eastAsia="en-GB"/>
          <w14:ligatures w14:val="none"/>
        </w:rPr>
        <w:t>All Wales Traumatic Stress: Childhood Trauma</w:t>
      </w:r>
      <w:r w:rsidRPr="009C7F29">
        <w:rPr>
          <w:rFonts w:ascii="Calibri" w:eastAsia="Times New Roman" w:hAnsi="Calibri" w:cs="Calibri"/>
          <w:kern w:val="0"/>
          <w:sz w:val="28"/>
          <w:szCs w:val="28"/>
          <w:lang w:eastAsia="en-GB"/>
          <w14:ligatures w14:val="none"/>
        </w:rPr>
        <w:t>. Available at: https://traumaticstress.nhs.wales/children-and-young-people/what-is-trauma/about-child-trauma/childhood-trauma/ (Accessed 12</w:t>
      </w:r>
      <w:r w:rsidRPr="009C7F29">
        <w:rPr>
          <w:rFonts w:ascii="Calibri" w:eastAsia="Times New Roman" w:hAnsi="Calibri" w:cs="Calibri"/>
          <w:kern w:val="0"/>
          <w:sz w:val="28"/>
          <w:szCs w:val="28"/>
          <w:vertAlign w:val="superscript"/>
          <w:lang w:eastAsia="en-GB"/>
          <w14:ligatures w14:val="none"/>
        </w:rPr>
        <w:t>th</w:t>
      </w:r>
      <w:r w:rsidRPr="009C7F29">
        <w:rPr>
          <w:rFonts w:ascii="Calibri" w:eastAsia="Times New Roman" w:hAnsi="Calibri" w:cs="Calibri"/>
          <w:kern w:val="0"/>
          <w:sz w:val="28"/>
          <w:szCs w:val="28"/>
          <w:lang w:eastAsia="en-GB"/>
          <w14:ligatures w14:val="none"/>
        </w:rPr>
        <w:t xml:space="preserve"> November 2025).</w:t>
      </w:r>
    </w:p>
    <w:p w14:paraId="4943A1A6"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429D30ED"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Office for Health Improvement and Disparities (2022) </w:t>
      </w:r>
      <w:r w:rsidRPr="009C7F29">
        <w:rPr>
          <w:rFonts w:ascii="Calibri" w:eastAsia="Times New Roman" w:hAnsi="Calibri" w:cs="Calibri"/>
          <w:i/>
          <w:iCs/>
          <w:kern w:val="0"/>
          <w:sz w:val="28"/>
          <w:szCs w:val="28"/>
          <w:lang w:eastAsia="en-GB"/>
          <w14:ligatures w14:val="none"/>
        </w:rPr>
        <w:t>Working definition of trauma-informed practice</w:t>
      </w:r>
      <w:r w:rsidRPr="009C7F29">
        <w:rPr>
          <w:rFonts w:ascii="Calibri" w:eastAsia="Times New Roman" w:hAnsi="Calibri" w:cs="Calibri"/>
          <w:kern w:val="0"/>
          <w:sz w:val="28"/>
          <w:szCs w:val="28"/>
          <w:lang w:eastAsia="en-GB"/>
          <w14:ligatures w14:val="none"/>
        </w:rPr>
        <w:t>. Available at: https://www.gov.uk/government/publications/working-definition-of-trauma-informed-practice (Accessed: 12 November 2025).</w:t>
      </w:r>
    </w:p>
    <w:p w14:paraId="236AC2D9"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51C1D500"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Ramasubramanian, S., Riewestahl, E., and Landmark, S. (2021) ‘The trauma-informed equity-minded asset-based model (TEAM): The six R’s for social justice-oriented educators’, </w:t>
      </w:r>
      <w:r w:rsidRPr="009C7F29">
        <w:rPr>
          <w:rFonts w:ascii="Calibri" w:eastAsia="Times New Roman" w:hAnsi="Calibri" w:cs="Calibri"/>
          <w:i/>
          <w:iCs/>
          <w:kern w:val="0"/>
          <w:sz w:val="28"/>
          <w:szCs w:val="28"/>
          <w:lang w:eastAsia="en-GB"/>
          <w14:ligatures w14:val="none"/>
        </w:rPr>
        <w:t>Journal of Media Literacy Education</w:t>
      </w:r>
      <w:r w:rsidRPr="009C7F29">
        <w:rPr>
          <w:rFonts w:ascii="Calibri" w:eastAsia="Times New Roman" w:hAnsi="Calibri" w:cs="Calibri"/>
          <w:kern w:val="0"/>
          <w:sz w:val="28"/>
          <w:szCs w:val="28"/>
          <w:lang w:eastAsia="en-GB"/>
          <w14:ligatures w14:val="none"/>
        </w:rPr>
        <w:t>, 13(2), pp. 29-42.</w:t>
      </w:r>
    </w:p>
    <w:p w14:paraId="1415367F"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0CD86348"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Teoh, K. R., Lishman, E., Page, A., and Donnelly, O. (2025) ‘The perspectives of peer practitioners and psychologists on the effectiveness of a trauma support programme for healthcare workers’, </w:t>
      </w:r>
      <w:r w:rsidRPr="009C7F29">
        <w:rPr>
          <w:rFonts w:ascii="Calibri" w:eastAsia="Times New Roman" w:hAnsi="Calibri" w:cs="Calibri"/>
          <w:i/>
          <w:iCs/>
          <w:kern w:val="0"/>
          <w:sz w:val="28"/>
          <w:szCs w:val="28"/>
          <w:lang w:eastAsia="en-GB"/>
          <w14:ligatures w14:val="none"/>
        </w:rPr>
        <w:t>Journal of Work-Applied Management</w:t>
      </w:r>
      <w:r w:rsidRPr="009C7F29">
        <w:rPr>
          <w:rFonts w:ascii="Calibri" w:eastAsia="Times New Roman" w:hAnsi="Calibri" w:cs="Calibri"/>
          <w:kern w:val="0"/>
          <w:sz w:val="28"/>
          <w:szCs w:val="28"/>
          <w:lang w:eastAsia="en-GB"/>
          <w14:ligatures w14:val="none"/>
        </w:rPr>
        <w:t>, 22(3), pp 1023-1029.</w:t>
      </w:r>
    </w:p>
    <w:p w14:paraId="64657D06"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247A2E0A"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Ungar, M., Collin-</w:t>
      </w:r>
      <w:proofErr w:type="spellStart"/>
      <w:r w:rsidRPr="009C7F29">
        <w:rPr>
          <w:rFonts w:ascii="Calibri" w:eastAsia="Times New Roman" w:hAnsi="Calibri" w:cs="Calibri"/>
          <w:kern w:val="0"/>
          <w:sz w:val="28"/>
          <w:szCs w:val="28"/>
          <w:lang w:eastAsia="en-GB"/>
          <w14:ligatures w14:val="none"/>
        </w:rPr>
        <w:t>Vézina</w:t>
      </w:r>
      <w:proofErr w:type="spellEnd"/>
      <w:r w:rsidRPr="009C7F29">
        <w:rPr>
          <w:rFonts w:ascii="Calibri" w:eastAsia="Times New Roman" w:hAnsi="Calibri" w:cs="Calibri"/>
          <w:kern w:val="0"/>
          <w:sz w:val="28"/>
          <w:szCs w:val="28"/>
          <w:lang w:eastAsia="en-GB"/>
          <w14:ligatures w14:val="none"/>
        </w:rPr>
        <w:t xml:space="preserve">, D., and Perry, B. D. (2022) </w:t>
      </w:r>
      <w:r w:rsidRPr="009C7F29">
        <w:rPr>
          <w:rFonts w:ascii="Calibri" w:eastAsia="Times New Roman" w:hAnsi="Calibri" w:cs="Calibri"/>
          <w:i/>
          <w:iCs/>
          <w:kern w:val="0"/>
          <w:sz w:val="28"/>
          <w:szCs w:val="28"/>
          <w:lang w:eastAsia="en-GB"/>
          <w14:ligatures w14:val="none"/>
        </w:rPr>
        <w:t>Violence, trauma, and resilience. Cruel but not unusual: Violence in families in Canada</w:t>
      </w:r>
      <w:r w:rsidRPr="009C7F29">
        <w:rPr>
          <w:rFonts w:ascii="Calibri" w:eastAsia="Times New Roman" w:hAnsi="Calibri" w:cs="Calibri"/>
          <w:kern w:val="0"/>
          <w:sz w:val="28"/>
          <w:szCs w:val="28"/>
          <w:lang w:eastAsia="en-GB"/>
          <w14:ligatures w14:val="none"/>
        </w:rPr>
        <w:t>, 3</w:t>
      </w:r>
      <w:r w:rsidRPr="009C7F29">
        <w:rPr>
          <w:rFonts w:ascii="Calibri" w:eastAsia="Times New Roman" w:hAnsi="Calibri" w:cs="Calibri"/>
          <w:kern w:val="0"/>
          <w:sz w:val="28"/>
          <w:szCs w:val="28"/>
          <w:vertAlign w:val="superscript"/>
          <w:lang w:eastAsia="en-GB"/>
          <w14:ligatures w14:val="none"/>
        </w:rPr>
        <w:t>rd</w:t>
      </w:r>
      <w:r w:rsidRPr="009C7F29">
        <w:rPr>
          <w:rFonts w:ascii="Calibri" w:eastAsia="Times New Roman" w:hAnsi="Calibri" w:cs="Calibri"/>
          <w:kern w:val="0"/>
          <w:sz w:val="28"/>
          <w:szCs w:val="28"/>
          <w:lang w:eastAsia="en-GB"/>
          <w14:ligatures w14:val="none"/>
        </w:rPr>
        <w:t xml:space="preserve"> </w:t>
      </w:r>
      <w:proofErr w:type="spellStart"/>
      <w:r w:rsidRPr="009C7F29">
        <w:rPr>
          <w:rFonts w:ascii="Calibri" w:eastAsia="Times New Roman" w:hAnsi="Calibri" w:cs="Calibri"/>
          <w:kern w:val="0"/>
          <w:sz w:val="28"/>
          <w:szCs w:val="28"/>
          <w:lang w:eastAsia="en-GB"/>
          <w14:ligatures w14:val="none"/>
        </w:rPr>
        <w:t>edn</w:t>
      </w:r>
      <w:proofErr w:type="spellEnd"/>
      <w:r w:rsidRPr="009C7F29">
        <w:rPr>
          <w:rFonts w:ascii="Calibri" w:eastAsia="Times New Roman" w:hAnsi="Calibri" w:cs="Calibri"/>
          <w:kern w:val="0"/>
          <w:sz w:val="28"/>
          <w:szCs w:val="28"/>
          <w:lang w:eastAsia="en-GB"/>
          <w14:ligatures w14:val="none"/>
        </w:rPr>
        <w:t>. Wilfrid Laurier University Press.</w:t>
      </w:r>
    </w:p>
    <w:p w14:paraId="7E450DD2"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3A30297A"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 xml:space="preserve">Weis, C. N., Webb, E. K., </w:t>
      </w:r>
      <w:proofErr w:type="spellStart"/>
      <w:r w:rsidRPr="009C7F29">
        <w:rPr>
          <w:rFonts w:ascii="Calibri" w:eastAsia="Times New Roman" w:hAnsi="Calibri" w:cs="Calibri"/>
          <w:kern w:val="0"/>
          <w:sz w:val="28"/>
          <w:szCs w:val="28"/>
          <w:lang w:eastAsia="en-GB"/>
          <w14:ligatures w14:val="none"/>
        </w:rPr>
        <w:t>deRoon</w:t>
      </w:r>
      <w:proofErr w:type="spellEnd"/>
      <w:r w:rsidRPr="009C7F29">
        <w:rPr>
          <w:rFonts w:ascii="Calibri" w:eastAsia="Times New Roman" w:hAnsi="Calibri" w:cs="Calibri"/>
          <w:kern w:val="0"/>
          <w:sz w:val="28"/>
          <w:szCs w:val="28"/>
          <w:lang w:eastAsia="en-GB"/>
          <w14:ligatures w14:val="none"/>
        </w:rPr>
        <w:t xml:space="preserve">-Cassini, T. A., and Larson, C. L. (2022) ‘Emotion dysregulation following trauma: shared neurocircuitry of traumatic brain injury and trauma-related psychiatric disorders’, </w:t>
      </w:r>
      <w:r w:rsidRPr="009C7F29">
        <w:rPr>
          <w:rFonts w:ascii="Calibri" w:eastAsia="Times New Roman" w:hAnsi="Calibri" w:cs="Calibri"/>
          <w:i/>
          <w:iCs/>
          <w:kern w:val="0"/>
          <w:sz w:val="28"/>
          <w:szCs w:val="28"/>
          <w:lang w:eastAsia="en-GB"/>
          <w14:ligatures w14:val="none"/>
        </w:rPr>
        <w:t>Biological psychiatry</w:t>
      </w:r>
      <w:r w:rsidRPr="009C7F29">
        <w:rPr>
          <w:rFonts w:ascii="Calibri" w:eastAsia="Times New Roman" w:hAnsi="Calibri" w:cs="Calibri"/>
          <w:kern w:val="0"/>
          <w:sz w:val="28"/>
          <w:szCs w:val="28"/>
          <w:lang w:eastAsia="en-GB"/>
          <w14:ligatures w14:val="none"/>
        </w:rPr>
        <w:t>, 91(5), pp. 470-477.</w:t>
      </w:r>
    </w:p>
    <w:p w14:paraId="64B3EE48"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p>
    <w:p w14:paraId="65C92C80" w14:textId="77777777" w:rsidR="003172EB" w:rsidRPr="009C7F29" w:rsidRDefault="003172EB" w:rsidP="003172EB">
      <w:pPr>
        <w:spacing w:before="100" w:beforeAutospacing="1" w:after="100" w:afterAutospacing="1" w:line="240" w:lineRule="auto"/>
        <w:rPr>
          <w:rFonts w:ascii="Calibri" w:eastAsia="Times New Roman" w:hAnsi="Calibri" w:cs="Calibri"/>
          <w:kern w:val="0"/>
          <w:sz w:val="28"/>
          <w:szCs w:val="28"/>
          <w:lang w:eastAsia="en-GB"/>
          <w14:ligatures w14:val="none"/>
        </w:rPr>
      </w:pPr>
      <w:r w:rsidRPr="009C7F29">
        <w:rPr>
          <w:rFonts w:ascii="Calibri" w:eastAsia="Times New Roman" w:hAnsi="Calibri" w:cs="Calibri"/>
          <w:kern w:val="0"/>
          <w:sz w:val="28"/>
          <w:szCs w:val="28"/>
          <w:lang w:eastAsia="en-GB"/>
          <w14:ligatures w14:val="none"/>
        </w:rPr>
        <w:t>Stephenson, E. (2023) Trauma-informed practice in early childhood education, in </w:t>
      </w:r>
      <w:r w:rsidRPr="009C7F29">
        <w:rPr>
          <w:rFonts w:ascii="Calibri" w:eastAsia="Times New Roman" w:hAnsi="Calibri" w:cs="Calibri"/>
          <w:i/>
          <w:iCs/>
          <w:kern w:val="0"/>
          <w:sz w:val="28"/>
          <w:szCs w:val="28"/>
          <w:lang w:eastAsia="en-GB"/>
          <w14:ligatures w14:val="none"/>
        </w:rPr>
        <w:t xml:space="preserve">Oxford Research </w:t>
      </w:r>
      <w:proofErr w:type="spellStart"/>
      <w:r w:rsidRPr="009C7F29">
        <w:rPr>
          <w:rFonts w:ascii="Calibri" w:eastAsia="Times New Roman" w:hAnsi="Calibri" w:cs="Calibri"/>
          <w:i/>
          <w:iCs/>
          <w:kern w:val="0"/>
          <w:sz w:val="28"/>
          <w:szCs w:val="28"/>
          <w:lang w:eastAsia="en-GB"/>
          <w14:ligatures w14:val="none"/>
        </w:rPr>
        <w:t>Encyclopedia</w:t>
      </w:r>
      <w:proofErr w:type="spellEnd"/>
      <w:r w:rsidRPr="009C7F29">
        <w:rPr>
          <w:rFonts w:ascii="Calibri" w:eastAsia="Times New Roman" w:hAnsi="Calibri" w:cs="Calibri"/>
          <w:i/>
          <w:iCs/>
          <w:kern w:val="0"/>
          <w:sz w:val="28"/>
          <w:szCs w:val="28"/>
          <w:lang w:eastAsia="en-GB"/>
          <w14:ligatures w14:val="none"/>
        </w:rPr>
        <w:t xml:space="preserve"> of Education</w:t>
      </w:r>
      <w:r w:rsidRPr="009C7F29">
        <w:rPr>
          <w:rFonts w:ascii="Calibri" w:eastAsia="Times New Roman" w:hAnsi="Calibri" w:cs="Calibri"/>
          <w:kern w:val="0"/>
          <w:sz w:val="28"/>
          <w:szCs w:val="28"/>
          <w:lang w:eastAsia="en-GB"/>
          <w14:ligatures w14:val="none"/>
        </w:rPr>
        <w:t>. 1</w:t>
      </w:r>
      <w:r w:rsidRPr="009C7F29">
        <w:rPr>
          <w:rFonts w:ascii="Calibri" w:eastAsia="Times New Roman" w:hAnsi="Calibri" w:cs="Calibri"/>
          <w:kern w:val="0"/>
          <w:sz w:val="28"/>
          <w:szCs w:val="28"/>
          <w:vertAlign w:val="superscript"/>
          <w:lang w:eastAsia="en-GB"/>
          <w14:ligatures w14:val="none"/>
        </w:rPr>
        <w:t>st</w:t>
      </w:r>
      <w:r w:rsidRPr="009C7F29">
        <w:rPr>
          <w:rFonts w:ascii="Calibri" w:eastAsia="Times New Roman" w:hAnsi="Calibri" w:cs="Calibri"/>
          <w:kern w:val="0"/>
          <w:sz w:val="28"/>
          <w:szCs w:val="28"/>
          <w:lang w:eastAsia="en-GB"/>
          <w14:ligatures w14:val="none"/>
        </w:rPr>
        <w:t xml:space="preserve"> </w:t>
      </w:r>
      <w:proofErr w:type="spellStart"/>
      <w:r w:rsidRPr="009C7F29">
        <w:rPr>
          <w:rFonts w:ascii="Calibri" w:eastAsia="Times New Roman" w:hAnsi="Calibri" w:cs="Calibri"/>
          <w:kern w:val="0"/>
          <w:sz w:val="28"/>
          <w:szCs w:val="28"/>
          <w:lang w:eastAsia="en-GB"/>
          <w14:ligatures w14:val="none"/>
        </w:rPr>
        <w:t>edn</w:t>
      </w:r>
      <w:proofErr w:type="spellEnd"/>
      <w:r w:rsidRPr="009C7F29">
        <w:rPr>
          <w:rFonts w:ascii="Calibri" w:eastAsia="Times New Roman" w:hAnsi="Calibri" w:cs="Calibri"/>
          <w:kern w:val="0"/>
          <w:sz w:val="28"/>
          <w:szCs w:val="28"/>
          <w:lang w:eastAsia="en-GB"/>
          <w14:ligatures w14:val="none"/>
        </w:rPr>
        <w:t>. Oxford University Press.</w:t>
      </w:r>
    </w:p>
    <w:p w14:paraId="2F80B5BE" w14:textId="77777777" w:rsidR="003172EB" w:rsidRPr="009C7F29" w:rsidRDefault="003172EB" w:rsidP="00331EC7">
      <w:pPr>
        <w:spacing w:before="100" w:beforeAutospacing="1" w:after="100" w:afterAutospacing="1" w:line="240" w:lineRule="auto"/>
        <w:rPr>
          <w:rFonts w:ascii="Calibri" w:eastAsia="Times New Roman" w:hAnsi="Calibri" w:cs="Calibri"/>
          <w:b/>
          <w:bCs/>
          <w:kern w:val="0"/>
          <w:sz w:val="28"/>
          <w:szCs w:val="28"/>
          <w:lang w:eastAsia="en-GB"/>
          <w14:ligatures w14:val="none"/>
        </w:rPr>
      </w:pPr>
    </w:p>
    <w:sectPr w:rsidR="003172EB" w:rsidRPr="009C7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4234A"/>
    <w:multiLevelType w:val="multilevel"/>
    <w:tmpl w:val="05CE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A801AD"/>
    <w:multiLevelType w:val="multilevel"/>
    <w:tmpl w:val="54EA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534046">
    <w:abstractNumId w:val="1"/>
  </w:num>
  <w:num w:numId="2" w16cid:durableId="1112744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88B"/>
    <w:rsid w:val="00002821"/>
    <w:rsid w:val="00110040"/>
    <w:rsid w:val="00114300"/>
    <w:rsid w:val="001D2FBB"/>
    <w:rsid w:val="00270D7D"/>
    <w:rsid w:val="002827AD"/>
    <w:rsid w:val="002F1910"/>
    <w:rsid w:val="003172EB"/>
    <w:rsid w:val="00331EC7"/>
    <w:rsid w:val="00501B1A"/>
    <w:rsid w:val="005B4F82"/>
    <w:rsid w:val="00607C7E"/>
    <w:rsid w:val="0064158D"/>
    <w:rsid w:val="00661D38"/>
    <w:rsid w:val="00676637"/>
    <w:rsid w:val="0079797F"/>
    <w:rsid w:val="00807E2F"/>
    <w:rsid w:val="008501B3"/>
    <w:rsid w:val="00860638"/>
    <w:rsid w:val="0091088B"/>
    <w:rsid w:val="009C7616"/>
    <w:rsid w:val="009C7F29"/>
    <w:rsid w:val="009F0513"/>
    <w:rsid w:val="00A1712C"/>
    <w:rsid w:val="00A2683B"/>
    <w:rsid w:val="00A772F0"/>
    <w:rsid w:val="00AF12B2"/>
    <w:rsid w:val="00AF3470"/>
    <w:rsid w:val="00BE4C3E"/>
    <w:rsid w:val="00C15E26"/>
    <w:rsid w:val="00C52223"/>
    <w:rsid w:val="00C53EA8"/>
    <w:rsid w:val="00D1597E"/>
    <w:rsid w:val="00D15A60"/>
    <w:rsid w:val="00F14AC5"/>
    <w:rsid w:val="00F648BC"/>
    <w:rsid w:val="00FE3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4832E"/>
  <w15:chartTrackingRefBased/>
  <w15:docId w15:val="{6B984B82-673B-47C8-BAFF-D94E59CB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08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08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08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08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8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8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8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8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08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08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08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08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08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8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8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88B"/>
    <w:rPr>
      <w:rFonts w:eastAsiaTheme="majorEastAsia" w:cstheme="majorBidi"/>
      <w:color w:val="272727" w:themeColor="text1" w:themeTint="D8"/>
    </w:rPr>
  </w:style>
  <w:style w:type="paragraph" w:styleId="Title">
    <w:name w:val="Title"/>
    <w:basedOn w:val="Normal"/>
    <w:next w:val="Normal"/>
    <w:link w:val="TitleChar"/>
    <w:uiPriority w:val="10"/>
    <w:qFormat/>
    <w:rsid w:val="0091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8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8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8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88B"/>
    <w:pPr>
      <w:spacing w:before="160"/>
      <w:jc w:val="center"/>
    </w:pPr>
    <w:rPr>
      <w:i/>
      <w:iCs/>
      <w:color w:val="404040" w:themeColor="text1" w:themeTint="BF"/>
    </w:rPr>
  </w:style>
  <w:style w:type="character" w:customStyle="1" w:styleId="QuoteChar">
    <w:name w:val="Quote Char"/>
    <w:basedOn w:val="DefaultParagraphFont"/>
    <w:link w:val="Quote"/>
    <w:uiPriority w:val="29"/>
    <w:rsid w:val="0091088B"/>
    <w:rPr>
      <w:i/>
      <w:iCs/>
      <w:color w:val="404040" w:themeColor="text1" w:themeTint="BF"/>
    </w:rPr>
  </w:style>
  <w:style w:type="paragraph" w:styleId="ListParagraph">
    <w:name w:val="List Paragraph"/>
    <w:basedOn w:val="Normal"/>
    <w:uiPriority w:val="34"/>
    <w:qFormat/>
    <w:rsid w:val="0091088B"/>
    <w:pPr>
      <w:ind w:left="720"/>
      <w:contextualSpacing/>
    </w:pPr>
  </w:style>
  <w:style w:type="character" w:styleId="IntenseEmphasis">
    <w:name w:val="Intense Emphasis"/>
    <w:basedOn w:val="DefaultParagraphFont"/>
    <w:uiPriority w:val="21"/>
    <w:qFormat/>
    <w:rsid w:val="0091088B"/>
    <w:rPr>
      <w:i/>
      <w:iCs/>
      <w:color w:val="2F5496" w:themeColor="accent1" w:themeShade="BF"/>
    </w:rPr>
  </w:style>
  <w:style w:type="paragraph" w:styleId="IntenseQuote">
    <w:name w:val="Intense Quote"/>
    <w:basedOn w:val="Normal"/>
    <w:next w:val="Normal"/>
    <w:link w:val="IntenseQuoteChar"/>
    <w:uiPriority w:val="30"/>
    <w:qFormat/>
    <w:rsid w:val="0091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088B"/>
    <w:rPr>
      <w:i/>
      <w:iCs/>
      <w:color w:val="2F5496" w:themeColor="accent1" w:themeShade="BF"/>
    </w:rPr>
  </w:style>
  <w:style w:type="character" w:styleId="IntenseReference">
    <w:name w:val="Intense Reference"/>
    <w:basedOn w:val="DefaultParagraphFont"/>
    <w:uiPriority w:val="32"/>
    <w:qFormat/>
    <w:rsid w:val="0091088B"/>
    <w:rPr>
      <w:b/>
      <w:bCs/>
      <w:smallCaps/>
      <w:color w:val="2F5496" w:themeColor="accent1" w:themeShade="BF"/>
      <w:spacing w:val="5"/>
    </w:rPr>
  </w:style>
  <w:style w:type="character" w:styleId="Hyperlink">
    <w:name w:val="Hyperlink"/>
    <w:basedOn w:val="DefaultParagraphFont"/>
    <w:uiPriority w:val="99"/>
    <w:unhideWhenUsed/>
    <w:rsid w:val="00860638"/>
    <w:rPr>
      <w:color w:val="0563C1" w:themeColor="hyperlink"/>
      <w:u w:val="single"/>
    </w:rPr>
  </w:style>
  <w:style w:type="character" w:styleId="UnresolvedMention">
    <w:name w:val="Unresolved Mention"/>
    <w:basedOn w:val="DefaultParagraphFont"/>
    <w:uiPriority w:val="99"/>
    <w:semiHidden/>
    <w:unhideWhenUsed/>
    <w:rsid w:val="00860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3122</Words>
  <Characters>17801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Klepczarek</dc:creator>
  <cp:keywords/>
  <dc:description/>
  <cp:lastModifiedBy>Anna Klepczarek</cp:lastModifiedBy>
  <cp:revision>6</cp:revision>
  <dcterms:created xsi:type="dcterms:W3CDTF">2025-11-11T22:51:00Z</dcterms:created>
  <dcterms:modified xsi:type="dcterms:W3CDTF">2025-12-11T19:28:00Z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b6f95d67-a97b-4062-bb90-88175f7a1054</vt:lpwstr>
  </property>
</Properties>
</file>