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480" w:lineRule="auto"/>
        <w:jc w:val="center"/>
        <w:rPr>
          <w:b/>
          <w:sz w:val="32"/>
          <w:szCs w:val="32"/>
          <w:lang w:val="en-GB"/>
        </w:rPr>
      </w:pPr>
      <w:r>
        <w:rPr>
          <w:b/>
          <w:sz w:val="32"/>
          <w:szCs w:val="32"/>
          <w:lang w:val="en-GB"/>
        </w:rPr>
        <w:t>Strategic Management and Sustainability</w:t>
      </w:r>
    </w:p>
    <w:p>
      <w:pPr>
        <w:pStyle w:val="3"/>
        <w:spacing w:line="480" w:lineRule="auto"/>
        <w:jc w:val="center"/>
        <w:rPr>
          <w:b/>
          <w:sz w:val="32"/>
          <w:szCs w:val="32"/>
          <w:lang w:val="en-GB"/>
        </w:rPr>
      </w:pPr>
      <w:r>
        <w:rPr>
          <w:b/>
          <w:sz w:val="32"/>
          <w:szCs w:val="32"/>
          <w:lang w:val="en-GB"/>
        </w:rPr>
        <w:t>Module Number:</w:t>
      </w:r>
      <w:r>
        <w:rPr>
          <w:rFonts w:hint="default"/>
          <w:b/>
          <w:sz w:val="32"/>
          <w:szCs w:val="32"/>
          <w:lang w:val="en-US"/>
        </w:rPr>
        <w:t>LCBB 6004</w:t>
      </w:r>
    </w:p>
    <w:p>
      <w:pPr>
        <w:pStyle w:val="3"/>
        <w:spacing w:line="480" w:lineRule="auto"/>
        <w:jc w:val="center"/>
        <w:rPr>
          <w:rFonts w:hint="default"/>
          <w:b/>
          <w:sz w:val="32"/>
          <w:szCs w:val="32"/>
          <w:lang w:val="en-US"/>
        </w:rPr>
      </w:pPr>
      <w:r>
        <w:rPr>
          <w:b/>
          <w:sz w:val="32"/>
          <w:szCs w:val="32"/>
          <w:lang w:val="en-GB"/>
        </w:rPr>
        <w:t>Student Name:</w:t>
      </w:r>
      <w:r>
        <w:rPr>
          <w:rFonts w:hint="default"/>
          <w:b/>
          <w:sz w:val="32"/>
          <w:szCs w:val="32"/>
          <w:lang w:val="en-US"/>
        </w:rPr>
        <w:t>Stanislav Dragov</w:t>
      </w:r>
    </w:p>
    <w:p>
      <w:pPr>
        <w:pStyle w:val="3"/>
        <w:spacing w:line="480" w:lineRule="auto"/>
        <w:jc w:val="center"/>
        <w:rPr>
          <w:rFonts w:hint="default"/>
          <w:b/>
          <w:sz w:val="32"/>
          <w:szCs w:val="32"/>
          <w:lang w:val="en-US"/>
        </w:rPr>
      </w:pPr>
      <w:r>
        <w:rPr>
          <w:b/>
          <w:sz w:val="32"/>
          <w:szCs w:val="32"/>
          <w:lang w:val="en-GB"/>
        </w:rPr>
        <w:t>Student number:</w:t>
      </w:r>
      <w:r>
        <w:rPr>
          <w:rFonts w:hint="default"/>
          <w:b/>
          <w:sz w:val="32"/>
          <w:szCs w:val="32"/>
          <w:lang w:val="en-US"/>
        </w:rPr>
        <w:t xml:space="preserve"> 1919084</w:t>
      </w:r>
    </w:p>
    <w:p>
      <w:pPr>
        <w:pStyle w:val="3"/>
        <w:spacing w:line="480" w:lineRule="auto"/>
        <w:jc w:val="center"/>
        <w:rPr>
          <w:rFonts w:hint="default"/>
          <w:b/>
          <w:sz w:val="32"/>
          <w:szCs w:val="32"/>
          <w:lang w:val="en-US"/>
        </w:rPr>
      </w:pPr>
      <w:r>
        <w:rPr>
          <w:rFonts w:hint="default"/>
          <w:b/>
          <w:sz w:val="32"/>
          <w:szCs w:val="32"/>
          <w:lang w:val="en-US"/>
        </w:rPr>
        <w:t>Program: BA Business Management</w:t>
      </w:r>
      <w:bookmarkStart w:id="4" w:name="_GoBack"/>
      <w:bookmarkEnd w:id="4"/>
    </w:p>
    <w:p>
      <w:pPr>
        <w:pStyle w:val="3"/>
        <w:spacing w:line="480" w:lineRule="auto"/>
        <w:jc w:val="both"/>
        <w:rPr>
          <w:rFonts w:hint="default"/>
          <w:b/>
          <w:sz w:val="32"/>
          <w:szCs w:val="32"/>
          <w:lang w:val="en-US"/>
        </w:rPr>
      </w:pPr>
      <w:r>
        <w:rPr>
          <w:sz w:val="32"/>
          <w:szCs w:val="32"/>
          <w:lang w:val="en-GB"/>
        </w:rPr>
        <w:br w:type="page"/>
      </w:r>
    </w:p>
    <w:sdt>
      <w:sdtPr>
        <w:rPr>
          <w:rFonts w:ascii="Arial" w:hAnsi="Arial" w:eastAsia="Arial" w:cs="Arial"/>
          <w:b w:val="0"/>
          <w:bCs w:val="0"/>
          <w:color w:val="auto"/>
          <w:sz w:val="22"/>
          <w:szCs w:val="22"/>
          <w:lang w:val="en-GB"/>
        </w:rPr>
        <w:id w:val="27542960"/>
        <w:docPartObj>
          <w:docPartGallery w:val="Table of Contents"/>
          <w:docPartUnique/>
        </w:docPartObj>
      </w:sdtPr>
      <w:sdtEndPr>
        <w:rPr>
          <w:rFonts w:ascii="Arial" w:hAnsi="Arial" w:eastAsia="Arial" w:cs="Arial"/>
          <w:b w:val="0"/>
          <w:bCs w:val="0"/>
          <w:color w:val="auto"/>
          <w:sz w:val="22"/>
          <w:szCs w:val="22"/>
          <w:lang w:val="en-GB"/>
        </w:rPr>
      </w:sdtEndPr>
      <w:sdtContent>
        <w:p>
          <w:pPr>
            <w:pStyle w:val="18"/>
            <w:spacing w:line="480" w:lineRule="auto"/>
            <w:jc w:val="center"/>
            <w:rPr>
              <w:rFonts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lang w:val="en-GB"/>
              <w14:textFill>
                <w14:solidFill>
                  <w14:schemeClr w14:val="tx1"/>
                </w14:solidFill>
              </w14:textFill>
            </w:rPr>
            <w:t>Table of Contents</w:t>
          </w:r>
        </w:p>
        <w:p>
          <w:pPr>
            <w:pStyle w:val="17"/>
            <w:tabs>
              <w:tab w:val="right" w:leader="dot" w:pos="9350"/>
            </w:tabs>
            <w:spacing w:line="480" w:lineRule="auto"/>
          </w:pPr>
          <w:r>
            <w:fldChar w:fldCharType="begin"/>
          </w:r>
          <w:r>
            <w:instrText xml:space="preserve"> TOC \o "1-3" \h \z \u </w:instrText>
          </w:r>
          <w:r>
            <w:fldChar w:fldCharType="separate"/>
          </w:r>
          <w:r>
            <w:fldChar w:fldCharType="begin"/>
          </w:r>
          <w:r>
            <w:instrText xml:space="preserve"> HYPERLINK \l "_Toc122711710" </w:instrText>
          </w:r>
          <w:r>
            <w:fldChar w:fldCharType="separate"/>
          </w:r>
          <w:r>
            <w:rPr>
              <w:rStyle w:val="14"/>
            </w:rPr>
            <w:t>Introduction</w:t>
          </w:r>
          <w:r>
            <w:tab/>
          </w:r>
          <w:r>
            <w:fldChar w:fldCharType="begin"/>
          </w:r>
          <w:r>
            <w:instrText xml:space="preserve"> PAGEREF _Toc122711710 \h </w:instrText>
          </w:r>
          <w:r>
            <w:fldChar w:fldCharType="separate"/>
          </w:r>
          <w:r>
            <w:t>3</w:t>
          </w:r>
          <w:r>
            <w:fldChar w:fldCharType="end"/>
          </w:r>
          <w:r>
            <w:fldChar w:fldCharType="end"/>
          </w:r>
        </w:p>
        <w:p>
          <w:pPr>
            <w:pStyle w:val="17"/>
            <w:tabs>
              <w:tab w:val="right" w:leader="dot" w:pos="9350"/>
            </w:tabs>
            <w:spacing w:line="480" w:lineRule="auto"/>
          </w:pPr>
          <w:r>
            <w:fldChar w:fldCharType="begin"/>
          </w:r>
          <w:r>
            <w:instrText xml:space="preserve"> HYPERLINK \l "_Toc122711711" </w:instrText>
          </w:r>
          <w:r>
            <w:fldChar w:fldCharType="separate"/>
          </w:r>
          <w:r>
            <w:rPr>
              <w:rStyle w:val="14"/>
            </w:rPr>
            <w:t>Main Body</w:t>
          </w:r>
          <w:r>
            <w:tab/>
          </w:r>
          <w:r>
            <w:fldChar w:fldCharType="begin"/>
          </w:r>
          <w:r>
            <w:instrText xml:space="preserve"> PAGEREF _Toc122711711 \h </w:instrText>
          </w:r>
          <w:r>
            <w:fldChar w:fldCharType="separate"/>
          </w:r>
          <w:r>
            <w:t>3</w:t>
          </w:r>
          <w:r>
            <w:fldChar w:fldCharType="end"/>
          </w:r>
          <w:r>
            <w:fldChar w:fldCharType="end"/>
          </w:r>
        </w:p>
        <w:p>
          <w:pPr>
            <w:pStyle w:val="17"/>
            <w:tabs>
              <w:tab w:val="right" w:leader="dot" w:pos="9350"/>
            </w:tabs>
            <w:spacing w:line="480" w:lineRule="auto"/>
          </w:pPr>
          <w:r>
            <w:fldChar w:fldCharType="begin"/>
          </w:r>
          <w:r>
            <w:instrText xml:space="preserve"> HYPERLINK \l "_Toc122711712" </w:instrText>
          </w:r>
          <w:r>
            <w:fldChar w:fldCharType="separate"/>
          </w:r>
          <w:r>
            <w:rPr>
              <w:rStyle w:val="14"/>
            </w:rPr>
            <w:t>Conclusion</w:t>
          </w:r>
          <w:r>
            <w:tab/>
          </w:r>
          <w:r>
            <w:fldChar w:fldCharType="begin"/>
          </w:r>
          <w:r>
            <w:instrText xml:space="preserve"> PAGEREF _Toc122711712 \h </w:instrText>
          </w:r>
          <w:r>
            <w:fldChar w:fldCharType="separate"/>
          </w:r>
          <w:r>
            <w:t>9</w:t>
          </w:r>
          <w:r>
            <w:fldChar w:fldCharType="end"/>
          </w:r>
          <w:r>
            <w:fldChar w:fldCharType="end"/>
          </w:r>
        </w:p>
        <w:p>
          <w:pPr>
            <w:pStyle w:val="17"/>
            <w:tabs>
              <w:tab w:val="right" w:leader="dot" w:pos="9350"/>
            </w:tabs>
            <w:spacing w:line="480" w:lineRule="auto"/>
          </w:pPr>
          <w:r>
            <w:fldChar w:fldCharType="begin"/>
          </w:r>
          <w:r>
            <w:instrText xml:space="preserve"> HYPERLINK \l "_Toc122711713" </w:instrText>
          </w:r>
          <w:r>
            <w:fldChar w:fldCharType="separate"/>
          </w:r>
          <w:r>
            <w:rPr>
              <w:rStyle w:val="14"/>
            </w:rPr>
            <w:t>References</w:t>
          </w:r>
          <w:r>
            <w:tab/>
          </w:r>
          <w:r>
            <w:fldChar w:fldCharType="begin"/>
          </w:r>
          <w:r>
            <w:instrText xml:space="preserve"> PAGEREF _Toc122711713 \h </w:instrText>
          </w:r>
          <w:r>
            <w:fldChar w:fldCharType="separate"/>
          </w:r>
          <w:r>
            <w:t>10</w:t>
          </w:r>
          <w:r>
            <w:fldChar w:fldCharType="end"/>
          </w:r>
          <w:r>
            <w:fldChar w:fldCharType="end"/>
          </w:r>
        </w:p>
        <w:p>
          <w:pPr>
            <w:spacing w:line="480" w:lineRule="auto"/>
          </w:pPr>
          <w:r>
            <w:fldChar w:fldCharType="end"/>
          </w:r>
        </w:p>
      </w:sdtContent>
    </w:sdt>
    <w:p>
      <w:pPr>
        <w:spacing w:line="480" w:lineRule="auto"/>
        <w:rPr>
          <w:b/>
          <w:sz w:val="32"/>
          <w:szCs w:val="40"/>
        </w:rPr>
      </w:pPr>
      <w:r>
        <w:br w:type="page"/>
      </w:r>
    </w:p>
    <w:p>
      <w:pPr>
        <w:pStyle w:val="2"/>
        <w:rPr>
          <w:lang w:val="en-GB"/>
        </w:rPr>
      </w:pPr>
      <w:bookmarkStart w:id="0" w:name="_Toc122711710"/>
      <w:r>
        <w:t>Introduction</w:t>
      </w:r>
      <w:bookmarkEnd w:id="0"/>
    </w:p>
    <w:p>
      <w:pPr>
        <w:pStyle w:val="3"/>
        <w:spacing w:line="480" w:lineRule="auto"/>
        <w:jc w:val="both"/>
        <w:rPr>
          <w:lang w:val="en-GB"/>
        </w:rPr>
      </w:pPr>
      <w:r>
        <w:rPr>
          <w:b/>
          <w:lang w:val="en-GB"/>
        </w:rPr>
        <w:t>Sustainable strategic management</w:t>
      </w:r>
      <w:r>
        <w:rPr>
          <w:lang w:val="en-GB"/>
        </w:rPr>
        <w:t xml:space="preserve"> aims in analysing, formulating, and implementing the business strategy to have economic competitiveness, be socially responsible and also address the need for balance in the global issues that are related to nature. Sustainable strategic management helps the organisation to create a business environment where it tends to lead by serving social change and also natural habitat protection. The sustainability business practices also help the company to be more profitable as there is a growing market for sustainable products. It also gets recognised by the general public for contributing to the ecological-driven because which creates a positive impact on the company’s image and can help the company to achieve its goals and objectives.</w:t>
      </w:r>
    </w:p>
    <w:p>
      <w:pPr>
        <w:rPr>
          <w:b/>
          <w:szCs w:val="40"/>
        </w:rPr>
      </w:pPr>
      <w:bookmarkStart w:id="1" w:name="_Toc122711711"/>
      <w:r>
        <w:br w:type="page"/>
      </w:r>
    </w:p>
    <w:p>
      <w:pPr>
        <w:pStyle w:val="2"/>
        <w:spacing w:line="480" w:lineRule="auto"/>
        <w:rPr>
          <w:lang w:val="en-GB"/>
        </w:rPr>
      </w:pPr>
      <w:r>
        <w:rPr>
          <w:lang w:val="en-GB"/>
        </w:rPr>
        <w:t>Main Body</w:t>
      </w:r>
      <w:bookmarkEnd w:id="1"/>
      <w:r>
        <w:rPr>
          <w:lang w:val="en-GB"/>
        </w:rPr>
        <w:t xml:space="preserve"> </w:t>
      </w:r>
    </w:p>
    <w:p>
      <w:pPr>
        <w:pStyle w:val="3"/>
        <w:spacing w:line="480" w:lineRule="auto"/>
        <w:jc w:val="both"/>
        <w:rPr>
          <w:lang w:val="en-GB"/>
        </w:rPr>
      </w:pPr>
      <w:r>
        <w:rPr>
          <w:lang w:val="en-GB"/>
        </w:rPr>
        <w:t>A</w:t>
      </w:r>
      <w:r>
        <w:rPr>
          <w:b/>
          <w:lang w:val="en-GB"/>
        </w:rPr>
        <w:t xml:space="preserve"> Volkswagen </w:t>
      </w:r>
      <w:r>
        <w:rPr>
          <w:lang w:val="en-GB"/>
        </w:rPr>
        <w:t xml:space="preserve">is </w:t>
      </w:r>
      <w:r>
        <w:rPr>
          <w:b/>
          <w:lang w:val="en-GB"/>
        </w:rPr>
        <w:t>one of the leading motor vehicle manufacturers</w:t>
      </w:r>
      <w:r>
        <w:rPr>
          <w:lang w:val="en-GB"/>
        </w:rPr>
        <w:t xml:space="preserve"> in the world. The Company’s </w:t>
      </w:r>
      <w:r>
        <w:rPr>
          <w:b/>
          <w:lang w:val="en-GB"/>
        </w:rPr>
        <w:t>headquarter</w:t>
      </w:r>
      <w:r>
        <w:rPr>
          <w:lang w:val="en-GB"/>
        </w:rPr>
        <w:t xml:space="preserve"> is based in</w:t>
      </w:r>
      <w:r>
        <w:rPr>
          <w:b/>
          <w:lang w:val="en-GB"/>
        </w:rPr>
        <w:t xml:space="preserve"> Wolfsburg, Germany</w:t>
      </w:r>
      <w:r>
        <w:rPr>
          <w:lang w:val="en-GB"/>
        </w:rPr>
        <w:t>. It is generally known for producing competitive pricing motor vehicles which have luxurious features. Over the years the company has well adapted to the modern technological advancement in its business operations to enable the most advanced features along with sustainability practices in its operations (</w:t>
      </w:r>
      <w:r>
        <w:rPr>
          <w:color w:val="222222"/>
          <w:highlight w:val="white"/>
          <w:lang w:val="en-GB"/>
        </w:rPr>
        <w:t xml:space="preserve">Zhang </w:t>
      </w:r>
      <w:r>
        <w:rPr>
          <w:i/>
          <w:color w:val="222222"/>
          <w:highlight w:val="white"/>
          <w:lang w:val="en-GB"/>
        </w:rPr>
        <w:t>et al</w:t>
      </w:r>
      <w:r>
        <w:rPr>
          <w:color w:val="222222"/>
          <w:highlight w:val="white"/>
          <w:lang w:val="en-GB"/>
        </w:rPr>
        <w:t>., 2021</w:t>
      </w:r>
      <w:r>
        <w:rPr>
          <w:lang w:val="en-GB"/>
        </w:rPr>
        <w:t xml:space="preserve">). The Company has over 1, 80,000 employees all over the world with the vast majority of the manufacturing being set in Europe and China. The Company’s motor vehicle is sold in over 150 countries which basically state it shares a dominant market share in the motor vehicle business. In the year </w:t>
      </w:r>
      <w:r>
        <w:rPr>
          <w:b/>
          <w:lang w:val="en-GB"/>
        </w:rPr>
        <w:t>2015</w:t>
      </w:r>
      <w:r>
        <w:rPr>
          <w:lang w:val="en-GB"/>
        </w:rPr>
        <w:t xml:space="preserve">, the company was involved in an </w:t>
      </w:r>
      <w:r>
        <w:rPr>
          <w:b/>
          <w:lang w:val="en-GB"/>
        </w:rPr>
        <w:t>emissions scandal</w:t>
      </w:r>
      <w:r>
        <w:rPr>
          <w:lang w:val="en-GB"/>
        </w:rPr>
        <w:t xml:space="preserve"> for using a </w:t>
      </w:r>
      <w:r>
        <w:rPr>
          <w:b/>
          <w:lang w:val="en-GB"/>
        </w:rPr>
        <w:t>defeat device</w:t>
      </w:r>
      <w:r>
        <w:rPr>
          <w:lang w:val="en-GB"/>
        </w:rPr>
        <w:t xml:space="preserve"> to confirm the</w:t>
      </w:r>
      <w:r>
        <w:rPr>
          <w:b/>
          <w:lang w:val="en-GB"/>
        </w:rPr>
        <w:t xml:space="preserve"> EU pollution</w:t>
      </w:r>
      <w:r>
        <w:rPr>
          <w:lang w:val="en-GB"/>
        </w:rPr>
        <w:t xml:space="preserve"> but in reality that was</w:t>
      </w:r>
      <w:r>
        <w:rPr>
          <w:b/>
          <w:lang w:val="en-GB"/>
        </w:rPr>
        <w:t xml:space="preserve"> faked </w:t>
      </w:r>
      <w:r>
        <w:rPr>
          <w:lang w:val="en-GB"/>
        </w:rPr>
        <w:t>by the company (</w:t>
      </w:r>
      <w:r>
        <w:rPr>
          <w:color w:val="222222"/>
          <w:highlight w:val="white"/>
          <w:lang w:val="en-GB"/>
        </w:rPr>
        <w:t>Pries and Wäcken, 2020</w:t>
      </w:r>
      <w:r>
        <w:rPr>
          <w:lang w:val="en-GB"/>
        </w:rPr>
        <w:t xml:space="preserve">). The claim stated that the company’s </w:t>
      </w:r>
      <w:r>
        <w:rPr>
          <w:b/>
          <w:lang w:val="en-GB"/>
        </w:rPr>
        <w:t>vehicle emissions</w:t>
      </w:r>
      <w:r>
        <w:rPr>
          <w:lang w:val="en-GB"/>
        </w:rPr>
        <w:t xml:space="preserve"> were</w:t>
      </w:r>
      <w:r>
        <w:rPr>
          <w:b/>
          <w:lang w:val="en-GB"/>
        </w:rPr>
        <w:t xml:space="preserve"> 40 times more</w:t>
      </w:r>
      <w:r>
        <w:rPr>
          <w:lang w:val="en-GB"/>
        </w:rPr>
        <w:t xml:space="preserve"> than the legally permitted pollution standards (</w:t>
      </w:r>
      <w:r>
        <w:rPr>
          <w:color w:val="222222"/>
          <w:highlight w:val="white"/>
          <w:lang w:val="en-GB"/>
        </w:rPr>
        <w:t>Irwin, 2018</w:t>
      </w:r>
      <w:r>
        <w:rPr>
          <w:lang w:val="en-GB"/>
        </w:rPr>
        <w:t xml:space="preserve">). The Company’s key business strategies can be studied over the past five years to change this course of image the company has produced by breaking the law and how it has changed the business scope of the company. The Company has initiated to aim to make its brand more appealing for the public trust it has started the </w:t>
      </w:r>
      <w:r>
        <w:rPr>
          <w:b/>
          <w:lang w:val="en-GB"/>
        </w:rPr>
        <w:t>ACCELERATE strategy</w:t>
      </w:r>
      <w:r>
        <w:rPr>
          <w:lang w:val="en-GB"/>
        </w:rPr>
        <w:t xml:space="preserve"> centres on a </w:t>
      </w:r>
      <w:r>
        <w:rPr>
          <w:b/>
          <w:lang w:val="en-GB"/>
        </w:rPr>
        <w:t>global model initiative</w:t>
      </w:r>
      <w:r>
        <w:rPr>
          <w:lang w:val="en-GB"/>
        </w:rPr>
        <w:t xml:space="preserve"> by which the company aims to lead innovation and technology with a more sustainable approach for sustaining quality products (</w:t>
      </w:r>
      <w:r>
        <w:rPr>
          <w:color w:val="222222"/>
          <w:highlight w:val="white"/>
          <w:lang w:val="en-GB"/>
        </w:rPr>
        <w:t xml:space="preserve">Drobyazko </w:t>
      </w:r>
      <w:r>
        <w:rPr>
          <w:i/>
          <w:color w:val="222222"/>
          <w:highlight w:val="white"/>
          <w:lang w:val="en-GB"/>
        </w:rPr>
        <w:t>et al</w:t>
      </w:r>
      <w:r>
        <w:rPr>
          <w:color w:val="222222"/>
          <w:highlight w:val="white"/>
          <w:lang w:val="en-GB"/>
        </w:rPr>
        <w:t>., 2019</w:t>
      </w:r>
      <w:r>
        <w:rPr>
          <w:lang w:val="en-GB"/>
        </w:rPr>
        <w:t>). After the company’s horrendous scandal in 2015, the company has divided its business into two different sectors including the automotive and financial divisions. This has allowed them to survive the challenge by setting new record sales in the year 2016. The Company’s great comeback has allowed them to survive the fierce competition in the competitive business environment. The Company has also taken notice of the global automotive industry evolving towards more</w:t>
      </w:r>
      <w:r>
        <w:rPr>
          <w:b/>
          <w:lang w:val="en-GB"/>
        </w:rPr>
        <w:t xml:space="preserve"> autonomous and electric driving</w:t>
      </w:r>
      <w:r>
        <w:rPr>
          <w:lang w:val="en-GB"/>
        </w:rPr>
        <w:t xml:space="preserve"> which has allowed the company to make major changes in their business operation for adapting to this trend. It has largely focused on diversifying its products by bringing autonomous and electric cars into its product portfolios over the past five years. They also produced other new products by bringing various modules which are less expensive vehicles, premium vehicles, and also Electric vehicles that are more efficient to operate. The other aspect the company changed in key business strategy was to enable</w:t>
      </w:r>
      <w:r>
        <w:rPr>
          <w:b/>
          <w:lang w:val="en-GB"/>
        </w:rPr>
        <w:t xml:space="preserve"> excellent human resource management</w:t>
      </w:r>
      <w:r>
        <w:rPr>
          <w:lang w:val="en-GB"/>
        </w:rPr>
        <w:t xml:space="preserve"> for attracting the best candidates in the company by providing more job opportunities at different job specifics. They achieved to attract and retain capable candidates by making professional development programs which can be beneficial in both the personal and professional life of the candidates (</w:t>
      </w:r>
      <w:r>
        <w:rPr>
          <w:color w:val="222222"/>
          <w:highlight w:val="white"/>
          <w:lang w:val="en-GB"/>
        </w:rPr>
        <w:t>Sergio and Rylova, 2018</w:t>
      </w:r>
      <w:r>
        <w:rPr>
          <w:lang w:val="en-GB"/>
        </w:rPr>
        <w:t>). This factor played a huge role in the company to thrive in the automotive industry by making the most productive workforce in the company.</w:t>
      </w:r>
    </w:p>
    <w:p>
      <w:pPr>
        <w:pStyle w:val="3"/>
        <w:spacing w:line="480" w:lineRule="auto"/>
        <w:jc w:val="both"/>
        <w:rPr>
          <w:lang w:val="en-GB"/>
        </w:rPr>
      </w:pPr>
      <w:r>
        <w:rPr>
          <w:lang w:val="en-GB"/>
        </w:rPr>
        <w:t>A Volkswagen already has the</w:t>
      </w:r>
      <w:r>
        <w:rPr>
          <w:b/>
          <w:lang w:val="en-GB"/>
        </w:rPr>
        <w:t xml:space="preserve"> advantage</w:t>
      </w:r>
      <w:r>
        <w:rPr>
          <w:lang w:val="en-GB"/>
        </w:rPr>
        <w:t xml:space="preserve"> of being one of the</w:t>
      </w:r>
      <w:r>
        <w:rPr>
          <w:b/>
          <w:lang w:val="en-GB"/>
        </w:rPr>
        <w:t xml:space="preserve"> legacy brands</w:t>
      </w:r>
      <w:r>
        <w:rPr>
          <w:lang w:val="en-GB"/>
        </w:rPr>
        <w:t xml:space="preserve"> whose deep-rooted business resources have allowed them to survive the emissions scandal. They made an immediate bounce back through advancements by improving their business practice and also utilising their resources to create trust in the public. The Company had the facility of the</w:t>
      </w:r>
      <w:r>
        <w:rPr>
          <w:b/>
          <w:lang w:val="en-GB"/>
        </w:rPr>
        <w:t xml:space="preserve"> production Infrastructur</w:t>
      </w:r>
      <w:r>
        <w:rPr>
          <w:lang w:val="en-GB"/>
        </w:rPr>
        <w:t>e to meet the demand of the customers which can be stated as a competitive advantage. Over the past five years, the company has thoroughly invested in its</w:t>
      </w:r>
      <w:r>
        <w:rPr>
          <w:b/>
          <w:lang w:val="en-GB"/>
        </w:rPr>
        <w:t xml:space="preserve"> R&amp;D capabilities</w:t>
      </w:r>
      <w:r>
        <w:rPr>
          <w:lang w:val="en-GB"/>
        </w:rPr>
        <w:t xml:space="preserve"> to create more innovative methods in the business so that it can function its business more efficiently and effectively. To date, the company’s technological innovation has helped to create automated services in the production facility which has increased the production capacity that has enabled them to take more demands of the customers. The development research and development facility has allowed them to evolve to the changing business environment like bringing more autonomous features in their low-cost and premium cars. They introduced various models to raise the demand of the customer. This has been a game changer for the company as it helped them to reach a new customer base in the market. The increased capability has helped them to make a</w:t>
      </w:r>
      <w:r>
        <w:rPr>
          <w:b/>
          <w:lang w:val="en-GB"/>
        </w:rPr>
        <w:t xml:space="preserve"> positive global presence</w:t>
      </w:r>
      <w:r>
        <w:rPr>
          <w:lang w:val="en-GB"/>
        </w:rPr>
        <w:t xml:space="preserve"> once again by gaining more customer trust. The company’s capability to utilise its resources has greatly benefitted them to increase its motor vehicle demand over the years. They had the capable supply chain to facilitate their product all over the globe. But the increased technological advancement in the production facility has forced them to make a creative stride in making the</w:t>
      </w:r>
      <w:r>
        <w:rPr>
          <w:b/>
          <w:lang w:val="en-GB"/>
        </w:rPr>
        <w:t xml:space="preserve"> sustainable supply chain </w:t>
      </w:r>
      <w:r>
        <w:rPr>
          <w:lang w:val="en-GB"/>
        </w:rPr>
        <w:t xml:space="preserve">more effective. To meet the demand, the company made strategic planning to make its supply chain more efficient and effective for meeting demand of customers. Over the years they also took a major stride in making a partnership with different partners across the globe which has benefited in restructuring business operations. The partnership has greatly helped the company grow in Asian countries which can be seen as a major game changer for the company. The Company’s ability to utilise the huge market scope in </w:t>
      </w:r>
      <w:r>
        <w:rPr>
          <w:b/>
          <w:lang w:val="en-GB"/>
        </w:rPr>
        <w:t>Asian countries</w:t>
      </w:r>
      <w:r>
        <w:rPr>
          <w:lang w:val="en-GB"/>
        </w:rPr>
        <w:t xml:space="preserve"> has helped them to increase its sales by increasing its revenue over the years. The other valuable</w:t>
      </w:r>
      <w:r>
        <w:rPr>
          <w:b/>
          <w:lang w:val="en-GB"/>
        </w:rPr>
        <w:t xml:space="preserve"> partnership</w:t>
      </w:r>
      <w:r>
        <w:rPr>
          <w:lang w:val="en-GB"/>
        </w:rPr>
        <w:t xml:space="preserve"> is with </w:t>
      </w:r>
      <w:r>
        <w:rPr>
          <w:b/>
          <w:lang w:val="en-GB"/>
        </w:rPr>
        <w:t>Navistar</w:t>
      </w:r>
      <w:r>
        <w:rPr>
          <w:lang w:val="en-GB"/>
        </w:rPr>
        <w:t>, the</w:t>
      </w:r>
      <w:r>
        <w:rPr>
          <w:b/>
          <w:lang w:val="en-GB"/>
        </w:rPr>
        <w:t xml:space="preserve"> American-based company</w:t>
      </w:r>
      <w:r>
        <w:rPr>
          <w:lang w:val="en-GB"/>
        </w:rPr>
        <w:t>. Volkswagen’s</w:t>
      </w:r>
      <w:r>
        <w:rPr>
          <w:b/>
          <w:lang w:val="en-GB"/>
        </w:rPr>
        <w:t xml:space="preserve"> </w:t>
      </w:r>
      <w:r>
        <w:rPr>
          <w:lang w:val="en-GB"/>
        </w:rPr>
        <w:t xml:space="preserve">partnership with this company has enabled them to leverage the resources to invest in </w:t>
      </w:r>
      <w:r>
        <w:rPr>
          <w:b/>
          <w:lang w:val="en-GB"/>
        </w:rPr>
        <w:t>digitalisation and zero emissions</w:t>
      </w:r>
      <w:r>
        <w:rPr>
          <w:lang w:val="en-GB"/>
        </w:rPr>
        <w:t xml:space="preserve"> in their business practice while also creating new business models. It has helped the company to satisfy the needs of the customers while maintaining a sustainable approach to business operations. This has helped the company to produce profitable performance over the years and has helped to shape its business structure in a positive direction. This has given the brand a more positive outlook in the general public eyes. The other aspects of the company’s success in recent years have been due to the introduction of a large number of product portfolios which has enabled them to reach the maximum number of customers who varies from the mid-income level to the higher income level. This method has helped the company to reach a different set of customers across the globe by giving them the opportunity to experience their product. This strategic planning has led the company to make a major comeback to gain its popularity back in the market. It has been very instrumental for the company to thrive by introducing sustainability at a larger scale in the business operation. This has been the crucial reason for the company’s dominant performance in recent years through the right implementation of the establishment itself an eco-friendly company that is focused on improving its sustainable features in business operations. </w:t>
      </w:r>
    </w:p>
    <w:p>
      <w:pPr>
        <w:pStyle w:val="3"/>
        <w:spacing w:line="480" w:lineRule="auto"/>
        <w:jc w:val="both"/>
        <w:rPr>
          <w:lang w:val="en-GB"/>
        </w:rPr>
      </w:pPr>
      <w:r>
        <w:rPr>
          <w:b/>
          <w:lang w:val="en-GB"/>
        </w:rPr>
        <w:t>Volkswagen</w:t>
      </w:r>
      <w:r>
        <w:rPr>
          <w:lang w:val="en-GB"/>
        </w:rPr>
        <w:t xml:space="preserve"> has taken the</w:t>
      </w:r>
      <w:r>
        <w:rPr>
          <w:b/>
          <w:lang w:val="en-GB"/>
        </w:rPr>
        <w:t xml:space="preserve"> route </w:t>
      </w:r>
      <w:r>
        <w:rPr>
          <w:lang w:val="en-GB"/>
        </w:rPr>
        <w:t xml:space="preserve">of driving its </w:t>
      </w:r>
      <w:r>
        <w:rPr>
          <w:b/>
          <w:lang w:val="en-GB"/>
        </w:rPr>
        <w:t>future towards electrically</w:t>
      </w:r>
      <w:r>
        <w:rPr>
          <w:lang w:val="en-GB"/>
        </w:rPr>
        <w:t xml:space="preserve"> becoming competitive so that along with the competitiveness it can also take into consideration of environmental sustainability. The Company’s main agenda is to contribute towards</w:t>
      </w:r>
      <w:r>
        <w:rPr>
          <w:b/>
          <w:lang w:val="en-GB"/>
        </w:rPr>
        <w:t xml:space="preserve"> climate protection</w:t>
      </w:r>
      <w:r>
        <w:rPr>
          <w:lang w:val="en-GB"/>
        </w:rPr>
        <w:t xml:space="preserve"> by shifting its business operation to e-mobility. They have largely</w:t>
      </w:r>
      <w:r>
        <w:rPr>
          <w:b/>
          <w:lang w:val="en-GB"/>
        </w:rPr>
        <w:t xml:space="preserve"> invested in research &amp; development</w:t>
      </w:r>
      <w:r>
        <w:rPr>
          <w:lang w:val="en-GB"/>
        </w:rPr>
        <w:t xml:space="preserve"> to have more advanced electric cars that are capable of being used in an efficient manner for daily needs. This research has been done to decrease the carbon footprint so that sustainability is encouraged in the present and as well in the future. This research has enabled them to make strides in making battery production more fluent and also to increase the battery life and have a higher share of renewable energy. This helps them to give produce more energy for producing more electric cars with the use of sustainable electricity. The</w:t>
      </w:r>
      <w:r>
        <w:rPr>
          <w:b/>
          <w:lang w:val="en-GB"/>
        </w:rPr>
        <w:t xml:space="preserve"> Company</w:t>
      </w:r>
      <w:r>
        <w:rPr>
          <w:lang w:val="en-GB"/>
        </w:rPr>
        <w:t xml:space="preserve"> has set a</w:t>
      </w:r>
      <w:r>
        <w:rPr>
          <w:b/>
          <w:lang w:val="en-GB"/>
        </w:rPr>
        <w:t xml:space="preserve"> target</w:t>
      </w:r>
      <w:r>
        <w:rPr>
          <w:lang w:val="en-GB"/>
        </w:rPr>
        <w:t xml:space="preserve"> to become the </w:t>
      </w:r>
      <w:r>
        <w:rPr>
          <w:b/>
          <w:lang w:val="en-GB"/>
        </w:rPr>
        <w:t xml:space="preserve">global market leader </w:t>
      </w:r>
      <w:r>
        <w:rPr>
          <w:lang w:val="en-GB"/>
        </w:rPr>
        <w:t xml:space="preserve">in the </w:t>
      </w:r>
      <w:r>
        <w:rPr>
          <w:b/>
          <w:lang w:val="en-GB"/>
        </w:rPr>
        <w:t>electric car domain</w:t>
      </w:r>
      <w:r>
        <w:rPr>
          <w:lang w:val="en-GB"/>
        </w:rPr>
        <w:t xml:space="preserve"> by </w:t>
      </w:r>
      <w:r>
        <w:rPr>
          <w:b/>
          <w:lang w:val="en-GB"/>
        </w:rPr>
        <w:t xml:space="preserve">investing </w:t>
      </w:r>
      <w:r>
        <w:rPr>
          <w:lang w:val="en-GB"/>
        </w:rPr>
        <w:t>a huge sum of over</w:t>
      </w:r>
      <w:r>
        <w:rPr>
          <w:b/>
          <w:lang w:val="en-GB"/>
        </w:rPr>
        <w:t xml:space="preserve"> $40 billion</w:t>
      </w:r>
      <w:r>
        <w:rPr>
          <w:lang w:val="en-GB"/>
        </w:rPr>
        <w:t xml:space="preserve"> in it by the year</w:t>
      </w:r>
      <w:r>
        <w:rPr>
          <w:b/>
          <w:lang w:val="en-GB"/>
        </w:rPr>
        <w:t xml:space="preserve"> 2025 </w:t>
      </w:r>
      <w:r>
        <w:rPr>
          <w:lang w:val="en-GB"/>
        </w:rPr>
        <w:t>(</w:t>
      </w:r>
      <w:r>
        <w:rPr>
          <w:color w:val="222222"/>
          <w:highlight w:val="white"/>
          <w:lang w:val="en-GB"/>
        </w:rPr>
        <w:t>Volkswagen, 2022</w:t>
      </w:r>
      <w:r>
        <w:rPr>
          <w:lang w:val="en-GB"/>
        </w:rPr>
        <w:t>). This investment is enabling the company to create a strong growth rate in producing electric car models to increase its market share. Their purpose is not only to produce electric cars but also in producing climate-friendly electricity so that it can be best utilised to generate more energy sources. This helps the company stay competitive by enabling itself with ecological protection. Through this diverse development, the company is aiming to produce at least</w:t>
      </w:r>
      <w:r>
        <w:rPr>
          <w:b/>
          <w:lang w:val="en-GB"/>
        </w:rPr>
        <w:t xml:space="preserve"> 70 electric vehicle models</w:t>
      </w:r>
      <w:r>
        <w:rPr>
          <w:lang w:val="en-GB"/>
        </w:rPr>
        <w:t xml:space="preserve"> by the year</w:t>
      </w:r>
      <w:r>
        <w:rPr>
          <w:b/>
          <w:lang w:val="en-GB"/>
        </w:rPr>
        <w:t xml:space="preserve"> 2030</w:t>
      </w:r>
      <w:r>
        <w:rPr>
          <w:lang w:val="en-GB"/>
        </w:rPr>
        <w:t xml:space="preserve">. This allows them to have deserved product portfolio by giving the customers more options. This can increase the product visibility of the company and that can have a positive impact on the image of the image. This helps to attract the maximum number of customers towards the products due to the increase in visibility of the product. Their effort is also seen in increasing their energy efficiency through the reduced emissions in the factories where the products are produced. Their main motive is to make </w:t>
      </w:r>
      <w:r>
        <w:rPr>
          <w:b/>
          <w:lang w:val="en-GB"/>
        </w:rPr>
        <w:t>100% of their power from renewable energy by 2023</w:t>
      </w:r>
      <w:r>
        <w:rPr>
          <w:lang w:val="en-GB"/>
        </w:rPr>
        <w:t xml:space="preserve"> so that they can lead the automotive industry in environmental sustainability (</w:t>
      </w:r>
      <w:r>
        <w:rPr>
          <w:color w:val="222222"/>
          <w:highlight w:val="white"/>
          <w:lang w:val="en-GB"/>
        </w:rPr>
        <w:t xml:space="preserve">Piazza </w:t>
      </w:r>
      <w:r>
        <w:rPr>
          <w:i/>
          <w:color w:val="222222"/>
          <w:highlight w:val="white"/>
          <w:lang w:val="en-GB"/>
        </w:rPr>
        <w:t>et al</w:t>
      </w:r>
      <w:r>
        <w:rPr>
          <w:color w:val="222222"/>
          <w:highlight w:val="white"/>
          <w:lang w:val="en-GB"/>
        </w:rPr>
        <w:t>., 2022</w:t>
      </w:r>
      <w:r>
        <w:rPr>
          <w:lang w:val="en-GB"/>
        </w:rPr>
        <w:t>). The company is not only focused on climate change but is also making a major contribution in the areas such as decarbonisation measures for mobility and transport, and renewable energy systems. This is being done by</w:t>
      </w:r>
      <w:r>
        <w:rPr>
          <w:b/>
          <w:lang w:val="en-GB"/>
        </w:rPr>
        <w:t xml:space="preserve"> supporting</w:t>
      </w:r>
      <w:r>
        <w:rPr>
          <w:lang w:val="en-GB"/>
        </w:rPr>
        <w:t xml:space="preserve"> the</w:t>
      </w:r>
      <w:r>
        <w:rPr>
          <w:b/>
          <w:lang w:val="en-GB"/>
        </w:rPr>
        <w:t xml:space="preserve"> Paris climate targets</w:t>
      </w:r>
      <w:r>
        <w:rPr>
          <w:lang w:val="en-GB"/>
        </w:rPr>
        <w:t xml:space="preserve"> and the</w:t>
      </w:r>
      <w:r>
        <w:rPr>
          <w:b/>
          <w:lang w:val="en-GB"/>
        </w:rPr>
        <w:t xml:space="preserve"> EU Green Deal </w:t>
      </w:r>
      <w:r>
        <w:rPr>
          <w:lang w:val="en-GB"/>
        </w:rPr>
        <w:t>(</w:t>
      </w:r>
      <w:r>
        <w:rPr>
          <w:color w:val="222222"/>
          <w:highlight w:val="white"/>
          <w:lang w:val="en-GB"/>
        </w:rPr>
        <w:t>Toma and Tohanean, 2019</w:t>
      </w:r>
      <w:r>
        <w:rPr>
          <w:lang w:val="en-GB"/>
        </w:rPr>
        <w:t>). This participation of the company in incorporating its business operation with the sustainability approach and also contributing the other members in making a valuable contribution has been a huge positive impact on the brand's image in the market. This is allowing the company to attract customers at a larger number across the globe which is enabling them to maintain a competitive edge in the automotive industry. The Company’s various adaptability to the evolving business dynamics has given them a major opportunity to thrive in the automotive industry which has led to a positive outcome (</w:t>
      </w:r>
      <w:r>
        <w:rPr>
          <w:color w:val="222222"/>
          <w:highlight w:val="white"/>
          <w:lang w:val="en-GB"/>
        </w:rPr>
        <w:t xml:space="preserve">Zhou </w:t>
      </w:r>
      <w:r>
        <w:rPr>
          <w:i/>
          <w:color w:val="222222"/>
          <w:highlight w:val="white"/>
          <w:lang w:val="en-GB"/>
        </w:rPr>
        <w:t>et al</w:t>
      </w:r>
      <w:r>
        <w:rPr>
          <w:color w:val="222222"/>
          <w:highlight w:val="white"/>
          <w:lang w:val="en-GB"/>
        </w:rPr>
        <w:t>., 2022</w:t>
      </w:r>
      <w:r>
        <w:rPr>
          <w:lang w:val="en-GB"/>
        </w:rPr>
        <w:t xml:space="preserve">). This has given the major opportunity the company for making major advancements in the field of innovation by utilising various aspects such as making a major contribution to leading the sustainability in the business practice in the automotive industry. This is providing the company to make a huge imprint of its presence by attracting a large number of customers towards its brands for being more socially driven for taking part in ecological protection.  </w:t>
      </w:r>
    </w:p>
    <w:p>
      <w:pPr>
        <w:pStyle w:val="3"/>
        <w:spacing w:line="480" w:lineRule="auto"/>
        <w:jc w:val="both"/>
        <w:rPr>
          <w:lang w:val="en-GB"/>
        </w:rPr>
      </w:pPr>
      <w:r>
        <w:rPr>
          <w:lang w:val="en-GB"/>
        </w:rPr>
        <w:t xml:space="preserve">In recent years, </w:t>
      </w:r>
      <w:r>
        <w:rPr>
          <w:b/>
          <w:lang w:val="en-GB"/>
        </w:rPr>
        <w:t>sustainability</w:t>
      </w:r>
      <w:r>
        <w:rPr>
          <w:lang w:val="en-GB"/>
        </w:rPr>
        <w:t xml:space="preserve"> in the</w:t>
      </w:r>
      <w:r>
        <w:rPr>
          <w:b/>
          <w:lang w:val="en-GB"/>
        </w:rPr>
        <w:t xml:space="preserve"> automotive industry</w:t>
      </w:r>
      <w:r>
        <w:rPr>
          <w:lang w:val="en-GB"/>
        </w:rPr>
        <w:t xml:space="preserve"> has been primarily achieved with consistent innovation strategies, good branding, an efficient supply chain, and skilled human resources but the above research &amp; development has been the key aspects in contributing to the innovations and it will lead in the long-term as well. The automotive industry invests the most than any other industry in the aspect of sustainable practices. There is a growing sense of awareness in the general public about climate change and how industries can impact the natural habitat. The public expects the industry to have sustainable practices in their business operation.</w:t>
      </w:r>
      <w:r>
        <w:rPr>
          <w:b/>
          <w:lang w:val="en-GB"/>
        </w:rPr>
        <w:t xml:space="preserve"> Volkswagen </w:t>
      </w:r>
      <w:r>
        <w:rPr>
          <w:lang w:val="en-GB"/>
        </w:rPr>
        <w:t>has to largely</w:t>
      </w:r>
      <w:r>
        <w:rPr>
          <w:b/>
          <w:lang w:val="en-GB"/>
        </w:rPr>
        <w:t xml:space="preserve"> focus on improving the factors </w:t>
      </w:r>
      <w:r>
        <w:rPr>
          <w:lang w:val="en-GB"/>
        </w:rPr>
        <w:t xml:space="preserve">such as </w:t>
      </w:r>
      <w:r>
        <w:rPr>
          <w:b/>
          <w:lang w:val="en-GB"/>
        </w:rPr>
        <w:t>advanced automated driving, emission reduction, and the generation of renewable energy</w:t>
      </w:r>
      <w:r>
        <w:rPr>
          <w:lang w:val="en-GB"/>
        </w:rPr>
        <w:t xml:space="preserve"> which can give a more competitive edge to the company in the automotive industry (</w:t>
      </w:r>
      <w:r>
        <w:rPr>
          <w:color w:val="222222"/>
          <w:highlight w:val="white"/>
          <w:lang w:val="en-GB"/>
        </w:rPr>
        <w:t xml:space="preserve">Spielberg </w:t>
      </w:r>
      <w:r>
        <w:rPr>
          <w:i/>
          <w:color w:val="222222"/>
          <w:highlight w:val="white"/>
          <w:lang w:val="en-GB"/>
        </w:rPr>
        <w:t>et al</w:t>
      </w:r>
      <w:r>
        <w:rPr>
          <w:color w:val="222222"/>
          <w:highlight w:val="white"/>
          <w:lang w:val="en-GB"/>
        </w:rPr>
        <w:t>., 2019</w:t>
      </w:r>
      <w:r>
        <w:rPr>
          <w:lang w:val="en-GB"/>
        </w:rPr>
        <w:t xml:space="preserve">). There is increasing competition in the automotive industry to make a major breakthrough in creating the next-generation technology advancement for sustainable development at a low cost so that it can achieve huge revenue and as well again recognition from the public. Through the major competition, there has been a vast improvement in sustainable performance. In the areas of production infrastructure, supply chain management, R&amp;D capabilities there has been a major improvement in increasing productivity in the working of the organisation. The Company’s major focus should be on increasing innovations in the field of autonomous and electric cars so that it can gain the dominant market share in the automotive industry. The most important aspect can be achieved through sustainable materials that can bring down the costs in the production of the vehicle which can help generate more profit for the company. It has been seen that </w:t>
      </w:r>
      <w:r>
        <w:rPr>
          <w:b/>
          <w:lang w:val="en-GB"/>
        </w:rPr>
        <w:t>natural fibres</w:t>
      </w:r>
      <w:r>
        <w:rPr>
          <w:lang w:val="en-GB"/>
        </w:rPr>
        <w:t xml:space="preserve"> can help the company</w:t>
      </w:r>
      <w:r>
        <w:rPr>
          <w:b/>
          <w:lang w:val="en-GB"/>
        </w:rPr>
        <w:t xml:space="preserve"> reduce the cost</w:t>
      </w:r>
      <w:r>
        <w:rPr>
          <w:lang w:val="en-GB"/>
        </w:rPr>
        <w:t xml:space="preserve"> by over </w:t>
      </w:r>
      <w:r>
        <w:rPr>
          <w:b/>
          <w:lang w:val="en-GB"/>
        </w:rPr>
        <w:t>30%</w:t>
      </w:r>
      <w:r>
        <w:rPr>
          <w:lang w:val="en-GB"/>
        </w:rPr>
        <w:t xml:space="preserve"> than</w:t>
      </w:r>
      <w:r>
        <w:rPr>
          <w:b/>
          <w:lang w:val="en-GB"/>
        </w:rPr>
        <w:t xml:space="preserve"> glass fibres</w:t>
      </w:r>
      <w:r>
        <w:rPr>
          <w:lang w:val="en-GB"/>
        </w:rPr>
        <w:t>. The other factor the company has to undertake in future sustainable practices is to thoroughly evaluate the sustainability of their products and also the value chains. It is very important for the company to comply with the legislative requirements and also make the cost reduction in the manufacturing outlet while meeting the demands of the customers. The adaptability of this business practice can greatly help the company to develop more sustainable solutions which can help the company to transform their products. There is a growing demand for electric vehicles with features of automated driving from the general public. So to meet the public demand the company has to carefully follow sustainable practices by creating innovative solutions in the aspects of sustainable development. This can bring more positivity to the brand's image and overall it can bring more growth to the company. The</w:t>
      </w:r>
      <w:r>
        <w:rPr>
          <w:b/>
          <w:lang w:val="en-GB"/>
        </w:rPr>
        <w:t xml:space="preserve"> first factor</w:t>
      </w:r>
      <w:r>
        <w:rPr>
          <w:lang w:val="en-GB"/>
        </w:rPr>
        <w:t xml:space="preserve"> that the </w:t>
      </w:r>
      <w:r>
        <w:rPr>
          <w:b/>
          <w:lang w:val="en-GB"/>
        </w:rPr>
        <w:t>company</w:t>
      </w:r>
      <w:r>
        <w:rPr>
          <w:lang w:val="en-GB"/>
        </w:rPr>
        <w:t xml:space="preserve"> should undertake is </w:t>
      </w:r>
      <w:r>
        <w:rPr>
          <w:b/>
          <w:lang w:val="en-GB"/>
        </w:rPr>
        <w:t>climate change and carbon emissions</w:t>
      </w:r>
      <w:r>
        <w:rPr>
          <w:lang w:val="en-GB"/>
        </w:rPr>
        <w:t xml:space="preserve"> because this has been a major cause of debate in recent years (</w:t>
      </w:r>
      <w:r>
        <w:rPr>
          <w:color w:val="222222"/>
          <w:highlight w:val="white"/>
          <w:lang w:val="en-GB"/>
        </w:rPr>
        <w:t xml:space="preserve">Tóth </w:t>
      </w:r>
      <w:r>
        <w:rPr>
          <w:i/>
          <w:color w:val="222222"/>
          <w:highlight w:val="white"/>
          <w:lang w:val="en-GB"/>
        </w:rPr>
        <w:t>et al</w:t>
      </w:r>
      <w:r>
        <w:rPr>
          <w:color w:val="222222"/>
          <w:highlight w:val="white"/>
          <w:lang w:val="en-GB"/>
        </w:rPr>
        <w:t>., 2021</w:t>
      </w:r>
      <w:r>
        <w:rPr>
          <w:lang w:val="en-GB"/>
        </w:rPr>
        <w:t xml:space="preserve">). It has become mandatory for industries to follow carbon emissions regulations. So the company should make a major focus on reducing its carbon emissions in vehicle production. This can provide a major advantage to the company in the future. The </w:t>
      </w:r>
      <w:r>
        <w:rPr>
          <w:b/>
          <w:lang w:val="en-GB"/>
        </w:rPr>
        <w:t>second factor</w:t>
      </w:r>
      <w:r>
        <w:rPr>
          <w:lang w:val="en-GB"/>
        </w:rPr>
        <w:t xml:space="preserve"> is the </w:t>
      </w:r>
      <w:r>
        <w:rPr>
          <w:b/>
          <w:lang w:val="en-GB"/>
        </w:rPr>
        <w:t>sustainable value chain</w:t>
      </w:r>
      <w:r>
        <w:rPr>
          <w:lang w:val="en-GB"/>
        </w:rPr>
        <w:t>. The Company should follow the reusing and recycling of natural resources so that it helps the company to ensure sustainability along the value chain. It has to find innovative solutions for battery recycling and biodegradable and sustainable processes in more research, development and in production. The</w:t>
      </w:r>
      <w:r>
        <w:rPr>
          <w:b/>
          <w:lang w:val="en-GB"/>
        </w:rPr>
        <w:t xml:space="preserve"> third factor </w:t>
      </w:r>
      <w:r>
        <w:rPr>
          <w:lang w:val="en-GB"/>
        </w:rPr>
        <w:t>is becoming more</w:t>
      </w:r>
      <w:r>
        <w:rPr>
          <w:b/>
          <w:lang w:val="en-GB"/>
        </w:rPr>
        <w:t xml:space="preserve"> digitally responsible</w:t>
      </w:r>
      <w:r>
        <w:rPr>
          <w:lang w:val="en-GB"/>
        </w:rPr>
        <w:t xml:space="preserve"> so that it can focus more on data protection and data security so that safe digital functionality can be provided to the customers. This can bring more positive outlet in the customer's impressions with the company’s advancements towards more security which is valuable in the sense of attracting the customer towards the brand. This can help the company to increase its sales and also have a dominant market share. Sustainable business practice is most for the company to grow further in the automotive industry as this will bring more awareness in society about the importance of the following sustainability in business operations (</w:t>
      </w:r>
      <w:r>
        <w:rPr>
          <w:color w:val="222222"/>
          <w:highlight w:val="white"/>
          <w:lang w:val="en-GB"/>
        </w:rPr>
        <w:t xml:space="preserve">Allam </w:t>
      </w:r>
      <w:r>
        <w:rPr>
          <w:i/>
          <w:color w:val="222222"/>
          <w:highlight w:val="white"/>
          <w:lang w:val="en-GB"/>
        </w:rPr>
        <w:t>et al</w:t>
      </w:r>
      <w:r>
        <w:rPr>
          <w:color w:val="222222"/>
          <w:highlight w:val="white"/>
          <w:lang w:val="en-GB"/>
        </w:rPr>
        <w:t>., 2020</w:t>
      </w:r>
      <w:r>
        <w:rPr>
          <w:lang w:val="en-GB"/>
        </w:rPr>
        <w:t xml:space="preserve">). </w:t>
      </w:r>
    </w:p>
    <w:p>
      <w:pPr>
        <w:spacing w:line="480" w:lineRule="auto"/>
        <w:rPr>
          <w:b/>
          <w:sz w:val="32"/>
          <w:szCs w:val="40"/>
        </w:rPr>
      </w:pPr>
      <w:r>
        <w:br w:type="page"/>
      </w:r>
    </w:p>
    <w:p>
      <w:pPr>
        <w:pStyle w:val="2"/>
        <w:spacing w:line="480" w:lineRule="auto"/>
        <w:rPr>
          <w:lang w:val="en-GB"/>
        </w:rPr>
      </w:pPr>
      <w:bookmarkStart w:id="2" w:name="_Toc122711712"/>
      <w:r>
        <w:rPr>
          <w:lang w:val="en-GB"/>
        </w:rPr>
        <w:t>Conclusion</w:t>
      </w:r>
      <w:bookmarkEnd w:id="2"/>
    </w:p>
    <w:p>
      <w:pPr>
        <w:pStyle w:val="3"/>
        <w:spacing w:line="480" w:lineRule="auto"/>
        <w:jc w:val="both"/>
        <w:rPr>
          <w:lang w:val="en-GB"/>
        </w:rPr>
      </w:pPr>
      <w:r>
        <w:rPr>
          <w:lang w:val="en-GB"/>
        </w:rPr>
        <w:t xml:space="preserve">In summation, it can be stated that the automotive industry plays a vital role in leading environmentally sustainable business practices. The Company has made a major comeback from its horrendous scandal by improving its image through the sustainable business practice which helped them to gain its positive image back in the market.  </w:t>
      </w:r>
    </w:p>
    <w:p>
      <w:pPr>
        <w:spacing w:line="480" w:lineRule="auto"/>
        <w:rPr>
          <w:b/>
          <w:sz w:val="32"/>
          <w:szCs w:val="40"/>
        </w:rPr>
      </w:pPr>
      <w:r>
        <w:br w:type="page"/>
      </w:r>
    </w:p>
    <w:p>
      <w:pPr>
        <w:pStyle w:val="2"/>
        <w:spacing w:line="480" w:lineRule="auto"/>
        <w:rPr>
          <w:lang w:val="en-GB"/>
        </w:rPr>
      </w:pPr>
      <w:bookmarkStart w:id="3" w:name="_Toc122711713"/>
      <w:r>
        <w:rPr>
          <w:lang w:val="en-GB"/>
        </w:rPr>
        <w:t>References</w:t>
      </w:r>
      <w:bookmarkEnd w:id="3"/>
    </w:p>
    <w:p>
      <w:pPr>
        <w:pStyle w:val="3"/>
        <w:spacing w:after="240" w:line="480" w:lineRule="auto"/>
        <w:jc w:val="both"/>
        <w:rPr>
          <w:color w:val="222222"/>
          <w:highlight w:val="white"/>
          <w:lang w:val="en-GB"/>
        </w:rPr>
      </w:pPr>
      <w:r>
        <w:rPr>
          <w:color w:val="222222"/>
          <w:highlight w:val="white"/>
          <w:lang w:val="en-GB"/>
        </w:rPr>
        <w:t xml:space="preserve">Allam, I., Scagnelli, S. and Corazza, L., 2020. Sustainability reporting, a new type of companies’ hypocrisy: Zara and Volkswagen cases. In </w:t>
      </w:r>
      <w:r>
        <w:rPr>
          <w:i/>
          <w:color w:val="222222"/>
          <w:highlight w:val="white"/>
          <w:lang w:val="en-GB"/>
        </w:rPr>
        <w:t>Responsible Business in a Changing World</w:t>
      </w:r>
      <w:r>
        <w:rPr>
          <w:color w:val="222222"/>
          <w:highlight w:val="white"/>
          <w:lang w:val="en-GB"/>
        </w:rPr>
        <w:t xml:space="preserve"> (pp. 195-211). Springer, Cham.</w:t>
      </w:r>
    </w:p>
    <w:p>
      <w:pPr>
        <w:pStyle w:val="3"/>
        <w:spacing w:line="480" w:lineRule="auto"/>
        <w:jc w:val="both"/>
        <w:rPr>
          <w:color w:val="222222"/>
          <w:highlight w:val="white"/>
          <w:lang w:val="en-GB"/>
        </w:rPr>
      </w:pPr>
      <w:r>
        <w:rPr>
          <w:color w:val="222222"/>
          <w:highlight w:val="white"/>
          <w:lang w:val="en-GB"/>
        </w:rPr>
        <w:t xml:space="preserve">Drobyazko, S., Okulich-Kazarin, V., Rogovyi, A., Goltvenko, O. and Marova, S., 2019. Factors of influence on the sustainable development in the strategy management of corporations. </w:t>
      </w:r>
      <w:r>
        <w:rPr>
          <w:i/>
          <w:color w:val="222222"/>
          <w:highlight w:val="white"/>
          <w:lang w:val="en-GB"/>
        </w:rPr>
        <w:t>Academy of Strategic Management Journal</w:t>
      </w:r>
      <w:r>
        <w:rPr>
          <w:color w:val="222222"/>
          <w:highlight w:val="white"/>
          <w:lang w:val="en-GB"/>
        </w:rPr>
        <w:t xml:space="preserve">, </w:t>
      </w:r>
      <w:r>
        <w:rPr>
          <w:i/>
          <w:color w:val="222222"/>
          <w:highlight w:val="white"/>
          <w:lang w:val="en-GB"/>
        </w:rPr>
        <w:t>18</w:t>
      </w:r>
      <w:r>
        <w:rPr>
          <w:color w:val="222222"/>
          <w:highlight w:val="white"/>
          <w:lang w:val="en-GB"/>
        </w:rPr>
        <w:t>, pp.1-5.</w:t>
      </w:r>
    </w:p>
    <w:p>
      <w:pPr>
        <w:pStyle w:val="3"/>
        <w:spacing w:after="240" w:line="480" w:lineRule="auto"/>
        <w:jc w:val="both"/>
        <w:rPr>
          <w:color w:val="222222"/>
          <w:highlight w:val="white"/>
          <w:lang w:val="en-GB"/>
        </w:rPr>
      </w:pPr>
      <w:r>
        <w:rPr>
          <w:color w:val="222222"/>
          <w:highlight w:val="white"/>
          <w:lang w:val="en-GB"/>
        </w:rPr>
        <w:t xml:space="preserve">Hartjen, L., Schuldt, F. and Friedrich, B., 2019, October. Semantic classification of pedestrian traffic scenarios for the validation of automated driving. In </w:t>
      </w:r>
      <w:r>
        <w:rPr>
          <w:i/>
          <w:color w:val="222222"/>
          <w:highlight w:val="white"/>
          <w:lang w:val="en-GB"/>
        </w:rPr>
        <w:t>2019 IEEE Intelligent Transportation Systems Conference (ITSC)</w:t>
      </w:r>
      <w:r>
        <w:rPr>
          <w:color w:val="222222"/>
          <w:highlight w:val="white"/>
          <w:lang w:val="en-GB"/>
        </w:rPr>
        <w:t xml:space="preserve"> (pp. 3696-3701). IEEE.</w:t>
      </w:r>
    </w:p>
    <w:p>
      <w:pPr>
        <w:pStyle w:val="3"/>
        <w:spacing w:after="240" w:line="480" w:lineRule="auto"/>
        <w:jc w:val="both"/>
        <w:rPr>
          <w:color w:val="222222"/>
          <w:highlight w:val="white"/>
          <w:lang w:val="en-GB"/>
        </w:rPr>
      </w:pPr>
      <w:r>
        <w:rPr>
          <w:color w:val="222222"/>
          <w:highlight w:val="white"/>
          <w:lang w:val="en-GB"/>
        </w:rPr>
        <w:t xml:space="preserve">Irwin, M., 2018. Case Study: Volkswagen's Diesel Emissions Control Scandal. </w:t>
      </w:r>
      <w:r>
        <w:rPr>
          <w:i/>
          <w:color w:val="222222"/>
          <w:highlight w:val="white"/>
          <w:lang w:val="en-GB"/>
        </w:rPr>
        <w:t>Journal of Strategic Innovation and Sustainability Vol</w:t>
      </w:r>
      <w:r>
        <w:rPr>
          <w:color w:val="222222"/>
          <w:highlight w:val="white"/>
          <w:lang w:val="en-GB"/>
        </w:rPr>
        <w:t xml:space="preserve">, </w:t>
      </w:r>
      <w:r>
        <w:rPr>
          <w:i/>
          <w:color w:val="222222"/>
          <w:highlight w:val="white"/>
          <w:lang w:val="en-GB"/>
        </w:rPr>
        <w:t>13</w:t>
      </w:r>
      <w:r>
        <w:rPr>
          <w:color w:val="222222"/>
          <w:highlight w:val="white"/>
          <w:lang w:val="en-GB"/>
        </w:rPr>
        <w:t>(1), p.53.</w:t>
      </w:r>
    </w:p>
    <w:p>
      <w:pPr>
        <w:pStyle w:val="3"/>
        <w:spacing w:after="240" w:line="480" w:lineRule="auto"/>
        <w:jc w:val="both"/>
        <w:rPr>
          <w:color w:val="222222"/>
          <w:highlight w:val="white"/>
          <w:lang w:val="en-GB"/>
        </w:rPr>
      </w:pPr>
      <w:r>
        <w:rPr>
          <w:color w:val="222222"/>
          <w:highlight w:val="white"/>
          <w:lang w:val="en-GB"/>
        </w:rPr>
        <w:t xml:space="preserve">Krzywdzinski, M., 2019. Globalisation, decarbonisation and technological change: Challenges for the German and CEE automotive supplier industry. </w:t>
      </w:r>
      <w:r>
        <w:rPr>
          <w:i/>
          <w:color w:val="222222"/>
          <w:highlight w:val="white"/>
          <w:lang w:val="en-GB"/>
        </w:rPr>
        <w:t>Towards a just transition: coal, cars and the world of work. Brussels: ETUI</w:t>
      </w:r>
      <w:r>
        <w:rPr>
          <w:color w:val="222222"/>
          <w:highlight w:val="white"/>
          <w:lang w:val="en-GB"/>
        </w:rPr>
        <w:t xml:space="preserve">, </w:t>
      </w:r>
      <w:r>
        <w:rPr>
          <w:i/>
          <w:color w:val="222222"/>
          <w:highlight w:val="white"/>
          <w:lang w:val="en-GB"/>
        </w:rPr>
        <w:t>2019</w:t>
      </w:r>
      <w:r>
        <w:rPr>
          <w:color w:val="222222"/>
          <w:highlight w:val="white"/>
          <w:lang w:val="en-GB"/>
        </w:rPr>
        <w:t>.</w:t>
      </w:r>
    </w:p>
    <w:p>
      <w:pPr>
        <w:pStyle w:val="3"/>
        <w:spacing w:after="240" w:line="480" w:lineRule="auto"/>
        <w:jc w:val="both"/>
        <w:rPr>
          <w:color w:val="222222"/>
          <w:highlight w:val="white"/>
          <w:lang w:val="en-GB"/>
        </w:rPr>
      </w:pPr>
      <w:r>
        <w:rPr>
          <w:color w:val="222222"/>
          <w:highlight w:val="white"/>
          <w:lang w:val="en-GB"/>
        </w:rPr>
        <w:t xml:space="preserve">Piazza, G., Bracco, S., Delfino, F., Di Somma, M. and Graditi, G., 2022. Impact of electric mobility on the design of renewable energy collective self-consumers. </w:t>
      </w:r>
      <w:r>
        <w:rPr>
          <w:i/>
          <w:color w:val="222222"/>
          <w:highlight w:val="white"/>
          <w:lang w:val="en-GB"/>
        </w:rPr>
        <w:t>Sustainable Energy, Grids and Networks</w:t>
      </w:r>
      <w:r>
        <w:rPr>
          <w:color w:val="222222"/>
          <w:highlight w:val="white"/>
          <w:lang w:val="en-GB"/>
        </w:rPr>
        <w:t xml:space="preserve">, </w:t>
      </w:r>
      <w:r>
        <w:rPr>
          <w:i/>
          <w:color w:val="222222"/>
          <w:highlight w:val="white"/>
          <w:lang w:val="en-GB"/>
        </w:rPr>
        <w:t>33</w:t>
      </w:r>
      <w:r>
        <w:rPr>
          <w:color w:val="222222"/>
          <w:highlight w:val="white"/>
          <w:lang w:val="en-GB"/>
        </w:rPr>
        <w:t>, p.100963.</w:t>
      </w:r>
    </w:p>
    <w:p>
      <w:pPr>
        <w:pStyle w:val="3"/>
        <w:spacing w:after="240" w:line="480" w:lineRule="auto"/>
        <w:jc w:val="both"/>
        <w:rPr>
          <w:color w:val="222222"/>
          <w:highlight w:val="white"/>
          <w:lang w:val="en-GB"/>
        </w:rPr>
      </w:pPr>
      <w:r>
        <w:rPr>
          <w:color w:val="222222"/>
          <w:highlight w:val="white"/>
          <w:lang w:val="en-GB"/>
        </w:rPr>
        <w:t xml:space="preserve">Pries, L. and Wäcken, N., 2020. The 2015 Volkswagen ‘diesel-gate’and its impact on German carmakers. In </w:t>
      </w:r>
      <w:r>
        <w:rPr>
          <w:i/>
          <w:color w:val="222222"/>
          <w:highlight w:val="white"/>
          <w:lang w:val="en-GB"/>
        </w:rPr>
        <w:t>New Frontiers of the Automobile Industry</w:t>
      </w:r>
      <w:r>
        <w:rPr>
          <w:color w:val="222222"/>
          <w:highlight w:val="white"/>
          <w:lang w:val="en-GB"/>
        </w:rPr>
        <w:t xml:space="preserve"> (pp. 89-111). Palgrave Macmillan, Cham.</w:t>
      </w:r>
    </w:p>
    <w:p>
      <w:pPr>
        <w:pStyle w:val="3"/>
        <w:spacing w:line="480" w:lineRule="auto"/>
        <w:jc w:val="both"/>
        <w:rPr>
          <w:color w:val="222222"/>
          <w:highlight w:val="white"/>
          <w:lang w:val="en-GB"/>
        </w:rPr>
      </w:pPr>
      <w:r>
        <w:rPr>
          <w:color w:val="222222"/>
          <w:highlight w:val="white"/>
          <w:lang w:val="en-GB"/>
        </w:rPr>
        <w:t xml:space="preserve">Sergio, R.P. and Rylova, M., 2018. Employee engagement and empowerment as gateway towards retention: The case of Volkswagen group. </w:t>
      </w:r>
      <w:r>
        <w:rPr>
          <w:i/>
          <w:color w:val="222222"/>
          <w:highlight w:val="white"/>
          <w:lang w:val="en-GB"/>
        </w:rPr>
        <w:t>Journal of Eastern European and Central Asian Research</w:t>
      </w:r>
      <w:r>
        <w:rPr>
          <w:color w:val="222222"/>
          <w:highlight w:val="white"/>
          <w:lang w:val="en-GB"/>
        </w:rPr>
        <w:t xml:space="preserve">, </w:t>
      </w:r>
      <w:r>
        <w:rPr>
          <w:i/>
          <w:color w:val="222222"/>
          <w:highlight w:val="white"/>
          <w:lang w:val="en-GB"/>
        </w:rPr>
        <w:t>5</w:t>
      </w:r>
      <w:r>
        <w:rPr>
          <w:color w:val="222222"/>
          <w:highlight w:val="white"/>
          <w:lang w:val="en-GB"/>
        </w:rPr>
        <w:t>(2).</w:t>
      </w:r>
    </w:p>
    <w:p>
      <w:pPr>
        <w:pStyle w:val="3"/>
        <w:spacing w:after="240" w:line="480" w:lineRule="auto"/>
        <w:jc w:val="both"/>
        <w:rPr>
          <w:color w:val="222222"/>
          <w:highlight w:val="white"/>
          <w:lang w:val="en-GB"/>
        </w:rPr>
      </w:pPr>
      <w:r>
        <w:rPr>
          <w:color w:val="222222"/>
          <w:highlight w:val="white"/>
          <w:lang w:val="en-GB"/>
        </w:rPr>
        <w:t xml:space="preserve">Spielberg, N.A., Brown, M., Kapania, N.R., Kegelman, J.C. and Gerdes, J.C., 2019. Neural network vehicle models for high-performance automated driving. </w:t>
      </w:r>
      <w:r>
        <w:rPr>
          <w:i/>
          <w:color w:val="222222"/>
          <w:highlight w:val="white"/>
          <w:lang w:val="en-GB"/>
        </w:rPr>
        <w:t>Science robotics</w:t>
      </w:r>
      <w:r>
        <w:rPr>
          <w:color w:val="222222"/>
          <w:highlight w:val="white"/>
          <w:lang w:val="en-GB"/>
        </w:rPr>
        <w:t xml:space="preserve">, </w:t>
      </w:r>
      <w:r>
        <w:rPr>
          <w:i/>
          <w:color w:val="222222"/>
          <w:highlight w:val="white"/>
          <w:lang w:val="en-GB"/>
        </w:rPr>
        <w:t>4</w:t>
      </w:r>
      <w:r>
        <w:rPr>
          <w:color w:val="222222"/>
          <w:highlight w:val="white"/>
          <w:lang w:val="en-GB"/>
        </w:rPr>
        <w:t>(28), p.eaaw1975.</w:t>
      </w:r>
    </w:p>
    <w:p>
      <w:pPr>
        <w:pStyle w:val="3"/>
        <w:spacing w:after="240" w:line="480" w:lineRule="auto"/>
        <w:jc w:val="both"/>
        <w:rPr>
          <w:color w:val="222222"/>
          <w:highlight w:val="white"/>
          <w:lang w:val="en-GB"/>
        </w:rPr>
      </w:pPr>
      <w:r>
        <w:rPr>
          <w:color w:val="222222"/>
          <w:highlight w:val="white"/>
          <w:lang w:val="en-GB"/>
        </w:rPr>
        <w:t xml:space="preserve">Toma, S.G. and Tohanean, D., 2019. Green business models: The case of a German automaker. </w:t>
      </w:r>
      <w:r>
        <w:rPr>
          <w:i/>
          <w:color w:val="222222"/>
          <w:highlight w:val="white"/>
          <w:lang w:val="en-GB"/>
        </w:rPr>
        <w:t>Quality-Access to Success</w:t>
      </w:r>
      <w:r>
        <w:rPr>
          <w:color w:val="222222"/>
          <w:highlight w:val="white"/>
          <w:lang w:val="en-GB"/>
        </w:rPr>
        <w:t xml:space="preserve">, </w:t>
      </w:r>
      <w:r>
        <w:rPr>
          <w:i/>
          <w:color w:val="222222"/>
          <w:highlight w:val="white"/>
          <w:lang w:val="en-GB"/>
        </w:rPr>
        <w:t>20</w:t>
      </w:r>
      <w:r>
        <w:rPr>
          <w:color w:val="222222"/>
          <w:highlight w:val="white"/>
          <w:lang w:val="en-GB"/>
        </w:rPr>
        <w:t>.</w:t>
      </w:r>
    </w:p>
    <w:p>
      <w:pPr>
        <w:pStyle w:val="3"/>
        <w:spacing w:after="240" w:line="480" w:lineRule="auto"/>
        <w:jc w:val="both"/>
        <w:rPr>
          <w:color w:val="222222"/>
          <w:highlight w:val="white"/>
          <w:lang w:val="en-GB"/>
        </w:rPr>
      </w:pPr>
      <w:r>
        <w:rPr>
          <w:color w:val="222222"/>
          <w:highlight w:val="white"/>
          <w:lang w:val="en-GB"/>
        </w:rPr>
        <w:t xml:space="preserve">Tóth, Á., Szigeti, C. and Suta, A., 2021. Carbon Accounting Measurement with Digital Non-Financial Corporate Reporting and a Comparison to European Automotive Companies Statements. </w:t>
      </w:r>
      <w:r>
        <w:rPr>
          <w:i/>
          <w:color w:val="222222"/>
          <w:highlight w:val="white"/>
          <w:lang w:val="en-GB"/>
        </w:rPr>
        <w:t>Energies</w:t>
      </w:r>
      <w:r>
        <w:rPr>
          <w:color w:val="222222"/>
          <w:highlight w:val="white"/>
          <w:lang w:val="en-GB"/>
        </w:rPr>
        <w:t xml:space="preserve">, </w:t>
      </w:r>
      <w:r>
        <w:rPr>
          <w:i/>
          <w:color w:val="222222"/>
          <w:highlight w:val="white"/>
          <w:lang w:val="en-GB"/>
        </w:rPr>
        <w:t>14</w:t>
      </w:r>
      <w:r>
        <w:rPr>
          <w:color w:val="222222"/>
          <w:highlight w:val="white"/>
          <w:lang w:val="en-GB"/>
        </w:rPr>
        <w:t>(18), p.5607.</w:t>
      </w:r>
    </w:p>
    <w:p>
      <w:pPr>
        <w:pStyle w:val="3"/>
        <w:spacing w:line="480" w:lineRule="auto"/>
        <w:jc w:val="both"/>
        <w:rPr>
          <w:color w:val="222222"/>
          <w:highlight w:val="white"/>
          <w:lang w:val="en-GB"/>
        </w:rPr>
      </w:pPr>
      <w:r>
        <w:rPr>
          <w:color w:val="222222"/>
          <w:highlight w:val="white"/>
          <w:lang w:val="en-GB"/>
        </w:rPr>
        <w:t xml:space="preserve">Turna, G.B., 2022. How “Dieselgate” Changed Volkswagen: Rushing to Erase the Traces of Greenwashing. In </w:t>
      </w:r>
      <w:r>
        <w:rPr>
          <w:i/>
          <w:color w:val="222222"/>
          <w:highlight w:val="white"/>
          <w:lang w:val="en-GB"/>
        </w:rPr>
        <w:t>Socially Responsible Consumption and Marketing in Practice</w:t>
      </w:r>
      <w:r>
        <w:rPr>
          <w:color w:val="222222"/>
          <w:highlight w:val="white"/>
          <w:lang w:val="en-GB"/>
        </w:rPr>
        <w:t xml:space="preserve"> (pp. 255-273). Springer, Singapore.</w:t>
      </w:r>
    </w:p>
    <w:p>
      <w:pPr>
        <w:pStyle w:val="3"/>
        <w:spacing w:after="240" w:line="480" w:lineRule="auto"/>
        <w:jc w:val="both"/>
        <w:rPr>
          <w:color w:val="222222"/>
          <w:highlight w:val="white"/>
          <w:lang w:val="en-GB"/>
        </w:rPr>
      </w:pPr>
      <w:r>
        <w:rPr>
          <w:color w:val="222222"/>
          <w:highlight w:val="white"/>
          <w:lang w:val="en-GB"/>
        </w:rPr>
        <w:t xml:space="preserve">Volkswagenag,  2022. </w:t>
      </w:r>
      <w:r>
        <w:rPr>
          <w:i/>
          <w:color w:val="222222"/>
          <w:highlight w:val="white"/>
          <w:lang w:val="en-GB"/>
        </w:rPr>
        <w:t>Strategy, Policy &amp; Engagement | Volkswagen Group Sustainability</w:t>
      </w:r>
      <w:r>
        <w:rPr>
          <w:color w:val="222222"/>
          <w:highlight w:val="white"/>
          <w:lang w:val="en-GB"/>
        </w:rPr>
        <w:t>. [online] Available at: https://www.volkswagenag.com/en/sustainability/strategy-policy-engagement.html [Accessed 23 Dec. 2022].</w:t>
      </w:r>
    </w:p>
    <w:p>
      <w:pPr>
        <w:pStyle w:val="3"/>
        <w:spacing w:line="480" w:lineRule="auto"/>
        <w:jc w:val="both"/>
        <w:rPr>
          <w:color w:val="222222"/>
          <w:highlight w:val="white"/>
          <w:lang w:val="en-GB"/>
        </w:rPr>
      </w:pPr>
      <w:r>
        <w:rPr>
          <w:color w:val="222222"/>
          <w:highlight w:val="white"/>
          <w:lang w:val="en-GB"/>
        </w:rPr>
        <w:t xml:space="preserve">Zhang, M., Atwal, G. and Kaiser, M., 2021. Corporate social irresponsibility and stakeholder ecosystems: The case of Volkswagen Dieselgate scandal. </w:t>
      </w:r>
      <w:r>
        <w:rPr>
          <w:i/>
          <w:color w:val="222222"/>
          <w:highlight w:val="white"/>
          <w:lang w:val="en-GB"/>
        </w:rPr>
        <w:t>Strategic Change</w:t>
      </w:r>
      <w:r>
        <w:rPr>
          <w:color w:val="222222"/>
          <w:highlight w:val="white"/>
          <w:lang w:val="en-GB"/>
        </w:rPr>
        <w:t xml:space="preserve">, </w:t>
      </w:r>
      <w:r>
        <w:rPr>
          <w:i/>
          <w:color w:val="222222"/>
          <w:highlight w:val="white"/>
          <w:lang w:val="en-GB"/>
        </w:rPr>
        <w:t>30</w:t>
      </w:r>
      <w:r>
        <w:rPr>
          <w:color w:val="222222"/>
          <w:highlight w:val="white"/>
          <w:lang w:val="en-GB"/>
        </w:rPr>
        <w:t>(1), pp.79-85.</w:t>
      </w:r>
    </w:p>
    <w:p>
      <w:pPr>
        <w:pStyle w:val="3"/>
        <w:spacing w:after="240" w:line="480" w:lineRule="auto"/>
        <w:jc w:val="both"/>
        <w:rPr>
          <w:color w:val="222222"/>
          <w:highlight w:val="white"/>
          <w:lang w:val="en-GB"/>
        </w:rPr>
      </w:pPr>
      <w:r>
        <w:rPr>
          <w:color w:val="222222"/>
          <w:highlight w:val="white"/>
          <w:lang w:val="en-GB"/>
        </w:rPr>
        <w:t xml:space="preserve">Zhou, Z., Liu, Z., Su, H. and Zhang, L., 2023. Planning of static and dynamic charging facilities for electric vehicles in electrified transportation networks. </w:t>
      </w:r>
      <w:r>
        <w:rPr>
          <w:i/>
          <w:color w:val="222222"/>
          <w:highlight w:val="white"/>
          <w:lang w:val="en-GB"/>
        </w:rPr>
        <w:t>Energy</w:t>
      </w:r>
      <w:r>
        <w:rPr>
          <w:color w:val="222222"/>
          <w:highlight w:val="white"/>
          <w:lang w:val="en-GB"/>
        </w:rPr>
        <w:t xml:space="preserve">, </w:t>
      </w:r>
      <w:r>
        <w:rPr>
          <w:i/>
          <w:color w:val="222222"/>
          <w:highlight w:val="white"/>
          <w:lang w:val="en-GB"/>
        </w:rPr>
        <w:t>263</w:t>
      </w:r>
      <w:r>
        <w:rPr>
          <w:color w:val="222222"/>
          <w:highlight w:val="white"/>
          <w:lang w:val="en-GB"/>
        </w:rPr>
        <w:t>, p.126073.</w:t>
      </w:r>
    </w:p>
    <w:p>
      <w:pPr>
        <w:pStyle w:val="3"/>
        <w:spacing w:line="480" w:lineRule="auto"/>
        <w:jc w:val="both"/>
        <w:rPr>
          <w:b/>
          <w:lang w:val="en-GB"/>
        </w:rPr>
      </w:pPr>
    </w:p>
    <w:p>
      <w:pPr>
        <w:pStyle w:val="3"/>
        <w:spacing w:line="480" w:lineRule="auto"/>
        <w:jc w:val="both"/>
        <w:rPr>
          <w:lang w:val="en-GB"/>
        </w:rPr>
      </w:pPr>
      <w:r>
        <w:rPr>
          <w:lang w:val="en-GB"/>
        </w:rPr>
        <w:t xml:space="preserve"> </w:t>
      </w:r>
    </w:p>
    <w:p>
      <w:pPr>
        <w:pStyle w:val="3"/>
        <w:spacing w:line="480" w:lineRule="auto"/>
        <w:jc w:val="both"/>
        <w:rPr>
          <w:lang w:val="en-GB"/>
        </w:rPr>
      </w:pPr>
      <w:r>
        <w:rPr>
          <w:lang w:val="en-GB"/>
        </w:rPr>
        <w:t xml:space="preserve">               </w:t>
      </w: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p>
      <w:pPr>
        <w:pStyle w:val="3"/>
        <w:spacing w:line="480" w:lineRule="auto"/>
        <w:jc w:val="both"/>
        <w:rPr>
          <w:lang w:val="en-GB"/>
        </w:rPr>
      </w:pP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86"/>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Tahoma">
    <w:panose1 w:val="020B0604030504040204"/>
    <w:charset w:val="00"/>
    <w:family w:val="swiss"/>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7542967"/>
      <w:docPartObj>
        <w:docPartGallery w:val="AutoText"/>
      </w:docPartObj>
    </w:sdtPr>
    <w:sdtContent>
      <w:p>
        <w:pPr>
          <w:pStyle w:val="12"/>
          <w:jc w:val="right"/>
        </w:pPr>
        <w:r>
          <w:fldChar w:fldCharType="begin"/>
        </w:r>
        <w:r>
          <w:instrText xml:space="preserve"> PAGE   \* MERGEFORMAT </w:instrText>
        </w:r>
        <w:r>
          <w:fldChar w:fldCharType="separate"/>
        </w:r>
        <w:r>
          <w:t>11</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4F6"/>
    <w:rsid w:val="000512DC"/>
    <w:rsid w:val="000E528F"/>
    <w:rsid w:val="0017753D"/>
    <w:rsid w:val="001A2583"/>
    <w:rsid w:val="002314F6"/>
    <w:rsid w:val="0025622E"/>
    <w:rsid w:val="00815B19"/>
    <w:rsid w:val="0084271E"/>
    <w:rsid w:val="00937471"/>
    <w:rsid w:val="00D10F08"/>
    <w:rsid w:val="00DF36DC"/>
    <w:rsid w:val="89D6B9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3"/>
    <w:next w:val="3"/>
    <w:qFormat/>
    <w:uiPriority w:val="0"/>
    <w:pPr>
      <w:keepNext/>
      <w:keepLines/>
      <w:spacing w:before="400" w:after="120" w:line="360" w:lineRule="auto"/>
      <w:jc w:val="both"/>
      <w:outlineLvl w:val="0"/>
    </w:pPr>
    <w:rPr>
      <w:b/>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11">
    <w:name w:val="Balloon Text"/>
    <w:basedOn w:val="1"/>
    <w:link w:val="19"/>
    <w:semiHidden/>
    <w:unhideWhenUsed/>
    <w:uiPriority w:val="99"/>
    <w:pPr>
      <w:spacing w:line="240" w:lineRule="auto"/>
    </w:pPr>
    <w:rPr>
      <w:rFonts w:ascii="Tahoma" w:hAnsi="Tahoma" w:cs="Tahoma"/>
      <w:sz w:val="16"/>
      <w:szCs w:val="16"/>
    </w:rPr>
  </w:style>
  <w:style w:type="paragraph" w:styleId="12">
    <w:name w:val="footer"/>
    <w:basedOn w:val="1"/>
    <w:link w:val="21"/>
    <w:unhideWhenUsed/>
    <w:uiPriority w:val="99"/>
    <w:pPr>
      <w:tabs>
        <w:tab w:val="center" w:pos="4680"/>
        <w:tab w:val="right" w:pos="9360"/>
      </w:tabs>
      <w:spacing w:line="240" w:lineRule="auto"/>
    </w:pPr>
  </w:style>
  <w:style w:type="paragraph" w:styleId="13">
    <w:name w:val="header"/>
    <w:basedOn w:val="1"/>
    <w:link w:val="20"/>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14:textFill>
        <w14:solidFill>
          <w14:schemeClr w14:val="hlink"/>
        </w14:solidFill>
      </w14:textFill>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unhideWhenUsed/>
    <w:uiPriority w:val="39"/>
    <w:pPr>
      <w:spacing w:after="100"/>
    </w:pPr>
  </w:style>
  <w:style w:type="paragraph" w:customStyle="1" w:styleId="18">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 w:val="28"/>
      <w:szCs w:val="28"/>
    </w:rPr>
  </w:style>
  <w:style w:type="character" w:customStyle="1" w:styleId="19">
    <w:name w:val="Balloon Text Char"/>
    <w:basedOn w:val="9"/>
    <w:link w:val="11"/>
    <w:semiHidden/>
    <w:uiPriority w:val="99"/>
    <w:rPr>
      <w:rFonts w:ascii="Tahoma" w:hAnsi="Tahoma" w:cs="Tahoma"/>
      <w:sz w:val="16"/>
      <w:szCs w:val="16"/>
    </w:rPr>
  </w:style>
  <w:style w:type="character" w:customStyle="1" w:styleId="20">
    <w:name w:val="Header Char"/>
    <w:basedOn w:val="9"/>
    <w:link w:val="13"/>
    <w:semiHidden/>
    <w:qFormat/>
    <w:uiPriority w:val="99"/>
    <w:rPr>
      <w:lang w:val="en-GB"/>
    </w:rPr>
  </w:style>
  <w:style w:type="character" w:customStyle="1" w:styleId="21">
    <w:name w:val="Footer Char"/>
    <w:basedOn w:val="9"/>
    <w:link w:val="12"/>
    <w:uiPriority w:val="99"/>
    <w:rPr>
      <w:lang w:val="en-G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14</Pages>
  <Words>2922</Words>
  <Characters>16658</Characters>
  <Lines>138</Lines>
  <Paragraphs>39</Paragraphs>
  <TotalTime>5</TotalTime>
  <ScaleCrop>false</ScaleCrop>
  <LinksUpToDate>false</LinksUpToDate>
  <CharactersWithSpaces>19541</CharactersWithSpaces>
  <Application>WPS Office_4.8.0.7823_F1E327BC-269C-435d-A152-05C5408002CA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2022-12-26T07:26:00Z</dcterms:created>
  <dc:creator>BIBHAKAR</dc:creator>
  <cp:lastModifiedBy>stanislav</cp:lastModifiedBy>
  <dcterms:modified xsi:type="dcterms:W3CDTF">2023-01-06T18:35:49Z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1033-4.8.0.7823</vt:lpwstr>
  </property>
</Properties>
</file>