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616506FE" w14:textId="77777777" w:rsidR="003B33B4" w:rsidRPr="00083F62" w:rsidRDefault="003B33B4" w:rsidP="003B33B4">
            <w:pPr>
              <w:overflowPunct/>
              <w:autoSpaceDE/>
              <w:autoSpaceDN/>
              <w:adjustRightInd/>
              <w:ind w:right="-957"/>
              <w:textAlignment w:val="auto"/>
              <w:rPr>
                <w:b/>
                <w:color w:val="auto"/>
                <w:sz w:val="48"/>
              </w:rPr>
            </w:pPr>
            <w:r w:rsidRPr="00083F62">
              <w:rPr>
                <w:b/>
                <w:color w:val="auto"/>
                <w:sz w:val="48"/>
              </w:rPr>
              <w:t>Learner’s name: Rebecca Leanne Jefferies</w:t>
            </w:r>
          </w:p>
          <w:p w14:paraId="7BCA1782" w14:textId="77777777" w:rsidR="003B33B4" w:rsidRPr="00083F62" w:rsidRDefault="003B33B4" w:rsidP="003B33B4">
            <w:pPr>
              <w:overflowPunct/>
              <w:autoSpaceDE/>
              <w:autoSpaceDN/>
              <w:adjustRightInd/>
              <w:ind w:right="-957"/>
              <w:textAlignment w:val="auto"/>
              <w:rPr>
                <w:b/>
                <w:color w:val="auto"/>
                <w:sz w:val="48"/>
              </w:rPr>
            </w:pPr>
          </w:p>
          <w:p w14:paraId="12F4E33F" w14:textId="77777777" w:rsidR="003B33B4" w:rsidRPr="00083F62" w:rsidRDefault="003B33B4" w:rsidP="003B33B4">
            <w:pPr>
              <w:overflowPunct/>
              <w:autoSpaceDE/>
              <w:autoSpaceDN/>
              <w:adjustRightInd/>
              <w:ind w:right="-957"/>
              <w:textAlignment w:val="auto"/>
              <w:rPr>
                <w:b/>
                <w:color w:val="auto"/>
                <w:sz w:val="48"/>
              </w:rPr>
            </w:pPr>
            <w:r w:rsidRPr="00083F62">
              <w:rPr>
                <w:b/>
                <w:color w:val="auto"/>
                <w:sz w:val="48"/>
              </w:rPr>
              <w:t xml:space="preserve">Email address: </w:t>
            </w:r>
            <w:hyperlink r:id="rId11" w:history="1">
              <w:r w:rsidRPr="00083F62">
                <w:rPr>
                  <w:rStyle w:val="Hyperlink"/>
                  <w:b/>
                  <w:sz w:val="48"/>
                </w:rPr>
                <w:t>rebeccajeff9567@gmail.com</w:t>
              </w:r>
            </w:hyperlink>
            <w:r w:rsidRPr="00083F62">
              <w:rPr>
                <w:b/>
                <w:sz w:val="48"/>
              </w:rPr>
              <w:t xml:space="preserve"> </w:t>
            </w:r>
            <w:r>
              <w:rPr>
                <w:b/>
                <w:sz w:val="48"/>
              </w:rPr>
              <w:t xml:space="preserve">       </w:t>
            </w:r>
            <w:r w:rsidRPr="00083F62">
              <w:rPr>
                <w:b/>
                <w:sz w:val="48"/>
              </w:rPr>
              <w:t>or 1701636@student.uwtsd.ac.uk</w:t>
            </w:r>
          </w:p>
          <w:p w14:paraId="57BE95AB" w14:textId="77777777" w:rsidR="003B33B4" w:rsidRPr="00083F62" w:rsidRDefault="003B33B4" w:rsidP="003B33B4">
            <w:pPr>
              <w:overflowPunct/>
              <w:autoSpaceDE/>
              <w:autoSpaceDN/>
              <w:adjustRightInd/>
              <w:ind w:right="-957"/>
              <w:textAlignment w:val="auto"/>
              <w:rPr>
                <w:b/>
                <w:color w:val="auto"/>
                <w:sz w:val="48"/>
              </w:rPr>
            </w:pPr>
          </w:p>
          <w:p w14:paraId="45809A49" w14:textId="77777777" w:rsidR="003B33B4" w:rsidRPr="00083F62" w:rsidRDefault="003B33B4" w:rsidP="003B33B4">
            <w:pPr>
              <w:overflowPunct/>
              <w:autoSpaceDE/>
              <w:autoSpaceDN/>
              <w:adjustRightInd/>
              <w:ind w:right="-957"/>
              <w:textAlignment w:val="auto"/>
              <w:rPr>
                <w:b/>
                <w:color w:val="auto"/>
                <w:sz w:val="48"/>
              </w:rPr>
            </w:pPr>
            <w:r w:rsidRPr="00083F62">
              <w:rPr>
                <w:b/>
                <w:color w:val="auto"/>
                <w:sz w:val="48"/>
              </w:rPr>
              <w:t>Learner’s University Registration Number:         1701636</w:t>
            </w:r>
          </w:p>
          <w:p w14:paraId="71ABC233" w14:textId="77777777" w:rsidR="003B33B4" w:rsidRPr="00083F62" w:rsidRDefault="003B33B4" w:rsidP="003B33B4">
            <w:pPr>
              <w:overflowPunct/>
              <w:autoSpaceDE/>
              <w:autoSpaceDN/>
              <w:adjustRightInd/>
              <w:ind w:right="-957"/>
              <w:textAlignment w:val="auto"/>
              <w:rPr>
                <w:b/>
                <w:color w:val="auto"/>
                <w:sz w:val="48"/>
              </w:rPr>
            </w:pPr>
          </w:p>
          <w:p w14:paraId="5F84129B" w14:textId="65461D01" w:rsidR="0085230E" w:rsidRPr="005D3F07" w:rsidRDefault="003B33B4" w:rsidP="003B33B4">
            <w:pPr>
              <w:overflowPunct/>
              <w:autoSpaceDE/>
              <w:autoSpaceDN/>
              <w:adjustRightInd/>
              <w:ind w:right="-957"/>
              <w:textAlignment w:val="auto"/>
              <w:rPr>
                <w:rFonts w:ascii="Times New Roman" w:hAnsi="Times New Roman" w:cs="Times New Roman"/>
                <w:b/>
                <w:color w:val="auto"/>
                <w:sz w:val="48"/>
              </w:rPr>
            </w:pPr>
            <w:r w:rsidRPr="00083F62">
              <w:rPr>
                <w:b/>
                <w:color w:val="auto"/>
                <w:sz w:val="48"/>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71500854" w14:textId="77777777" w:rsidR="003A26D3" w:rsidRDefault="003A26D3">
      <w:pPr>
        <w:jc w:val="both"/>
        <w:rPr>
          <w:i/>
          <w:iCs/>
          <w:sz w:val="24"/>
          <w:szCs w:val="24"/>
        </w:rPr>
      </w:pPr>
    </w:p>
    <w:p w14:paraId="41A1F6C4" w14:textId="77777777" w:rsidR="003A26D3" w:rsidRPr="00706BB5" w:rsidRDefault="003A26D3">
      <w:pPr>
        <w:jc w:val="both"/>
        <w:rPr>
          <w:i/>
          <w:iCs/>
          <w:sz w:val="24"/>
          <w:szCs w:val="24"/>
        </w:rPr>
      </w:pP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613009" w:rsidRDefault="000A584A">
            <w:pPr>
              <w:jc w:val="both"/>
              <w:rPr>
                <w:b/>
                <w:bCs/>
                <w:sz w:val="24"/>
                <w:szCs w:val="24"/>
              </w:rPr>
            </w:pPr>
            <w:r w:rsidRPr="00613009">
              <w:rPr>
                <w:b/>
                <w:bCs/>
                <w:sz w:val="24"/>
                <w:szCs w:val="24"/>
              </w:rPr>
              <w:t xml:space="preserve">Complete a critically reflective case study </w:t>
            </w:r>
            <w:r w:rsidR="00D0503D" w:rsidRPr="00613009">
              <w:rPr>
                <w:b/>
                <w:bCs/>
                <w:sz w:val="24"/>
                <w:szCs w:val="24"/>
              </w:rPr>
              <w:t>based</w:t>
            </w:r>
            <w:r w:rsidRPr="00613009">
              <w:rPr>
                <w:b/>
                <w:bCs/>
                <w:sz w:val="24"/>
                <w:szCs w:val="24"/>
              </w:rPr>
              <w:t xml:space="preserve"> on</w:t>
            </w:r>
            <w:r w:rsidR="00696A88" w:rsidRPr="00613009">
              <w:rPr>
                <w:b/>
                <w:bCs/>
                <w:sz w:val="24"/>
                <w:szCs w:val="24"/>
              </w:rPr>
              <w:t xml:space="preserve"> </w:t>
            </w:r>
            <w:r w:rsidR="00411EF7" w:rsidRPr="00613009">
              <w:rPr>
                <w:b/>
                <w:bCs/>
                <w:sz w:val="24"/>
                <w:szCs w:val="24"/>
              </w:rPr>
              <w:t>an assessment</w:t>
            </w:r>
            <w:r w:rsidR="007F312E" w:rsidRPr="00613009">
              <w:rPr>
                <w:b/>
                <w:bCs/>
                <w:sz w:val="24"/>
                <w:szCs w:val="24"/>
              </w:rPr>
              <w:t xml:space="preserve"> </w:t>
            </w:r>
            <w:r w:rsidR="007C5ABE" w:rsidRPr="00613009">
              <w:rPr>
                <w:b/>
                <w:bCs/>
                <w:sz w:val="24"/>
                <w:szCs w:val="24"/>
              </w:rPr>
              <w:t xml:space="preserve">that you have </w:t>
            </w:r>
            <w:r w:rsidRPr="00613009">
              <w:rPr>
                <w:b/>
                <w:bCs/>
                <w:sz w:val="24"/>
                <w:szCs w:val="24"/>
              </w:rPr>
              <w:t xml:space="preserve">undertaken with </w:t>
            </w:r>
            <w:r w:rsidR="00D0503D" w:rsidRPr="00613009">
              <w:rPr>
                <w:b/>
                <w:bCs/>
                <w:sz w:val="24"/>
                <w:szCs w:val="24"/>
              </w:rPr>
              <w:t>others, in</w:t>
            </w:r>
            <w:r w:rsidR="0002440E" w:rsidRPr="00613009">
              <w:rPr>
                <w:b/>
                <w:bCs/>
                <w:sz w:val="24"/>
                <w:szCs w:val="24"/>
              </w:rPr>
              <w:t xml:space="preserve"> your own area of work</w:t>
            </w:r>
            <w:r w:rsidR="00D0503D" w:rsidRPr="00613009">
              <w:rPr>
                <w:b/>
                <w:bCs/>
                <w:sz w:val="24"/>
                <w:szCs w:val="24"/>
              </w:rPr>
              <w:t xml:space="preserve">, </w:t>
            </w:r>
            <w:r w:rsidR="00587923" w:rsidRPr="00613009">
              <w:rPr>
                <w:b/>
                <w:bCs/>
                <w:sz w:val="24"/>
                <w:szCs w:val="24"/>
              </w:rPr>
              <w:t>c</w:t>
            </w:r>
            <w:r w:rsidR="008B28E7" w:rsidRPr="00613009">
              <w:rPr>
                <w:b/>
                <w:bCs/>
                <w:sz w:val="24"/>
                <w:szCs w:val="24"/>
              </w:rPr>
              <w:t>oncerning the safeguarding of either an adult or a child</w:t>
            </w:r>
            <w:r w:rsidRPr="00613009">
              <w:rPr>
                <w:b/>
                <w:bCs/>
                <w:sz w:val="24"/>
                <w:szCs w:val="24"/>
              </w:rPr>
              <w:t xml:space="preserve">. </w:t>
            </w:r>
            <w:r w:rsidR="00216563" w:rsidRPr="00613009">
              <w:rPr>
                <w:b/>
                <w:bCs/>
                <w:sz w:val="24"/>
                <w:szCs w:val="24"/>
              </w:rPr>
              <w:t xml:space="preserve">You must demonstrate how </w:t>
            </w:r>
            <w:r w:rsidR="00F34C86" w:rsidRPr="00613009">
              <w:rPr>
                <w:b/>
                <w:bCs/>
                <w:sz w:val="24"/>
                <w:szCs w:val="24"/>
              </w:rPr>
              <w:t xml:space="preserve">the case relates to or could relate to safeguarding </w:t>
            </w:r>
            <w:r w:rsidR="00216563" w:rsidRPr="00613009">
              <w:rPr>
                <w:b/>
                <w:bCs/>
                <w:sz w:val="24"/>
                <w:szCs w:val="24"/>
              </w:rPr>
              <w:t>legislation, policies</w:t>
            </w:r>
            <w:r w:rsidR="00F34C86" w:rsidRPr="00613009">
              <w:rPr>
                <w:b/>
                <w:bCs/>
                <w:sz w:val="24"/>
                <w:szCs w:val="24"/>
              </w:rPr>
              <w:t>, strategies and procedures</w:t>
            </w:r>
            <w:r w:rsidR="7AAB400D" w:rsidRPr="00613009">
              <w:rPr>
                <w:b/>
                <w:bCs/>
                <w:sz w:val="24"/>
                <w:szCs w:val="24"/>
              </w:rPr>
              <w:t xml:space="preserve"> </w:t>
            </w:r>
            <w:r w:rsidR="623F2A43" w:rsidRPr="00613009">
              <w:rPr>
                <w:b/>
                <w:bCs/>
                <w:sz w:val="24"/>
                <w:szCs w:val="24"/>
              </w:rPr>
              <w:t>(</w:t>
            </w:r>
            <w:r w:rsidR="7AAB400D" w:rsidRPr="00613009">
              <w:rPr>
                <w:b/>
                <w:bCs/>
                <w:sz w:val="24"/>
                <w:szCs w:val="24"/>
              </w:rPr>
              <w:t>i</w:t>
            </w:r>
            <w:r w:rsidR="623F2A43" w:rsidRPr="00613009">
              <w:rPr>
                <w:b/>
                <w:bCs/>
                <w:sz w:val="24"/>
                <w:szCs w:val="24"/>
              </w:rPr>
              <w:t xml:space="preserve">ncluding </w:t>
            </w:r>
            <w:r w:rsidR="322513AD" w:rsidRPr="00613009">
              <w:rPr>
                <w:b/>
                <w:bCs/>
                <w:sz w:val="24"/>
                <w:szCs w:val="24"/>
              </w:rPr>
              <w:t>d</w:t>
            </w:r>
            <w:r w:rsidR="7E97696C" w:rsidRPr="00613009">
              <w:rPr>
                <w:b/>
                <w:bCs/>
                <w:sz w:val="24"/>
                <w:szCs w:val="24"/>
              </w:rPr>
              <w:t xml:space="preserve">emonstrating an understanding of </w:t>
            </w:r>
            <w:r w:rsidR="623F2A43" w:rsidRPr="00613009">
              <w:rPr>
                <w:b/>
                <w:bCs/>
                <w:sz w:val="24"/>
                <w:szCs w:val="24"/>
              </w:rPr>
              <w:t>the</w:t>
            </w:r>
            <w:r w:rsidR="350F702B" w:rsidRPr="00613009">
              <w:rPr>
                <w:b/>
                <w:bCs/>
                <w:sz w:val="24"/>
                <w:szCs w:val="24"/>
              </w:rPr>
              <w:t xml:space="preserve"> </w:t>
            </w:r>
            <w:r w:rsidR="3B2446CA" w:rsidRPr="00613009">
              <w:rPr>
                <w:rFonts w:eastAsia="Arial"/>
                <w:b/>
                <w:bCs/>
                <w:color w:val="000000" w:themeColor="text1"/>
                <w:sz w:val="24"/>
                <w:szCs w:val="24"/>
              </w:rPr>
              <w:t xml:space="preserve">interface </w:t>
            </w:r>
            <w:r w:rsidR="534A9052" w:rsidRPr="00613009">
              <w:rPr>
                <w:rFonts w:eastAsia="Arial"/>
                <w:b/>
                <w:bCs/>
                <w:color w:val="000000" w:themeColor="text1"/>
                <w:sz w:val="24"/>
                <w:szCs w:val="24"/>
              </w:rPr>
              <w:t>between social services provision in Wales with the United Kingdom, the European Union</w:t>
            </w:r>
            <w:r w:rsidR="007A628F" w:rsidRPr="00613009">
              <w:rPr>
                <w:rFonts w:eastAsia="Arial"/>
                <w:b/>
                <w:bCs/>
                <w:color w:val="000000" w:themeColor="text1"/>
                <w:sz w:val="24"/>
                <w:szCs w:val="24"/>
              </w:rPr>
              <w:t xml:space="preserve"> (EU)</w:t>
            </w:r>
            <w:r w:rsidR="534A9052" w:rsidRPr="00613009">
              <w:rPr>
                <w:rFonts w:eastAsia="Arial"/>
                <w:b/>
                <w:bCs/>
                <w:color w:val="000000" w:themeColor="text1"/>
                <w:sz w:val="24"/>
                <w:szCs w:val="24"/>
              </w:rPr>
              <w:t xml:space="preserve"> and outside the EU</w:t>
            </w:r>
            <w:r w:rsidR="623F2A43" w:rsidRPr="00613009">
              <w:rPr>
                <w:rFonts w:eastAsia="Arial"/>
                <w:b/>
                <w:bCs/>
                <w:color w:val="000000" w:themeColor="text1"/>
                <w:sz w:val="24"/>
                <w:szCs w:val="24"/>
              </w:rPr>
              <w:t>)</w:t>
            </w:r>
            <w:r w:rsidR="00411EF7" w:rsidRPr="00613009">
              <w:rPr>
                <w:b/>
                <w:bCs/>
                <w:sz w:val="24"/>
                <w:szCs w:val="24"/>
              </w:rPr>
              <w:t>.</w:t>
            </w:r>
            <w:r w:rsidR="00354B6D" w:rsidRPr="00613009">
              <w:rPr>
                <w:b/>
                <w:bCs/>
                <w:sz w:val="24"/>
                <w:szCs w:val="24"/>
              </w:rPr>
              <w:t xml:space="preserve"> </w:t>
            </w:r>
            <w:r w:rsidR="102A3950" w:rsidRPr="00613009">
              <w:rPr>
                <w:b/>
                <w:bCs/>
                <w:sz w:val="24"/>
                <w:szCs w:val="24"/>
              </w:rPr>
              <w:t>You</w:t>
            </w:r>
            <w:r w:rsidR="00354B6D" w:rsidRPr="00613009">
              <w:rPr>
                <w:b/>
                <w:bCs/>
                <w:sz w:val="24"/>
                <w:szCs w:val="24"/>
              </w:rPr>
              <w:t xml:space="preserve"> must</w:t>
            </w:r>
            <w:r w:rsidR="00411EF7" w:rsidRPr="00613009">
              <w:rPr>
                <w:b/>
                <w:bCs/>
                <w:sz w:val="24"/>
                <w:szCs w:val="24"/>
              </w:rPr>
              <w:t xml:space="preserve"> </w:t>
            </w:r>
            <w:r w:rsidR="00354B6D" w:rsidRPr="00613009">
              <w:rPr>
                <w:b/>
                <w:bCs/>
                <w:sz w:val="24"/>
                <w:szCs w:val="24"/>
              </w:rPr>
              <w:t>demonstrate your understanding of</w:t>
            </w:r>
            <w:r w:rsidR="00F34C86" w:rsidRPr="00613009">
              <w:rPr>
                <w:b/>
                <w:bCs/>
                <w:sz w:val="24"/>
                <w:szCs w:val="24"/>
              </w:rPr>
              <w:t xml:space="preserve"> </w:t>
            </w:r>
            <w:r w:rsidR="00411EF7" w:rsidRPr="00613009">
              <w:rPr>
                <w:b/>
                <w:bCs/>
                <w:sz w:val="24"/>
                <w:szCs w:val="24"/>
              </w:rPr>
              <w:t xml:space="preserve">the </w:t>
            </w:r>
            <w:r w:rsidR="00216563" w:rsidRPr="00613009">
              <w:rPr>
                <w:b/>
                <w:bCs/>
                <w:sz w:val="24"/>
                <w:szCs w:val="24"/>
              </w:rPr>
              <w:t xml:space="preserve">integration of </w:t>
            </w:r>
            <w:r w:rsidR="6A854C79" w:rsidRPr="00613009">
              <w:rPr>
                <w:b/>
                <w:bCs/>
                <w:sz w:val="24"/>
                <w:szCs w:val="24"/>
              </w:rPr>
              <w:t>analysis in asses</w:t>
            </w:r>
            <w:r w:rsidR="0F77E214" w:rsidRPr="00613009">
              <w:rPr>
                <w:b/>
                <w:bCs/>
                <w:sz w:val="24"/>
                <w:szCs w:val="24"/>
              </w:rPr>
              <w:t>sment, collabo</w:t>
            </w:r>
            <w:r w:rsidR="6A854C79" w:rsidRPr="00613009">
              <w:rPr>
                <w:b/>
                <w:bCs/>
                <w:sz w:val="24"/>
                <w:szCs w:val="24"/>
              </w:rPr>
              <w:t>rative work</w:t>
            </w:r>
            <w:r w:rsidR="0F77E214" w:rsidRPr="00613009">
              <w:rPr>
                <w:b/>
                <w:bCs/>
                <w:sz w:val="24"/>
                <w:szCs w:val="24"/>
              </w:rPr>
              <w:t>ing</w:t>
            </w:r>
            <w:r w:rsidR="6A854C79" w:rsidRPr="00613009">
              <w:rPr>
                <w:b/>
                <w:bCs/>
                <w:sz w:val="24"/>
                <w:szCs w:val="24"/>
              </w:rPr>
              <w:t xml:space="preserve"> a</w:t>
            </w:r>
            <w:r w:rsidR="0F77E214" w:rsidRPr="00613009">
              <w:rPr>
                <w:b/>
                <w:bCs/>
                <w:sz w:val="24"/>
                <w:szCs w:val="24"/>
              </w:rPr>
              <w:t xml:space="preserve">nd </w:t>
            </w:r>
            <w:r w:rsidR="6A854C79" w:rsidRPr="00613009">
              <w:rPr>
                <w:b/>
                <w:bCs/>
                <w:sz w:val="24"/>
                <w:szCs w:val="24"/>
              </w:rPr>
              <w:t>professional</w:t>
            </w:r>
            <w:r w:rsidR="00F34C86" w:rsidRPr="00613009">
              <w:rPr>
                <w:b/>
                <w:bCs/>
                <w:sz w:val="24"/>
                <w:szCs w:val="24"/>
              </w:rPr>
              <w:t xml:space="preserve"> </w:t>
            </w:r>
            <w:r w:rsidR="00216563" w:rsidRPr="00613009">
              <w:rPr>
                <w:b/>
                <w:bCs/>
                <w:sz w:val="24"/>
                <w:szCs w:val="24"/>
              </w:rPr>
              <w:t>judgements</w:t>
            </w:r>
            <w:r w:rsidR="0F77E214" w:rsidRPr="00613009">
              <w:rPr>
                <w:b/>
                <w:bCs/>
                <w:sz w:val="24"/>
                <w:szCs w:val="24"/>
              </w:rPr>
              <w:t xml:space="preserve"> in increasingly complex situations </w:t>
            </w:r>
            <w:r w:rsidR="00E5498A" w:rsidRPr="00613009">
              <w:rPr>
                <w:b/>
                <w:bCs/>
                <w:sz w:val="24"/>
                <w:szCs w:val="24"/>
              </w:rPr>
              <w:t>and</w:t>
            </w:r>
            <w:r w:rsidR="1D6670C0" w:rsidRPr="00613009">
              <w:rPr>
                <w:b/>
                <w:bCs/>
                <w:sz w:val="24"/>
                <w:szCs w:val="24"/>
              </w:rPr>
              <w:t xml:space="preserve"> </w:t>
            </w:r>
            <w:r w:rsidR="39C47EB7" w:rsidRPr="00613009">
              <w:rPr>
                <w:b/>
                <w:bCs/>
                <w:sz w:val="24"/>
                <w:szCs w:val="24"/>
              </w:rPr>
              <w:t>the</w:t>
            </w:r>
            <w:r w:rsidR="25F327FB" w:rsidRPr="00613009">
              <w:rPr>
                <w:b/>
                <w:bCs/>
                <w:sz w:val="24"/>
                <w:szCs w:val="24"/>
              </w:rPr>
              <w:t xml:space="preserve"> </w:t>
            </w:r>
            <w:r w:rsidR="00F34C86" w:rsidRPr="00613009">
              <w:rPr>
                <w:b/>
                <w:bCs/>
                <w:sz w:val="24"/>
                <w:szCs w:val="24"/>
              </w:rPr>
              <w:t>use of social work theories</w:t>
            </w:r>
            <w:r w:rsidR="756EEE2D" w:rsidRPr="00613009">
              <w:rPr>
                <w:b/>
                <w:bCs/>
                <w:sz w:val="24"/>
                <w:szCs w:val="24"/>
              </w:rPr>
              <w:t>.</w:t>
            </w:r>
            <w:r w:rsidR="00216563" w:rsidRPr="00613009">
              <w:rPr>
                <w:b/>
                <w:bCs/>
                <w:sz w:val="24"/>
                <w:szCs w:val="24"/>
              </w:rPr>
              <w:t xml:space="preserve"> </w:t>
            </w:r>
            <w:r w:rsidR="756EEE2D" w:rsidRPr="00613009">
              <w:rPr>
                <w:b/>
                <w:bCs/>
                <w:sz w:val="24"/>
                <w:szCs w:val="24"/>
              </w:rPr>
              <w:t>You</w:t>
            </w:r>
            <w:r w:rsidR="00216563" w:rsidRPr="00613009">
              <w:rPr>
                <w:b/>
                <w:bCs/>
                <w:sz w:val="24"/>
                <w:szCs w:val="24"/>
              </w:rPr>
              <w:t xml:space="preserve"> </w:t>
            </w:r>
            <w:r w:rsidR="00E5498A" w:rsidRPr="00613009">
              <w:rPr>
                <w:b/>
                <w:bCs/>
                <w:sz w:val="24"/>
                <w:szCs w:val="24"/>
              </w:rPr>
              <w:t xml:space="preserve">must </w:t>
            </w:r>
            <w:r w:rsidR="00F030D4" w:rsidRPr="00613009">
              <w:rPr>
                <w:b/>
                <w:bCs/>
                <w:sz w:val="24"/>
                <w:szCs w:val="24"/>
              </w:rPr>
              <w:t>refer to</w:t>
            </w:r>
            <w:r w:rsidR="00216563" w:rsidRPr="00613009">
              <w:rPr>
                <w:b/>
                <w:bCs/>
                <w:sz w:val="24"/>
                <w:szCs w:val="24"/>
              </w:rPr>
              <w:t xml:space="preserve"> </w:t>
            </w:r>
            <w:r w:rsidR="00F34C86" w:rsidRPr="00613009">
              <w:rPr>
                <w:b/>
                <w:bCs/>
                <w:sz w:val="24"/>
                <w:szCs w:val="24"/>
              </w:rPr>
              <w:t>the specific dimensions of working in Wales</w:t>
            </w:r>
            <w:r w:rsidR="00411EF7" w:rsidRPr="00613009">
              <w:rPr>
                <w:b/>
                <w:bCs/>
                <w:sz w:val="24"/>
                <w:szCs w:val="24"/>
              </w:rPr>
              <w:t xml:space="preserve">. </w:t>
            </w:r>
          </w:p>
          <w:p w14:paraId="2F8A7CA5" w14:textId="6EDC9DFB" w:rsidR="008D5999" w:rsidRPr="00613009" w:rsidRDefault="008D5999" w:rsidP="00064063">
            <w:pPr>
              <w:jc w:val="both"/>
              <w:rPr>
                <w:b/>
                <w:bCs/>
                <w:sz w:val="24"/>
                <w:szCs w:val="24"/>
              </w:rPr>
            </w:pPr>
          </w:p>
          <w:p w14:paraId="20A5906F" w14:textId="77777777" w:rsidR="008D5999" w:rsidRPr="00613009" w:rsidRDefault="008D5999" w:rsidP="00064063">
            <w:pPr>
              <w:jc w:val="both"/>
              <w:rPr>
                <w:b/>
                <w:bCs/>
                <w:sz w:val="24"/>
                <w:szCs w:val="24"/>
              </w:rPr>
            </w:pPr>
          </w:p>
          <w:p w14:paraId="51AF4546" w14:textId="476CB9AF" w:rsidR="00D3203C" w:rsidRPr="00613009" w:rsidRDefault="00045C40" w:rsidP="00FF7EBB">
            <w:pPr>
              <w:jc w:val="both"/>
              <w:rPr>
                <w:b/>
                <w:bCs/>
                <w:i/>
                <w:sz w:val="24"/>
                <w:szCs w:val="24"/>
              </w:rPr>
            </w:pPr>
            <w:r w:rsidRPr="00613009">
              <w:rPr>
                <w:b/>
                <w:bCs/>
                <w:i/>
                <w:sz w:val="24"/>
                <w:szCs w:val="24"/>
              </w:rPr>
              <w:t xml:space="preserve">4000 </w:t>
            </w:r>
            <w:r w:rsidR="008B28E7" w:rsidRPr="00613009">
              <w:rPr>
                <w:b/>
                <w:bCs/>
                <w:i/>
                <w:sz w:val="24"/>
                <w:szCs w:val="24"/>
              </w:rPr>
              <w:t>words</w:t>
            </w:r>
            <w:r w:rsidR="008B28E7" w:rsidRPr="00613009">
              <w:rPr>
                <w:b/>
                <w:bCs/>
                <w:sz w:val="24"/>
                <w:szCs w:val="24"/>
              </w:rPr>
              <w:t xml:space="preserve"> </w:t>
            </w:r>
            <w:r w:rsidR="008B28E7" w:rsidRPr="00613009">
              <w:rPr>
                <w:b/>
                <w:bCs/>
                <w:i/>
                <w:sz w:val="24"/>
                <w:szCs w:val="24"/>
              </w:rPr>
              <w:t>(+/- 10%: include your actual word count at the end of each section)</w:t>
            </w:r>
            <w:r w:rsidR="007A628F" w:rsidRPr="00613009">
              <w:rPr>
                <w:b/>
                <w:bCs/>
                <w:i/>
                <w:sz w:val="24"/>
                <w:szCs w:val="24"/>
              </w:rPr>
              <w:t>.</w:t>
            </w:r>
          </w:p>
          <w:p w14:paraId="701D8D4D" w14:textId="38C2B218" w:rsidR="00D3203C" w:rsidRDefault="00D3203C" w:rsidP="00FF7EBB">
            <w:pPr>
              <w:jc w:val="both"/>
              <w:rPr>
                <w:i/>
                <w:sz w:val="24"/>
                <w:szCs w:val="24"/>
              </w:rPr>
            </w:pPr>
          </w:p>
          <w:p w14:paraId="41318DA0" w14:textId="77777777" w:rsidR="00324886" w:rsidRDefault="00324886" w:rsidP="00324886">
            <w:pPr>
              <w:spacing w:line="360" w:lineRule="auto"/>
              <w:rPr>
                <w:sz w:val="24"/>
                <w:szCs w:val="24"/>
              </w:rPr>
            </w:pPr>
            <w:r w:rsidRPr="00324886">
              <w:rPr>
                <w:sz w:val="24"/>
                <w:szCs w:val="24"/>
              </w:rPr>
              <w:t>Critical reflection is essential in social work, especially within safeguarding practice. It enables practitioners to evaluate complex situations, understand the impact of their decisions, and learn from experience. In this case study, I reflect on a safeguarding case involving a mother and her two children affected by substance misuse and trauma. This process supports ethical practice, professional growth, and improved outcomes for families within the Welsh legislative context. Reflection must be balanced with respect for the family’s right to privacy, as outlined in the Human Rights Act (HRA) 1998 and the Data Protection Act (DPA) 2018. To uphold these principles, I have anonymised all identifying details.</w:t>
            </w:r>
          </w:p>
          <w:p w14:paraId="520A6033" w14:textId="77777777" w:rsidR="0077143D" w:rsidRPr="00324886" w:rsidRDefault="0077143D" w:rsidP="00324886">
            <w:pPr>
              <w:spacing w:line="360" w:lineRule="auto"/>
              <w:rPr>
                <w:sz w:val="24"/>
                <w:szCs w:val="24"/>
              </w:rPr>
            </w:pPr>
          </w:p>
          <w:p w14:paraId="25131429" w14:textId="77777777" w:rsidR="00324886" w:rsidRDefault="00324886" w:rsidP="00324886">
            <w:pPr>
              <w:spacing w:line="360" w:lineRule="auto"/>
              <w:rPr>
                <w:sz w:val="24"/>
                <w:szCs w:val="24"/>
              </w:rPr>
            </w:pPr>
            <w:r w:rsidRPr="00324886">
              <w:rPr>
                <w:sz w:val="24"/>
                <w:szCs w:val="24"/>
              </w:rPr>
              <w:t>This case study reflects upon a safeguarding assessment I led involving a mother and her two young children - Child 1 (aged four) and Child 2 (aged two). The mother identifies as bisexual, and Child 1 was conceived using a sperm donor when the mother was in a same-</w:t>
            </w:r>
            <w:r w:rsidRPr="00324886">
              <w:rPr>
                <w:sz w:val="24"/>
                <w:szCs w:val="24"/>
              </w:rPr>
              <w:lastRenderedPageBreak/>
              <w:t>sex relationship, whilst Child 2 was conceived when the mother was in a heterosexual relationship. Both children see their retrospective parents, with Child 1 spending 3-4 days with his other mother, and Child 2 seeing her father twice a week.</w:t>
            </w:r>
          </w:p>
          <w:p w14:paraId="2F79CB7E" w14:textId="77777777" w:rsidR="0077143D" w:rsidRPr="00324886" w:rsidRDefault="0077143D" w:rsidP="00324886">
            <w:pPr>
              <w:spacing w:line="360" w:lineRule="auto"/>
              <w:rPr>
                <w:sz w:val="24"/>
                <w:szCs w:val="24"/>
              </w:rPr>
            </w:pPr>
          </w:p>
          <w:p w14:paraId="67F924FC" w14:textId="77777777" w:rsidR="00324886" w:rsidRDefault="00324886" w:rsidP="00324886">
            <w:pPr>
              <w:spacing w:line="360" w:lineRule="auto"/>
              <w:rPr>
                <w:sz w:val="24"/>
                <w:szCs w:val="24"/>
              </w:rPr>
            </w:pPr>
            <w:r w:rsidRPr="00324886">
              <w:rPr>
                <w:sz w:val="24"/>
                <w:szCs w:val="24"/>
              </w:rPr>
              <w:t xml:space="preserve">Child 1 had suffered a burn on his leg, and when he was brought in for a follow-up appointment, hospital staff noted that the mother appeared under the influence of drugs and alcohol. The section 47 (S47) enquiry was initiated on the same day as the hospital referral, in line with the Wales Safeguarding Procedures (WSP) (2019), following an Initial Strategy Discussion (ISD) between Police and Social Services (CYSUR, 2023). The purpose was to investigate whether the children were suffering, or likely to suffer significant harm, reflecting the statutory urgency of these concerns under the Children Act (CA)1989 and Social Services and Well-being (Wales) Act (SSWWA) 2014. During the S47, the children were placed with family members for a short period, with family members supervising the mothers contact with her children. The decision to place the children with family for a temporary period followed a rapid risk assessment and was supported by Police Powers of Protection under section 46 of the CA 1989, ensuring partnership working in with professionals and the family members to ensure the children’s basic needs were met. From the initial contact with the mother during the S47, she was honest from the outset of her struggles, which supported the ability for targeted interventions (SSWWA 2014). </w:t>
            </w:r>
          </w:p>
          <w:p w14:paraId="523D2716" w14:textId="77777777" w:rsidR="0077143D" w:rsidRPr="00324886" w:rsidRDefault="0077143D" w:rsidP="00324886">
            <w:pPr>
              <w:spacing w:line="360" w:lineRule="auto"/>
              <w:rPr>
                <w:sz w:val="24"/>
                <w:szCs w:val="24"/>
              </w:rPr>
            </w:pPr>
          </w:p>
          <w:p w14:paraId="5C0CCB4F" w14:textId="68829223" w:rsidR="00324886" w:rsidRDefault="00324886" w:rsidP="00324886">
            <w:pPr>
              <w:spacing w:line="360" w:lineRule="auto"/>
              <w:rPr>
                <w:sz w:val="24"/>
                <w:szCs w:val="24"/>
              </w:rPr>
            </w:pPr>
            <w:r w:rsidRPr="00324886">
              <w:rPr>
                <w:sz w:val="24"/>
                <w:szCs w:val="24"/>
              </w:rPr>
              <w:t>Once a S47 has been initiated, the WSP 2019 outline that the intervention must be undertaken within 15 days. In this case, a referral for an Initial Child Protection Conference (ICPC) was made and held within 14 days of the initial S47. The ICPC is a multi-agency meeting, where professionals and families come together to understand the lived experiences of the children involved, assess whether the children are suffering or are likely to suffer significant harm, and professionals will make a unanimous decision whether a child protection (CP) plan is needed or not (Welsh Government, 2019</w:t>
            </w:r>
            <w:r w:rsidR="00803584">
              <w:rPr>
                <w:sz w:val="24"/>
                <w:szCs w:val="24"/>
              </w:rPr>
              <w:t>b</w:t>
            </w:r>
            <w:r w:rsidRPr="00324886">
              <w:rPr>
                <w:sz w:val="24"/>
                <w:szCs w:val="24"/>
              </w:rPr>
              <w:t xml:space="preserve">). Should a CP plan be required, the children’s names will be placed on the CP register, under categories that apply to that child, which could include emotional abuse, physical abuse, neglect, psychological abuse, sexual abuse and/or financial abuse (WSP, 2019), which are embedded in S197 of the SSWWA 2014. In this case, professionals unanimously decided that both children’s </w:t>
            </w:r>
            <w:r w:rsidRPr="00324886">
              <w:rPr>
                <w:sz w:val="24"/>
                <w:szCs w:val="24"/>
              </w:rPr>
              <w:lastRenderedPageBreak/>
              <w:t>names should be placed on the CP register under the categories neglect and physical harm, under the SSWWA 2014, and the WSP 2019. (SCW, 2011, NOS 3; SCW, 2017, CoPP 3).</w:t>
            </w:r>
          </w:p>
          <w:p w14:paraId="263FCE16" w14:textId="77777777" w:rsidR="0077143D" w:rsidRPr="00324886" w:rsidRDefault="0077143D" w:rsidP="00324886">
            <w:pPr>
              <w:spacing w:line="360" w:lineRule="auto"/>
              <w:rPr>
                <w:sz w:val="24"/>
                <w:szCs w:val="24"/>
              </w:rPr>
            </w:pPr>
          </w:p>
          <w:p w14:paraId="71E087E3" w14:textId="6C02D35F" w:rsidR="00324886" w:rsidRDefault="00324886" w:rsidP="00324886">
            <w:pPr>
              <w:spacing w:line="360" w:lineRule="auto"/>
              <w:rPr>
                <w:sz w:val="24"/>
                <w:szCs w:val="24"/>
              </w:rPr>
            </w:pPr>
            <w:r w:rsidRPr="00324886">
              <w:rPr>
                <w:sz w:val="24"/>
                <w:szCs w:val="24"/>
              </w:rPr>
              <w:t>Following the decision to place the children on the CP register, the SSWWA 2014, requires that the initial core group meeting be held within 10 working days of the ICPC (SCW, 2014). This meeting must involve the family and all relevant professionals. Subsequent core group meetings should take place every six weeks, ensuring the CP plan is actively monitored and adapted as needed (SCW, 20</w:t>
            </w:r>
            <w:r w:rsidR="009A59DC">
              <w:rPr>
                <w:sz w:val="24"/>
                <w:szCs w:val="24"/>
              </w:rPr>
              <w:t>19</w:t>
            </w:r>
            <w:r w:rsidRPr="00324886">
              <w:rPr>
                <w:sz w:val="24"/>
                <w:szCs w:val="24"/>
              </w:rPr>
              <w:t xml:space="preserve">). These meetings support multi-agency collaboration, promote timely information sharing, clarifying roles and responsibilities, and help ensure the plan remains child-focused (SCW 2011, NOS 1; Wnorowska et al., 2024). </w:t>
            </w:r>
          </w:p>
          <w:p w14:paraId="29D6B624" w14:textId="77777777" w:rsidR="0077143D" w:rsidRPr="00324886" w:rsidRDefault="0077143D" w:rsidP="00324886">
            <w:pPr>
              <w:spacing w:line="360" w:lineRule="auto"/>
              <w:rPr>
                <w:sz w:val="24"/>
                <w:szCs w:val="24"/>
              </w:rPr>
            </w:pPr>
          </w:p>
          <w:p w14:paraId="4DCA08C6" w14:textId="0C1B769A" w:rsidR="00324886" w:rsidRDefault="00324886" w:rsidP="00324886">
            <w:pPr>
              <w:spacing w:line="360" w:lineRule="auto"/>
              <w:rPr>
                <w:sz w:val="24"/>
                <w:szCs w:val="24"/>
              </w:rPr>
            </w:pPr>
            <w:r w:rsidRPr="00324886">
              <w:rPr>
                <w:sz w:val="24"/>
                <w:szCs w:val="24"/>
              </w:rPr>
              <w:t xml:space="preserve">Additionally, Working Together to Safeguard People: Volume 5 – Handling Individual Cases to Protect Children at Risk advises that direct contact with the child should be regular and proportionate to their level of risk, with many local authorities adopting a standard of visits every 10 working days as part of the CP plan (WSP 2019; Welsh Government, 2020). Although, this is procedural guidance, not statutory law, it reflects best </w:t>
            </w:r>
            <w:r w:rsidR="0077143D">
              <w:rPr>
                <w:sz w:val="24"/>
                <w:szCs w:val="24"/>
              </w:rPr>
              <w:t>practic</w:t>
            </w:r>
            <w:r w:rsidRPr="00324886">
              <w:rPr>
                <w:sz w:val="24"/>
                <w:szCs w:val="24"/>
              </w:rPr>
              <w:t>e and is used by local authorities to ensure timely monitoring and intervention.</w:t>
            </w:r>
          </w:p>
          <w:p w14:paraId="185F8863" w14:textId="77777777" w:rsidR="0077143D" w:rsidRPr="00324886" w:rsidRDefault="0077143D" w:rsidP="00324886">
            <w:pPr>
              <w:spacing w:line="360" w:lineRule="auto"/>
              <w:rPr>
                <w:sz w:val="24"/>
                <w:szCs w:val="24"/>
              </w:rPr>
            </w:pPr>
          </w:p>
          <w:p w14:paraId="5ABF70C4" w14:textId="77777777" w:rsidR="00324886" w:rsidRDefault="00324886" w:rsidP="00324886">
            <w:pPr>
              <w:spacing w:line="360" w:lineRule="auto"/>
              <w:rPr>
                <w:sz w:val="24"/>
                <w:szCs w:val="24"/>
              </w:rPr>
            </w:pPr>
            <w:r w:rsidRPr="00324886">
              <w:rPr>
                <w:sz w:val="24"/>
                <w:szCs w:val="24"/>
              </w:rPr>
              <w:t>As safeguarding is everyone’s responsibility (SCIE, 2024), following the core group meetings, I ensured that all family and professionals involved received the minutes, to uphold the SCW Code of Professional Practice (CoPP) 2017, and National Occupational Standards (NOS) in accountability and partnership working (SCW 2011, NOS 1 and 3; SCW, 2017, CoPP 3 and 6).</w:t>
            </w:r>
          </w:p>
          <w:p w14:paraId="2C6FA2B4" w14:textId="77777777" w:rsidR="0077143D" w:rsidRPr="00324886" w:rsidRDefault="0077143D" w:rsidP="00324886">
            <w:pPr>
              <w:spacing w:line="360" w:lineRule="auto"/>
              <w:rPr>
                <w:sz w:val="24"/>
                <w:szCs w:val="24"/>
              </w:rPr>
            </w:pPr>
          </w:p>
          <w:p w14:paraId="7D55EB10" w14:textId="6D003FEE" w:rsidR="00324886" w:rsidRDefault="006A6F31" w:rsidP="00324886">
            <w:pPr>
              <w:spacing w:line="360" w:lineRule="auto"/>
              <w:rPr>
                <w:sz w:val="24"/>
                <w:szCs w:val="24"/>
              </w:rPr>
            </w:pPr>
            <w:r w:rsidRPr="006A6F31">
              <w:rPr>
                <w:sz w:val="24"/>
                <w:szCs w:val="24"/>
              </w:rPr>
              <w:t>In line with S21 and S24 of the SSWWA 2014, I undertook a 42-assessment to explore the care and support needs within this family, drawing on the comprehensive framework for assessing children in need outlined by Horwath and Gilligan (2010)</w:t>
            </w:r>
            <w:r w:rsidR="0023512E">
              <w:rPr>
                <w:sz w:val="24"/>
                <w:szCs w:val="24"/>
              </w:rPr>
              <w:t xml:space="preserve"> and Turney et a</w:t>
            </w:r>
            <w:r w:rsidR="004303C1">
              <w:rPr>
                <w:sz w:val="24"/>
                <w:szCs w:val="24"/>
              </w:rPr>
              <w:t>l., (2011)</w:t>
            </w:r>
            <w:r w:rsidRPr="006A6F31">
              <w:rPr>
                <w:sz w:val="24"/>
                <w:szCs w:val="24"/>
              </w:rPr>
              <w:t>.</w:t>
            </w:r>
            <w:r>
              <w:rPr>
                <w:sz w:val="24"/>
                <w:szCs w:val="24"/>
              </w:rPr>
              <w:t xml:space="preserve"> </w:t>
            </w:r>
            <w:r w:rsidR="00324886" w:rsidRPr="00324886">
              <w:rPr>
                <w:sz w:val="24"/>
                <w:szCs w:val="24"/>
              </w:rPr>
              <w:t>This process involved gathering information from professionals and family members, ensuring the assessment was child-centred and aligned with the CoPP, under part 3 of the Act, which states that where parental and child needs diverge, decisions must prioritise the child’s best interests (SCW 2011, NOS 2; Welsh Government, 20</w:t>
            </w:r>
            <w:r w:rsidR="00ED200F">
              <w:rPr>
                <w:sz w:val="24"/>
                <w:szCs w:val="24"/>
              </w:rPr>
              <w:t>19</w:t>
            </w:r>
            <w:r w:rsidR="00324886" w:rsidRPr="00324886">
              <w:rPr>
                <w:sz w:val="24"/>
                <w:szCs w:val="24"/>
              </w:rPr>
              <w:t>).</w:t>
            </w:r>
          </w:p>
          <w:p w14:paraId="0BF62B01" w14:textId="77777777" w:rsidR="0077143D" w:rsidRPr="00324886" w:rsidRDefault="0077143D" w:rsidP="00324886">
            <w:pPr>
              <w:spacing w:line="360" w:lineRule="auto"/>
              <w:rPr>
                <w:sz w:val="24"/>
                <w:szCs w:val="24"/>
              </w:rPr>
            </w:pPr>
          </w:p>
          <w:p w14:paraId="6427B92D" w14:textId="7DB97CD8" w:rsidR="00324886" w:rsidRDefault="00324886" w:rsidP="00324886">
            <w:pPr>
              <w:spacing w:line="360" w:lineRule="auto"/>
              <w:rPr>
                <w:sz w:val="24"/>
                <w:szCs w:val="24"/>
              </w:rPr>
            </w:pPr>
            <w:r w:rsidRPr="00324886">
              <w:rPr>
                <w:sz w:val="24"/>
                <w:szCs w:val="24"/>
              </w:rPr>
              <w:t xml:space="preserve">In this case, the children expressed a strong desire to be reunited with their mother, which shaped the direction of the assessment and planning. Applying attachment theory (Bowlby, 1988), I recognised the importance of maintaining and strengthening the emotional bond between the children and their mother. Secure attachments are fundamental to a child’s emotional stability, resilience, sense of identity, and contribute significantly to their overall well-being. This theoretical lens supported my decision to work towards a safe reunification plan, acknowledging the protective nature of their relationship and the potential long-term benefits of restoring it (SCW 2011, NOS 2; Foster &amp; Duschinsky, 2025). </w:t>
            </w:r>
            <w:r w:rsidR="00FF62B0" w:rsidRPr="00FF62B0">
              <w:rPr>
                <w:sz w:val="24"/>
                <w:szCs w:val="24"/>
              </w:rPr>
              <w:t>Attachment theory (Bowlby, 1988) was also central in my understanding of the likely impact of the mother’s disrupted early attachments</w:t>
            </w:r>
            <w:r w:rsidR="0000082B">
              <w:rPr>
                <w:sz w:val="24"/>
                <w:szCs w:val="24"/>
              </w:rPr>
              <w:t xml:space="preserve"> and her capacity to attune to her </w:t>
            </w:r>
            <w:r w:rsidR="00D229ED">
              <w:rPr>
                <w:sz w:val="24"/>
                <w:szCs w:val="24"/>
              </w:rPr>
              <w:t>children’s</w:t>
            </w:r>
            <w:r w:rsidR="0000082B">
              <w:rPr>
                <w:sz w:val="24"/>
                <w:szCs w:val="24"/>
              </w:rPr>
              <w:t xml:space="preserve"> needs</w:t>
            </w:r>
            <w:r w:rsidR="00D229ED">
              <w:rPr>
                <w:sz w:val="24"/>
                <w:szCs w:val="24"/>
              </w:rPr>
              <w:t xml:space="preserve">, </w:t>
            </w:r>
            <w:r w:rsidR="009F5664">
              <w:rPr>
                <w:sz w:val="24"/>
                <w:szCs w:val="24"/>
              </w:rPr>
              <w:t>emphasising</w:t>
            </w:r>
            <w:r w:rsidR="00D229ED">
              <w:rPr>
                <w:sz w:val="24"/>
                <w:szCs w:val="24"/>
              </w:rPr>
              <w:t xml:space="preserve"> </w:t>
            </w:r>
            <w:r w:rsidR="00FF62B0" w:rsidRPr="00FF62B0">
              <w:rPr>
                <w:sz w:val="24"/>
                <w:szCs w:val="24"/>
              </w:rPr>
              <w:t xml:space="preserve">the need for a revised approach to attachment in social work that considers contemporary family dynamics and trauma (National Children’s Bureau </w:t>
            </w:r>
            <w:r w:rsidR="0000082B">
              <w:rPr>
                <w:sz w:val="24"/>
                <w:szCs w:val="24"/>
              </w:rPr>
              <w:t xml:space="preserve">and </w:t>
            </w:r>
            <w:r w:rsidR="00FF62B0" w:rsidRPr="00FF62B0">
              <w:rPr>
                <w:sz w:val="24"/>
                <w:szCs w:val="24"/>
              </w:rPr>
              <w:t>Social Work Education, 2025).</w:t>
            </w:r>
            <w:r w:rsidR="0000082B">
              <w:rPr>
                <w:sz w:val="24"/>
                <w:szCs w:val="24"/>
              </w:rPr>
              <w:t xml:space="preserve"> </w:t>
            </w:r>
          </w:p>
          <w:p w14:paraId="0F08F6CA" w14:textId="77777777" w:rsidR="0077143D" w:rsidRPr="00324886" w:rsidRDefault="0077143D" w:rsidP="00324886">
            <w:pPr>
              <w:spacing w:line="360" w:lineRule="auto"/>
              <w:rPr>
                <w:sz w:val="24"/>
                <w:szCs w:val="24"/>
              </w:rPr>
            </w:pPr>
          </w:p>
          <w:p w14:paraId="62F7D0A2" w14:textId="5E26BD0C" w:rsidR="00324886" w:rsidRDefault="00324886" w:rsidP="00324886">
            <w:pPr>
              <w:spacing w:line="360" w:lineRule="auto"/>
              <w:rPr>
                <w:sz w:val="24"/>
                <w:szCs w:val="24"/>
              </w:rPr>
            </w:pPr>
            <w:r w:rsidRPr="00324886">
              <w:rPr>
                <w:sz w:val="24"/>
                <w:szCs w:val="24"/>
              </w:rPr>
              <w:t>Social learning theory (Bandura, 1977) explained how substance use behaviours were modelled and normalised across generations, informing interventions focused on modelling alternative behaviours and reinforcing safer parenting practices. The Adverse Childhood Experiences (ACEs) framework (Bandura, 1977) highlighted the intergenerational impact of trauma and the link between childhood adversity with later mental health and substance use difficulties</w:t>
            </w:r>
            <w:r w:rsidR="00525D62">
              <w:rPr>
                <w:sz w:val="24"/>
                <w:szCs w:val="24"/>
              </w:rPr>
              <w:t xml:space="preserve"> (Bellis, 2019)</w:t>
            </w:r>
            <w:r w:rsidRPr="00324886">
              <w:rPr>
                <w:sz w:val="24"/>
                <w:szCs w:val="24"/>
              </w:rPr>
              <w:t xml:space="preserve">. </w:t>
            </w:r>
          </w:p>
          <w:p w14:paraId="4F7210E8" w14:textId="77777777" w:rsidR="0077143D" w:rsidRPr="00324886" w:rsidRDefault="0077143D" w:rsidP="00324886">
            <w:pPr>
              <w:spacing w:line="360" w:lineRule="auto"/>
              <w:rPr>
                <w:sz w:val="24"/>
                <w:szCs w:val="24"/>
              </w:rPr>
            </w:pPr>
          </w:p>
          <w:p w14:paraId="580BB629" w14:textId="615817C8" w:rsidR="00324886" w:rsidRDefault="00324886" w:rsidP="00324886">
            <w:pPr>
              <w:spacing w:line="360" w:lineRule="auto"/>
              <w:rPr>
                <w:sz w:val="24"/>
                <w:szCs w:val="24"/>
              </w:rPr>
            </w:pPr>
            <w:r w:rsidRPr="00324886">
              <w:rPr>
                <w:sz w:val="24"/>
                <w:szCs w:val="24"/>
              </w:rPr>
              <w:t xml:space="preserve">Resilience theory (Bandura, 1977) was applied to identify protective factors, such as mother’s honesty, emerging motivation to change, family support and access to in-house parenting and substance misuse services, which could be strengthened through targeted support. Applying these theories in practice involved explicit translation into interventions: for example, attachment-informed approaches shaped the use of structured ‘parent-child’ sessions, while ACE-informed practice underpinned the offer of trauma-focused supports. Resilience-building work targeted both parental and child capacities, and social learning principles shaped the use of role-modelling during home visits. These theoretical lenses also informed how evidence was weighed in d how safety goals were defined in danger statements (Bandura, 1977; Turnell and Edwards; 2019). Furthermore, neurodevelopmental </w:t>
            </w:r>
            <w:r w:rsidRPr="00324886">
              <w:rPr>
                <w:sz w:val="24"/>
                <w:szCs w:val="24"/>
              </w:rPr>
              <w:lastRenderedPageBreak/>
              <w:t>perspectives were considered given the mother’s suspected ADHD and how attentional and executive function difficulties can affect parenting consistency. These perspectives informed the decision to use short, structured interventions and clear written plans to support memory and routine. Consideration of attachment repair strategies drew on evidence-based interventions such as reflective parenting models to enhance parental sensitivity (Bandura, 1977</w:t>
            </w:r>
            <w:r w:rsidR="00C00191">
              <w:rPr>
                <w:sz w:val="24"/>
                <w:szCs w:val="24"/>
              </w:rPr>
              <w:t>; Redfern, 2025</w:t>
            </w:r>
            <w:r w:rsidRPr="00324886">
              <w:rPr>
                <w:sz w:val="24"/>
                <w:szCs w:val="24"/>
              </w:rPr>
              <w:t>).</w:t>
            </w:r>
          </w:p>
          <w:p w14:paraId="11983F4D" w14:textId="77777777" w:rsidR="0077143D" w:rsidRPr="00324886" w:rsidRDefault="0077143D" w:rsidP="00324886">
            <w:pPr>
              <w:spacing w:line="360" w:lineRule="auto"/>
              <w:rPr>
                <w:sz w:val="24"/>
                <w:szCs w:val="24"/>
                <w:highlight w:val="green"/>
              </w:rPr>
            </w:pPr>
          </w:p>
          <w:p w14:paraId="54581E88" w14:textId="6476BB57" w:rsidR="00324886" w:rsidRDefault="00324886" w:rsidP="00324886">
            <w:pPr>
              <w:spacing w:line="360" w:lineRule="auto"/>
              <w:rPr>
                <w:sz w:val="24"/>
                <w:szCs w:val="24"/>
              </w:rPr>
            </w:pPr>
            <w:r w:rsidRPr="00324886">
              <w:rPr>
                <w:sz w:val="24"/>
                <w:szCs w:val="24"/>
              </w:rPr>
              <w:t>To explore the interconnected factors influencing this safeguarding case, I will apply Bronfenbrenner’s Ecological Systems Theory</w:t>
            </w:r>
            <w:r w:rsidR="00010DDD">
              <w:rPr>
                <w:sz w:val="24"/>
                <w:szCs w:val="24"/>
              </w:rPr>
              <w:t xml:space="preserve"> (Rahman, 2025)</w:t>
            </w:r>
            <w:r w:rsidRPr="00324886">
              <w:rPr>
                <w:sz w:val="24"/>
                <w:szCs w:val="24"/>
              </w:rPr>
              <w:t>. This is a model is widely used in social work to understand how individual behaviour is shaped by interactions across multiple environmental systems (Crawford, 2020; Eriksson et al., 2018). It is particularly relevant in safeguarding, where resilience, trauma, and systemic influences must be considered holistically (Rahman, 2025; Fisher &amp; Lombardi, 2025).</w:t>
            </w:r>
          </w:p>
          <w:p w14:paraId="456B1D6A" w14:textId="77777777" w:rsidR="0077143D" w:rsidRPr="00324886" w:rsidRDefault="0077143D" w:rsidP="00324886">
            <w:pPr>
              <w:spacing w:line="360" w:lineRule="auto"/>
              <w:rPr>
                <w:sz w:val="24"/>
                <w:szCs w:val="24"/>
              </w:rPr>
            </w:pPr>
          </w:p>
          <w:p w14:paraId="539826DD" w14:textId="77777777" w:rsidR="00324886" w:rsidRDefault="00324886" w:rsidP="00324886">
            <w:pPr>
              <w:spacing w:line="360" w:lineRule="auto"/>
              <w:rPr>
                <w:sz w:val="24"/>
                <w:szCs w:val="24"/>
              </w:rPr>
            </w:pPr>
            <w:r w:rsidRPr="00324886">
              <w:rPr>
                <w:sz w:val="24"/>
                <w:szCs w:val="24"/>
              </w:rPr>
              <w:t>The chronosystem, which considers events and transitions over time, is essential in understanding the risks and needs within this family. Prior to my involvement, a S47 enquiry had been undertaken eight months earlier due to concerns that the mother was in a sexual relationship with a 15-year-old neighbour’s son. Although the assessment was closed, this history was accessible via the Local Authority’s database. Accessing this information was lawful and necessary for safeguarding purposes. While confidentiality is important, it is not absolute. Under the Caldicott Principles guidance from the National Data Guardian (2020), information can be shared when it is justified, necessary, and in the public interest (National Data Guardian, 2020). This aligns with the DPA 2018, which permits proportionate information sharing to protect children from harm (SCW 2011, NOS 1&amp;2; SCW, 2017, CoPP 5; DPA 2018, c.12).</w:t>
            </w:r>
          </w:p>
          <w:p w14:paraId="6F0C8EFD" w14:textId="77777777" w:rsidR="0077143D" w:rsidRPr="00324886" w:rsidRDefault="0077143D" w:rsidP="00324886">
            <w:pPr>
              <w:spacing w:line="360" w:lineRule="auto"/>
              <w:rPr>
                <w:sz w:val="24"/>
                <w:szCs w:val="24"/>
              </w:rPr>
            </w:pPr>
          </w:p>
          <w:p w14:paraId="0F17D5DD" w14:textId="77777777" w:rsidR="00324886" w:rsidRPr="00324886" w:rsidRDefault="00324886" w:rsidP="00324886">
            <w:pPr>
              <w:spacing w:line="360" w:lineRule="auto"/>
              <w:rPr>
                <w:sz w:val="24"/>
                <w:szCs w:val="24"/>
              </w:rPr>
            </w:pPr>
            <w:r w:rsidRPr="00324886">
              <w:rPr>
                <w:sz w:val="24"/>
                <w:szCs w:val="24"/>
              </w:rPr>
              <w:t xml:space="preserve">During my involvement, the mother disclosed a long-standing history of substance and alcohol misuse, alongside significant childhood trauma. Her own mother died by suicide 4 days after Child 1’s birth, and she was exposed to drugs and alcohol from the age of seven. She also reported that her mother gave her cocaine for her 20th birthday, suggesting intergenerational transmission of trauma and substance misuse. Understanding this history </w:t>
            </w:r>
            <w:r w:rsidRPr="00324886">
              <w:rPr>
                <w:sz w:val="24"/>
                <w:szCs w:val="24"/>
              </w:rPr>
              <w:lastRenderedPageBreak/>
              <w:t>was vital in assessing current risks and anticipating potential barriers to engagement, as past trauma often influences present behaviour and coping mechanisms (Karl, 2021).</w:t>
            </w:r>
          </w:p>
          <w:p w14:paraId="20743024" w14:textId="0D6B6F0E" w:rsidR="00324886" w:rsidRDefault="00D14556" w:rsidP="00324886">
            <w:pPr>
              <w:spacing w:line="360" w:lineRule="auto"/>
              <w:rPr>
                <w:sz w:val="24"/>
                <w:szCs w:val="24"/>
              </w:rPr>
            </w:pPr>
            <w:r w:rsidRPr="00D14556">
              <w:rPr>
                <w:sz w:val="24"/>
                <w:szCs w:val="24"/>
              </w:rPr>
              <w:t>This historical context informed my approach to assessment and intervention. It highlighted the need for trauma-informed practice, which requires practitioners to be mindful of their own emotional responses and the potential for vicarious trauma (Edelman, 2023).</w:t>
            </w:r>
            <w:r>
              <w:rPr>
                <w:sz w:val="24"/>
                <w:szCs w:val="24"/>
              </w:rPr>
              <w:t xml:space="preserve"> </w:t>
            </w:r>
            <w:r w:rsidR="00324886" w:rsidRPr="00324886">
              <w:rPr>
                <w:sz w:val="24"/>
                <w:szCs w:val="24"/>
              </w:rPr>
              <w:t>It also raised ethical tensions, particularly around balancing the mother’s right to privacy (HRA 1998, Article 8) with the duty to safeguard her children (CA 1989, Section 47; SSWA14). These tensions were navigated through transparent communication, proportionate decision-making, and reflective supervision (SCW 2011, NOS 2</w:t>
            </w:r>
            <w:r w:rsidR="000148F0">
              <w:rPr>
                <w:sz w:val="24"/>
                <w:szCs w:val="24"/>
              </w:rPr>
              <w:t>; NLCSW, 2024</w:t>
            </w:r>
            <w:r w:rsidR="00324886" w:rsidRPr="00324886">
              <w:rPr>
                <w:sz w:val="24"/>
                <w:szCs w:val="24"/>
              </w:rPr>
              <w:t>).</w:t>
            </w:r>
          </w:p>
          <w:p w14:paraId="6EADDBF1" w14:textId="77777777" w:rsidR="0077143D" w:rsidRPr="00324886" w:rsidRDefault="0077143D" w:rsidP="00324886">
            <w:pPr>
              <w:spacing w:line="360" w:lineRule="auto"/>
              <w:rPr>
                <w:sz w:val="24"/>
                <w:szCs w:val="24"/>
              </w:rPr>
            </w:pPr>
          </w:p>
          <w:p w14:paraId="2467990A" w14:textId="30BB7F50" w:rsidR="00324886" w:rsidRDefault="00324886" w:rsidP="00324886">
            <w:pPr>
              <w:spacing w:line="360" w:lineRule="auto"/>
              <w:rPr>
                <w:sz w:val="24"/>
                <w:szCs w:val="24"/>
              </w:rPr>
            </w:pPr>
            <w:r w:rsidRPr="00324886">
              <w:rPr>
                <w:sz w:val="24"/>
                <w:szCs w:val="24"/>
              </w:rPr>
              <w:t>The microsystem refers to the immediate relationships and environments that directly affect the children, such as their interactions with their mother, extended family, and early years settings. In this case, the children’s daily experiences were shaped by inconsistent caregiving due to the mother’s substance misuse and emotional dysregulation</w:t>
            </w:r>
            <w:r w:rsidR="00B11723">
              <w:rPr>
                <w:sz w:val="24"/>
                <w:szCs w:val="24"/>
              </w:rPr>
              <w:t xml:space="preserve"> </w:t>
            </w:r>
            <w:r w:rsidR="00D32559">
              <w:rPr>
                <w:sz w:val="24"/>
                <w:szCs w:val="24"/>
              </w:rPr>
              <w:t>(Welsh Government, 2024)</w:t>
            </w:r>
            <w:r w:rsidRPr="00324886">
              <w:rPr>
                <w:sz w:val="24"/>
                <w:szCs w:val="24"/>
              </w:rPr>
              <w:t>. Observations during home visits revealed fluctuating routines, exposure to unsafe adults, and limited parental attunement. These factors raised concerns about attachment and emotional development, particularly for Child 2, who was non-verbal and relied heavily on environmental cues. The SSWWA 2014 places emphasis on promoting well-being through stable, nurturing relationships, which guided the decision to implement structured parenting support and regular statutory visits.</w:t>
            </w:r>
          </w:p>
          <w:p w14:paraId="69298058" w14:textId="77777777" w:rsidR="0077143D" w:rsidRPr="00324886" w:rsidRDefault="0077143D" w:rsidP="00324886">
            <w:pPr>
              <w:spacing w:line="360" w:lineRule="auto"/>
              <w:rPr>
                <w:sz w:val="24"/>
                <w:szCs w:val="24"/>
              </w:rPr>
            </w:pPr>
          </w:p>
          <w:p w14:paraId="3566E4CF" w14:textId="77777777" w:rsidR="00324886" w:rsidRDefault="00324886" w:rsidP="00324886">
            <w:pPr>
              <w:spacing w:line="360" w:lineRule="auto"/>
              <w:rPr>
                <w:sz w:val="24"/>
                <w:szCs w:val="24"/>
              </w:rPr>
            </w:pPr>
            <w:r w:rsidRPr="00324886">
              <w:rPr>
                <w:sz w:val="24"/>
                <w:szCs w:val="24"/>
              </w:rPr>
              <w:t>The mesosystem incorporates the connections between different microsystems, such as the relationship between the mother and professionals, or between professionals. In this case, multi-agency working was essential. The health visitor, nursery staff, substance misuse worker, and parenting support team all contributed to the assessment and planning. However, tensions arose when professionals disagreed on the pacing of the intervention. Some feared relapse, while others advocated for empowering the mother. These differences were managed through structured core group meetings and supervision, ensuring that decisions remained child-focused and evidence-informed. This aligns with learning outcome 3 and with the WSP (2019), which emphasise collaborative working and shared responsibility in safeguarding. (SCW 2011, NOS 2).</w:t>
            </w:r>
          </w:p>
          <w:p w14:paraId="07852AEF" w14:textId="77777777" w:rsidR="0077143D" w:rsidRPr="00324886" w:rsidRDefault="0077143D" w:rsidP="00324886">
            <w:pPr>
              <w:spacing w:line="360" w:lineRule="auto"/>
              <w:rPr>
                <w:sz w:val="24"/>
                <w:szCs w:val="24"/>
              </w:rPr>
            </w:pPr>
          </w:p>
          <w:p w14:paraId="47649A50" w14:textId="77777777" w:rsidR="00324886" w:rsidRDefault="00324886" w:rsidP="00324886">
            <w:pPr>
              <w:spacing w:line="360" w:lineRule="auto"/>
              <w:rPr>
                <w:sz w:val="24"/>
                <w:szCs w:val="24"/>
              </w:rPr>
            </w:pPr>
            <w:r w:rsidRPr="00324886">
              <w:rPr>
                <w:sz w:val="24"/>
                <w:szCs w:val="24"/>
              </w:rPr>
              <w:t xml:space="preserve">The exosystem includes external systems that indirectly influence the family, such as service availability, local authority policies, and community resources. Working in a semi-rural area presented challenges: limited access to specialist mental health services delayed the mother’s psychiatric assessment, despite clear indicators of ADHD and diagnoses of anxiety, emotional unstable personality disorder and complex PTSD. These systemic barriers impacted the timeliness of support and required practitioner advocacy to expedite referrals. The SSWA14 mandates proportionate and preventative responses, but in practice, service gaps can hinder the implementation. This highlighted the need for system-level improvements and reinforced the importance of professional judgement in navigating delays while maintaining child safety (Felitti et al., 1998). In Wales, cultural sensitivity also involves recognising how rural isolation, social stigma surrounding mental health, and the reliance on community-based support networks can shape individuals’ access to services and engagement with professionals (Felitti et al., 1998; SCW 2011, NOS 2). </w:t>
            </w:r>
          </w:p>
          <w:p w14:paraId="3C678F14" w14:textId="77777777" w:rsidR="0077143D" w:rsidRPr="00324886" w:rsidRDefault="0077143D" w:rsidP="00324886">
            <w:pPr>
              <w:spacing w:line="360" w:lineRule="auto"/>
              <w:rPr>
                <w:sz w:val="24"/>
                <w:szCs w:val="24"/>
              </w:rPr>
            </w:pPr>
          </w:p>
          <w:p w14:paraId="7980C2FB" w14:textId="55B46B4C" w:rsidR="00324886" w:rsidRDefault="00324886" w:rsidP="00324886">
            <w:pPr>
              <w:spacing w:line="360" w:lineRule="auto"/>
              <w:rPr>
                <w:sz w:val="24"/>
                <w:szCs w:val="24"/>
              </w:rPr>
            </w:pPr>
            <w:r w:rsidRPr="00324886">
              <w:rPr>
                <w:sz w:val="24"/>
                <w:szCs w:val="24"/>
              </w:rPr>
              <w:t>The macrosystem refers to broader cultural, societal, geographical, and policy influences. In this case, stigma around substance misuse and mental health shaped both professional perceptions and the mother’s engagement. The mother’s openness challenged initial assumptions and required a shift in professional stance, from risk-averse to relational and strengths-based. The UNCRC and HRA 1998 provided a rights-based framework, ensuring that the mother’s dignity and the children’s voices were respected throughout. The mother is white Welsh and fluent in English. Welsh policy, including the Active offer which is underpinned by the Welsh Language (Wales) Measure 2011, shapes practice in Wales by ensuing language preferences and identities are upheld. The More Than Just Words framework (Welsh Government, 2012) requires that Welsh language services are also proactively offered, not just provided on request. These macro-level influences highlighted the importance of culturally sensitive, trauma-informed approaches in safeguarding</w:t>
            </w:r>
            <w:r w:rsidR="00B305EC">
              <w:rPr>
                <w:sz w:val="24"/>
                <w:szCs w:val="24"/>
              </w:rPr>
              <w:t xml:space="preserve">, </w:t>
            </w:r>
            <w:r w:rsidR="00B305EC" w:rsidRPr="00B305EC">
              <w:rPr>
                <w:sz w:val="24"/>
                <w:szCs w:val="24"/>
              </w:rPr>
              <w:t>as supported by recent UK-based research on the implementation and challenges of trauma-informed care (Scheuner and Mark, 2025</w:t>
            </w:r>
            <w:r w:rsidR="00B305EC">
              <w:rPr>
                <w:sz w:val="24"/>
                <w:szCs w:val="24"/>
              </w:rPr>
              <w:t>)</w:t>
            </w:r>
            <w:r w:rsidRPr="00324886">
              <w:rPr>
                <w:sz w:val="24"/>
                <w:szCs w:val="24"/>
              </w:rPr>
              <w:t>.</w:t>
            </w:r>
          </w:p>
          <w:p w14:paraId="60D4A01A" w14:textId="77777777" w:rsidR="00B305EC" w:rsidRPr="00324886" w:rsidRDefault="00B305EC" w:rsidP="00324886">
            <w:pPr>
              <w:spacing w:line="360" w:lineRule="auto"/>
              <w:rPr>
                <w:sz w:val="24"/>
                <w:szCs w:val="24"/>
              </w:rPr>
            </w:pPr>
          </w:p>
          <w:p w14:paraId="5BC501CE" w14:textId="1A6BC615" w:rsidR="00324886" w:rsidRDefault="00324886" w:rsidP="00324886">
            <w:pPr>
              <w:spacing w:line="360" w:lineRule="auto"/>
              <w:rPr>
                <w:sz w:val="24"/>
                <w:szCs w:val="24"/>
              </w:rPr>
            </w:pPr>
            <w:r w:rsidRPr="00324886">
              <w:rPr>
                <w:sz w:val="24"/>
                <w:szCs w:val="24"/>
              </w:rPr>
              <w:lastRenderedPageBreak/>
              <w:t>Practising in Wales, I am mindful of both the strengths and challenges within Welsh communities. In semi-rural areas, like the area that this family live in, families often rely on close-knit networks that can foster resilience but may also contribute to stigma around mental health and limit access to specialist services (Crumb et al., 2019). These contextual factors influenced my approach, where I applied anti-discriminatory and anti-oppressive practice to ensure the mother felt respected and supported in her engagement with services (SCW, 2025</w:t>
            </w:r>
            <w:r w:rsidR="008C29B0">
              <w:rPr>
                <w:sz w:val="24"/>
                <w:szCs w:val="24"/>
              </w:rPr>
              <w:t>b</w:t>
            </w:r>
            <w:r w:rsidRPr="00324886">
              <w:rPr>
                <w:sz w:val="24"/>
                <w:szCs w:val="24"/>
              </w:rPr>
              <w:t>). The SSWWA 2014 emphasises co-production and the importance of recognising individuals as experts in their own lives. In line with this, I actively involved the mother in decisions about her and her children’s care, ensuring her voice shaped the planning process (SCW, CoPP 4.1, 2017; Andrews et al., 2023).</w:t>
            </w:r>
          </w:p>
          <w:p w14:paraId="5A0B1A96" w14:textId="77777777" w:rsidR="0077143D" w:rsidRPr="00324886" w:rsidRDefault="0077143D" w:rsidP="00324886">
            <w:pPr>
              <w:spacing w:line="360" w:lineRule="auto"/>
              <w:rPr>
                <w:sz w:val="24"/>
                <w:szCs w:val="24"/>
              </w:rPr>
            </w:pPr>
          </w:p>
          <w:p w14:paraId="2FE327F5" w14:textId="77777777" w:rsidR="00324886" w:rsidRDefault="00324886" w:rsidP="00324886">
            <w:pPr>
              <w:spacing w:line="360" w:lineRule="auto"/>
              <w:rPr>
                <w:sz w:val="24"/>
                <w:szCs w:val="24"/>
              </w:rPr>
            </w:pPr>
            <w:r w:rsidRPr="00324886">
              <w:rPr>
                <w:sz w:val="24"/>
                <w:szCs w:val="24"/>
              </w:rPr>
              <w:t>Practice in Wales, as mentioned is governed by the SSWWA 2014 (Welsh Government, 2014), which places well-being and a child-centred approach at the core of assessment and care planning. This upholds that children are paramount, as outlined in the CA 1989. SSWA14 mandates proportionate, preventative responses and sets statutory timescales for assessment activity. During Section 47 enquiries, the WSP 2019 guide multi-agency thresholds, information sharing, and the conduct of strategy discussions and CP conferences (Welsh Government, 2019). These procedures operate alongside UK-wide legislation such as the CA 1989, which provides the legal basis for S47 investigations into significant harm (HM Government, 1989), and Working Together to Safeguard Children, which outlines inter-agency responsibilities in England but also informs practice across the UK (SCW 2011, NOS 1&amp;2; Department for Education, 2023).</w:t>
            </w:r>
          </w:p>
          <w:p w14:paraId="0324DBF7" w14:textId="77777777" w:rsidR="0077143D" w:rsidRPr="00324886" w:rsidRDefault="0077143D" w:rsidP="00324886">
            <w:pPr>
              <w:spacing w:line="360" w:lineRule="auto"/>
              <w:rPr>
                <w:sz w:val="24"/>
                <w:szCs w:val="24"/>
              </w:rPr>
            </w:pPr>
          </w:p>
          <w:p w14:paraId="6F7A3619" w14:textId="05BFCACD" w:rsidR="0077143D" w:rsidRPr="00324886" w:rsidRDefault="00324886" w:rsidP="00324886">
            <w:pPr>
              <w:spacing w:line="360" w:lineRule="auto"/>
              <w:rPr>
                <w:sz w:val="24"/>
                <w:szCs w:val="24"/>
              </w:rPr>
            </w:pPr>
            <w:r w:rsidRPr="00324886">
              <w:rPr>
                <w:sz w:val="24"/>
                <w:szCs w:val="24"/>
              </w:rPr>
              <w:t xml:space="preserve">In Wales, practitioners must also engage with regional safeguarding boards, which set local priorities and learning frameworks. SSWA14 places statutory duties on Welsh local authorities to assess need and promote well-being, with specific obligations to collaborate with health, education, and third-sector providers. </w:t>
            </w:r>
            <w:r w:rsidR="008E2C8C" w:rsidRPr="008E2C8C">
              <w:rPr>
                <w:sz w:val="24"/>
                <w:szCs w:val="24"/>
              </w:rPr>
              <w:t>This differs from England, where safeguarding is governed by the Children Act 1989, Children Act 2004, and Children and Social Work Act 2017, with notable differences in child protection frameworks between England and Wales (Skerratt-Williams, 2020).</w:t>
            </w:r>
          </w:p>
          <w:p w14:paraId="3E513807" w14:textId="1ACE58B0" w:rsidR="00324886" w:rsidRDefault="00726BA7" w:rsidP="00324886">
            <w:pPr>
              <w:spacing w:line="360" w:lineRule="auto"/>
              <w:rPr>
                <w:sz w:val="24"/>
                <w:szCs w:val="24"/>
              </w:rPr>
            </w:pPr>
            <w:r w:rsidRPr="00726BA7">
              <w:rPr>
                <w:sz w:val="24"/>
                <w:szCs w:val="24"/>
              </w:rPr>
              <w:lastRenderedPageBreak/>
              <w:t>Internationally, Wales is required to implement obligations under the United Nations Convention on the Rights of the Child (UNCRC)</w:t>
            </w:r>
            <w:r>
              <w:rPr>
                <w:sz w:val="24"/>
                <w:szCs w:val="24"/>
              </w:rPr>
              <w:t xml:space="preserve"> 1989</w:t>
            </w:r>
            <w:r w:rsidRPr="00726BA7">
              <w:rPr>
                <w:sz w:val="24"/>
                <w:szCs w:val="24"/>
              </w:rPr>
              <w:t>, reflecting the global nature of social work and the need for practitioners to engage with international frameworks and critical perspectives (Healy and Thomas, 2021)</w:t>
            </w:r>
            <w:r>
              <w:rPr>
                <w:sz w:val="24"/>
                <w:szCs w:val="24"/>
              </w:rPr>
              <w:t xml:space="preserve">. </w:t>
            </w:r>
            <w:r w:rsidR="00324886" w:rsidRPr="00324886">
              <w:rPr>
                <w:sz w:val="24"/>
                <w:szCs w:val="24"/>
              </w:rPr>
              <w:t>Additionally, EU frameworks such as the EU Charter of Fundamental Rights, Article 24, continue to influence safeguarding culture post-Brexit, particularly in areas like data protection, cross-border cooperation, and child participation (European Union, 2012).</w:t>
            </w:r>
          </w:p>
          <w:p w14:paraId="5A998387" w14:textId="77777777" w:rsidR="004B5DD3" w:rsidRPr="00324886" w:rsidRDefault="004B5DD3" w:rsidP="00324886">
            <w:pPr>
              <w:spacing w:line="360" w:lineRule="auto"/>
              <w:rPr>
                <w:sz w:val="24"/>
                <w:szCs w:val="24"/>
              </w:rPr>
            </w:pPr>
          </w:p>
          <w:p w14:paraId="4CDF4174" w14:textId="77777777" w:rsidR="00324886" w:rsidRDefault="00324886" w:rsidP="00324886">
            <w:pPr>
              <w:spacing w:line="360" w:lineRule="auto"/>
              <w:rPr>
                <w:sz w:val="24"/>
                <w:szCs w:val="24"/>
              </w:rPr>
            </w:pPr>
            <w:r w:rsidRPr="00324886">
              <w:rPr>
                <w:sz w:val="24"/>
                <w:szCs w:val="24"/>
              </w:rPr>
              <w:t>This interface between Welsh, UK, and EU frameworks creates a layered safeguarding landscape. While it promotes comprehensive protection, it also introduces tensions, such as balancing the child’s right to be heard (UNCRC, Article 12) with the need for immediate protective action under S47. Practitioners must navigate these complexities with legal literacy, ethical sensitivity, and reflective supervision (Masten, 2006).</w:t>
            </w:r>
          </w:p>
          <w:p w14:paraId="76AFF2D2" w14:textId="77777777" w:rsidR="0077143D" w:rsidRPr="00324886" w:rsidRDefault="0077143D" w:rsidP="00324886">
            <w:pPr>
              <w:spacing w:line="360" w:lineRule="auto"/>
              <w:rPr>
                <w:sz w:val="24"/>
                <w:szCs w:val="24"/>
              </w:rPr>
            </w:pPr>
          </w:p>
          <w:p w14:paraId="6D038BB1" w14:textId="77777777" w:rsidR="00981C9F" w:rsidRDefault="00324886" w:rsidP="00324886">
            <w:pPr>
              <w:spacing w:line="360" w:lineRule="auto"/>
              <w:rPr>
                <w:sz w:val="24"/>
                <w:szCs w:val="24"/>
              </w:rPr>
            </w:pPr>
            <w:r w:rsidRPr="00324886">
              <w:rPr>
                <w:sz w:val="24"/>
                <w:szCs w:val="24"/>
              </w:rPr>
              <w:t xml:space="preserve">Following the S47 assessment, I developed a Care and Support Plan that reflected the children’s wishes and the safeguarding context. The mother was offered a range of services, including substance misuse intervention, parenting support, paid childcare to be able to engage in these support services, which she actively engaged with throughout, showing commitment to change (Turnell &amp; Edwards, 2019). Detailed recordings of decisions, risk indicators and the rational for threshold decisions was essential to meet scrutiny in the event of escalation to Legal Gateway or Public Law Outline (Turnell &amp; Edwards, 2019). The priority of timely documentation, and proportionate information sharing complied with the SSWWA 2014 and CA 1989, whilst supporting transparent decision-making. </w:t>
            </w:r>
          </w:p>
          <w:p w14:paraId="3CA52734" w14:textId="77777777" w:rsidR="00981C9F" w:rsidRDefault="00981C9F" w:rsidP="00324886">
            <w:pPr>
              <w:spacing w:line="360" w:lineRule="auto"/>
              <w:rPr>
                <w:sz w:val="24"/>
                <w:szCs w:val="24"/>
              </w:rPr>
            </w:pPr>
          </w:p>
          <w:p w14:paraId="24BF3E65" w14:textId="77777777" w:rsidR="00981C9F" w:rsidRDefault="00324886" w:rsidP="00324886">
            <w:pPr>
              <w:spacing w:line="360" w:lineRule="auto"/>
              <w:rPr>
                <w:sz w:val="24"/>
                <w:szCs w:val="24"/>
              </w:rPr>
            </w:pPr>
            <w:r w:rsidRPr="00324886">
              <w:rPr>
                <w:sz w:val="24"/>
                <w:szCs w:val="24"/>
              </w:rPr>
              <w:t xml:space="preserve">The first review child protection conference (RCPC) was held at three months, followed by an extended period of registration unanimously decided by professionals, meaning that the second RCPC was held six months later. The RCPCs examined progress and considered whether the risks remained or had reduced significantly to step the children down. Following the nine-month CP registration, professionals felt that sufficient change had been made meaning the children were no longer suffering or likely to suffer significant harm, resulting in de-registration. </w:t>
            </w:r>
          </w:p>
          <w:p w14:paraId="6551733A" w14:textId="77777777" w:rsidR="00981C9F" w:rsidRDefault="00981C9F" w:rsidP="00324886">
            <w:pPr>
              <w:spacing w:line="360" w:lineRule="auto"/>
              <w:rPr>
                <w:sz w:val="24"/>
                <w:szCs w:val="24"/>
              </w:rPr>
            </w:pPr>
          </w:p>
          <w:p w14:paraId="243E9C71" w14:textId="77777777" w:rsidR="00981C9F" w:rsidRDefault="00324886" w:rsidP="00324886">
            <w:pPr>
              <w:spacing w:line="360" w:lineRule="auto"/>
              <w:rPr>
                <w:sz w:val="24"/>
                <w:szCs w:val="24"/>
              </w:rPr>
            </w:pPr>
            <w:r w:rsidRPr="00324886">
              <w:rPr>
                <w:sz w:val="24"/>
                <w:szCs w:val="24"/>
              </w:rPr>
              <w:t xml:space="preserve">Over the nine months, the mother made significant progress. She achieved sobriety, distanced herself from unsafe individuals, established consistent routines for the children, and attended parenting sessions to improve boundaries and home conditions. The children’s school and nursery attendance stabilised, and developmental monitoring showed positive trends. The evidence presented included clean toxicology results, reliable appointment attendance, improved home hygiene and safety, structured daily routines, and corroborating reports from health visitors and nursery staff. Ongoing risks include the potential for relapse and the mother’s unresolved mental health needs, particularly pending psychiatric assessment. To mitigate these risks, continued multi-agency monitoring, access to substance misuse aftercare, and contingency planning for emergency care arrangements were embedded in the Child in Need (CIN) plan. </w:t>
            </w:r>
          </w:p>
          <w:p w14:paraId="715E9F02" w14:textId="77777777" w:rsidR="00981C9F" w:rsidRDefault="00981C9F" w:rsidP="00324886">
            <w:pPr>
              <w:spacing w:line="360" w:lineRule="auto"/>
              <w:rPr>
                <w:sz w:val="24"/>
                <w:szCs w:val="24"/>
              </w:rPr>
            </w:pPr>
          </w:p>
          <w:p w14:paraId="2BDEE1F9" w14:textId="0D764FC1" w:rsidR="00324886" w:rsidRDefault="00324886" w:rsidP="00324886">
            <w:pPr>
              <w:spacing w:line="360" w:lineRule="auto"/>
              <w:rPr>
                <w:sz w:val="24"/>
                <w:szCs w:val="24"/>
              </w:rPr>
            </w:pPr>
            <w:r w:rsidRPr="00324886">
              <w:rPr>
                <w:sz w:val="24"/>
                <w:szCs w:val="24"/>
              </w:rPr>
              <w:t>The CIN plan included explicit responsibilities, named workers, crisis contacts and review dates, ensuring the family knew how to access support if difficulties re-emerged, in line with S17 of the C</w:t>
            </w:r>
            <w:r w:rsidR="00A34AE6">
              <w:rPr>
                <w:sz w:val="24"/>
                <w:szCs w:val="24"/>
              </w:rPr>
              <w:t>A</w:t>
            </w:r>
            <w:r w:rsidRPr="00324886">
              <w:rPr>
                <w:sz w:val="24"/>
                <w:szCs w:val="24"/>
              </w:rPr>
              <w:t xml:space="preserve"> 1989. Given ongoing mental health needs, advocacy for expedited psychiatric assessment remained a priority and the local authority continued to chase referral pathways to reduce waiting times. To ensure the plan was proportionate and met statutory thresholds throughout, I also utilised supervision as a reflective space to critically evaluate my decision-making</w:t>
            </w:r>
            <w:r w:rsidR="006F63D3">
              <w:rPr>
                <w:sz w:val="24"/>
                <w:szCs w:val="24"/>
              </w:rPr>
              <w:t xml:space="preserve"> </w:t>
            </w:r>
            <w:r w:rsidR="006F63D3" w:rsidRPr="006F63D3">
              <w:rPr>
                <w:sz w:val="24"/>
                <w:szCs w:val="24"/>
              </w:rPr>
              <w:t>in navigating complex safeguarding scenarios (Gleister, 2008)</w:t>
            </w:r>
            <w:r w:rsidRPr="00324886">
              <w:rPr>
                <w:sz w:val="24"/>
                <w:szCs w:val="24"/>
              </w:rPr>
              <w:t>. This supported my professional accountability and allowed me to consider ethical dilemmas and the impact of my practice (SCW 2011, NOS 1&amp;2; SCW, 2017, CoPP 6).</w:t>
            </w:r>
          </w:p>
          <w:p w14:paraId="68E81480" w14:textId="77777777" w:rsidR="00981C9F" w:rsidRPr="00324886" w:rsidRDefault="00981C9F" w:rsidP="00324886">
            <w:pPr>
              <w:spacing w:line="360" w:lineRule="auto"/>
              <w:rPr>
                <w:sz w:val="24"/>
                <w:szCs w:val="24"/>
              </w:rPr>
            </w:pPr>
          </w:p>
          <w:p w14:paraId="34DAEC89" w14:textId="77777777" w:rsidR="00981C9F" w:rsidRDefault="00324886" w:rsidP="00324886">
            <w:pPr>
              <w:spacing w:line="360" w:lineRule="auto"/>
              <w:rPr>
                <w:sz w:val="24"/>
                <w:szCs w:val="24"/>
              </w:rPr>
            </w:pPr>
            <w:r w:rsidRPr="00324886">
              <w:rPr>
                <w:sz w:val="24"/>
                <w:szCs w:val="24"/>
              </w:rPr>
              <w:t xml:space="preserve">Ethical dilemmas were recurrent during the case as balancing the mother’s right to respect for family life under Article 8 of the HRA 1998 with the duty to protect children required careful proportionality (Kottler, 2025). Temporary placement of the children with family members was used as a least restrictive, safety-focused intervention to allow the mother to engage with services without the immediate burden of providing full-time care, alongside ensuring the children’s safety were also prioritised (Chiu and Wang, 2024). This raised ethical tensions about separation and the potential for stigma or harm from being placed outside the parental home (Humphreys, 2018). I addressed these dilemmas through </w:t>
            </w:r>
            <w:r w:rsidRPr="00324886">
              <w:rPr>
                <w:sz w:val="24"/>
                <w:szCs w:val="24"/>
              </w:rPr>
              <w:lastRenderedPageBreak/>
              <w:t xml:space="preserve">transparent communication with the mother, ensuring she understood the rationale for actions and the goals for reunification, and by documenting decision-making and rationale in supervision to maintain accountability (SCW, 2017, CoPP 6). </w:t>
            </w:r>
          </w:p>
          <w:p w14:paraId="1E9E9D49" w14:textId="77777777" w:rsidR="00981C9F" w:rsidRDefault="00981C9F" w:rsidP="00324886">
            <w:pPr>
              <w:spacing w:line="360" w:lineRule="auto"/>
              <w:rPr>
                <w:sz w:val="24"/>
                <w:szCs w:val="24"/>
              </w:rPr>
            </w:pPr>
          </w:p>
          <w:p w14:paraId="3FDFFC9B" w14:textId="77777777" w:rsidR="00981C9F" w:rsidRDefault="00981C9F" w:rsidP="00324886">
            <w:pPr>
              <w:spacing w:line="360" w:lineRule="auto"/>
              <w:rPr>
                <w:sz w:val="24"/>
                <w:szCs w:val="24"/>
              </w:rPr>
            </w:pPr>
            <w:r>
              <w:rPr>
                <w:sz w:val="24"/>
                <w:szCs w:val="24"/>
              </w:rPr>
              <w:t>T</w:t>
            </w:r>
            <w:r w:rsidR="00324886" w:rsidRPr="00324886">
              <w:rPr>
                <w:sz w:val="24"/>
                <w:szCs w:val="24"/>
              </w:rPr>
              <w:t>he mother’s honesty did not reduce the need for safeguarding</w:t>
            </w:r>
            <w:r>
              <w:rPr>
                <w:sz w:val="24"/>
                <w:szCs w:val="24"/>
              </w:rPr>
              <w:t xml:space="preserve">, instead </w:t>
            </w:r>
            <w:r w:rsidR="00324886" w:rsidRPr="00324886">
              <w:rPr>
                <w:sz w:val="24"/>
                <w:szCs w:val="24"/>
              </w:rPr>
              <w:t xml:space="preserve">it aided assessment, but the children’s needs remained paramount under the CA 1989 and required independent corroboration of safety through home visits and multi-agency information. Balancing Article 8 HRA 1989 considerations required demonstrating that any interference with family life was lawful, necessary and proportionate. I documented the least intrusive options considered, why temporary kinship arrangements were preferable to full care proceedings at early stages, and how reunification would be supported by clear criteria. Where risk remained, the option of initiating PLO and court proceedings was kept under review; seeking legal advice through the local authority legal gateway ensured that any move towards court met the threshold set out in Section 31 of the CA89 and was procedurally robust. </w:t>
            </w:r>
          </w:p>
          <w:p w14:paraId="5A1D02D4" w14:textId="77777777" w:rsidR="00981C9F" w:rsidRDefault="00981C9F" w:rsidP="00324886">
            <w:pPr>
              <w:spacing w:line="360" w:lineRule="auto"/>
              <w:rPr>
                <w:sz w:val="24"/>
                <w:szCs w:val="24"/>
              </w:rPr>
            </w:pPr>
          </w:p>
          <w:p w14:paraId="208FD757" w14:textId="0EEAA087" w:rsidR="00324886" w:rsidRDefault="00324886" w:rsidP="00324886">
            <w:pPr>
              <w:spacing w:line="360" w:lineRule="auto"/>
              <w:rPr>
                <w:sz w:val="24"/>
                <w:szCs w:val="24"/>
              </w:rPr>
            </w:pPr>
            <w:r w:rsidRPr="00324886">
              <w:rPr>
                <w:sz w:val="24"/>
                <w:szCs w:val="24"/>
              </w:rPr>
              <w:t xml:space="preserve">A further ethical tension concerned confidentiality and the need to share sensitive information with professionals, including third sector partners. I navigated these challenges by applying the Caldicott Principles and seeking consent where possible while documenting rationales for proportionate disclosure when consent was not given. Ethical practice required constant reflection on how power dynamics and stigma could influence both professional judgments and the mother’s willingness to engage (SCW 2011, NOS 2; SCW, 2017, CoPP 5; Kottler, 2025). </w:t>
            </w:r>
          </w:p>
          <w:p w14:paraId="45AF9D5B" w14:textId="77777777" w:rsidR="00981C9F" w:rsidRPr="00324886" w:rsidRDefault="00981C9F" w:rsidP="00324886">
            <w:pPr>
              <w:spacing w:line="360" w:lineRule="auto"/>
              <w:rPr>
                <w:sz w:val="24"/>
                <w:szCs w:val="24"/>
              </w:rPr>
            </w:pPr>
          </w:p>
          <w:p w14:paraId="64016EB7" w14:textId="43B09983" w:rsidR="00981C9F" w:rsidRPr="00C54D64" w:rsidRDefault="00324886" w:rsidP="00324886">
            <w:pPr>
              <w:spacing w:after="160" w:line="360" w:lineRule="auto"/>
              <w:rPr>
                <w:sz w:val="24"/>
                <w:szCs w:val="24"/>
              </w:rPr>
            </w:pPr>
            <w:r w:rsidRPr="00C54D64">
              <w:rPr>
                <w:sz w:val="24"/>
                <w:szCs w:val="24"/>
              </w:rPr>
              <w:t>The risk assessment revealed a complex array of concerns requiring careful ethical consideration. These included chronic alcohol and substance misuse, unresolved early trauma and bereavement, severe anxiety and complex PTSD, emotionally unstable personality disorder, and suspected ADHD</w:t>
            </w:r>
            <w:r w:rsidRPr="00324886">
              <w:rPr>
                <w:sz w:val="24"/>
                <w:szCs w:val="24"/>
              </w:rPr>
              <w:t>.</w:t>
            </w:r>
            <w:r w:rsidRPr="00C54D64">
              <w:rPr>
                <w:sz w:val="24"/>
                <w:szCs w:val="24"/>
              </w:rPr>
              <w:t xml:space="preserve"> Environmental risks were also present, such as inadequate supervision</w:t>
            </w:r>
            <w:r w:rsidRPr="00324886">
              <w:rPr>
                <w:sz w:val="24"/>
                <w:szCs w:val="24"/>
              </w:rPr>
              <w:t xml:space="preserve"> of the children</w:t>
            </w:r>
            <w:r w:rsidRPr="00C54D64">
              <w:rPr>
                <w:sz w:val="24"/>
                <w:szCs w:val="24"/>
              </w:rPr>
              <w:t>, exposure to unsafe adults and parties, and a lack of daily routines.</w:t>
            </w:r>
          </w:p>
          <w:p w14:paraId="71B228D5" w14:textId="296D4E53" w:rsidR="00324886" w:rsidRPr="00C54D64" w:rsidRDefault="00324886" w:rsidP="00324886">
            <w:pPr>
              <w:spacing w:after="160" w:line="360" w:lineRule="auto"/>
              <w:rPr>
                <w:sz w:val="24"/>
                <w:szCs w:val="24"/>
              </w:rPr>
            </w:pPr>
            <w:r w:rsidRPr="00C54D64">
              <w:rPr>
                <w:sz w:val="24"/>
                <w:szCs w:val="24"/>
              </w:rPr>
              <w:lastRenderedPageBreak/>
              <w:t>In</w:t>
            </w:r>
            <w:r w:rsidRPr="00324886">
              <w:rPr>
                <w:sz w:val="24"/>
                <w:szCs w:val="24"/>
              </w:rPr>
              <w:t xml:space="preserve"> line with the SSWWA 2014, </w:t>
            </w:r>
            <w:r w:rsidRPr="00C54D64">
              <w:rPr>
                <w:sz w:val="24"/>
                <w:szCs w:val="24"/>
              </w:rPr>
              <w:t>which places a duty on practitioners to assess and promote the well-being of children and families (</w:t>
            </w:r>
            <w:r w:rsidRPr="00324886">
              <w:rPr>
                <w:sz w:val="24"/>
                <w:szCs w:val="24"/>
              </w:rPr>
              <w:t>SCW</w:t>
            </w:r>
            <w:r w:rsidRPr="00C54D64">
              <w:rPr>
                <w:sz w:val="24"/>
                <w:szCs w:val="24"/>
              </w:rPr>
              <w:t>, 2014), I conducted both announced and unannounced home visits. These visits were essential for evaluating the mother’s presentation, the children’s emotional and physical well-being, and the overall home environment. This practice is supported by the Working Together to Safeguard People: Code of Safeguarding Practice (Welsh Government, 202</w:t>
            </w:r>
            <w:r w:rsidR="0089402F">
              <w:rPr>
                <w:sz w:val="24"/>
                <w:szCs w:val="24"/>
              </w:rPr>
              <w:t>0</w:t>
            </w:r>
            <w:r w:rsidRPr="00C54D64">
              <w:rPr>
                <w:sz w:val="24"/>
                <w:szCs w:val="24"/>
              </w:rPr>
              <w:t>), which emphasises the importance of direct observation and timely intervention, and th</w:t>
            </w:r>
            <w:r w:rsidRPr="00324886">
              <w:rPr>
                <w:sz w:val="24"/>
                <w:szCs w:val="24"/>
              </w:rPr>
              <w:t>e WSP 2019</w:t>
            </w:r>
            <w:r w:rsidRPr="00C54D64">
              <w:rPr>
                <w:sz w:val="24"/>
                <w:szCs w:val="24"/>
              </w:rPr>
              <w:t>, which outline the need for proactive monitoring in safeguarding contexts.</w:t>
            </w:r>
            <w:r w:rsidRPr="00324886">
              <w:rPr>
                <w:sz w:val="24"/>
                <w:szCs w:val="24"/>
              </w:rPr>
              <w:t xml:space="preserve"> Unannounced visits allowed for a more authentic understanding of the family’s day-to-day functioning and were conducted in line with the Statutory Guidance for Fostering Services under the Regulation and Inspection of Social Care (Wales) Act 2016</w:t>
            </w:r>
            <w:r w:rsidR="00CC5B27">
              <w:rPr>
                <w:sz w:val="24"/>
                <w:szCs w:val="24"/>
              </w:rPr>
              <w:t xml:space="preserve"> (Welsh Government, 2019c)</w:t>
            </w:r>
            <w:r w:rsidRPr="00324886">
              <w:rPr>
                <w:sz w:val="24"/>
                <w:szCs w:val="24"/>
              </w:rPr>
              <w:t xml:space="preserve">, which requires providers and responsible individuals to maintain effective oversight of care environments. These visits also align with the CoPP (SCW, 2017), which requires social workers to promote well-being, act with integrity, and be accountable for the quality of their work. </w:t>
            </w:r>
            <w:r w:rsidRPr="00C54D64">
              <w:rPr>
                <w:sz w:val="24"/>
                <w:szCs w:val="24"/>
              </w:rPr>
              <w:t>Despite the risks, protective factors were identified</w:t>
            </w:r>
            <w:r w:rsidRPr="00324886">
              <w:rPr>
                <w:sz w:val="24"/>
                <w:szCs w:val="24"/>
              </w:rPr>
              <w:t>, including t</w:t>
            </w:r>
            <w:r w:rsidRPr="00C54D64">
              <w:rPr>
                <w:sz w:val="24"/>
                <w:szCs w:val="24"/>
              </w:rPr>
              <w:t xml:space="preserve">he mother’s openness and willingness to engage with professionals, the availability of extended family for short-term caregiving, and access to parenting and substance misuse services with relatively short waiting times. However, the semi-rural location posed challenges in accessing specialist mental health </w:t>
            </w:r>
            <w:r w:rsidRPr="00324886">
              <w:rPr>
                <w:sz w:val="24"/>
                <w:szCs w:val="24"/>
              </w:rPr>
              <w:t>support and</w:t>
            </w:r>
            <w:r w:rsidRPr="00C54D64">
              <w:rPr>
                <w:sz w:val="24"/>
                <w:szCs w:val="24"/>
              </w:rPr>
              <w:t xml:space="preserve"> attempts to fast-track psychiatric assessment were delayed due to systemic issues, resulting in the mother being deprioritised despite the urgency of her needs</w:t>
            </w:r>
            <w:r w:rsidRPr="00324886">
              <w:rPr>
                <w:sz w:val="24"/>
                <w:szCs w:val="24"/>
              </w:rPr>
              <w:t xml:space="preserve"> (Cyr et al., 2019)</w:t>
            </w:r>
            <w:r w:rsidRPr="00C54D64">
              <w:rPr>
                <w:sz w:val="24"/>
                <w:szCs w:val="24"/>
              </w:rPr>
              <w:t>.</w:t>
            </w:r>
          </w:p>
          <w:p w14:paraId="5AD564E5" w14:textId="77777777" w:rsidR="00324886" w:rsidRPr="00C54D64" w:rsidRDefault="00324886" w:rsidP="00324886">
            <w:pPr>
              <w:spacing w:after="160" w:line="360" w:lineRule="auto"/>
              <w:rPr>
                <w:sz w:val="24"/>
                <w:szCs w:val="24"/>
              </w:rPr>
            </w:pPr>
            <w:r w:rsidRPr="00C54D64">
              <w:rPr>
                <w:sz w:val="24"/>
                <w:szCs w:val="24"/>
              </w:rPr>
              <w:t xml:space="preserve">Risks were continuously monitored using structured assessment tools and professional judgement. Given the presence of unsafe adults and a history of neglect, the absence of visible harm could not be equated with safety. I </w:t>
            </w:r>
            <w:r w:rsidRPr="00324886">
              <w:rPr>
                <w:sz w:val="24"/>
                <w:szCs w:val="24"/>
              </w:rPr>
              <w:t>gained</w:t>
            </w:r>
            <w:r w:rsidRPr="00C54D64">
              <w:rPr>
                <w:sz w:val="24"/>
                <w:szCs w:val="24"/>
              </w:rPr>
              <w:t xml:space="preserve"> insights from the children’s emotional expressions, play, attachment behaviours, and health indicators with the mother’s presentation and multi-agency reports to develop a comprehensive and evolving understanding of the risks</w:t>
            </w:r>
            <w:r w:rsidRPr="00324886">
              <w:rPr>
                <w:sz w:val="24"/>
                <w:szCs w:val="24"/>
              </w:rPr>
              <w:t xml:space="preserve"> (Cooke et al., 2019)</w:t>
            </w:r>
            <w:r w:rsidRPr="00C54D64">
              <w:rPr>
                <w:sz w:val="24"/>
                <w:szCs w:val="24"/>
              </w:rPr>
              <w:t>. Clear protective thresholds were established to guide practitioners in recognising when sustained and meaningful change had occurred, allowing for a reduction in the level of intervention, in line with the (</w:t>
            </w:r>
            <w:r w:rsidRPr="00324886">
              <w:rPr>
                <w:sz w:val="24"/>
                <w:szCs w:val="24"/>
              </w:rPr>
              <w:t xml:space="preserve">SCW, 2011, NOS 2). </w:t>
            </w:r>
          </w:p>
          <w:p w14:paraId="478C8639" w14:textId="3F3947DA" w:rsidR="00324886" w:rsidRDefault="00324886" w:rsidP="00324886">
            <w:pPr>
              <w:spacing w:line="360" w:lineRule="auto"/>
              <w:rPr>
                <w:sz w:val="24"/>
                <w:szCs w:val="24"/>
              </w:rPr>
            </w:pPr>
            <w:r w:rsidRPr="00324886">
              <w:rPr>
                <w:sz w:val="24"/>
                <w:szCs w:val="24"/>
              </w:rPr>
              <w:lastRenderedPageBreak/>
              <w:t>To conclude, this critically reflective case study demonstrates how integrating theory, legislation, and collaborative practice within the Welsh safeguarding context can lead to meaningful improvements in child safety and family resilience. The mothers sustained engagement and the children’s de-registration from the CP Register reflect the impact of proportionate, evidence-informed, and ethically grounded interventions.</w:t>
            </w:r>
            <w:r w:rsidR="00E35D99">
              <w:rPr>
                <w:sz w:val="24"/>
                <w:szCs w:val="24"/>
              </w:rPr>
              <w:t xml:space="preserve"> </w:t>
            </w:r>
            <w:r w:rsidR="00E35D99" w:rsidRPr="00E35D99">
              <w:rPr>
                <w:sz w:val="24"/>
                <w:szCs w:val="24"/>
              </w:rPr>
              <w:t xml:space="preserve">Serious Case Reviews </w:t>
            </w:r>
            <w:r w:rsidR="00E35D99">
              <w:rPr>
                <w:sz w:val="24"/>
                <w:szCs w:val="24"/>
              </w:rPr>
              <w:t xml:space="preserve">also </w:t>
            </w:r>
            <w:r w:rsidR="00E35D99" w:rsidRPr="00E35D99">
              <w:rPr>
                <w:sz w:val="24"/>
                <w:szCs w:val="24"/>
              </w:rPr>
              <w:t>play a vital role in shaping safeguarding practice by identifying systemic failings and promoting learning to prevent future harm</w:t>
            </w:r>
            <w:r w:rsidR="00876001">
              <w:rPr>
                <w:sz w:val="24"/>
                <w:szCs w:val="24"/>
              </w:rPr>
              <w:t xml:space="preserve"> (Braye and Preston-Shoot, 2017)</w:t>
            </w:r>
            <w:r w:rsidR="00E35D99" w:rsidRPr="00E35D99">
              <w:rPr>
                <w:sz w:val="24"/>
                <w:szCs w:val="24"/>
              </w:rPr>
              <w:t>.</w:t>
            </w:r>
          </w:p>
          <w:p w14:paraId="7752EBE9" w14:textId="77777777" w:rsidR="00981C9F" w:rsidRPr="00324886" w:rsidRDefault="00981C9F" w:rsidP="00324886">
            <w:pPr>
              <w:spacing w:line="360" w:lineRule="auto"/>
              <w:rPr>
                <w:sz w:val="24"/>
                <w:szCs w:val="24"/>
              </w:rPr>
            </w:pPr>
          </w:p>
          <w:p w14:paraId="75061B29" w14:textId="77777777" w:rsidR="00324886" w:rsidRDefault="00324886" w:rsidP="00324886">
            <w:pPr>
              <w:spacing w:line="360" w:lineRule="auto"/>
              <w:rPr>
                <w:sz w:val="24"/>
                <w:szCs w:val="24"/>
              </w:rPr>
            </w:pPr>
            <w:r w:rsidRPr="00324886">
              <w:rPr>
                <w:sz w:val="24"/>
                <w:szCs w:val="24"/>
              </w:rPr>
              <w:t>Throughout this case study, I have embedded the three key learning outcomes required for this assessment. Learning Outcome 1 was demonstrated through the application of analysis in assessment to inform interventions, as seen in the use of theoretical frameworks such as attachment theory, ACEs, and ecological systems theory to guide planning and decision-making. Learning Outcome 2 was reflected in the collaborative working with the mother, extended family, and multi-agency professionals, including co-production of safety goals and coordinated care planning. Learning Outcome 3 was evidenced using professional judgement in complex safeguarding decisions, such as balancing ethical dilemmas, managing risk, and navigating systemic barriers in a semi-rural context. These outcomes were integrated into the narrative to demonstrate competence in reflective, evidence-informed social work practice.</w:t>
            </w:r>
          </w:p>
          <w:p w14:paraId="567A69AD" w14:textId="77777777" w:rsidR="00981C9F" w:rsidRPr="00324886" w:rsidRDefault="00981C9F" w:rsidP="00324886">
            <w:pPr>
              <w:spacing w:line="360" w:lineRule="auto"/>
              <w:rPr>
                <w:sz w:val="24"/>
                <w:szCs w:val="24"/>
              </w:rPr>
            </w:pPr>
          </w:p>
          <w:p w14:paraId="58AC94CE" w14:textId="3E60B6C9" w:rsidR="00981C9F" w:rsidRDefault="00324886" w:rsidP="00324886">
            <w:pPr>
              <w:spacing w:line="360" w:lineRule="auto"/>
              <w:rPr>
                <w:sz w:val="24"/>
                <w:szCs w:val="24"/>
              </w:rPr>
            </w:pPr>
            <w:r w:rsidRPr="00324886">
              <w:rPr>
                <w:sz w:val="24"/>
                <w:szCs w:val="24"/>
              </w:rPr>
              <w:t>The case challenged me to balance empathy with assertive safeguarding, especially when navigating ethical dilemmas around family separation, information sharing, and professional bias. I learned the importance of remaining open to change, both in families and in my own thinking. Initially, I held assumptions about the mother’s capacity for change, but her honesty and sustained progress required me to re-evaluate those views and adopt a strengths-based stance. This experience deepened my appreciation for relationship-based practice and the power of trust in promoting engagement</w:t>
            </w:r>
            <w:r w:rsidR="00281C85">
              <w:rPr>
                <w:sz w:val="24"/>
                <w:szCs w:val="24"/>
              </w:rPr>
              <w:t xml:space="preserve">, </w:t>
            </w:r>
            <w:r w:rsidR="00281C85" w:rsidRPr="00281C85">
              <w:rPr>
                <w:sz w:val="24"/>
                <w:szCs w:val="24"/>
              </w:rPr>
              <w:t>aligning with Rogers’ (1986) person-centred approach that emphasises empathy, and unconditional positive regard</w:t>
            </w:r>
            <w:r w:rsidRPr="00324886">
              <w:rPr>
                <w:sz w:val="24"/>
                <w:szCs w:val="24"/>
              </w:rPr>
              <w:t xml:space="preserve">. Working in a semi-rural context also highlighted the emotional aspects of safeguarding work. I often felt isolated in decision-making, and supervision became a vital space for reflection, challenge, and emotional processing. I recognised the need to name my own anxieties and </w:t>
            </w:r>
            <w:r w:rsidRPr="00324886">
              <w:rPr>
                <w:sz w:val="24"/>
                <w:szCs w:val="24"/>
              </w:rPr>
              <w:lastRenderedPageBreak/>
              <w:t xml:space="preserve">ensure they did not drive defensive practice. This has strengthened my commitment to reflective supervision and peer support as essential tools for safe and ethical practice. </w:t>
            </w:r>
          </w:p>
          <w:p w14:paraId="6B7EB1A1" w14:textId="77777777" w:rsidR="00981C9F" w:rsidRDefault="00981C9F" w:rsidP="00324886">
            <w:pPr>
              <w:spacing w:line="360" w:lineRule="auto"/>
              <w:rPr>
                <w:sz w:val="24"/>
                <w:szCs w:val="24"/>
              </w:rPr>
            </w:pPr>
          </w:p>
          <w:p w14:paraId="064CE7AA" w14:textId="30394DC8" w:rsidR="00324886" w:rsidRPr="00324886" w:rsidRDefault="00324886" w:rsidP="00324886">
            <w:pPr>
              <w:spacing w:line="360" w:lineRule="auto"/>
              <w:rPr>
                <w:sz w:val="24"/>
                <w:szCs w:val="24"/>
              </w:rPr>
            </w:pPr>
            <w:r w:rsidRPr="00324886">
              <w:rPr>
                <w:sz w:val="24"/>
                <w:szCs w:val="24"/>
              </w:rPr>
              <w:t xml:space="preserve">The case also reinforced the importance of listening to children’s voices, even when they are very young (SSWWA, 2014). Using play-based and observational methods helped me centre their experiences in </w:t>
            </w:r>
            <w:r w:rsidR="00056E94" w:rsidRPr="00324886">
              <w:rPr>
                <w:sz w:val="24"/>
                <w:szCs w:val="24"/>
              </w:rPr>
              <w:t>planning and</w:t>
            </w:r>
            <w:r w:rsidRPr="00324886">
              <w:rPr>
                <w:sz w:val="24"/>
                <w:szCs w:val="24"/>
              </w:rPr>
              <w:t xml:space="preserve"> reminded me that safeguarding is not just about risk management and is about promoting well-being and emotional continuity (Smith 2011; Lunga et al., 2022). Going forward, I will continue to pursue further training in reflective parenting models and ADHD-informed practice to better support families with complex needs. Ultimately, this case has shaped me as a practitioner. It taught me that safeguarding is not just a statutory duty as it is a relational, ethical, and deeply human endeavour. It requires humility, courage, and a commitment to learning from each family, each decision, and each moment of reflection (SCW 2011, NOS 1).</w:t>
            </w:r>
          </w:p>
          <w:p w14:paraId="56347F75" w14:textId="77777777" w:rsidR="00B8592B" w:rsidRDefault="00B8592B" w:rsidP="00FF7EBB">
            <w:pPr>
              <w:jc w:val="both"/>
              <w:rPr>
                <w:sz w:val="24"/>
                <w:szCs w:val="24"/>
              </w:rPr>
            </w:pPr>
          </w:p>
          <w:p w14:paraId="47F21B6A" w14:textId="5F2E54C6" w:rsidR="00B8592B" w:rsidRPr="0077143D" w:rsidRDefault="0077143D" w:rsidP="00FF7EBB">
            <w:pPr>
              <w:jc w:val="both"/>
              <w:rPr>
                <w:i/>
                <w:iCs/>
                <w:sz w:val="24"/>
                <w:szCs w:val="24"/>
              </w:rPr>
            </w:pPr>
            <w:r>
              <w:rPr>
                <w:i/>
                <w:iCs/>
                <w:sz w:val="24"/>
                <w:szCs w:val="24"/>
              </w:rPr>
              <w:t>(4</w:t>
            </w:r>
            <w:r w:rsidR="00183311">
              <w:rPr>
                <w:i/>
                <w:iCs/>
                <w:sz w:val="24"/>
                <w:szCs w:val="24"/>
              </w:rPr>
              <w:t>371</w:t>
            </w:r>
            <w:r>
              <w:rPr>
                <w:i/>
                <w:iCs/>
                <w:sz w:val="24"/>
                <w:szCs w:val="24"/>
              </w:rPr>
              <w:t xml:space="preserve"> words).</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971AA" w14:textId="77777777" w:rsidR="000F0823" w:rsidRDefault="000F0823">
      <w:r>
        <w:separator/>
      </w:r>
    </w:p>
  </w:endnote>
  <w:endnote w:type="continuationSeparator" w:id="0">
    <w:p w14:paraId="6DE393B4" w14:textId="77777777" w:rsidR="000F0823" w:rsidRDefault="000F08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3D010" w14:textId="77777777" w:rsidR="000F0823" w:rsidRDefault="000F0823">
      <w:r>
        <w:separator/>
      </w:r>
    </w:p>
  </w:footnote>
  <w:footnote w:type="continuationSeparator" w:id="0">
    <w:p w14:paraId="24C52B79" w14:textId="77777777" w:rsidR="000F0823" w:rsidRDefault="000F08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2B"/>
    <w:rsid w:val="0000138E"/>
    <w:rsid w:val="00002C7A"/>
    <w:rsid w:val="000045B8"/>
    <w:rsid w:val="00010DDD"/>
    <w:rsid w:val="00012B16"/>
    <w:rsid w:val="000148F0"/>
    <w:rsid w:val="00020EEC"/>
    <w:rsid w:val="0002440E"/>
    <w:rsid w:val="0002475D"/>
    <w:rsid w:val="0002759A"/>
    <w:rsid w:val="00027B1F"/>
    <w:rsid w:val="0003088B"/>
    <w:rsid w:val="00032086"/>
    <w:rsid w:val="000325D9"/>
    <w:rsid w:val="000372B2"/>
    <w:rsid w:val="0004079F"/>
    <w:rsid w:val="00043543"/>
    <w:rsid w:val="00045B87"/>
    <w:rsid w:val="00045C07"/>
    <w:rsid w:val="00045C40"/>
    <w:rsid w:val="00046861"/>
    <w:rsid w:val="00054A07"/>
    <w:rsid w:val="00055D43"/>
    <w:rsid w:val="00056E94"/>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6389"/>
    <w:rsid w:val="000F082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877"/>
    <w:rsid w:val="001608C4"/>
    <w:rsid w:val="00164832"/>
    <w:rsid w:val="00171418"/>
    <w:rsid w:val="001772BF"/>
    <w:rsid w:val="001772DE"/>
    <w:rsid w:val="00183311"/>
    <w:rsid w:val="0019496C"/>
    <w:rsid w:val="001961CF"/>
    <w:rsid w:val="001A4D51"/>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2E"/>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110E"/>
    <w:rsid w:val="00281C85"/>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345F"/>
    <w:rsid w:val="00324886"/>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6D3"/>
    <w:rsid w:val="003A46C0"/>
    <w:rsid w:val="003A600E"/>
    <w:rsid w:val="003A6513"/>
    <w:rsid w:val="003B16C7"/>
    <w:rsid w:val="003B29BC"/>
    <w:rsid w:val="003B3115"/>
    <w:rsid w:val="003B33B4"/>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3C1"/>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5DD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5D62"/>
    <w:rsid w:val="005305C6"/>
    <w:rsid w:val="00540EEC"/>
    <w:rsid w:val="005414F4"/>
    <w:rsid w:val="00546187"/>
    <w:rsid w:val="00547B11"/>
    <w:rsid w:val="00555B3F"/>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300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F31"/>
    <w:rsid w:val="006B4496"/>
    <w:rsid w:val="006B5E67"/>
    <w:rsid w:val="006B6612"/>
    <w:rsid w:val="006C2EB5"/>
    <w:rsid w:val="006D18A3"/>
    <w:rsid w:val="006D5970"/>
    <w:rsid w:val="006E481E"/>
    <w:rsid w:val="006E795F"/>
    <w:rsid w:val="006F0862"/>
    <w:rsid w:val="006F1438"/>
    <w:rsid w:val="006F2A9E"/>
    <w:rsid w:val="006F5ED3"/>
    <w:rsid w:val="006F63D3"/>
    <w:rsid w:val="00700249"/>
    <w:rsid w:val="007069CD"/>
    <w:rsid w:val="00706BB5"/>
    <w:rsid w:val="0071231A"/>
    <w:rsid w:val="00712E90"/>
    <w:rsid w:val="00713B7E"/>
    <w:rsid w:val="0072678F"/>
    <w:rsid w:val="00726BA7"/>
    <w:rsid w:val="007276E5"/>
    <w:rsid w:val="00727C4C"/>
    <w:rsid w:val="00734809"/>
    <w:rsid w:val="0073714E"/>
    <w:rsid w:val="007374EF"/>
    <w:rsid w:val="007406E1"/>
    <w:rsid w:val="00743E40"/>
    <w:rsid w:val="00745016"/>
    <w:rsid w:val="0075031F"/>
    <w:rsid w:val="00751263"/>
    <w:rsid w:val="00751E1E"/>
    <w:rsid w:val="007544FC"/>
    <w:rsid w:val="00755427"/>
    <w:rsid w:val="00756548"/>
    <w:rsid w:val="0075673A"/>
    <w:rsid w:val="0075704F"/>
    <w:rsid w:val="00763B2D"/>
    <w:rsid w:val="00764C84"/>
    <w:rsid w:val="007710AD"/>
    <w:rsid w:val="0077143D"/>
    <w:rsid w:val="00772924"/>
    <w:rsid w:val="0078112D"/>
    <w:rsid w:val="007872F2"/>
    <w:rsid w:val="007873F9"/>
    <w:rsid w:val="007908E0"/>
    <w:rsid w:val="00790CE2"/>
    <w:rsid w:val="00793EB3"/>
    <w:rsid w:val="0079408D"/>
    <w:rsid w:val="00794205"/>
    <w:rsid w:val="0079422A"/>
    <w:rsid w:val="007A1F6A"/>
    <w:rsid w:val="007A628F"/>
    <w:rsid w:val="007B0DE3"/>
    <w:rsid w:val="007B1BFD"/>
    <w:rsid w:val="007B7191"/>
    <w:rsid w:val="007C02C6"/>
    <w:rsid w:val="007C1D94"/>
    <w:rsid w:val="007C556F"/>
    <w:rsid w:val="007C5ABE"/>
    <w:rsid w:val="007C67E7"/>
    <w:rsid w:val="007C6A87"/>
    <w:rsid w:val="007D0A07"/>
    <w:rsid w:val="007D0F11"/>
    <w:rsid w:val="007D133D"/>
    <w:rsid w:val="007D3EB4"/>
    <w:rsid w:val="007D3F16"/>
    <w:rsid w:val="007F10BD"/>
    <w:rsid w:val="007F312E"/>
    <w:rsid w:val="007F3F7E"/>
    <w:rsid w:val="007F4BA4"/>
    <w:rsid w:val="0080358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001"/>
    <w:rsid w:val="00880539"/>
    <w:rsid w:val="008859E8"/>
    <w:rsid w:val="0088737B"/>
    <w:rsid w:val="00891078"/>
    <w:rsid w:val="00892716"/>
    <w:rsid w:val="00893067"/>
    <w:rsid w:val="008933DE"/>
    <w:rsid w:val="0089402F"/>
    <w:rsid w:val="00895FCE"/>
    <w:rsid w:val="00897F3E"/>
    <w:rsid w:val="008A1FB5"/>
    <w:rsid w:val="008A21B4"/>
    <w:rsid w:val="008B07DE"/>
    <w:rsid w:val="008B1309"/>
    <w:rsid w:val="008B28E7"/>
    <w:rsid w:val="008B67F6"/>
    <w:rsid w:val="008C14C7"/>
    <w:rsid w:val="008C29B0"/>
    <w:rsid w:val="008C2FFB"/>
    <w:rsid w:val="008C633F"/>
    <w:rsid w:val="008C6EEA"/>
    <w:rsid w:val="008C7770"/>
    <w:rsid w:val="008C79C7"/>
    <w:rsid w:val="008D03B0"/>
    <w:rsid w:val="008D2150"/>
    <w:rsid w:val="008D5813"/>
    <w:rsid w:val="008D5999"/>
    <w:rsid w:val="008D634E"/>
    <w:rsid w:val="008D778A"/>
    <w:rsid w:val="008D78C9"/>
    <w:rsid w:val="008E2C8C"/>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1C9F"/>
    <w:rsid w:val="0098262C"/>
    <w:rsid w:val="0098427C"/>
    <w:rsid w:val="00986B43"/>
    <w:rsid w:val="00986C0B"/>
    <w:rsid w:val="00986D46"/>
    <w:rsid w:val="00991FDA"/>
    <w:rsid w:val="00992ACA"/>
    <w:rsid w:val="009A59DC"/>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5664"/>
    <w:rsid w:val="009F6801"/>
    <w:rsid w:val="00A00081"/>
    <w:rsid w:val="00A037BD"/>
    <w:rsid w:val="00A06422"/>
    <w:rsid w:val="00A10D56"/>
    <w:rsid w:val="00A12AAE"/>
    <w:rsid w:val="00A12F22"/>
    <w:rsid w:val="00A16DD1"/>
    <w:rsid w:val="00A22441"/>
    <w:rsid w:val="00A23F3B"/>
    <w:rsid w:val="00A24406"/>
    <w:rsid w:val="00A25F64"/>
    <w:rsid w:val="00A275F6"/>
    <w:rsid w:val="00A303B9"/>
    <w:rsid w:val="00A34AE6"/>
    <w:rsid w:val="00A37416"/>
    <w:rsid w:val="00A40ED6"/>
    <w:rsid w:val="00A47621"/>
    <w:rsid w:val="00A479CD"/>
    <w:rsid w:val="00A50CFC"/>
    <w:rsid w:val="00A54D67"/>
    <w:rsid w:val="00A55A3F"/>
    <w:rsid w:val="00A5656A"/>
    <w:rsid w:val="00A5774E"/>
    <w:rsid w:val="00A60103"/>
    <w:rsid w:val="00A652F6"/>
    <w:rsid w:val="00A65861"/>
    <w:rsid w:val="00A732EA"/>
    <w:rsid w:val="00A7489E"/>
    <w:rsid w:val="00A8015F"/>
    <w:rsid w:val="00A85039"/>
    <w:rsid w:val="00A906AA"/>
    <w:rsid w:val="00A94C5E"/>
    <w:rsid w:val="00AA252C"/>
    <w:rsid w:val="00AA4AB1"/>
    <w:rsid w:val="00AA666E"/>
    <w:rsid w:val="00AA7960"/>
    <w:rsid w:val="00AB5518"/>
    <w:rsid w:val="00AC3A0E"/>
    <w:rsid w:val="00AC4A04"/>
    <w:rsid w:val="00AC5679"/>
    <w:rsid w:val="00AD2398"/>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1723"/>
    <w:rsid w:val="00B12295"/>
    <w:rsid w:val="00B137BE"/>
    <w:rsid w:val="00B15998"/>
    <w:rsid w:val="00B17FA0"/>
    <w:rsid w:val="00B22368"/>
    <w:rsid w:val="00B2292C"/>
    <w:rsid w:val="00B22C3C"/>
    <w:rsid w:val="00B24344"/>
    <w:rsid w:val="00B26769"/>
    <w:rsid w:val="00B2754B"/>
    <w:rsid w:val="00B305EC"/>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92B"/>
    <w:rsid w:val="00B9256C"/>
    <w:rsid w:val="00B92BEF"/>
    <w:rsid w:val="00B94443"/>
    <w:rsid w:val="00B9689A"/>
    <w:rsid w:val="00B97056"/>
    <w:rsid w:val="00BA531E"/>
    <w:rsid w:val="00BA728B"/>
    <w:rsid w:val="00BB06CB"/>
    <w:rsid w:val="00BB261F"/>
    <w:rsid w:val="00BB2887"/>
    <w:rsid w:val="00BB333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0191"/>
    <w:rsid w:val="00C01D14"/>
    <w:rsid w:val="00C01D97"/>
    <w:rsid w:val="00C025B4"/>
    <w:rsid w:val="00C029EC"/>
    <w:rsid w:val="00C161FD"/>
    <w:rsid w:val="00C17C9F"/>
    <w:rsid w:val="00C23F17"/>
    <w:rsid w:val="00C246F2"/>
    <w:rsid w:val="00C26D0D"/>
    <w:rsid w:val="00C27C95"/>
    <w:rsid w:val="00C300D2"/>
    <w:rsid w:val="00C3270F"/>
    <w:rsid w:val="00C3278B"/>
    <w:rsid w:val="00C32F22"/>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7CA1"/>
    <w:rsid w:val="00CC02F1"/>
    <w:rsid w:val="00CC1122"/>
    <w:rsid w:val="00CC11A6"/>
    <w:rsid w:val="00CC135E"/>
    <w:rsid w:val="00CC5B27"/>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556"/>
    <w:rsid w:val="00D146AE"/>
    <w:rsid w:val="00D229ED"/>
    <w:rsid w:val="00D22C8F"/>
    <w:rsid w:val="00D3203C"/>
    <w:rsid w:val="00D32559"/>
    <w:rsid w:val="00D33491"/>
    <w:rsid w:val="00D3442D"/>
    <w:rsid w:val="00D36F00"/>
    <w:rsid w:val="00D44B67"/>
    <w:rsid w:val="00D44F8E"/>
    <w:rsid w:val="00D51FD5"/>
    <w:rsid w:val="00D55DE0"/>
    <w:rsid w:val="00D607EF"/>
    <w:rsid w:val="00D60F88"/>
    <w:rsid w:val="00D646BD"/>
    <w:rsid w:val="00D65558"/>
    <w:rsid w:val="00D71201"/>
    <w:rsid w:val="00D720C7"/>
    <w:rsid w:val="00D82121"/>
    <w:rsid w:val="00D84841"/>
    <w:rsid w:val="00D876E6"/>
    <w:rsid w:val="00D90958"/>
    <w:rsid w:val="00D94450"/>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5D99"/>
    <w:rsid w:val="00E37738"/>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00F"/>
    <w:rsid w:val="00ED5D03"/>
    <w:rsid w:val="00ED7FFA"/>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4698"/>
    <w:rsid w:val="00FB5FA6"/>
    <w:rsid w:val="00FC0334"/>
    <w:rsid w:val="00FC1310"/>
    <w:rsid w:val="00FC2FF3"/>
    <w:rsid w:val="00FC3263"/>
    <w:rsid w:val="00FC51F9"/>
    <w:rsid w:val="00FC5B40"/>
    <w:rsid w:val="00FC5FF8"/>
    <w:rsid w:val="00FD0261"/>
    <w:rsid w:val="00FD271B"/>
    <w:rsid w:val="00FD3D7C"/>
    <w:rsid w:val="00FD4F8F"/>
    <w:rsid w:val="00FE0C16"/>
    <w:rsid w:val="00FE14B1"/>
    <w:rsid w:val="00FE4D97"/>
    <w:rsid w:val="00FE5F90"/>
    <w:rsid w:val="00FF0070"/>
    <w:rsid w:val="00FF07C3"/>
    <w:rsid w:val="00FF5F6A"/>
    <w:rsid w:val="00FF62B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8760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35715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07607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ebeccajeff9567@gmail.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26</TotalTime>
  <Pages>15</Pages>
  <Words>4575</Words>
  <Characters>27471</Characters>
  <Application>Microsoft Office Word</Application>
  <DocSecurity>0</DocSecurity>
  <Lines>228</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Jefferies</cp:lastModifiedBy>
  <cp:revision>38</cp:revision>
  <cp:lastPrinted>2020-02-11T19:20:00Z</cp:lastPrinted>
  <dcterms:created xsi:type="dcterms:W3CDTF">2025-10-04T20:59:00Z</dcterms:created>
  <dcterms:modified xsi:type="dcterms:W3CDTF">2025-10-06T19:18:00Z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