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353EB3E"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BSc Professional investigation</w:t>
      </w:r>
    </w:p>
    <w:p w14:paraId="0C901ACA" w14:textId="65747CEB" w:rsidR="0033020F" w:rsidRDefault="00752B35" w:rsidP="0033020F">
      <w:pPr>
        <w:jc w:val="center"/>
        <w:rPr>
          <w:b/>
        </w:rPr>
      </w:pPr>
      <w:r>
        <w:rPr>
          <w:b/>
        </w:rPr>
        <w:t xml:space="preserve">Module BMPI6000 - </w:t>
      </w:r>
      <w:r w:rsidR="00276282">
        <w:rPr>
          <w:b/>
        </w:rPr>
        <w:t>Project Proposal</w:t>
      </w:r>
    </w:p>
    <w:p w14:paraId="0F605F53" w14:textId="59DC54AB" w:rsidR="008B718C" w:rsidRDefault="008B718C" w:rsidP="008B718C">
      <w:pPr>
        <w:rPr>
          <w:b/>
        </w:rPr>
      </w:pPr>
      <w:r>
        <w:rPr>
          <w:b/>
        </w:rPr>
        <w:t xml:space="preserve">Student Name: </w:t>
      </w:r>
      <w:r w:rsidR="007902FB">
        <w:rPr>
          <w:b/>
        </w:rPr>
        <w:t>Sam Phillips</w:t>
      </w:r>
    </w:p>
    <w:p w14:paraId="7F359F82" w14:textId="27E499C8" w:rsidR="008B718C" w:rsidRDefault="008B718C" w:rsidP="008B718C">
      <w:pPr>
        <w:rPr>
          <w:b/>
        </w:rPr>
      </w:pPr>
      <w:r>
        <w:rPr>
          <w:b/>
        </w:rPr>
        <w:t xml:space="preserve">Supervisor Name: </w:t>
      </w:r>
      <w:r w:rsidR="007902FB">
        <w:rPr>
          <w:b/>
        </w:rPr>
        <w:t>Alison Cook</w:t>
      </w:r>
      <w:r w:rsidR="00CA2E0A">
        <w:rPr>
          <w:b/>
        </w:rPr>
        <w:t>e</w:t>
      </w:r>
    </w:p>
    <w:p w14:paraId="47352C72" w14:textId="77777777" w:rsidR="005F5411" w:rsidRDefault="005F5411" w:rsidP="005F5411">
      <w:pPr>
        <w:rPr>
          <w:b/>
        </w:rPr>
      </w:pPr>
    </w:p>
    <w:p w14:paraId="5DF6F2BF" w14:textId="51C4AE37" w:rsidR="0033020F" w:rsidRDefault="005F5411">
      <w:r w:rsidRPr="0033020F">
        <w:rPr>
          <w:b/>
        </w:rPr>
        <w:t>Research Question</w:t>
      </w:r>
      <w:r>
        <w:rPr>
          <w:b/>
        </w:rPr>
        <w:t xml:space="preserve"> </w:t>
      </w:r>
      <w:r>
        <w:t>(</w:t>
      </w:r>
      <w:r w:rsidR="00276282">
        <w:t>1 sentence</w:t>
      </w:r>
      <w:r>
        <w:t xml:space="preserve"> max.)</w:t>
      </w:r>
    </w:p>
    <w:p w14:paraId="2F276C23" w14:textId="716B39FA" w:rsidR="00B81A18" w:rsidRDefault="00B81A18">
      <w:r>
        <w:t xml:space="preserve">Digital Media Investigators and device triage; an investigation </w:t>
      </w:r>
      <w:r w:rsidR="00F90982">
        <w:t>into whether Digital Media Investigators can assist with the increasing demand upon Digital Forensic Units with device examinations by employing</w:t>
      </w:r>
      <w:r w:rsidR="00BE3AC5">
        <w:t xml:space="preserve"> various</w:t>
      </w:r>
      <w:r w:rsidR="00F90982">
        <w:t xml:space="preserve"> triag</w:t>
      </w:r>
      <w:r w:rsidR="00BE3AC5">
        <w:t>ing</w:t>
      </w:r>
      <w:r w:rsidR="00F90982">
        <w:t xml:space="preserve"> techniques</w:t>
      </w:r>
      <w:r w:rsidR="002C199C">
        <w:t>.</w:t>
      </w:r>
    </w:p>
    <w:p w14:paraId="03F1D4D6" w14:textId="77777777" w:rsidR="00F90982" w:rsidRPr="00B81A18" w:rsidRDefault="00F90982"/>
    <w:p w14:paraId="46629CFA" w14:textId="015C4AFA"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4FD977ED" w14:textId="39757B1D" w:rsidR="000F218F" w:rsidRDefault="000F218F" w:rsidP="000F218F">
      <w:pPr>
        <w:jc w:val="both"/>
      </w:pPr>
      <w:r>
        <w:t xml:space="preserve">The presence of digital devices in everyday life means that digital media evidence may be present in almost every crime (Parliamentary Office of Science &amp; Technology, 2016) and it follows that the demand for digital forensics (DF), the scientific method of obtaining digital evidence, will also increase. As summarised by the Police Foundation (2021) this is now a core competency for all types of criminal investigations and not reserved </w:t>
      </w:r>
      <w:r w:rsidR="002C199C">
        <w:t xml:space="preserve">solely </w:t>
      </w:r>
      <w:r>
        <w:t xml:space="preserve">for specialist </w:t>
      </w:r>
      <w:r w:rsidR="00BE3AC5">
        <w:t>departments</w:t>
      </w:r>
      <w:r>
        <w:t>.</w:t>
      </w:r>
    </w:p>
    <w:p w14:paraId="6606D6F4" w14:textId="02DF2572" w:rsidR="000F218F" w:rsidRDefault="000F218F" w:rsidP="00055777">
      <w:pPr>
        <w:jc w:val="both"/>
      </w:pPr>
      <w:r>
        <w:t xml:space="preserve">It has been widely reported that there a large demand placed on digital forensic units (DFU) with His Majesty’s Inspectorate of Constabulary and Fire &amp; Rescue Services (HMICFRS) </w:t>
      </w:r>
      <w:r w:rsidR="0073725B">
        <w:t>stating in their recent report</w:t>
      </w:r>
      <w:r>
        <w:t xml:space="preserve"> that there are an estimated 25,000 digital devices held by police forces in England Wales waiting to be examined</w:t>
      </w:r>
      <w:r w:rsidR="0073725B">
        <w:t>,</w:t>
      </w:r>
      <w:r w:rsidR="00BC6DB5">
        <w:t xml:space="preserve"> and that forces are ‘overwhelmed and ineffective’ when it comes to digital forensics (HMICFRS, 2022).</w:t>
      </w:r>
      <w:r w:rsidR="0073725B">
        <w:t xml:space="preserve"> The report goes on to explain that in some forces there is an estimated six month ‘backlog’ of devices meaning that there is additional delay with to bringing offenders to justice. Not only are there serious risks with managing offenders with such lengthy delays, but there are negative impacts to victims, witnesses and offenders who have provided their devices to police for examination. </w:t>
      </w:r>
    </w:p>
    <w:p w14:paraId="60DD8A76" w14:textId="061937B1" w:rsidR="0073725B" w:rsidRDefault="00B4122D" w:rsidP="00055777">
      <w:pPr>
        <w:jc w:val="both"/>
      </w:pPr>
      <w:r>
        <w:t>The speed of technological advancement is increasing and the capabilities of modern digital devices are becoming more advanced, with smartphones now being able to store several hundred gigabytes of data. A device with 128GB of storage for example is ‘equivalent to the books on about 90 metres of bookshelves’ (HMICFRS, 2022). This fact, coupled with that over 90% of crime now has a</w:t>
      </w:r>
      <w:r w:rsidR="0073725B">
        <w:t xml:space="preserve"> digital element </w:t>
      </w:r>
      <w:r>
        <w:t xml:space="preserve">(NPCC, 2022) means that the capabilities of DFUs are constantly in a state of having to ‘catch up’ as they face the challenges of meeting this growing workload. </w:t>
      </w:r>
    </w:p>
    <w:p w14:paraId="11B149BE" w14:textId="458E4CD5" w:rsidR="00BC6DB5" w:rsidRDefault="0073725B" w:rsidP="00B4122D">
      <w:r w:rsidRPr="00DD1069">
        <w:t xml:space="preserve">Digital Media Investigators (DMI) were introduced </w:t>
      </w:r>
      <w:r w:rsidR="00B4122D">
        <w:t xml:space="preserve">by the Home Office </w:t>
      </w:r>
      <w:r w:rsidRPr="00DD1069">
        <w:t>to assist with investigations where ‘digital technology and data acquisition opportunities exist’ (College of Policing, 2023)</w:t>
      </w:r>
      <w:r>
        <w:t xml:space="preserve"> and since their introduction there </w:t>
      </w:r>
      <w:r w:rsidR="00B4122D">
        <w:t>has been</w:t>
      </w:r>
      <w:r>
        <w:t xml:space="preserve"> little academic research on the implementation and use of the DMI (Wilson-Kovacs</w:t>
      </w:r>
      <w:r w:rsidR="00CD0B76">
        <w:t>,</w:t>
      </w:r>
      <w:r>
        <w:t xml:space="preserve"> 2021; Horvath </w:t>
      </w:r>
      <w:r w:rsidRPr="00DD1069">
        <w:rPr>
          <w:i/>
          <w:iCs/>
        </w:rPr>
        <w:t>et al</w:t>
      </w:r>
      <w:r w:rsidR="00CD0B76">
        <w:rPr>
          <w:i/>
          <w:iCs/>
        </w:rPr>
        <w:t>,</w:t>
      </w:r>
      <w:r w:rsidRPr="00DD1069">
        <w:rPr>
          <w:i/>
          <w:iCs/>
        </w:rPr>
        <w:t xml:space="preserve"> </w:t>
      </w:r>
      <w:r>
        <w:t>2018).</w:t>
      </w:r>
      <w:r w:rsidR="00F062D4">
        <w:t xml:space="preserve"> Whilst DMIs were not introduced specifically to </w:t>
      </w:r>
      <w:r w:rsidR="00F062D4">
        <w:lastRenderedPageBreak/>
        <w:t xml:space="preserve">perform digital forensic examinations, the work they carry out is such that they work closely with DFUs, and have received specialist training in the analysis of digital material from device examinations.  </w:t>
      </w:r>
    </w:p>
    <w:p w14:paraId="7BF06DCA" w14:textId="5A970291" w:rsidR="002C4FCB" w:rsidRDefault="002C4FCB" w:rsidP="00B4122D">
      <w:r>
        <w:t>Wilson-Kovacs</w:t>
      </w:r>
      <w:r w:rsidR="00CD0B76">
        <w:t xml:space="preserve"> (2021)</w:t>
      </w:r>
      <w:r>
        <w:t xml:space="preserve"> attempts to show how there are different national approaches to the implementation of DMI’s in terms of departmental structure and whilst they do explore some barriers and challenges faced with day-to-day DMI work, these are organisational barriers rather than investigative. Horvath </w:t>
      </w:r>
      <w:r>
        <w:rPr>
          <w:i/>
          <w:iCs/>
        </w:rPr>
        <w:t>et al</w:t>
      </w:r>
      <w:r>
        <w:t xml:space="preserve"> </w:t>
      </w:r>
      <w:r w:rsidR="00CD0B76">
        <w:t xml:space="preserve">(2018) </w:t>
      </w:r>
      <w:r>
        <w:t xml:space="preserve">evaluates the effectiveness of the DMI role specifically within one northern force in England and summarises their findings with organisational recommendations on how to improve their implementation. </w:t>
      </w:r>
    </w:p>
    <w:p w14:paraId="01EB883F" w14:textId="3E3971B3" w:rsidR="002C4FCB" w:rsidRDefault="002C4FCB">
      <w:r>
        <w:t>Triage, within the context of digital device examinations, is a process whereby devices are assessed for relevance to the investigation (Pollitt, 2013)</w:t>
      </w:r>
      <w:r w:rsidR="00D42755">
        <w:t xml:space="preserve"> and can be broken down into two distinct types of triages; at scene, and within a DFU laboratory (Horseman, 2020). The aim of a triage process applied to an investigation can be argued to be to reduce unnecessary time and effort forensically examining devices which are not a priority or likely to yield any relevant material to the investigation. There are </w:t>
      </w:r>
      <w:r w:rsidR="00F062D4">
        <w:t>various methods and techniques which can be used to ‘triage’ a device, from a simple manual examination to bespoke specialist software.</w:t>
      </w:r>
    </w:p>
    <w:p w14:paraId="3CCBAE7A" w14:textId="511AD8AB" w:rsidR="003A0D16" w:rsidRDefault="008824D5">
      <w:r>
        <w:t>T</w:t>
      </w:r>
      <w:r w:rsidR="003F592E">
        <w:t xml:space="preserve">here has been </w:t>
      </w:r>
      <w:r>
        <w:t xml:space="preserve">extensive </w:t>
      </w:r>
      <w:r w:rsidR="003F592E">
        <w:t>a</w:t>
      </w:r>
      <w:r w:rsidR="003A0D16">
        <w:t xml:space="preserve">cademic research </w:t>
      </w:r>
      <w:r w:rsidR="003F592E">
        <w:t>c</w:t>
      </w:r>
      <w:r w:rsidR="003A0D16">
        <w:t xml:space="preserve">arried out on digital triage and its effectiveness, and </w:t>
      </w:r>
      <w:r>
        <w:t xml:space="preserve">whilst </w:t>
      </w:r>
      <w:r w:rsidR="003A0D16">
        <w:t>it is accepted that the process does reduce demand on DFUs (Wilson-Kovacs, 2019)</w:t>
      </w:r>
      <w:r w:rsidR="003F592E">
        <w:t xml:space="preserve"> there is little</w:t>
      </w:r>
      <w:r>
        <w:t xml:space="preserve"> research</w:t>
      </w:r>
      <w:r w:rsidR="003F592E">
        <w:t xml:space="preserve"> on how the role of a DMI can assist with this process. </w:t>
      </w:r>
      <w:r>
        <w:t xml:space="preserve">In fact, HMICFRS identify that there is a need for more effective use of the use of DMIs and that they could be used to reduce demand by identifying whether or not to seize devices at scene. </w:t>
      </w:r>
      <w:r w:rsidR="003F592E">
        <w:t>Further research can be justified in this case as</w:t>
      </w:r>
      <w:r>
        <w:t xml:space="preserve"> there is clear gap in published academic research with how the role of a DMI can assist DFUs. </w:t>
      </w:r>
    </w:p>
    <w:p w14:paraId="279EF13E" w14:textId="7F191FF2" w:rsidR="00B25B90" w:rsidRPr="00DD1069" w:rsidRDefault="00B25B90">
      <w:r w:rsidRPr="00DD1069">
        <w:t xml:space="preserve"> </w:t>
      </w:r>
      <w:r w:rsidRPr="00DD1069">
        <w:tab/>
      </w:r>
    </w:p>
    <w:p w14:paraId="5ED79ED3" w14:textId="0CD9B82A"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478AC4AA" w14:textId="14BD5DB9" w:rsidR="004D39B5" w:rsidRDefault="00195140" w:rsidP="005F5411">
      <w:r>
        <w:t>The overall aim of this area of research</w:t>
      </w:r>
      <w:r w:rsidR="008A4AE4">
        <w:t xml:space="preserve"> is to explore the potential for Digital Media Investigators to assist with triage processes and techniques with a view to </w:t>
      </w:r>
      <w:r w:rsidR="005749A9">
        <w:t xml:space="preserve">identifying potential efficiency savings in </w:t>
      </w:r>
      <w:r w:rsidR="004C63A1">
        <w:t xml:space="preserve">the </w:t>
      </w:r>
      <w:r w:rsidR="005749A9">
        <w:t>d</w:t>
      </w:r>
      <w:r w:rsidR="008A4AE4">
        <w:t xml:space="preserve">igital forensic </w:t>
      </w:r>
      <w:r w:rsidR="004C63A1">
        <w:t>examination process</w:t>
      </w:r>
      <w:r w:rsidR="008A4AE4">
        <w:t xml:space="preserve">. </w:t>
      </w:r>
    </w:p>
    <w:p w14:paraId="5CE039C7" w14:textId="77777777" w:rsidR="0022579F" w:rsidRPr="00B7429B" w:rsidRDefault="0022579F" w:rsidP="005F5411"/>
    <w:p w14:paraId="09B65417" w14:textId="2115730B" w:rsidR="005F5411" w:rsidRDefault="0033020F" w:rsidP="005F5411">
      <w:r w:rsidRPr="005F5411">
        <w:rPr>
          <w:b/>
          <w:bCs/>
          <w:i/>
          <w:iCs/>
        </w:rPr>
        <w:t xml:space="preserve"> </w:t>
      </w:r>
      <w:r w:rsidRPr="005F5411">
        <w:rPr>
          <w:i/>
          <w:iCs/>
        </w:rPr>
        <w:t>Objective(s):</w:t>
      </w:r>
      <w:r w:rsidRPr="005F5411">
        <w:rPr>
          <w:b/>
          <w:bCs/>
        </w:rPr>
        <w:t xml:space="preserve">  </w:t>
      </w:r>
    </w:p>
    <w:p w14:paraId="54AF6644" w14:textId="05BA1846" w:rsidR="00195140" w:rsidRDefault="005749A9" w:rsidP="00195140">
      <w:pPr>
        <w:pStyle w:val="ListParagraph"/>
        <w:numPr>
          <w:ilvl w:val="0"/>
          <w:numId w:val="2"/>
        </w:numPr>
        <w:spacing w:after="0"/>
      </w:pPr>
      <w:r>
        <w:t xml:space="preserve">To define </w:t>
      </w:r>
      <w:r w:rsidR="00195140">
        <w:t xml:space="preserve">what is meant by </w:t>
      </w:r>
      <w:r w:rsidR="009F7AF9">
        <w:t>digital media investigators (DMI)</w:t>
      </w:r>
      <w:r w:rsidR="00195140">
        <w:t xml:space="preserve"> </w:t>
      </w:r>
      <w:r w:rsidR="005E758F">
        <w:t xml:space="preserve">and device triaging </w:t>
      </w:r>
      <w:r w:rsidR="00195140">
        <w:t xml:space="preserve">in the context of criminal investigations.  </w:t>
      </w:r>
    </w:p>
    <w:p w14:paraId="67F33084" w14:textId="16ACF159" w:rsidR="00195140" w:rsidRDefault="007A5409" w:rsidP="00195140">
      <w:pPr>
        <w:pStyle w:val="ListParagraph"/>
        <w:numPr>
          <w:ilvl w:val="0"/>
          <w:numId w:val="2"/>
        </w:numPr>
        <w:spacing w:after="0"/>
      </w:pPr>
      <w:r>
        <w:t>Identify and explore</w:t>
      </w:r>
      <w:r w:rsidR="00195140">
        <w:t xml:space="preserve"> the</w:t>
      </w:r>
      <w:r w:rsidR="00195140" w:rsidRPr="00D952C9">
        <w:t xml:space="preserve"> </w:t>
      </w:r>
      <w:r w:rsidR="00195140">
        <w:t xml:space="preserve">current barriers </w:t>
      </w:r>
      <w:r w:rsidR="005E758F">
        <w:t>faced by investigators with forensic examinations of digital devices.</w:t>
      </w:r>
    </w:p>
    <w:p w14:paraId="505C377B" w14:textId="772E2096" w:rsidR="000F218F" w:rsidRDefault="000F218F" w:rsidP="00195140">
      <w:pPr>
        <w:pStyle w:val="ListParagraph"/>
        <w:numPr>
          <w:ilvl w:val="0"/>
          <w:numId w:val="2"/>
        </w:numPr>
        <w:spacing w:after="0"/>
      </w:pPr>
      <w:r>
        <w:t xml:space="preserve">To critically evaluate the effectiveness of Digital Media Investigators utilising triage techniques to reduce the workload of digital forensic units. </w:t>
      </w:r>
    </w:p>
    <w:p w14:paraId="4B8ACE06" w14:textId="277D1BE2" w:rsidR="00195140" w:rsidRPr="005F5411" w:rsidRDefault="007A5409" w:rsidP="00195140">
      <w:pPr>
        <w:pStyle w:val="ListParagraph"/>
        <w:numPr>
          <w:ilvl w:val="0"/>
          <w:numId w:val="2"/>
        </w:numPr>
        <w:spacing w:after="0"/>
      </w:pPr>
      <w:r>
        <w:t xml:space="preserve">To propose </w:t>
      </w:r>
      <w:r w:rsidR="005E758F">
        <w:t xml:space="preserve">potential recommendations for the future development / training of Digital Media Investigators and their </w:t>
      </w:r>
      <w:r w:rsidR="000F218F">
        <w:t>implementation with device triage</w:t>
      </w:r>
    </w:p>
    <w:p w14:paraId="2BE03DCB" w14:textId="77777777" w:rsidR="00195140" w:rsidRPr="0033020F" w:rsidRDefault="00195140" w:rsidP="005F5411"/>
    <w:p w14:paraId="5F17EA40" w14:textId="612E9BE8" w:rsidR="007A5409" w:rsidRDefault="004D39B5" w:rsidP="005F5411">
      <w:r>
        <w:t xml:space="preserve">This research project will involve both a literature review and collection of empirical data from </w:t>
      </w:r>
      <w:r w:rsidR="00454601">
        <w:t xml:space="preserve">officers and </w:t>
      </w:r>
      <w:r>
        <w:t xml:space="preserve">staff within this </w:t>
      </w:r>
      <w:r w:rsidR="00454601">
        <w:t>area of policing</w:t>
      </w:r>
      <w:r>
        <w:t xml:space="preserve">. The </w:t>
      </w:r>
      <w:r w:rsidR="006C3530">
        <w:t xml:space="preserve">secondary data will come from </w:t>
      </w:r>
      <w:r>
        <w:t>literature sources</w:t>
      </w:r>
      <w:r w:rsidR="004C63A1">
        <w:t xml:space="preserve">, the review of which aims to identify the current status of academic research on digital triage and the </w:t>
      </w:r>
      <w:r w:rsidR="004C63A1">
        <w:lastRenderedPageBreak/>
        <w:t xml:space="preserve">role of the DMI. Examples of these sources include </w:t>
      </w:r>
      <w:r w:rsidR="006C3530">
        <w:t xml:space="preserve">journals, e.g., </w:t>
      </w:r>
      <w:r w:rsidR="006C3530">
        <w:rPr>
          <w:i/>
          <w:iCs/>
        </w:rPr>
        <w:t xml:space="preserve">Journal of Forensic Sciences; </w:t>
      </w:r>
      <w:r w:rsidR="006C3530">
        <w:t xml:space="preserve">government reports, e.g., HMICFRS (2022) and books, </w:t>
      </w:r>
      <w:r w:rsidR="008824D5">
        <w:t>e.g.,</w:t>
      </w:r>
      <w:r w:rsidR="006C3530">
        <w:t xml:space="preserve"> Digital Forensic Sciences (Vassil, R. 2017). </w:t>
      </w:r>
      <w:r w:rsidR="001B415A">
        <w:t>T</w:t>
      </w:r>
      <w:r w:rsidR="00EC12C6">
        <w:t xml:space="preserve">he following library databases will be used to support this research project; </w:t>
      </w:r>
      <w:r w:rsidR="001B415A">
        <w:t>UWTSD library, The College of Policing Library</w:t>
      </w:r>
      <w:r w:rsidR="00C4787E">
        <w:t xml:space="preserve"> and Elsevier</w:t>
      </w:r>
      <w:r w:rsidR="00454601">
        <w:t>.</w:t>
      </w:r>
      <w:r w:rsidR="00995D0B">
        <w:t xml:space="preserve"> </w:t>
      </w:r>
    </w:p>
    <w:p w14:paraId="33664102" w14:textId="6F11A0D1" w:rsidR="007A5409" w:rsidRDefault="004C63A1" w:rsidP="005F5411">
      <w:r>
        <w:t xml:space="preserve">Example keywords used to carry out searches on these databases include; </w:t>
      </w:r>
      <w:r>
        <w:rPr>
          <w:i/>
          <w:iCs/>
        </w:rPr>
        <w:t>digital forensics, digital triage, digital criminal investigations.</w:t>
      </w:r>
    </w:p>
    <w:p w14:paraId="11029A5A" w14:textId="5F7B00E9" w:rsidR="00A0315E" w:rsidRDefault="001B415A" w:rsidP="005F5411">
      <w:r>
        <w:t xml:space="preserve">The primary data will consist of </w:t>
      </w:r>
      <w:r w:rsidR="00C43CF7">
        <w:t xml:space="preserve">analysis of responses from a questionnaire submitted to officers and staff in </w:t>
      </w:r>
      <w:r w:rsidR="003808FC">
        <w:t>one police force (Dyfed-Powys Police)</w:t>
      </w:r>
      <w:r w:rsidR="00C43CF7">
        <w:t xml:space="preserve">. The </w:t>
      </w:r>
      <w:r w:rsidR="00995D0B">
        <w:t xml:space="preserve">exact content </w:t>
      </w:r>
      <w:r w:rsidR="009C7E0D">
        <w:t>and methodology employed for</w:t>
      </w:r>
      <w:r w:rsidR="00995D0B">
        <w:t xml:space="preserve"> this questionnaire </w:t>
      </w:r>
      <w:r w:rsidR="009C7E0D">
        <w:t xml:space="preserve">will be based on the results of the literature review. It is envisaged that either a quantitative or mixed method will be utilised.  Whilst Johnson and </w:t>
      </w:r>
      <w:proofErr w:type="spellStart"/>
      <w:r w:rsidR="009C7E0D">
        <w:t>Onwuegbuzi</w:t>
      </w:r>
      <w:proofErr w:type="spellEnd"/>
      <w:r w:rsidR="00C4787E">
        <w:t xml:space="preserve"> (2004)</w:t>
      </w:r>
      <w:r w:rsidR="009C7E0D">
        <w:t xml:space="preserve"> argue that ‘b</w:t>
      </w:r>
      <w:r w:rsidR="009C7E0D" w:rsidRPr="009C7E0D">
        <w:t>y utilising quantitative and qualitative techniques within the same framework,</w:t>
      </w:r>
      <w:r w:rsidR="009C7E0D">
        <w:t xml:space="preserve"> </w:t>
      </w:r>
      <w:r w:rsidR="009C7E0D" w:rsidRPr="009C7E0D">
        <w:t>mixed methods research</w:t>
      </w:r>
      <w:r w:rsidR="009C7E0D">
        <w:t xml:space="preserve"> </w:t>
      </w:r>
      <w:r w:rsidR="009C7E0D" w:rsidRPr="009C7E0D">
        <w:t>can</w:t>
      </w:r>
      <w:r w:rsidR="009C7E0D">
        <w:t xml:space="preserve"> </w:t>
      </w:r>
      <w:r w:rsidR="009C7E0D" w:rsidRPr="009C7E0D">
        <w:t>incorporate</w:t>
      </w:r>
      <w:r w:rsidR="009C7E0D">
        <w:t xml:space="preserve"> </w:t>
      </w:r>
      <w:r w:rsidR="009C7E0D" w:rsidRPr="009C7E0D">
        <w:t>the</w:t>
      </w:r>
      <w:r w:rsidR="009C7E0D">
        <w:t xml:space="preserve"> </w:t>
      </w:r>
      <w:r w:rsidR="009C7E0D" w:rsidRPr="009C7E0D">
        <w:t>strengths of both</w:t>
      </w:r>
      <w:r w:rsidR="009C7E0D">
        <w:t>’</w:t>
      </w:r>
      <w:r w:rsidR="00C4787E">
        <w:t xml:space="preserve">, the field of digital forensics can be </w:t>
      </w:r>
      <w:r w:rsidR="001B21EC">
        <w:t>complex</w:t>
      </w:r>
      <w:r w:rsidR="00C4787E">
        <w:t xml:space="preserve"> for non-specialist staff </w:t>
      </w:r>
      <w:r w:rsidR="001B21EC">
        <w:t>(</w:t>
      </w:r>
      <w:proofErr w:type="spellStart"/>
      <w:r w:rsidR="001B21EC">
        <w:t>Ballucci</w:t>
      </w:r>
      <w:proofErr w:type="spellEnd"/>
      <w:r w:rsidR="001B21EC">
        <w:t xml:space="preserve">, D. and Patel, M. 2021) and it may be that posing open-ended questions to staff who are not experts in that field may lead to responses that are not directly relevant to the research topic.  </w:t>
      </w:r>
    </w:p>
    <w:p w14:paraId="31119865" w14:textId="2660D5C2" w:rsidR="002242C1" w:rsidRDefault="004C63A1" w:rsidP="005F5411">
      <w:r>
        <w:t xml:space="preserve">It is hoped that between 30 and 40 responses will be received from the questionnaire, however should </w:t>
      </w:r>
      <w:r w:rsidR="002242C1">
        <w:t xml:space="preserve">the number of participants fall below </w:t>
      </w:r>
      <w:r w:rsidR="00BE3AC5">
        <w:t>this</w:t>
      </w:r>
      <w:r w:rsidR="002242C1">
        <w:t xml:space="preserve"> then the researcher will carry out follow up interviews. Whilst the content of the questionnaire is yet to be decided, there will be approximately 10 to 15 questions and the answers will be based on a scale or ‘Likert’ system. </w:t>
      </w:r>
    </w:p>
    <w:p w14:paraId="10C9D192" w14:textId="5A274F14" w:rsidR="002242C1" w:rsidRDefault="002242C1" w:rsidP="005F5411">
      <w:r>
        <w:t xml:space="preserve">The questionnaire will be created using Microsoft Forms and distributed to staff within Dyfed Powys police within the criminal investigation department and specialist digital units. </w:t>
      </w:r>
    </w:p>
    <w:p w14:paraId="5043468A" w14:textId="40D577C1" w:rsidR="00454601" w:rsidRDefault="00454601" w:rsidP="005F5411">
      <w:r>
        <w:t>Officers and staff from Dyfed-Powys Police will be selected to participate in the questionnaire. Participation is voluntary and the results will be anonymised. No personal details will be stored, the only information specific to the individual completing the questionnaire will be whether they work in a specialist digital policing department (DFU or DMI) or a frontline role (Uniformed response, CID etc).</w:t>
      </w:r>
      <w:r w:rsidR="00BF0493">
        <w:t xml:space="preserve"> The only ethical issue will be the participants selected to answer the questionnaire will be colleagues of the researcher, some of whom may be known personally. To mitigate this however, all participants are professionals working within policing and are aware of the need to display high levels of integrity and confidentiality. </w:t>
      </w:r>
    </w:p>
    <w:p w14:paraId="535665CF" w14:textId="6FB1513E" w:rsidR="00BE3AC5" w:rsidRDefault="00995D0B">
      <w:r>
        <w:t xml:space="preserve">The data obtained from the questionnaire will be stored securely and access to the data will only be granted to the author of the research project. </w:t>
      </w:r>
      <w:r w:rsidR="00814095">
        <w:t xml:space="preserve">The </w:t>
      </w:r>
      <w:r w:rsidR="00F40566">
        <w:t xml:space="preserve">literature review will aim to identify any repeating themes </w:t>
      </w:r>
      <w:r w:rsidR="00BE3AC5">
        <w:t xml:space="preserve">or patterns within </w:t>
      </w:r>
      <w:r w:rsidR="00F40566">
        <w:t>academic research on digital triage and the role of the DMI</w:t>
      </w:r>
      <w:r w:rsidR="00BE3AC5">
        <w:t xml:space="preserve">, and the results of the questionnaire will be analysed to identify any patterns or trends which corroborate or challenge the results of the literature review. </w:t>
      </w:r>
    </w:p>
    <w:p w14:paraId="283BB530" w14:textId="0086B016" w:rsidR="00BE3AC5" w:rsidRDefault="00995D0B">
      <w:r>
        <w:t>The results of the analysis of this data will be used to make recommendations for future research, the future development / training of Digital Media Investigators and their implementation with device triage.</w:t>
      </w:r>
    </w:p>
    <w:p w14:paraId="4A1DF982" w14:textId="7AF9CEEF" w:rsidR="00BE3AC5" w:rsidRDefault="00BE3AC5"/>
    <w:p w14:paraId="5C84A2E7" w14:textId="676A7053" w:rsidR="00BE3AC5" w:rsidRDefault="00BE3AC5"/>
    <w:p w14:paraId="79641C61" w14:textId="10A1BB97" w:rsidR="00BE3AC5" w:rsidRDefault="00BE3AC5"/>
    <w:p w14:paraId="27A63732" w14:textId="77777777" w:rsidR="00BE3AC5" w:rsidRDefault="00BE3AC5"/>
    <w:p w14:paraId="6FC3B4CF" w14:textId="2EA03A81" w:rsidR="00276282" w:rsidRDefault="0033020F">
      <w:pPr>
        <w:rPr>
          <w:b/>
        </w:rPr>
      </w:pPr>
      <w:r w:rsidRPr="0033020F">
        <w:rPr>
          <w:b/>
        </w:rPr>
        <w:lastRenderedPageBreak/>
        <w:t>Proposed Timeline</w:t>
      </w:r>
      <w:r w:rsidR="005F5411">
        <w:rPr>
          <w:b/>
        </w:rPr>
        <w:t xml:space="preserve"> </w:t>
      </w:r>
    </w:p>
    <w:p w14:paraId="53F12953" w14:textId="77777777" w:rsidR="00BE3AC5" w:rsidRPr="00BE3AC5" w:rsidRDefault="00BE3AC5"/>
    <w:p w14:paraId="03481B55" w14:textId="13933823" w:rsidR="00624819" w:rsidRPr="00276282" w:rsidRDefault="00624819">
      <w:r>
        <w:rPr>
          <w:noProof/>
        </w:rPr>
        <w:drawing>
          <wp:inline distT="0" distB="0" distL="0" distR="0" wp14:anchorId="11DD5CC7" wp14:editId="4706DEE7">
            <wp:extent cx="6080704" cy="2031168"/>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168426" cy="2060470"/>
                    </a:xfrm>
                    <a:prstGeom prst="rect">
                      <a:avLst/>
                    </a:prstGeom>
                  </pic:spPr>
                </pic:pic>
              </a:graphicData>
            </a:graphic>
          </wp:inline>
        </w:drawing>
      </w:r>
    </w:p>
    <w:p w14:paraId="08FA61E6" w14:textId="77777777" w:rsidR="005F5411" w:rsidRDefault="005F5411">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6FA1C6CB" w14:textId="3454132D" w:rsidR="00912ADD" w:rsidRDefault="00982760">
      <w:r>
        <w:t xml:space="preserve">The result of this research project hopes to identify </w:t>
      </w:r>
      <w:r w:rsidR="008A4AE4">
        <w:t>whether the role of the digital media investigator can provide assistance to, and reduce the demand of digital forensic units by implementing triaging techniques. If this is the case, then it may be that the results of this project are used to influence local force policy and procedures on the training and implementation of DMIs</w:t>
      </w:r>
      <w:r w:rsidR="00912ADD">
        <w:t xml:space="preserve">. </w:t>
      </w:r>
    </w:p>
    <w:p w14:paraId="0519EC75" w14:textId="1F9EDA7B" w:rsidR="0033020F" w:rsidRPr="0033020F" w:rsidRDefault="00912ADD">
      <w:pPr>
        <w:rPr>
          <w:b/>
        </w:rPr>
      </w:pPr>
      <w:r>
        <w:t>If digital media investigators can be trained to employ specific triaging techniques</w:t>
      </w:r>
      <w:r w:rsidR="00995D0B">
        <w:t xml:space="preserve"> and it is feasible to do so then introducing this </w:t>
      </w:r>
      <w:r>
        <w:t xml:space="preserve">will help to reduce the workload of DFUs and in turn, improve their effectiveness, allowing for key material required for prosecutions to be obtained in a </w:t>
      </w:r>
      <w:r w:rsidR="00A0315E">
        <w:t>timelier</w:t>
      </w:r>
      <w:r>
        <w:t xml:space="preserve"> manner. </w:t>
      </w:r>
    </w:p>
    <w:p w14:paraId="395ADD4F" w14:textId="6DE8FF75" w:rsidR="00752B35" w:rsidRPr="003936B6" w:rsidRDefault="00752B35">
      <w:pPr>
        <w:rPr>
          <w:rFonts w:ascii="Calibri" w:hAnsi="Calibri" w:cs="Calibri"/>
          <w:sz w:val="24"/>
          <w:szCs w:val="24"/>
        </w:rPr>
      </w:pPr>
    </w:p>
    <w:p w14:paraId="057C2A50" w14:textId="2A7FE036" w:rsidR="003936B6" w:rsidRDefault="003936B6" w:rsidP="003936B6">
      <w:pPr>
        <w:jc w:val="center"/>
        <w:rPr>
          <w:rFonts w:ascii="Calibri" w:hAnsi="Calibri" w:cs="Calibri"/>
          <w:sz w:val="24"/>
          <w:szCs w:val="24"/>
          <w:u w:val="single"/>
        </w:rPr>
      </w:pPr>
      <w:r w:rsidRPr="00D95EC5">
        <w:rPr>
          <w:rFonts w:ascii="Calibri" w:hAnsi="Calibri" w:cs="Calibri"/>
          <w:sz w:val="24"/>
          <w:szCs w:val="24"/>
          <w:u w:val="single"/>
        </w:rPr>
        <w:t>Reference List</w:t>
      </w:r>
    </w:p>
    <w:p w14:paraId="06C942ED" w14:textId="623A01B0" w:rsidR="001B21EC" w:rsidRPr="001B21EC" w:rsidRDefault="001B21EC" w:rsidP="001B21EC">
      <w:pPr>
        <w:spacing w:line="240" w:lineRule="auto"/>
        <w:jc w:val="both"/>
        <w:rPr>
          <w:rFonts w:ascii="Calibri" w:hAnsi="Calibri" w:cs="Calibri"/>
          <w:sz w:val="24"/>
          <w:szCs w:val="24"/>
        </w:rPr>
      </w:pPr>
      <w:proofErr w:type="spellStart"/>
      <w:r w:rsidRPr="001B21EC">
        <w:rPr>
          <w:rFonts w:ascii="Calibri" w:hAnsi="Calibri" w:cs="Calibri"/>
          <w:sz w:val="24"/>
          <w:szCs w:val="24"/>
        </w:rPr>
        <w:t>Ballucci</w:t>
      </w:r>
      <w:proofErr w:type="spellEnd"/>
      <w:r w:rsidRPr="001B21EC">
        <w:rPr>
          <w:rFonts w:ascii="Calibri" w:hAnsi="Calibri" w:cs="Calibri"/>
          <w:sz w:val="24"/>
          <w:szCs w:val="24"/>
        </w:rPr>
        <w:t xml:space="preserve">, D and Patel, M. (2021) ‘Digital media ‘changes the game’: investigating digital affordances impacts on sex crime and policing in the 21st century’, </w:t>
      </w:r>
      <w:r w:rsidRPr="001B21EC">
        <w:rPr>
          <w:rFonts w:ascii="Calibri" w:hAnsi="Calibri" w:cs="Calibri"/>
          <w:i/>
          <w:iCs/>
          <w:sz w:val="24"/>
          <w:szCs w:val="24"/>
        </w:rPr>
        <w:t>Information, Communication &amp; Society</w:t>
      </w:r>
      <w:r w:rsidRPr="001B21EC">
        <w:rPr>
          <w:rFonts w:ascii="Calibri" w:hAnsi="Calibri" w:cs="Calibri"/>
          <w:sz w:val="24"/>
          <w:szCs w:val="24"/>
        </w:rPr>
        <w:t xml:space="preserve"> DOI: 10.1080/1369118X.2022.2113422 </w:t>
      </w:r>
      <w:r>
        <w:rPr>
          <w:rFonts w:ascii="Calibri" w:hAnsi="Calibri" w:cs="Calibri"/>
          <w:sz w:val="24"/>
          <w:szCs w:val="24"/>
        </w:rPr>
        <w:t>(Accessed: 16</w:t>
      </w:r>
      <w:r w:rsidRPr="001B21EC">
        <w:rPr>
          <w:rFonts w:ascii="Calibri" w:hAnsi="Calibri" w:cs="Calibri"/>
          <w:sz w:val="24"/>
          <w:szCs w:val="24"/>
          <w:vertAlign w:val="superscript"/>
        </w:rPr>
        <w:t>th</w:t>
      </w:r>
      <w:r>
        <w:rPr>
          <w:rFonts w:ascii="Calibri" w:hAnsi="Calibri" w:cs="Calibri"/>
          <w:sz w:val="24"/>
          <w:szCs w:val="24"/>
        </w:rPr>
        <w:t xml:space="preserve"> February 2023)</w:t>
      </w:r>
    </w:p>
    <w:p w14:paraId="3BF1623C" w14:textId="001C6C55" w:rsidR="003936B6" w:rsidRPr="00D95EC5" w:rsidRDefault="00D95EC5" w:rsidP="003808FC">
      <w:pPr>
        <w:jc w:val="both"/>
        <w:rPr>
          <w:rFonts w:ascii="Calibri" w:hAnsi="Calibri" w:cs="Calibri"/>
          <w:sz w:val="24"/>
          <w:szCs w:val="24"/>
        </w:rPr>
      </w:pPr>
      <w:r w:rsidRPr="00D95EC5">
        <w:rPr>
          <w:rFonts w:ascii="Calibri" w:hAnsi="Calibri" w:cs="Calibri"/>
          <w:sz w:val="24"/>
          <w:szCs w:val="24"/>
        </w:rPr>
        <w:t xml:space="preserve">Casey, E. (2019) ‘The chequered past and risky future of digital forensics’ </w:t>
      </w:r>
      <w:r w:rsidRPr="00D95EC5">
        <w:rPr>
          <w:rFonts w:ascii="Calibri" w:hAnsi="Calibri" w:cs="Calibri"/>
          <w:i/>
          <w:iCs/>
          <w:sz w:val="24"/>
          <w:szCs w:val="24"/>
        </w:rPr>
        <w:t xml:space="preserve">Australian Journal of Forensic Sciences 51 (6) </w:t>
      </w:r>
      <w:r w:rsidRPr="00D95EC5">
        <w:rPr>
          <w:rFonts w:ascii="Calibri" w:hAnsi="Calibri" w:cs="Calibri"/>
          <w:sz w:val="24"/>
          <w:szCs w:val="24"/>
        </w:rPr>
        <w:t xml:space="preserve">p.649 – 664. DOI: </w:t>
      </w:r>
      <w:r w:rsidRPr="00D95EC5">
        <w:rPr>
          <w:sz w:val="24"/>
          <w:szCs w:val="24"/>
        </w:rPr>
        <w:t>10.1080/00450618.2018.1554090. (Accessed: 8</w:t>
      </w:r>
      <w:r w:rsidRPr="00D95EC5">
        <w:rPr>
          <w:sz w:val="24"/>
          <w:szCs w:val="24"/>
          <w:vertAlign w:val="superscript"/>
        </w:rPr>
        <w:t>th</w:t>
      </w:r>
      <w:r w:rsidRPr="00D95EC5">
        <w:rPr>
          <w:sz w:val="24"/>
          <w:szCs w:val="24"/>
        </w:rPr>
        <w:t xml:space="preserve"> February 2023)</w:t>
      </w:r>
    </w:p>
    <w:p w14:paraId="6F33AD39" w14:textId="45145063" w:rsidR="003936B6" w:rsidRDefault="003936B6" w:rsidP="003808FC">
      <w:pPr>
        <w:jc w:val="both"/>
        <w:rPr>
          <w:rFonts w:ascii="Calibri" w:hAnsi="Calibri" w:cs="Calibri"/>
          <w:sz w:val="24"/>
          <w:szCs w:val="24"/>
        </w:rPr>
      </w:pPr>
      <w:r w:rsidRPr="00D95EC5">
        <w:rPr>
          <w:rFonts w:ascii="Calibri" w:hAnsi="Calibri" w:cs="Calibri"/>
          <w:sz w:val="24"/>
          <w:szCs w:val="24"/>
        </w:rPr>
        <w:t xml:space="preserve">Crown Prosecution Service (2018) </w:t>
      </w:r>
      <w:r w:rsidRPr="00D95EC5">
        <w:rPr>
          <w:rFonts w:ascii="Calibri" w:hAnsi="Calibri" w:cs="Calibri"/>
          <w:i/>
          <w:iCs/>
          <w:sz w:val="24"/>
          <w:szCs w:val="24"/>
        </w:rPr>
        <w:t xml:space="preserve">Joint review of the disclosure process in the case of R v Allan. </w:t>
      </w:r>
      <w:r w:rsidRPr="00D95EC5">
        <w:rPr>
          <w:rFonts w:ascii="Calibri" w:hAnsi="Calibri" w:cs="Calibri"/>
          <w:sz w:val="24"/>
          <w:szCs w:val="24"/>
        </w:rPr>
        <w:t>Available at: https://www.cps.gov.uk/publication/joint-review-disclosure-process-case-r-v-allan (Accessed: 8</w:t>
      </w:r>
      <w:r w:rsidRPr="00D95EC5">
        <w:rPr>
          <w:rFonts w:ascii="Calibri" w:hAnsi="Calibri" w:cs="Calibri"/>
          <w:sz w:val="24"/>
          <w:szCs w:val="24"/>
          <w:vertAlign w:val="superscript"/>
        </w:rPr>
        <w:t>th</w:t>
      </w:r>
      <w:r w:rsidRPr="00D95EC5">
        <w:rPr>
          <w:rFonts w:ascii="Calibri" w:hAnsi="Calibri" w:cs="Calibri"/>
          <w:sz w:val="24"/>
          <w:szCs w:val="24"/>
        </w:rPr>
        <w:t xml:space="preserve"> February 2023)</w:t>
      </w:r>
    </w:p>
    <w:p w14:paraId="375CC859" w14:textId="4D1DA9B1" w:rsidR="00B25B90" w:rsidRDefault="00B25B90" w:rsidP="003808FC">
      <w:pPr>
        <w:jc w:val="both"/>
        <w:rPr>
          <w:rFonts w:ascii="Calibri" w:hAnsi="Calibri" w:cs="Calibri"/>
          <w:sz w:val="24"/>
          <w:szCs w:val="24"/>
        </w:rPr>
      </w:pPr>
      <w:r>
        <w:rPr>
          <w:rFonts w:ascii="Calibri" w:hAnsi="Calibri" w:cs="Calibri"/>
          <w:sz w:val="24"/>
          <w:szCs w:val="24"/>
        </w:rPr>
        <w:t xml:space="preserve">College of Policing (2023) </w:t>
      </w:r>
      <w:r w:rsidRPr="00B25B90">
        <w:rPr>
          <w:rFonts w:ascii="Calibri" w:hAnsi="Calibri" w:cs="Calibri"/>
          <w:i/>
          <w:iCs/>
          <w:sz w:val="24"/>
          <w:szCs w:val="24"/>
        </w:rPr>
        <w:t>Digital Media Investigators</w:t>
      </w:r>
      <w:r>
        <w:rPr>
          <w:rFonts w:ascii="Calibri" w:hAnsi="Calibri" w:cs="Calibri"/>
          <w:sz w:val="24"/>
          <w:szCs w:val="24"/>
        </w:rPr>
        <w:t xml:space="preserve">. Available at: </w:t>
      </w:r>
      <w:r w:rsidRPr="00B25B90">
        <w:rPr>
          <w:rFonts w:ascii="Calibri" w:hAnsi="Calibri" w:cs="Calibri"/>
          <w:sz w:val="24"/>
          <w:szCs w:val="24"/>
        </w:rPr>
        <w:t>https://profdev.college.police.uk/professional-profile/digital-media-investigator/</w:t>
      </w:r>
      <w:r>
        <w:rPr>
          <w:rFonts w:ascii="Calibri" w:hAnsi="Calibri" w:cs="Calibri"/>
          <w:sz w:val="24"/>
          <w:szCs w:val="24"/>
        </w:rPr>
        <w:t xml:space="preserve"> (Accessed 8</w:t>
      </w:r>
      <w:r w:rsidRPr="00B25B90">
        <w:rPr>
          <w:rFonts w:ascii="Calibri" w:hAnsi="Calibri" w:cs="Calibri"/>
          <w:sz w:val="24"/>
          <w:szCs w:val="24"/>
          <w:vertAlign w:val="superscript"/>
        </w:rPr>
        <w:t>th</w:t>
      </w:r>
      <w:r>
        <w:rPr>
          <w:rFonts w:ascii="Calibri" w:hAnsi="Calibri" w:cs="Calibri"/>
          <w:sz w:val="24"/>
          <w:szCs w:val="24"/>
        </w:rPr>
        <w:t xml:space="preserve"> February 2023)</w:t>
      </w:r>
    </w:p>
    <w:p w14:paraId="0603C4C5" w14:textId="669332B6" w:rsidR="00D42755" w:rsidRPr="00D42755" w:rsidRDefault="00D42755" w:rsidP="003808FC">
      <w:pPr>
        <w:jc w:val="both"/>
        <w:rPr>
          <w:rFonts w:ascii="Calibri" w:hAnsi="Calibri" w:cs="Calibri"/>
          <w:sz w:val="24"/>
          <w:szCs w:val="24"/>
        </w:rPr>
      </w:pPr>
      <w:r>
        <w:rPr>
          <w:rFonts w:ascii="Calibri" w:hAnsi="Calibri" w:cs="Calibri"/>
          <w:sz w:val="24"/>
          <w:szCs w:val="24"/>
        </w:rPr>
        <w:lastRenderedPageBreak/>
        <w:t xml:space="preserve">Horsman, G. (2020) The COLLECTORS ranking scale for ‘at-scene; digital device triage. </w:t>
      </w:r>
      <w:r>
        <w:rPr>
          <w:rFonts w:ascii="Calibri" w:hAnsi="Calibri" w:cs="Calibri"/>
          <w:i/>
          <w:iCs/>
          <w:sz w:val="24"/>
          <w:szCs w:val="24"/>
        </w:rPr>
        <w:t xml:space="preserve">Journal of Forensic Sciences </w:t>
      </w:r>
      <w:r>
        <w:rPr>
          <w:rFonts w:ascii="Calibri" w:hAnsi="Calibri" w:cs="Calibri"/>
          <w:sz w:val="24"/>
          <w:szCs w:val="24"/>
        </w:rPr>
        <w:t xml:space="preserve">66(1) pp.179-189. DOI: </w:t>
      </w:r>
      <w:r w:rsidRPr="00D42755">
        <w:rPr>
          <w:rFonts w:ascii="Calibri" w:hAnsi="Calibri" w:cs="Calibri"/>
          <w:sz w:val="24"/>
          <w:szCs w:val="24"/>
        </w:rPr>
        <w:t>10.1111/1556-4029.14582</w:t>
      </w:r>
      <w:r>
        <w:rPr>
          <w:rFonts w:ascii="Calibri" w:hAnsi="Calibri" w:cs="Calibri"/>
          <w:sz w:val="24"/>
          <w:szCs w:val="24"/>
        </w:rPr>
        <w:t xml:space="preserve"> (Accessed: 15</w:t>
      </w:r>
      <w:r w:rsidRPr="00D42755">
        <w:rPr>
          <w:rFonts w:ascii="Calibri" w:hAnsi="Calibri" w:cs="Calibri"/>
          <w:sz w:val="24"/>
          <w:szCs w:val="24"/>
          <w:vertAlign w:val="superscript"/>
        </w:rPr>
        <w:t>th</w:t>
      </w:r>
      <w:r>
        <w:rPr>
          <w:rFonts w:ascii="Calibri" w:hAnsi="Calibri" w:cs="Calibri"/>
          <w:sz w:val="24"/>
          <w:szCs w:val="24"/>
        </w:rPr>
        <w:t xml:space="preserve"> February 2023)</w:t>
      </w:r>
    </w:p>
    <w:p w14:paraId="7F71C2D7" w14:textId="3A1AFCA5" w:rsidR="007F1232" w:rsidRDefault="007F1232" w:rsidP="003808FC">
      <w:pPr>
        <w:jc w:val="both"/>
        <w:rPr>
          <w:rFonts w:ascii="Calibri" w:hAnsi="Calibri" w:cs="Calibri"/>
          <w:sz w:val="24"/>
          <w:szCs w:val="24"/>
        </w:rPr>
      </w:pPr>
      <w:r>
        <w:rPr>
          <w:rFonts w:ascii="Calibri" w:hAnsi="Calibri" w:cs="Calibri"/>
          <w:sz w:val="24"/>
          <w:szCs w:val="24"/>
        </w:rPr>
        <w:t xml:space="preserve">Horvath, D. </w:t>
      </w:r>
      <w:r>
        <w:rPr>
          <w:rFonts w:ascii="Calibri" w:hAnsi="Calibri" w:cs="Calibri"/>
          <w:i/>
          <w:iCs/>
          <w:sz w:val="24"/>
          <w:szCs w:val="24"/>
        </w:rPr>
        <w:t xml:space="preserve">et all. </w:t>
      </w:r>
      <w:r>
        <w:rPr>
          <w:rFonts w:ascii="Calibri" w:hAnsi="Calibri" w:cs="Calibri"/>
          <w:sz w:val="24"/>
          <w:szCs w:val="24"/>
        </w:rPr>
        <w:t xml:space="preserve">(2018) </w:t>
      </w:r>
      <w:r>
        <w:rPr>
          <w:rFonts w:ascii="Calibri" w:hAnsi="Calibri" w:cs="Calibri"/>
          <w:i/>
          <w:iCs/>
          <w:sz w:val="24"/>
          <w:szCs w:val="24"/>
        </w:rPr>
        <w:t xml:space="preserve">An Evidenced-based Evaluation of the Role of the Digital Media Investigator Within West Yorkshire Police </w:t>
      </w:r>
      <w:r>
        <w:rPr>
          <w:rFonts w:ascii="Calibri" w:hAnsi="Calibri" w:cs="Calibri"/>
          <w:sz w:val="24"/>
          <w:szCs w:val="24"/>
        </w:rPr>
        <w:t xml:space="preserve">(Unpublished) Available at: </w:t>
      </w:r>
      <w:r w:rsidRPr="007F1232">
        <w:rPr>
          <w:rFonts w:ascii="Calibri" w:hAnsi="Calibri" w:cs="Calibri"/>
          <w:sz w:val="24"/>
          <w:szCs w:val="24"/>
        </w:rPr>
        <w:t>https://eprints.leedsbeckett.ac.uk/id/eprint/5072/</w:t>
      </w:r>
      <w:r>
        <w:rPr>
          <w:rFonts w:ascii="Calibri" w:hAnsi="Calibri" w:cs="Calibri"/>
          <w:sz w:val="24"/>
          <w:szCs w:val="24"/>
        </w:rPr>
        <w:t xml:space="preserve"> (Accessed 12</w:t>
      </w:r>
      <w:r w:rsidRPr="007F1232">
        <w:rPr>
          <w:rFonts w:ascii="Calibri" w:hAnsi="Calibri" w:cs="Calibri"/>
          <w:sz w:val="24"/>
          <w:szCs w:val="24"/>
          <w:vertAlign w:val="superscript"/>
        </w:rPr>
        <w:t>th</w:t>
      </w:r>
      <w:r>
        <w:rPr>
          <w:rFonts w:ascii="Calibri" w:hAnsi="Calibri" w:cs="Calibri"/>
          <w:sz w:val="24"/>
          <w:szCs w:val="24"/>
        </w:rPr>
        <w:t xml:space="preserve"> February 2023)</w:t>
      </w:r>
    </w:p>
    <w:p w14:paraId="385B064E" w14:textId="613E6624" w:rsidR="00C4787E" w:rsidRPr="00C4787E" w:rsidRDefault="00C4787E" w:rsidP="003808FC">
      <w:pPr>
        <w:jc w:val="both"/>
        <w:rPr>
          <w:rFonts w:ascii="Calibri" w:hAnsi="Calibri" w:cs="Calibri"/>
          <w:sz w:val="24"/>
          <w:szCs w:val="24"/>
        </w:rPr>
      </w:pPr>
      <w:r>
        <w:rPr>
          <w:rFonts w:ascii="Calibri" w:hAnsi="Calibri" w:cs="Calibri"/>
          <w:sz w:val="24"/>
          <w:szCs w:val="24"/>
        </w:rPr>
        <w:t xml:space="preserve">Johnson, R.B and Onwuegbuzie, A.J. (2004) ‘Mixed Methods Research: A Research Paradigm Whose Time Has Come, </w:t>
      </w:r>
      <w:r>
        <w:rPr>
          <w:rFonts w:ascii="Calibri" w:hAnsi="Calibri" w:cs="Calibri"/>
          <w:i/>
          <w:iCs/>
          <w:sz w:val="24"/>
          <w:szCs w:val="24"/>
        </w:rPr>
        <w:t>Educational Researcher</w:t>
      </w:r>
      <w:r>
        <w:rPr>
          <w:rFonts w:ascii="Calibri" w:hAnsi="Calibri" w:cs="Calibri"/>
          <w:sz w:val="24"/>
          <w:szCs w:val="24"/>
        </w:rPr>
        <w:t xml:space="preserve"> 33(7) pp. 3-58. DOI: </w:t>
      </w:r>
      <w:r w:rsidRPr="00C4787E">
        <w:rPr>
          <w:rFonts w:ascii="Calibri" w:hAnsi="Calibri" w:cs="Calibri"/>
          <w:sz w:val="24"/>
          <w:szCs w:val="24"/>
        </w:rPr>
        <w:t>https://doi.org/10.3102/0013189X033007014</w:t>
      </w:r>
      <w:r>
        <w:rPr>
          <w:rFonts w:ascii="Calibri" w:hAnsi="Calibri" w:cs="Calibri"/>
          <w:sz w:val="24"/>
          <w:szCs w:val="24"/>
        </w:rPr>
        <w:t xml:space="preserve"> (Accessed: 16</w:t>
      </w:r>
      <w:r w:rsidRPr="00C4787E">
        <w:rPr>
          <w:rFonts w:ascii="Calibri" w:hAnsi="Calibri" w:cs="Calibri"/>
          <w:sz w:val="24"/>
          <w:szCs w:val="24"/>
          <w:vertAlign w:val="superscript"/>
        </w:rPr>
        <w:t>th</w:t>
      </w:r>
      <w:r>
        <w:rPr>
          <w:rFonts w:ascii="Calibri" w:hAnsi="Calibri" w:cs="Calibri"/>
          <w:sz w:val="24"/>
          <w:szCs w:val="24"/>
        </w:rPr>
        <w:t xml:space="preserve"> February 2023)</w:t>
      </w:r>
    </w:p>
    <w:p w14:paraId="2A5C9A7C" w14:textId="33D249A1" w:rsidR="002C4FCB" w:rsidRPr="002C4FCB" w:rsidRDefault="0037466D" w:rsidP="003808FC">
      <w:pPr>
        <w:jc w:val="both"/>
        <w:rPr>
          <w:rFonts w:ascii="Calibri" w:hAnsi="Calibri" w:cs="Calibri"/>
          <w:sz w:val="24"/>
          <w:szCs w:val="24"/>
        </w:rPr>
      </w:pPr>
      <w:r>
        <w:rPr>
          <w:rFonts w:ascii="Calibri" w:hAnsi="Calibri" w:cs="Calibri"/>
          <w:sz w:val="24"/>
          <w:szCs w:val="24"/>
        </w:rPr>
        <w:t xml:space="preserve">The Police Foundation (2021) </w:t>
      </w:r>
      <w:r w:rsidRPr="0037466D">
        <w:rPr>
          <w:rFonts w:ascii="Calibri" w:hAnsi="Calibri" w:cs="Calibri"/>
          <w:i/>
          <w:iCs/>
          <w:sz w:val="24"/>
          <w:szCs w:val="24"/>
        </w:rPr>
        <w:t>Unleashing the</w:t>
      </w:r>
      <w:r>
        <w:rPr>
          <w:rFonts w:ascii="Calibri" w:hAnsi="Calibri" w:cs="Calibri"/>
          <w:sz w:val="24"/>
          <w:szCs w:val="24"/>
        </w:rPr>
        <w:t xml:space="preserve"> </w:t>
      </w:r>
      <w:r>
        <w:rPr>
          <w:rFonts w:ascii="Calibri" w:hAnsi="Calibri" w:cs="Calibri"/>
          <w:i/>
          <w:iCs/>
          <w:sz w:val="24"/>
          <w:szCs w:val="24"/>
        </w:rPr>
        <w:t>Value of Digital Forensics</w:t>
      </w:r>
      <w:r w:rsidR="00B97DB6">
        <w:rPr>
          <w:rFonts w:ascii="Calibri" w:hAnsi="Calibri" w:cs="Calibri"/>
          <w:i/>
          <w:iCs/>
          <w:sz w:val="24"/>
          <w:szCs w:val="24"/>
        </w:rPr>
        <w:t xml:space="preserve">. </w:t>
      </w:r>
      <w:r w:rsidR="00B97DB6">
        <w:rPr>
          <w:rFonts w:ascii="Calibri" w:hAnsi="Calibri" w:cs="Calibri"/>
          <w:sz w:val="24"/>
          <w:szCs w:val="24"/>
        </w:rPr>
        <w:t xml:space="preserve">Available at: </w:t>
      </w:r>
      <w:r w:rsidR="00B97DB6" w:rsidRPr="00B97DB6">
        <w:rPr>
          <w:rFonts w:ascii="Calibri" w:hAnsi="Calibri" w:cs="Calibri"/>
          <w:sz w:val="24"/>
          <w:szCs w:val="24"/>
        </w:rPr>
        <w:t>https://www.police-foundation.org.uk/2017/wp-content/uploads/2010/10/value_of_digital_forensics.pdf</w:t>
      </w:r>
      <w:r w:rsidR="00B97DB6">
        <w:rPr>
          <w:rFonts w:ascii="Calibri" w:hAnsi="Calibri" w:cs="Calibri"/>
          <w:sz w:val="24"/>
          <w:szCs w:val="24"/>
        </w:rPr>
        <w:t xml:space="preserve"> (Accessed 11th February 2023)</w:t>
      </w:r>
    </w:p>
    <w:p w14:paraId="3DBD2C66" w14:textId="5827CC11" w:rsidR="002C4FCB" w:rsidRDefault="002C4FCB" w:rsidP="003808FC">
      <w:pPr>
        <w:jc w:val="both"/>
        <w:rPr>
          <w:rFonts w:ascii="Calibri" w:hAnsi="Calibri" w:cs="Calibri"/>
          <w:sz w:val="24"/>
          <w:szCs w:val="24"/>
        </w:rPr>
      </w:pPr>
      <w:r w:rsidRPr="002C4FCB">
        <w:rPr>
          <w:rFonts w:ascii="Calibri" w:hAnsi="Calibri" w:cs="Calibri"/>
          <w:sz w:val="24"/>
          <w:szCs w:val="24"/>
        </w:rPr>
        <w:t>Pollitt, M.M</w:t>
      </w:r>
      <w:r w:rsidR="00D42755">
        <w:rPr>
          <w:rFonts w:ascii="Calibri" w:hAnsi="Calibri" w:cs="Calibri"/>
          <w:sz w:val="24"/>
          <w:szCs w:val="24"/>
        </w:rPr>
        <w:t>. (</w:t>
      </w:r>
      <w:r w:rsidRPr="002C4FCB">
        <w:rPr>
          <w:rFonts w:ascii="Calibri" w:hAnsi="Calibri" w:cs="Calibri"/>
          <w:sz w:val="24"/>
          <w:szCs w:val="24"/>
        </w:rPr>
        <w:t>2013</w:t>
      </w:r>
      <w:r w:rsidR="00D42755">
        <w:rPr>
          <w:rFonts w:ascii="Calibri" w:hAnsi="Calibri" w:cs="Calibri"/>
          <w:sz w:val="24"/>
          <w:szCs w:val="24"/>
        </w:rPr>
        <w:t>)</w:t>
      </w:r>
      <w:r w:rsidRPr="002C4FCB">
        <w:rPr>
          <w:rFonts w:ascii="Calibri" w:hAnsi="Calibri" w:cs="Calibri"/>
          <w:sz w:val="24"/>
          <w:szCs w:val="24"/>
        </w:rPr>
        <w:t xml:space="preserve"> </w:t>
      </w:r>
      <w:r w:rsidR="003A0D16">
        <w:rPr>
          <w:rFonts w:ascii="Calibri" w:hAnsi="Calibri" w:cs="Calibri"/>
          <w:sz w:val="24"/>
          <w:szCs w:val="24"/>
        </w:rPr>
        <w:t>‘</w:t>
      </w:r>
      <w:r w:rsidRPr="002C4FCB">
        <w:rPr>
          <w:rFonts w:ascii="Calibri" w:hAnsi="Calibri" w:cs="Calibri"/>
          <w:sz w:val="24"/>
          <w:szCs w:val="24"/>
        </w:rPr>
        <w:t>Triage: A practical solution or admission of failure</w:t>
      </w:r>
      <w:r w:rsidR="003A0D16">
        <w:rPr>
          <w:rFonts w:ascii="Calibri" w:hAnsi="Calibri" w:cs="Calibri"/>
          <w:sz w:val="24"/>
          <w:szCs w:val="24"/>
        </w:rPr>
        <w:t>’</w:t>
      </w:r>
      <w:r w:rsidRPr="002C4FCB">
        <w:rPr>
          <w:rFonts w:ascii="Calibri" w:hAnsi="Calibri" w:cs="Calibri"/>
          <w:sz w:val="24"/>
          <w:szCs w:val="24"/>
        </w:rPr>
        <w:t xml:space="preserve"> </w:t>
      </w:r>
      <w:r w:rsidRPr="00D42755">
        <w:rPr>
          <w:rFonts w:ascii="Calibri" w:hAnsi="Calibri" w:cs="Calibri"/>
          <w:i/>
          <w:iCs/>
          <w:sz w:val="24"/>
          <w:szCs w:val="24"/>
        </w:rPr>
        <w:t>Digital Investigation</w:t>
      </w:r>
      <w:r w:rsidRPr="002C4FCB">
        <w:rPr>
          <w:rFonts w:ascii="Calibri" w:hAnsi="Calibri" w:cs="Calibri"/>
          <w:sz w:val="24"/>
          <w:szCs w:val="24"/>
        </w:rPr>
        <w:t>, 10(2):</w:t>
      </w:r>
      <w:r>
        <w:rPr>
          <w:rFonts w:ascii="Calibri" w:hAnsi="Calibri" w:cs="Calibri"/>
          <w:sz w:val="24"/>
          <w:szCs w:val="24"/>
        </w:rPr>
        <w:t xml:space="preserve"> pp.</w:t>
      </w:r>
      <w:r w:rsidRPr="002C4FCB">
        <w:rPr>
          <w:rFonts w:ascii="Calibri" w:hAnsi="Calibri" w:cs="Calibri"/>
          <w:sz w:val="24"/>
          <w:szCs w:val="24"/>
        </w:rPr>
        <w:t>87-88.</w:t>
      </w:r>
      <w:r w:rsidR="00D42755">
        <w:rPr>
          <w:rFonts w:ascii="Calibri" w:hAnsi="Calibri" w:cs="Calibri"/>
          <w:sz w:val="24"/>
          <w:szCs w:val="24"/>
        </w:rPr>
        <w:t xml:space="preserve"> (Accessed 15</w:t>
      </w:r>
      <w:r w:rsidR="00D42755" w:rsidRPr="00D42755">
        <w:rPr>
          <w:rFonts w:ascii="Calibri" w:hAnsi="Calibri" w:cs="Calibri"/>
          <w:sz w:val="24"/>
          <w:szCs w:val="24"/>
          <w:vertAlign w:val="superscript"/>
        </w:rPr>
        <w:t>th</w:t>
      </w:r>
      <w:r w:rsidR="00D42755">
        <w:rPr>
          <w:rFonts w:ascii="Calibri" w:hAnsi="Calibri" w:cs="Calibri"/>
          <w:sz w:val="24"/>
          <w:szCs w:val="24"/>
        </w:rPr>
        <w:t xml:space="preserve"> February 2023)</w:t>
      </w:r>
    </w:p>
    <w:p w14:paraId="3656D65D" w14:textId="3717AEF7" w:rsidR="003A0D16" w:rsidRPr="003A0D16" w:rsidRDefault="003A0D16" w:rsidP="003808FC">
      <w:pPr>
        <w:jc w:val="both"/>
        <w:rPr>
          <w:rFonts w:ascii="Calibri" w:hAnsi="Calibri" w:cs="Calibri"/>
          <w:sz w:val="24"/>
          <w:szCs w:val="24"/>
        </w:rPr>
      </w:pPr>
      <w:r>
        <w:rPr>
          <w:rFonts w:ascii="Calibri" w:hAnsi="Calibri" w:cs="Calibri"/>
          <w:sz w:val="24"/>
          <w:szCs w:val="24"/>
        </w:rPr>
        <w:t xml:space="preserve">Wilson-Kovacs, D (2019) ‘Effective resource management in digital forensics: an exploratory analysis of triage practices in four English Constabularies’ </w:t>
      </w:r>
      <w:r>
        <w:rPr>
          <w:rFonts w:ascii="Calibri" w:hAnsi="Calibri" w:cs="Calibri"/>
          <w:i/>
          <w:iCs/>
          <w:sz w:val="24"/>
          <w:szCs w:val="24"/>
        </w:rPr>
        <w:t>Policing: An International Journal</w:t>
      </w:r>
      <w:r>
        <w:rPr>
          <w:rFonts w:ascii="Calibri" w:hAnsi="Calibri" w:cs="Calibri"/>
          <w:sz w:val="24"/>
          <w:szCs w:val="24"/>
        </w:rPr>
        <w:t xml:space="preserve"> 43(1) pp. 77-90 DOI: </w:t>
      </w:r>
      <w:r w:rsidRPr="003A0D16">
        <w:rPr>
          <w:rFonts w:ascii="Calibri" w:hAnsi="Calibri" w:cs="Calibri"/>
          <w:sz w:val="24"/>
          <w:szCs w:val="24"/>
        </w:rPr>
        <w:t>https://doi.org/10.1108/PIJPSM-07-2019-0126</w:t>
      </w:r>
      <w:r>
        <w:rPr>
          <w:rFonts w:ascii="Calibri" w:hAnsi="Calibri" w:cs="Calibri"/>
          <w:sz w:val="24"/>
          <w:szCs w:val="24"/>
        </w:rPr>
        <w:t xml:space="preserve"> (Accessed: 15</w:t>
      </w:r>
      <w:r w:rsidRPr="003A0D16">
        <w:rPr>
          <w:rFonts w:ascii="Calibri" w:hAnsi="Calibri" w:cs="Calibri"/>
          <w:sz w:val="24"/>
          <w:szCs w:val="24"/>
          <w:vertAlign w:val="superscript"/>
        </w:rPr>
        <w:t>th</w:t>
      </w:r>
      <w:r>
        <w:rPr>
          <w:rFonts w:ascii="Calibri" w:hAnsi="Calibri" w:cs="Calibri"/>
          <w:sz w:val="24"/>
          <w:szCs w:val="24"/>
        </w:rPr>
        <w:t xml:space="preserve"> </w:t>
      </w:r>
      <w:proofErr w:type="spellStart"/>
      <w:r>
        <w:rPr>
          <w:rFonts w:ascii="Calibri" w:hAnsi="Calibri" w:cs="Calibri"/>
          <w:sz w:val="24"/>
          <w:szCs w:val="24"/>
        </w:rPr>
        <w:t>Febrary</w:t>
      </w:r>
      <w:proofErr w:type="spellEnd"/>
      <w:r>
        <w:rPr>
          <w:rFonts w:ascii="Calibri" w:hAnsi="Calibri" w:cs="Calibri"/>
          <w:sz w:val="24"/>
          <w:szCs w:val="24"/>
        </w:rPr>
        <w:t xml:space="preserve"> 2023)</w:t>
      </w:r>
    </w:p>
    <w:p w14:paraId="3DD467B9" w14:textId="208653BE" w:rsidR="00B97DB6" w:rsidRDefault="00B97DB6" w:rsidP="003808FC">
      <w:pPr>
        <w:jc w:val="both"/>
        <w:rPr>
          <w:rFonts w:ascii="Calibri" w:hAnsi="Calibri" w:cs="Calibri"/>
          <w:sz w:val="24"/>
          <w:szCs w:val="24"/>
        </w:rPr>
      </w:pPr>
      <w:r>
        <w:rPr>
          <w:rFonts w:ascii="Calibri" w:hAnsi="Calibri" w:cs="Calibri"/>
          <w:sz w:val="24"/>
          <w:szCs w:val="24"/>
        </w:rPr>
        <w:t>Wilson-Kovacs, D (2021) ‘Digital Media Investigators: challenges and opportunities in the use of digital forensics in police investigations in England and Wales’</w:t>
      </w:r>
      <w:r w:rsidR="007F1232">
        <w:rPr>
          <w:rFonts w:ascii="Calibri" w:hAnsi="Calibri" w:cs="Calibri"/>
          <w:sz w:val="24"/>
          <w:szCs w:val="24"/>
        </w:rPr>
        <w:t xml:space="preserve">, </w:t>
      </w:r>
      <w:r w:rsidR="007F1232">
        <w:rPr>
          <w:rFonts w:ascii="Calibri" w:hAnsi="Calibri" w:cs="Calibri"/>
          <w:i/>
          <w:iCs/>
          <w:sz w:val="24"/>
          <w:szCs w:val="24"/>
        </w:rPr>
        <w:t>Policing: An International Journal</w:t>
      </w:r>
      <w:r w:rsidR="007F1232">
        <w:rPr>
          <w:rFonts w:ascii="Calibri" w:hAnsi="Calibri" w:cs="Calibri"/>
          <w:sz w:val="24"/>
          <w:szCs w:val="24"/>
        </w:rPr>
        <w:t xml:space="preserve">, 44(4) pp. 669-682. DOI: </w:t>
      </w:r>
      <w:r w:rsidR="007F1232" w:rsidRPr="007F1232">
        <w:rPr>
          <w:rFonts w:ascii="Calibri" w:hAnsi="Calibri" w:cs="Calibri"/>
          <w:sz w:val="24"/>
          <w:szCs w:val="24"/>
        </w:rPr>
        <w:t>10.1108/PIJPSM-02-2021-0019</w:t>
      </w:r>
    </w:p>
    <w:p w14:paraId="5C4770DF" w14:textId="3BC1F47A" w:rsidR="007F1232" w:rsidRDefault="007F1232" w:rsidP="003808FC">
      <w:pPr>
        <w:jc w:val="both"/>
        <w:rPr>
          <w:rFonts w:ascii="Calibri" w:hAnsi="Calibri" w:cs="Calibri"/>
          <w:sz w:val="24"/>
          <w:szCs w:val="24"/>
        </w:rPr>
      </w:pPr>
    </w:p>
    <w:p w14:paraId="1ACCC184" w14:textId="77777777" w:rsidR="007F1232" w:rsidRPr="007F1232" w:rsidRDefault="007F1232">
      <w:pPr>
        <w:rPr>
          <w:rFonts w:ascii="Calibri" w:hAnsi="Calibri" w:cs="Calibri"/>
          <w:sz w:val="24"/>
          <w:szCs w:val="24"/>
        </w:rPr>
      </w:pPr>
    </w:p>
    <w:p w14:paraId="3034E926" w14:textId="77777777" w:rsidR="00B97DB6" w:rsidRPr="00B97DB6" w:rsidRDefault="00B97DB6">
      <w:pPr>
        <w:rPr>
          <w:rFonts w:ascii="Calibri" w:hAnsi="Calibri" w:cs="Calibri"/>
          <w:sz w:val="24"/>
          <w:szCs w:val="24"/>
        </w:rPr>
      </w:pPr>
    </w:p>
    <w:p w14:paraId="0723B715" w14:textId="77777777" w:rsidR="00B97DB6" w:rsidRPr="0037466D" w:rsidRDefault="00B97DB6">
      <w:pPr>
        <w:rPr>
          <w:rFonts w:ascii="Calibri" w:hAnsi="Calibri" w:cs="Calibri"/>
          <w:i/>
          <w:iCs/>
          <w:sz w:val="24"/>
          <w:szCs w:val="24"/>
        </w:rPr>
      </w:pPr>
    </w:p>
    <w:sectPr w:rsidR="00B97DB6" w:rsidRPr="0037466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482F1" w14:textId="77777777" w:rsidR="00CE051B" w:rsidRDefault="00CE051B">
      <w:pPr>
        <w:spacing w:after="0" w:line="240" w:lineRule="auto"/>
      </w:pPr>
      <w:r>
        <w:separator/>
      </w:r>
    </w:p>
  </w:endnote>
  <w:endnote w:type="continuationSeparator" w:id="0">
    <w:p w14:paraId="4945821D" w14:textId="77777777" w:rsidR="00CE051B" w:rsidRDefault="00CE0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F549A" w14:textId="77777777" w:rsidR="00CE051B" w:rsidRDefault="00CE051B">
      <w:pPr>
        <w:spacing w:after="0" w:line="240" w:lineRule="auto"/>
      </w:pPr>
      <w:r>
        <w:separator/>
      </w:r>
    </w:p>
  </w:footnote>
  <w:footnote w:type="continuationSeparator" w:id="0">
    <w:p w14:paraId="7AC64B49" w14:textId="77777777" w:rsidR="00CE051B" w:rsidRDefault="00CE0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72C000BD"/>
    <w:multiLevelType w:val="hybridMultilevel"/>
    <w:tmpl w:val="02188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2531390">
    <w:abstractNumId w:val="0"/>
  </w:num>
  <w:num w:numId="2" w16cid:durableId="938756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11772"/>
    <w:rsid w:val="00055777"/>
    <w:rsid w:val="0005688E"/>
    <w:rsid w:val="000B73B9"/>
    <w:rsid w:val="000F218F"/>
    <w:rsid w:val="00195140"/>
    <w:rsid w:val="001A2678"/>
    <w:rsid w:val="001B21EC"/>
    <w:rsid w:val="001B415A"/>
    <w:rsid w:val="001C1012"/>
    <w:rsid w:val="002242C1"/>
    <w:rsid w:val="0022579F"/>
    <w:rsid w:val="0023445A"/>
    <w:rsid w:val="00241066"/>
    <w:rsid w:val="0025050A"/>
    <w:rsid w:val="00276282"/>
    <w:rsid w:val="002C199C"/>
    <w:rsid w:val="002C4FCB"/>
    <w:rsid w:val="002C7C83"/>
    <w:rsid w:val="002E1B7E"/>
    <w:rsid w:val="003205AF"/>
    <w:rsid w:val="0033020F"/>
    <w:rsid w:val="00367B19"/>
    <w:rsid w:val="0037466D"/>
    <w:rsid w:val="003808FC"/>
    <w:rsid w:val="003936B6"/>
    <w:rsid w:val="003A0D16"/>
    <w:rsid w:val="003F592E"/>
    <w:rsid w:val="00433AC6"/>
    <w:rsid w:val="00454601"/>
    <w:rsid w:val="004C63A1"/>
    <w:rsid w:val="004D39B5"/>
    <w:rsid w:val="005426E7"/>
    <w:rsid w:val="005749A9"/>
    <w:rsid w:val="005E758F"/>
    <w:rsid w:val="005F5411"/>
    <w:rsid w:val="00617C1D"/>
    <w:rsid w:val="00624819"/>
    <w:rsid w:val="00627F72"/>
    <w:rsid w:val="00633EA5"/>
    <w:rsid w:val="00645474"/>
    <w:rsid w:val="006A5F6B"/>
    <w:rsid w:val="006C0402"/>
    <w:rsid w:val="006C3530"/>
    <w:rsid w:val="006C654F"/>
    <w:rsid w:val="00704F93"/>
    <w:rsid w:val="0073725B"/>
    <w:rsid w:val="00752B35"/>
    <w:rsid w:val="007902FB"/>
    <w:rsid w:val="007A3B9C"/>
    <w:rsid w:val="007A5409"/>
    <w:rsid w:val="007C6772"/>
    <w:rsid w:val="007E73A7"/>
    <w:rsid w:val="007F1232"/>
    <w:rsid w:val="00814095"/>
    <w:rsid w:val="00872AC6"/>
    <w:rsid w:val="008824D5"/>
    <w:rsid w:val="008A4AE4"/>
    <w:rsid w:val="008B718C"/>
    <w:rsid w:val="008C3F8E"/>
    <w:rsid w:val="008D5463"/>
    <w:rsid w:val="008F337D"/>
    <w:rsid w:val="00912ADD"/>
    <w:rsid w:val="0094574D"/>
    <w:rsid w:val="00953E79"/>
    <w:rsid w:val="00964E53"/>
    <w:rsid w:val="00982760"/>
    <w:rsid w:val="00995D0B"/>
    <w:rsid w:val="009C2B6D"/>
    <w:rsid w:val="009C7E0D"/>
    <w:rsid w:val="009F7AF9"/>
    <w:rsid w:val="00A0315E"/>
    <w:rsid w:val="00A039BC"/>
    <w:rsid w:val="00A37A54"/>
    <w:rsid w:val="00AD1044"/>
    <w:rsid w:val="00B25B90"/>
    <w:rsid w:val="00B4122D"/>
    <w:rsid w:val="00B7429B"/>
    <w:rsid w:val="00B81A18"/>
    <w:rsid w:val="00B864BC"/>
    <w:rsid w:val="00B97DB6"/>
    <w:rsid w:val="00BB1679"/>
    <w:rsid w:val="00BC6DB5"/>
    <w:rsid w:val="00BE3AC5"/>
    <w:rsid w:val="00BF0493"/>
    <w:rsid w:val="00C214AB"/>
    <w:rsid w:val="00C25C79"/>
    <w:rsid w:val="00C42086"/>
    <w:rsid w:val="00C43CF7"/>
    <w:rsid w:val="00C4787E"/>
    <w:rsid w:val="00C61404"/>
    <w:rsid w:val="00C72902"/>
    <w:rsid w:val="00CA2E0A"/>
    <w:rsid w:val="00CD0B76"/>
    <w:rsid w:val="00CE051B"/>
    <w:rsid w:val="00CF4316"/>
    <w:rsid w:val="00D071DE"/>
    <w:rsid w:val="00D42755"/>
    <w:rsid w:val="00D51F63"/>
    <w:rsid w:val="00D952C9"/>
    <w:rsid w:val="00D95EC5"/>
    <w:rsid w:val="00DD1069"/>
    <w:rsid w:val="00DE4C6B"/>
    <w:rsid w:val="00E30BED"/>
    <w:rsid w:val="00E353D4"/>
    <w:rsid w:val="00E8201E"/>
    <w:rsid w:val="00EB3B75"/>
    <w:rsid w:val="00EC12C6"/>
    <w:rsid w:val="00F062D4"/>
    <w:rsid w:val="00F40566"/>
    <w:rsid w:val="00F90982"/>
    <w:rsid w:val="00FE627F"/>
    <w:rsid w:val="00FF3FAA"/>
    <w:rsid w:val="28767A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195140"/>
    <w:pPr>
      <w:ind w:left="720"/>
      <w:contextualSpacing/>
    </w:pPr>
  </w:style>
  <w:style w:type="character" w:styleId="Hyperlink">
    <w:name w:val="Hyperlink"/>
    <w:basedOn w:val="DefaultParagraphFont"/>
    <w:uiPriority w:val="99"/>
    <w:unhideWhenUsed/>
    <w:rsid w:val="00D95EC5"/>
    <w:rPr>
      <w:color w:val="0000FF"/>
      <w:u w:val="single"/>
    </w:rPr>
  </w:style>
  <w:style w:type="character" w:styleId="UnresolvedMention">
    <w:name w:val="Unresolved Mention"/>
    <w:basedOn w:val="DefaultParagraphFont"/>
    <w:uiPriority w:val="99"/>
    <w:semiHidden/>
    <w:unhideWhenUsed/>
    <w:rsid w:val="00D95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5</Pages>
  <Words>1831</Words>
  <Characters>10438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Sam Phillips</cp:lastModifiedBy>
  <cp:revision>42</cp:revision>
  <dcterms:created xsi:type="dcterms:W3CDTF">2022-02-18T16:20:00Z</dcterms:created>
  <dcterms:modified xsi:type="dcterms:W3CDTF">2023-02-26T16:08:00Z</dcterms:modified>
</cp:coreProperties>
</file>