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EB959" w14:textId="77777777" w:rsidR="000B7822" w:rsidRDefault="000B7822">
      <w:pPr>
        <w:spacing w:line="360" w:lineRule="auto"/>
        <w:jc w:val="center"/>
        <w:rPr>
          <w:rFonts w:ascii="Times New Roman" w:hAnsi="Times New Roman" w:cs="Times New Roman"/>
          <w:b/>
          <w:bCs/>
          <w:sz w:val="24"/>
          <w:szCs w:val="24"/>
          <w:lang w:val="en-GB"/>
        </w:rPr>
      </w:pPr>
    </w:p>
    <w:p w14:paraId="71496458" w14:textId="77777777" w:rsidR="000B7822" w:rsidRDefault="000B7822">
      <w:pPr>
        <w:spacing w:line="360" w:lineRule="auto"/>
        <w:jc w:val="center"/>
        <w:rPr>
          <w:rFonts w:ascii="Times New Roman" w:hAnsi="Times New Roman" w:cs="Times New Roman"/>
          <w:b/>
          <w:bCs/>
          <w:sz w:val="24"/>
          <w:szCs w:val="24"/>
          <w:lang w:val="en-GB"/>
        </w:rPr>
      </w:pPr>
    </w:p>
    <w:p w14:paraId="279B7C15" w14:textId="77777777" w:rsidR="000B7822" w:rsidRDefault="000B7822">
      <w:pPr>
        <w:spacing w:line="360" w:lineRule="auto"/>
        <w:jc w:val="center"/>
        <w:rPr>
          <w:rFonts w:ascii="Times New Roman" w:hAnsi="Times New Roman" w:cs="Times New Roman"/>
          <w:b/>
          <w:bCs/>
          <w:sz w:val="24"/>
          <w:szCs w:val="24"/>
          <w:lang w:val="en-GB"/>
        </w:rPr>
      </w:pPr>
    </w:p>
    <w:p w14:paraId="12F3EBB4" w14:textId="77777777" w:rsidR="000B7822" w:rsidRDefault="000B7822">
      <w:pPr>
        <w:spacing w:line="360" w:lineRule="auto"/>
        <w:jc w:val="center"/>
        <w:rPr>
          <w:rFonts w:ascii="Times New Roman" w:hAnsi="Times New Roman" w:cs="Times New Roman"/>
          <w:b/>
          <w:bCs/>
          <w:sz w:val="24"/>
          <w:szCs w:val="24"/>
          <w:lang w:val="en-GB"/>
        </w:rPr>
      </w:pPr>
    </w:p>
    <w:p w14:paraId="32A6031A" w14:textId="77777777" w:rsidR="000B7822" w:rsidRDefault="000B7822">
      <w:pPr>
        <w:spacing w:line="360" w:lineRule="auto"/>
        <w:jc w:val="center"/>
        <w:rPr>
          <w:rFonts w:ascii="Times New Roman" w:hAnsi="Times New Roman" w:cs="Times New Roman"/>
          <w:b/>
          <w:bCs/>
          <w:sz w:val="24"/>
          <w:szCs w:val="24"/>
          <w:lang w:val="en-GB"/>
        </w:rPr>
      </w:pPr>
    </w:p>
    <w:p w14:paraId="25D1C474" w14:textId="77777777" w:rsidR="000B7822" w:rsidRDefault="000B7822">
      <w:pPr>
        <w:spacing w:line="360" w:lineRule="auto"/>
        <w:jc w:val="center"/>
        <w:rPr>
          <w:rFonts w:ascii="Times New Roman" w:hAnsi="Times New Roman" w:cs="Times New Roman"/>
          <w:b/>
          <w:bCs/>
          <w:sz w:val="24"/>
          <w:szCs w:val="24"/>
          <w:lang w:val="en-GB"/>
        </w:rPr>
      </w:pPr>
    </w:p>
    <w:p w14:paraId="7B6A5EF8" w14:textId="77777777" w:rsidR="000B7822" w:rsidRDefault="000B7822">
      <w:pPr>
        <w:spacing w:line="360" w:lineRule="auto"/>
        <w:jc w:val="center"/>
        <w:rPr>
          <w:rFonts w:ascii="Times New Roman" w:hAnsi="Times New Roman" w:cs="Times New Roman"/>
          <w:b/>
          <w:bCs/>
          <w:sz w:val="24"/>
          <w:szCs w:val="24"/>
          <w:lang w:val="en-GB"/>
        </w:rPr>
      </w:pPr>
    </w:p>
    <w:p w14:paraId="3ACA3F37" w14:textId="77777777" w:rsidR="000B7822" w:rsidRDefault="000B7822">
      <w:pPr>
        <w:spacing w:line="360" w:lineRule="auto"/>
        <w:jc w:val="center"/>
        <w:rPr>
          <w:rFonts w:ascii="Times New Roman" w:hAnsi="Times New Roman" w:cs="Times New Roman"/>
          <w:b/>
          <w:bCs/>
          <w:sz w:val="24"/>
          <w:szCs w:val="24"/>
          <w:lang w:val="en-GB"/>
        </w:rPr>
      </w:pPr>
    </w:p>
    <w:p w14:paraId="7BE7E2D7" w14:textId="77777777" w:rsidR="000B7822" w:rsidRDefault="0096145B">
      <w:pPr>
        <w:spacing w:line="36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An Ethical Assessment of Management Theories: The case of Enron </w:t>
      </w:r>
    </w:p>
    <w:p w14:paraId="09F64559" w14:textId="77777777" w:rsidR="000B7822" w:rsidRDefault="0096145B">
      <w:pPr>
        <w:spacing w:line="360" w:lineRule="auto"/>
        <w:jc w:val="center"/>
        <w:rPr>
          <w:rFonts w:ascii="Times New Roman" w:hAnsi="Times New Roman" w:cs="Times New Roman"/>
          <w:bCs/>
          <w:sz w:val="24"/>
          <w:szCs w:val="24"/>
          <w:lang w:val="en-GB"/>
        </w:rPr>
      </w:pPr>
      <w:r>
        <w:rPr>
          <w:rFonts w:ascii="Times New Roman" w:hAnsi="Times New Roman" w:cs="Times New Roman"/>
          <w:bCs/>
          <w:sz w:val="24"/>
          <w:szCs w:val="24"/>
          <w:lang w:val="en-GB"/>
        </w:rPr>
        <w:t>Word Count: 2,623</w:t>
      </w:r>
    </w:p>
    <w:p w14:paraId="47CF28BF" w14:textId="77777777" w:rsidR="000B7822" w:rsidRDefault="000B7822">
      <w:pPr>
        <w:spacing w:line="360" w:lineRule="auto"/>
        <w:jc w:val="both"/>
        <w:rPr>
          <w:rFonts w:ascii="Times New Roman" w:hAnsi="Times New Roman" w:cs="Times New Roman"/>
          <w:bCs/>
          <w:sz w:val="24"/>
          <w:szCs w:val="24"/>
          <w:lang w:val="en-GB"/>
        </w:rPr>
      </w:pPr>
    </w:p>
    <w:p w14:paraId="715AF0D0" w14:textId="77777777" w:rsidR="000B7822" w:rsidRDefault="000B7822">
      <w:pPr>
        <w:spacing w:line="360" w:lineRule="auto"/>
        <w:jc w:val="both"/>
        <w:rPr>
          <w:rFonts w:ascii="Times New Roman" w:hAnsi="Times New Roman" w:cs="Times New Roman"/>
          <w:bCs/>
          <w:sz w:val="24"/>
          <w:szCs w:val="24"/>
          <w:lang w:val="en-GB"/>
        </w:rPr>
      </w:pPr>
    </w:p>
    <w:p w14:paraId="48D55C10" w14:textId="77777777" w:rsidR="000B7822" w:rsidRDefault="000B7822">
      <w:pPr>
        <w:spacing w:line="360" w:lineRule="auto"/>
        <w:jc w:val="both"/>
        <w:rPr>
          <w:rFonts w:ascii="Times New Roman" w:hAnsi="Times New Roman" w:cs="Times New Roman"/>
          <w:bCs/>
          <w:sz w:val="24"/>
          <w:szCs w:val="24"/>
          <w:lang w:val="en-GB"/>
        </w:rPr>
      </w:pPr>
    </w:p>
    <w:p w14:paraId="3C39BF6F" w14:textId="77777777" w:rsidR="000B7822" w:rsidRDefault="000B7822">
      <w:pPr>
        <w:spacing w:line="360" w:lineRule="auto"/>
        <w:jc w:val="both"/>
        <w:rPr>
          <w:rFonts w:ascii="Times New Roman" w:hAnsi="Times New Roman" w:cs="Times New Roman"/>
          <w:bCs/>
          <w:sz w:val="24"/>
          <w:szCs w:val="24"/>
          <w:lang w:val="en-GB"/>
        </w:rPr>
      </w:pPr>
    </w:p>
    <w:p w14:paraId="0E71D533" w14:textId="77777777" w:rsidR="000B7822" w:rsidRDefault="000B7822">
      <w:pPr>
        <w:spacing w:line="360" w:lineRule="auto"/>
        <w:jc w:val="both"/>
        <w:rPr>
          <w:rFonts w:ascii="Times New Roman" w:hAnsi="Times New Roman" w:cs="Times New Roman"/>
          <w:bCs/>
          <w:sz w:val="24"/>
          <w:szCs w:val="24"/>
          <w:lang w:val="en-GB"/>
        </w:rPr>
      </w:pPr>
    </w:p>
    <w:p w14:paraId="400CD121" w14:textId="77777777" w:rsidR="000B7822" w:rsidRDefault="000B7822">
      <w:pPr>
        <w:spacing w:line="360" w:lineRule="auto"/>
        <w:jc w:val="both"/>
        <w:rPr>
          <w:rFonts w:ascii="Times New Roman" w:hAnsi="Times New Roman" w:cs="Times New Roman"/>
          <w:bCs/>
          <w:sz w:val="24"/>
          <w:szCs w:val="24"/>
          <w:lang w:val="en-GB"/>
        </w:rPr>
      </w:pPr>
    </w:p>
    <w:p w14:paraId="46BFC364" w14:textId="77777777" w:rsidR="000B7822" w:rsidRDefault="000B7822">
      <w:pPr>
        <w:spacing w:line="360" w:lineRule="auto"/>
        <w:jc w:val="both"/>
        <w:rPr>
          <w:rFonts w:ascii="Times New Roman" w:hAnsi="Times New Roman" w:cs="Times New Roman"/>
          <w:bCs/>
          <w:sz w:val="24"/>
          <w:szCs w:val="24"/>
          <w:lang w:val="en-GB"/>
        </w:rPr>
      </w:pPr>
    </w:p>
    <w:p w14:paraId="45B7BC74" w14:textId="77777777" w:rsidR="000B7822" w:rsidRDefault="000B7822">
      <w:pPr>
        <w:spacing w:line="360" w:lineRule="auto"/>
        <w:jc w:val="both"/>
        <w:rPr>
          <w:rFonts w:ascii="Times New Roman" w:hAnsi="Times New Roman" w:cs="Times New Roman"/>
          <w:bCs/>
          <w:sz w:val="24"/>
          <w:szCs w:val="24"/>
          <w:lang w:val="en-GB"/>
        </w:rPr>
      </w:pPr>
    </w:p>
    <w:p w14:paraId="34C581E9" w14:textId="77777777" w:rsidR="000B7822" w:rsidRDefault="000B7822">
      <w:pPr>
        <w:spacing w:line="360" w:lineRule="auto"/>
        <w:jc w:val="both"/>
        <w:rPr>
          <w:rFonts w:ascii="Times New Roman" w:hAnsi="Times New Roman" w:cs="Times New Roman"/>
          <w:bCs/>
          <w:sz w:val="24"/>
          <w:szCs w:val="24"/>
          <w:lang w:val="en-GB"/>
        </w:rPr>
      </w:pPr>
    </w:p>
    <w:p w14:paraId="1815A455" w14:textId="77777777" w:rsidR="000B7822" w:rsidRDefault="000B7822">
      <w:pPr>
        <w:spacing w:line="360" w:lineRule="auto"/>
        <w:jc w:val="both"/>
        <w:rPr>
          <w:rFonts w:ascii="Times New Roman" w:hAnsi="Times New Roman" w:cs="Times New Roman"/>
          <w:bCs/>
          <w:sz w:val="24"/>
          <w:szCs w:val="24"/>
          <w:lang w:val="en-GB"/>
        </w:rPr>
      </w:pPr>
    </w:p>
    <w:p w14:paraId="114E1ECF" w14:textId="77777777" w:rsidR="000B7822" w:rsidRDefault="0096145B">
      <w:pPr>
        <w:pStyle w:val="ac"/>
        <w:jc w:val="right"/>
        <w:rPr>
          <w:rFonts w:ascii="Times New Roman" w:eastAsiaTheme="minorEastAsia" w:hAnsi="Times New Roman" w:cs="Times New Roman"/>
          <w:b/>
          <w:sz w:val="24"/>
          <w:szCs w:val="24"/>
        </w:rPr>
      </w:pPr>
      <w:r>
        <w:rPr>
          <w:rFonts w:ascii="Times New Roman" w:eastAsiaTheme="minorEastAsia" w:hAnsi="Times New Roman" w:cs="Times New Roman"/>
          <w:b/>
          <w:sz w:val="24"/>
          <w:szCs w:val="24"/>
        </w:rPr>
        <w:t xml:space="preserve">Tongxin Tang 2107042 </w:t>
      </w:r>
    </w:p>
    <w:p w14:paraId="7D009B13" w14:textId="77777777" w:rsidR="000B7822" w:rsidRDefault="0096145B">
      <w:pPr>
        <w:pStyle w:val="ac"/>
        <w:wordWrap w:val="0"/>
        <w:jc w:val="right"/>
        <w:rPr>
          <w:rFonts w:ascii="Arial" w:hAnsi="Arial" w:cs="Arial"/>
          <w:color w:val="595959"/>
          <w:sz w:val="24"/>
          <w:szCs w:val="24"/>
          <w:lang w:eastAsia="zh-CN"/>
        </w:rPr>
      </w:pPr>
      <w:r>
        <w:rPr>
          <w:rFonts w:ascii="Times New Roman" w:hAnsi="Times New Roman" w:cs="Times New Roman" w:hint="eastAsia"/>
          <w:b/>
          <w:sz w:val="24"/>
          <w:szCs w:val="24"/>
          <w:lang w:eastAsia="zh-CN"/>
        </w:rPr>
        <w:t>Contemporary Issues in Management BMBM6003</w:t>
      </w:r>
    </w:p>
    <w:p w14:paraId="1B4A2ABB" w14:textId="77777777" w:rsidR="000B7822" w:rsidRDefault="000B7822">
      <w:pPr>
        <w:spacing w:line="360" w:lineRule="auto"/>
        <w:jc w:val="both"/>
        <w:rPr>
          <w:rFonts w:ascii="Times New Roman" w:hAnsi="Times New Roman" w:cs="Times New Roman"/>
          <w:bCs/>
          <w:sz w:val="24"/>
          <w:szCs w:val="24"/>
          <w:lang w:val="en-GB"/>
        </w:rPr>
        <w:sectPr w:rsidR="000B7822">
          <w:footerReference w:type="default" r:id="rId7"/>
          <w:pgSz w:w="12240" w:h="15840"/>
          <w:pgMar w:top="1440" w:right="1440" w:bottom="1440" w:left="1440" w:header="708" w:footer="708" w:gutter="0"/>
          <w:cols w:space="708"/>
          <w:docGrid w:linePitch="360"/>
        </w:sectPr>
      </w:pPr>
    </w:p>
    <w:p w14:paraId="075600F5" w14:textId="77777777" w:rsidR="000B7822" w:rsidRDefault="0096145B">
      <w:pPr>
        <w:spacing w:line="360" w:lineRule="auto"/>
        <w:jc w:val="both"/>
        <w:rPr>
          <w:rFonts w:ascii="Times New Roman" w:hAnsi="Times New Roman" w:cs="Times New Roman"/>
          <w:bCs/>
          <w:sz w:val="24"/>
          <w:szCs w:val="24"/>
          <w:lang w:val="en-GB"/>
        </w:rPr>
      </w:pPr>
      <w:bookmarkStart w:id="0" w:name="_Toc152865254"/>
      <w:r>
        <w:rPr>
          <w:rStyle w:val="10"/>
          <w:rFonts w:cs="Times New Roman"/>
          <w:color w:val="auto"/>
        </w:rPr>
        <w:lastRenderedPageBreak/>
        <w:t>Executive Summary</w:t>
      </w:r>
      <w:bookmarkEnd w:id="0"/>
      <w:r>
        <w:rPr>
          <w:rFonts w:ascii="Times New Roman" w:hAnsi="Times New Roman" w:cs="Times New Roman"/>
          <w:bCs/>
          <w:sz w:val="24"/>
          <w:szCs w:val="24"/>
          <w:lang w:val="en-GB"/>
        </w:rPr>
        <w:t xml:space="preserve"> </w:t>
      </w:r>
    </w:p>
    <w:p w14:paraId="096F7340" w14:textId="77777777" w:rsidR="000B7822" w:rsidRDefault="0096145B">
      <w:pPr>
        <w:spacing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 xml:space="preserve">The report analyses the case of Enron from the perspectives of the ethical assessment of leadership theories. The report has four major sections. The first part of the report introduces Enron, a US-based energy firm started in 1985 by </w:t>
      </w:r>
      <w:r>
        <w:rPr>
          <w:rFonts w:ascii="Times New Roman" w:hAnsi="Times New Roman" w:cs="Times New Roman"/>
          <w:bCs/>
          <w:sz w:val="24"/>
          <w:szCs w:val="24"/>
        </w:rPr>
        <w:t>Kenneth Lay. Enron, however, collapsed in 2001 due to unethical practices of the leaders such as manipulating company books of accounts to present a different image to the investors. Section two of the report critiques mainstream and critical management theories. Unlike mainstream leadership theories that advocates for status quo, critical management theories offer a range of alternatives to leadership. The section also discusses the role of the manager and the effects of autocratic leadership in the failur</w:t>
      </w:r>
      <w:r>
        <w:rPr>
          <w:rFonts w:ascii="Times New Roman" w:hAnsi="Times New Roman" w:cs="Times New Roman"/>
          <w:bCs/>
          <w:sz w:val="24"/>
          <w:szCs w:val="24"/>
        </w:rPr>
        <w:t xml:space="preserve">e of Enron. This section underscores that irrespective of the leadership style of management theory adopted in an organisation, there is need for leaders and managers to stick to business ethics in their management practices. The section also notes that failure to stick to business ethics may lead to organisation failure. Business ethics offer guiding principles to leaders and managers. The report notes that the top executives amongst others forced employees to invest their retirement plans in Enron stock, </w:t>
      </w:r>
      <w:r>
        <w:rPr>
          <w:rFonts w:ascii="Times New Roman" w:hAnsi="Times New Roman" w:cs="Times New Roman"/>
          <w:bCs/>
          <w:sz w:val="24"/>
          <w:szCs w:val="24"/>
        </w:rPr>
        <w:t>limited the junior employees from withdrawing their retirement plans, and manipulated company books to create unrealistic impression to the investors. These led to the failure of the company in 2001. Section three of the report presents a summary of major issues discussed in the report. Finally, section four of the report suggests that no single leadership or management style in itself integrates ethical business practice. The leaders therefore need to integrate these practices in their management of the or</w:t>
      </w:r>
      <w:r>
        <w:rPr>
          <w:rFonts w:ascii="Times New Roman" w:hAnsi="Times New Roman" w:cs="Times New Roman"/>
          <w:bCs/>
          <w:sz w:val="24"/>
          <w:szCs w:val="24"/>
        </w:rPr>
        <w:t xml:space="preserve">ganisation. Similarly, the report recommends that leaders need to integrate ethics and CSR in organisational strategies to improve firm performance. </w:t>
      </w:r>
    </w:p>
    <w:p w14:paraId="13A5133A" w14:textId="77777777" w:rsidR="000B7822" w:rsidRDefault="000B7822">
      <w:pPr>
        <w:spacing w:line="360" w:lineRule="auto"/>
        <w:jc w:val="both"/>
        <w:rPr>
          <w:rFonts w:ascii="Times New Roman" w:hAnsi="Times New Roman" w:cs="Times New Roman"/>
          <w:bCs/>
          <w:sz w:val="24"/>
          <w:szCs w:val="24"/>
          <w:lang w:val="en-GB"/>
        </w:rPr>
        <w:sectPr w:rsidR="000B7822">
          <w:pgSz w:w="12240" w:h="15840"/>
          <w:pgMar w:top="1440" w:right="1440" w:bottom="1440" w:left="1440" w:header="708" w:footer="708" w:gutter="0"/>
          <w:cols w:space="708"/>
          <w:docGrid w:linePitch="360"/>
        </w:sectPr>
      </w:pPr>
    </w:p>
    <w:sdt>
      <w:sdtPr>
        <w:rPr>
          <w:rFonts w:ascii="Times New Roman" w:eastAsiaTheme="minorHAnsi" w:hAnsi="Times New Roman" w:cs="Times New Roman"/>
          <w:color w:val="auto"/>
          <w:sz w:val="22"/>
          <w:szCs w:val="22"/>
        </w:rPr>
        <w:id w:val="-1780402682"/>
        <w:docPartObj>
          <w:docPartGallery w:val="Table of Contents"/>
          <w:docPartUnique/>
        </w:docPartObj>
      </w:sdtPr>
      <w:sdtEndPr>
        <w:rPr>
          <w:rFonts w:eastAsiaTheme="minorEastAsia"/>
          <w:b/>
          <w:bCs/>
        </w:rPr>
      </w:sdtEndPr>
      <w:sdtContent>
        <w:p w14:paraId="3EDF5BA8" w14:textId="77777777" w:rsidR="000B7822" w:rsidRDefault="0096145B">
          <w:pPr>
            <w:pStyle w:val="TOC10"/>
            <w:rPr>
              <w:rFonts w:ascii="Times New Roman" w:hAnsi="Times New Roman" w:cs="Times New Roman"/>
              <w:color w:val="auto"/>
            </w:rPr>
          </w:pPr>
          <w:r>
            <w:rPr>
              <w:rFonts w:ascii="Times New Roman" w:hAnsi="Times New Roman" w:cs="Times New Roman"/>
              <w:color w:val="auto"/>
            </w:rPr>
            <w:t>Contents</w:t>
          </w:r>
        </w:p>
        <w:p w14:paraId="19CC0FBB" w14:textId="77777777" w:rsidR="000B7822" w:rsidRDefault="0096145B">
          <w:pPr>
            <w:pStyle w:val="TOC1"/>
            <w:tabs>
              <w:tab w:val="right" w:leader="dot" w:pos="9350"/>
            </w:tabs>
            <w:rPr>
              <w:rFonts w:ascii="Times New Roman" w:hAnsi="Times New Roman" w:cs="Times New Roman"/>
              <w:kern w:val="2"/>
              <w:sz w:val="21"/>
              <w:lang w:eastAsia="zh-CN"/>
              <w14:ligatures w14:val="standardContextual"/>
            </w:rPr>
          </w:pPr>
          <w:r>
            <w:rPr>
              <w:rFonts w:ascii="Times New Roman" w:hAnsi="Times New Roman" w:cs="Times New Roman"/>
              <w:b/>
              <w:bCs/>
            </w:rPr>
            <w:fldChar w:fldCharType="begin"/>
          </w:r>
          <w:r>
            <w:rPr>
              <w:rFonts w:ascii="Times New Roman" w:hAnsi="Times New Roman" w:cs="Times New Roman"/>
              <w:b/>
              <w:bCs/>
            </w:rPr>
            <w:instrText xml:space="preserve"> TOC \o "1-4" \h \z \u </w:instrText>
          </w:r>
          <w:r>
            <w:rPr>
              <w:rFonts w:ascii="Times New Roman" w:hAnsi="Times New Roman" w:cs="Times New Roman"/>
              <w:b/>
              <w:bCs/>
            </w:rPr>
            <w:fldChar w:fldCharType="separate"/>
          </w:r>
          <w:hyperlink w:anchor="_Toc152865254" w:history="1">
            <w:r>
              <w:rPr>
                <w:rStyle w:val="ab"/>
                <w:rFonts w:ascii="Times New Roman" w:hAnsi="Times New Roman" w:cs="Times New Roman"/>
                <w:color w:val="auto"/>
              </w:rPr>
              <w:t>Executive Summary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_Toc152865254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2</w:t>
            </w:r>
            <w:r>
              <w:rPr>
                <w:rFonts w:ascii="Times New Roman" w:hAnsi="Times New Roman" w:cs="Times New Roman"/>
              </w:rPr>
              <w:fldChar w:fldCharType="end"/>
            </w:r>
          </w:hyperlink>
        </w:p>
        <w:p w14:paraId="4484284A" w14:textId="77777777" w:rsidR="000B7822" w:rsidRDefault="0096145B">
          <w:pPr>
            <w:pStyle w:val="TOC1"/>
            <w:tabs>
              <w:tab w:val="right" w:leader="dot" w:pos="9350"/>
            </w:tabs>
            <w:rPr>
              <w:rFonts w:ascii="Times New Roman" w:hAnsi="Times New Roman" w:cs="Times New Roman"/>
              <w:kern w:val="2"/>
              <w:sz w:val="21"/>
              <w:lang w:eastAsia="zh-CN"/>
              <w14:ligatures w14:val="standardContextual"/>
            </w:rPr>
          </w:pPr>
          <w:hyperlink w:anchor="_Toc152865255" w:history="1">
            <w:r>
              <w:rPr>
                <w:rStyle w:val="ab"/>
                <w:rFonts w:ascii="Times New Roman" w:hAnsi="Times New Roman" w:cs="Times New Roman"/>
                <w:color w:val="auto"/>
              </w:rPr>
              <w:t>1.0 Introduction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_Toc152865255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hyperlink>
        </w:p>
        <w:p w14:paraId="1D0A70EF" w14:textId="77777777" w:rsidR="000B7822" w:rsidRDefault="0096145B">
          <w:pPr>
            <w:pStyle w:val="TOC1"/>
            <w:tabs>
              <w:tab w:val="right" w:leader="dot" w:pos="9350"/>
            </w:tabs>
            <w:rPr>
              <w:rFonts w:ascii="Times New Roman" w:hAnsi="Times New Roman" w:cs="Times New Roman"/>
              <w:kern w:val="2"/>
              <w:sz w:val="21"/>
              <w:lang w:eastAsia="zh-CN"/>
              <w14:ligatures w14:val="standardContextual"/>
            </w:rPr>
          </w:pPr>
          <w:hyperlink w:anchor="_Toc152865256" w:history="1">
            <w:r>
              <w:rPr>
                <w:rStyle w:val="ab"/>
                <w:rFonts w:ascii="Times New Roman" w:hAnsi="Times New Roman" w:cs="Times New Roman"/>
                <w:color w:val="auto"/>
              </w:rPr>
              <w:t>2.0 Report Findings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_Toc152865256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hyperlink>
        </w:p>
        <w:p w14:paraId="349B3054" w14:textId="77777777" w:rsidR="000B7822" w:rsidRDefault="0096145B">
          <w:pPr>
            <w:pStyle w:val="TOC2"/>
            <w:tabs>
              <w:tab w:val="right" w:leader="dot" w:pos="9350"/>
            </w:tabs>
            <w:rPr>
              <w:rFonts w:ascii="Times New Roman" w:hAnsi="Times New Roman" w:cs="Times New Roman"/>
              <w:kern w:val="2"/>
              <w:sz w:val="21"/>
              <w:lang w:eastAsia="zh-CN"/>
              <w14:ligatures w14:val="standardContextual"/>
            </w:rPr>
          </w:pPr>
          <w:hyperlink w:anchor="_Toc152865257" w:history="1">
            <w:r>
              <w:rPr>
                <w:rStyle w:val="ab"/>
                <w:rFonts w:ascii="Times New Roman" w:hAnsi="Times New Roman" w:cs="Times New Roman"/>
                <w:color w:val="auto"/>
                <w:lang w:bidi="en-US"/>
              </w:rPr>
              <w:t xml:space="preserve">2.1 Distinction between Mainstream and Critical Theories of </w:t>
            </w:r>
            <w:r>
              <w:rPr>
                <w:rStyle w:val="ab"/>
                <w:rFonts w:ascii="Times New Roman" w:hAnsi="Times New Roman" w:cs="Times New Roman"/>
                <w:color w:val="auto"/>
                <w:lang w:bidi="en-US"/>
              </w:rPr>
              <w:t>Management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_Toc152865257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hyperlink>
        </w:p>
        <w:p w14:paraId="4099E680" w14:textId="77777777" w:rsidR="000B7822" w:rsidRDefault="0096145B">
          <w:pPr>
            <w:pStyle w:val="TOC2"/>
            <w:tabs>
              <w:tab w:val="right" w:leader="dot" w:pos="9350"/>
            </w:tabs>
            <w:rPr>
              <w:rFonts w:ascii="Times New Roman" w:hAnsi="Times New Roman" w:cs="Times New Roman"/>
              <w:kern w:val="2"/>
              <w:sz w:val="21"/>
              <w:lang w:eastAsia="zh-CN"/>
              <w14:ligatures w14:val="standardContextual"/>
            </w:rPr>
          </w:pPr>
          <w:hyperlink w:anchor="_Toc152865258" w:history="1">
            <w:r>
              <w:rPr>
                <w:rStyle w:val="ab"/>
                <w:rFonts w:ascii="Times New Roman" w:hAnsi="Times New Roman" w:cs="Times New Roman"/>
                <w:color w:val="auto"/>
                <w:lang w:bidi="en-US"/>
              </w:rPr>
              <w:t>2.2 Ethical Assessment of the various Management Theories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_Toc152865258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hyperlink>
        </w:p>
        <w:p w14:paraId="6B2C8A20" w14:textId="77777777" w:rsidR="000B7822" w:rsidRDefault="0096145B">
          <w:pPr>
            <w:pStyle w:val="TOC3"/>
            <w:tabs>
              <w:tab w:val="right" w:leader="dot" w:pos="9350"/>
            </w:tabs>
            <w:rPr>
              <w:rFonts w:ascii="Times New Roman" w:hAnsi="Times New Roman" w:cs="Times New Roman"/>
              <w:kern w:val="2"/>
              <w:sz w:val="21"/>
              <w:lang w:eastAsia="zh-CN"/>
              <w14:ligatures w14:val="standardContextual"/>
            </w:rPr>
          </w:pPr>
          <w:hyperlink w:anchor="_Toc152865259" w:history="1">
            <w:r>
              <w:rPr>
                <w:rStyle w:val="ab"/>
                <w:rFonts w:ascii="Times New Roman" w:hAnsi="Times New Roman" w:cs="Times New Roman"/>
                <w:color w:val="auto"/>
              </w:rPr>
              <w:t>2.2.1 The role of the manager (Fayol vs Mintzberg theories of leadership)</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_Toc152865259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hyperlink>
        </w:p>
        <w:p w14:paraId="26BBCE5C" w14:textId="77777777" w:rsidR="000B7822" w:rsidRDefault="0096145B">
          <w:pPr>
            <w:pStyle w:val="TOC3"/>
            <w:tabs>
              <w:tab w:val="right" w:leader="dot" w:pos="9350"/>
            </w:tabs>
            <w:rPr>
              <w:rFonts w:ascii="Times New Roman" w:hAnsi="Times New Roman" w:cs="Times New Roman"/>
              <w:kern w:val="2"/>
              <w:sz w:val="21"/>
              <w:lang w:eastAsia="zh-CN"/>
              <w14:ligatures w14:val="standardContextual"/>
            </w:rPr>
          </w:pPr>
          <w:hyperlink w:anchor="_Toc152865260" w:history="1">
            <w:r>
              <w:rPr>
                <w:rStyle w:val="ab"/>
                <w:rFonts w:ascii="Times New Roman" w:hAnsi="Times New Roman" w:cs="Times New Roman"/>
                <w:color w:val="auto"/>
              </w:rPr>
              <w:t>2.2.2 Management/leadership styles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_Toc152865260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hyperlink>
        </w:p>
        <w:p w14:paraId="0DE86615" w14:textId="77777777" w:rsidR="000B7822" w:rsidRDefault="0096145B">
          <w:pPr>
            <w:pStyle w:val="TOC3"/>
            <w:tabs>
              <w:tab w:val="right" w:leader="dot" w:pos="9350"/>
            </w:tabs>
            <w:rPr>
              <w:rFonts w:ascii="Times New Roman" w:hAnsi="Times New Roman" w:cs="Times New Roman"/>
              <w:kern w:val="2"/>
              <w:sz w:val="21"/>
              <w:lang w:eastAsia="zh-CN"/>
              <w14:ligatures w14:val="standardContextual"/>
            </w:rPr>
          </w:pPr>
          <w:hyperlink w:anchor="_Toc152865261" w:history="1">
            <w:r>
              <w:rPr>
                <w:rStyle w:val="ab"/>
                <w:rFonts w:ascii="Times New Roman" w:hAnsi="Times New Roman" w:cs="Times New Roman"/>
                <w:color w:val="auto"/>
              </w:rPr>
              <w:t>2.2.3 Ethics and CSR</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_Toc152865261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hyperlink>
        </w:p>
        <w:p w14:paraId="27A0F21F" w14:textId="77777777" w:rsidR="000B7822" w:rsidRDefault="0096145B">
          <w:pPr>
            <w:pStyle w:val="TOC1"/>
            <w:tabs>
              <w:tab w:val="right" w:leader="dot" w:pos="9350"/>
            </w:tabs>
            <w:rPr>
              <w:rFonts w:ascii="Times New Roman" w:hAnsi="Times New Roman" w:cs="Times New Roman"/>
              <w:kern w:val="2"/>
              <w:sz w:val="21"/>
              <w:lang w:eastAsia="zh-CN"/>
              <w14:ligatures w14:val="standardContextual"/>
            </w:rPr>
          </w:pPr>
          <w:hyperlink w:anchor="_Toc152865262" w:history="1">
            <w:r>
              <w:rPr>
                <w:rStyle w:val="ab"/>
                <w:rFonts w:ascii="Times New Roman" w:hAnsi="Times New Roman" w:cs="Times New Roman"/>
                <w:color w:val="auto"/>
              </w:rPr>
              <w:t>3.0 Conclusion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_Toc152865262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9</w:t>
            </w:r>
            <w:r>
              <w:rPr>
                <w:rFonts w:ascii="Times New Roman" w:hAnsi="Times New Roman" w:cs="Times New Roman"/>
              </w:rPr>
              <w:fldChar w:fldCharType="end"/>
            </w:r>
          </w:hyperlink>
        </w:p>
        <w:p w14:paraId="64755578" w14:textId="77777777" w:rsidR="000B7822" w:rsidRDefault="0096145B">
          <w:pPr>
            <w:pStyle w:val="TOC1"/>
            <w:tabs>
              <w:tab w:val="right" w:leader="dot" w:pos="9350"/>
            </w:tabs>
            <w:rPr>
              <w:rFonts w:ascii="Times New Roman" w:hAnsi="Times New Roman" w:cs="Times New Roman"/>
              <w:kern w:val="2"/>
              <w:sz w:val="21"/>
              <w:lang w:eastAsia="zh-CN"/>
              <w14:ligatures w14:val="standardContextual"/>
            </w:rPr>
          </w:pPr>
          <w:hyperlink w:anchor="_Toc152865263" w:history="1">
            <w:r>
              <w:rPr>
                <w:rStyle w:val="ab"/>
                <w:rFonts w:ascii="Times New Roman" w:hAnsi="Times New Roman" w:cs="Times New Roman"/>
                <w:color w:val="auto"/>
              </w:rPr>
              <w:t>4.0 Recommendations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_Toc152865263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9</w:t>
            </w:r>
            <w:r>
              <w:rPr>
                <w:rFonts w:ascii="Times New Roman" w:hAnsi="Times New Roman" w:cs="Times New Roman"/>
              </w:rPr>
              <w:fldChar w:fldCharType="end"/>
            </w:r>
          </w:hyperlink>
        </w:p>
        <w:p w14:paraId="045CBE01" w14:textId="77777777" w:rsidR="000B7822" w:rsidRDefault="0096145B">
          <w:pPr>
            <w:pStyle w:val="TOC1"/>
            <w:tabs>
              <w:tab w:val="right" w:leader="dot" w:pos="9350"/>
            </w:tabs>
            <w:rPr>
              <w:rFonts w:ascii="Times New Roman" w:hAnsi="Times New Roman" w:cs="Times New Roman"/>
              <w:kern w:val="2"/>
              <w:sz w:val="21"/>
              <w:lang w:eastAsia="zh-CN"/>
              <w14:ligatures w14:val="standardContextual"/>
            </w:rPr>
          </w:pPr>
          <w:hyperlink w:anchor="_Toc152865264" w:history="1">
            <w:r>
              <w:rPr>
                <w:rStyle w:val="ab"/>
                <w:rFonts w:ascii="Times New Roman" w:hAnsi="Times New Roman" w:cs="Times New Roman"/>
                <w:color w:val="auto"/>
              </w:rPr>
              <w:t>5.0 References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_Toc152865264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hyperlink>
        </w:p>
        <w:p w14:paraId="74F1E4EE" w14:textId="77777777" w:rsidR="000B7822" w:rsidRDefault="0096145B">
          <w:pPr>
            <w:pStyle w:val="TOC1"/>
            <w:tabs>
              <w:tab w:val="right" w:leader="dot" w:pos="9350"/>
            </w:tabs>
            <w:rPr>
              <w:rFonts w:ascii="Times New Roman" w:hAnsi="Times New Roman" w:cs="Times New Roman"/>
              <w:kern w:val="2"/>
              <w:sz w:val="21"/>
              <w:lang w:eastAsia="zh-CN"/>
              <w14:ligatures w14:val="standardContextual"/>
            </w:rPr>
          </w:pPr>
          <w:hyperlink w:anchor="_Toc152865265" w:history="1">
            <w:r>
              <w:rPr>
                <w:rStyle w:val="ab"/>
                <w:rFonts w:ascii="Times New Roman" w:hAnsi="Times New Roman" w:cs="Times New Roman"/>
                <w:color w:val="auto"/>
              </w:rPr>
              <w:t>6.0 Appendices: Chronology of events at Enron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_Toc152865265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13</w:t>
            </w:r>
            <w:r>
              <w:rPr>
                <w:rFonts w:ascii="Times New Roman" w:hAnsi="Times New Roman" w:cs="Times New Roman"/>
              </w:rPr>
              <w:fldChar w:fldCharType="end"/>
            </w:r>
          </w:hyperlink>
        </w:p>
        <w:p w14:paraId="7EE883FB" w14:textId="77777777" w:rsidR="000B7822" w:rsidRDefault="0096145B">
          <w:pPr>
            <w:rPr>
              <w:rFonts w:ascii="Times New Roman" w:hAnsi="Times New Roman" w:cs="Times New Roman"/>
            </w:rPr>
          </w:pPr>
          <w:r>
            <w:rPr>
              <w:rFonts w:ascii="Times New Roman" w:hAnsi="Times New Roman" w:cs="Times New Roman"/>
              <w:b/>
              <w:bCs/>
            </w:rPr>
            <w:fldChar w:fldCharType="end"/>
          </w:r>
        </w:p>
      </w:sdtContent>
    </w:sdt>
    <w:p w14:paraId="391C2840" w14:textId="77777777" w:rsidR="000B7822" w:rsidRDefault="000B7822">
      <w:pPr>
        <w:spacing w:line="360" w:lineRule="auto"/>
        <w:jc w:val="both"/>
        <w:rPr>
          <w:rFonts w:ascii="Times New Roman" w:hAnsi="Times New Roman" w:cs="Times New Roman"/>
          <w:bCs/>
          <w:sz w:val="24"/>
          <w:szCs w:val="24"/>
          <w:lang w:val="en-GB"/>
        </w:rPr>
        <w:sectPr w:rsidR="000B7822">
          <w:pgSz w:w="12240" w:h="15840"/>
          <w:pgMar w:top="1440" w:right="1440" w:bottom="1440" w:left="1440" w:header="708" w:footer="708" w:gutter="0"/>
          <w:cols w:space="708"/>
          <w:docGrid w:linePitch="360"/>
        </w:sectPr>
      </w:pPr>
    </w:p>
    <w:p w14:paraId="0840E0AB" w14:textId="77777777" w:rsidR="000B7822" w:rsidRDefault="0096145B">
      <w:pPr>
        <w:spacing w:beforeLines="50" w:before="120" w:after="0" w:line="360" w:lineRule="auto"/>
        <w:jc w:val="both"/>
        <w:rPr>
          <w:rFonts w:ascii="Times New Roman" w:hAnsi="Times New Roman" w:cs="Times New Roman"/>
          <w:bCs/>
          <w:sz w:val="24"/>
          <w:szCs w:val="24"/>
          <w:lang w:val="en-GB"/>
        </w:rPr>
      </w:pPr>
      <w:bookmarkStart w:id="1" w:name="_Toc152865255"/>
      <w:r>
        <w:rPr>
          <w:rStyle w:val="10"/>
          <w:rFonts w:cs="Times New Roman"/>
          <w:color w:val="auto"/>
        </w:rPr>
        <w:lastRenderedPageBreak/>
        <w:t>1.0 Introduction</w:t>
      </w:r>
      <w:bookmarkEnd w:id="1"/>
      <w:r>
        <w:rPr>
          <w:rFonts w:ascii="Times New Roman" w:hAnsi="Times New Roman" w:cs="Times New Roman"/>
          <w:bCs/>
          <w:sz w:val="24"/>
          <w:szCs w:val="24"/>
          <w:lang w:val="en-GB"/>
        </w:rPr>
        <w:t xml:space="preserve">  </w:t>
      </w:r>
    </w:p>
    <w:p w14:paraId="3BF7A330" w14:textId="77777777" w:rsidR="000B7822" w:rsidRDefault="0096145B">
      <w:pPr>
        <w:spacing w:beforeLines="50" w:before="120" w:after="0"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 xml:space="preserve">The </w:t>
      </w:r>
      <w:r>
        <w:rPr>
          <w:rFonts w:ascii="Times New Roman" w:hAnsi="Times New Roman" w:cs="Times New Roman"/>
          <w:bCs/>
          <w:sz w:val="24"/>
          <w:szCs w:val="24"/>
          <w:lang w:val="en-GB"/>
        </w:rPr>
        <w:t>2001 bankruptcy declaration marked the beginning of corporate scandals. Later one, the executives at Worldcon, Tyco, and Adelphia amongst others became the interest of probe on corporate scandals (</w:t>
      </w:r>
      <w:r>
        <w:rPr>
          <w:rFonts w:ascii="Times New Roman" w:hAnsi="Times New Roman" w:cs="Times New Roman"/>
          <w:bCs/>
          <w:sz w:val="24"/>
          <w:szCs w:val="24"/>
        </w:rPr>
        <w:t>Babalola et al., 2019</w:t>
      </w:r>
      <w:r>
        <w:rPr>
          <w:rFonts w:ascii="Times New Roman" w:hAnsi="Times New Roman" w:cs="Times New Roman"/>
          <w:bCs/>
          <w:sz w:val="24"/>
          <w:szCs w:val="24"/>
          <w:lang w:val="en-GB"/>
        </w:rPr>
        <w:t>). However, despite the rise in the level and number of corporate scandals in the recent past, these should not diminish the importance of Enron (A US-based energy, commodities, and services company based in Houston, Texas) as a case study on the moral failure of leaders of organisations (</w:t>
      </w:r>
      <w:r>
        <w:rPr>
          <w:rFonts w:ascii="Times New Roman" w:hAnsi="Times New Roman" w:cs="Times New Roman"/>
          <w:bCs/>
          <w:sz w:val="24"/>
          <w:szCs w:val="24"/>
        </w:rPr>
        <w:t>Rash</w:t>
      </w:r>
      <w:r>
        <w:rPr>
          <w:rFonts w:ascii="Times New Roman" w:hAnsi="Times New Roman" w:cs="Times New Roman"/>
          <w:bCs/>
          <w:sz w:val="24"/>
          <w:szCs w:val="24"/>
        </w:rPr>
        <w:t>id, 2021</w:t>
      </w:r>
      <w:r>
        <w:rPr>
          <w:rFonts w:ascii="Times New Roman" w:hAnsi="Times New Roman" w:cs="Times New Roman"/>
          <w:bCs/>
          <w:sz w:val="24"/>
          <w:szCs w:val="24"/>
          <w:lang w:val="en-GB"/>
        </w:rPr>
        <w:t>). Examining the ethical failure of the leaders at Enron may give insights into the importance of ethical leadership in the corporate world. The collapse of Enron was occasioned by failed investments in overseas ventures and dubious limited partnerships christened Special Purpose Entities (SPEs) that were sanctioned by the top leadership of the company (</w:t>
      </w:r>
      <w:r>
        <w:rPr>
          <w:rFonts w:ascii="Times New Roman" w:hAnsi="Times New Roman" w:cs="Times New Roman"/>
          <w:bCs/>
          <w:sz w:val="24"/>
          <w:szCs w:val="24"/>
        </w:rPr>
        <w:t>Kabeyi, 2020)</w:t>
      </w:r>
      <w:r>
        <w:rPr>
          <w:rFonts w:ascii="Times New Roman" w:hAnsi="Times New Roman" w:cs="Times New Roman"/>
          <w:bCs/>
          <w:sz w:val="24"/>
          <w:szCs w:val="24"/>
          <w:lang w:val="en-GB"/>
        </w:rPr>
        <w:t>. The SPEs were backed by Enron’s stock and supported by the insiders of the company were designed to keep the debts of the company off</w:t>
      </w:r>
      <w:r>
        <w:rPr>
          <w:rFonts w:ascii="Times New Roman" w:hAnsi="Times New Roman" w:cs="Times New Roman"/>
          <w:bCs/>
          <w:sz w:val="24"/>
          <w:szCs w:val="24"/>
          <w:lang w:val="en-GB"/>
        </w:rPr>
        <w:t xml:space="preserve"> its balance sheet. This helped to prop the company’s share price. However, Enron failed to back its guarantees when the firm’s stock price began to slide (</w:t>
      </w:r>
      <w:r>
        <w:rPr>
          <w:rFonts w:ascii="Times New Roman" w:hAnsi="Times New Roman" w:cs="Times New Roman"/>
          <w:bCs/>
          <w:sz w:val="24"/>
          <w:szCs w:val="24"/>
        </w:rPr>
        <w:t>Edwards et al., 2019)</w:t>
      </w:r>
      <w:r>
        <w:rPr>
          <w:rFonts w:ascii="Times New Roman" w:hAnsi="Times New Roman" w:cs="Times New Roman"/>
          <w:bCs/>
          <w:sz w:val="24"/>
          <w:szCs w:val="24"/>
          <w:lang w:val="en-GB"/>
        </w:rPr>
        <w:t xml:space="preserve">. Apart from these shady partnerships, Enron also borrowed from subsidies with the intention not to repay, avoided Federal taxes in subsidiaries such as Portland General Electric, manipulated electricity prices thereby contributing to electricity crisis in California, and bribed foreign officials to secure partnership deals in India </w:t>
      </w:r>
      <w:r>
        <w:rPr>
          <w:rFonts w:ascii="Times New Roman" w:hAnsi="Times New Roman" w:cs="Times New Roman"/>
          <w:bCs/>
          <w:sz w:val="24"/>
          <w:szCs w:val="24"/>
          <w:lang w:val="en-GB"/>
        </w:rPr>
        <w:t>and Ghana amongst other countries (</w:t>
      </w:r>
      <w:r>
        <w:rPr>
          <w:rFonts w:ascii="Times New Roman" w:hAnsi="Times New Roman" w:cs="Times New Roman"/>
          <w:bCs/>
          <w:sz w:val="24"/>
          <w:szCs w:val="24"/>
        </w:rPr>
        <w:t>Pulapa, 2020)</w:t>
      </w:r>
      <w:r>
        <w:rPr>
          <w:rFonts w:ascii="Times New Roman" w:hAnsi="Times New Roman" w:cs="Times New Roman"/>
          <w:bCs/>
          <w:sz w:val="24"/>
          <w:szCs w:val="24"/>
          <w:lang w:val="en-GB"/>
        </w:rPr>
        <w:t>. On the same note, Enron officials immediately claimed profits of long-term projects that ultimately lost money, switched account balances prior to quarterly reports to boost company earnings, and colluded with analysists to project a false image of the company (</w:t>
      </w:r>
      <w:r>
        <w:rPr>
          <w:rFonts w:ascii="Times New Roman" w:hAnsi="Times New Roman" w:cs="Times New Roman"/>
          <w:bCs/>
          <w:sz w:val="24"/>
          <w:szCs w:val="24"/>
        </w:rPr>
        <w:t>Rashid, 2021</w:t>
      </w:r>
      <w:r>
        <w:rPr>
          <w:rFonts w:ascii="Times New Roman" w:hAnsi="Times New Roman" w:cs="Times New Roman"/>
          <w:bCs/>
          <w:sz w:val="24"/>
          <w:szCs w:val="24"/>
          <w:lang w:val="en-GB"/>
        </w:rPr>
        <w:t xml:space="preserve">). Much of what happened in the company may be attributed to the actions of the founder </w:t>
      </w:r>
      <w:r>
        <w:rPr>
          <w:rFonts w:ascii="Times New Roman" w:hAnsi="Times New Roman" w:cs="Times New Roman"/>
          <w:bCs/>
          <w:sz w:val="24"/>
          <w:szCs w:val="24"/>
        </w:rPr>
        <w:t>Kenneth Lay, Jeffrey Skilling (his successor), Andre Fastow (the Chief Finance Officer), and Michael</w:t>
      </w:r>
      <w:r>
        <w:rPr>
          <w:rFonts w:ascii="Times New Roman" w:hAnsi="Times New Roman" w:cs="Times New Roman"/>
          <w:bCs/>
          <w:sz w:val="24"/>
          <w:szCs w:val="24"/>
        </w:rPr>
        <w:t xml:space="preserve"> Kopper (who was Fastow’s top assistant (Rashid, 2021). These failures included abuse of power, excess privilege, deceit, inconsistent stakeholder treatment, and irresponsible behaviour. Appendix 1 gives a summary of key events in the company. This report analyses the leadership failure at Enron from an ethical leadership perspective. The report has four sections that include introduction, report findings, conclusion, and finally recommendations. </w:t>
      </w:r>
    </w:p>
    <w:p w14:paraId="263C4294" w14:textId="77777777" w:rsidR="000B7822" w:rsidRDefault="0096145B">
      <w:pPr>
        <w:spacing w:beforeLines="50" w:before="120" w:after="0" w:line="360" w:lineRule="auto"/>
        <w:jc w:val="both"/>
        <w:rPr>
          <w:rFonts w:ascii="Times New Roman" w:hAnsi="Times New Roman" w:cs="Times New Roman"/>
          <w:bCs/>
          <w:sz w:val="24"/>
          <w:szCs w:val="24"/>
          <w:lang w:val="en-GB"/>
        </w:rPr>
      </w:pPr>
      <w:bookmarkStart w:id="2" w:name="_Toc152865256"/>
      <w:r>
        <w:rPr>
          <w:rStyle w:val="10"/>
          <w:rFonts w:cs="Times New Roman"/>
          <w:color w:val="auto"/>
        </w:rPr>
        <w:t>2.0 Report Findings</w:t>
      </w:r>
      <w:bookmarkEnd w:id="2"/>
      <w:r>
        <w:rPr>
          <w:rFonts w:ascii="Times New Roman" w:hAnsi="Times New Roman" w:cs="Times New Roman"/>
          <w:bCs/>
          <w:sz w:val="24"/>
          <w:szCs w:val="24"/>
          <w:lang w:val="en-GB"/>
        </w:rPr>
        <w:t xml:space="preserve"> </w:t>
      </w:r>
    </w:p>
    <w:p w14:paraId="70D2EEF2" w14:textId="77777777" w:rsidR="000B7822" w:rsidRDefault="0096145B">
      <w:pPr>
        <w:spacing w:beforeLines="50" w:before="120" w:after="0" w:line="360" w:lineRule="auto"/>
        <w:jc w:val="both"/>
        <w:rPr>
          <w:rFonts w:ascii="Times New Roman" w:hAnsi="Times New Roman" w:cs="Times New Roman"/>
          <w:bCs/>
          <w:sz w:val="24"/>
          <w:szCs w:val="24"/>
          <w:lang w:val="en-GB"/>
        </w:rPr>
      </w:pPr>
      <w:bookmarkStart w:id="3" w:name="_Toc152865257"/>
      <w:r>
        <w:rPr>
          <w:rStyle w:val="20"/>
          <w:rFonts w:cs="Times New Roman"/>
        </w:rPr>
        <w:t>2.1 Distinction between Mainstream and Critical Theories of Management</w:t>
      </w:r>
      <w:bookmarkEnd w:id="3"/>
    </w:p>
    <w:p w14:paraId="6725A92E" w14:textId="77777777" w:rsidR="000B7822" w:rsidRDefault="0096145B">
      <w:pPr>
        <w:spacing w:beforeLines="50" w:before="120" w:after="0"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lastRenderedPageBreak/>
        <w:t>The mainstream theories of management refers to the normal way of doing things. The managers organise their talents in a centralised and standardised manner. The manager’s role is to motivate the employees to achieve the goals of the organisation and control each division in the organisation through constant monitoring of employee performance (Dyke et al., 2009). However, according to Alder et al. (2008), the critical theories of management offer a wide range of leadership and management alternatives to the</w:t>
      </w:r>
      <w:r>
        <w:rPr>
          <w:rFonts w:ascii="Times New Roman" w:hAnsi="Times New Roman" w:cs="Times New Roman"/>
          <w:bCs/>
          <w:sz w:val="24"/>
          <w:szCs w:val="24"/>
          <w:lang w:val="en-GB"/>
        </w:rPr>
        <w:t xml:space="preserve"> mainstream theories of management. </w:t>
      </w:r>
    </w:p>
    <w:p w14:paraId="2AD83FE0" w14:textId="77777777" w:rsidR="000B7822" w:rsidRDefault="0096145B">
      <w:pPr>
        <w:spacing w:beforeLines="50" w:before="120" w:after="0"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The case of Enron may be looked into from the lens of critical and mainstream management theories, and it demonstrates that flows of the mainstream management system. For instance, the managers at Enron were used to the normal way of doing things. Both Skilling and Lay could wield power ruthlessly as was the normal way of operations in the company. For instance, normally, the position of vice-chair in the company was nicknamed the ‘ejector seat’ since any occupant of the position would be ejected from the c</w:t>
      </w:r>
      <w:r>
        <w:rPr>
          <w:rFonts w:ascii="Times New Roman" w:hAnsi="Times New Roman" w:cs="Times New Roman"/>
          <w:bCs/>
          <w:sz w:val="24"/>
          <w:szCs w:val="24"/>
          <w:lang w:val="en-GB"/>
        </w:rPr>
        <w:t>ompany if they held different views to Lay. The board members were also used to the normal way of doing things and failed to effectively exercise their oversight authority (</w:t>
      </w:r>
      <w:r>
        <w:rPr>
          <w:rFonts w:ascii="Times New Roman" w:hAnsi="Times New Roman" w:cs="Times New Roman"/>
          <w:bCs/>
          <w:sz w:val="24"/>
          <w:szCs w:val="24"/>
        </w:rPr>
        <w:t>Pulapa, 2020</w:t>
      </w:r>
      <w:r>
        <w:rPr>
          <w:rFonts w:ascii="Times New Roman" w:hAnsi="Times New Roman" w:cs="Times New Roman"/>
          <w:bCs/>
          <w:sz w:val="24"/>
          <w:szCs w:val="24"/>
          <w:lang w:val="en-GB"/>
        </w:rPr>
        <w:t xml:space="preserve">). Furthermore, from the lens of mainstream management, there was little protection of the interests of the stakeholders by the top officials of the company. Enron officials manipulated company data. Both the board members and top officials claimed that they were not aware of the off-the-book partnerships in the company that </w:t>
      </w:r>
      <w:r>
        <w:rPr>
          <w:rFonts w:ascii="Times New Roman" w:hAnsi="Times New Roman" w:cs="Times New Roman"/>
          <w:bCs/>
          <w:sz w:val="24"/>
          <w:szCs w:val="24"/>
          <w:lang w:val="en-GB"/>
        </w:rPr>
        <w:t>were operated by Kopper and Fastow (</w:t>
      </w:r>
      <w:r>
        <w:rPr>
          <w:rFonts w:ascii="Times New Roman" w:hAnsi="Times New Roman" w:cs="Times New Roman"/>
          <w:bCs/>
          <w:sz w:val="24"/>
          <w:szCs w:val="24"/>
        </w:rPr>
        <w:t>Rashid, 2021</w:t>
      </w:r>
      <w:r>
        <w:rPr>
          <w:rFonts w:ascii="Times New Roman" w:hAnsi="Times New Roman" w:cs="Times New Roman"/>
          <w:bCs/>
          <w:sz w:val="24"/>
          <w:szCs w:val="24"/>
          <w:lang w:val="en-GB"/>
        </w:rPr>
        <w:t xml:space="preserve">). </w:t>
      </w:r>
    </w:p>
    <w:p w14:paraId="45173902"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lang w:val="en-GB"/>
        </w:rPr>
        <w:t xml:space="preserve">The drawbacks of mainstream management theories as presented in this case exemplifies the limitations of these theories as suggested in </w:t>
      </w:r>
      <w:r>
        <w:rPr>
          <w:rFonts w:ascii="Times New Roman" w:hAnsi="Times New Roman" w:cs="Times New Roman"/>
          <w:bCs/>
          <w:sz w:val="24"/>
          <w:szCs w:val="24"/>
        </w:rPr>
        <w:t xml:space="preserve">Alvesson and Willmott (2012). The researchers note that </w:t>
      </w:r>
      <w:r>
        <w:rPr>
          <w:rStyle w:val="20"/>
          <w:rFonts w:eastAsiaTheme="minorHAnsi" w:cs="Times New Roman"/>
          <w:b w:val="0"/>
          <w:bCs/>
          <w:szCs w:val="24"/>
          <w:lang w:val="en-GB" w:bidi="ar-SA"/>
        </w:rPr>
        <w:t xml:space="preserve">mainstream management theories have been called out for decreasing the societal legitimacy of businesses. </w:t>
      </w:r>
      <w:r>
        <w:rPr>
          <w:rFonts w:ascii="Times New Roman" w:hAnsi="Times New Roman" w:cs="Times New Roman"/>
          <w:bCs/>
          <w:sz w:val="24"/>
          <w:szCs w:val="24"/>
          <w:lang w:val="en-GB"/>
        </w:rPr>
        <w:t>However, mainstream management theorists suggest that the role of managers is to manage people, monitor the performance of the organisation, and managers play a role in getting a firm back on track (</w:t>
      </w:r>
      <w:r>
        <w:rPr>
          <w:rFonts w:ascii="Times New Roman" w:hAnsi="Times New Roman" w:cs="Times New Roman"/>
          <w:bCs/>
          <w:sz w:val="24"/>
          <w:szCs w:val="24"/>
        </w:rPr>
        <w:t>Visser, 2010</w:t>
      </w:r>
      <w:r>
        <w:rPr>
          <w:rFonts w:ascii="Times New Roman" w:hAnsi="Times New Roman" w:cs="Times New Roman"/>
          <w:bCs/>
          <w:sz w:val="24"/>
          <w:szCs w:val="24"/>
          <w:lang w:val="en-GB"/>
        </w:rPr>
        <w:t xml:space="preserve">). To address this, managers should adopt critical management theories. Critical theories of management are concerned with </w:t>
      </w:r>
      <w:r>
        <w:rPr>
          <w:rFonts w:ascii="Times New Roman" w:hAnsi="Times New Roman" w:cs="Times New Roman"/>
          <w:bCs/>
          <w:sz w:val="24"/>
          <w:szCs w:val="24"/>
          <w:lang w:val="en-GB"/>
        </w:rPr>
        <w:t>critiquing the impacts of managerial practice on the employee relationships in an organisation, the structure of the organisation, and offers a framework to guide the managers and the policy makers as well as other organisational stakeholders understand and manage organised work (</w:t>
      </w:r>
      <w:r>
        <w:rPr>
          <w:rFonts w:ascii="Times New Roman" w:hAnsi="Times New Roman" w:cs="Times New Roman"/>
          <w:bCs/>
          <w:sz w:val="24"/>
          <w:szCs w:val="24"/>
        </w:rPr>
        <w:t>Visser, 2010</w:t>
      </w:r>
      <w:r>
        <w:rPr>
          <w:rFonts w:ascii="Times New Roman" w:hAnsi="Times New Roman" w:cs="Times New Roman"/>
          <w:bCs/>
          <w:sz w:val="24"/>
          <w:szCs w:val="24"/>
          <w:lang w:val="en-GB"/>
        </w:rPr>
        <w:t>). The main aims of critical management theories is therefore to reform the process of management, formulate new ideas to improve the internal process, let managers know their shortcomings,  critique the established man</w:t>
      </w:r>
      <w:r>
        <w:rPr>
          <w:rFonts w:ascii="Times New Roman" w:hAnsi="Times New Roman" w:cs="Times New Roman"/>
          <w:bCs/>
          <w:sz w:val="24"/>
          <w:szCs w:val="24"/>
          <w:lang w:val="en-GB"/>
        </w:rPr>
        <w:t>agement practices (</w:t>
      </w:r>
      <w:r>
        <w:rPr>
          <w:rFonts w:ascii="Times New Roman" w:hAnsi="Times New Roman" w:cs="Times New Roman"/>
          <w:bCs/>
          <w:sz w:val="24"/>
          <w:szCs w:val="24"/>
        </w:rPr>
        <w:t>Alvesson and Willmott, 2012</w:t>
      </w:r>
      <w:r>
        <w:rPr>
          <w:rFonts w:ascii="Times New Roman" w:hAnsi="Times New Roman" w:cs="Times New Roman"/>
          <w:bCs/>
          <w:sz w:val="24"/>
          <w:szCs w:val="24"/>
          <w:lang w:val="en-GB"/>
        </w:rPr>
        <w:t xml:space="preserve">). However, critical management theories </w:t>
      </w:r>
      <w:r>
        <w:rPr>
          <w:rFonts w:ascii="Times New Roman" w:hAnsi="Times New Roman" w:cs="Times New Roman"/>
          <w:bCs/>
          <w:sz w:val="24"/>
          <w:szCs w:val="24"/>
          <w:lang w:val="en-GB"/>
        </w:rPr>
        <w:lastRenderedPageBreak/>
        <w:t>also present a non-economic life of an organisation and hijacks the concept of critique of management (</w:t>
      </w:r>
      <w:r>
        <w:rPr>
          <w:rFonts w:ascii="Times New Roman" w:hAnsi="Times New Roman" w:cs="Times New Roman"/>
          <w:bCs/>
          <w:sz w:val="24"/>
          <w:szCs w:val="24"/>
        </w:rPr>
        <w:t xml:space="preserve">Alvesson and Willmott, 2012). </w:t>
      </w:r>
    </w:p>
    <w:p w14:paraId="26F2EA41" w14:textId="77777777" w:rsidR="000B7822" w:rsidRDefault="0096145B">
      <w:pPr>
        <w:spacing w:beforeLines="50" w:before="120" w:after="0" w:line="360" w:lineRule="auto"/>
        <w:jc w:val="both"/>
        <w:rPr>
          <w:rFonts w:ascii="Times New Roman" w:hAnsi="Times New Roman" w:cs="Times New Roman"/>
          <w:bCs/>
          <w:sz w:val="24"/>
          <w:szCs w:val="24"/>
          <w:lang w:val="en-GB"/>
        </w:rPr>
      </w:pPr>
      <w:bookmarkStart w:id="4" w:name="_Toc152865258"/>
      <w:r>
        <w:rPr>
          <w:rStyle w:val="20"/>
          <w:rFonts w:cs="Times New Roman"/>
        </w:rPr>
        <w:t>2.2 Ethical Assessment of the various Management Theories</w:t>
      </w:r>
      <w:bookmarkEnd w:id="4"/>
      <w:r>
        <w:rPr>
          <w:rFonts w:ascii="Times New Roman" w:hAnsi="Times New Roman" w:cs="Times New Roman"/>
          <w:bCs/>
          <w:sz w:val="24"/>
          <w:szCs w:val="24"/>
          <w:lang w:val="en-GB"/>
        </w:rPr>
        <w:t xml:space="preserve"> </w:t>
      </w:r>
    </w:p>
    <w:p w14:paraId="50118200" w14:textId="77777777" w:rsidR="000B7822" w:rsidRDefault="0096145B">
      <w:pPr>
        <w:spacing w:beforeLines="50" w:before="120" w:after="0" w:line="360" w:lineRule="auto"/>
        <w:jc w:val="both"/>
        <w:rPr>
          <w:rFonts w:ascii="Times New Roman" w:hAnsi="Times New Roman" w:cs="Times New Roman"/>
          <w:bCs/>
          <w:sz w:val="24"/>
          <w:szCs w:val="24"/>
          <w:lang w:val="en-GB"/>
        </w:rPr>
      </w:pPr>
      <w:bookmarkStart w:id="5" w:name="_Toc152865259"/>
      <w:r>
        <w:rPr>
          <w:rStyle w:val="30"/>
          <w:rFonts w:ascii="Times New Roman" w:hAnsi="Times New Roman" w:cs="Times New Roman"/>
          <w:color w:val="auto"/>
        </w:rPr>
        <w:t>2.2.1 The role of the manager (Fayol vs Mintzberg theories of leadership)</w:t>
      </w:r>
      <w:bookmarkEnd w:id="5"/>
      <w:r>
        <w:rPr>
          <w:rFonts w:ascii="Times New Roman" w:hAnsi="Times New Roman" w:cs="Times New Roman"/>
          <w:bCs/>
          <w:sz w:val="24"/>
          <w:szCs w:val="24"/>
          <w:lang w:val="en-GB"/>
        </w:rPr>
        <w:t xml:space="preserve"> </w:t>
      </w:r>
    </w:p>
    <w:p w14:paraId="4AB5114B" w14:textId="77777777" w:rsidR="000B7822" w:rsidRDefault="0096145B">
      <w:pPr>
        <w:spacing w:beforeLines="50" w:before="120" w:after="0"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According to Fayol (an early management theorist), management consists of five major functions (to forecast, to plan, organise, coordinate, and control) (</w:t>
      </w:r>
      <w:r>
        <w:rPr>
          <w:rFonts w:ascii="Times New Roman" w:hAnsi="Times New Roman" w:cs="Times New Roman"/>
          <w:bCs/>
          <w:sz w:val="24"/>
          <w:szCs w:val="24"/>
        </w:rPr>
        <w:t>Ramakrishna, 2019</w:t>
      </w:r>
      <w:r>
        <w:rPr>
          <w:rFonts w:ascii="Times New Roman" w:hAnsi="Times New Roman" w:cs="Times New Roman"/>
          <w:bCs/>
          <w:sz w:val="24"/>
          <w:szCs w:val="24"/>
          <w:lang w:val="en-GB"/>
        </w:rPr>
        <w:t>). However, Mintzberg argues that apart from these functions, managers may also find themselves resolving conflicts, negotiating new contracts, attending board meetings, and making request approvals. Mintzberg further suggests that managers play interpersonal, informational, and decision making roles (</w:t>
      </w:r>
      <w:r>
        <w:rPr>
          <w:rFonts w:ascii="Times New Roman" w:hAnsi="Times New Roman" w:cs="Times New Roman"/>
          <w:bCs/>
          <w:sz w:val="24"/>
          <w:szCs w:val="24"/>
        </w:rPr>
        <w:t>Mintzberg and Laasch, 2020</w:t>
      </w:r>
      <w:r>
        <w:rPr>
          <w:rFonts w:ascii="Times New Roman" w:hAnsi="Times New Roman" w:cs="Times New Roman"/>
          <w:bCs/>
          <w:sz w:val="24"/>
          <w:szCs w:val="24"/>
          <w:lang w:val="en-GB"/>
        </w:rPr>
        <w:t>). A leaders’ interpersonal roles also encompasses creating a link between an organisation and its stakeholders while controls ensure that managers ensure that rules,</w:t>
      </w:r>
      <w:r>
        <w:rPr>
          <w:rFonts w:ascii="Times New Roman" w:hAnsi="Times New Roman" w:cs="Times New Roman"/>
          <w:bCs/>
          <w:sz w:val="24"/>
          <w:szCs w:val="24"/>
          <w:lang w:val="en-GB"/>
        </w:rPr>
        <w:t xml:space="preserve"> plans, and processes work as planned. </w:t>
      </w:r>
    </w:p>
    <w:p w14:paraId="1F65352D" w14:textId="77777777" w:rsidR="000B7822" w:rsidRDefault="0096145B">
      <w:pPr>
        <w:spacing w:beforeLines="50" w:before="120" w:after="0"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Managers are therefore responsible for ensuring that a firm operates ethically. In the context of Enron, Skilling and Lay were the major proprietors of manipulation of company documents in order to present a wrong image of the company. The leaders failed to take effective control of the diminishing returns from the company. Similarly, the board of management as the management of Enron removed the conflict of interest flaws. This allowed Enron to establish the special partnerships that later troubled the com</w:t>
      </w:r>
      <w:r>
        <w:rPr>
          <w:rFonts w:ascii="Times New Roman" w:hAnsi="Times New Roman" w:cs="Times New Roman"/>
          <w:bCs/>
          <w:sz w:val="24"/>
          <w:szCs w:val="24"/>
          <w:lang w:val="en-GB"/>
        </w:rPr>
        <w:t>pany. Employees at Enron were quick to follow the actions of the top company officials. For instance, they hid expenses, claimed non-existent profits, and deceived the federal energy regulators (</w:t>
      </w:r>
      <w:r>
        <w:rPr>
          <w:rFonts w:ascii="Times New Roman" w:hAnsi="Times New Roman" w:cs="Times New Roman"/>
          <w:bCs/>
          <w:sz w:val="24"/>
          <w:szCs w:val="24"/>
        </w:rPr>
        <w:t>Rashid, 2021</w:t>
      </w:r>
      <w:r>
        <w:rPr>
          <w:rFonts w:ascii="Times New Roman" w:hAnsi="Times New Roman" w:cs="Times New Roman"/>
          <w:bCs/>
          <w:sz w:val="24"/>
          <w:szCs w:val="24"/>
          <w:lang w:val="en-GB"/>
        </w:rPr>
        <w:t>). From an ethical perspective, while Henry Fayol’s theory clearly define managerial roles, the theory over-emphasise profits above everything else (</w:t>
      </w:r>
      <w:r>
        <w:rPr>
          <w:rFonts w:ascii="Times New Roman" w:hAnsi="Times New Roman" w:cs="Times New Roman"/>
          <w:bCs/>
          <w:sz w:val="24"/>
          <w:szCs w:val="24"/>
        </w:rPr>
        <w:t>Hussain et al., 2019</w:t>
      </w:r>
      <w:r>
        <w:rPr>
          <w:rFonts w:ascii="Times New Roman" w:hAnsi="Times New Roman" w:cs="Times New Roman"/>
          <w:bCs/>
          <w:sz w:val="24"/>
          <w:szCs w:val="24"/>
          <w:lang w:val="en-GB"/>
        </w:rPr>
        <w:t>). As witnessed at Enron, this pushes the management to manipulate company books in order to present a false image of a firm. Similarly,</w:t>
      </w:r>
      <w:r>
        <w:rPr>
          <w:rFonts w:ascii="Times New Roman" w:hAnsi="Times New Roman" w:cs="Times New Roman"/>
          <w:bCs/>
          <w:sz w:val="24"/>
          <w:szCs w:val="24"/>
          <w:lang w:val="en-GB"/>
        </w:rPr>
        <w:t xml:space="preserve"> like Fayol, Mintzberg also fails to give the role of managers in ensuring that firms operate ethically. </w:t>
      </w:r>
    </w:p>
    <w:p w14:paraId="08B5CB67" w14:textId="77777777" w:rsidR="000B7822" w:rsidRDefault="0096145B">
      <w:pPr>
        <w:spacing w:beforeLines="50" w:before="120" w:after="0" w:line="360" w:lineRule="auto"/>
        <w:jc w:val="both"/>
        <w:rPr>
          <w:rFonts w:ascii="Times New Roman" w:hAnsi="Times New Roman" w:cs="Times New Roman"/>
          <w:bCs/>
          <w:sz w:val="24"/>
          <w:szCs w:val="24"/>
          <w:lang w:val="en-GB"/>
        </w:rPr>
      </w:pPr>
      <w:bookmarkStart w:id="6" w:name="_Toc152865260"/>
      <w:r>
        <w:rPr>
          <w:rStyle w:val="30"/>
          <w:rFonts w:ascii="Times New Roman" w:hAnsi="Times New Roman" w:cs="Times New Roman"/>
          <w:color w:val="auto"/>
        </w:rPr>
        <w:t>2.2.2 Management/leadership styles</w:t>
      </w:r>
      <w:bookmarkEnd w:id="6"/>
      <w:r>
        <w:rPr>
          <w:rFonts w:ascii="Times New Roman" w:hAnsi="Times New Roman" w:cs="Times New Roman"/>
          <w:bCs/>
          <w:sz w:val="24"/>
          <w:szCs w:val="24"/>
          <w:lang w:val="en-GB"/>
        </w:rPr>
        <w:t xml:space="preserve"> </w:t>
      </w:r>
    </w:p>
    <w:p w14:paraId="4148EFE8" w14:textId="77777777" w:rsidR="000B7822" w:rsidRDefault="0096145B">
      <w:pPr>
        <w:spacing w:beforeLines="50" w:before="120" w:after="0"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The management at Enron may also be analysed from the perspective of leadership styles. A number of leadership theories have been used to describe the management practices of top officials of organisations. These include autocratic or authoritarian leadership, bureaucratic leadership, democratic leadership, Laissez-faire, and paternalistic leadership style.</w:t>
      </w:r>
    </w:p>
    <w:p w14:paraId="262867AE" w14:textId="77777777" w:rsidR="000B7822" w:rsidRDefault="0096145B">
      <w:pPr>
        <w:spacing w:beforeLines="50" w:before="120" w:after="0"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lastRenderedPageBreak/>
        <w:t>An authoritarian, dictatorial, or totalitarianism describes where power lies in the hands of one person. The leadership style leads to faster decision making, clear direction, maintenance of order, effective use of expertise, and consistency. However, autocratic leadership leads to employee demotivation, limited innovation, communication barriers, and high staff turnover (</w:t>
      </w:r>
      <w:r>
        <w:rPr>
          <w:rFonts w:ascii="Times New Roman" w:hAnsi="Times New Roman" w:cs="Times New Roman"/>
          <w:bCs/>
          <w:sz w:val="24"/>
          <w:szCs w:val="24"/>
        </w:rPr>
        <w:t>Rivers, 2019</w:t>
      </w:r>
      <w:r>
        <w:rPr>
          <w:rFonts w:ascii="Times New Roman" w:hAnsi="Times New Roman" w:cs="Times New Roman"/>
          <w:bCs/>
          <w:sz w:val="24"/>
          <w:szCs w:val="24"/>
          <w:lang w:val="en-GB"/>
        </w:rPr>
        <w:t>). Further, democratic leadership style engages employees in decision making and has the advantage of employee engagement, team building, innovation, effective communication, and reduced resistance to change. However, democratic leadership may lead to time wastage, increased inefficiency, and lack of managerial control (</w:t>
      </w:r>
      <w:r>
        <w:rPr>
          <w:rFonts w:ascii="Times New Roman" w:hAnsi="Times New Roman" w:cs="Times New Roman"/>
          <w:bCs/>
          <w:sz w:val="24"/>
          <w:szCs w:val="24"/>
        </w:rPr>
        <w:t>Sacavém et al., 2019</w:t>
      </w:r>
      <w:r>
        <w:rPr>
          <w:rFonts w:ascii="Times New Roman" w:hAnsi="Times New Roman" w:cs="Times New Roman"/>
          <w:bCs/>
          <w:sz w:val="24"/>
          <w:szCs w:val="24"/>
          <w:lang w:val="en-GB"/>
        </w:rPr>
        <w:t>). In addition, bureaucratic leadership style is characterised by strict hierarchy of authority, and clearly defined roles and responsibilities. This leadersh</w:t>
      </w:r>
      <w:r>
        <w:rPr>
          <w:rFonts w:ascii="Times New Roman" w:hAnsi="Times New Roman" w:cs="Times New Roman"/>
          <w:bCs/>
          <w:sz w:val="24"/>
          <w:szCs w:val="24"/>
          <w:lang w:val="en-GB"/>
        </w:rPr>
        <w:t>ip styles has the advantage of clarity in structure, efficiency, consistency, and accountability. However, bureaucracy may lead to rigidity, bureaucratic red tape, communication challenges, high costs, and employee disengagement (</w:t>
      </w:r>
      <w:r>
        <w:rPr>
          <w:rFonts w:ascii="Times New Roman" w:hAnsi="Times New Roman" w:cs="Times New Roman"/>
          <w:bCs/>
          <w:sz w:val="24"/>
          <w:szCs w:val="24"/>
        </w:rPr>
        <w:t>Yunarsih et al., 2020</w:t>
      </w:r>
      <w:r>
        <w:rPr>
          <w:rFonts w:ascii="Times New Roman" w:hAnsi="Times New Roman" w:cs="Times New Roman"/>
          <w:bCs/>
          <w:sz w:val="24"/>
          <w:szCs w:val="24"/>
          <w:lang w:val="en-GB"/>
        </w:rPr>
        <w:t>). Moreover, a paternalistic leadership style refers to where the leaders is a paternal figure who makes decisions on worker’s well-being and provides support and guidance. Paternalistic leadership style has the advantage of improved employee well-being, higher</w:t>
      </w:r>
      <w:r>
        <w:rPr>
          <w:rFonts w:ascii="Times New Roman" w:hAnsi="Times New Roman" w:cs="Times New Roman"/>
          <w:bCs/>
          <w:sz w:val="24"/>
          <w:szCs w:val="24"/>
          <w:lang w:val="en-GB"/>
        </w:rPr>
        <w:t xml:space="preserve"> employee morale, enhanced stability, mentorship, and reduced conflict. However, paternalistic leadership style has the limitations of higher inefficiency, lack of individualism, creates room for favouritism, and leadership dependency (Lau et al., 2019). Finally, Laissez-faire leadership style refers to where the leader takes a minimum direct role and provide the workers with a high degree of autonomy and freedom to make decisions. The leadership style has the advantage of employee autonomy, creativity and </w:t>
      </w:r>
      <w:r>
        <w:rPr>
          <w:rFonts w:ascii="Times New Roman" w:hAnsi="Times New Roman" w:cs="Times New Roman"/>
          <w:bCs/>
          <w:sz w:val="24"/>
          <w:szCs w:val="24"/>
          <w:lang w:val="en-GB"/>
        </w:rPr>
        <w:t>innovation, increased job satisfaction, expertise utilisation, and flexible work environment. However, the leadership style may also lead to lack of direction, accountability issues, and inconsistent results (</w:t>
      </w:r>
      <w:r>
        <w:rPr>
          <w:rFonts w:ascii="Times New Roman" w:hAnsi="Times New Roman" w:cs="Times New Roman"/>
          <w:bCs/>
          <w:sz w:val="24"/>
          <w:szCs w:val="24"/>
        </w:rPr>
        <w:t>Ahsan and Khalid, 2023</w:t>
      </w:r>
      <w:r>
        <w:rPr>
          <w:rFonts w:ascii="Times New Roman" w:hAnsi="Times New Roman" w:cs="Times New Roman"/>
          <w:bCs/>
          <w:sz w:val="24"/>
          <w:szCs w:val="24"/>
          <w:lang w:val="en-GB"/>
        </w:rPr>
        <w:t xml:space="preserve">).  </w:t>
      </w:r>
    </w:p>
    <w:p w14:paraId="771E543A" w14:textId="77777777" w:rsidR="000B7822" w:rsidRDefault="0096145B">
      <w:pPr>
        <w:spacing w:beforeLines="50" w:before="120" w:after="0"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 xml:space="preserve">In view of these leadership styles, the report notes that Enron’s leadership may be conceptualised as autocratic leadership style. </w:t>
      </w:r>
    </w:p>
    <w:p w14:paraId="619222FD"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lang w:val="en-GB"/>
        </w:rPr>
        <w:t xml:space="preserve">According to </w:t>
      </w:r>
      <w:r>
        <w:rPr>
          <w:rFonts w:ascii="Times New Roman" w:hAnsi="Times New Roman" w:cs="Times New Roman"/>
          <w:bCs/>
          <w:sz w:val="24"/>
          <w:szCs w:val="24"/>
        </w:rPr>
        <w:t>Pulapa (2020), the vice-president seat at Enron was nicknamed the ejector seat since Lay organised for ejection of any occupant of the seat who held different views from his. Similarly, Skilling not only eliminated corporate rivals but also intimidated subordinates. On the same note, the top officials of Enron forced the employees of the company to invest their retirement plans on Enron stock. The employees were then blocked from selling their shares (Rashid, 2021). Furthermore, communication in the company</w:t>
      </w:r>
      <w:r>
        <w:rPr>
          <w:rFonts w:ascii="Times New Roman" w:hAnsi="Times New Roman" w:cs="Times New Roman"/>
          <w:bCs/>
          <w:sz w:val="24"/>
          <w:szCs w:val="24"/>
        </w:rPr>
        <w:t xml:space="preserve"> was top-down (from the founder Kenneth Lay and </w:t>
      </w:r>
      <w:r>
        <w:rPr>
          <w:rFonts w:ascii="Times New Roman" w:hAnsi="Times New Roman" w:cs="Times New Roman"/>
          <w:bCs/>
          <w:sz w:val="24"/>
          <w:szCs w:val="24"/>
        </w:rPr>
        <w:lastRenderedPageBreak/>
        <w:t xml:space="preserve">Jeffrey Skilling - his successor). These top executives were also responsible for decision making in the company (Rashid, 2021). These leadership attributes are synonymous to autocratic leadership style. </w:t>
      </w:r>
    </w:p>
    <w:p w14:paraId="3E552FBB" w14:textId="77777777" w:rsidR="000B7822" w:rsidRDefault="0096145B">
      <w:pPr>
        <w:spacing w:beforeLines="50" w:before="120" w:after="0" w:line="360" w:lineRule="auto"/>
        <w:jc w:val="both"/>
        <w:rPr>
          <w:rFonts w:ascii="Times New Roman" w:hAnsi="Times New Roman" w:cs="Times New Roman"/>
          <w:b/>
          <w:bCs/>
          <w:sz w:val="24"/>
          <w:szCs w:val="24"/>
        </w:rPr>
      </w:pPr>
      <w:r>
        <w:rPr>
          <w:rFonts w:ascii="Times New Roman" w:hAnsi="Times New Roman" w:cs="Times New Roman"/>
          <w:bCs/>
          <w:sz w:val="24"/>
          <w:szCs w:val="24"/>
        </w:rPr>
        <w:t>From an ethical point of view, autocratic leadership may lead to employee demotivation and high staff turnover rates (Zheng et al., 2021). For instance, employee treatment at Enron led to higher levels of employee demotivation (Pulapa, 2020). Business ethics dictates that firms should do what is right to all the stakeholders including its employees (Adda et al., 2016). By forcing employees to buy company shares (Rashid, 2021), Enron’s autocratic leadership advanced unethical business practice in the company</w:t>
      </w:r>
      <w:r>
        <w:rPr>
          <w:rFonts w:ascii="Times New Roman" w:hAnsi="Times New Roman" w:cs="Times New Roman"/>
          <w:bCs/>
          <w:sz w:val="24"/>
          <w:szCs w:val="24"/>
        </w:rPr>
        <w:t>. Similarly, autocratic leadership may lead to risk of poor decisions. Relying solely on the judgement of one person may lead to poor decisions. Autocratic leaders such as Lay and Skilling may lack wider perspectives that may result into poor decisions. This reflects in the unethical decisions such as manipulation of company records that led to the collapse of Enron (Kotb et al., 2020). However, while this leadership style lead to adverse consequences at Enron, it is evident that it also led to faster decis</w:t>
      </w:r>
      <w:r>
        <w:rPr>
          <w:rFonts w:ascii="Times New Roman" w:hAnsi="Times New Roman" w:cs="Times New Roman"/>
          <w:bCs/>
          <w:sz w:val="24"/>
          <w:szCs w:val="24"/>
        </w:rPr>
        <w:t xml:space="preserve">ion making due to lower rates of consultation. It also helped Lay and Skilling to maintain order in the company, which agree to the theoretical assessment of autocratic leadership by Rivers (2019). </w:t>
      </w:r>
    </w:p>
    <w:p w14:paraId="65150162" w14:textId="77777777" w:rsidR="000B7822" w:rsidRDefault="0096145B">
      <w:pPr>
        <w:spacing w:beforeLines="50" w:before="120" w:after="0" w:line="360" w:lineRule="auto"/>
        <w:jc w:val="both"/>
        <w:rPr>
          <w:rFonts w:ascii="Times New Roman" w:hAnsi="Times New Roman" w:cs="Times New Roman"/>
          <w:bCs/>
          <w:sz w:val="24"/>
          <w:szCs w:val="24"/>
          <w:lang w:val="en-GB"/>
        </w:rPr>
      </w:pPr>
      <w:bookmarkStart w:id="7" w:name="_Toc152865261"/>
      <w:r>
        <w:rPr>
          <w:rStyle w:val="30"/>
          <w:rFonts w:ascii="Times New Roman" w:hAnsi="Times New Roman" w:cs="Times New Roman"/>
          <w:color w:val="auto"/>
        </w:rPr>
        <w:t>2.2.3 Ethics and CSR</w:t>
      </w:r>
      <w:bookmarkEnd w:id="7"/>
    </w:p>
    <w:p w14:paraId="71E2EE61" w14:textId="77777777" w:rsidR="000B7822" w:rsidRDefault="0096145B">
      <w:pPr>
        <w:spacing w:beforeLines="50" w:before="120" w:after="0"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 xml:space="preserve">Business ethics </w:t>
      </w:r>
      <w:r>
        <w:rPr>
          <w:rFonts w:ascii="Times New Roman" w:hAnsi="Times New Roman" w:cs="Times New Roman"/>
          <w:bCs/>
          <w:sz w:val="24"/>
          <w:szCs w:val="24"/>
          <w:lang w:val="en-GB"/>
        </w:rPr>
        <w:t>refers to the study of business situations where the issues or wrongs and rights are discussed (</w:t>
      </w:r>
      <w:r>
        <w:rPr>
          <w:rFonts w:ascii="Times New Roman" w:hAnsi="Times New Roman" w:cs="Times New Roman"/>
          <w:bCs/>
          <w:sz w:val="24"/>
          <w:szCs w:val="24"/>
        </w:rPr>
        <w:t>Goel and Ramanathan, 2014</w:t>
      </w:r>
      <w:r>
        <w:rPr>
          <w:rFonts w:ascii="Times New Roman" w:hAnsi="Times New Roman" w:cs="Times New Roman"/>
          <w:bCs/>
          <w:sz w:val="24"/>
          <w:szCs w:val="24"/>
          <w:lang w:val="en-GB"/>
        </w:rPr>
        <w:t>). Business ethics therefore defines how a firm treats its stakeholders. Furthermore, the key ethical standards that guide the operations of firms include accountability, fairness, compliance, professional relationships, environment, sustainability, responsibility, equal opportunities, health and safety, and social aspects (Bowie, 2020). The concept of business ethics is closely related t</w:t>
      </w:r>
      <w:r>
        <w:rPr>
          <w:rFonts w:ascii="Times New Roman" w:hAnsi="Times New Roman" w:cs="Times New Roman"/>
          <w:bCs/>
          <w:sz w:val="24"/>
          <w:szCs w:val="24"/>
          <w:lang w:val="en-GB"/>
        </w:rPr>
        <w:t>o the concept of CSR. CSR refers to the practices and activities that define how a firm needs to meet its corporate and social responsivities (</w:t>
      </w:r>
      <w:r>
        <w:rPr>
          <w:rFonts w:ascii="Times New Roman" w:hAnsi="Times New Roman" w:cs="Times New Roman"/>
          <w:bCs/>
          <w:sz w:val="24"/>
          <w:szCs w:val="24"/>
        </w:rPr>
        <w:t>Ferrell et al., 2019</w:t>
      </w:r>
      <w:r>
        <w:rPr>
          <w:rFonts w:ascii="Times New Roman" w:hAnsi="Times New Roman" w:cs="Times New Roman"/>
          <w:bCs/>
          <w:sz w:val="24"/>
          <w:szCs w:val="24"/>
          <w:lang w:val="en-GB"/>
        </w:rPr>
        <w:t>). Carroll’s CSR pyramid categorises firm responsibilities into four categories; economic, legal, ethical, and philanthropic (</w:t>
      </w:r>
      <w:r>
        <w:rPr>
          <w:rFonts w:ascii="Times New Roman" w:hAnsi="Times New Roman" w:cs="Times New Roman"/>
          <w:bCs/>
          <w:sz w:val="24"/>
          <w:szCs w:val="24"/>
        </w:rPr>
        <w:t>Kusyk, 2021</w:t>
      </w:r>
      <w:r>
        <w:rPr>
          <w:rFonts w:ascii="Times New Roman" w:hAnsi="Times New Roman" w:cs="Times New Roman"/>
          <w:bCs/>
          <w:sz w:val="24"/>
          <w:szCs w:val="24"/>
          <w:lang w:val="en-GB"/>
        </w:rPr>
        <w:t>). Ethics and CSR helps firms to achieve sustainable development goals such as reduction in greenhouse gas emissions (Lu et al., 2021). Furthermore, ethics and CSR relates to how firms treat their stakeholders, t</w:t>
      </w:r>
      <w:r>
        <w:rPr>
          <w:rFonts w:ascii="Times New Roman" w:hAnsi="Times New Roman" w:cs="Times New Roman"/>
          <w:bCs/>
          <w:sz w:val="24"/>
          <w:szCs w:val="24"/>
          <w:lang w:val="en-GB"/>
        </w:rPr>
        <w:t>hose who are affected by the activities of an organisation (</w:t>
      </w:r>
      <w:r>
        <w:rPr>
          <w:rFonts w:ascii="Times New Roman" w:hAnsi="Times New Roman" w:cs="Times New Roman"/>
          <w:bCs/>
          <w:sz w:val="24"/>
          <w:szCs w:val="24"/>
        </w:rPr>
        <w:t>Harrison et al., 2019)</w:t>
      </w:r>
      <w:r>
        <w:rPr>
          <w:rFonts w:ascii="Times New Roman" w:hAnsi="Times New Roman" w:cs="Times New Roman"/>
          <w:bCs/>
          <w:sz w:val="24"/>
          <w:szCs w:val="24"/>
          <w:lang w:val="en-GB"/>
        </w:rPr>
        <w:t>. Stakeholder theory holds that firms owe a responsibility to those who are affected by its operations (</w:t>
      </w:r>
      <w:r>
        <w:rPr>
          <w:rFonts w:ascii="Times New Roman" w:hAnsi="Times New Roman" w:cs="Times New Roman"/>
          <w:bCs/>
          <w:sz w:val="24"/>
          <w:szCs w:val="24"/>
        </w:rPr>
        <w:t>Harrison et al., 2019</w:t>
      </w:r>
      <w:r>
        <w:rPr>
          <w:rFonts w:ascii="Times New Roman" w:hAnsi="Times New Roman" w:cs="Times New Roman"/>
          <w:bCs/>
          <w:sz w:val="24"/>
          <w:szCs w:val="24"/>
          <w:lang w:val="en-GB"/>
        </w:rPr>
        <w:t xml:space="preserve">). </w:t>
      </w:r>
    </w:p>
    <w:p w14:paraId="29E00104"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lang w:val="en-GB"/>
        </w:rPr>
        <w:lastRenderedPageBreak/>
        <w:t xml:space="preserve">From an ethics and CSR perspective, the management of Enron failed to abide by ethical standards. For instance, forcing employees to </w:t>
      </w:r>
      <w:r>
        <w:rPr>
          <w:rFonts w:ascii="Times New Roman" w:hAnsi="Times New Roman" w:cs="Times New Roman"/>
          <w:bCs/>
          <w:sz w:val="24"/>
          <w:szCs w:val="24"/>
        </w:rPr>
        <w:t>invest their retirement plans on Enron stock as well as blocking only junior employees from selling their shares (Rashid, 2021) failed the test of fairness on the part of the management of the company. Similarly, the leadership of the company including Lay and Skilling failed to remain accountable to the investors in the company by manipulating Enron’s books. On the same note, the management of Enron failed to comply with the Sarbanes-Oxley Act of 2002 that demands auditing of a company’s books (James and L</w:t>
      </w:r>
      <w:r>
        <w:rPr>
          <w:rFonts w:ascii="Times New Roman" w:hAnsi="Times New Roman" w:cs="Times New Roman"/>
          <w:bCs/>
          <w:sz w:val="24"/>
          <w:szCs w:val="24"/>
        </w:rPr>
        <w:t>irely, 2022). Enron therefore failed to take into account the interests of the employees (unfair stock purchase), the government and regulators (auditing failure), the board of management (regulation failure), and investors (manipulation of company books) amongst others. The management of Enron therefore promoted unethical business practice. According to Constantinescu and Kaptein (2020) and Auliyah and Basuki (2021), failure to abide by business ethics and taking social responsibility may negatively affect</w:t>
      </w:r>
      <w:r>
        <w:rPr>
          <w:rFonts w:ascii="Times New Roman" w:hAnsi="Times New Roman" w:cs="Times New Roman"/>
          <w:bCs/>
          <w:sz w:val="24"/>
          <w:szCs w:val="24"/>
        </w:rPr>
        <w:t xml:space="preserve"> a company’s image, reduce stakeholder attraction, and reduce the purchase intention of the buyers. This may partly explain the fall of Enron. </w:t>
      </w:r>
    </w:p>
    <w:p w14:paraId="1193C103" w14:textId="77777777" w:rsidR="000B7822" w:rsidRDefault="0096145B">
      <w:pPr>
        <w:spacing w:beforeLines="50" w:before="120" w:after="0" w:line="360" w:lineRule="auto"/>
        <w:jc w:val="both"/>
        <w:rPr>
          <w:rFonts w:ascii="Times New Roman" w:hAnsi="Times New Roman" w:cs="Times New Roman"/>
          <w:bCs/>
          <w:sz w:val="24"/>
          <w:szCs w:val="24"/>
          <w:lang w:val="en-GB"/>
        </w:rPr>
      </w:pPr>
      <w:bookmarkStart w:id="8" w:name="_Toc152865262"/>
      <w:r>
        <w:rPr>
          <w:rStyle w:val="10"/>
          <w:rFonts w:cs="Times New Roman"/>
          <w:color w:val="auto"/>
        </w:rPr>
        <w:t>3.0 Conclusion</w:t>
      </w:r>
      <w:bookmarkEnd w:id="8"/>
      <w:r>
        <w:rPr>
          <w:rFonts w:ascii="Times New Roman" w:hAnsi="Times New Roman" w:cs="Times New Roman"/>
          <w:bCs/>
          <w:sz w:val="24"/>
          <w:szCs w:val="24"/>
          <w:lang w:val="en-GB"/>
        </w:rPr>
        <w:t xml:space="preserve">  </w:t>
      </w:r>
    </w:p>
    <w:p w14:paraId="6C60394C" w14:textId="77777777" w:rsidR="000B7822" w:rsidRDefault="0096145B">
      <w:pPr>
        <w:spacing w:beforeLines="50" w:before="120" w:after="0"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 xml:space="preserve">Enron’s case demonstrates a failure of ethical applications of leadership. As demonstrated in the report, the major role of leaders is to forecast, to plan, organise, coordinate, and control. However, while undertaking these roles, leaders need to remain ethical and undertake activities that take into account the interests of the stakeholders of the organisation. Furthermore, unlike the case of Enron, leaders need to avoid authoritarianism that leads to high staff turnover, demotivated employees, and wrong </w:t>
      </w:r>
      <w:r>
        <w:rPr>
          <w:rFonts w:ascii="Times New Roman" w:hAnsi="Times New Roman" w:cs="Times New Roman"/>
          <w:bCs/>
          <w:sz w:val="24"/>
          <w:szCs w:val="24"/>
          <w:lang w:val="en-GB"/>
        </w:rPr>
        <w:t>decisions. Finally, leaders need to ensure that key decisions and activities within the organisation are guided by business ethics and corporate social responsibility. Leaders at Enron acted in their self-interest and engaged in activities such as forcing employees to invest their retirement savings in Enron stock, limiting junior employees from withdrawing their retirement investments, and manipulating company books.  These unethical business practices led to company failure. In view of these, the report r</w:t>
      </w:r>
      <w:r>
        <w:rPr>
          <w:rFonts w:ascii="Times New Roman" w:hAnsi="Times New Roman" w:cs="Times New Roman"/>
          <w:bCs/>
          <w:sz w:val="24"/>
          <w:szCs w:val="24"/>
          <w:lang w:val="en-GB"/>
        </w:rPr>
        <w:t xml:space="preserve">ecommends the following; </w:t>
      </w:r>
    </w:p>
    <w:p w14:paraId="42831511" w14:textId="77777777" w:rsidR="000B7822" w:rsidRDefault="0096145B">
      <w:pPr>
        <w:spacing w:beforeLines="50" w:before="120" w:after="0" w:line="360" w:lineRule="auto"/>
        <w:jc w:val="both"/>
        <w:rPr>
          <w:rFonts w:ascii="Times New Roman" w:hAnsi="Times New Roman" w:cs="Times New Roman"/>
          <w:bCs/>
          <w:sz w:val="24"/>
          <w:szCs w:val="24"/>
          <w:lang w:val="en-GB"/>
        </w:rPr>
      </w:pPr>
      <w:bookmarkStart w:id="9" w:name="_Toc152865263"/>
      <w:r>
        <w:rPr>
          <w:rStyle w:val="10"/>
          <w:rFonts w:cs="Times New Roman"/>
          <w:color w:val="auto"/>
        </w:rPr>
        <w:t>4.0 Recommendations</w:t>
      </w:r>
      <w:bookmarkEnd w:id="9"/>
      <w:r>
        <w:rPr>
          <w:rFonts w:ascii="Times New Roman" w:hAnsi="Times New Roman" w:cs="Times New Roman"/>
          <w:bCs/>
          <w:sz w:val="24"/>
          <w:szCs w:val="24"/>
          <w:lang w:val="en-GB"/>
        </w:rPr>
        <w:t xml:space="preserve"> </w:t>
      </w:r>
    </w:p>
    <w:p w14:paraId="39CBFBC7" w14:textId="77777777" w:rsidR="000B7822" w:rsidRDefault="0096145B">
      <w:pPr>
        <w:spacing w:beforeLines="50" w:before="120" w:after="0"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 xml:space="preserve">Firstly, irrespective of the leadership/management style adopted in an organisation, the top executives of an organisation need to integrate ethics into its practices. The case of Enron represents a perfect case in which ethics was decoupled from the operations of the company. </w:t>
      </w:r>
      <w:r>
        <w:rPr>
          <w:rFonts w:ascii="Times New Roman" w:hAnsi="Times New Roman" w:cs="Times New Roman"/>
          <w:bCs/>
          <w:sz w:val="24"/>
          <w:szCs w:val="24"/>
          <w:lang w:val="en-GB"/>
        </w:rPr>
        <w:lastRenderedPageBreak/>
        <w:t>Despite having a long code of ethics, these ethical values did not guide how top leadership of the company such as Lay, Skilling, and other executives managed the organisation (</w:t>
      </w:r>
      <w:r>
        <w:rPr>
          <w:rFonts w:ascii="Times New Roman" w:hAnsi="Times New Roman" w:cs="Times New Roman"/>
          <w:bCs/>
          <w:sz w:val="24"/>
          <w:szCs w:val="24"/>
        </w:rPr>
        <w:t>Kotb et al., 2021</w:t>
      </w:r>
      <w:r>
        <w:rPr>
          <w:rFonts w:ascii="Times New Roman" w:hAnsi="Times New Roman" w:cs="Times New Roman"/>
          <w:bCs/>
          <w:sz w:val="24"/>
          <w:szCs w:val="24"/>
          <w:lang w:val="en-GB"/>
        </w:rPr>
        <w:t>). By the time the company collapsed in 2001, the leaders had been manipulating the books thereby giving false impression to the investors for a long time (Rashid, 2021). Secondly, the role of managers in any organisation should not be confined to the traditional roles defined by Henry Fayol and Mintzberg. In additio</w:t>
      </w:r>
      <w:r>
        <w:rPr>
          <w:rFonts w:ascii="Times New Roman" w:hAnsi="Times New Roman" w:cs="Times New Roman"/>
          <w:bCs/>
          <w:sz w:val="24"/>
          <w:szCs w:val="24"/>
          <w:lang w:val="en-GB"/>
        </w:rPr>
        <w:t>n to the traditional roles of a manager such as forecasting, to planning, organising, coordinating, and controlling (</w:t>
      </w:r>
      <w:r>
        <w:rPr>
          <w:rFonts w:ascii="Times New Roman" w:hAnsi="Times New Roman" w:cs="Times New Roman"/>
          <w:bCs/>
          <w:sz w:val="24"/>
          <w:szCs w:val="24"/>
        </w:rPr>
        <w:t xml:space="preserve">Ramakrishna, 2019), managers need to take into consideration the ethical implications of each of these roles. For example, the report recommends that a manager’s control roles should not adversely impact fair treatment of the employees at witnessed in the context of Enron. Similarly, in developing company plans, managers need to incorporate business ethics to make the activities and outcomes </w:t>
      </w:r>
      <w:r>
        <w:rPr>
          <w:rFonts w:ascii="Times New Roman" w:hAnsi="Times New Roman" w:cs="Times New Roman"/>
          <w:bCs/>
          <w:sz w:val="24"/>
          <w:szCs w:val="24"/>
        </w:rPr>
        <w:t>appealing to the stakeholders. Finally, business ethics and CSR is a core aspect of company operations. Apart from ensuring that a firm’s activities are aligned to the core guiding principles, ethical operations and corporate social responsibility will ensure success through attraction of more customers and attraction and retention of more qualified employees (Auliyah and Basuki, 2021; Constantinescu and Kaptein, 2020). As noted in the case study of Enron, unethical business practice leads to potential orga</w:t>
      </w:r>
      <w:r>
        <w:rPr>
          <w:rFonts w:ascii="Times New Roman" w:hAnsi="Times New Roman" w:cs="Times New Roman"/>
          <w:bCs/>
          <w:sz w:val="24"/>
          <w:szCs w:val="24"/>
        </w:rPr>
        <w:t xml:space="preserve">nisational failure (Rashid, 2021). Ethics and CSR should therefore be core to a firm’s strategies.  </w:t>
      </w:r>
    </w:p>
    <w:p w14:paraId="6186C986" w14:textId="77777777" w:rsidR="000B7822" w:rsidRDefault="000B7822">
      <w:pPr>
        <w:spacing w:beforeLines="50" w:before="120" w:after="0" w:line="360" w:lineRule="auto"/>
        <w:jc w:val="both"/>
        <w:rPr>
          <w:rFonts w:ascii="Times New Roman" w:hAnsi="Times New Roman" w:cs="Times New Roman"/>
          <w:bCs/>
          <w:sz w:val="24"/>
          <w:szCs w:val="24"/>
          <w:lang w:val="en-GB"/>
        </w:rPr>
      </w:pPr>
    </w:p>
    <w:p w14:paraId="0AEDF76B" w14:textId="77777777" w:rsidR="000B7822" w:rsidRDefault="000B7822">
      <w:pPr>
        <w:spacing w:beforeLines="50" w:before="120" w:after="0" w:line="360" w:lineRule="auto"/>
        <w:jc w:val="both"/>
        <w:rPr>
          <w:rFonts w:ascii="Times New Roman" w:hAnsi="Times New Roman" w:cs="Times New Roman"/>
          <w:bCs/>
          <w:sz w:val="24"/>
          <w:szCs w:val="24"/>
          <w:lang w:val="en-GB"/>
        </w:rPr>
      </w:pPr>
    </w:p>
    <w:p w14:paraId="66398043" w14:textId="77777777" w:rsidR="000B7822" w:rsidRDefault="000B7822">
      <w:pPr>
        <w:spacing w:beforeLines="50" w:before="120" w:after="0" w:line="360" w:lineRule="auto"/>
        <w:jc w:val="both"/>
        <w:rPr>
          <w:rFonts w:ascii="Times New Roman" w:hAnsi="Times New Roman" w:cs="Times New Roman"/>
          <w:bCs/>
          <w:sz w:val="24"/>
          <w:szCs w:val="24"/>
          <w:lang w:val="en-GB"/>
        </w:rPr>
      </w:pPr>
    </w:p>
    <w:p w14:paraId="46FA739D" w14:textId="77777777" w:rsidR="000B7822" w:rsidRDefault="000B7822">
      <w:pPr>
        <w:spacing w:beforeLines="50" w:before="120" w:after="0" w:line="360" w:lineRule="auto"/>
        <w:jc w:val="both"/>
        <w:rPr>
          <w:rFonts w:ascii="Times New Roman" w:hAnsi="Times New Roman" w:cs="Times New Roman"/>
          <w:bCs/>
          <w:sz w:val="24"/>
          <w:szCs w:val="24"/>
          <w:lang w:val="en-GB"/>
        </w:rPr>
      </w:pPr>
    </w:p>
    <w:p w14:paraId="11322FBF" w14:textId="77777777" w:rsidR="000B7822" w:rsidRDefault="0096145B">
      <w:pPr>
        <w:spacing w:beforeLines="50" w:before="120" w:after="0"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br w:type="page"/>
      </w:r>
    </w:p>
    <w:p w14:paraId="4D5E6078" w14:textId="77777777" w:rsidR="000B7822" w:rsidRDefault="0096145B">
      <w:pPr>
        <w:spacing w:beforeLines="50" w:before="120" w:after="0" w:line="360" w:lineRule="auto"/>
        <w:jc w:val="both"/>
        <w:rPr>
          <w:rFonts w:ascii="Times New Roman" w:hAnsi="Times New Roman" w:cs="Times New Roman"/>
          <w:bCs/>
          <w:sz w:val="24"/>
          <w:szCs w:val="24"/>
          <w:lang w:val="en-GB"/>
        </w:rPr>
      </w:pPr>
      <w:bookmarkStart w:id="10" w:name="_Toc152865264"/>
      <w:r>
        <w:rPr>
          <w:rStyle w:val="10"/>
          <w:rFonts w:cs="Times New Roman"/>
          <w:color w:val="auto"/>
        </w:rPr>
        <w:lastRenderedPageBreak/>
        <w:t>5.0 References</w:t>
      </w:r>
      <w:bookmarkEnd w:id="10"/>
      <w:r>
        <w:rPr>
          <w:rFonts w:ascii="Times New Roman" w:hAnsi="Times New Roman" w:cs="Times New Roman"/>
          <w:bCs/>
          <w:sz w:val="24"/>
          <w:szCs w:val="24"/>
          <w:lang w:val="en-GB"/>
        </w:rPr>
        <w:t xml:space="preserve"> </w:t>
      </w:r>
    </w:p>
    <w:p w14:paraId="38A7AA45"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Adda, G., Azigwe, J.B. and Awuni, A.R. (2016) ‘Business ethics and corporate social responsibility for business success and growth’, </w:t>
      </w:r>
      <w:r>
        <w:rPr>
          <w:rFonts w:ascii="Times New Roman" w:hAnsi="Times New Roman" w:cs="Times New Roman"/>
          <w:bCs/>
          <w:i/>
          <w:iCs/>
          <w:sz w:val="24"/>
          <w:szCs w:val="24"/>
        </w:rPr>
        <w:t>European Journal of Business and Innovation Research</w:t>
      </w:r>
      <w:r>
        <w:rPr>
          <w:rFonts w:ascii="Times New Roman" w:hAnsi="Times New Roman" w:cs="Times New Roman"/>
          <w:bCs/>
          <w:sz w:val="24"/>
          <w:szCs w:val="24"/>
        </w:rPr>
        <w:t>, </w:t>
      </w:r>
      <w:r>
        <w:rPr>
          <w:rFonts w:ascii="Times New Roman" w:hAnsi="Times New Roman" w:cs="Times New Roman"/>
          <w:bCs/>
          <w:i/>
          <w:iCs/>
          <w:sz w:val="24"/>
          <w:szCs w:val="24"/>
        </w:rPr>
        <w:t>4</w:t>
      </w:r>
      <w:r>
        <w:rPr>
          <w:rFonts w:ascii="Times New Roman" w:hAnsi="Times New Roman" w:cs="Times New Roman"/>
          <w:bCs/>
          <w:sz w:val="24"/>
          <w:szCs w:val="24"/>
        </w:rPr>
        <w:t>(6), pp.26-42.</w:t>
      </w:r>
    </w:p>
    <w:p w14:paraId="133BE845"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Adler, P.S., Forbes, L.C. and Willmott, H. (2008) ‘Critical management studies’, </w:t>
      </w:r>
      <w:r>
        <w:rPr>
          <w:rFonts w:ascii="Times New Roman" w:hAnsi="Times New Roman" w:cs="Times New Roman"/>
          <w:bCs/>
          <w:i/>
          <w:iCs/>
          <w:sz w:val="24"/>
          <w:szCs w:val="24"/>
        </w:rPr>
        <w:t>The academy of management annals</w:t>
      </w:r>
      <w:r>
        <w:rPr>
          <w:rFonts w:ascii="Times New Roman" w:hAnsi="Times New Roman" w:cs="Times New Roman"/>
          <w:bCs/>
          <w:sz w:val="24"/>
          <w:szCs w:val="24"/>
        </w:rPr>
        <w:t>, </w:t>
      </w:r>
      <w:r>
        <w:rPr>
          <w:rFonts w:ascii="Times New Roman" w:hAnsi="Times New Roman" w:cs="Times New Roman"/>
          <w:bCs/>
          <w:i/>
          <w:iCs/>
          <w:sz w:val="24"/>
          <w:szCs w:val="24"/>
        </w:rPr>
        <w:t>1</w:t>
      </w:r>
      <w:r>
        <w:rPr>
          <w:rFonts w:ascii="Times New Roman" w:hAnsi="Times New Roman" w:cs="Times New Roman"/>
          <w:bCs/>
          <w:sz w:val="24"/>
          <w:szCs w:val="24"/>
        </w:rPr>
        <w:t>(1), pp.119-179.</w:t>
      </w:r>
    </w:p>
    <w:p w14:paraId="7C4A5250" w14:textId="77777777" w:rsidR="000B7822" w:rsidRDefault="0096145B">
      <w:pPr>
        <w:spacing w:beforeLines="50" w:before="120" w:after="0" w:line="360" w:lineRule="auto"/>
        <w:jc w:val="both"/>
        <w:rPr>
          <w:rFonts w:ascii="Times New Roman" w:hAnsi="Times New Roman" w:cs="Times New Roman"/>
          <w:bCs/>
          <w:sz w:val="24"/>
          <w:szCs w:val="24"/>
          <w:lang w:val="en-GB"/>
        </w:rPr>
      </w:pPr>
      <w:r>
        <w:rPr>
          <w:rFonts w:ascii="Times New Roman" w:hAnsi="Times New Roman" w:cs="Times New Roman"/>
          <w:bCs/>
          <w:sz w:val="24"/>
          <w:szCs w:val="24"/>
        </w:rPr>
        <w:t>Ahsan, M.J. and Khalid, M.H. (2023) ‘Laissez-Faire Leadership’, In </w:t>
      </w:r>
      <w:r>
        <w:rPr>
          <w:rFonts w:ascii="Times New Roman" w:hAnsi="Times New Roman" w:cs="Times New Roman"/>
          <w:bCs/>
          <w:i/>
          <w:iCs/>
          <w:sz w:val="24"/>
          <w:szCs w:val="24"/>
        </w:rPr>
        <w:t>Leadership Approaches in Global Hospitality and Tourism</w:t>
      </w:r>
      <w:r>
        <w:rPr>
          <w:rFonts w:ascii="Times New Roman" w:hAnsi="Times New Roman" w:cs="Times New Roman"/>
          <w:bCs/>
          <w:sz w:val="24"/>
          <w:szCs w:val="24"/>
        </w:rPr>
        <w:t> (pp. 61-72). IGI Global.</w:t>
      </w:r>
    </w:p>
    <w:p w14:paraId="4A44D08E" w14:textId="77777777" w:rsidR="000B7822" w:rsidRDefault="0096145B">
      <w:pPr>
        <w:spacing w:beforeLines="50" w:before="120" w:after="0" w:line="360" w:lineRule="auto"/>
        <w:jc w:val="both"/>
        <w:rPr>
          <w:rStyle w:val="20"/>
          <w:rFonts w:eastAsiaTheme="minorHAnsi" w:cs="Times New Roman"/>
          <w:b w:val="0"/>
          <w:bCs/>
          <w:szCs w:val="24"/>
          <w:lang w:val="en-GB" w:bidi="ar-SA"/>
        </w:rPr>
      </w:pPr>
      <w:r>
        <w:rPr>
          <w:rFonts w:ascii="Times New Roman" w:hAnsi="Times New Roman" w:cs="Times New Roman"/>
          <w:bCs/>
          <w:sz w:val="24"/>
          <w:szCs w:val="24"/>
        </w:rPr>
        <w:t>Alvesson, M. and Willmott, H. (2012) </w:t>
      </w:r>
      <w:r>
        <w:rPr>
          <w:rFonts w:ascii="Times New Roman" w:hAnsi="Times New Roman" w:cs="Times New Roman"/>
          <w:bCs/>
          <w:i/>
          <w:iCs/>
          <w:sz w:val="24"/>
          <w:szCs w:val="24"/>
        </w:rPr>
        <w:t>Making sense of management: A critical introduction</w:t>
      </w:r>
      <w:r>
        <w:rPr>
          <w:rFonts w:ascii="Times New Roman" w:hAnsi="Times New Roman" w:cs="Times New Roman"/>
          <w:bCs/>
          <w:sz w:val="24"/>
          <w:szCs w:val="24"/>
        </w:rPr>
        <w:t>. Sage.</w:t>
      </w:r>
    </w:p>
    <w:p w14:paraId="4D01BD6A"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Auliyah, R. and Basuki, B. (2021) ‘Ethical values reflected on Zakat and CSR: Indonesian sharia banking financial performance’, </w:t>
      </w:r>
      <w:r>
        <w:rPr>
          <w:rFonts w:ascii="Times New Roman" w:hAnsi="Times New Roman" w:cs="Times New Roman"/>
          <w:bCs/>
          <w:i/>
          <w:iCs/>
          <w:sz w:val="24"/>
          <w:szCs w:val="24"/>
        </w:rPr>
        <w:t>The Journal of Asian Finance, Economics and Business</w:t>
      </w:r>
      <w:r>
        <w:rPr>
          <w:rFonts w:ascii="Times New Roman" w:hAnsi="Times New Roman" w:cs="Times New Roman"/>
          <w:bCs/>
          <w:sz w:val="24"/>
          <w:szCs w:val="24"/>
        </w:rPr>
        <w:t>, </w:t>
      </w:r>
      <w:r>
        <w:rPr>
          <w:rFonts w:ascii="Times New Roman" w:hAnsi="Times New Roman" w:cs="Times New Roman"/>
          <w:bCs/>
          <w:i/>
          <w:iCs/>
          <w:sz w:val="24"/>
          <w:szCs w:val="24"/>
        </w:rPr>
        <w:t>8</w:t>
      </w:r>
      <w:r>
        <w:rPr>
          <w:rFonts w:ascii="Times New Roman" w:hAnsi="Times New Roman" w:cs="Times New Roman"/>
          <w:bCs/>
          <w:sz w:val="24"/>
          <w:szCs w:val="24"/>
        </w:rPr>
        <w:t xml:space="preserve">(1), pp.225-235. </w:t>
      </w:r>
    </w:p>
    <w:p w14:paraId="56CC5F94"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Babalola, M.T., Bligh, M.C., Ogunfowora, B., Guo, L. and Garba, O.A. (2019) ‘The mind is willing, but the situation constrains: Why and when leader conscientiousness relates to ethical leadership’, </w:t>
      </w:r>
      <w:r>
        <w:rPr>
          <w:rFonts w:ascii="Times New Roman" w:hAnsi="Times New Roman" w:cs="Times New Roman"/>
          <w:bCs/>
          <w:i/>
          <w:iCs/>
          <w:sz w:val="24"/>
          <w:szCs w:val="24"/>
        </w:rPr>
        <w:t>Journal of Business Ethics</w:t>
      </w:r>
      <w:r>
        <w:rPr>
          <w:rFonts w:ascii="Times New Roman" w:hAnsi="Times New Roman" w:cs="Times New Roman"/>
          <w:bCs/>
          <w:sz w:val="24"/>
          <w:szCs w:val="24"/>
        </w:rPr>
        <w:t>, </w:t>
      </w:r>
      <w:r>
        <w:rPr>
          <w:rFonts w:ascii="Times New Roman" w:hAnsi="Times New Roman" w:cs="Times New Roman"/>
          <w:bCs/>
          <w:i/>
          <w:iCs/>
          <w:sz w:val="24"/>
          <w:szCs w:val="24"/>
        </w:rPr>
        <w:t>155</w:t>
      </w:r>
      <w:r>
        <w:rPr>
          <w:rFonts w:ascii="Times New Roman" w:hAnsi="Times New Roman" w:cs="Times New Roman"/>
          <w:bCs/>
          <w:sz w:val="24"/>
          <w:szCs w:val="24"/>
        </w:rPr>
        <w:t>, pp.75-89.</w:t>
      </w:r>
    </w:p>
    <w:p w14:paraId="797B82F5"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Bowie, N.E. (2020) ‘Business ethics’, In </w:t>
      </w:r>
      <w:r>
        <w:rPr>
          <w:rFonts w:ascii="Times New Roman" w:hAnsi="Times New Roman" w:cs="Times New Roman"/>
          <w:bCs/>
          <w:i/>
          <w:iCs/>
          <w:sz w:val="24"/>
          <w:szCs w:val="24"/>
        </w:rPr>
        <w:t>New Directions in Ethics</w:t>
      </w:r>
      <w:r>
        <w:rPr>
          <w:rFonts w:ascii="Times New Roman" w:hAnsi="Times New Roman" w:cs="Times New Roman"/>
          <w:bCs/>
          <w:sz w:val="24"/>
          <w:szCs w:val="24"/>
        </w:rPr>
        <w:t> (pp. 158-172). Routledge.</w:t>
      </w:r>
    </w:p>
    <w:p w14:paraId="125BFB2D"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Constantinescu, M. and Kaptein, M. (2020) ‘Virtue ethics and CSR: The two sides of sustainable organizational performance’, </w:t>
      </w:r>
      <w:r>
        <w:rPr>
          <w:rFonts w:ascii="Times New Roman" w:hAnsi="Times New Roman" w:cs="Times New Roman"/>
          <w:bCs/>
          <w:i/>
          <w:iCs/>
          <w:sz w:val="24"/>
          <w:szCs w:val="24"/>
        </w:rPr>
        <w:t>Intrinsic CSR and competition: Doing well amongst European SMEs</w:t>
      </w:r>
      <w:r>
        <w:rPr>
          <w:rFonts w:ascii="Times New Roman" w:hAnsi="Times New Roman" w:cs="Times New Roman"/>
          <w:bCs/>
          <w:sz w:val="24"/>
          <w:szCs w:val="24"/>
        </w:rPr>
        <w:t>, pp.119-132.</w:t>
      </w:r>
    </w:p>
    <w:p w14:paraId="6DBF9EB9"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Dyke, K., Spicer, A., Alvesson, M. (2009) ‘Critical performativity: The unfinished business of critical management studies’, </w:t>
      </w:r>
      <w:r>
        <w:rPr>
          <w:rFonts w:ascii="Times New Roman" w:hAnsi="Times New Roman" w:cs="Times New Roman"/>
          <w:bCs/>
          <w:i/>
          <w:iCs/>
          <w:sz w:val="24"/>
          <w:szCs w:val="24"/>
        </w:rPr>
        <w:t>Human relations</w:t>
      </w:r>
      <w:r>
        <w:rPr>
          <w:rFonts w:ascii="Times New Roman" w:hAnsi="Times New Roman" w:cs="Times New Roman"/>
          <w:bCs/>
          <w:sz w:val="24"/>
          <w:szCs w:val="24"/>
        </w:rPr>
        <w:t>, </w:t>
      </w:r>
      <w:r>
        <w:rPr>
          <w:rFonts w:ascii="Times New Roman" w:hAnsi="Times New Roman" w:cs="Times New Roman"/>
          <w:bCs/>
          <w:i/>
          <w:iCs/>
          <w:sz w:val="24"/>
          <w:szCs w:val="24"/>
        </w:rPr>
        <w:t>62</w:t>
      </w:r>
      <w:r>
        <w:rPr>
          <w:rFonts w:ascii="Times New Roman" w:hAnsi="Times New Roman" w:cs="Times New Roman"/>
          <w:bCs/>
          <w:sz w:val="24"/>
          <w:szCs w:val="24"/>
        </w:rPr>
        <w:t>(4), pp.537-560.</w:t>
      </w:r>
    </w:p>
    <w:p w14:paraId="6B3913F1"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Edwards, G., Hawkins, B. and Schedlitzki, D. (2019) ‘Bringing the ugly back: A dialogic exploration of ethics in leadership through an ethno-narrative re-reading of the Enron case’, </w:t>
      </w:r>
      <w:r>
        <w:rPr>
          <w:rFonts w:ascii="Times New Roman" w:hAnsi="Times New Roman" w:cs="Times New Roman"/>
          <w:bCs/>
          <w:i/>
          <w:iCs/>
          <w:sz w:val="24"/>
          <w:szCs w:val="24"/>
        </w:rPr>
        <w:t>Human Relations</w:t>
      </w:r>
      <w:r>
        <w:rPr>
          <w:rFonts w:ascii="Times New Roman" w:hAnsi="Times New Roman" w:cs="Times New Roman"/>
          <w:bCs/>
          <w:sz w:val="24"/>
          <w:szCs w:val="24"/>
        </w:rPr>
        <w:t>, </w:t>
      </w:r>
      <w:r>
        <w:rPr>
          <w:rFonts w:ascii="Times New Roman" w:hAnsi="Times New Roman" w:cs="Times New Roman"/>
          <w:bCs/>
          <w:i/>
          <w:iCs/>
          <w:sz w:val="24"/>
          <w:szCs w:val="24"/>
        </w:rPr>
        <w:t>72</w:t>
      </w:r>
      <w:r>
        <w:rPr>
          <w:rFonts w:ascii="Times New Roman" w:hAnsi="Times New Roman" w:cs="Times New Roman"/>
          <w:bCs/>
          <w:sz w:val="24"/>
          <w:szCs w:val="24"/>
        </w:rPr>
        <w:t>(4), pp. 1-22.</w:t>
      </w:r>
    </w:p>
    <w:p w14:paraId="07BF049B"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Ferrell, O.C., Harrison, D.E., Ferrell, L. and Hair, J.F. (2019) ‘Business ethics, corporate social responsibility, and brand attitudes: An exploratory study’, </w:t>
      </w:r>
      <w:r>
        <w:rPr>
          <w:rFonts w:ascii="Times New Roman" w:hAnsi="Times New Roman" w:cs="Times New Roman"/>
          <w:bCs/>
          <w:i/>
          <w:iCs/>
          <w:sz w:val="24"/>
          <w:szCs w:val="24"/>
        </w:rPr>
        <w:t>Journal of Business Research</w:t>
      </w:r>
      <w:r>
        <w:rPr>
          <w:rFonts w:ascii="Times New Roman" w:hAnsi="Times New Roman" w:cs="Times New Roman"/>
          <w:bCs/>
          <w:sz w:val="24"/>
          <w:szCs w:val="24"/>
        </w:rPr>
        <w:t>, </w:t>
      </w:r>
      <w:r>
        <w:rPr>
          <w:rFonts w:ascii="Times New Roman" w:hAnsi="Times New Roman" w:cs="Times New Roman"/>
          <w:bCs/>
          <w:i/>
          <w:iCs/>
          <w:sz w:val="24"/>
          <w:szCs w:val="24"/>
        </w:rPr>
        <w:t>95</w:t>
      </w:r>
      <w:r>
        <w:rPr>
          <w:rFonts w:ascii="Times New Roman" w:hAnsi="Times New Roman" w:cs="Times New Roman"/>
          <w:bCs/>
          <w:sz w:val="24"/>
          <w:szCs w:val="24"/>
        </w:rPr>
        <w:t>, pp.491-501.</w:t>
      </w:r>
    </w:p>
    <w:p w14:paraId="4620721E"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lastRenderedPageBreak/>
        <w:t>Goel, M. and Ramanathan, M.P.E. (2014) ‘Business ethics and corporate social responsibility–is there a dividing line?’ </w:t>
      </w:r>
      <w:r>
        <w:rPr>
          <w:rFonts w:ascii="Times New Roman" w:hAnsi="Times New Roman" w:cs="Times New Roman"/>
          <w:bCs/>
          <w:i/>
          <w:iCs/>
          <w:sz w:val="24"/>
          <w:szCs w:val="24"/>
        </w:rPr>
        <w:t>Procedia Economics and Finance</w:t>
      </w:r>
      <w:r>
        <w:rPr>
          <w:rFonts w:ascii="Times New Roman" w:hAnsi="Times New Roman" w:cs="Times New Roman"/>
          <w:bCs/>
          <w:sz w:val="24"/>
          <w:szCs w:val="24"/>
        </w:rPr>
        <w:t>, </w:t>
      </w:r>
      <w:r>
        <w:rPr>
          <w:rFonts w:ascii="Times New Roman" w:hAnsi="Times New Roman" w:cs="Times New Roman"/>
          <w:bCs/>
          <w:i/>
          <w:iCs/>
          <w:sz w:val="24"/>
          <w:szCs w:val="24"/>
        </w:rPr>
        <w:t>11</w:t>
      </w:r>
      <w:r>
        <w:rPr>
          <w:rFonts w:ascii="Times New Roman" w:hAnsi="Times New Roman" w:cs="Times New Roman"/>
          <w:bCs/>
          <w:sz w:val="24"/>
          <w:szCs w:val="24"/>
        </w:rPr>
        <w:t xml:space="preserve">, pp.49-59. </w:t>
      </w:r>
    </w:p>
    <w:p w14:paraId="65C6D17F"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Harrison, J.S., Barney, J.B., Freeman, R.E. and Phillips, R.A. eds. (2019) </w:t>
      </w:r>
      <w:r>
        <w:rPr>
          <w:rFonts w:ascii="Times New Roman" w:hAnsi="Times New Roman" w:cs="Times New Roman"/>
          <w:bCs/>
          <w:i/>
          <w:iCs/>
          <w:sz w:val="24"/>
          <w:szCs w:val="24"/>
        </w:rPr>
        <w:t>The Cambridge handbook of stakeholder theory</w:t>
      </w:r>
      <w:r>
        <w:rPr>
          <w:rFonts w:ascii="Times New Roman" w:hAnsi="Times New Roman" w:cs="Times New Roman"/>
          <w:bCs/>
          <w:sz w:val="24"/>
          <w:szCs w:val="24"/>
        </w:rPr>
        <w:t>. Cambridge University Press.</w:t>
      </w:r>
    </w:p>
    <w:p w14:paraId="175FE4DC"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Hussain, N., Haque, A.U. and Baloch, A. (2019) ‘Management theories: The contribution of contemporary management theorists in tackling contemporary management challenges’, </w:t>
      </w:r>
      <w:r>
        <w:rPr>
          <w:rFonts w:ascii="Times New Roman" w:hAnsi="Times New Roman" w:cs="Times New Roman"/>
          <w:bCs/>
          <w:i/>
          <w:iCs/>
          <w:sz w:val="24"/>
          <w:szCs w:val="24"/>
        </w:rPr>
        <w:t>Yaşar Üniversitesi E-Dergisi</w:t>
      </w:r>
      <w:r>
        <w:rPr>
          <w:rFonts w:ascii="Times New Roman" w:hAnsi="Times New Roman" w:cs="Times New Roman"/>
          <w:bCs/>
          <w:sz w:val="24"/>
          <w:szCs w:val="24"/>
        </w:rPr>
        <w:t>, </w:t>
      </w:r>
      <w:r>
        <w:rPr>
          <w:rFonts w:ascii="Times New Roman" w:hAnsi="Times New Roman" w:cs="Times New Roman"/>
          <w:bCs/>
          <w:i/>
          <w:iCs/>
          <w:sz w:val="24"/>
          <w:szCs w:val="24"/>
        </w:rPr>
        <w:t>14</w:t>
      </w:r>
      <w:r>
        <w:rPr>
          <w:rFonts w:ascii="Times New Roman" w:hAnsi="Times New Roman" w:cs="Times New Roman"/>
          <w:bCs/>
          <w:sz w:val="24"/>
          <w:szCs w:val="24"/>
        </w:rPr>
        <w:t>, pp.156-169.</w:t>
      </w:r>
    </w:p>
    <w:p w14:paraId="54DB78BA"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James, H.L. and Lirely, R. (2022) ‘The propensity to save: The effect of Sarbanes–Oxley act’, </w:t>
      </w:r>
      <w:r>
        <w:rPr>
          <w:rFonts w:ascii="Times New Roman" w:hAnsi="Times New Roman" w:cs="Times New Roman"/>
          <w:bCs/>
          <w:i/>
          <w:iCs/>
          <w:sz w:val="24"/>
          <w:szCs w:val="24"/>
        </w:rPr>
        <w:t>Review of Financial Economics</w:t>
      </w:r>
      <w:r>
        <w:rPr>
          <w:rFonts w:ascii="Times New Roman" w:hAnsi="Times New Roman" w:cs="Times New Roman"/>
          <w:bCs/>
          <w:sz w:val="24"/>
          <w:szCs w:val="24"/>
        </w:rPr>
        <w:t>, </w:t>
      </w:r>
      <w:r>
        <w:rPr>
          <w:rFonts w:ascii="Times New Roman" w:hAnsi="Times New Roman" w:cs="Times New Roman"/>
          <w:bCs/>
          <w:i/>
          <w:iCs/>
          <w:sz w:val="24"/>
          <w:szCs w:val="24"/>
        </w:rPr>
        <w:t>40</w:t>
      </w:r>
      <w:r>
        <w:rPr>
          <w:rFonts w:ascii="Times New Roman" w:hAnsi="Times New Roman" w:cs="Times New Roman"/>
          <w:bCs/>
          <w:sz w:val="24"/>
          <w:szCs w:val="24"/>
        </w:rPr>
        <w:t>(1), pp.77-96.</w:t>
      </w:r>
    </w:p>
    <w:p w14:paraId="02B3693E"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Kabeyi, M.J.B. (2020) ‘Corporate governance in manufacturing and management with analysis of governance failures at Enron and Volkswagen Corporations’, </w:t>
      </w:r>
      <w:r>
        <w:rPr>
          <w:rFonts w:ascii="Times New Roman" w:hAnsi="Times New Roman" w:cs="Times New Roman"/>
          <w:bCs/>
          <w:i/>
          <w:iCs/>
          <w:sz w:val="24"/>
          <w:szCs w:val="24"/>
        </w:rPr>
        <w:t>Am J Oper Manage Inform Syst</w:t>
      </w:r>
      <w:r>
        <w:rPr>
          <w:rFonts w:ascii="Times New Roman" w:hAnsi="Times New Roman" w:cs="Times New Roman"/>
          <w:bCs/>
          <w:sz w:val="24"/>
          <w:szCs w:val="24"/>
        </w:rPr>
        <w:t>, </w:t>
      </w:r>
      <w:r>
        <w:rPr>
          <w:rFonts w:ascii="Times New Roman" w:hAnsi="Times New Roman" w:cs="Times New Roman"/>
          <w:bCs/>
          <w:i/>
          <w:iCs/>
          <w:sz w:val="24"/>
          <w:szCs w:val="24"/>
        </w:rPr>
        <w:t>4</w:t>
      </w:r>
      <w:r>
        <w:rPr>
          <w:rFonts w:ascii="Times New Roman" w:hAnsi="Times New Roman" w:cs="Times New Roman"/>
          <w:bCs/>
          <w:sz w:val="24"/>
          <w:szCs w:val="24"/>
        </w:rPr>
        <w:t>(4), pp.109-123.</w:t>
      </w:r>
    </w:p>
    <w:p w14:paraId="37D911B1"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Kotb, A., Elbardan, H. and Halabi, H. (2020) ‘Mapping of internal audit </w:t>
      </w:r>
      <w:r>
        <w:rPr>
          <w:rFonts w:ascii="Times New Roman" w:hAnsi="Times New Roman" w:cs="Times New Roman"/>
          <w:bCs/>
          <w:sz w:val="24"/>
          <w:szCs w:val="24"/>
        </w:rPr>
        <w:t>research: a post-Enron structured literature review’, </w:t>
      </w:r>
      <w:r>
        <w:rPr>
          <w:rFonts w:ascii="Times New Roman" w:hAnsi="Times New Roman" w:cs="Times New Roman"/>
          <w:bCs/>
          <w:i/>
          <w:iCs/>
          <w:sz w:val="24"/>
          <w:szCs w:val="24"/>
        </w:rPr>
        <w:t>Accounting, Auditing &amp; Accountability Journal</w:t>
      </w:r>
      <w:r>
        <w:rPr>
          <w:rFonts w:ascii="Times New Roman" w:hAnsi="Times New Roman" w:cs="Times New Roman"/>
          <w:bCs/>
          <w:sz w:val="24"/>
          <w:szCs w:val="24"/>
        </w:rPr>
        <w:t>, </w:t>
      </w:r>
      <w:r>
        <w:rPr>
          <w:rFonts w:ascii="Times New Roman" w:hAnsi="Times New Roman" w:cs="Times New Roman"/>
          <w:bCs/>
          <w:i/>
          <w:iCs/>
          <w:sz w:val="24"/>
          <w:szCs w:val="24"/>
        </w:rPr>
        <w:t>33</w:t>
      </w:r>
      <w:r>
        <w:rPr>
          <w:rFonts w:ascii="Times New Roman" w:hAnsi="Times New Roman" w:cs="Times New Roman"/>
          <w:bCs/>
          <w:sz w:val="24"/>
          <w:szCs w:val="24"/>
        </w:rPr>
        <w:t>(8), pp.1969-1996.</w:t>
      </w:r>
    </w:p>
    <w:p w14:paraId="1D88868D"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Kusyk, S. (2021) ‘Carroll's CSR Pyramid: An Empirical Investigation of SME CSR Orientation’, </w:t>
      </w:r>
      <w:r>
        <w:rPr>
          <w:rFonts w:ascii="Times New Roman" w:hAnsi="Times New Roman" w:cs="Times New Roman"/>
          <w:bCs/>
          <w:i/>
          <w:iCs/>
          <w:sz w:val="24"/>
          <w:szCs w:val="24"/>
        </w:rPr>
        <w:t>Journal of Leadership, Accountability and Ethics</w:t>
      </w:r>
      <w:r>
        <w:rPr>
          <w:rFonts w:ascii="Times New Roman" w:hAnsi="Times New Roman" w:cs="Times New Roman"/>
          <w:bCs/>
          <w:sz w:val="24"/>
          <w:szCs w:val="24"/>
        </w:rPr>
        <w:t>, </w:t>
      </w:r>
      <w:r>
        <w:rPr>
          <w:rFonts w:ascii="Times New Roman" w:hAnsi="Times New Roman" w:cs="Times New Roman"/>
          <w:bCs/>
          <w:i/>
          <w:iCs/>
          <w:sz w:val="24"/>
          <w:szCs w:val="24"/>
        </w:rPr>
        <w:t>18</w:t>
      </w:r>
      <w:r>
        <w:rPr>
          <w:rFonts w:ascii="Times New Roman" w:hAnsi="Times New Roman" w:cs="Times New Roman"/>
          <w:bCs/>
          <w:sz w:val="24"/>
          <w:szCs w:val="24"/>
        </w:rPr>
        <w:t>(4), pp.100-115.</w:t>
      </w:r>
    </w:p>
    <w:p w14:paraId="199E9223"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Lau, W.K., Pham, L.N. and Nguyen, L.D. (2019) ‘Remapping the construct of paternalistic leadership’, </w:t>
      </w:r>
      <w:r>
        <w:rPr>
          <w:rFonts w:ascii="Times New Roman" w:hAnsi="Times New Roman" w:cs="Times New Roman"/>
          <w:bCs/>
          <w:i/>
          <w:iCs/>
          <w:sz w:val="24"/>
          <w:szCs w:val="24"/>
        </w:rPr>
        <w:t>Leadership &amp; Organization Development Journal</w:t>
      </w:r>
      <w:r>
        <w:rPr>
          <w:rFonts w:ascii="Times New Roman" w:hAnsi="Times New Roman" w:cs="Times New Roman"/>
          <w:bCs/>
          <w:sz w:val="24"/>
          <w:szCs w:val="24"/>
        </w:rPr>
        <w:t>, </w:t>
      </w:r>
      <w:r>
        <w:rPr>
          <w:rFonts w:ascii="Times New Roman" w:hAnsi="Times New Roman" w:cs="Times New Roman"/>
          <w:bCs/>
          <w:i/>
          <w:iCs/>
          <w:sz w:val="24"/>
          <w:szCs w:val="24"/>
        </w:rPr>
        <w:t>40</w:t>
      </w:r>
      <w:r>
        <w:rPr>
          <w:rFonts w:ascii="Times New Roman" w:hAnsi="Times New Roman" w:cs="Times New Roman"/>
          <w:bCs/>
          <w:sz w:val="24"/>
          <w:szCs w:val="24"/>
        </w:rPr>
        <w:t xml:space="preserve">(7), pp.764-776. </w:t>
      </w:r>
    </w:p>
    <w:p w14:paraId="7359040E"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Lu, J., Liang, M., Zhang, C., Rong, D., Guan, H., Mazeikaite, K. and Streimikis, J. (2021) ‘Assessment of corporate social responsibility by addressing sustainable development goals’, </w:t>
      </w:r>
      <w:r>
        <w:rPr>
          <w:rFonts w:ascii="Times New Roman" w:hAnsi="Times New Roman" w:cs="Times New Roman"/>
          <w:bCs/>
          <w:i/>
          <w:iCs/>
          <w:sz w:val="24"/>
          <w:szCs w:val="24"/>
        </w:rPr>
        <w:t>Corporate Social Responsibility and Environmental Management</w:t>
      </w:r>
      <w:r>
        <w:rPr>
          <w:rFonts w:ascii="Times New Roman" w:hAnsi="Times New Roman" w:cs="Times New Roman"/>
          <w:bCs/>
          <w:sz w:val="24"/>
          <w:szCs w:val="24"/>
        </w:rPr>
        <w:t>, </w:t>
      </w:r>
      <w:r>
        <w:rPr>
          <w:rFonts w:ascii="Times New Roman" w:hAnsi="Times New Roman" w:cs="Times New Roman"/>
          <w:bCs/>
          <w:i/>
          <w:iCs/>
          <w:sz w:val="24"/>
          <w:szCs w:val="24"/>
        </w:rPr>
        <w:t>28</w:t>
      </w:r>
      <w:r>
        <w:rPr>
          <w:rFonts w:ascii="Times New Roman" w:hAnsi="Times New Roman" w:cs="Times New Roman"/>
          <w:bCs/>
          <w:sz w:val="24"/>
          <w:szCs w:val="24"/>
        </w:rPr>
        <w:t>(2), pp.686-703.</w:t>
      </w:r>
    </w:p>
    <w:p w14:paraId="38FD87E5" w14:textId="77777777" w:rsidR="000B7822" w:rsidRDefault="0096145B">
      <w:pPr>
        <w:spacing w:beforeLines="50" w:before="120" w:after="0" w:line="360" w:lineRule="auto"/>
        <w:jc w:val="both"/>
        <w:rPr>
          <w:rFonts w:ascii="Times New Roman" w:hAnsi="Times New Roman" w:cs="Times New Roman"/>
          <w:bCs/>
          <w:sz w:val="24"/>
          <w:szCs w:val="24"/>
          <w:lang w:val="en-GB"/>
        </w:rPr>
      </w:pPr>
      <w:r>
        <w:rPr>
          <w:rFonts w:ascii="Times New Roman" w:hAnsi="Times New Roman" w:cs="Times New Roman"/>
          <w:bCs/>
          <w:sz w:val="24"/>
          <w:szCs w:val="24"/>
        </w:rPr>
        <w:t>Mintzberg, H. and Laasch, O. (2020) ‘Mintzberg on (ir) responsible management’, </w:t>
      </w:r>
      <w:r>
        <w:rPr>
          <w:rFonts w:ascii="Times New Roman" w:hAnsi="Times New Roman" w:cs="Times New Roman"/>
          <w:bCs/>
          <w:i/>
          <w:iCs/>
          <w:sz w:val="24"/>
          <w:szCs w:val="24"/>
        </w:rPr>
        <w:t>Research handbook of responsible management</w:t>
      </w:r>
      <w:r>
        <w:rPr>
          <w:rFonts w:ascii="Times New Roman" w:hAnsi="Times New Roman" w:cs="Times New Roman"/>
          <w:bCs/>
          <w:sz w:val="24"/>
          <w:szCs w:val="24"/>
        </w:rPr>
        <w:t>, pp.73-83.</w:t>
      </w:r>
    </w:p>
    <w:p w14:paraId="71532AF0"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Pulapa, S.R. (2020) </w:t>
      </w:r>
      <w:r>
        <w:rPr>
          <w:rFonts w:ascii="Times New Roman" w:hAnsi="Times New Roman" w:cs="Times New Roman"/>
          <w:bCs/>
          <w:i/>
          <w:iCs/>
          <w:sz w:val="24"/>
          <w:szCs w:val="24"/>
        </w:rPr>
        <w:t>Business Ethics and The Bhagavad Gita: Cost of Unethical Acts: Directions of the Dharmatman for Ethical Leadership</w:t>
      </w:r>
      <w:r>
        <w:rPr>
          <w:rFonts w:ascii="Times New Roman" w:hAnsi="Times New Roman" w:cs="Times New Roman"/>
          <w:bCs/>
          <w:sz w:val="24"/>
          <w:szCs w:val="24"/>
        </w:rPr>
        <w:t>. Springer Nature.</w:t>
      </w:r>
    </w:p>
    <w:p w14:paraId="1EA335B8"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Ramakrishna, N. (2019) ‘Henry fayol's principles of management and it's applicability in contract staffing’, </w:t>
      </w:r>
      <w:r>
        <w:rPr>
          <w:rFonts w:ascii="Times New Roman" w:hAnsi="Times New Roman" w:cs="Times New Roman"/>
          <w:bCs/>
          <w:i/>
          <w:iCs/>
          <w:sz w:val="24"/>
          <w:szCs w:val="24"/>
        </w:rPr>
        <w:t>International Journal of Management, IT and Engineering</w:t>
      </w:r>
      <w:r>
        <w:rPr>
          <w:rFonts w:ascii="Times New Roman" w:hAnsi="Times New Roman" w:cs="Times New Roman"/>
          <w:bCs/>
          <w:sz w:val="24"/>
          <w:szCs w:val="24"/>
        </w:rPr>
        <w:t>, </w:t>
      </w:r>
      <w:r>
        <w:rPr>
          <w:rFonts w:ascii="Times New Roman" w:hAnsi="Times New Roman" w:cs="Times New Roman"/>
          <w:bCs/>
          <w:i/>
          <w:iCs/>
          <w:sz w:val="24"/>
          <w:szCs w:val="24"/>
        </w:rPr>
        <w:t>9</w:t>
      </w:r>
      <w:r>
        <w:rPr>
          <w:rFonts w:ascii="Times New Roman" w:hAnsi="Times New Roman" w:cs="Times New Roman"/>
          <w:bCs/>
          <w:sz w:val="24"/>
          <w:szCs w:val="24"/>
        </w:rPr>
        <w:t>(3), pp.168-182.</w:t>
      </w:r>
    </w:p>
    <w:p w14:paraId="7650A955"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lastRenderedPageBreak/>
        <w:t>Rashid, M. M. (2021) ‘A Case Analysis on Enron; Ethics, Social Responsibility, and Ethical Accounting’, </w:t>
      </w:r>
      <w:r>
        <w:rPr>
          <w:rFonts w:ascii="Times New Roman" w:hAnsi="Times New Roman" w:cs="Times New Roman"/>
          <w:bCs/>
          <w:i/>
          <w:iCs/>
          <w:sz w:val="24"/>
          <w:szCs w:val="24"/>
        </w:rPr>
        <w:t>New Innovations in Economics, Business and Management</w:t>
      </w:r>
      <w:r>
        <w:rPr>
          <w:rFonts w:ascii="Times New Roman" w:hAnsi="Times New Roman" w:cs="Times New Roman"/>
          <w:bCs/>
          <w:sz w:val="24"/>
          <w:szCs w:val="24"/>
        </w:rPr>
        <w:t xml:space="preserve">, pp. 62-69. </w:t>
      </w:r>
    </w:p>
    <w:p w14:paraId="0F7D2BC0"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Rivers, M.N. (2019) ‘A review of autocratic, paternalistic, and charismatic leadership in three collectivist cultures’, </w:t>
      </w:r>
      <w:r>
        <w:rPr>
          <w:rFonts w:ascii="Times New Roman" w:hAnsi="Times New Roman" w:cs="Times New Roman"/>
          <w:bCs/>
          <w:i/>
          <w:iCs/>
          <w:sz w:val="24"/>
          <w:szCs w:val="24"/>
        </w:rPr>
        <w:t>Emerging leadership journeys</w:t>
      </w:r>
      <w:r>
        <w:rPr>
          <w:rFonts w:ascii="Times New Roman" w:hAnsi="Times New Roman" w:cs="Times New Roman"/>
          <w:bCs/>
          <w:sz w:val="24"/>
          <w:szCs w:val="24"/>
        </w:rPr>
        <w:t>, </w:t>
      </w:r>
      <w:r>
        <w:rPr>
          <w:rFonts w:ascii="Times New Roman" w:hAnsi="Times New Roman" w:cs="Times New Roman"/>
          <w:bCs/>
          <w:i/>
          <w:iCs/>
          <w:sz w:val="24"/>
          <w:szCs w:val="24"/>
        </w:rPr>
        <w:t>12</w:t>
      </w:r>
      <w:r>
        <w:rPr>
          <w:rFonts w:ascii="Times New Roman" w:hAnsi="Times New Roman" w:cs="Times New Roman"/>
          <w:bCs/>
          <w:sz w:val="24"/>
          <w:szCs w:val="24"/>
        </w:rPr>
        <w:t xml:space="preserve">(1), pp.68-104. </w:t>
      </w:r>
    </w:p>
    <w:p w14:paraId="5004209E" w14:textId="77777777" w:rsidR="000B7822" w:rsidRDefault="0096145B">
      <w:pPr>
        <w:spacing w:beforeLines="50" w:before="120" w:after="0" w:line="360" w:lineRule="auto"/>
        <w:jc w:val="both"/>
        <w:rPr>
          <w:rFonts w:ascii="Times New Roman" w:hAnsi="Times New Roman" w:cs="Times New Roman"/>
          <w:bCs/>
          <w:sz w:val="24"/>
          <w:szCs w:val="24"/>
          <w:lang w:val="en-GB"/>
        </w:rPr>
      </w:pPr>
      <w:r>
        <w:rPr>
          <w:rFonts w:ascii="Times New Roman" w:hAnsi="Times New Roman" w:cs="Times New Roman"/>
          <w:bCs/>
          <w:sz w:val="24"/>
          <w:szCs w:val="24"/>
        </w:rPr>
        <w:t>Sacavém, A., Cruz, R.V., Sousa, M., Rosário, A. and Gomes, J.S. (2019) ‘An integrative literature review on leadership models for innovative organizations’, </w:t>
      </w:r>
      <w:r>
        <w:rPr>
          <w:rFonts w:ascii="Times New Roman" w:hAnsi="Times New Roman" w:cs="Times New Roman"/>
          <w:bCs/>
          <w:i/>
          <w:iCs/>
          <w:sz w:val="24"/>
          <w:szCs w:val="24"/>
        </w:rPr>
        <w:t>An integrative literature review on leadership models for innovative organizations</w:t>
      </w:r>
      <w:r>
        <w:rPr>
          <w:rFonts w:ascii="Times New Roman" w:hAnsi="Times New Roman" w:cs="Times New Roman"/>
          <w:bCs/>
          <w:sz w:val="24"/>
          <w:szCs w:val="24"/>
        </w:rPr>
        <w:t>, pp.1741-1751.</w:t>
      </w:r>
    </w:p>
    <w:p w14:paraId="49642C42" w14:textId="77777777" w:rsidR="000B7822" w:rsidRDefault="0096145B">
      <w:pPr>
        <w:spacing w:beforeLines="50" w:before="120" w:after="0"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The New York Times (2006)</w:t>
      </w:r>
      <w:r>
        <w:rPr>
          <w:rFonts w:ascii="Times New Roman" w:hAnsi="Times New Roman" w:cs="Times New Roman"/>
        </w:rPr>
        <w:t xml:space="preserve"> </w:t>
      </w:r>
      <w:r>
        <w:rPr>
          <w:rFonts w:ascii="Times New Roman" w:hAnsi="Times New Roman" w:cs="Times New Roman"/>
          <w:bCs/>
          <w:i/>
          <w:sz w:val="24"/>
          <w:szCs w:val="24"/>
          <w:lang w:val="en-GB"/>
        </w:rPr>
        <w:t>Timeline: A chronology of Enron Corp</w:t>
      </w:r>
      <w:r>
        <w:rPr>
          <w:rFonts w:ascii="Times New Roman" w:hAnsi="Times New Roman" w:cs="Times New Roman"/>
          <w:bCs/>
          <w:sz w:val="24"/>
          <w:szCs w:val="24"/>
          <w:lang w:val="en-GB"/>
        </w:rPr>
        <w:t xml:space="preserve">. Available at: https://www.nytimes.com/2006/01/18/business/worldbusiness/timeline-a-chronology-of-enron-corp.html (Accessed December 06, 2023) </w:t>
      </w:r>
    </w:p>
    <w:p w14:paraId="2302B82B"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Visser, M. (2010) ‘Critical management studies and “mainstream” organization science: A proposal for a rapprochement’, </w:t>
      </w:r>
      <w:r>
        <w:rPr>
          <w:rFonts w:ascii="Times New Roman" w:hAnsi="Times New Roman" w:cs="Times New Roman"/>
          <w:bCs/>
          <w:i/>
          <w:iCs/>
          <w:sz w:val="24"/>
          <w:szCs w:val="24"/>
        </w:rPr>
        <w:t>International Journal of Organizational Analysis</w:t>
      </w:r>
      <w:r>
        <w:rPr>
          <w:rFonts w:ascii="Times New Roman" w:hAnsi="Times New Roman" w:cs="Times New Roman"/>
          <w:bCs/>
          <w:sz w:val="24"/>
          <w:szCs w:val="24"/>
        </w:rPr>
        <w:t>, </w:t>
      </w:r>
      <w:r>
        <w:rPr>
          <w:rFonts w:ascii="Times New Roman" w:hAnsi="Times New Roman" w:cs="Times New Roman"/>
          <w:bCs/>
          <w:i/>
          <w:iCs/>
          <w:sz w:val="24"/>
          <w:szCs w:val="24"/>
        </w:rPr>
        <w:t>18</w:t>
      </w:r>
      <w:r>
        <w:rPr>
          <w:rFonts w:ascii="Times New Roman" w:hAnsi="Times New Roman" w:cs="Times New Roman"/>
          <w:bCs/>
          <w:sz w:val="24"/>
          <w:szCs w:val="24"/>
        </w:rPr>
        <w:t>(4), pp.466-478.</w:t>
      </w:r>
    </w:p>
    <w:p w14:paraId="3A601B72"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Yunarsih, N., Rahayu, S., Sustiyono, A., Anwar, T., Sri, N. and Purwanto, A. (2020) ‘Develop Leadership Style Model for Nurse in Indonesian Hospital’, </w:t>
      </w:r>
      <w:r>
        <w:rPr>
          <w:rFonts w:ascii="Times New Roman" w:hAnsi="Times New Roman" w:cs="Times New Roman"/>
          <w:bCs/>
          <w:i/>
          <w:iCs/>
          <w:sz w:val="24"/>
          <w:szCs w:val="24"/>
        </w:rPr>
        <w:t>Systematic Reviews in Pharmacy</w:t>
      </w:r>
      <w:r>
        <w:rPr>
          <w:rFonts w:ascii="Times New Roman" w:hAnsi="Times New Roman" w:cs="Times New Roman"/>
          <w:bCs/>
          <w:sz w:val="24"/>
          <w:szCs w:val="24"/>
        </w:rPr>
        <w:t>, </w:t>
      </w:r>
      <w:r>
        <w:rPr>
          <w:rFonts w:ascii="Times New Roman" w:hAnsi="Times New Roman" w:cs="Times New Roman"/>
          <w:bCs/>
          <w:i/>
          <w:iCs/>
          <w:sz w:val="24"/>
          <w:szCs w:val="24"/>
        </w:rPr>
        <w:t>11</w:t>
      </w:r>
      <w:r>
        <w:rPr>
          <w:rFonts w:ascii="Times New Roman" w:hAnsi="Times New Roman" w:cs="Times New Roman"/>
          <w:bCs/>
          <w:sz w:val="24"/>
          <w:szCs w:val="24"/>
        </w:rPr>
        <w:t xml:space="preserve">(8), pp. 1-12. </w:t>
      </w:r>
    </w:p>
    <w:p w14:paraId="1409A561" w14:textId="77777777" w:rsidR="000B7822" w:rsidRDefault="0096145B">
      <w:pPr>
        <w:spacing w:beforeLines="50" w:before="120" w:after="0" w:line="360" w:lineRule="auto"/>
        <w:jc w:val="both"/>
        <w:rPr>
          <w:rFonts w:ascii="Times New Roman" w:hAnsi="Times New Roman" w:cs="Times New Roman"/>
          <w:bCs/>
          <w:sz w:val="24"/>
          <w:szCs w:val="24"/>
        </w:rPr>
      </w:pPr>
      <w:r>
        <w:rPr>
          <w:rFonts w:ascii="Times New Roman" w:hAnsi="Times New Roman" w:cs="Times New Roman"/>
          <w:bCs/>
          <w:sz w:val="24"/>
          <w:szCs w:val="24"/>
        </w:rPr>
        <w:t>Zheng, Y., Graham, L., Farh, J.L. and Huang, X. (2021) ‘The impact of authoritarian leadership on ethical voice: A moderated mediation model of felt uncertainty and leader benevolence’, </w:t>
      </w:r>
      <w:r>
        <w:rPr>
          <w:rFonts w:ascii="Times New Roman" w:hAnsi="Times New Roman" w:cs="Times New Roman"/>
          <w:bCs/>
          <w:i/>
          <w:iCs/>
          <w:sz w:val="24"/>
          <w:szCs w:val="24"/>
        </w:rPr>
        <w:t>Journal of Business Ethics</w:t>
      </w:r>
      <w:r>
        <w:rPr>
          <w:rFonts w:ascii="Times New Roman" w:hAnsi="Times New Roman" w:cs="Times New Roman"/>
          <w:bCs/>
          <w:sz w:val="24"/>
          <w:szCs w:val="24"/>
        </w:rPr>
        <w:t>, </w:t>
      </w:r>
      <w:r>
        <w:rPr>
          <w:rFonts w:ascii="Times New Roman" w:hAnsi="Times New Roman" w:cs="Times New Roman"/>
          <w:bCs/>
          <w:i/>
          <w:iCs/>
          <w:sz w:val="24"/>
          <w:szCs w:val="24"/>
        </w:rPr>
        <w:t>170</w:t>
      </w:r>
      <w:r>
        <w:rPr>
          <w:rFonts w:ascii="Times New Roman" w:hAnsi="Times New Roman" w:cs="Times New Roman"/>
          <w:bCs/>
          <w:sz w:val="24"/>
          <w:szCs w:val="24"/>
        </w:rPr>
        <w:t>, pp.133-146.</w:t>
      </w:r>
    </w:p>
    <w:p w14:paraId="511A4038" w14:textId="77777777" w:rsidR="000B7822" w:rsidRDefault="000B7822">
      <w:pPr>
        <w:spacing w:line="360" w:lineRule="auto"/>
        <w:jc w:val="both"/>
        <w:rPr>
          <w:rFonts w:ascii="Times New Roman" w:hAnsi="Times New Roman" w:cs="Times New Roman"/>
          <w:bCs/>
          <w:sz w:val="24"/>
          <w:szCs w:val="24"/>
        </w:rPr>
      </w:pPr>
    </w:p>
    <w:p w14:paraId="771E9735" w14:textId="77777777" w:rsidR="000B7822" w:rsidRDefault="0096145B">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br w:type="page"/>
      </w:r>
    </w:p>
    <w:p w14:paraId="6B9BB78D" w14:textId="77777777" w:rsidR="000B7822" w:rsidRDefault="0096145B">
      <w:pPr>
        <w:spacing w:line="360" w:lineRule="auto"/>
        <w:jc w:val="both"/>
        <w:rPr>
          <w:rFonts w:ascii="Times New Roman" w:hAnsi="Times New Roman" w:cs="Times New Roman"/>
          <w:bCs/>
          <w:sz w:val="24"/>
          <w:szCs w:val="24"/>
          <w:lang w:val="en-GB"/>
        </w:rPr>
      </w:pPr>
      <w:bookmarkStart w:id="11" w:name="_Toc152865265"/>
      <w:r>
        <w:rPr>
          <w:rStyle w:val="10"/>
          <w:rFonts w:cs="Times New Roman"/>
          <w:color w:val="auto"/>
        </w:rPr>
        <w:lastRenderedPageBreak/>
        <w:t>6.0 Appendices: Chronology of events at Enron</w:t>
      </w:r>
      <w:bookmarkEnd w:id="11"/>
      <w:r>
        <w:rPr>
          <w:rStyle w:val="10"/>
          <w:rFonts w:cs="Times New Roman"/>
          <w:color w:val="auto"/>
        </w:rPr>
        <w:t xml:space="preserve"> </w:t>
      </w:r>
      <w:r>
        <w:rPr>
          <w:rFonts w:ascii="Times New Roman" w:hAnsi="Times New Roman" w:cs="Times New Roman"/>
          <w:bCs/>
          <w:sz w:val="24"/>
          <w:szCs w:val="24"/>
          <w:lang w:val="en-GB"/>
        </w:rPr>
        <w:t xml:space="preserve"> </w:t>
      </w:r>
    </w:p>
    <w:p w14:paraId="4FDD7A42" w14:textId="77777777" w:rsidR="000B7822" w:rsidRDefault="0096145B">
      <w:pPr>
        <w:pStyle w:val="a5"/>
        <w:rPr>
          <w:rFonts w:ascii="Times New Roman" w:hAnsi="Times New Roman" w:cs="Times New Roman"/>
          <w:bCs/>
          <w:color w:val="auto"/>
          <w:sz w:val="24"/>
          <w:szCs w:val="24"/>
          <w:lang w:val="en-GB"/>
        </w:rPr>
      </w:pPr>
      <w:r>
        <w:rPr>
          <w:rFonts w:ascii="Times New Roman" w:hAnsi="Times New Roman" w:cs="Times New Roman"/>
          <w:color w:val="auto"/>
        </w:rPr>
        <w:t xml:space="preserve">Table </w:t>
      </w:r>
      <w:r>
        <w:rPr>
          <w:rFonts w:ascii="Times New Roman" w:hAnsi="Times New Roman" w:cs="Times New Roman"/>
          <w:color w:val="auto"/>
        </w:rPr>
        <w:fldChar w:fldCharType="begin"/>
      </w:r>
      <w:r>
        <w:rPr>
          <w:rFonts w:ascii="Times New Roman" w:hAnsi="Times New Roman" w:cs="Times New Roman"/>
          <w:color w:val="auto"/>
        </w:rPr>
        <w:instrText xml:space="preserve"> SEQ Table \* ARABIC </w:instrText>
      </w:r>
      <w:r>
        <w:rPr>
          <w:rFonts w:ascii="Times New Roman" w:hAnsi="Times New Roman" w:cs="Times New Roman"/>
          <w:color w:val="auto"/>
        </w:rPr>
        <w:fldChar w:fldCharType="separate"/>
      </w:r>
      <w:r>
        <w:rPr>
          <w:rFonts w:ascii="Times New Roman" w:hAnsi="Times New Roman" w:cs="Times New Roman"/>
          <w:color w:val="auto"/>
        </w:rPr>
        <w:t>1</w:t>
      </w:r>
      <w:r>
        <w:rPr>
          <w:rFonts w:ascii="Times New Roman" w:hAnsi="Times New Roman" w:cs="Times New Roman"/>
          <w:color w:val="auto"/>
        </w:rPr>
        <w:fldChar w:fldCharType="end"/>
      </w:r>
      <w:r>
        <w:rPr>
          <w:rFonts w:ascii="Times New Roman" w:hAnsi="Times New Roman" w:cs="Times New Roman"/>
          <w:color w:val="auto"/>
        </w:rPr>
        <w:t>: Chronology of events at Enron</w:t>
      </w:r>
    </w:p>
    <w:p w14:paraId="7EA80E50" w14:textId="77777777" w:rsidR="000B7822" w:rsidRDefault="0096145B">
      <w:pPr>
        <w:spacing w:before="240" w:line="360" w:lineRule="auto"/>
        <w:jc w:val="both"/>
        <w:rPr>
          <w:rFonts w:ascii="Times New Roman" w:hAnsi="Times New Roman" w:cs="Times New Roman"/>
          <w:bCs/>
          <w:sz w:val="24"/>
          <w:szCs w:val="24"/>
          <w:lang w:val="en-GB"/>
        </w:rPr>
      </w:pPr>
      <w:r>
        <w:rPr>
          <w:rFonts w:ascii="Times New Roman" w:hAnsi="Times New Roman" w:cs="Times New Roman"/>
          <w:noProof/>
        </w:rPr>
        <w:drawing>
          <wp:inline distT="0" distB="0" distL="0" distR="0" wp14:anchorId="2F1D8EA1" wp14:editId="1BF57BF3">
            <wp:extent cx="5925185" cy="69107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5927431" cy="6913331"/>
                    </a:xfrm>
                    <a:prstGeom prst="rect">
                      <a:avLst/>
                    </a:prstGeom>
                    <a:noFill/>
                    <a:ln>
                      <a:noFill/>
                    </a:ln>
                  </pic:spPr>
                </pic:pic>
              </a:graphicData>
            </a:graphic>
          </wp:inline>
        </w:drawing>
      </w:r>
    </w:p>
    <w:p w14:paraId="103A1930" w14:textId="77777777" w:rsidR="000B7822" w:rsidRDefault="0096145B">
      <w:pPr>
        <w:spacing w:before="240" w:line="360" w:lineRule="auto"/>
        <w:jc w:val="both"/>
        <w:rPr>
          <w:rFonts w:ascii="Times New Roman" w:hAnsi="Times New Roman" w:cs="Times New Roman"/>
          <w:bCs/>
          <w:sz w:val="24"/>
          <w:szCs w:val="24"/>
          <w:lang w:val="en-GB"/>
        </w:rPr>
      </w:pPr>
      <w:r>
        <w:rPr>
          <w:rFonts w:ascii="Times New Roman" w:hAnsi="Times New Roman" w:cs="Times New Roman"/>
          <w:noProof/>
        </w:rPr>
        <w:lastRenderedPageBreak/>
        <w:drawing>
          <wp:inline distT="0" distB="0" distL="0" distR="0" wp14:anchorId="33A0DB5D" wp14:editId="3D0C6091">
            <wp:extent cx="5943600" cy="72618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5950490" cy="7270455"/>
                    </a:xfrm>
                    <a:prstGeom prst="rect">
                      <a:avLst/>
                    </a:prstGeom>
                    <a:noFill/>
                    <a:ln>
                      <a:noFill/>
                    </a:ln>
                  </pic:spPr>
                </pic:pic>
              </a:graphicData>
            </a:graphic>
          </wp:inline>
        </w:drawing>
      </w:r>
      <w:r>
        <w:rPr>
          <w:rFonts w:ascii="Times New Roman" w:hAnsi="Times New Roman" w:cs="Times New Roman"/>
          <w:bCs/>
          <w:sz w:val="24"/>
          <w:szCs w:val="24"/>
          <w:lang w:val="en-GB"/>
        </w:rPr>
        <w:t xml:space="preserve">Source: The New York Times (2006)  </w:t>
      </w:r>
    </w:p>
    <w:p w14:paraId="1FE4FF29" w14:textId="77777777" w:rsidR="000B7822" w:rsidRDefault="000B7822">
      <w:pPr>
        <w:spacing w:before="240" w:line="360" w:lineRule="auto"/>
        <w:jc w:val="both"/>
        <w:rPr>
          <w:rFonts w:ascii="Times New Roman" w:hAnsi="Times New Roman" w:cs="Times New Roman"/>
          <w:bCs/>
          <w:sz w:val="24"/>
          <w:szCs w:val="24"/>
          <w:lang w:val="en-GB"/>
        </w:rPr>
      </w:pPr>
    </w:p>
    <w:sectPr w:rsidR="000B782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CA6C62" w14:textId="77777777" w:rsidR="000B7822" w:rsidRDefault="0096145B">
      <w:pPr>
        <w:spacing w:line="240" w:lineRule="auto"/>
      </w:pPr>
      <w:r>
        <w:separator/>
      </w:r>
    </w:p>
  </w:endnote>
  <w:endnote w:type="continuationSeparator" w:id="0">
    <w:p w14:paraId="11A74533" w14:textId="77777777" w:rsidR="000B7822" w:rsidRDefault="009614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2904947"/>
      <w:docPartObj>
        <w:docPartGallery w:val="AutoText"/>
      </w:docPartObj>
    </w:sdtPr>
    <w:sdtEndPr/>
    <w:sdtContent>
      <w:p w14:paraId="4A4BAE1B" w14:textId="77777777" w:rsidR="000B7822" w:rsidRDefault="0096145B">
        <w:pPr>
          <w:pStyle w:val="a6"/>
          <w:jc w:val="center"/>
        </w:pPr>
        <w:r>
          <w:fldChar w:fldCharType="begin"/>
        </w:r>
        <w:r>
          <w:instrText xml:space="preserve"> PAGE   \* MERGEFORMAT </w:instrText>
        </w:r>
        <w:r>
          <w:fldChar w:fldCharType="separate"/>
        </w:r>
        <w:r>
          <w:t>4</w:t>
        </w:r>
        <w:r>
          <w:fldChar w:fldCharType="end"/>
        </w:r>
      </w:p>
    </w:sdtContent>
  </w:sdt>
  <w:p w14:paraId="54632217" w14:textId="77777777" w:rsidR="000B7822" w:rsidRDefault="000B7822">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12C39" w14:textId="77777777" w:rsidR="000B7822" w:rsidRDefault="0096145B">
      <w:pPr>
        <w:spacing w:after="0"/>
      </w:pPr>
      <w:r>
        <w:separator/>
      </w:r>
    </w:p>
  </w:footnote>
  <w:footnote w:type="continuationSeparator" w:id="0">
    <w:p w14:paraId="49F73536" w14:textId="77777777" w:rsidR="000B7822" w:rsidRDefault="0096145B">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MTE2MWQ0ODhhYWViNmMwZTIzYjg4ZDRlMjQ5NjZiMTIifQ=="/>
  </w:docVars>
  <w:rsids>
    <w:rsidRoot w:val="00DC6E68"/>
    <w:rsid w:val="00001264"/>
    <w:rsid w:val="00001F50"/>
    <w:rsid w:val="00011910"/>
    <w:rsid w:val="00012EC8"/>
    <w:rsid w:val="00017440"/>
    <w:rsid w:val="00020AA9"/>
    <w:rsid w:val="000266B2"/>
    <w:rsid w:val="00034DED"/>
    <w:rsid w:val="00035BC0"/>
    <w:rsid w:val="00036E8B"/>
    <w:rsid w:val="000373A5"/>
    <w:rsid w:val="000378AF"/>
    <w:rsid w:val="0004134A"/>
    <w:rsid w:val="000455F1"/>
    <w:rsid w:val="00045766"/>
    <w:rsid w:val="0004592F"/>
    <w:rsid w:val="00046DF3"/>
    <w:rsid w:val="00047704"/>
    <w:rsid w:val="0005356F"/>
    <w:rsid w:val="00057B25"/>
    <w:rsid w:val="000627E6"/>
    <w:rsid w:val="00064AA1"/>
    <w:rsid w:val="00075E8F"/>
    <w:rsid w:val="00081BEC"/>
    <w:rsid w:val="000827A3"/>
    <w:rsid w:val="0008296D"/>
    <w:rsid w:val="000839A6"/>
    <w:rsid w:val="00087042"/>
    <w:rsid w:val="00090B75"/>
    <w:rsid w:val="00095CF9"/>
    <w:rsid w:val="00096717"/>
    <w:rsid w:val="000A06FE"/>
    <w:rsid w:val="000A2C95"/>
    <w:rsid w:val="000B0653"/>
    <w:rsid w:val="000B2235"/>
    <w:rsid w:val="000B4767"/>
    <w:rsid w:val="000B566B"/>
    <w:rsid w:val="000B7822"/>
    <w:rsid w:val="000C2E32"/>
    <w:rsid w:val="000D13BC"/>
    <w:rsid w:val="000D2FD3"/>
    <w:rsid w:val="000D44FE"/>
    <w:rsid w:val="000D59A5"/>
    <w:rsid w:val="000D5B66"/>
    <w:rsid w:val="000D7BB9"/>
    <w:rsid w:val="000E784A"/>
    <w:rsid w:val="000F499C"/>
    <w:rsid w:val="000F5C25"/>
    <w:rsid w:val="00100BA1"/>
    <w:rsid w:val="001031E1"/>
    <w:rsid w:val="0012025D"/>
    <w:rsid w:val="00122ACD"/>
    <w:rsid w:val="00130CB9"/>
    <w:rsid w:val="0013160A"/>
    <w:rsid w:val="001437B7"/>
    <w:rsid w:val="001504D6"/>
    <w:rsid w:val="00154D27"/>
    <w:rsid w:val="001556B3"/>
    <w:rsid w:val="0016012F"/>
    <w:rsid w:val="00176991"/>
    <w:rsid w:val="001769AE"/>
    <w:rsid w:val="00177FD4"/>
    <w:rsid w:val="001820D3"/>
    <w:rsid w:val="00190AF2"/>
    <w:rsid w:val="001A0FF4"/>
    <w:rsid w:val="001A1233"/>
    <w:rsid w:val="001A5459"/>
    <w:rsid w:val="001B167C"/>
    <w:rsid w:val="001B1CC1"/>
    <w:rsid w:val="001B27FD"/>
    <w:rsid w:val="001B2988"/>
    <w:rsid w:val="001B39F8"/>
    <w:rsid w:val="001B5598"/>
    <w:rsid w:val="001D583A"/>
    <w:rsid w:val="001D7136"/>
    <w:rsid w:val="001D7D9F"/>
    <w:rsid w:val="001E51A2"/>
    <w:rsid w:val="001E5E08"/>
    <w:rsid w:val="001F4FE4"/>
    <w:rsid w:val="001F74F9"/>
    <w:rsid w:val="0020031D"/>
    <w:rsid w:val="0020412F"/>
    <w:rsid w:val="00204191"/>
    <w:rsid w:val="00211285"/>
    <w:rsid w:val="00212CF2"/>
    <w:rsid w:val="002143E0"/>
    <w:rsid w:val="00234DBA"/>
    <w:rsid w:val="00235F93"/>
    <w:rsid w:val="00250AE2"/>
    <w:rsid w:val="0025626F"/>
    <w:rsid w:val="00261B62"/>
    <w:rsid w:val="00271AD0"/>
    <w:rsid w:val="002737A1"/>
    <w:rsid w:val="002812B0"/>
    <w:rsid w:val="00287ADA"/>
    <w:rsid w:val="00291C9C"/>
    <w:rsid w:val="00293213"/>
    <w:rsid w:val="002B229C"/>
    <w:rsid w:val="002B3A36"/>
    <w:rsid w:val="002B7EC6"/>
    <w:rsid w:val="002C072E"/>
    <w:rsid w:val="002C41D2"/>
    <w:rsid w:val="002D3554"/>
    <w:rsid w:val="002E2CAB"/>
    <w:rsid w:val="002E3378"/>
    <w:rsid w:val="002E5DF3"/>
    <w:rsid w:val="002E7227"/>
    <w:rsid w:val="002F0032"/>
    <w:rsid w:val="002F55C7"/>
    <w:rsid w:val="002F6C0E"/>
    <w:rsid w:val="00304476"/>
    <w:rsid w:val="003047B1"/>
    <w:rsid w:val="00310FA2"/>
    <w:rsid w:val="00317CEF"/>
    <w:rsid w:val="00320D34"/>
    <w:rsid w:val="00332B96"/>
    <w:rsid w:val="00334043"/>
    <w:rsid w:val="00336442"/>
    <w:rsid w:val="00336699"/>
    <w:rsid w:val="0033692C"/>
    <w:rsid w:val="003410DC"/>
    <w:rsid w:val="0035354D"/>
    <w:rsid w:val="00353C2D"/>
    <w:rsid w:val="00364052"/>
    <w:rsid w:val="0036701C"/>
    <w:rsid w:val="00370FEB"/>
    <w:rsid w:val="00376E61"/>
    <w:rsid w:val="00383638"/>
    <w:rsid w:val="00384A6D"/>
    <w:rsid w:val="00390429"/>
    <w:rsid w:val="003906EC"/>
    <w:rsid w:val="00392DB0"/>
    <w:rsid w:val="00397B86"/>
    <w:rsid w:val="00397DA1"/>
    <w:rsid w:val="003A60DC"/>
    <w:rsid w:val="003C2DAC"/>
    <w:rsid w:val="003C48D4"/>
    <w:rsid w:val="003C69B5"/>
    <w:rsid w:val="003D0992"/>
    <w:rsid w:val="003D18E8"/>
    <w:rsid w:val="003D32E0"/>
    <w:rsid w:val="003D56EA"/>
    <w:rsid w:val="003E23DC"/>
    <w:rsid w:val="003E2DCD"/>
    <w:rsid w:val="003F1EB4"/>
    <w:rsid w:val="004115A3"/>
    <w:rsid w:val="00417387"/>
    <w:rsid w:val="00417923"/>
    <w:rsid w:val="00426B54"/>
    <w:rsid w:val="0042715B"/>
    <w:rsid w:val="0043273D"/>
    <w:rsid w:val="00434B64"/>
    <w:rsid w:val="00442709"/>
    <w:rsid w:val="00444140"/>
    <w:rsid w:val="0044609A"/>
    <w:rsid w:val="0044799D"/>
    <w:rsid w:val="004532DF"/>
    <w:rsid w:val="004577D9"/>
    <w:rsid w:val="004629AD"/>
    <w:rsid w:val="00471BCC"/>
    <w:rsid w:val="00475319"/>
    <w:rsid w:val="00476A88"/>
    <w:rsid w:val="004774E9"/>
    <w:rsid w:val="004847C2"/>
    <w:rsid w:val="00485F81"/>
    <w:rsid w:val="0048726F"/>
    <w:rsid w:val="00487706"/>
    <w:rsid w:val="00492679"/>
    <w:rsid w:val="004A030A"/>
    <w:rsid w:val="004A238A"/>
    <w:rsid w:val="004A578C"/>
    <w:rsid w:val="004B16B1"/>
    <w:rsid w:val="004B6C8A"/>
    <w:rsid w:val="004B7CFE"/>
    <w:rsid w:val="004C0F1C"/>
    <w:rsid w:val="004C6143"/>
    <w:rsid w:val="004D41B0"/>
    <w:rsid w:val="004D5FB9"/>
    <w:rsid w:val="004E45CB"/>
    <w:rsid w:val="004E63FE"/>
    <w:rsid w:val="004F589F"/>
    <w:rsid w:val="0050390C"/>
    <w:rsid w:val="0051523B"/>
    <w:rsid w:val="0051584C"/>
    <w:rsid w:val="00517BF7"/>
    <w:rsid w:val="0052083F"/>
    <w:rsid w:val="00525867"/>
    <w:rsid w:val="00530672"/>
    <w:rsid w:val="00531419"/>
    <w:rsid w:val="00536716"/>
    <w:rsid w:val="00542DA5"/>
    <w:rsid w:val="00544266"/>
    <w:rsid w:val="00563909"/>
    <w:rsid w:val="00567943"/>
    <w:rsid w:val="00586499"/>
    <w:rsid w:val="00587F82"/>
    <w:rsid w:val="00591993"/>
    <w:rsid w:val="00593540"/>
    <w:rsid w:val="005936C9"/>
    <w:rsid w:val="005970CF"/>
    <w:rsid w:val="005A04BC"/>
    <w:rsid w:val="005A3D93"/>
    <w:rsid w:val="005A4F41"/>
    <w:rsid w:val="005B42B8"/>
    <w:rsid w:val="005C0E8A"/>
    <w:rsid w:val="005C0FFE"/>
    <w:rsid w:val="005C13E6"/>
    <w:rsid w:val="005C389D"/>
    <w:rsid w:val="005C3F3C"/>
    <w:rsid w:val="005E2589"/>
    <w:rsid w:val="005E66EC"/>
    <w:rsid w:val="005E6F7A"/>
    <w:rsid w:val="005F3D63"/>
    <w:rsid w:val="005F5F17"/>
    <w:rsid w:val="005F6B68"/>
    <w:rsid w:val="006140F1"/>
    <w:rsid w:val="00626D89"/>
    <w:rsid w:val="00627BE0"/>
    <w:rsid w:val="00630D7F"/>
    <w:rsid w:val="00637D93"/>
    <w:rsid w:val="006410A5"/>
    <w:rsid w:val="00642DD0"/>
    <w:rsid w:val="00644B19"/>
    <w:rsid w:val="00657CEA"/>
    <w:rsid w:val="00662F3E"/>
    <w:rsid w:val="00665ABA"/>
    <w:rsid w:val="006671D0"/>
    <w:rsid w:val="006751F3"/>
    <w:rsid w:val="00675EA0"/>
    <w:rsid w:val="00676776"/>
    <w:rsid w:val="006779ED"/>
    <w:rsid w:val="0068662B"/>
    <w:rsid w:val="00693892"/>
    <w:rsid w:val="00693A83"/>
    <w:rsid w:val="00697630"/>
    <w:rsid w:val="006B21E9"/>
    <w:rsid w:val="006B24A1"/>
    <w:rsid w:val="006B38CC"/>
    <w:rsid w:val="006B6B88"/>
    <w:rsid w:val="006B6E7D"/>
    <w:rsid w:val="006B7BD0"/>
    <w:rsid w:val="006C3F5B"/>
    <w:rsid w:val="006C53FA"/>
    <w:rsid w:val="006D0325"/>
    <w:rsid w:val="006E1C08"/>
    <w:rsid w:val="006E5DAA"/>
    <w:rsid w:val="006E730D"/>
    <w:rsid w:val="006F0669"/>
    <w:rsid w:val="006F1E6B"/>
    <w:rsid w:val="00703242"/>
    <w:rsid w:val="007036DB"/>
    <w:rsid w:val="00705032"/>
    <w:rsid w:val="00707ED6"/>
    <w:rsid w:val="00715544"/>
    <w:rsid w:val="00735006"/>
    <w:rsid w:val="00736004"/>
    <w:rsid w:val="007364F1"/>
    <w:rsid w:val="00736B4F"/>
    <w:rsid w:val="007429B4"/>
    <w:rsid w:val="0074423B"/>
    <w:rsid w:val="00745426"/>
    <w:rsid w:val="0075111B"/>
    <w:rsid w:val="00760075"/>
    <w:rsid w:val="00761A62"/>
    <w:rsid w:val="00762C83"/>
    <w:rsid w:val="0076547F"/>
    <w:rsid w:val="00777D5B"/>
    <w:rsid w:val="0078046C"/>
    <w:rsid w:val="00781F12"/>
    <w:rsid w:val="00782061"/>
    <w:rsid w:val="0078602A"/>
    <w:rsid w:val="007A2DF3"/>
    <w:rsid w:val="007A4FF2"/>
    <w:rsid w:val="007B6DD1"/>
    <w:rsid w:val="007C2F7D"/>
    <w:rsid w:val="007C3208"/>
    <w:rsid w:val="007C5831"/>
    <w:rsid w:val="007D1EC6"/>
    <w:rsid w:val="007D4454"/>
    <w:rsid w:val="007E1C63"/>
    <w:rsid w:val="007E2F7F"/>
    <w:rsid w:val="007E38CF"/>
    <w:rsid w:val="007E3DF1"/>
    <w:rsid w:val="007E4DD9"/>
    <w:rsid w:val="007E5F88"/>
    <w:rsid w:val="007E6614"/>
    <w:rsid w:val="007E68D2"/>
    <w:rsid w:val="007E7862"/>
    <w:rsid w:val="007F0606"/>
    <w:rsid w:val="007F6B04"/>
    <w:rsid w:val="00800F44"/>
    <w:rsid w:val="00802804"/>
    <w:rsid w:val="00803CCD"/>
    <w:rsid w:val="008042C0"/>
    <w:rsid w:val="00812912"/>
    <w:rsid w:val="008137F5"/>
    <w:rsid w:val="00824747"/>
    <w:rsid w:val="0082691F"/>
    <w:rsid w:val="00832917"/>
    <w:rsid w:val="00840363"/>
    <w:rsid w:val="00842310"/>
    <w:rsid w:val="00846281"/>
    <w:rsid w:val="00854048"/>
    <w:rsid w:val="00855F65"/>
    <w:rsid w:val="00862E2E"/>
    <w:rsid w:val="008643CA"/>
    <w:rsid w:val="00872DEE"/>
    <w:rsid w:val="008802DB"/>
    <w:rsid w:val="008817E5"/>
    <w:rsid w:val="008825D9"/>
    <w:rsid w:val="008829E7"/>
    <w:rsid w:val="0088606C"/>
    <w:rsid w:val="00890344"/>
    <w:rsid w:val="008924AE"/>
    <w:rsid w:val="0089569C"/>
    <w:rsid w:val="008A06F2"/>
    <w:rsid w:val="008A164D"/>
    <w:rsid w:val="008B1154"/>
    <w:rsid w:val="008B2414"/>
    <w:rsid w:val="008C07DC"/>
    <w:rsid w:val="008C6A64"/>
    <w:rsid w:val="008D3113"/>
    <w:rsid w:val="008E33D0"/>
    <w:rsid w:val="008E74E8"/>
    <w:rsid w:val="008F1FBE"/>
    <w:rsid w:val="00900425"/>
    <w:rsid w:val="00904F19"/>
    <w:rsid w:val="009061CA"/>
    <w:rsid w:val="00922097"/>
    <w:rsid w:val="00925D88"/>
    <w:rsid w:val="009268A2"/>
    <w:rsid w:val="009269CA"/>
    <w:rsid w:val="00930205"/>
    <w:rsid w:val="009347F2"/>
    <w:rsid w:val="00936D5D"/>
    <w:rsid w:val="00946514"/>
    <w:rsid w:val="00952B7F"/>
    <w:rsid w:val="009545E6"/>
    <w:rsid w:val="0096145B"/>
    <w:rsid w:val="009621C2"/>
    <w:rsid w:val="00964574"/>
    <w:rsid w:val="00971C83"/>
    <w:rsid w:val="00971D12"/>
    <w:rsid w:val="009776E6"/>
    <w:rsid w:val="009846B2"/>
    <w:rsid w:val="00984B80"/>
    <w:rsid w:val="0099758F"/>
    <w:rsid w:val="009A4C3F"/>
    <w:rsid w:val="009A7CC0"/>
    <w:rsid w:val="009C7766"/>
    <w:rsid w:val="009D14F6"/>
    <w:rsid w:val="009D36DA"/>
    <w:rsid w:val="009D75CA"/>
    <w:rsid w:val="009E32D4"/>
    <w:rsid w:val="009F0572"/>
    <w:rsid w:val="009F4C58"/>
    <w:rsid w:val="009F64E8"/>
    <w:rsid w:val="00A024CA"/>
    <w:rsid w:val="00A0718C"/>
    <w:rsid w:val="00A07F6B"/>
    <w:rsid w:val="00A11463"/>
    <w:rsid w:val="00A14CA9"/>
    <w:rsid w:val="00A15A96"/>
    <w:rsid w:val="00A21A34"/>
    <w:rsid w:val="00A2570A"/>
    <w:rsid w:val="00A25711"/>
    <w:rsid w:val="00A372A1"/>
    <w:rsid w:val="00A3776C"/>
    <w:rsid w:val="00A379FD"/>
    <w:rsid w:val="00A41E0C"/>
    <w:rsid w:val="00A427D8"/>
    <w:rsid w:val="00A43788"/>
    <w:rsid w:val="00A4642B"/>
    <w:rsid w:val="00A55676"/>
    <w:rsid w:val="00A744C7"/>
    <w:rsid w:val="00A76C87"/>
    <w:rsid w:val="00A821D7"/>
    <w:rsid w:val="00A8255E"/>
    <w:rsid w:val="00A8351B"/>
    <w:rsid w:val="00A84BDA"/>
    <w:rsid w:val="00A92F1C"/>
    <w:rsid w:val="00A95E4B"/>
    <w:rsid w:val="00A97453"/>
    <w:rsid w:val="00AA0D29"/>
    <w:rsid w:val="00AA0E50"/>
    <w:rsid w:val="00AA5BCA"/>
    <w:rsid w:val="00AB0904"/>
    <w:rsid w:val="00AB5B8C"/>
    <w:rsid w:val="00AB5FD9"/>
    <w:rsid w:val="00AC172C"/>
    <w:rsid w:val="00AC5A44"/>
    <w:rsid w:val="00AD3647"/>
    <w:rsid w:val="00AD5B2C"/>
    <w:rsid w:val="00AE0087"/>
    <w:rsid w:val="00AE4A64"/>
    <w:rsid w:val="00AF0878"/>
    <w:rsid w:val="00AF1FB4"/>
    <w:rsid w:val="00AF2E75"/>
    <w:rsid w:val="00AF42E8"/>
    <w:rsid w:val="00B003FB"/>
    <w:rsid w:val="00B03E01"/>
    <w:rsid w:val="00B14A55"/>
    <w:rsid w:val="00B22168"/>
    <w:rsid w:val="00B31527"/>
    <w:rsid w:val="00B323EB"/>
    <w:rsid w:val="00B336AC"/>
    <w:rsid w:val="00B35B48"/>
    <w:rsid w:val="00B37F70"/>
    <w:rsid w:val="00B534C6"/>
    <w:rsid w:val="00B53758"/>
    <w:rsid w:val="00B54C6F"/>
    <w:rsid w:val="00B56019"/>
    <w:rsid w:val="00B565EF"/>
    <w:rsid w:val="00B56D6D"/>
    <w:rsid w:val="00B634E6"/>
    <w:rsid w:val="00B66AFE"/>
    <w:rsid w:val="00B66B38"/>
    <w:rsid w:val="00B82543"/>
    <w:rsid w:val="00B82E75"/>
    <w:rsid w:val="00B82FAC"/>
    <w:rsid w:val="00B86582"/>
    <w:rsid w:val="00B91982"/>
    <w:rsid w:val="00B91DBA"/>
    <w:rsid w:val="00B92903"/>
    <w:rsid w:val="00B92DCB"/>
    <w:rsid w:val="00BA67F5"/>
    <w:rsid w:val="00BB02D7"/>
    <w:rsid w:val="00BB21CA"/>
    <w:rsid w:val="00BB264A"/>
    <w:rsid w:val="00BC0329"/>
    <w:rsid w:val="00BC09AE"/>
    <w:rsid w:val="00BC1A00"/>
    <w:rsid w:val="00BC2D92"/>
    <w:rsid w:val="00BC33C4"/>
    <w:rsid w:val="00BC5C5E"/>
    <w:rsid w:val="00BC6195"/>
    <w:rsid w:val="00BC6571"/>
    <w:rsid w:val="00BD11AF"/>
    <w:rsid w:val="00BD729F"/>
    <w:rsid w:val="00BD7B77"/>
    <w:rsid w:val="00BE01D2"/>
    <w:rsid w:val="00BE38E9"/>
    <w:rsid w:val="00BE42EF"/>
    <w:rsid w:val="00BE46DE"/>
    <w:rsid w:val="00BF0F68"/>
    <w:rsid w:val="00BF2256"/>
    <w:rsid w:val="00C01CD0"/>
    <w:rsid w:val="00C04034"/>
    <w:rsid w:val="00C05228"/>
    <w:rsid w:val="00C0613F"/>
    <w:rsid w:val="00C0655C"/>
    <w:rsid w:val="00C06F53"/>
    <w:rsid w:val="00C15623"/>
    <w:rsid w:val="00C2423D"/>
    <w:rsid w:val="00C2778F"/>
    <w:rsid w:val="00C30A65"/>
    <w:rsid w:val="00C31FD3"/>
    <w:rsid w:val="00C44109"/>
    <w:rsid w:val="00C449CC"/>
    <w:rsid w:val="00C53E65"/>
    <w:rsid w:val="00C56FFE"/>
    <w:rsid w:val="00C63F39"/>
    <w:rsid w:val="00C64F20"/>
    <w:rsid w:val="00C671AD"/>
    <w:rsid w:val="00C71A24"/>
    <w:rsid w:val="00C82C23"/>
    <w:rsid w:val="00C855F4"/>
    <w:rsid w:val="00C92461"/>
    <w:rsid w:val="00CA0EDA"/>
    <w:rsid w:val="00CA2EBD"/>
    <w:rsid w:val="00CA5AD9"/>
    <w:rsid w:val="00CB4526"/>
    <w:rsid w:val="00CB4856"/>
    <w:rsid w:val="00CC5DB2"/>
    <w:rsid w:val="00CC7279"/>
    <w:rsid w:val="00CD0E38"/>
    <w:rsid w:val="00CD6A7B"/>
    <w:rsid w:val="00CE16D1"/>
    <w:rsid w:val="00CF00BF"/>
    <w:rsid w:val="00CF0F14"/>
    <w:rsid w:val="00CF40D9"/>
    <w:rsid w:val="00CF517F"/>
    <w:rsid w:val="00D12195"/>
    <w:rsid w:val="00D13349"/>
    <w:rsid w:val="00D17B41"/>
    <w:rsid w:val="00D2004B"/>
    <w:rsid w:val="00D2297F"/>
    <w:rsid w:val="00D24B92"/>
    <w:rsid w:val="00D30A40"/>
    <w:rsid w:val="00D4571B"/>
    <w:rsid w:val="00D45777"/>
    <w:rsid w:val="00D46E92"/>
    <w:rsid w:val="00D51152"/>
    <w:rsid w:val="00D51558"/>
    <w:rsid w:val="00D57F07"/>
    <w:rsid w:val="00D6346F"/>
    <w:rsid w:val="00D64FC9"/>
    <w:rsid w:val="00D73854"/>
    <w:rsid w:val="00D74F9C"/>
    <w:rsid w:val="00D75C2F"/>
    <w:rsid w:val="00D8087F"/>
    <w:rsid w:val="00D879A1"/>
    <w:rsid w:val="00D90E0B"/>
    <w:rsid w:val="00D95E2E"/>
    <w:rsid w:val="00DB1646"/>
    <w:rsid w:val="00DB50B3"/>
    <w:rsid w:val="00DB69B3"/>
    <w:rsid w:val="00DC0FB0"/>
    <w:rsid w:val="00DC22E6"/>
    <w:rsid w:val="00DC375C"/>
    <w:rsid w:val="00DC69F4"/>
    <w:rsid w:val="00DC6E68"/>
    <w:rsid w:val="00DD64C7"/>
    <w:rsid w:val="00DE0B6F"/>
    <w:rsid w:val="00DE10F7"/>
    <w:rsid w:val="00DE38DD"/>
    <w:rsid w:val="00DE50F4"/>
    <w:rsid w:val="00DF11F6"/>
    <w:rsid w:val="00DF287F"/>
    <w:rsid w:val="00E02EB5"/>
    <w:rsid w:val="00E038F7"/>
    <w:rsid w:val="00E13391"/>
    <w:rsid w:val="00E21261"/>
    <w:rsid w:val="00E236F6"/>
    <w:rsid w:val="00E25F86"/>
    <w:rsid w:val="00E265B9"/>
    <w:rsid w:val="00E31AFC"/>
    <w:rsid w:val="00E33994"/>
    <w:rsid w:val="00E503AF"/>
    <w:rsid w:val="00E5510E"/>
    <w:rsid w:val="00E57489"/>
    <w:rsid w:val="00E84EE1"/>
    <w:rsid w:val="00E90618"/>
    <w:rsid w:val="00E92ABA"/>
    <w:rsid w:val="00E93900"/>
    <w:rsid w:val="00E93F59"/>
    <w:rsid w:val="00EA1C14"/>
    <w:rsid w:val="00EC0B53"/>
    <w:rsid w:val="00EC14B7"/>
    <w:rsid w:val="00EC19EB"/>
    <w:rsid w:val="00EC4C9F"/>
    <w:rsid w:val="00ED14C3"/>
    <w:rsid w:val="00ED73A5"/>
    <w:rsid w:val="00EE759D"/>
    <w:rsid w:val="00EE79F7"/>
    <w:rsid w:val="00EF089B"/>
    <w:rsid w:val="00F00C35"/>
    <w:rsid w:val="00F070BA"/>
    <w:rsid w:val="00F11FF4"/>
    <w:rsid w:val="00F12BA0"/>
    <w:rsid w:val="00F16DB7"/>
    <w:rsid w:val="00F310F0"/>
    <w:rsid w:val="00F32E2A"/>
    <w:rsid w:val="00F34B20"/>
    <w:rsid w:val="00F42FC0"/>
    <w:rsid w:val="00F44527"/>
    <w:rsid w:val="00F44B73"/>
    <w:rsid w:val="00F51CD6"/>
    <w:rsid w:val="00F6034B"/>
    <w:rsid w:val="00F677A1"/>
    <w:rsid w:val="00F67D34"/>
    <w:rsid w:val="00F71533"/>
    <w:rsid w:val="00F751DC"/>
    <w:rsid w:val="00F77DAF"/>
    <w:rsid w:val="00FB03DF"/>
    <w:rsid w:val="00FB1A0B"/>
    <w:rsid w:val="00FC5C68"/>
    <w:rsid w:val="00FD38E6"/>
    <w:rsid w:val="00FE1B7E"/>
    <w:rsid w:val="00FE2421"/>
    <w:rsid w:val="00FE3932"/>
    <w:rsid w:val="00FE543E"/>
    <w:rsid w:val="00FF448B"/>
    <w:rsid w:val="00FF5026"/>
    <w:rsid w:val="00FF5C90"/>
    <w:rsid w:val="00FF6301"/>
    <w:rsid w:val="1F2228B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6DF5987"/>
  <w15:docId w15:val="{B9C1D8A3-C95B-0048-B002-82F613B34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uiPriority="39" w:unhideWhenUsed="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sz w:val="22"/>
      <w:szCs w:val="22"/>
      <w:lang w:eastAsia="en-US"/>
    </w:rPr>
  </w:style>
  <w:style w:type="paragraph" w:styleId="1">
    <w:name w:val="heading 1"/>
    <w:basedOn w:val="a"/>
    <w:next w:val="a"/>
    <w:link w:val="10"/>
    <w:uiPriority w:val="9"/>
    <w:qFormat/>
    <w:pPr>
      <w:keepNext/>
      <w:keepLines/>
      <w:spacing w:after="480" w:line="240" w:lineRule="auto"/>
      <w:contextualSpacing/>
      <w:jc w:val="both"/>
      <w:outlineLvl w:val="0"/>
    </w:pPr>
    <w:rPr>
      <w:rFonts w:ascii="Times New Roman" w:eastAsiaTheme="majorEastAsia" w:hAnsi="Times New Roman" w:cstheme="majorBidi"/>
      <w:b/>
      <w:color w:val="000000" w:themeColor="text1"/>
      <w:sz w:val="24"/>
      <w:szCs w:val="58"/>
    </w:rPr>
  </w:style>
  <w:style w:type="paragraph" w:styleId="2">
    <w:name w:val="heading 2"/>
    <w:basedOn w:val="a0"/>
    <w:next w:val="a"/>
    <w:link w:val="20"/>
    <w:uiPriority w:val="9"/>
    <w:qFormat/>
    <w:pPr>
      <w:widowControl w:val="0"/>
      <w:autoSpaceDE w:val="0"/>
      <w:autoSpaceDN w:val="0"/>
      <w:spacing w:before="120" w:after="200" w:line="240" w:lineRule="auto"/>
      <w:jc w:val="both"/>
      <w:outlineLvl w:val="1"/>
    </w:pPr>
    <w:rPr>
      <w:rFonts w:ascii="Times New Roman" w:eastAsia="Arial" w:hAnsi="Times New Roman" w:cs="Arial"/>
      <w:b/>
      <w:sz w:val="24"/>
      <w:lang w:bidi="en-US"/>
    </w:rPr>
  </w:style>
  <w:style w:type="paragraph" w:styleId="3">
    <w:name w:val="heading 3"/>
    <w:basedOn w:val="a"/>
    <w:next w:val="a"/>
    <w:link w:val="30"/>
    <w:uiPriority w:val="9"/>
    <w:unhideWhenUsed/>
    <w:qFormat/>
    <w:pPr>
      <w:keepNext/>
      <w:keepLines/>
      <w:spacing w:before="40" w:after="0"/>
      <w:jc w:val="both"/>
      <w:outlineLvl w:val="2"/>
    </w:pPr>
    <w:rPr>
      <w:rFonts w:asciiTheme="majorHAnsi" w:eastAsiaTheme="majorEastAsia" w:hAnsiTheme="majorHAnsi" w:cstheme="majorBidi"/>
      <w:b/>
      <w:color w:val="000000" w:themeColor="text1"/>
      <w:sz w:val="24"/>
      <w:szCs w:val="24"/>
    </w:rPr>
  </w:style>
  <w:style w:type="paragraph" w:styleId="4">
    <w:name w:val="heading 4"/>
    <w:basedOn w:val="a"/>
    <w:next w:val="a"/>
    <w:link w:val="40"/>
    <w:uiPriority w:val="9"/>
    <w:unhideWhenUsed/>
    <w:qFormat/>
    <w:pPr>
      <w:keepNext/>
      <w:keepLines/>
      <w:spacing w:before="40" w:after="0"/>
      <w:jc w:val="both"/>
      <w:outlineLvl w:val="3"/>
    </w:pPr>
    <w:rPr>
      <w:rFonts w:asciiTheme="majorHAnsi" w:eastAsiaTheme="majorEastAsia" w:hAnsiTheme="majorHAnsi" w:cstheme="majorBidi"/>
      <w:b/>
      <w:i/>
      <w:iCs/>
      <w:sz w:val="24"/>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0">
    <w:name w:val="Body Text"/>
    <w:basedOn w:val="a"/>
    <w:link w:val="a4"/>
    <w:uiPriority w:val="99"/>
    <w:semiHidden/>
    <w:unhideWhenUsed/>
    <w:pPr>
      <w:spacing w:after="120"/>
    </w:pPr>
  </w:style>
  <w:style w:type="paragraph" w:styleId="a5">
    <w:name w:val="caption"/>
    <w:basedOn w:val="a"/>
    <w:next w:val="a"/>
    <w:uiPriority w:val="35"/>
    <w:unhideWhenUsed/>
    <w:qFormat/>
    <w:pPr>
      <w:spacing w:after="200" w:line="240" w:lineRule="auto"/>
    </w:pPr>
    <w:rPr>
      <w:i/>
      <w:iCs/>
      <w:color w:val="44546A" w:themeColor="text2"/>
      <w:sz w:val="18"/>
      <w:szCs w:val="18"/>
    </w:rPr>
  </w:style>
  <w:style w:type="paragraph" w:styleId="TOC3">
    <w:name w:val="toc 3"/>
    <w:basedOn w:val="a"/>
    <w:next w:val="a"/>
    <w:uiPriority w:val="39"/>
    <w:unhideWhenUsed/>
    <w:qFormat/>
    <w:pPr>
      <w:spacing w:after="100"/>
      <w:ind w:left="440"/>
    </w:pPr>
  </w:style>
  <w:style w:type="paragraph" w:styleId="a6">
    <w:name w:val="footer"/>
    <w:basedOn w:val="a"/>
    <w:link w:val="a7"/>
    <w:uiPriority w:val="99"/>
    <w:unhideWhenUsed/>
    <w:pPr>
      <w:tabs>
        <w:tab w:val="center" w:pos="4680"/>
        <w:tab w:val="right" w:pos="9360"/>
      </w:tabs>
      <w:spacing w:after="0" w:line="240" w:lineRule="auto"/>
    </w:pPr>
  </w:style>
  <w:style w:type="paragraph" w:styleId="a8">
    <w:name w:val="header"/>
    <w:basedOn w:val="a"/>
    <w:link w:val="a9"/>
    <w:uiPriority w:val="99"/>
    <w:unhideWhenUsed/>
    <w:qFormat/>
    <w:pPr>
      <w:tabs>
        <w:tab w:val="center" w:pos="4680"/>
        <w:tab w:val="right" w:pos="9360"/>
      </w:tabs>
      <w:spacing w:after="0" w:line="240" w:lineRule="auto"/>
    </w:pPr>
  </w:style>
  <w:style w:type="paragraph" w:styleId="TOC1">
    <w:name w:val="toc 1"/>
    <w:basedOn w:val="a"/>
    <w:next w:val="a"/>
    <w:uiPriority w:val="39"/>
    <w:unhideWhenUsed/>
    <w:qFormat/>
    <w:pPr>
      <w:spacing w:after="100"/>
    </w:pPr>
  </w:style>
  <w:style w:type="paragraph" w:styleId="TOC4">
    <w:name w:val="toc 4"/>
    <w:basedOn w:val="a"/>
    <w:next w:val="a"/>
    <w:uiPriority w:val="39"/>
    <w:unhideWhenUsed/>
    <w:qFormat/>
    <w:pPr>
      <w:spacing w:after="100"/>
      <w:ind w:left="660"/>
    </w:pPr>
  </w:style>
  <w:style w:type="paragraph" w:styleId="TOC2">
    <w:name w:val="toc 2"/>
    <w:basedOn w:val="a"/>
    <w:next w:val="a"/>
    <w:uiPriority w:val="39"/>
    <w:unhideWhenUsed/>
    <w:qFormat/>
    <w:pPr>
      <w:spacing w:after="100"/>
      <w:ind w:left="220"/>
    </w:pPr>
  </w:style>
  <w:style w:type="table" w:styleId="aa">
    <w:name w:val="Table Grid"/>
    <w:basedOn w:val="a2"/>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Hyperlink"/>
    <w:basedOn w:val="a1"/>
    <w:uiPriority w:val="99"/>
    <w:unhideWhenUsed/>
    <w:qFormat/>
    <w:rPr>
      <w:color w:val="0563C1" w:themeColor="hyperlink"/>
      <w:u w:val="single"/>
    </w:rPr>
  </w:style>
  <w:style w:type="character" w:customStyle="1" w:styleId="20">
    <w:name w:val="标题 2 字符"/>
    <w:basedOn w:val="a1"/>
    <w:link w:val="2"/>
    <w:uiPriority w:val="9"/>
    <w:rPr>
      <w:rFonts w:ascii="Times New Roman" w:eastAsia="Arial" w:hAnsi="Times New Roman" w:cs="Arial"/>
      <w:b/>
      <w:sz w:val="24"/>
      <w:lang w:bidi="en-US"/>
    </w:rPr>
  </w:style>
  <w:style w:type="character" w:customStyle="1" w:styleId="a4">
    <w:name w:val="正文文本 字符"/>
    <w:basedOn w:val="a1"/>
    <w:link w:val="a0"/>
    <w:uiPriority w:val="99"/>
    <w:semiHidden/>
  </w:style>
  <w:style w:type="character" w:customStyle="1" w:styleId="10">
    <w:name w:val="标题 1 字符"/>
    <w:basedOn w:val="a1"/>
    <w:link w:val="1"/>
    <w:uiPriority w:val="9"/>
    <w:rPr>
      <w:rFonts w:ascii="Times New Roman" w:eastAsiaTheme="majorEastAsia" w:hAnsi="Times New Roman" w:cstheme="majorBidi"/>
      <w:b/>
      <w:color w:val="000000" w:themeColor="text1"/>
      <w:sz w:val="24"/>
      <w:szCs w:val="58"/>
    </w:rPr>
  </w:style>
  <w:style w:type="character" w:customStyle="1" w:styleId="a9">
    <w:name w:val="页眉 字符"/>
    <w:basedOn w:val="a1"/>
    <w:link w:val="a8"/>
    <w:uiPriority w:val="99"/>
    <w:qFormat/>
  </w:style>
  <w:style w:type="character" w:customStyle="1" w:styleId="a7">
    <w:name w:val="页脚 字符"/>
    <w:basedOn w:val="a1"/>
    <w:link w:val="a6"/>
    <w:uiPriority w:val="99"/>
  </w:style>
  <w:style w:type="paragraph" w:customStyle="1" w:styleId="TOC10">
    <w:name w:val="TOC 标题1"/>
    <w:basedOn w:val="1"/>
    <w:next w:val="a"/>
    <w:uiPriority w:val="39"/>
    <w:unhideWhenUsed/>
    <w:qFormat/>
    <w:pPr>
      <w:spacing w:before="240" w:after="0" w:line="259" w:lineRule="auto"/>
      <w:contextualSpacing w:val="0"/>
      <w:jc w:val="left"/>
      <w:outlineLvl w:val="9"/>
    </w:pPr>
    <w:rPr>
      <w:rFonts w:asciiTheme="majorHAnsi" w:hAnsiTheme="majorHAnsi"/>
      <w:b w:val="0"/>
      <w:color w:val="2E74B5" w:themeColor="accent1" w:themeShade="BF"/>
      <w:sz w:val="32"/>
      <w:szCs w:val="32"/>
    </w:rPr>
  </w:style>
  <w:style w:type="character" w:customStyle="1" w:styleId="30">
    <w:name w:val="标题 3 字符"/>
    <w:basedOn w:val="a1"/>
    <w:link w:val="3"/>
    <w:uiPriority w:val="9"/>
    <w:qFormat/>
    <w:rPr>
      <w:rFonts w:asciiTheme="majorHAnsi" w:eastAsiaTheme="majorEastAsia" w:hAnsiTheme="majorHAnsi" w:cstheme="majorBidi"/>
      <w:b/>
      <w:color w:val="000000" w:themeColor="text1"/>
      <w:sz w:val="24"/>
      <w:szCs w:val="24"/>
    </w:rPr>
  </w:style>
  <w:style w:type="character" w:customStyle="1" w:styleId="40">
    <w:name w:val="标题 4 字符"/>
    <w:basedOn w:val="a1"/>
    <w:link w:val="4"/>
    <w:uiPriority w:val="9"/>
    <w:rPr>
      <w:rFonts w:asciiTheme="majorHAnsi" w:eastAsiaTheme="majorEastAsia" w:hAnsiTheme="majorHAnsi" w:cstheme="majorBidi"/>
      <w:b/>
      <w:i/>
      <w:iCs/>
      <w:sz w:val="24"/>
    </w:rPr>
  </w:style>
  <w:style w:type="paragraph" w:styleId="ac">
    <w:name w:val="No Spacing"/>
    <w:uiPriority w:val="1"/>
    <w:qFormat/>
    <w:rPr>
      <w:rFonts w:ascii="Calibri" w:eastAsia="DengXian" w:hAnsi="Calibri" w:cs="SimSun"/>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C5E083-9B5E-4854-A4FD-5B8C1969D6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15</Pages>
  <Words>4001</Words>
  <Characters>22809</Characters>
  <Application>Microsoft Office Word</Application>
  <DocSecurity>0</DocSecurity>
  <Lines>190</Lines>
  <Paragraphs>53</Paragraphs>
  <ScaleCrop>false</ScaleCrop>
  <Company/>
  <LinksUpToDate>false</LinksUpToDate>
  <CharactersWithSpaces>26757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Tang1224</dc:creator>
  <cp:lastModifiedBy>Tongxin Tang (2107042)</cp:lastModifiedBy>
  <cp:revision>2</cp:revision>
  <dcterms:created xsi:type="dcterms:W3CDTF">2023-12-15T19:06:00Z</dcterms:created>
  <dcterms:modified xsi:type="dcterms:W3CDTF">2023-12-15T19:06:00Z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C4A1710B76CA4591A7F7B60234A72A43_12</vt:lpwstr>
  </property>
</Properties>
</file>