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5B7E9" w14:textId="77777777" w:rsidR="00230508" w:rsidRDefault="00230508" w:rsidP="00230508">
      <w:r>
        <w:rPr>
          <w:noProof/>
        </w:rPr>
        <w:drawing>
          <wp:anchor distT="0" distB="0" distL="114300" distR="114300" simplePos="0" relativeHeight="251659264" behindDoc="1" locked="0" layoutInCell="1" allowOverlap="1" wp14:anchorId="5675C83A" wp14:editId="16E3D544">
            <wp:simplePos x="0" y="0"/>
            <wp:positionH relativeFrom="margin">
              <wp:posOffset>646430</wp:posOffset>
            </wp:positionH>
            <wp:positionV relativeFrom="paragraph">
              <wp:posOffset>547</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D1D47BA" w14:textId="77777777" w:rsidR="00230508" w:rsidRDefault="00230508" w:rsidP="00230508"/>
    <w:p w14:paraId="77557B7D" w14:textId="77777777" w:rsidR="00230508" w:rsidRDefault="00230508" w:rsidP="00230508"/>
    <w:p w14:paraId="256F7135" w14:textId="77777777" w:rsidR="00230508" w:rsidRDefault="00230508" w:rsidP="00230508"/>
    <w:p w14:paraId="3F56CF67" w14:textId="77777777" w:rsidR="00230508" w:rsidRDefault="00230508" w:rsidP="00230508">
      <w:pPr>
        <w:ind w:right="1229"/>
      </w:pPr>
    </w:p>
    <w:p w14:paraId="43ABFE3A" w14:textId="77777777" w:rsidR="00C53B1E" w:rsidRDefault="00C53B1E" w:rsidP="00230508">
      <w:pPr>
        <w:ind w:right="1229"/>
        <w:rPr>
          <w:rFonts w:cs="Arial"/>
          <w:sz w:val="60"/>
          <w:szCs w:val="60"/>
        </w:rPr>
      </w:pPr>
    </w:p>
    <w:p w14:paraId="005F7166" w14:textId="26B9DEFB" w:rsidR="00230508" w:rsidRPr="00063B4C" w:rsidRDefault="00230508" w:rsidP="00887A09">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688DF466" w14:textId="77777777" w:rsidR="00230508" w:rsidRPr="00063B4C" w:rsidRDefault="00230508" w:rsidP="00887A09">
      <w:pPr>
        <w:pStyle w:val="BodyText"/>
        <w:jc w:val="center"/>
        <w:rPr>
          <w:rFonts w:ascii="Aptos" w:hAnsi="Aptos" w:cs="Arial"/>
          <w:sz w:val="20"/>
        </w:rPr>
      </w:pPr>
    </w:p>
    <w:p w14:paraId="3EC1FBAE" w14:textId="3FAC0ECD" w:rsidR="00230508" w:rsidRPr="00887A09" w:rsidRDefault="00230508" w:rsidP="00887A09">
      <w:pPr>
        <w:spacing w:line="813" w:lineRule="exact"/>
        <w:jc w:val="center"/>
        <w:rPr>
          <w:rFonts w:asciiTheme="minorHAnsi" w:hAnsiTheme="minorHAnsi" w:cs="Arial"/>
          <w:sz w:val="60"/>
          <w:szCs w:val="60"/>
        </w:rPr>
      </w:pPr>
      <w:r w:rsidRPr="00063B4C">
        <w:rPr>
          <w:rFonts w:cs="Arial"/>
          <w:sz w:val="60"/>
          <w:szCs w:val="60"/>
        </w:rPr>
        <w:t>BSc (Hons) Health and Social Care</w:t>
      </w:r>
      <w:r w:rsidRPr="00063B4C">
        <w:rPr>
          <w:rFonts w:cs="Arial"/>
          <w:sz w:val="60"/>
          <w:szCs w:val="60"/>
        </w:rPr>
        <w:br/>
      </w:r>
    </w:p>
    <w:p w14:paraId="32E11B4D" w14:textId="77777777" w:rsidR="00230508" w:rsidRPr="00063B4C" w:rsidRDefault="00230508" w:rsidP="00230508">
      <w:pPr>
        <w:pStyle w:val="Heading1"/>
        <w:ind w:left="0"/>
        <w:rPr>
          <w:rFonts w:ascii="Aptos" w:hAnsi="Aptos" w:cs="Arial"/>
        </w:rPr>
      </w:pPr>
      <w:r w:rsidRPr="00063B4C">
        <w:rPr>
          <w:rFonts w:ascii="Aptos" w:hAnsi="Aptos" w:cs="Arial"/>
        </w:rPr>
        <w:t>Disclaimer</w:t>
      </w:r>
    </w:p>
    <w:p w14:paraId="00E131B1" w14:textId="77777777" w:rsidR="00230508" w:rsidRDefault="00230508" w:rsidP="00230508">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A3C092C" w14:textId="77777777" w:rsidR="00230508" w:rsidRDefault="00230508" w:rsidP="00230508">
      <w:pPr>
        <w:rPr>
          <w:rFonts w:cs="Arial"/>
          <w:b/>
          <w:sz w:val="28"/>
          <w:szCs w:val="28"/>
        </w:rPr>
      </w:pPr>
    </w:p>
    <w:p w14:paraId="4C38CDD4" w14:textId="77777777" w:rsidR="00230508" w:rsidRPr="0073280B" w:rsidRDefault="00230508" w:rsidP="00230508">
      <w:pPr>
        <w:rPr>
          <w:rFonts w:cs="Arial"/>
          <w:b/>
          <w:sz w:val="28"/>
          <w:szCs w:val="28"/>
        </w:rPr>
      </w:pPr>
      <w:r w:rsidRPr="0073280B">
        <w:rPr>
          <w:rFonts w:cs="Arial"/>
          <w:b/>
          <w:sz w:val="28"/>
          <w:szCs w:val="28"/>
        </w:rPr>
        <w:t>DECLARATION</w:t>
      </w:r>
    </w:p>
    <w:p w14:paraId="3A3D1216" w14:textId="77777777" w:rsidR="00230508" w:rsidRPr="00604A87" w:rsidRDefault="00230508" w:rsidP="00230508">
      <w:pPr>
        <w:rPr>
          <w:rFonts w:cs="Arial"/>
        </w:rPr>
      </w:pPr>
      <w:r w:rsidRPr="00604A87">
        <w:rPr>
          <w:rFonts w:cs="Arial"/>
        </w:rPr>
        <w:t>This work has not previously been accepted in substance for any degree and is not being concurrently submitted in candidature for any degree</w:t>
      </w:r>
    </w:p>
    <w:p w14:paraId="53EBA830" w14:textId="77777777" w:rsidR="00230508" w:rsidRPr="00604A87" w:rsidRDefault="00230508" w:rsidP="00230508">
      <w:pPr>
        <w:rPr>
          <w:rFonts w:cs="Arial"/>
        </w:rPr>
      </w:pPr>
      <w:r w:rsidRPr="00604A87">
        <w:rPr>
          <w:rFonts w:cs="Arial"/>
        </w:rPr>
        <w:t>Signed……………………………………………</w:t>
      </w:r>
    </w:p>
    <w:p w14:paraId="12A01D3F" w14:textId="77777777" w:rsidR="00230508" w:rsidRPr="00604A87" w:rsidRDefault="00230508" w:rsidP="00230508">
      <w:pPr>
        <w:rPr>
          <w:rFonts w:cs="Arial"/>
        </w:rPr>
      </w:pPr>
      <w:r w:rsidRPr="00604A87">
        <w:rPr>
          <w:rFonts w:cs="Arial"/>
        </w:rPr>
        <w:t>Date………………………………………………</w:t>
      </w:r>
    </w:p>
    <w:p w14:paraId="238EAB44" w14:textId="77777777" w:rsidR="00230508" w:rsidRPr="00604A87" w:rsidRDefault="00230508" w:rsidP="00230508">
      <w:pPr>
        <w:rPr>
          <w:rFonts w:cs="Arial"/>
          <w:bCs/>
          <w:kern w:val="32"/>
        </w:rPr>
      </w:pPr>
      <w:r w:rsidRPr="00604A87">
        <w:rPr>
          <w:rFonts w:cs="Arial"/>
          <w:b/>
        </w:rPr>
        <w:t xml:space="preserve">STATEMENT 1 </w:t>
      </w:r>
    </w:p>
    <w:p w14:paraId="334D1E14" w14:textId="77777777" w:rsidR="00230508" w:rsidRPr="00604A87" w:rsidRDefault="00230508" w:rsidP="00230508">
      <w:pPr>
        <w:rPr>
          <w:rFonts w:cs="Arial"/>
        </w:rPr>
      </w:pPr>
      <w:r w:rsidRPr="00604A87">
        <w:rPr>
          <w:rFonts w:cs="Arial"/>
        </w:rPr>
        <w:t>This dissertation is being submitted in partial fulfilment of the requirements for the degree of BSc.</w:t>
      </w:r>
    </w:p>
    <w:p w14:paraId="3087BEF5" w14:textId="77777777" w:rsidR="00230508" w:rsidRPr="00604A87" w:rsidRDefault="00230508" w:rsidP="00230508">
      <w:pPr>
        <w:rPr>
          <w:rFonts w:cs="Arial"/>
        </w:rPr>
      </w:pPr>
      <w:r w:rsidRPr="00604A87">
        <w:rPr>
          <w:rFonts w:cs="Arial"/>
        </w:rPr>
        <w:t xml:space="preserve">Signed……………………………………………. </w:t>
      </w:r>
    </w:p>
    <w:p w14:paraId="62B580BD" w14:textId="77777777" w:rsidR="00230508" w:rsidRPr="00604A87" w:rsidRDefault="00230508" w:rsidP="00230508">
      <w:pPr>
        <w:rPr>
          <w:rFonts w:cs="Arial"/>
        </w:rPr>
      </w:pPr>
      <w:r w:rsidRPr="00604A87">
        <w:rPr>
          <w:rFonts w:cs="Arial"/>
        </w:rPr>
        <w:t>Date………………………………………………</w:t>
      </w:r>
    </w:p>
    <w:p w14:paraId="6818B44A" w14:textId="77777777" w:rsidR="00230508" w:rsidRPr="00604A87" w:rsidRDefault="00230508" w:rsidP="00230508">
      <w:pPr>
        <w:rPr>
          <w:rFonts w:cs="Arial"/>
        </w:rPr>
      </w:pPr>
      <w:r w:rsidRPr="00604A87">
        <w:rPr>
          <w:rFonts w:cs="Arial"/>
          <w:b/>
        </w:rPr>
        <w:t>STATEMENT 2</w:t>
      </w:r>
    </w:p>
    <w:p w14:paraId="16C96EBA" w14:textId="77777777" w:rsidR="00230508" w:rsidRPr="00604A87" w:rsidRDefault="00230508" w:rsidP="00230508">
      <w:pPr>
        <w:rPr>
          <w:rFonts w:cs="Arial"/>
        </w:rPr>
      </w:pPr>
      <w:r w:rsidRPr="00604A87">
        <w:rPr>
          <w:rFonts w:cs="Arial"/>
        </w:rPr>
        <w:t>This dissertation is the result of my own independent work/investigation, except where otherwise stated.</w:t>
      </w:r>
      <w:r>
        <w:rPr>
          <w:rFonts w:cs="Arial"/>
        </w:rPr>
        <w:t xml:space="preserve"> </w:t>
      </w:r>
      <w:r w:rsidRPr="00604A87">
        <w:rPr>
          <w:rFonts w:cs="Arial"/>
        </w:rPr>
        <w:t>Other sources are acknowledged by footnotes giving explicit references.  A bibliography is appended.</w:t>
      </w:r>
    </w:p>
    <w:p w14:paraId="48A98201" w14:textId="77777777" w:rsidR="00230508" w:rsidRPr="00604A87" w:rsidRDefault="00230508" w:rsidP="00230508">
      <w:pPr>
        <w:rPr>
          <w:rFonts w:cs="Arial"/>
        </w:rPr>
      </w:pPr>
      <w:r w:rsidRPr="00604A87">
        <w:rPr>
          <w:rFonts w:cs="Arial"/>
        </w:rPr>
        <w:t>Signed……………………………………………</w:t>
      </w:r>
    </w:p>
    <w:p w14:paraId="29ED2F31" w14:textId="77777777" w:rsidR="00230508" w:rsidRPr="00604A87" w:rsidRDefault="00230508" w:rsidP="00230508">
      <w:pPr>
        <w:rPr>
          <w:rFonts w:cs="Arial"/>
        </w:rPr>
      </w:pPr>
      <w:r w:rsidRPr="00604A87">
        <w:rPr>
          <w:rFonts w:cs="Arial"/>
        </w:rPr>
        <w:t xml:space="preserve">Date……………………………………………… </w:t>
      </w:r>
    </w:p>
    <w:p w14:paraId="0B382194" w14:textId="77777777" w:rsidR="00230508" w:rsidRPr="00604A87" w:rsidRDefault="00230508" w:rsidP="00230508">
      <w:pPr>
        <w:rPr>
          <w:rFonts w:cs="Arial"/>
        </w:rPr>
      </w:pPr>
      <w:r w:rsidRPr="00604A87">
        <w:rPr>
          <w:rFonts w:cs="Arial"/>
          <w:b/>
        </w:rPr>
        <w:t>STATEMENT 3</w:t>
      </w:r>
    </w:p>
    <w:p w14:paraId="036CD5C7" w14:textId="77777777" w:rsidR="00230508" w:rsidRPr="00604A87" w:rsidRDefault="00230508" w:rsidP="00230508">
      <w:pPr>
        <w:rPr>
          <w:rFonts w:cs="Arial"/>
        </w:rPr>
      </w:pPr>
      <w:r w:rsidRPr="00604A87">
        <w:rPr>
          <w:rFonts w:cs="Arial"/>
        </w:rPr>
        <w:t>I hereby give consent for my dissertation, if accepted, to be available for photocopying and for interlibrary loan, and for the title and summary to be made available to outside organisations.</w:t>
      </w:r>
    </w:p>
    <w:p w14:paraId="0151F0D0" w14:textId="77777777" w:rsidR="00230508" w:rsidRPr="00604A87" w:rsidRDefault="00230508" w:rsidP="00230508">
      <w:pPr>
        <w:rPr>
          <w:rFonts w:cs="Arial"/>
        </w:rPr>
      </w:pPr>
      <w:r w:rsidRPr="00604A87">
        <w:rPr>
          <w:rFonts w:cs="Arial"/>
        </w:rPr>
        <w:t>Signed………………………………………………</w:t>
      </w:r>
    </w:p>
    <w:p w14:paraId="3F9013E9" w14:textId="77777777" w:rsidR="00230508" w:rsidRPr="00604A87" w:rsidRDefault="00230508" w:rsidP="0023050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00604A87">
        <w:rPr>
          <w:rFonts w:cs="Arial"/>
        </w:rPr>
        <w:t>Date…………………………………………………</w:t>
      </w:r>
    </w:p>
    <w:p w14:paraId="15589BE7" w14:textId="77777777" w:rsidR="00230508" w:rsidRPr="00604A87" w:rsidRDefault="00230508" w:rsidP="00230508">
      <w:pPr>
        <w:rPr>
          <w:rFonts w:cs="Arial"/>
          <w:b/>
        </w:rPr>
      </w:pPr>
      <w:r w:rsidRPr="00604A87">
        <w:rPr>
          <w:rFonts w:cs="Arial"/>
          <w:b/>
        </w:rPr>
        <w:t>STATEMENT 4</w:t>
      </w:r>
    </w:p>
    <w:p w14:paraId="0361AC16" w14:textId="77777777" w:rsidR="00230508" w:rsidRPr="00604A87" w:rsidRDefault="00230508" w:rsidP="00230508">
      <w:pPr>
        <w:rPr>
          <w:rFonts w:cs="Arial"/>
        </w:rPr>
      </w:pPr>
      <w:r w:rsidRPr="00604A87">
        <w:rPr>
          <w:rFonts w:cs="Arial"/>
        </w:rPr>
        <w:lastRenderedPageBreak/>
        <w:t>I hereby give consent for my dissertation, if accepted, to be available on the university’s IT system to those who have consent to use the system.</w:t>
      </w:r>
    </w:p>
    <w:p w14:paraId="55138030" w14:textId="77777777" w:rsidR="00230508" w:rsidRPr="00604A87" w:rsidRDefault="00230508" w:rsidP="00230508">
      <w:pPr>
        <w:rPr>
          <w:rFonts w:cs="Arial"/>
        </w:rPr>
      </w:pPr>
      <w:r w:rsidRPr="00604A87">
        <w:rPr>
          <w:rFonts w:cs="Arial"/>
        </w:rPr>
        <w:t>Signed………………………………………………</w:t>
      </w:r>
    </w:p>
    <w:p w14:paraId="6829941E" w14:textId="77777777" w:rsidR="00230508" w:rsidRPr="00604A87" w:rsidRDefault="00230508" w:rsidP="0023050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00604A87">
        <w:rPr>
          <w:rFonts w:cs="Arial"/>
        </w:rPr>
        <w:t>Date…………………………………………………</w:t>
      </w:r>
    </w:p>
    <w:p w14:paraId="1E242535" w14:textId="77777777" w:rsidR="00230508" w:rsidRDefault="00230508" w:rsidP="00230508"/>
    <w:p w14:paraId="6BB421B7" w14:textId="77777777" w:rsidR="00230508" w:rsidRDefault="00230508" w:rsidP="00230508"/>
    <w:p w14:paraId="787E63E9" w14:textId="77777777" w:rsidR="00230508" w:rsidRDefault="00230508" w:rsidP="00230508">
      <w:pPr>
        <w:jc w:val="center"/>
        <w:rPr>
          <w:rFonts w:ascii="Arial" w:eastAsia="Arial Unicode MS" w:hAnsi="Arial" w:cs="Arial"/>
          <w:b/>
          <w:sz w:val="56"/>
          <w:szCs w:val="56"/>
        </w:rPr>
      </w:pPr>
    </w:p>
    <w:p w14:paraId="23CBDA5B" w14:textId="3844D601" w:rsidR="00230508" w:rsidRDefault="00230508" w:rsidP="00230508">
      <w:pPr>
        <w:jc w:val="center"/>
        <w:rPr>
          <w:rFonts w:ascii="Arial" w:eastAsia="Arial Unicode MS" w:hAnsi="Arial" w:cs="Arial"/>
          <w:b/>
          <w:sz w:val="56"/>
          <w:szCs w:val="56"/>
        </w:rPr>
      </w:pPr>
    </w:p>
    <w:p w14:paraId="43D2C386" w14:textId="07A3B962" w:rsidR="00C53B1E" w:rsidRDefault="00C53B1E" w:rsidP="00230508">
      <w:pPr>
        <w:jc w:val="center"/>
        <w:rPr>
          <w:rFonts w:ascii="Arial" w:eastAsia="Arial Unicode MS" w:hAnsi="Arial" w:cs="Arial"/>
          <w:b/>
          <w:sz w:val="56"/>
          <w:szCs w:val="56"/>
        </w:rPr>
      </w:pPr>
    </w:p>
    <w:p w14:paraId="2F0BA5F1" w14:textId="6CE9D102" w:rsidR="00C53B1E" w:rsidRDefault="00C53B1E" w:rsidP="00230508">
      <w:pPr>
        <w:jc w:val="center"/>
        <w:rPr>
          <w:rFonts w:ascii="Arial" w:eastAsia="Arial Unicode MS" w:hAnsi="Arial" w:cs="Arial"/>
          <w:b/>
          <w:sz w:val="56"/>
          <w:szCs w:val="56"/>
        </w:rPr>
      </w:pPr>
    </w:p>
    <w:p w14:paraId="61043E59" w14:textId="7AD8C9A6" w:rsidR="00C53B1E" w:rsidRDefault="00C53B1E" w:rsidP="00230508">
      <w:pPr>
        <w:jc w:val="center"/>
        <w:rPr>
          <w:rFonts w:ascii="Arial" w:eastAsia="Arial Unicode MS" w:hAnsi="Arial" w:cs="Arial"/>
          <w:b/>
          <w:sz w:val="56"/>
          <w:szCs w:val="56"/>
        </w:rPr>
      </w:pPr>
    </w:p>
    <w:p w14:paraId="69BCE607" w14:textId="0ED19D25" w:rsidR="00C53B1E" w:rsidRDefault="00C53B1E" w:rsidP="00230508">
      <w:pPr>
        <w:jc w:val="center"/>
        <w:rPr>
          <w:rFonts w:ascii="Arial" w:eastAsia="Arial Unicode MS" w:hAnsi="Arial" w:cs="Arial"/>
          <w:b/>
          <w:sz w:val="56"/>
          <w:szCs w:val="56"/>
        </w:rPr>
      </w:pPr>
    </w:p>
    <w:p w14:paraId="1A865EEC" w14:textId="2FF44C57" w:rsidR="00C53B1E" w:rsidRDefault="00C53B1E" w:rsidP="00230508">
      <w:pPr>
        <w:jc w:val="center"/>
        <w:rPr>
          <w:rFonts w:ascii="Arial" w:eastAsia="Arial Unicode MS" w:hAnsi="Arial" w:cs="Arial"/>
          <w:b/>
          <w:sz w:val="56"/>
          <w:szCs w:val="56"/>
        </w:rPr>
      </w:pPr>
    </w:p>
    <w:p w14:paraId="4A217FD2" w14:textId="02316972" w:rsidR="00C53B1E" w:rsidRDefault="00C53B1E" w:rsidP="00230508">
      <w:pPr>
        <w:jc w:val="center"/>
        <w:rPr>
          <w:rFonts w:ascii="Arial" w:eastAsia="Arial Unicode MS" w:hAnsi="Arial" w:cs="Arial"/>
          <w:b/>
          <w:sz w:val="56"/>
          <w:szCs w:val="56"/>
        </w:rPr>
      </w:pPr>
    </w:p>
    <w:p w14:paraId="3CA6D8D6" w14:textId="67D959D7" w:rsidR="00C53B1E" w:rsidRDefault="00C53B1E" w:rsidP="00230508">
      <w:pPr>
        <w:jc w:val="center"/>
        <w:rPr>
          <w:rFonts w:ascii="Arial" w:eastAsia="Arial Unicode MS" w:hAnsi="Arial" w:cs="Arial"/>
          <w:b/>
          <w:sz w:val="56"/>
          <w:szCs w:val="56"/>
        </w:rPr>
      </w:pPr>
    </w:p>
    <w:p w14:paraId="1858849E" w14:textId="16E47060" w:rsidR="00C53B1E" w:rsidRDefault="00C53B1E" w:rsidP="00230508">
      <w:pPr>
        <w:jc w:val="center"/>
        <w:rPr>
          <w:rFonts w:ascii="Arial" w:eastAsia="Arial Unicode MS" w:hAnsi="Arial" w:cs="Arial"/>
          <w:b/>
          <w:sz w:val="56"/>
          <w:szCs w:val="56"/>
        </w:rPr>
      </w:pPr>
    </w:p>
    <w:p w14:paraId="54B7D795" w14:textId="6056A912" w:rsidR="00C53B1E" w:rsidRDefault="00C53B1E" w:rsidP="00230508">
      <w:pPr>
        <w:jc w:val="center"/>
        <w:rPr>
          <w:rFonts w:ascii="Arial" w:eastAsia="Arial Unicode MS" w:hAnsi="Arial" w:cs="Arial"/>
          <w:b/>
          <w:sz w:val="56"/>
          <w:szCs w:val="56"/>
        </w:rPr>
      </w:pPr>
    </w:p>
    <w:p w14:paraId="77A0F772" w14:textId="7541BD6F" w:rsidR="00887A09" w:rsidRDefault="00887A09" w:rsidP="00230508">
      <w:pPr>
        <w:jc w:val="center"/>
        <w:rPr>
          <w:rFonts w:ascii="Arial" w:eastAsia="Arial Unicode MS" w:hAnsi="Arial" w:cs="Arial"/>
          <w:b/>
          <w:sz w:val="56"/>
          <w:szCs w:val="56"/>
        </w:rPr>
      </w:pPr>
    </w:p>
    <w:p w14:paraId="760D3040" w14:textId="7300FADD" w:rsidR="00887A09" w:rsidRDefault="00887A09" w:rsidP="00230508">
      <w:pPr>
        <w:jc w:val="center"/>
        <w:rPr>
          <w:rFonts w:ascii="Arial" w:eastAsia="Arial Unicode MS" w:hAnsi="Arial" w:cs="Arial"/>
          <w:b/>
          <w:sz w:val="56"/>
          <w:szCs w:val="56"/>
        </w:rPr>
      </w:pPr>
    </w:p>
    <w:p w14:paraId="07A4D49E" w14:textId="597D6D44" w:rsidR="00887A09" w:rsidRDefault="00887A09" w:rsidP="00230508">
      <w:pPr>
        <w:jc w:val="center"/>
        <w:rPr>
          <w:rFonts w:ascii="Arial" w:eastAsia="Arial Unicode MS" w:hAnsi="Arial" w:cs="Arial"/>
          <w:b/>
          <w:sz w:val="56"/>
          <w:szCs w:val="56"/>
        </w:rPr>
      </w:pPr>
    </w:p>
    <w:p w14:paraId="3BD5A890" w14:textId="77777777" w:rsidR="00887A09" w:rsidRDefault="00887A09" w:rsidP="00230508">
      <w:pPr>
        <w:jc w:val="center"/>
        <w:rPr>
          <w:rFonts w:ascii="Arial" w:eastAsia="Arial Unicode MS" w:hAnsi="Arial" w:cs="Arial"/>
          <w:b/>
          <w:sz w:val="56"/>
          <w:szCs w:val="56"/>
        </w:rPr>
      </w:pPr>
    </w:p>
    <w:p w14:paraId="210E980F"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5A86EF76" w14:textId="77777777" w:rsidR="00CA6A9C" w:rsidRDefault="00CA6A9C" w:rsidP="00C946E7">
      <w:pPr>
        <w:jc w:val="center"/>
        <w:rPr>
          <w:rFonts w:ascii="Arial" w:hAnsi="Arial" w:cs="Arial"/>
          <w:b/>
          <w:bCs/>
          <w:sz w:val="40"/>
          <w:szCs w:val="40"/>
        </w:rPr>
      </w:pPr>
    </w:p>
    <w:p w14:paraId="018A8841" w14:textId="77777777" w:rsidR="00CA6A9C" w:rsidRDefault="00CA6A9C" w:rsidP="00C946E7">
      <w:pPr>
        <w:jc w:val="center"/>
        <w:rPr>
          <w:rFonts w:ascii="Arial" w:hAnsi="Arial" w:cs="Arial"/>
          <w:b/>
          <w:bCs/>
          <w:sz w:val="40"/>
          <w:szCs w:val="40"/>
        </w:rPr>
      </w:pPr>
    </w:p>
    <w:p w14:paraId="3CA587F5" w14:textId="7FE73DB6" w:rsidR="00CA6A9C" w:rsidRDefault="00CA6A9C" w:rsidP="00C946E7">
      <w:pPr>
        <w:jc w:val="center"/>
        <w:rPr>
          <w:rFonts w:ascii="Arial" w:hAnsi="Arial" w:cs="Arial"/>
          <w:b/>
          <w:bCs/>
          <w:sz w:val="40"/>
          <w:szCs w:val="40"/>
        </w:rPr>
      </w:pPr>
      <w:r>
        <w:rPr>
          <w:noProof/>
        </w:rPr>
        <w:lastRenderedPageBreak/>
        <w:drawing>
          <wp:anchor distT="0" distB="0" distL="114300" distR="114300" simplePos="0" relativeHeight="251661312" behindDoc="1" locked="0" layoutInCell="1" allowOverlap="1" wp14:anchorId="653C273F" wp14:editId="323F1EEB">
            <wp:simplePos x="0" y="0"/>
            <wp:positionH relativeFrom="margin">
              <wp:posOffset>693683</wp:posOffset>
            </wp:positionH>
            <wp:positionV relativeFrom="paragraph">
              <wp:posOffset>372</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2"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3CE9807" w14:textId="2D6B13E7" w:rsidR="00CA6A9C" w:rsidRDefault="00CA6A9C" w:rsidP="00C946E7">
      <w:pPr>
        <w:jc w:val="center"/>
        <w:rPr>
          <w:rFonts w:ascii="Arial" w:hAnsi="Arial" w:cs="Arial"/>
          <w:b/>
          <w:bCs/>
          <w:sz w:val="40"/>
          <w:szCs w:val="40"/>
        </w:rPr>
      </w:pPr>
    </w:p>
    <w:p w14:paraId="4B2F41F8" w14:textId="77777777" w:rsidR="00CA6A9C" w:rsidRDefault="00CA6A9C" w:rsidP="00C946E7">
      <w:pPr>
        <w:jc w:val="center"/>
        <w:rPr>
          <w:rFonts w:ascii="Arial" w:hAnsi="Arial" w:cs="Arial"/>
          <w:b/>
          <w:bCs/>
          <w:sz w:val="40"/>
          <w:szCs w:val="40"/>
        </w:rPr>
      </w:pPr>
    </w:p>
    <w:p w14:paraId="56403BD4" w14:textId="77777777" w:rsidR="00CA6A9C" w:rsidRDefault="00CA6A9C" w:rsidP="00C946E7">
      <w:pPr>
        <w:jc w:val="center"/>
        <w:rPr>
          <w:rFonts w:ascii="Arial" w:hAnsi="Arial" w:cs="Arial"/>
          <w:b/>
          <w:bCs/>
          <w:sz w:val="40"/>
          <w:szCs w:val="40"/>
        </w:rPr>
      </w:pPr>
    </w:p>
    <w:p w14:paraId="4216A4C4" w14:textId="77777777" w:rsidR="00CA6A9C" w:rsidRDefault="00CA6A9C" w:rsidP="00C946E7">
      <w:pPr>
        <w:jc w:val="center"/>
        <w:rPr>
          <w:rFonts w:ascii="Arial" w:hAnsi="Arial" w:cs="Arial"/>
          <w:b/>
          <w:bCs/>
          <w:sz w:val="40"/>
          <w:szCs w:val="40"/>
        </w:rPr>
      </w:pPr>
    </w:p>
    <w:p w14:paraId="3528EB7F" w14:textId="77777777" w:rsidR="00CA6A9C" w:rsidRDefault="00CA6A9C" w:rsidP="00C946E7">
      <w:pPr>
        <w:jc w:val="center"/>
        <w:rPr>
          <w:rFonts w:ascii="Arial" w:hAnsi="Arial" w:cs="Arial"/>
          <w:b/>
          <w:bCs/>
          <w:sz w:val="40"/>
          <w:szCs w:val="40"/>
        </w:rPr>
      </w:pPr>
    </w:p>
    <w:p w14:paraId="770C1CAA" w14:textId="77777777" w:rsidR="00CA6A9C" w:rsidRDefault="00CA6A9C" w:rsidP="00C946E7">
      <w:pPr>
        <w:jc w:val="center"/>
        <w:rPr>
          <w:rFonts w:ascii="Arial" w:hAnsi="Arial" w:cs="Arial"/>
          <w:b/>
          <w:bCs/>
          <w:sz w:val="40"/>
          <w:szCs w:val="40"/>
        </w:rPr>
      </w:pPr>
    </w:p>
    <w:p w14:paraId="0DC82B7F" w14:textId="7DDF3549" w:rsidR="00C946E7" w:rsidRPr="00C946E7" w:rsidRDefault="00C946E7" w:rsidP="00C946E7">
      <w:pPr>
        <w:jc w:val="center"/>
        <w:rPr>
          <w:rFonts w:ascii="Arial" w:hAnsi="Arial" w:cs="Arial"/>
          <w:b/>
          <w:bCs/>
          <w:sz w:val="40"/>
          <w:szCs w:val="40"/>
        </w:rPr>
      </w:pPr>
      <w:r w:rsidRPr="00C946E7">
        <w:rPr>
          <w:rFonts w:ascii="Arial" w:hAnsi="Arial" w:cs="Arial"/>
          <w:b/>
          <w:bCs/>
          <w:sz w:val="40"/>
          <w:szCs w:val="40"/>
        </w:rPr>
        <w:t>An investigation into the prevalence, risk factors and management strategies of Type 2 diabetes in UK adults</w:t>
      </w:r>
    </w:p>
    <w:p w14:paraId="53395511" w14:textId="77777777" w:rsidR="00C946E7" w:rsidRPr="00EE13B9" w:rsidRDefault="00C946E7" w:rsidP="00C946E7">
      <w:pPr>
        <w:jc w:val="center"/>
        <w:rPr>
          <w:rFonts w:ascii="Arial" w:hAnsi="Arial" w:cs="Arial"/>
          <w:b/>
          <w:bCs/>
          <w:sz w:val="32"/>
          <w:szCs w:val="32"/>
        </w:rPr>
      </w:pPr>
    </w:p>
    <w:p w14:paraId="3A45407F" w14:textId="77777777" w:rsidR="00C946E7" w:rsidRDefault="00C946E7" w:rsidP="00C946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p>
    <w:p w14:paraId="47EC4274" w14:textId="2DEB6317" w:rsidR="00230508" w:rsidRDefault="00C53B1E"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Lydia Perkins </w:t>
      </w:r>
    </w:p>
    <w:p w14:paraId="40792146" w14:textId="01FE48F5" w:rsidR="00C53B1E" w:rsidRDefault="00C53B1E"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341A045" w14:textId="0470E5BE" w:rsidR="00C53B1E" w:rsidRPr="00995444" w:rsidRDefault="00C53B1E"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Student Number: 2240470</w:t>
      </w:r>
    </w:p>
    <w:p w14:paraId="4DBE2F29"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14241BA1"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484499E6"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AD0DF0E"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0A09CF0A" w14:textId="77777777" w:rsidR="00230508" w:rsidRPr="00887A09"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887A09">
        <w:rPr>
          <w:rFonts w:ascii="Arial" w:eastAsia="Arial Unicode MS" w:hAnsi="Arial" w:cs="Arial"/>
          <w:sz w:val="40"/>
          <w:szCs w:val="40"/>
        </w:rPr>
        <w:t>Dissertation submitted as part of the requirements for the award BSc (Hons) Health and Social Care</w:t>
      </w:r>
    </w:p>
    <w:p w14:paraId="355879E4" w14:textId="77777777" w:rsidR="00230508" w:rsidRPr="00887A09" w:rsidRDefault="00230508" w:rsidP="00230508">
      <w:pPr>
        <w:rPr>
          <w:rFonts w:ascii="Arial" w:hAnsi="Arial" w:cs="Arial"/>
          <w:sz w:val="40"/>
          <w:szCs w:val="40"/>
        </w:rPr>
      </w:pPr>
    </w:p>
    <w:p w14:paraId="1E48EFB4" w14:textId="2DBB81A9" w:rsidR="00230508" w:rsidRDefault="00230508" w:rsidP="00230508">
      <w:pPr>
        <w:rPr>
          <w:rFonts w:ascii="Arial" w:hAnsi="Arial" w:cs="Arial"/>
          <w:sz w:val="40"/>
          <w:szCs w:val="40"/>
        </w:rPr>
      </w:pPr>
    </w:p>
    <w:p w14:paraId="0D6A019F" w14:textId="36CCE058" w:rsidR="00CA6A9C" w:rsidRDefault="00CA6A9C" w:rsidP="00230508">
      <w:pPr>
        <w:rPr>
          <w:rFonts w:ascii="Arial" w:hAnsi="Arial" w:cs="Arial"/>
          <w:sz w:val="40"/>
          <w:szCs w:val="40"/>
        </w:rPr>
      </w:pPr>
    </w:p>
    <w:p w14:paraId="6CC7508E" w14:textId="356A4774" w:rsidR="00CA6A9C" w:rsidRDefault="00CA6A9C" w:rsidP="00230508">
      <w:pPr>
        <w:rPr>
          <w:rFonts w:ascii="Arial" w:hAnsi="Arial" w:cs="Arial"/>
          <w:sz w:val="40"/>
          <w:szCs w:val="40"/>
        </w:rPr>
      </w:pPr>
    </w:p>
    <w:p w14:paraId="49440E53" w14:textId="52E6502E" w:rsidR="00CA6A9C" w:rsidRDefault="00CA6A9C" w:rsidP="00230508">
      <w:pPr>
        <w:rPr>
          <w:rFonts w:ascii="Arial" w:hAnsi="Arial" w:cs="Arial"/>
          <w:sz w:val="40"/>
          <w:szCs w:val="40"/>
        </w:rPr>
      </w:pPr>
    </w:p>
    <w:p w14:paraId="689EE03B" w14:textId="503933B8" w:rsidR="00CA6A9C" w:rsidRDefault="00CA6A9C" w:rsidP="00230508">
      <w:pPr>
        <w:rPr>
          <w:rFonts w:ascii="Arial" w:hAnsi="Arial" w:cs="Arial"/>
          <w:sz w:val="40"/>
          <w:szCs w:val="40"/>
        </w:rPr>
      </w:pPr>
    </w:p>
    <w:p w14:paraId="3D81FD59" w14:textId="77777777" w:rsidR="00C24FC7" w:rsidRDefault="00C24FC7" w:rsidP="00230508">
      <w:pPr>
        <w:rPr>
          <w:rFonts w:ascii="Arial" w:hAnsi="Arial" w:cs="Arial"/>
          <w:sz w:val="40"/>
          <w:szCs w:val="40"/>
        </w:rPr>
      </w:pPr>
    </w:p>
    <w:p w14:paraId="50A3D29B" w14:textId="20FFF470" w:rsidR="00CA6A9C" w:rsidRDefault="00CA6A9C" w:rsidP="00230508">
      <w:pPr>
        <w:rPr>
          <w:rFonts w:ascii="Arial" w:hAnsi="Arial" w:cs="Arial"/>
          <w:sz w:val="40"/>
          <w:szCs w:val="40"/>
        </w:rPr>
      </w:pPr>
    </w:p>
    <w:p w14:paraId="16514149" w14:textId="77777777" w:rsidR="00AA667A" w:rsidRPr="00887A09" w:rsidRDefault="00AA667A" w:rsidP="00230508">
      <w:pPr>
        <w:rPr>
          <w:rFonts w:ascii="Arial" w:hAnsi="Arial" w:cs="Arial"/>
          <w:sz w:val="40"/>
          <w:szCs w:val="40"/>
        </w:rPr>
      </w:pPr>
    </w:p>
    <w:p w14:paraId="57AC0C3A" w14:textId="3D793D3D" w:rsidR="00230508" w:rsidRPr="00CA6A9C" w:rsidRDefault="00230508" w:rsidP="00CA6A9C">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8"/>
          <w:szCs w:val="28"/>
          <w:u w:val="single"/>
        </w:rPr>
      </w:pPr>
      <w:r w:rsidRPr="00CA6A9C">
        <w:rPr>
          <w:rFonts w:ascii="Arial" w:eastAsia="Arial Unicode MS" w:hAnsi="Arial" w:cs="Arial"/>
          <w:b/>
          <w:sz w:val="28"/>
          <w:szCs w:val="28"/>
          <w:u w:val="single"/>
        </w:rPr>
        <w:t>ACKNOWLEDGEMENT</w:t>
      </w:r>
      <w:r w:rsidR="00887A09" w:rsidRPr="00CA6A9C">
        <w:rPr>
          <w:rFonts w:ascii="Arial" w:eastAsia="Arial Unicode MS" w:hAnsi="Arial" w:cs="Arial"/>
          <w:b/>
          <w:sz w:val="28"/>
          <w:szCs w:val="28"/>
          <w:u w:val="single"/>
        </w:rPr>
        <w:t>S</w:t>
      </w:r>
    </w:p>
    <w:p w14:paraId="5C3CD5CB" w14:textId="24E2A89C" w:rsid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5ADF1AE" w14:textId="77777777" w:rsidR="00DB5DCC"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r>
        <w:rPr>
          <w:rFonts w:ascii="Arial" w:eastAsia="Arial Unicode MS" w:hAnsi="Arial" w:cs="Arial"/>
          <w:bCs/>
          <w:sz w:val="22"/>
          <w:szCs w:val="22"/>
        </w:rPr>
        <w:t>I would like to express my sincere gratitude</w:t>
      </w:r>
      <w:r w:rsidR="00DB5DCC">
        <w:rPr>
          <w:rFonts w:ascii="Arial" w:eastAsia="Arial Unicode MS" w:hAnsi="Arial" w:cs="Arial"/>
          <w:bCs/>
          <w:sz w:val="22"/>
          <w:szCs w:val="22"/>
        </w:rPr>
        <w:t xml:space="preserve"> and thanks</w:t>
      </w:r>
      <w:r>
        <w:rPr>
          <w:rFonts w:ascii="Arial" w:eastAsia="Arial Unicode MS" w:hAnsi="Arial" w:cs="Arial"/>
          <w:bCs/>
          <w:sz w:val="22"/>
          <w:szCs w:val="22"/>
        </w:rPr>
        <w:t xml:space="preserve"> to </w:t>
      </w:r>
      <w:r w:rsidR="00DB5DCC">
        <w:rPr>
          <w:rFonts w:ascii="Arial" w:eastAsia="Arial Unicode MS" w:hAnsi="Arial" w:cs="Arial"/>
          <w:bCs/>
          <w:sz w:val="22"/>
          <w:szCs w:val="22"/>
        </w:rPr>
        <w:t xml:space="preserve">my lecturer </w:t>
      </w:r>
      <w:r>
        <w:rPr>
          <w:rFonts w:ascii="Arial" w:eastAsia="Arial Unicode MS" w:hAnsi="Arial" w:cs="Arial"/>
          <w:bCs/>
          <w:sz w:val="22"/>
          <w:szCs w:val="22"/>
        </w:rPr>
        <w:t>Chloe Harris for her invaluable guidance, support, encouragement and patience throughout the development of this dissertation.  Her expertise and consistent feedback have been instrumental in shaping the direction and quality of this work</w:t>
      </w:r>
      <w:r w:rsidR="00DB5DCC">
        <w:rPr>
          <w:rFonts w:ascii="Arial" w:eastAsia="Arial Unicode MS" w:hAnsi="Arial" w:cs="Arial"/>
          <w:bCs/>
          <w:sz w:val="22"/>
          <w:szCs w:val="22"/>
        </w:rPr>
        <w:t xml:space="preserve"> and allowed me to grow</w:t>
      </w:r>
      <w:r>
        <w:rPr>
          <w:rFonts w:ascii="Arial" w:eastAsia="Arial Unicode MS" w:hAnsi="Arial" w:cs="Arial"/>
          <w:bCs/>
          <w:sz w:val="22"/>
          <w:szCs w:val="22"/>
        </w:rPr>
        <w:t xml:space="preserve">. </w:t>
      </w:r>
      <w:r w:rsidR="00DB5DCC">
        <w:rPr>
          <w:rFonts w:ascii="Arial" w:eastAsia="Arial Unicode MS" w:hAnsi="Arial" w:cs="Arial"/>
          <w:bCs/>
          <w:sz w:val="22"/>
          <w:szCs w:val="22"/>
        </w:rPr>
        <w:t xml:space="preserve"> Your advice on both research as well as on my career have been priceless.</w:t>
      </w:r>
      <w:r>
        <w:rPr>
          <w:rFonts w:ascii="Arial" w:eastAsia="Arial Unicode MS" w:hAnsi="Arial" w:cs="Arial"/>
          <w:bCs/>
          <w:sz w:val="22"/>
          <w:szCs w:val="22"/>
        </w:rPr>
        <w:t xml:space="preserve"> </w:t>
      </w:r>
    </w:p>
    <w:p w14:paraId="5277ED02" w14:textId="77777777" w:rsidR="00DB5DCC" w:rsidRDefault="00DB5DCC"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p>
    <w:p w14:paraId="266B36AD" w14:textId="073C707B" w:rsidR="00887A09" w:rsidRP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r>
        <w:rPr>
          <w:rFonts w:ascii="Arial" w:eastAsia="Arial Unicode MS" w:hAnsi="Arial" w:cs="Arial"/>
          <w:bCs/>
          <w:sz w:val="22"/>
          <w:szCs w:val="22"/>
        </w:rPr>
        <w:t xml:space="preserve">I would also like to extend my heartfelt appreciation to my </w:t>
      </w:r>
      <w:r w:rsidR="00DB5DCC">
        <w:rPr>
          <w:rFonts w:ascii="Arial" w:eastAsia="Arial Unicode MS" w:hAnsi="Arial" w:cs="Arial"/>
          <w:bCs/>
          <w:sz w:val="22"/>
          <w:szCs w:val="22"/>
        </w:rPr>
        <w:t xml:space="preserve">mother and </w:t>
      </w:r>
      <w:r>
        <w:rPr>
          <w:rFonts w:ascii="Arial" w:eastAsia="Arial Unicode MS" w:hAnsi="Arial" w:cs="Arial"/>
          <w:bCs/>
          <w:sz w:val="22"/>
          <w:szCs w:val="22"/>
        </w:rPr>
        <w:t>daughter, whose unwavering support and motivation inspired me to remain focused and complete this dissertation within the required timeframe.</w:t>
      </w:r>
      <w:r w:rsidR="00DB5DCC">
        <w:rPr>
          <w:rFonts w:ascii="Arial" w:eastAsia="Arial Unicode MS" w:hAnsi="Arial" w:cs="Arial"/>
          <w:bCs/>
          <w:sz w:val="22"/>
          <w:szCs w:val="22"/>
        </w:rPr>
        <w:t xml:space="preserve">  Words cannot express how grateful I am for all the sacrifices that you’ve made on my behalf.  Your prayer for me was what sustained me thus far.  I would also like to thank all my friends who supported me in writing and encouraged me to strive towards my goal.</w:t>
      </w:r>
    </w:p>
    <w:p w14:paraId="1405B254" w14:textId="39970DEB" w:rsid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72FDBC32" w14:textId="77777777" w:rsidR="00887A09" w:rsidRP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p>
    <w:p w14:paraId="7E5DE9C1" w14:textId="77777777" w:rsidR="00230508" w:rsidRDefault="00230508" w:rsidP="00230508"/>
    <w:p w14:paraId="73DD8566" w14:textId="77777777" w:rsidR="00230508" w:rsidRDefault="00230508" w:rsidP="00230508"/>
    <w:p w14:paraId="145396AA" w14:textId="77777777" w:rsidR="00230508" w:rsidRDefault="00230508" w:rsidP="00230508"/>
    <w:p w14:paraId="65C7ADEE" w14:textId="77777777" w:rsidR="00230508" w:rsidRDefault="00230508" w:rsidP="00230508"/>
    <w:p w14:paraId="386869D0" w14:textId="37D36F02" w:rsidR="00230508" w:rsidRDefault="00230508" w:rsidP="00230508"/>
    <w:p w14:paraId="45566C61" w14:textId="1F88981C" w:rsidR="00CA6A9C" w:rsidRDefault="00CA6A9C" w:rsidP="00230508"/>
    <w:p w14:paraId="56403FF7" w14:textId="79E2BFBE" w:rsidR="00CA6A9C" w:rsidRDefault="00CA6A9C" w:rsidP="00230508"/>
    <w:p w14:paraId="0AE2D423" w14:textId="3AF0FCC9" w:rsidR="00CA6A9C" w:rsidRDefault="00CA6A9C" w:rsidP="00230508"/>
    <w:p w14:paraId="4A1E7C17" w14:textId="0E8B6CBA" w:rsidR="00CA6A9C" w:rsidRDefault="00CA6A9C" w:rsidP="00230508"/>
    <w:p w14:paraId="15D6E467" w14:textId="70050C2C" w:rsidR="00CA6A9C" w:rsidRDefault="00CA6A9C" w:rsidP="00230508"/>
    <w:p w14:paraId="0CB0DC23" w14:textId="77F9F0C5" w:rsidR="00CA6A9C" w:rsidRDefault="00CA6A9C" w:rsidP="00230508"/>
    <w:p w14:paraId="4A96AF66" w14:textId="11D3C362" w:rsidR="00CA6A9C" w:rsidRDefault="00CA6A9C" w:rsidP="00230508"/>
    <w:p w14:paraId="03FB4C97" w14:textId="5AB5E2FE" w:rsidR="00CA6A9C" w:rsidRDefault="00CA6A9C" w:rsidP="00230508"/>
    <w:p w14:paraId="0ED21593" w14:textId="2C926013" w:rsidR="00CA6A9C" w:rsidRDefault="00CA6A9C" w:rsidP="00230508"/>
    <w:p w14:paraId="067C912C" w14:textId="73D9F769" w:rsidR="00CA6A9C" w:rsidRDefault="00CA6A9C" w:rsidP="00230508"/>
    <w:p w14:paraId="0BF55A5A" w14:textId="5E97F50D" w:rsidR="00CA6A9C" w:rsidRDefault="00CA6A9C" w:rsidP="00230508"/>
    <w:p w14:paraId="06A0E312" w14:textId="6533D9DE" w:rsidR="00CA6A9C" w:rsidRDefault="00CA6A9C" w:rsidP="00230508"/>
    <w:p w14:paraId="1139F98F" w14:textId="7827A99A" w:rsidR="00CA6A9C" w:rsidRDefault="00CA6A9C" w:rsidP="00230508"/>
    <w:p w14:paraId="24A2842A" w14:textId="09B5059E" w:rsidR="00CA6A9C" w:rsidRDefault="00CA6A9C" w:rsidP="00230508"/>
    <w:p w14:paraId="00A54762" w14:textId="5FB02AEE" w:rsidR="00CA6A9C" w:rsidRDefault="00CA6A9C" w:rsidP="00230508"/>
    <w:p w14:paraId="046BCC60" w14:textId="368C2AA2" w:rsidR="00CA6A9C" w:rsidRDefault="00CA6A9C" w:rsidP="00230508"/>
    <w:p w14:paraId="3A4C65B0" w14:textId="1FE5ECCD" w:rsidR="00CA6A9C" w:rsidRDefault="00CA6A9C" w:rsidP="00230508"/>
    <w:p w14:paraId="52BA4279" w14:textId="4E94F92B" w:rsidR="00CA6A9C" w:rsidRDefault="00CA6A9C" w:rsidP="00230508"/>
    <w:p w14:paraId="4427BEF6" w14:textId="43D5C320" w:rsidR="00CA6A9C" w:rsidRDefault="00CA6A9C" w:rsidP="00230508"/>
    <w:p w14:paraId="7AAB81B5" w14:textId="209BE9DA" w:rsidR="00CA6A9C" w:rsidRDefault="00CA6A9C" w:rsidP="00230508"/>
    <w:p w14:paraId="32722027" w14:textId="5F4837B5" w:rsidR="00DB5DCC" w:rsidRDefault="00DB5DCC" w:rsidP="00230508"/>
    <w:p w14:paraId="1A46F250" w14:textId="77777777" w:rsidR="00023108" w:rsidRDefault="00023108" w:rsidP="000231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266875D1" w14:textId="001E0232" w:rsidR="00230508" w:rsidRPr="00DB5DCC" w:rsidRDefault="00230508" w:rsidP="000231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sz w:val="32"/>
          <w:szCs w:val="32"/>
          <w:u w:val="single"/>
        </w:rPr>
      </w:pPr>
      <w:r w:rsidRPr="00DB5DCC">
        <w:rPr>
          <w:rFonts w:ascii="Arial" w:eastAsia="Arial Unicode MS" w:hAnsi="Arial" w:cs="Arial"/>
          <w:bCs/>
          <w:sz w:val="32"/>
          <w:szCs w:val="32"/>
          <w:u w:val="single"/>
        </w:rPr>
        <w:lastRenderedPageBreak/>
        <w:t>ABSTRACT</w:t>
      </w:r>
    </w:p>
    <w:p w14:paraId="2598BFFF" w14:textId="700A6A2F" w:rsidR="00887A09" w:rsidRDefault="00887A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32"/>
          <w:szCs w:val="32"/>
        </w:rPr>
      </w:pPr>
    </w:p>
    <w:p w14:paraId="5A987107" w14:textId="4725B846" w:rsidR="00887A09" w:rsidRDefault="00887A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 xml:space="preserve">This dissertation investigates the prevalence, risk factors and management strategies of type 2 diabetes mellitus (T2DM) among adults in the United Kingdom, addressing a growing public health concern with significant implications for health and social care systems.  The overall aim was to critically examine the scale of T2DM, identify key contributing factors, and evaluate the effectiveness of current prevention and management approaches, with a focus of informing </w:t>
      </w:r>
      <w:r w:rsidR="004B5309">
        <w:rPr>
          <w:rFonts w:ascii="Arial" w:eastAsia="Arial Unicode MS" w:hAnsi="Arial" w:cs="Arial"/>
          <w:sz w:val="22"/>
          <w:szCs w:val="22"/>
        </w:rPr>
        <w:t>evidence-based and equitable practice.  This research is important due to the increasing burden of T2DM on the NHS, its association with long-term complications, and its strong links to health inequalities, highlighting the need for improved prevention and care delivery.</w:t>
      </w:r>
    </w:p>
    <w:p w14:paraId="0D1B26CE" w14:textId="65AC6A5A"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2278DD68" w14:textId="1C918EE3"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A desk-based, literature-based methodology was adopted, drawing on contemporary academic, policy and public health sources.  A structured search strategy was implemented across multiple databases, supported by defined inclusion and exclusion criteria and quality appraisal using the CRAAP framework.  The research employed thematic analysis to systematically identify, code and synthesise patterns within the literature, focusing on prevalence, risk factors and management strategies.</w:t>
      </w:r>
    </w:p>
    <w:p w14:paraId="17234AB9" w14:textId="3FF64DC9"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6712E2CC" w14:textId="5C0A3D48"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Three key themes emerged.  First, the prevalence of T2DM in UK adults is rising, with evidence indicating increasing diagnosis and significant levels of undiagnosed cases.  Second, risk factors such as obesity, poor diet and physical inactivity are central, but are strongly shaped by socioeconomic deprivation and ethnicity, demonstrating that T2DM is a socially patterned condition.  Third, while management and prevention strategies, including NHS programmes and NICE guidelines, are evidence-based and increasingly comprehensive, their effectiveness is limited by issues of access, engagement and inequality.</w:t>
      </w:r>
    </w:p>
    <w:p w14:paraId="0FDDCFFF" w14:textId="4B811F23"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33944FB7" w14:textId="2AB350EF"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 xml:space="preserve">Limitations of the study include reliance on secondary data and potential bias within </w:t>
      </w:r>
      <w:r w:rsidR="00AD1EAC">
        <w:rPr>
          <w:rFonts w:ascii="Arial" w:eastAsia="Arial Unicode MS" w:hAnsi="Arial" w:cs="Arial"/>
          <w:sz w:val="22"/>
          <w:szCs w:val="22"/>
        </w:rPr>
        <w:t>existing literature, alongside challenges in capturing real-world variability in practice.  Capacity constraints and inequitable access to services were identified as key barriers impacting implementation.</w:t>
      </w:r>
    </w:p>
    <w:p w14:paraId="3C349C2B" w14:textId="4957F211" w:rsidR="00AD1EAC" w:rsidRDefault="00AD1EAC"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49E1F90C" w14:textId="046229C1" w:rsidR="00230508" w:rsidRPr="00392095" w:rsidRDefault="00AD1EAC" w:rsidP="003920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Recommendations include strengthening early identification through targeted screening, delivering culturally tailored lifestyle interventions, and prioritising upstream policy action addressing obesity and deprivation.  Overall, the findings emphasise the need for integrated, person-centred and inequality-focused approaches to improve outcomes in T2DM care</w:t>
      </w:r>
      <w:r w:rsidR="00392095">
        <w:rPr>
          <w:rFonts w:ascii="Arial" w:eastAsia="Arial Unicode MS" w:hAnsi="Arial" w:cs="Arial"/>
          <w:sz w:val="22"/>
          <w:szCs w:val="22"/>
        </w:rPr>
        <w:t>.</w:t>
      </w:r>
    </w:p>
    <w:p w14:paraId="7D1C308D" w14:textId="0D12E418" w:rsidR="00230508" w:rsidRDefault="00230508" w:rsidP="00230508">
      <w:pPr>
        <w:pStyle w:val="Heading1"/>
        <w:spacing w:line="360" w:lineRule="auto"/>
        <w:ind w:left="0"/>
        <w:jc w:val="center"/>
        <w:rPr>
          <w:rFonts w:cs="Arial"/>
          <w:b w:val="0"/>
          <w:bCs/>
          <w:u w:val="single"/>
        </w:rPr>
      </w:pPr>
      <w:r w:rsidRPr="00D66A80">
        <w:rPr>
          <w:rFonts w:cs="Arial"/>
          <w:b w:val="0"/>
          <w:bCs/>
          <w:u w:val="single"/>
        </w:rPr>
        <w:lastRenderedPageBreak/>
        <w:t>Table of Contents</w:t>
      </w:r>
    </w:p>
    <w:p w14:paraId="28C514A8" w14:textId="2BB643C1" w:rsidR="00D66A80" w:rsidRDefault="00D66A80" w:rsidP="00D66A80">
      <w:pPr>
        <w:pStyle w:val="Heading1"/>
        <w:spacing w:line="360" w:lineRule="auto"/>
        <w:ind w:left="0"/>
        <w:rPr>
          <w:rFonts w:cs="Arial"/>
          <w:b w:val="0"/>
          <w:bCs/>
          <w:u w:val="single"/>
        </w:rPr>
      </w:pPr>
    </w:p>
    <w:p w14:paraId="0A520AF9" w14:textId="4FEAD8FC" w:rsidR="00D66A80" w:rsidRDefault="00D66A80" w:rsidP="00EA38DD">
      <w:pPr>
        <w:pStyle w:val="Heading1"/>
        <w:spacing w:line="360" w:lineRule="auto"/>
        <w:ind w:left="0"/>
        <w:jc w:val="both"/>
        <w:rPr>
          <w:rFonts w:cs="Arial"/>
          <w:b w:val="0"/>
          <w:bCs/>
          <w:sz w:val="22"/>
          <w:szCs w:val="22"/>
        </w:rPr>
      </w:pPr>
      <w:r>
        <w:rPr>
          <w:rFonts w:cs="Arial"/>
          <w:b w:val="0"/>
          <w:bCs/>
          <w:sz w:val="22"/>
          <w:szCs w:val="22"/>
        </w:rPr>
        <w:t xml:space="preserve">Chapter </w:t>
      </w:r>
      <w:r w:rsidR="00A57F5C">
        <w:rPr>
          <w:rFonts w:cs="Arial"/>
          <w:b w:val="0"/>
          <w:bCs/>
          <w:sz w:val="22"/>
          <w:szCs w:val="22"/>
        </w:rPr>
        <w:t>1</w:t>
      </w:r>
      <w:r>
        <w:rPr>
          <w:rFonts w:cs="Arial"/>
          <w:b w:val="0"/>
          <w:bCs/>
          <w:sz w:val="22"/>
          <w:szCs w:val="22"/>
        </w:rPr>
        <w:t>: Introduction</w:t>
      </w:r>
    </w:p>
    <w:p w14:paraId="7F931C20" w14:textId="47CA4FCA"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Introduction</w:t>
      </w:r>
    </w:p>
    <w:p w14:paraId="68C77B19" w14:textId="2ECF0CE2"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Definition and Terminology</w:t>
      </w:r>
    </w:p>
    <w:p w14:paraId="582E09AD" w14:textId="49C97A61"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Acronyms and Abbreviations</w:t>
      </w:r>
    </w:p>
    <w:p w14:paraId="5168C3EA" w14:textId="51DCAE41"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Rationale for Research</w:t>
      </w:r>
    </w:p>
    <w:p w14:paraId="1A15D0FA" w14:textId="173CB5E5"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Aim and Objectives</w:t>
      </w:r>
    </w:p>
    <w:p w14:paraId="0F1AC72C" w14:textId="4B2E9C2C"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Conclusion</w:t>
      </w:r>
    </w:p>
    <w:p w14:paraId="09A0E292" w14:textId="7C20A179" w:rsidR="00A57F5C" w:rsidRDefault="00A57F5C" w:rsidP="00A57F5C">
      <w:pPr>
        <w:pStyle w:val="Heading1"/>
        <w:spacing w:line="360" w:lineRule="auto"/>
        <w:ind w:left="0"/>
        <w:jc w:val="both"/>
        <w:rPr>
          <w:rFonts w:cs="Arial"/>
          <w:b w:val="0"/>
          <w:bCs/>
          <w:sz w:val="22"/>
          <w:szCs w:val="22"/>
        </w:rPr>
      </w:pPr>
    </w:p>
    <w:p w14:paraId="0ADFA622" w14:textId="0FA2A811" w:rsidR="00A57F5C" w:rsidRDefault="00A57F5C" w:rsidP="00A57F5C">
      <w:pPr>
        <w:pStyle w:val="Heading1"/>
        <w:spacing w:line="360" w:lineRule="auto"/>
        <w:ind w:left="0"/>
        <w:jc w:val="both"/>
        <w:rPr>
          <w:rFonts w:cs="Arial"/>
          <w:b w:val="0"/>
          <w:bCs/>
          <w:sz w:val="22"/>
          <w:szCs w:val="22"/>
        </w:rPr>
      </w:pPr>
      <w:r>
        <w:rPr>
          <w:rFonts w:cs="Arial"/>
          <w:b w:val="0"/>
          <w:bCs/>
          <w:sz w:val="22"/>
          <w:szCs w:val="22"/>
        </w:rPr>
        <w:t>Chapter 2: Background Information and Analysis</w:t>
      </w:r>
    </w:p>
    <w:p w14:paraId="6E164F11" w14:textId="5BE83ED2" w:rsidR="00A57F5C" w:rsidRDefault="00A57F5C" w:rsidP="00A57F5C">
      <w:pPr>
        <w:pStyle w:val="Heading1"/>
        <w:spacing w:line="360" w:lineRule="auto"/>
        <w:ind w:left="0"/>
        <w:jc w:val="both"/>
        <w:rPr>
          <w:rFonts w:cs="Arial"/>
          <w:b w:val="0"/>
          <w:bCs/>
          <w:sz w:val="22"/>
          <w:szCs w:val="22"/>
        </w:rPr>
      </w:pPr>
      <w:r>
        <w:rPr>
          <w:rFonts w:cs="Arial"/>
          <w:b w:val="0"/>
          <w:bCs/>
          <w:sz w:val="22"/>
          <w:szCs w:val="22"/>
        </w:rPr>
        <w:t>2.1 Introduction</w:t>
      </w:r>
    </w:p>
    <w:p w14:paraId="77BEDD12" w14:textId="40B7F79F" w:rsidR="00A57F5C" w:rsidRDefault="00A57F5C" w:rsidP="00A57F5C">
      <w:pPr>
        <w:pStyle w:val="Heading1"/>
        <w:spacing w:line="360" w:lineRule="auto"/>
        <w:ind w:left="0"/>
        <w:jc w:val="both"/>
        <w:rPr>
          <w:rFonts w:cs="Arial"/>
          <w:b w:val="0"/>
          <w:bCs/>
          <w:sz w:val="22"/>
          <w:szCs w:val="22"/>
        </w:rPr>
      </w:pPr>
      <w:r>
        <w:rPr>
          <w:rFonts w:cs="Arial"/>
          <w:b w:val="0"/>
          <w:bCs/>
          <w:sz w:val="22"/>
          <w:szCs w:val="22"/>
        </w:rPr>
        <w:t>2.2 Historical Background</w:t>
      </w:r>
    </w:p>
    <w:p w14:paraId="6CA36A8C" w14:textId="20EE1F3D" w:rsidR="00A57F5C" w:rsidRDefault="00A57F5C" w:rsidP="00A57F5C">
      <w:pPr>
        <w:pStyle w:val="Heading1"/>
        <w:spacing w:line="360" w:lineRule="auto"/>
        <w:ind w:left="0"/>
        <w:jc w:val="both"/>
        <w:rPr>
          <w:rFonts w:cs="Arial"/>
          <w:b w:val="0"/>
          <w:bCs/>
          <w:sz w:val="22"/>
          <w:szCs w:val="22"/>
        </w:rPr>
      </w:pPr>
      <w:r>
        <w:rPr>
          <w:rFonts w:cs="Arial"/>
          <w:b w:val="0"/>
          <w:bCs/>
          <w:sz w:val="22"/>
          <w:szCs w:val="22"/>
        </w:rPr>
        <w:t>2.3 Theoretical Background</w:t>
      </w:r>
    </w:p>
    <w:p w14:paraId="6A313DED" w14:textId="4FF66233" w:rsidR="00A57F5C" w:rsidRDefault="00A57F5C" w:rsidP="00A57F5C">
      <w:pPr>
        <w:pStyle w:val="Heading1"/>
        <w:spacing w:line="360" w:lineRule="auto"/>
        <w:ind w:left="0"/>
        <w:jc w:val="both"/>
        <w:rPr>
          <w:rFonts w:cs="Arial"/>
          <w:b w:val="0"/>
          <w:bCs/>
          <w:sz w:val="22"/>
          <w:szCs w:val="22"/>
        </w:rPr>
      </w:pPr>
      <w:r>
        <w:rPr>
          <w:rFonts w:cs="Arial"/>
          <w:b w:val="0"/>
          <w:bCs/>
          <w:sz w:val="22"/>
          <w:szCs w:val="22"/>
        </w:rPr>
        <w:t>2.4 International Context</w:t>
      </w:r>
    </w:p>
    <w:p w14:paraId="3A222F5F" w14:textId="3D10BF8B" w:rsidR="00A57F5C" w:rsidRDefault="00A57F5C" w:rsidP="00A57F5C">
      <w:pPr>
        <w:pStyle w:val="Heading1"/>
        <w:spacing w:line="360" w:lineRule="auto"/>
        <w:ind w:left="0"/>
        <w:jc w:val="both"/>
        <w:rPr>
          <w:rFonts w:cs="Arial"/>
          <w:b w:val="0"/>
          <w:bCs/>
          <w:sz w:val="22"/>
          <w:szCs w:val="22"/>
        </w:rPr>
      </w:pPr>
      <w:r>
        <w:rPr>
          <w:rFonts w:cs="Arial"/>
          <w:b w:val="0"/>
          <w:bCs/>
          <w:sz w:val="22"/>
          <w:szCs w:val="22"/>
        </w:rPr>
        <w:t>2.5 National and Local Context</w:t>
      </w:r>
    </w:p>
    <w:p w14:paraId="46910FC3" w14:textId="10BD980C" w:rsidR="00A57F5C" w:rsidRDefault="00A57F5C" w:rsidP="00A57F5C">
      <w:pPr>
        <w:pStyle w:val="Heading1"/>
        <w:spacing w:line="360" w:lineRule="auto"/>
        <w:ind w:left="0"/>
        <w:jc w:val="both"/>
        <w:rPr>
          <w:rFonts w:cs="Arial"/>
          <w:b w:val="0"/>
          <w:bCs/>
          <w:sz w:val="22"/>
          <w:szCs w:val="22"/>
        </w:rPr>
      </w:pPr>
      <w:r>
        <w:rPr>
          <w:rFonts w:cs="Arial"/>
          <w:b w:val="0"/>
          <w:bCs/>
          <w:sz w:val="22"/>
          <w:szCs w:val="22"/>
        </w:rPr>
        <w:t>2.6 Conclusion and Transition to Methodology</w:t>
      </w:r>
    </w:p>
    <w:p w14:paraId="0582C042" w14:textId="04165416" w:rsidR="00A57F5C" w:rsidRDefault="00A57F5C" w:rsidP="00A57F5C">
      <w:pPr>
        <w:pStyle w:val="Heading1"/>
        <w:spacing w:line="360" w:lineRule="auto"/>
        <w:ind w:left="0"/>
        <w:jc w:val="both"/>
        <w:rPr>
          <w:rFonts w:cs="Arial"/>
          <w:b w:val="0"/>
          <w:bCs/>
          <w:sz w:val="22"/>
          <w:szCs w:val="22"/>
        </w:rPr>
      </w:pPr>
    </w:p>
    <w:p w14:paraId="67A474A1" w14:textId="6140AF61" w:rsidR="00A57F5C" w:rsidRDefault="00A57F5C" w:rsidP="00A57F5C">
      <w:pPr>
        <w:pStyle w:val="Heading1"/>
        <w:spacing w:line="360" w:lineRule="auto"/>
        <w:ind w:left="0"/>
        <w:jc w:val="both"/>
        <w:rPr>
          <w:rFonts w:cs="Arial"/>
          <w:b w:val="0"/>
          <w:bCs/>
          <w:sz w:val="22"/>
          <w:szCs w:val="22"/>
        </w:rPr>
      </w:pPr>
      <w:r>
        <w:rPr>
          <w:rFonts w:cs="Arial"/>
          <w:b w:val="0"/>
          <w:bCs/>
          <w:sz w:val="22"/>
          <w:szCs w:val="22"/>
        </w:rPr>
        <w:t>Chapter 3: Methodology</w:t>
      </w:r>
    </w:p>
    <w:p w14:paraId="6FAD11D0" w14:textId="16DFCA04" w:rsidR="00A57F5C" w:rsidRDefault="00A57F5C" w:rsidP="00A57F5C">
      <w:pPr>
        <w:pStyle w:val="Heading1"/>
        <w:spacing w:line="360" w:lineRule="auto"/>
        <w:ind w:left="0"/>
        <w:jc w:val="both"/>
        <w:rPr>
          <w:rFonts w:cs="Arial"/>
          <w:b w:val="0"/>
          <w:bCs/>
          <w:sz w:val="22"/>
          <w:szCs w:val="22"/>
        </w:rPr>
      </w:pPr>
      <w:r>
        <w:rPr>
          <w:rFonts w:cs="Arial"/>
          <w:b w:val="0"/>
          <w:bCs/>
          <w:sz w:val="22"/>
          <w:szCs w:val="22"/>
        </w:rPr>
        <w:t>3.1 Introduction</w:t>
      </w:r>
    </w:p>
    <w:p w14:paraId="2255B141" w14:textId="0C19DB17" w:rsidR="00A57F5C" w:rsidRDefault="00A57F5C" w:rsidP="00A57F5C">
      <w:pPr>
        <w:pStyle w:val="Heading1"/>
        <w:spacing w:line="360" w:lineRule="auto"/>
        <w:ind w:left="0"/>
        <w:jc w:val="both"/>
        <w:rPr>
          <w:rFonts w:cs="Arial"/>
          <w:b w:val="0"/>
          <w:bCs/>
          <w:sz w:val="22"/>
          <w:szCs w:val="22"/>
        </w:rPr>
      </w:pPr>
      <w:r>
        <w:rPr>
          <w:rFonts w:cs="Arial"/>
          <w:b w:val="0"/>
          <w:bCs/>
          <w:sz w:val="22"/>
          <w:szCs w:val="22"/>
        </w:rPr>
        <w:t>3.2 Search Strategy</w:t>
      </w:r>
    </w:p>
    <w:p w14:paraId="56F6AA0A" w14:textId="218276F4" w:rsidR="00A57F5C" w:rsidRDefault="00A57F5C" w:rsidP="00A57F5C">
      <w:pPr>
        <w:pStyle w:val="Heading1"/>
        <w:spacing w:line="360" w:lineRule="auto"/>
        <w:ind w:left="0"/>
        <w:jc w:val="both"/>
        <w:rPr>
          <w:rFonts w:cs="Arial"/>
          <w:b w:val="0"/>
          <w:bCs/>
          <w:sz w:val="22"/>
          <w:szCs w:val="22"/>
        </w:rPr>
      </w:pPr>
      <w:r>
        <w:rPr>
          <w:rFonts w:cs="Arial"/>
          <w:b w:val="0"/>
          <w:bCs/>
          <w:sz w:val="22"/>
          <w:szCs w:val="22"/>
        </w:rPr>
        <w:t>3.3 Data Collection (Databases and Sources)</w:t>
      </w:r>
    </w:p>
    <w:p w14:paraId="251A3826" w14:textId="26D1E39C" w:rsidR="00A57F5C" w:rsidRDefault="00A57F5C" w:rsidP="00A57F5C">
      <w:pPr>
        <w:pStyle w:val="Heading1"/>
        <w:spacing w:line="360" w:lineRule="auto"/>
        <w:ind w:left="0"/>
        <w:jc w:val="both"/>
        <w:rPr>
          <w:rFonts w:cs="Arial"/>
          <w:b w:val="0"/>
          <w:bCs/>
          <w:sz w:val="22"/>
          <w:szCs w:val="22"/>
        </w:rPr>
      </w:pPr>
      <w:r>
        <w:rPr>
          <w:rFonts w:cs="Arial"/>
          <w:b w:val="0"/>
          <w:bCs/>
          <w:sz w:val="22"/>
          <w:szCs w:val="22"/>
        </w:rPr>
        <w:t>3.4 Research Validation (CRAPP Test)</w:t>
      </w:r>
    </w:p>
    <w:p w14:paraId="5D15AE36" w14:textId="7442E4D8" w:rsidR="00A57F5C" w:rsidRDefault="00A57F5C" w:rsidP="00A57F5C">
      <w:pPr>
        <w:pStyle w:val="Heading1"/>
        <w:spacing w:line="360" w:lineRule="auto"/>
        <w:ind w:left="0"/>
        <w:jc w:val="both"/>
        <w:rPr>
          <w:rFonts w:cs="Arial"/>
          <w:b w:val="0"/>
          <w:bCs/>
          <w:sz w:val="22"/>
          <w:szCs w:val="22"/>
        </w:rPr>
      </w:pPr>
      <w:r>
        <w:rPr>
          <w:rFonts w:cs="Arial"/>
          <w:b w:val="0"/>
          <w:bCs/>
          <w:sz w:val="22"/>
          <w:szCs w:val="22"/>
        </w:rPr>
        <w:t>3.5 Inclusion and Exclusion Criteria</w:t>
      </w:r>
    </w:p>
    <w:p w14:paraId="4552379E" w14:textId="7A97DF94" w:rsidR="00A57F5C" w:rsidRDefault="00A57F5C" w:rsidP="00A57F5C">
      <w:pPr>
        <w:pStyle w:val="Heading1"/>
        <w:spacing w:line="360" w:lineRule="auto"/>
        <w:ind w:left="0"/>
        <w:jc w:val="both"/>
        <w:rPr>
          <w:rFonts w:cs="Arial"/>
          <w:b w:val="0"/>
          <w:bCs/>
          <w:sz w:val="22"/>
          <w:szCs w:val="22"/>
        </w:rPr>
      </w:pPr>
      <w:r>
        <w:rPr>
          <w:rFonts w:cs="Arial"/>
          <w:b w:val="0"/>
          <w:bCs/>
          <w:sz w:val="22"/>
          <w:szCs w:val="22"/>
        </w:rPr>
        <w:t>3.6 Data Analysis (Thematic Analysis)</w:t>
      </w:r>
    </w:p>
    <w:p w14:paraId="2F6923A2" w14:textId="65C27683" w:rsidR="00A57F5C" w:rsidRDefault="00A57F5C" w:rsidP="00A57F5C">
      <w:pPr>
        <w:pStyle w:val="Heading1"/>
        <w:spacing w:line="360" w:lineRule="auto"/>
        <w:ind w:left="0"/>
        <w:jc w:val="both"/>
        <w:rPr>
          <w:rFonts w:cs="Arial"/>
          <w:b w:val="0"/>
          <w:bCs/>
          <w:sz w:val="22"/>
          <w:szCs w:val="22"/>
        </w:rPr>
      </w:pPr>
      <w:r>
        <w:rPr>
          <w:rFonts w:cs="Arial"/>
          <w:b w:val="0"/>
          <w:bCs/>
          <w:sz w:val="22"/>
          <w:szCs w:val="22"/>
        </w:rPr>
        <w:t>3.7 Ethical Considerations</w:t>
      </w:r>
    </w:p>
    <w:p w14:paraId="704964E4" w14:textId="39865F4C" w:rsidR="00A57F5C" w:rsidRDefault="00A57F5C" w:rsidP="00A57F5C">
      <w:pPr>
        <w:pStyle w:val="Heading1"/>
        <w:spacing w:line="360" w:lineRule="auto"/>
        <w:ind w:left="0"/>
        <w:jc w:val="both"/>
        <w:rPr>
          <w:rFonts w:cs="Arial"/>
          <w:b w:val="0"/>
          <w:bCs/>
          <w:sz w:val="22"/>
          <w:szCs w:val="22"/>
        </w:rPr>
      </w:pPr>
      <w:r>
        <w:rPr>
          <w:rFonts w:cs="Arial"/>
          <w:b w:val="0"/>
          <w:bCs/>
          <w:sz w:val="22"/>
          <w:szCs w:val="22"/>
        </w:rPr>
        <w:t>3.8 Chapter Conclusion</w:t>
      </w:r>
    </w:p>
    <w:p w14:paraId="7302B847" w14:textId="4A647B8C" w:rsidR="00A57F5C" w:rsidRDefault="00A57F5C" w:rsidP="00A57F5C">
      <w:pPr>
        <w:pStyle w:val="Heading1"/>
        <w:spacing w:line="360" w:lineRule="auto"/>
        <w:ind w:left="0"/>
        <w:jc w:val="both"/>
        <w:rPr>
          <w:rFonts w:cs="Arial"/>
          <w:b w:val="0"/>
          <w:bCs/>
          <w:sz w:val="22"/>
          <w:szCs w:val="22"/>
        </w:rPr>
      </w:pPr>
    </w:p>
    <w:p w14:paraId="0BE4782A" w14:textId="4CBBA7CE" w:rsidR="00A57F5C" w:rsidRDefault="00A57F5C" w:rsidP="00A57F5C">
      <w:pPr>
        <w:pStyle w:val="Heading1"/>
        <w:spacing w:line="360" w:lineRule="auto"/>
        <w:ind w:left="0"/>
        <w:jc w:val="both"/>
        <w:rPr>
          <w:rFonts w:cs="Arial"/>
          <w:b w:val="0"/>
          <w:bCs/>
          <w:sz w:val="22"/>
          <w:szCs w:val="22"/>
        </w:rPr>
      </w:pPr>
      <w:r>
        <w:rPr>
          <w:rFonts w:cs="Arial"/>
          <w:b w:val="0"/>
          <w:bCs/>
          <w:sz w:val="22"/>
          <w:szCs w:val="22"/>
        </w:rPr>
        <w:t>Chapter 4: Findings and Discussion</w:t>
      </w:r>
    </w:p>
    <w:p w14:paraId="56215B5B" w14:textId="6D26DEBF" w:rsidR="00A57F5C" w:rsidRDefault="00A57F5C" w:rsidP="00A57F5C">
      <w:pPr>
        <w:pStyle w:val="Heading1"/>
        <w:spacing w:line="360" w:lineRule="auto"/>
        <w:ind w:left="0"/>
        <w:jc w:val="both"/>
        <w:rPr>
          <w:rFonts w:cs="Arial"/>
          <w:b w:val="0"/>
          <w:bCs/>
          <w:sz w:val="22"/>
          <w:szCs w:val="22"/>
        </w:rPr>
      </w:pPr>
      <w:r>
        <w:rPr>
          <w:rFonts w:cs="Arial"/>
          <w:b w:val="0"/>
          <w:bCs/>
          <w:sz w:val="22"/>
          <w:szCs w:val="22"/>
        </w:rPr>
        <w:t>4.1 Introduction</w:t>
      </w:r>
    </w:p>
    <w:p w14:paraId="073C3CE7" w14:textId="0C15A4BE" w:rsidR="00A57F5C" w:rsidRDefault="00A57F5C" w:rsidP="00A57F5C">
      <w:pPr>
        <w:pStyle w:val="Heading1"/>
        <w:spacing w:line="360" w:lineRule="auto"/>
        <w:ind w:left="0"/>
        <w:jc w:val="both"/>
        <w:rPr>
          <w:rFonts w:cs="Arial"/>
          <w:b w:val="0"/>
          <w:bCs/>
          <w:sz w:val="22"/>
          <w:szCs w:val="22"/>
        </w:rPr>
      </w:pPr>
      <w:r>
        <w:rPr>
          <w:rFonts w:cs="Arial"/>
          <w:b w:val="0"/>
          <w:bCs/>
          <w:sz w:val="22"/>
          <w:szCs w:val="22"/>
        </w:rPr>
        <w:t>4.2 Thematic Analysis</w:t>
      </w:r>
    </w:p>
    <w:p w14:paraId="355DB569" w14:textId="4B14150D" w:rsidR="00A57F5C" w:rsidRDefault="00A57F5C" w:rsidP="00A57F5C">
      <w:pPr>
        <w:pStyle w:val="Heading1"/>
        <w:spacing w:line="360" w:lineRule="auto"/>
        <w:ind w:left="0"/>
        <w:jc w:val="both"/>
        <w:rPr>
          <w:rFonts w:cs="Arial"/>
          <w:b w:val="0"/>
          <w:bCs/>
          <w:sz w:val="22"/>
          <w:szCs w:val="22"/>
        </w:rPr>
      </w:pPr>
      <w:r>
        <w:rPr>
          <w:rFonts w:cs="Arial"/>
          <w:b w:val="0"/>
          <w:bCs/>
          <w:sz w:val="22"/>
          <w:szCs w:val="22"/>
        </w:rPr>
        <w:t>4.3 Theme 1: Rising Prevalence of Type 2 Diabetes</w:t>
      </w:r>
    </w:p>
    <w:p w14:paraId="5C786FF5" w14:textId="4ADB51FE" w:rsidR="00A57F5C" w:rsidRDefault="00A57F5C" w:rsidP="00A57F5C">
      <w:pPr>
        <w:pStyle w:val="Heading1"/>
        <w:spacing w:line="360" w:lineRule="auto"/>
        <w:ind w:left="0"/>
        <w:jc w:val="both"/>
        <w:rPr>
          <w:rFonts w:cs="Arial"/>
          <w:b w:val="0"/>
          <w:bCs/>
          <w:sz w:val="22"/>
          <w:szCs w:val="22"/>
        </w:rPr>
      </w:pPr>
      <w:r>
        <w:rPr>
          <w:rFonts w:cs="Arial"/>
          <w:b w:val="0"/>
          <w:bCs/>
          <w:sz w:val="22"/>
          <w:szCs w:val="22"/>
        </w:rPr>
        <w:t>4.4 Theme 2: Lifestyle and Socioeconomic Risk Factors</w:t>
      </w:r>
    </w:p>
    <w:p w14:paraId="5AE56D71" w14:textId="3199DB46" w:rsidR="00A57F5C" w:rsidRDefault="00A57F5C" w:rsidP="00A57F5C">
      <w:pPr>
        <w:pStyle w:val="Heading1"/>
        <w:spacing w:line="360" w:lineRule="auto"/>
        <w:ind w:left="0"/>
        <w:jc w:val="both"/>
        <w:rPr>
          <w:rFonts w:cs="Arial"/>
          <w:b w:val="0"/>
          <w:bCs/>
          <w:sz w:val="22"/>
          <w:szCs w:val="22"/>
        </w:rPr>
      </w:pPr>
      <w:r>
        <w:rPr>
          <w:rFonts w:cs="Arial"/>
          <w:b w:val="0"/>
          <w:bCs/>
          <w:sz w:val="22"/>
          <w:szCs w:val="22"/>
        </w:rPr>
        <w:t>4.5 Theme 3: Management and Prevention Strategies</w:t>
      </w:r>
    </w:p>
    <w:p w14:paraId="767DEA89" w14:textId="062584DC" w:rsidR="00A57F5C" w:rsidRDefault="00A57F5C" w:rsidP="00A57F5C">
      <w:pPr>
        <w:pStyle w:val="Heading1"/>
        <w:spacing w:line="360" w:lineRule="auto"/>
        <w:ind w:left="0"/>
        <w:jc w:val="both"/>
        <w:rPr>
          <w:rFonts w:cs="Arial"/>
          <w:b w:val="0"/>
          <w:bCs/>
          <w:sz w:val="22"/>
          <w:szCs w:val="22"/>
        </w:rPr>
      </w:pPr>
      <w:r>
        <w:rPr>
          <w:rFonts w:cs="Arial"/>
          <w:b w:val="0"/>
          <w:bCs/>
          <w:sz w:val="22"/>
          <w:szCs w:val="22"/>
        </w:rPr>
        <w:t>4.6 Chapter Conclusion</w:t>
      </w:r>
    </w:p>
    <w:p w14:paraId="68669CEC" w14:textId="439F01FF" w:rsidR="00A57F5C" w:rsidRDefault="00A57F5C" w:rsidP="00A57F5C">
      <w:pPr>
        <w:pStyle w:val="Heading1"/>
        <w:spacing w:line="360" w:lineRule="auto"/>
        <w:ind w:left="0"/>
        <w:jc w:val="both"/>
        <w:rPr>
          <w:rFonts w:cs="Arial"/>
          <w:b w:val="0"/>
          <w:bCs/>
          <w:sz w:val="22"/>
          <w:szCs w:val="22"/>
        </w:rPr>
      </w:pPr>
    </w:p>
    <w:p w14:paraId="461C5B91" w14:textId="3D93293E" w:rsidR="00A57F5C" w:rsidRDefault="00A57F5C" w:rsidP="00A57F5C">
      <w:pPr>
        <w:pStyle w:val="Heading1"/>
        <w:spacing w:line="360" w:lineRule="auto"/>
        <w:ind w:left="0"/>
        <w:jc w:val="both"/>
        <w:rPr>
          <w:rFonts w:cs="Arial"/>
          <w:b w:val="0"/>
          <w:bCs/>
          <w:sz w:val="22"/>
          <w:szCs w:val="22"/>
        </w:rPr>
      </w:pPr>
      <w:r>
        <w:rPr>
          <w:rFonts w:cs="Arial"/>
          <w:b w:val="0"/>
          <w:bCs/>
          <w:sz w:val="22"/>
          <w:szCs w:val="22"/>
        </w:rPr>
        <w:lastRenderedPageBreak/>
        <w:t>Chapter 5: Conclusion and Recommendations</w:t>
      </w:r>
    </w:p>
    <w:p w14:paraId="51A2107B" w14:textId="7CB3805A" w:rsidR="00023108" w:rsidRDefault="00023108" w:rsidP="00A57F5C">
      <w:pPr>
        <w:pStyle w:val="Heading1"/>
        <w:spacing w:line="360" w:lineRule="auto"/>
        <w:ind w:left="0"/>
        <w:jc w:val="both"/>
        <w:rPr>
          <w:rFonts w:cs="Arial"/>
          <w:b w:val="0"/>
          <w:bCs/>
          <w:sz w:val="22"/>
          <w:szCs w:val="22"/>
        </w:rPr>
      </w:pPr>
      <w:r>
        <w:rPr>
          <w:rFonts w:cs="Arial"/>
          <w:b w:val="0"/>
          <w:bCs/>
          <w:sz w:val="22"/>
          <w:szCs w:val="22"/>
        </w:rPr>
        <w:t>5.1 Overall Conclusion</w:t>
      </w:r>
    </w:p>
    <w:p w14:paraId="0D500990" w14:textId="6613CA44" w:rsidR="00023108" w:rsidRDefault="00023108" w:rsidP="00A57F5C">
      <w:pPr>
        <w:pStyle w:val="Heading1"/>
        <w:spacing w:line="360" w:lineRule="auto"/>
        <w:ind w:left="0"/>
        <w:jc w:val="both"/>
        <w:rPr>
          <w:rFonts w:cs="Arial"/>
          <w:b w:val="0"/>
          <w:bCs/>
          <w:sz w:val="22"/>
          <w:szCs w:val="22"/>
        </w:rPr>
      </w:pPr>
      <w:r>
        <w:rPr>
          <w:rFonts w:cs="Arial"/>
          <w:b w:val="0"/>
          <w:bCs/>
          <w:sz w:val="22"/>
          <w:szCs w:val="22"/>
        </w:rPr>
        <w:t>5.2 Recommendations</w:t>
      </w:r>
    </w:p>
    <w:p w14:paraId="20437D2E" w14:textId="24F9F662" w:rsidR="00023108" w:rsidRDefault="00023108" w:rsidP="00A57F5C">
      <w:pPr>
        <w:pStyle w:val="Heading1"/>
        <w:spacing w:line="360" w:lineRule="auto"/>
        <w:ind w:left="0"/>
        <w:jc w:val="both"/>
        <w:rPr>
          <w:rFonts w:cs="Arial"/>
          <w:b w:val="0"/>
          <w:bCs/>
          <w:sz w:val="22"/>
          <w:szCs w:val="22"/>
        </w:rPr>
      </w:pPr>
      <w:r>
        <w:rPr>
          <w:rFonts w:cs="Arial"/>
          <w:b w:val="0"/>
          <w:bCs/>
          <w:sz w:val="22"/>
          <w:szCs w:val="22"/>
        </w:rPr>
        <w:t xml:space="preserve">. Reference List </w:t>
      </w:r>
    </w:p>
    <w:p w14:paraId="246DD29D" w14:textId="616AFF91" w:rsidR="00023108" w:rsidRDefault="00023108" w:rsidP="00A57F5C">
      <w:pPr>
        <w:pStyle w:val="Heading1"/>
        <w:spacing w:line="360" w:lineRule="auto"/>
        <w:ind w:left="0"/>
        <w:jc w:val="both"/>
        <w:rPr>
          <w:rFonts w:cs="Arial"/>
          <w:b w:val="0"/>
          <w:bCs/>
          <w:sz w:val="22"/>
          <w:szCs w:val="22"/>
        </w:rPr>
      </w:pPr>
      <w:r>
        <w:rPr>
          <w:rFonts w:cs="Arial"/>
          <w:b w:val="0"/>
          <w:bCs/>
          <w:sz w:val="22"/>
          <w:szCs w:val="22"/>
        </w:rPr>
        <w:t>. Appendices</w:t>
      </w:r>
    </w:p>
    <w:p w14:paraId="60DB37E3" w14:textId="54FBF3FA" w:rsidR="00023108" w:rsidRDefault="00023108" w:rsidP="00A57F5C">
      <w:pPr>
        <w:pStyle w:val="Heading1"/>
        <w:spacing w:line="360" w:lineRule="auto"/>
        <w:ind w:left="0"/>
        <w:jc w:val="both"/>
        <w:rPr>
          <w:rFonts w:cs="Arial"/>
          <w:b w:val="0"/>
          <w:bCs/>
          <w:sz w:val="22"/>
          <w:szCs w:val="22"/>
        </w:rPr>
      </w:pPr>
    </w:p>
    <w:p w14:paraId="60CBA8F7" w14:textId="77777777" w:rsidR="00023108" w:rsidRDefault="00023108" w:rsidP="00A57F5C">
      <w:pPr>
        <w:pStyle w:val="Heading1"/>
        <w:spacing w:line="360" w:lineRule="auto"/>
        <w:ind w:left="0"/>
        <w:jc w:val="both"/>
        <w:rPr>
          <w:rFonts w:cs="Arial"/>
          <w:b w:val="0"/>
          <w:bCs/>
          <w:sz w:val="22"/>
          <w:szCs w:val="22"/>
        </w:rPr>
      </w:pPr>
    </w:p>
    <w:p w14:paraId="7FAF9350" w14:textId="77777777" w:rsidR="00A57F5C" w:rsidRDefault="00A57F5C" w:rsidP="00A57F5C">
      <w:pPr>
        <w:pStyle w:val="Heading1"/>
        <w:spacing w:line="360" w:lineRule="auto"/>
        <w:ind w:left="0"/>
        <w:jc w:val="both"/>
        <w:rPr>
          <w:rFonts w:cs="Arial"/>
          <w:b w:val="0"/>
          <w:bCs/>
          <w:sz w:val="22"/>
          <w:szCs w:val="22"/>
        </w:rPr>
      </w:pPr>
    </w:p>
    <w:p w14:paraId="2BA20CFA" w14:textId="38B42B05" w:rsidR="00EA38DD" w:rsidRDefault="00EA38DD" w:rsidP="00EA38DD">
      <w:pPr>
        <w:pStyle w:val="Heading1"/>
        <w:spacing w:line="360" w:lineRule="auto"/>
        <w:ind w:left="0"/>
        <w:jc w:val="both"/>
        <w:rPr>
          <w:rFonts w:cs="Arial"/>
          <w:u w:val="single"/>
        </w:rPr>
      </w:pPr>
    </w:p>
    <w:p w14:paraId="72E3308F" w14:textId="10CAE4AC" w:rsidR="00EA38DD" w:rsidRDefault="00EA38DD" w:rsidP="00EA38DD">
      <w:pPr>
        <w:pStyle w:val="Heading1"/>
        <w:spacing w:line="360" w:lineRule="auto"/>
        <w:ind w:left="0"/>
        <w:jc w:val="both"/>
        <w:rPr>
          <w:rFonts w:cs="Arial"/>
          <w:u w:val="single"/>
        </w:rPr>
      </w:pPr>
    </w:p>
    <w:p w14:paraId="52B364BD" w14:textId="472C80B9" w:rsidR="00EA38DD" w:rsidRDefault="00EA38DD" w:rsidP="00EA38DD">
      <w:pPr>
        <w:pStyle w:val="Heading1"/>
        <w:spacing w:line="360" w:lineRule="auto"/>
        <w:ind w:left="0"/>
        <w:jc w:val="both"/>
        <w:rPr>
          <w:rFonts w:cs="Arial"/>
          <w:u w:val="single"/>
        </w:rPr>
      </w:pPr>
    </w:p>
    <w:p w14:paraId="11531FC9" w14:textId="3CF72F0C" w:rsidR="00EA38DD" w:rsidRDefault="00EA38DD" w:rsidP="00EA38DD">
      <w:pPr>
        <w:pStyle w:val="Heading1"/>
        <w:spacing w:line="360" w:lineRule="auto"/>
        <w:ind w:left="0"/>
        <w:jc w:val="both"/>
        <w:rPr>
          <w:rFonts w:cs="Arial"/>
          <w:u w:val="single"/>
        </w:rPr>
      </w:pPr>
    </w:p>
    <w:p w14:paraId="71D4AEB5" w14:textId="073F3D4F" w:rsidR="00EA38DD" w:rsidRDefault="00EA38DD" w:rsidP="00EA38DD">
      <w:pPr>
        <w:pStyle w:val="Heading1"/>
        <w:spacing w:line="360" w:lineRule="auto"/>
        <w:ind w:left="0"/>
        <w:jc w:val="both"/>
        <w:rPr>
          <w:rFonts w:cs="Arial"/>
          <w:u w:val="single"/>
        </w:rPr>
      </w:pPr>
    </w:p>
    <w:p w14:paraId="201FB460" w14:textId="7B5794F2" w:rsidR="00EA38DD" w:rsidRDefault="00EA38DD" w:rsidP="00EA38DD">
      <w:pPr>
        <w:pStyle w:val="Heading1"/>
        <w:spacing w:line="360" w:lineRule="auto"/>
        <w:ind w:left="0"/>
        <w:jc w:val="both"/>
        <w:rPr>
          <w:rFonts w:cs="Arial"/>
          <w:u w:val="single"/>
        </w:rPr>
      </w:pPr>
    </w:p>
    <w:p w14:paraId="69FA1274" w14:textId="39A2E6CD" w:rsidR="00EA38DD" w:rsidRDefault="00EA38DD" w:rsidP="00EA38DD">
      <w:pPr>
        <w:pStyle w:val="Heading1"/>
        <w:spacing w:line="360" w:lineRule="auto"/>
        <w:ind w:left="0"/>
        <w:jc w:val="both"/>
        <w:rPr>
          <w:rFonts w:cs="Arial"/>
          <w:u w:val="single"/>
        </w:rPr>
      </w:pPr>
    </w:p>
    <w:p w14:paraId="397D0736" w14:textId="0C8A7A10" w:rsidR="00EA38DD" w:rsidRDefault="00EA38DD" w:rsidP="00EA38DD">
      <w:pPr>
        <w:pStyle w:val="Heading1"/>
        <w:spacing w:line="360" w:lineRule="auto"/>
        <w:ind w:left="0"/>
        <w:jc w:val="both"/>
        <w:rPr>
          <w:rFonts w:cs="Arial"/>
          <w:u w:val="single"/>
        </w:rPr>
      </w:pPr>
    </w:p>
    <w:p w14:paraId="37796A51" w14:textId="47F0693C" w:rsidR="00EA38DD" w:rsidRDefault="00EA38DD" w:rsidP="00EA38DD">
      <w:pPr>
        <w:pStyle w:val="Heading1"/>
        <w:spacing w:line="360" w:lineRule="auto"/>
        <w:ind w:left="0"/>
        <w:jc w:val="both"/>
        <w:rPr>
          <w:rFonts w:cs="Arial"/>
          <w:u w:val="single"/>
        </w:rPr>
      </w:pPr>
    </w:p>
    <w:p w14:paraId="6D020B65" w14:textId="027C116A" w:rsidR="00EA38DD" w:rsidRDefault="00EA38DD" w:rsidP="00EA38DD">
      <w:pPr>
        <w:pStyle w:val="Heading1"/>
        <w:spacing w:line="360" w:lineRule="auto"/>
        <w:ind w:left="0"/>
        <w:jc w:val="both"/>
        <w:rPr>
          <w:rFonts w:cs="Arial"/>
          <w:u w:val="single"/>
        </w:rPr>
      </w:pPr>
    </w:p>
    <w:p w14:paraId="6CB4BC63" w14:textId="6CAC1A99" w:rsidR="00EA38DD" w:rsidRDefault="00EA38DD" w:rsidP="00EA38DD">
      <w:pPr>
        <w:pStyle w:val="Heading1"/>
        <w:spacing w:line="360" w:lineRule="auto"/>
        <w:ind w:left="0"/>
        <w:jc w:val="both"/>
        <w:rPr>
          <w:rFonts w:cs="Arial"/>
          <w:u w:val="single"/>
        </w:rPr>
      </w:pPr>
    </w:p>
    <w:p w14:paraId="2185616F" w14:textId="14F7B0ED" w:rsidR="00EA38DD" w:rsidRDefault="00EA38DD" w:rsidP="00EA38DD">
      <w:pPr>
        <w:pStyle w:val="Heading1"/>
        <w:spacing w:line="360" w:lineRule="auto"/>
        <w:ind w:left="0"/>
        <w:jc w:val="both"/>
        <w:rPr>
          <w:rFonts w:cs="Arial"/>
          <w:u w:val="single"/>
        </w:rPr>
      </w:pPr>
    </w:p>
    <w:p w14:paraId="7D4B2027" w14:textId="461D70E1" w:rsidR="00EA38DD" w:rsidRDefault="00EA38DD" w:rsidP="00EA38DD">
      <w:pPr>
        <w:pStyle w:val="Heading1"/>
        <w:spacing w:line="360" w:lineRule="auto"/>
        <w:ind w:left="0"/>
        <w:jc w:val="both"/>
        <w:rPr>
          <w:rFonts w:cs="Arial"/>
          <w:u w:val="single"/>
        </w:rPr>
      </w:pPr>
    </w:p>
    <w:p w14:paraId="72803330" w14:textId="3B38B545" w:rsidR="00EA38DD" w:rsidRDefault="00EA38DD" w:rsidP="00EA38DD">
      <w:pPr>
        <w:pStyle w:val="Heading1"/>
        <w:spacing w:line="360" w:lineRule="auto"/>
        <w:ind w:left="0"/>
        <w:jc w:val="both"/>
        <w:rPr>
          <w:rFonts w:cs="Arial"/>
          <w:u w:val="single"/>
        </w:rPr>
      </w:pPr>
    </w:p>
    <w:p w14:paraId="098EE339" w14:textId="49AFBC4D" w:rsidR="00EA38DD" w:rsidRDefault="00EA38DD" w:rsidP="00EA38DD">
      <w:pPr>
        <w:pStyle w:val="Heading1"/>
        <w:spacing w:line="360" w:lineRule="auto"/>
        <w:ind w:left="0"/>
        <w:jc w:val="both"/>
        <w:rPr>
          <w:rFonts w:cs="Arial"/>
          <w:u w:val="single"/>
        </w:rPr>
      </w:pPr>
    </w:p>
    <w:p w14:paraId="75D7B175" w14:textId="6EBFCD63" w:rsidR="00EA38DD" w:rsidRDefault="00EA38DD" w:rsidP="00EA38DD">
      <w:pPr>
        <w:pStyle w:val="Heading1"/>
        <w:spacing w:line="360" w:lineRule="auto"/>
        <w:ind w:left="0"/>
        <w:jc w:val="both"/>
        <w:rPr>
          <w:rFonts w:cs="Arial"/>
          <w:u w:val="single"/>
        </w:rPr>
      </w:pPr>
    </w:p>
    <w:p w14:paraId="4F3740C8" w14:textId="15BD0F34" w:rsidR="00EA38DD" w:rsidRDefault="00EA38DD" w:rsidP="00EA38DD">
      <w:pPr>
        <w:pStyle w:val="Heading1"/>
        <w:spacing w:line="360" w:lineRule="auto"/>
        <w:ind w:left="0"/>
        <w:jc w:val="both"/>
        <w:rPr>
          <w:rFonts w:cs="Arial"/>
          <w:u w:val="single"/>
        </w:rPr>
      </w:pPr>
    </w:p>
    <w:p w14:paraId="10FCE981" w14:textId="5196A266" w:rsidR="00EA38DD" w:rsidRDefault="00EA38DD" w:rsidP="00EA38DD">
      <w:pPr>
        <w:pStyle w:val="Heading1"/>
        <w:spacing w:line="360" w:lineRule="auto"/>
        <w:ind w:left="0"/>
        <w:jc w:val="both"/>
        <w:rPr>
          <w:rFonts w:cs="Arial"/>
          <w:u w:val="single"/>
        </w:rPr>
      </w:pPr>
    </w:p>
    <w:p w14:paraId="1AE10729" w14:textId="45DC7D25" w:rsidR="00EA38DD" w:rsidRDefault="00EA38DD" w:rsidP="00EA38DD">
      <w:pPr>
        <w:pStyle w:val="Heading1"/>
        <w:spacing w:line="360" w:lineRule="auto"/>
        <w:ind w:left="0"/>
        <w:jc w:val="both"/>
        <w:rPr>
          <w:rFonts w:cs="Arial"/>
          <w:u w:val="single"/>
        </w:rPr>
      </w:pPr>
    </w:p>
    <w:p w14:paraId="56599FC5" w14:textId="77777777" w:rsidR="00EA38DD" w:rsidRPr="00EA38DD" w:rsidRDefault="00EA38DD" w:rsidP="00EA38DD">
      <w:pPr>
        <w:pStyle w:val="Heading1"/>
        <w:spacing w:line="360" w:lineRule="auto"/>
        <w:ind w:left="0"/>
        <w:jc w:val="both"/>
        <w:rPr>
          <w:rFonts w:cs="Arial"/>
          <w:u w:val="single"/>
        </w:rPr>
      </w:pPr>
    </w:p>
    <w:p w14:paraId="4BA7151D" w14:textId="38CD57F5" w:rsidR="00EA38DD" w:rsidRPr="00EA38DD" w:rsidRDefault="00EA38DD" w:rsidP="00EA38DD">
      <w:pPr>
        <w:pStyle w:val="Heading1"/>
        <w:spacing w:line="360" w:lineRule="auto"/>
        <w:ind w:left="0"/>
        <w:jc w:val="center"/>
        <w:rPr>
          <w:rFonts w:cs="Arial"/>
          <w:b w:val="0"/>
          <w:bCs/>
        </w:rPr>
      </w:pPr>
      <w:r w:rsidRPr="00EA38DD">
        <w:rPr>
          <w:rFonts w:cs="Arial"/>
          <w:u w:val="single"/>
        </w:rPr>
        <w:lastRenderedPageBreak/>
        <w:t>List of Tables and Graphs</w:t>
      </w:r>
    </w:p>
    <w:p w14:paraId="3D7F8058" w14:textId="77777777" w:rsidR="00230508" w:rsidRDefault="00230508" w:rsidP="00230508"/>
    <w:p w14:paraId="5F6B71D4" w14:textId="77777777" w:rsidR="00230508" w:rsidRDefault="00230508" w:rsidP="00230508"/>
    <w:p w14:paraId="37FAC542" w14:textId="77777777" w:rsidR="00230508" w:rsidRDefault="00230508" w:rsidP="00230508"/>
    <w:p w14:paraId="2A6E3664" w14:textId="12E964CA" w:rsidR="00230508" w:rsidRDefault="00CD51F4" w:rsidP="00230508">
      <w:r>
        <w:t>Table 1: Acronyms and Abbreviations</w:t>
      </w:r>
    </w:p>
    <w:p w14:paraId="5E9F8F92" w14:textId="2A53ABEE" w:rsidR="00CD51F4" w:rsidRDefault="00CD51F4" w:rsidP="00230508"/>
    <w:p w14:paraId="66F7A5C5" w14:textId="755FEBC8" w:rsidR="00CD51F4" w:rsidRDefault="00CD51F4" w:rsidP="00230508">
      <w:r>
        <w:t>Table 2: Theme 1, Theme 2 and Theme 3</w:t>
      </w:r>
    </w:p>
    <w:p w14:paraId="2EC16716" w14:textId="4C9C7A6D" w:rsidR="00CD51F4" w:rsidRDefault="00CD51F4" w:rsidP="00230508"/>
    <w:p w14:paraId="2A1193B9" w14:textId="4D2285C5" w:rsidR="00CD51F4" w:rsidRDefault="00CD51F4" w:rsidP="00230508">
      <w:r>
        <w:t>Table 3: Source tracking table</w:t>
      </w:r>
    </w:p>
    <w:p w14:paraId="59E8AC84" w14:textId="4E2F3432" w:rsidR="00CD51F4" w:rsidRDefault="00CD51F4" w:rsidP="00230508"/>
    <w:p w14:paraId="21531083" w14:textId="404622AA" w:rsidR="00CD51F4" w:rsidRDefault="00CD51F4" w:rsidP="00CD51F4">
      <w:pPr>
        <w:spacing w:line="360" w:lineRule="auto"/>
      </w:pPr>
      <w:r>
        <w:t>Table 4: Project results summary table</w:t>
      </w:r>
    </w:p>
    <w:p w14:paraId="28765463" w14:textId="5DAC9E03" w:rsidR="00CD51F4" w:rsidRDefault="00CD51F4" w:rsidP="00CD51F4">
      <w:pPr>
        <w:spacing w:line="360" w:lineRule="auto"/>
      </w:pPr>
      <w:r>
        <w:t xml:space="preserve">                                   </w:t>
      </w:r>
    </w:p>
    <w:p w14:paraId="69F05143" w14:textId="77777777" w:rsidR="00CD51F4" w:rsidRPr="00CD51F4" w:rsidRDefault="00CD51F4" w:rsidP="00CD51F4">
      <w:pPr>
        <w:pStyle w:val="Heading1"/>
        <w:ind w:left="0"/>
        <w:rPr>
          <w:rFonts w:cs="Arial"/>
          <w:b w:val="0"/>
          <w:bCs/>
          <w:sz w:val="22"/>
          <w:szCs w:val="22"/>
        </w:rPr>
      </w:pPr>
      <w:r w:rsidRPr="00CD51F4">
        <w:rPr>
          <w:rFonts w:cs="Arial"/>
          <w:b w:val="0"/>
          <w:bCs/>
          <w:sz w:val="22"/>
          <w:szCs w:val="22"/>
        </w:rPr>
        <w:t>Graph 1: Prevalence of doctor-diagnosed diabetes by age</w:t>
      </w:r>
    </w:p>
    <w:p w14:paraId="58718D6F" w14:textId="436A6BA1" w:rsidR="00CD51F4" w:rsidRDefault="00CD51F4" w:rsidP="00230508"/>
    <w:p w14:paraId="4286CA28" w14:textId="77777777" w:rsidR="00CD51F4" w:rsidRDefault="00CD51F4" w:rsidP="00230508"/>
    <w:p w14:paraId="612963C2" w14:textId="77777777" w:rsidR="00230508" w:rsidRDefault="00230508" w:rsidP="00230508"/>
    <w:p w14:paraId="0BE4E39E" w14:textId="77777777" w:rsidR="00230508" w:rsidRDefault="00230508" w:rsidP="00230508"/>
    <w:p w14:paraId="66FCEB94" w14:textId="77777777" w:rsidR="00230508" w:rsidRDefault="00230508" w:rsidP="00230508"/>
    <w:p w14:paraId="0FE67C0A" w14:textId="77777777" w:rsidR="00230508" w:rsidRDefault="00230508" w:rsidP="00230508"/>
    <w:p w14:paraId="183134FF" w14:textId="77777777" w:rsidR="00230508" w:rsidRDefault="00230508" w:rsidP="00230508"/>
    <w:p w14:paraId="32CAD84E" w14:textId="77777777" w:rsidR="00230508" w:rsidRDefault="00230508" w:rsidP="00230508"/>
    <w:p w14:paraId="2AD8EE9F" w14:textId="77777777" w:rsidR="00230508" w:rsidRDefault="00230508" w:rsidP="00230508"/>
    <w:p w14:paraId="5F470BC6" w14:textId="77777777" w:rsidR="00230508" w:rsidRDefault="00230508" w:rsidP="00230508"/>
    <w:p w14:paraId="439B85BE" w14:textId="77777777" w:rsidR="00230508" w:rsidRDefault="00230508" w:rsidP="00230508"/>
    <w:p w14:paraId="4066A98F" w14:textId="77777777" w:rsidR="00230508" w:rsidRDefault="00230508" w:rsidP="00230508"/>
    <w:p w14:paraId="3D839D21" w14:textId="77777777" w:rsidR="00230508" w:rsidRDefault="00230508" w:rsidP="00230508"/>
    <w:p w14:paraId="7D2FCE15" w14:textId="77777777" w:rsidR="00230508" w:rsidRDefault="00230508" w:rsidP="00230508"/>
    <w:p w14:paraId="2E01E654" w14:textId="77777777" w:rsidR="00230508" w:rsidRDefault="00230508" w:rsidP="00230508"/>
    <w:p w14:paraId="19EDF12B" w14:textId="77777777" w:rsidR="00230508" w:rsidRDefault="00230508" w:rsidP="00230508"/>
    <w:p w14:paraId="5849D17E" w14:textId="77777777" w:rsidR="00230508" w:rsidRDefault="00230508" w:rsidP="00230508"/>
    <w:p w14:paraId="22F6A492" w14:textId="77777777" w:rsidR="00230508" w:rsidRDefault="00230508" w:rsidP="00230508"/>
    <w:p w14:paraId="6B1427B0" w14:textId="77777777" w:rsidR="00230508" w:rsidRDefault="00230508" w:rsidP="00230508"/>
    <w:p w14:paraId="7F43830B" w14:textId="77777777" w:rsidR="00230508" w:rsidRDefault="00230508" w:rsidP="00230508"/>
    <w:p w14:paraId="5C0743CA" w14:textId="77777777" w:rsidR="00230508" w:rsidRDefault="00230508" w:rsidP="00230508"/>
    <w:p w14:paraId="1DC093E5" w14:textId="77777777" w:rsidR="00230508" w:rsidRDefault="00230508" w:rsidP="00230508">
      <w:pPr>
        <w:pStyle w:val="Heading1"/>
        <w:ind w:left="0"/>
      </w:pPr>
    </w:p>
    <w:p w14:paraId="7FF6872A" w14:textId="77777777" w:rsidR="00230508" w:rsidRDefault="00230508" w:rsidP="00230508">
      <w:pPr>
        <w:pStyle w:val="Heading1"/>
        <w:ind w:left="0"/>
      </w:pPr>
    </w:p>
    <w:p w14:paraId="2FAC4155" w14:textId="77777777" w:rsidR="00230508" w:rsidRDefault="00230508" w:rsidP="00230508">
      <w:pPr>
        <w:pStyle w:val="Heading1"/>
        <w:ind w:left="0"/>
      </w:pPr>
    </w:p>
    <w:p w14:paraId="7E532315" w14:textId="77777777" w:rsidR="00230508" w:rsidRDefault="00230508" w:rsidP="00230508">
      <w:pPr>
        <w:pStyle w:val="Heading1"/>
        <w:ind w:left="0"/>
      </w:pPr>
    </w:p>
    <w:p w14:paraId="79AF7C2A" w14:textId="77777777" w:rsidR="00230508" w:rsidRDefault="00230508"/>
    <w:p w14:paraId="681923C2" w14:textId="77777777" w:rsidR="00230508" w:rsidRDefault="00230508"/>
    <w:p w14:paraId="1C36B1D9" w14:textId="77777777" w:rsidR="00230508" w:rsidRDefault="00230508"/>
    <w:p w14:paraId="487F4D58" w14:textId="77777777" w:rsidR="00230508" w:rsidRDefault="00230508"/>
    <w:p w14:paraId="2BC390DF" w14:textId="77777777" w:rsidR="00230508" w:rsidRDefault="00230508"/>
    <w:p w14:paraId="06DF01A6" w14:textId="77777777" w:rsidR="00230508" w:rsidRDefault="00230508"/>
    <w:p w14:paraId="515B92A4" w14:textId="77777777" w:rsidR="00230508" w:rsidRDefault="00230508"/>
    <w:p w14:paraId="3A5D2C10" w14:textId="77777777" w:rsidR="00450917" w:rsidRDefault="00450917" w:rsidP="002B7685">
      <w:pPr>
        <w:spacing w:line="360" w:lineRule="auto"/>
        <w:jc w:val="both"/>
      </w:pPr>
    </w:p>
    <w:p w14:paraId="79D1B28B" w14:textId="699CAB1B" w:rsidR="00CB6C56" w:rsidRPr="00E52633" w:rsidRDefault="00BE5F92" w:rsidP="002B7685">
      <w:pPr>
        <w:spacing w:line="360" w:lineRule="auto"/>
        <w:jc w:val="both"/>
        <w:rPr>
          <w:rFonts w:ascii="Arial" w:hAnsi="Arial" w:cs="Arial"/>
          <w:b/>
          <w:bCs/>
          <w:sz w:val="32"/>
          <w:szCs w:val="32"/>
        </w:rPr>
      </w:pPr>
      <w:r w:rsidRPr="00E52633">
        <w:rPr>
          <w:rFonts w:ascii="Arial" w:hAnsi="Arial" w:cs="Arial"/>
          <w:b/>
          <w:bCs/>
          <w:sz w:val="32"/>
          <w:szCs w:val="32"/>
        </w:rPr>
        <w:lastRenderedPageBreak/>
        <w:t>CHAPTER 1</w:t>
      </w:r>
    </w:p>
    <w:p w14:paraId="4FBD1C89" w14:textId="24FC86B8" w:rsidR="00BE5F92" w:rsidRPr="00C7380B" w:rsidRDefault="00BE5F92" w:rsidP="002B7685">
      <w:pPr>
        <w:spacing w:line="360" w:lineRule="auto"/>
        <w:jc w:val="both"/>
        <w:rPr>
          <w:rFonts w:ascii="Arial" w:hAnsi="Arial" w:cs="Arial"/>
          <w:b/>
          <w:bCs/>
          <w:sz w:val="22"/>
          <w:szCs w:val="22"/>
        </w:rPr>
      </w:pPr>
    </w:p>
    <w:p w14:paraId="613D0212" w14:textId="3B1E4D19" w:rsidR="00BE5F92" w:rsidRPr="00E52633" w:rsidRDefault="00BE5F92" w:rsidP="000416C7">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Introduction</w:t>
      </w:r>
    </w:p>
    <w:p w14:paraId="7B2EA5AA" w14:textId="6914A492" w:rsidR="00BE5F92" w:rsidRPr="000416C7" w:rsidRDefault="00BE5F92" w:rsidP="000416C7">
      <w:pPr>
        <w:spacing w:line="360" w:lineRule="auto"/>
        <w:jc w:val="both"/>
        <w:rPr>
          <w:rFonts w:ascii="Arial" w:hAnsi="Arial" w:cs="Arial"/>
          <w:sz w:val="22"/>
          <w:szCs w:val="22"/>
        </w:rPr>
      </w:pPr>
      <w:r w:rsidRPr="000416C7">
        <w:rPr>
          <w:rFonts w:ascii="Arial" w:hAnsi="Arial" w:cs="Arial"/>
          <w:sz w:val="22"/>
          <w:szCs w:val="22"/>
        </w:rPr>
        <w:t xml:space="preserve">Type 2 diabetes mellitus (T2DM) represents one of the most significant public health challenges affecting UK adults, with prevalence rising steadily over recent decades.  Characterised by insulin resistance and relative insulin deficiency, T2DM is strongly associated with lifestyle, socioeconomic, and genetic factors </w:t>
      </w:r>
      <w:r w:rsidR="002B7685" w:rsidRPr="000416C7">
        <w:rPr>
          <w:rFonts w:ascii="Arial" w:hAnsi="Arial" w:cs="Arial"/>
          <w:color w:val="000000"/>
          <w:sz w:val="22"/>
          <w:szCs w:val="22"/>
        </w:rPr>
        <w:t>(Reed, Bain and Kanamarlapudi, 2021)</w:t>
      </w:r>
      <w:r w:rsidRPr="000416C7">
        <w:rPr>
          <w:rFonts w:ascii="Arial" w:hAnsi="Arial" w:cs="Arial"/>
          <w:sz w:val="22"/>
          <w:szCs w:val="22"/>
        </w:rPr>
        <w:t xml:space="preserve">.  In the UK, approximately 4.3 million people are currently living with diabetes, of which around 90% have type 2 diabetes, placing considerable strain on health care systems and long-term patient outcomes </w:t>
      </w:r>
      <w:r w:rsidR="002B7685" w:rsidRPr="000416C7">
        <w:rPr>
          <w:rFonts w:ascii="Arial" w:hAnsi="Arial" w:cs="Arial"/>
          <w:color w:val="000000"/>
          <w:sz w:val="22"/>
          <w:szCs w:val="22"/>
        </w:rPr>
        <w:t>(Diabetes UK, 2023)</w:t>
      </w:r>
      <w:r w:rsidR="002B7685" w:rsidRPr="000416C7">
        <w:rPr>
          <w:rFonts w:ascii="Arial" w:hAnsi="Arial" w:cs="Arial"/>
          <w:sz w:val="22"/>
          <w:szCs w:val="22"/>
        </w:rPr>
        <w:t>.</w:t>
      </w:r>
    </w:p>
    <w:p w14:paraId="2F546C27" w14:textId="54C5E850" w:rsidR="00BE5F92" w:rsidRPr="000416C7" w:rsidRDefault="00BE5F92" w:rsidP="000416C7">
      <w:pPr>
        <w:pStyle w:val="ListParagraph"/>
        <w:spacing w:line="360" w:lineRule="auto"/>
        <w:ind w:left="360"/>
        <w:jc w:val="both"/>
        <w:rPr>
          <w:rFonts w:ascii="Arial" w:hAnsi="Arial" w:cs="Arial"/>
          <w:sz w:val="22"/>
          <w:szCs w:val="22"/>
        </w:rPr>
      </w:pPr>
    </w:p>
    <w:p w14:paraId="476E1E3A" w14:textId="3664BFFE" w:rsidR="00BE5F92" w:rsidRPr="000416C7" w:rsidRDefault="00BE5F92" w:rsidP="000416C7">
      <w:pPr>
        <w:spacing w:line="360" w:lineRule="auto"/>
        <w:jc w:val="both"/>
        <w:rPr>
          <w:rFonts w:ascii="Arial" w:hAnsi="Arial" w:cs="Arial"/>
          <w:sz w:val="22"/>
          <w:szCs w:val="22"/>
        </w:rPr>
      </w:pPr>
      <w:r w:rsidRPr="000416C7">
        <w:rPr>
          <w:rFonts w:ascii="Arial" w:hAnsi="Arial" w:cs="Arial"/>
          <w:sz w:val="22"/>
          <w:szCs w:val="22"/>
        </w:rPr>
        <w:t xml:space="preserve">Historically, T2DM was considered a disease of older age; however, contemporary trends demonstrate increasing diagnoses among younger adults, driven by rising obesity rates, physical inactivity, and health inequalities </w:t>
      </w:r>
      <w:r w:rsidR="002B7685" w:rsidRPr="000416C7">
        <w:rPr>
          <w:rFonts w:ascii="Arial" w:hAnsi="Arial" w:cs="Arial"/>
          <w:color w:val="000000"/>
          <w:sz w:val="22"/>
          <w:szCs w:val="22"/>
        </w:rPr>
        <w:t>(He et al., 2024)</w:t>
      </w:r>
      <w:r w:rsidR="002B7685" w:rsidRPr="000416C7">
        <w:rPr>
          <w:rFonts w:ascii="Arial" w:hAnsi="Arial" w:cs="Arial"/>
          <w:sz w:val="22"/>
          <w:szCs w:val="22"/>
        </w:rPr>
        <w:t xml:space="preserve">. </w:t>
      </w:r>
      <w:r w:rsidRPr="000416C7">
        <w:rPr>
          <w:rFonts w:ascii="Arial" w:hAnsi="Arial" w:cs="Arial"/>
          <w:sz w:val="22"/>
          <w:szCs w:val="22"/>
        </w:rPr>
        <w:t>Socioeconomic deprivation, ethnicity, diet, and sedentary lifestyles have been identified as key contributors to disease risk, highlighting the complex and multifactorial</w:t>
      </w:r>
      <w:r w:rsidR="00420404" w:rsidRPr="000416C7">
        <w:rPr>
          <w:rFonts w:ascii="Arial" w:hAnsi="Arial" w:cs="Arial"/>
          <w:sz w:val="22"/>
          <w:szCs w:val="22"/>
        </w:rPr>
        <w:t xml:space="preserve"> nature of T2DM </w:t>
      </w:r>
      <w:r w:rsidR="002B7685" w:rsidRPr="000416C7">
        <w:rPr>
          <w:rFonts w:ascii="Arial" w:hAnsi="Arial" w:cs="Arial"/>
          <w:color w:val="000000"/>
          <w:sz w:val="22"/>
          <w:szCs w:val="22"/>
        </w:rPr>
        <w:t>(Kyrou et al., 2020)</w:t>
      </w:r>
      <w:r w:rsidR="002B7685" w:rsidRPr="000416C7">
        <w:rPr>
          <w:rFonts w:ascii="Arial" w:hAnsi="Arial" w:cs="Arial"/>
          <w:sz w:val="22"/>
          <w:szCs w:val="22"/>
        </w:rPr>
        <w:t xml:space="preserve">. </w:t>
      </w:r>
      <w:r w:rsidR="00420404" w:rsidRPr="000416C7">
        <w:rPr>
          <w:rFonts w:ascii="Arial" w:hAnsi="Arial" w:cs="Arial"/>
          <w:sz w:val="22"/>
          <w:szCs w:val="22"/>
        </w:rPr>
        <w:t>Alongside this, management strategies have evolved from a sole focus on pharmacological treatment to more holistic approaches incorporating lifestyle modification, patient education, and self-management support.</w:t>
      </w:r>
    </w:p>
    <w:p w14:paraId="79F6A4CA" w14:textId="061CE07B" w:rsidR="00420404" w:rsidRPr="000416C7" w:rsidRDefault="00420404" w:rsidP="000416C7">
      <w:pPr>
        <w:pStyle w:val="ListParagraph"/>
        <w:spacing w:line="360" w:lineRule="auto"/>
        <w:ind w:left="360"/>
        <w:jc w:val="both"/>
        <w:rPr>
          <w:rFonts w:ascii="Arial" w:hAnsi="Arial" w:cs="Arial"/>
          <w:sz w:val="22"/>
          <w:szCs w:val="22"/>
        </w:rPr>
      </w:pPr>
    </w:p>
    <w:p w14:paraId="60E92D89" w14:textId="730DC109" w:rsidR="00205DB7" w:rsidRPr="000416C7" w:rsidRDefault="00420404" w:rsidP="000416C7">
      <w:pPr>
        <w:spacing w:line="360" w:lineRule="auto"/>
        <w:jc w:val="both"/>
        <w:rPr>
          <w:rFonts w:ascii="Arial" w:hAnsi="Arial" w:cs="Arial"/>
          <w:sz w:val="22"/>
          <w:szCs w:val="22"/>
        </w:rPr>
      </w:pPr>
      <w:r w:rsidRPr="000416C7">
        <w:rPr>
          <w:rFonts w:ascii="Arial" w:hAnsi="Arial" w:cs="Arial"/>
          <w:sz w:val="22"/>
          <w:szCs w:val="22"/>
        </w:rPr>
        <w:t>Despite national guidelines and structured programmes such as the NHS Diabetes</w:t>
      </w:r>
    </w:p>
    <w:p w14:paraId="2AB86487" w14:textId="0B1A25A0" w:rsidR="00205DB7" w:rsidRPr="000416C7" w:rsidRDefault="00420404" w:rsidP="000416C7">
      <w:pPr>
        <w:spacing w:line="360" w:lineRule="auto"/>
        <w:jc w:val="both"/>
        <w:rPr>
          <w:rFonts w:ascii="Arial" w:hAnsi="Arial" w:cs="Arial"/>
          <w:sz w:val="22"/>
          <w:szCs w:val="22"/>
        </w:rPr>
      </w:pPr>
      <w:r w:rsidRPr="000416C7">
        <w:rPr>
          <w:rFonts w:ascii="Arial" w:hAnsi="Arial" w:cs="Arial"/>
          <w:sz w:val="22"/>
          <w:szCs w:val="22"/>
        </w:rPr>
        <w:t>Prevention Programme, disparities in disease prevalence, access to care, and</w:t>
      </w:r>
    </w:p>
    <w:p w14:paraId="46C33106" w14:textId="07591E81" w:rsidR="00205DB7" w:rsidRPr="000416C7" w:rsidRDefault="00420404" w:rsidP="000416C7">
      <w:pPr>
        <w:spacing w:line="360" w:lineRule="auto"/>
        <w:jc w:val="both"/>
        <w:rPr>
          <w:rFonts w:ascii="Arial" w:hAnsi="Arial" w:cs="Arial"/>
          <w:sz w:val="22"/>
          <w:szCs w:val="22"/>
        </w:rPr>
      </w:pPr>
      <w:r w:rsidRPr="000416C7">
        <w:rPr>
          <w:rFonts w:ascii="Arial" w:hAnsi="Arial" w:cs="Arial"/>
          <w:sz w:val="22"/>
          <w:szCs w:val="22"/>
        </w:rPr>
        <w:t>management outcomes persist across UK populations</w:t>
      </w:r>
      <w:r w:rsidR="00205DB7" w:rsidRPr="000416C7">
        <w:rPr>
          <w:rFonts w:ascii="Arial" w:hAnsi="Arial" w:cs="Arial"/>
          <w:sz w:val="22"/>
          <w:szCs w:val="22"/>
        </w:rPr>
        <w:t xml:space="preserve"> </w:t>
      </w:r>
      <w:r w:rsidR="00205DB7" w:rsidRPr="000416C7">
        <w:rPr>
          <w:rFonts w:ascii="Arial" w:hAnsi="Arial" w:cs="Arial"/>
          <w:color w:val="000000"/>
          <w:sz w:val="22"/>
          <w:szCs w:val="22"/>
        </w:rPr>
        <w:t>(McManus et al., 2022)</w:t>
      </w:r>
      <w:r w:rsidR="00205DB7" w:rsidRPr="000416C7">
        <w:rPr>
          <w:rFonts w:ascii="Arial" w:hAnsi="Arial" w:cs="Arial"/>
          <w:sz w:val="22"/>
          <w:szCs w:val="22"/>
        </w:rPr>
        <w:t>.</w:t>
      </w:r>
      <w:r w:rsidRPr="000416C7">
        <w:rPr>
          <w:rFonts w:ascii="Arial" w:hAnsi="Arial" w:cs="Arial"/>
          <w:sz w:val="22"/>
          <w:szCs w:val="22"/>
        </w:rPr>
        <w:t xml:space="preserve">  This</w:t>
      </w:r>
    </w:p>
    <w:p w14:paraId="3E2D5003" w14:textId="00F3E1C1" w:rsidR="00205DB7" w:rsidRPr="000416C7" w:rsidRDefault="00420404" w:rsidP="000416C7">
      <w:pPr>
        <w:spacing w:line="360" w:lineRule="auto"/>
        <w:jc w:val="both"/>
        <w:rPr>
          <w:rFonts w:ascii="Arial" w:hAnsi="Arial" w:cs="Arial"/>
          <w:sz w:val="22"/>
          <w:szCs w:val="22"/>
        </w:rPr>
      </w:pPr>
      <w:r w:rsidRPr="000416C7">
        <w:rPr>
          <w:rFonts w:ascii="Arial" w:hAnsi="Arial" w:cs="Arial"/>
          <w:sz w:val="22"/>
          <w:szCs w:val="22"/>
        </w:rPr>
        <w:t>underscores the need for continued research into both modified risk factors and the</w:t>
      </w:r>
    </w:p>
    <w:p w14:paraId="1CDC9558" w14:textId="27286702" w:rsidR="00420404" w:rsidRPr="000416C7" w:rsidRDefault="00420404" w:rsidP="000416C7">
      <w:pPr>
        <w:spacing w:line="360" w:lineRule="auto"/>
        <w:jc w:val="both"/>
        <w:rPr>
          <w:rFonts w:ascii="Arial" w:hAnsi="Arial" w:cs="Arial"/>
          <w:sz w:val="22"/>
          <w:szCs w:val="22"/>
        </w:rPr>
      </w:pPr>
      <w:r w:rsidRPr="000416C7">
        <w:rPr>
          <w:rFonts w:ascii="Arial" w:hAnsi="Arial" w:cs="Arial"/>
          <w:sz w:val="22"/>
          <w:szCs w:val="22"/>
        </w:rPr>
        <w:t>effectiveness of current management strategies.</w:t>
      </w:r>
    </w:p>
    <w:p w14:paraId="2062D83B" w14:textId="0B0E1B57" w:rsidR="00420404" w:rsidRPr="000416C7" w:rsidRDefault="00420404" w:rsidP="000416C7">
      <w:pPr>
        <w:pStyle w:val="ListParagraph"/>
        <w:spacing w:line="360" w:lineRule="auto"/>
        <w:ind w:left="360"/>
        <w:jc w:val="both"/>
        <w:rPr>
          <w:rFonts w:ascii="Arial" w:hAnsi="Arial" w:cs="Arial"/>
          <w:sz w:val="22"/>
          <w:szCs w:val="22"/>
        </w:rPr>
      </w:pPr>
    </w:p>
    <w:p w14:paraId="6FB059F8" w14:textId="77777777" w:rsidR="00086967" w:rsidRPr="00E52633" w:rsidRDefault="00420404" w:rsidP="00086967">
      <w:pPr>
        <w:spacing w:line="360" w:lineRule="auto"/>
        <w:jc w:val="both"/>
        <w:rPr>
          <w:rFonts w:ascii="Arial" w:hAnsi="Arial" w:cs="Arial"/>
          <w:b/>
          <w:bCs/>
          <w:sz w:val="28"/>
          <w:szCs w:val="28"/>
        </w:rPr>
      </w:pPr>
      <w:r w:rsidRPr="00E52633">
        <w:rPr>
          <w:rFonts w:ascii="Arial" w:hAnsi="Arial" w:cs="Arial"/>
          <w:b/>
          <w:bCs/>
          <w:sz w:val="28"/>
          <w:szCs w:val="28"/>
        </w:rPr>
        <w:t>Aim of the Dissertation:</w:t>
      </w:r>
    </w:p>
    <w:p w14:paraId="034054D8" w14:textId="6D68FC9F" w:rsidR="00412A1F" w:rsidRPr="000416C7" w:rsidRDefault="00420404" w:rsidP="00086967">
      <w:pPr>
        <w:spacing w:line="360" w:lineRule="auto"/>
        <w:jc w:val="both"/>
        <w:rPr>
          <w:rFonts w:ascii="Arial" w:hAnsi="Arial" w:cs="Arial"/>
          <w:sz w:val="22"/>
          <w:szCs w:val="22"/>
        </w:rPr>
      </w:pPr>
      <w:r w:rsidRPr="000416C7">
        <w:rPr>
          <w:rFonts w:ascii="Arial" w:hAnsi="Arial" w:cs="Arial"/>
          <w:sz w:val="22"/>
          <w:szCs w:val="22"/>
        </w:rPr>
        <w:t>The primary aim of this dissertation is to investigate the prevalence, risk factors, and</w:t>
      </w:r>
    </w:p>
    <w:p w14:paraId="006C6D3F" w14:textId="52EACAD8" w:rsidR="00420404" w:rsidRPr="000416C7" w:rsidRDefault="00420404" w:rsidP="00086967">
      <w:pPr>
        <w:spacing w:line="360" w:lineRule="auto"/>
        <w:jc w:val="both"/>
        <w:rPr>
          <w:rFonts w:ascii="Arial" w:hAnsi="Arial" w:cs="Arial"/>
          <w:sz w:val="22"/>
          <w:szCs w:val="22"/>
        </w:rPr>
      </w:pPr>
      <w:r w:rsidRPr="000416C7">
        <w:rPr>
          <w:rFonts w:ascii="Arial" w:hAnsi="Arial" w:cs="Arial"/>
          <w:sz w:val="22"/>
          <w:szCs w:val="22"/>
        </w:rPr>
        <w:t>management strategies of type 2 diabetes among UK adults.</w:t>
      </w:r>
    </w:p>
    <w:p w14:paraId="6DF18B4A" w14:textId="47A80F35" w:rsidR="00420404" w:rsidRPr="00086967" w:rsidRDefault="00420404" w:rsidP="00086967">
      <w:pPr>
        <w:spacing w:line="360" w:lineRule="auto"/>
        <w:jc w:val="both"/>
        <w:rPr>
          <w:rFonts w:ascii="Arial" w:hAnsi="Arial" w:cs="Arial"/>
          <w:sz w:val="22"/>
          <w:szCs w:val="22"/>
        </w:rPr>
      </w:pPr>
      <w:r w:rsidRPr="00086967">
        <w:rPr>
          <w:rFonts w:ascii="Arial" w:hAnsi="Arial" w:cs="Arial"/>
          <w:sz w:val="22"/>
          <w:szCs w:val="22"/>
        </w:rPr>
        <w:t>This research seeks to enhance understanding of how biological, lifestyle, and social determinants contribute to T2DM development and progression, while critically evaluating findings aim to inform evidence-based practice and contribute to improving prevention strategies, clinical outcomes, and health equity within adult diabetes care.</w:t>
      </w:r>
    </w:p>
    <w:p w14:paraId="155C2F1C" w14:textId="0C880A42" w:rsidR="00886C26" w:rsidRPr="000416C7" w:rsidRDefault="00886C26" w:rsidP="000416C7">
      <w:pPr>
        <w:pStyle w:val="ListParagraph"/>
        <w:spacing w:line="360" w:lineRule="auto"/>
        <w:ind w:left="360"/>
        <w:jc w:val="both"/>
        <w:rPr>
          <w:rFonts w:ascii="Arial" w:hAnsi="Arial" w:cs="Arial"/>
          <w:sz w:val="22"/>
          <w:szCs w:val="22"/>
        </w:rPr>
      </w:pPr>
    </w:p>
    <w:p w14:paraId="59FE4B95" w14:textId="578BBCAA" w:rsidR="00886C26" w:rsidRPr="00E52633" w:rsidRDefault="00886C26" w:rsidP="000416C7">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DEFINITION AND TERMINOLOGY</w:t>
      </w:r>
    </w:p>
    <w:p w14:paraId="517A7F1D" w14:textId="636B60D6" w:rsidR="00886C26" w:rsidRPr="000416C7" w:rsidRDefault="00886C26" w:rsidP="000416C7">
      <w:pPr>
        <w:spacing w:line="360" w:lineRule="auto"/>
        <w:jc w:val="both"/>
        <w:rPr>
          <w:rFonts w:ascii="Arial" w:hAnsi="Arial" w:cs="Arial"/>
          <w:sz w:val="22"/>
          <w:szCs w:val="22"/>
        </w:rPr>
      </w:pPr>
    </w:p>
    <w:p w14:paraId="296EE1C3" w14:textId="1412F063" w:rsidR="00886C26" w:rsidRPr="000416C7" w:rsidRDefault="00886C26" w:rsidP="000416C7">
      <w:pPr>
        <w:spacing w:line="360" w:lineRule="auto"/>
        <w:jc w:val="both"/>
        <w:rPr>
          <w:rFonts w:ascii="Arial" w:hAnsi="Arial" w:cs="Arial"/>
          <w:sz w:val="22"/>
          <w:szCs w:val="22"/>
        </w:rPr>
      </w:pPr>
      <w:r w:rsidRPr="000416C7">
        <w:rPr>
          <w:rFonts w:ascii="Arial" w:hAnsi="Arial" w:cs="Arial"/>
          <w:sz w:val="22"/>
          <w:szCs w:val="22"/>
        </w:rPr>
        <w:t xml:space="preserve">Type 2 diabetes mellitus (T2DM) is a chronic metabolic disorder characterised by insulin resistance and a relative deficiency in insulin secretion, resulting in persistent hyperglycaemia </w:t>
      </w:r>
      <w:r w:rsidR="002B7685" w:rsidRPr="000416C7">
        <w:rPr>
          <w:rFonts w:ascii="Arial" w:hAnsi="Arial" w:cs="Arial"/>
          <w:color w:val="000000"/>
          <w:sz w:val="22"/>
          <w:szCs w:val="22"/>
        </w:rPr>
        <w:t>(Goyal, Jialal and Singhal, 2023)</w:t>
      </w:r>
      <w:r w:rsidRPr="000416C7">
        <w:rPr>
          <w:rFonts w:ascii="Arial" w:hAnsi="Arial" w:cs="Arial"/>
          <w:sz w:val="22"/>
          <w:szCs w:val="22"/>
        </w:rPr>
        <w:t xml:space="preserve">.  This condition forms the central focus of the dissertation, as it accounts for approximately 90% of diabetes cases in UK adults and represents a major public health concern </w:t>
      </w:r>
      <w:r w:rsidR="002B7685" w:rsidRPr="000416C7">
        <w:rPr>
          <w:rFonts w:ascii="Arial" w:hAnsi="Arial" w:cs="Arial"/>
          <w:color w:val="000000"/>
          <w:sz w:val="22"/>
          <w:szCs w:val="22"/>
        </w:rPr>
        <w:t>(Au-Yeung et al., 2024)</w:t>
      </w:r>
      <w:r w:rsidRPr="000416C7">
        <w:rPr>
          <w:rFonts w:ascii="Arial" w:hAnsi="Arial" w:cs="Arial"/>
          <w:sz w:val="22"/>
          <w:szCs w:val="22"/>
        </w:rPr>
        <w:t>.</w:t>
      </w:r>
    </w:p>
    <w:p w14:paraId="54CBEE67" w14:textId="2E85B811" w:rsidR="00886C26" w:rsidRPr="000416C7" w:rsidRDefault="00886C26" w:rsidP="000416C7">
      <w:pPr>
        <w:pStyle w:val="ListParagraph"/>
        <w:spacing w:line="360" w:lineRule="auto"/>
        <w:ind w:left="360"/>
        <w:jc w:val="both"/>
        <w:rPr>
          <w:rFonts w:ascii="Arial" w:hAnsi="Arial" w:cs="Arial"/>
          <w:sz w:val="22"/>
          <w:szCs w:val="22"/>
        </w:rPr>
      </w:pPr>
    </w:p>
    <w:p w14:paraId="5AF32510" w14:textId="7A70EBE7" w:rsidR="00886C26" w:rsidRPr="000416C7" w:rsidRDefault="00886C26" w:rsidP="000416C7">
      <w:pPr>
        <w:spacing w:line="360" w:lineRule="auto"/>
        <w:jc w:val="both"/>
        <w:rPr>
          <w:rFonts w:ascii="Arial" w:hAnsi="Arial" w:cs="Arial"/>
          <w:sz w:val="22"/>
          <w:szCs w:val="22"/>
        </w:rPr>
      </w:pPr>
      <w:r w:rsidRPr="000416C7">
        <w:rPr>
          <w:rFonts w:ascii="Arial" w:hAnsi="Arial" w:cs="Arial"/>
          <w:sz w:val="22"/>
          <w:szCs w:val="22"/>
        </w:rPr>
        <w:t>Prevalence refers to the proportions of individuals within a population who have a specific condition at a given time</w:t>
      </w:r>
      <w:r w:rsidR="002B7685" w:rsidRPr="000416C7">
        <w:rPr>
          <w:rFonts w:ascii="Arial" w:hAnsi="Arial" w:cs="Arial"/>
          <w:sz w:val="22"/>
          <w:szCs w:val="22"/>
        </w:rPr>
        <w:t xml:space="preserve"> </w:t>
      </w:r>
      <w:r w:rsidR="002B7685" w:rsidRPr="000416C7">
        <w:rPr>
          <w:rFonts w:ascii="Arial" w:hAnsi="Arial" w:cs="Arial"/>
          <w:color w:val="000000"/>
          <w:sz w:val="22"/>
          <w:szCs w:val="22"/>
        </w:rPr>
        <w:t>(National Institute of Mental Health, 2020)</w:t>
      </w:r>
      <w:r w:rsidRPr="000416C7">
        <w:rPr>
          <w:rFonts w:ascii="Arial" w:hAnsi="Arial" w:cs="Arial"/>
          <w:sz w:val="22"/>
          <w:szCs w:val="22"/>
        </w:rPr>
        <w:t>.  In this research, prevalence is used to quantify the burden of T2DM among UK adults and to identify population groups disproportionately affected by condition.</w:t>
      </w:r>
    </w:p>
    <w:p w14:paraId="3424532A" w14:textId="70974BDF" w:rsidR="00886C26" w:rsidRPr="000416C7" w:rsidRDefault="00886C26" w:rsidP="000416C7">
      <w:pPr>
        <w:pStyle w:val="ListParagraph"/>
        <w:spacing w:line="360" w:lineRule="auto"/>
        <w:ind w:left="360"/>
        <w:jc w:val="both"/>
        <w:rPr>
          <w:rFonts w:ascii="Arial" w:hAnsi="Arial" w:cs="Arial"/>
          <w:sz w:val="22"/>
          <w:szCs w:val="22"/>
        </w:rPr>
      </w:pPr>
    </w:p>
    <w:p w14:paraId="77468D24" w14:textId="315513B0" w:rsidR="00886C26" w:rsidRPr="000416C7" w:rsidRDefault="00886C26" w:rsidP="000416C7">
      <w:pPr>
        <w:spacing w:line="360" w:lineRule="auto"/>
        <w:jc w:val="both"/>
        <w:rPr>
          <w:rFonts w:ascii="Arial" w:hAnsi="Arial" w:cs="Arial"/>
          <w:sz w:val="22"/>
          <w:szCs w:val="22"/>
        </w:rPr>
      </w:pPr>
      <w:r w:rsidRPr="000416C7">
        <w:rPr>
          <w:rFonts w:ascii="Arial" w:hAnsi="Arial" w:cs="Arial"/>
          <w:sz w:val="22"/>
          <w:szCs w:val="22"/>
        </w:rPr>
        <w:t>Risk factors are characteristics or exposures that increase an individual’s likelihood of developing a disease.  For T2DM, these include non-modifiable factors such as age, ethnicity, and genetic predisposition, as well as modifiable fa</w:t>
      </w:r>
      <w:r w:rsidR="00D2317F" w:rsidRPr="000416C7">
        <w:rPr>
          <w:rFonts w:ascii="Arial" w:hAnsi="Arial" w:cs="Arial"/>
          <w:sz w:val="22"/>
          <w:szCs w:val="22"/>
        </w:rPr>
        <w:t>ctors including obesity, physical inactivity, poor diet, and socioeconomic deprivation</w:t>
      </w:r>
      <w:r w:rsidR="0040081B" w:rsidRPr="000416C7">
        <w:rPr>
          <w:rFonts w:ascii="Arial" w:hAnsi="Arial" w:cs="Arial"/>
          <w:sz w:val="22"/>
          <w:szCs w:val="22"/>
        </w:rPr>
        <w:t xml:space="preserve"> </w:t>
      </w:r>
      <w:r w:rsidR="0040081B" w:rsidRPr="000416C7">
        <w:rPr>
          <w:rFonts w:ascii="Arial" w:hAnsi="Arial" w:cs="Arial"/>
          <w:color w:val="000000"/>
          <w:sz w:val="22"/>
          <w:szCs w:val="22"/>
        </w:rPr>
        <w:t>(Ismail, Materwala and Kaabi, 2021)</w:t>
      </w:r>
      <w:r w:rsidR="00D2317F" w:rsidRPr="000416C7">
        <w:rPr>
          <w:rFonts w:ascii="Arial" w:hAnsi="Arial" w:cs="Arial"/>
          <w:sz w:val="22"/>
          <w:szCs w:val="22"/>
        </w:rPr>
        <w:t>.  Understanding these risk factors is essential for informing prevention strategies and reducing disease incidence.</w:t>
      </w:r>
    </w:p>
    <w:p w14:paraId="7BA55FCC" w14:textId="125903B5" w:rsidR="00D2317F" w:rsidRPr="000416C7" w:rsidRDefault="00D2317F" w:rsidP="000416C7">
      <w:pPr>
        <w:pStyle w:val="ListParagraph"/>
        <w:spacing w:line="360" w:lineRule="auto"/>
        <w:ind w:left="360"/>
        <w:jc w:val="both"/>
        <w:rPr>
          <w:rFonts w:ascii="Arial" w:hAnsi="Arial" w:cs="Arial"/>
          <w:sz w:val="22"/>
          <w:szCs w:val="22"/>
        </w:rPr>
      </w:pPr>
    </w:p>
    <w:p w14:paraId="7BEFEE1F" w14:textId="1474A58D" w:rsidR="00D2317F" w:rsidRPr="000416C7" w:rsidRDefault="00D2317F" w:rsidP="000416C7">
      <w:pPr>
        <w:spacing w:line="360" w:lineRule="auto"/>
        <w:jc w:val="both"/>
        <w:rPr>
          <w:rFonts w:ascii="Arial" w:hAnsi="Arial" w:cs="Arial"/>
          <w:sz w:val="22"/>
          <w:szCs w:val="22"/>
        </w:rPr>
      </w:pPr>
      <w:r w:rsidRPr="000416C7">
        <w:rPr>
          <w:rFonts w:ascii="Arial" w:hAnsi="Arial" w:cs="Arial"/>
          <w:sz w:val="22"/>
          <w:szCs w:val="22"/>
        </w:rPr>
        <w:t>Management strategies encompass the approach used to prevent complications and control disease progression.  In the context of T2DM, management includes lifestyle modification, pharmacological treatment, blood glucose monitoring, and structured education programmes</w:t>
      </w:r>
      <w:r w:rsidR="008F7EC6" w:rsidRPr="000416C7">
        <w:rPr>
          <w:rFonts w:ascii="Arial" w:hAnsi="Arial" w:cs="Arial"/>
          <w:sz w:val="22"/>
          <w:szCs w:val="22"/>
        </w:rPr>
        <w:t xml:space="preserve"> </w:t>
      </w:r>
      <w:r w:rsidR="008F7EC6" w:rsidRPr="000416C7">
        <w:rPr>
          <w:rFonts w:ascii="Arial" w:hAnsi="Arial" w:cs="Arial"/>
          <w:color w:val="000000"/>
          <w:sz w:val="22"/>
          <w:szCs w:val="22"/>
        </w:rPr>
        <w:t>(Ofori and Unachukwu, 2014)</w:t>
      </w:r>
      <w:r w:rsidRPr="000416C7">
        <w:rPr>
          <w:rFonts w:ascii="Arial" w:hAnsi="Arial" w:cs="Arial"/>
          <w:sz w:val="22"/>
          <w:szCs w:val="22"/>
        </w:rPr>
        <w:t>.  Effective management is critical to reducing morbidity, mortality, and healthcare costs associated with the condition.</w:t>
      </w:r>
    </w:p>
    <w:p w14:paraId="086A8444" w14:textId="7960CB4A" w:rsidR="005F2669" w:rsidRPr="000416C7" w:rsidRDefault="005F2669" w:rsidP="000416C7">
      <w:pPr>
        <w:pStyle w:val="ListParagraph"/>
        <w:spacing w:line="360" w:lineRule="auto"/>
        <w:ind w:left="360"/>
        <w:jc w:val="both"/>
        <w:rPr>
          <w:rFonts w:ascii="Arial" w:hAnsi="Arial" w:cs="Arial"/>
          <w:sz w:val="22"/>
          <w:szCs w:val="22"/>
        </w:rPr>
      </w:pPr>
    </w:p>
    <w:p w14:paraId="1163C4A1" w14:textId="390BCFCA" w:rsidR="005F2669" w:rsidRPr="000416C7" w:rsidRDefault="005F2669" w:rsidP="000416C7">
      <w:pPr>
        <w:spacing w:line="360" w:lineRule="auto"/>
        <w:jc w:val="both"/>
        <w:rPr>
          <w:rFonts w:ascii="Arial" w:hAnsi="Arial" w:cs="Arial"/>
          <w:sz w:val="22"/>
          <w:szCs w:val="22"/>
        </w:rPr>
      </w:pPr>
      <w:r w:rsidRPr="000416C7">
        <w:rPr>
          <w:rFonts w:ascii="Arial" w:hAnsi="Arial" w:cs="Arial"/>
          <w:sz w:val="22"/>
          <w:szCs w:val="22"/>
        </w:rPr>
        <w:t>Health inequalities describe systematic differences in health outcomes between population groups</w:t>
      </w:r>
      <w:r w:rsidR="008F7EC6" w:rsidRPr="000416C7">
        <w:rPr>
          <w:rFonts w:ascii="Arial" w:hAnsi="Arial" w:cs="Arial"/>
          <w:sz w:val="22"/>
          <w:szCs w:val="22"/>
        </w:rPr>
        <w:t xml:space="preserve"> </w:t>
      </w:r>
      <w:r w:rsidR="008F7EC6" w:rsidRPr="000416C7">
        <w:rPr>
          <w:rFonts w:ascii="Arial" w:hAnsi="Arial" w:cs="Arial"/>
          <w:color w:val="000000"/>
          <w:sz w:val="22"/>
          <w:szCs w:val="22"/>
        </w:rPr>
        <w:t>(NHS England, 2023)</w:t>
      </w:r>
      <w:r w:rsidRPr="000416C7">
        <w:rPr>
          <w:rFonts w:ascii="Arial" w:hAnsi="Arial" w:cs="Arial"/>
          <w:sz w:val="22"/>
          <w:szCs w:val="22"/>
        </w:rPr>
        <w:t>.  This concept is particularly relevant to T2DM research, as prevalence and outcomes vary significantly according to socioeconomic status, ethnicity, and geographical location within the UK.</w:t>
      </w:r>
    </w:p>
    <w:p w14:paraId="7273D76A" w14:textId="611BE309" w:rsidR="005F2669" w:rsidRPr="000416C7" w:rsidRDefault="005F2669" w:rsidP="000416C7">
      <w:pPr>
        <w:pStyle w:val="ListParagraph"/>
        <w:spacing w:line="360" w:lineRule="auto"/>
        <w:ind w:left="360"/>
        <w:jc w:val="both"/>
        <w:rPr>
          <w:rFonts w:ascii="Arial" w:hAnsi="Arial" w:cs="Arial"/>
          <w:sz w:val="22"/>
          <w:szCs w:val="22"/>
        </w:rPr>
      </w:pPr>
    </w:p>
    <w:p w14:paraId="05E1AEE8" w14:textId="60E6AF56" w:rsidR="005F2669" w:rsidRDefault="005F2669" w:rsidP="00086967">
      <w:pPr>
        <w:spacing w:line="360" w:lineRule="auto"/>
        <w:jc w:val="both"/>
        <w:rPr>
          <w:rFonts w:ascii="Arial" w:hAnsi="Arial" w:cs="Arial"/>
          <w:sz w:val="22"/>
          <w:szCs w:val="22"/>
        </w:rPr>
      </w:pPr>
      <w:r w:rsidRPr="00086967">
        <w:rPr>
          <w:rFonts w:ascii="Arial" w:hAnsi="Arial" w:cs="Arial"/>
          <w:sz w:val="22"/>
          <w:szCs w:val="22"/>
        </w:rPr>
        <w:t>Clear definition of these terms ensures conceptual consistency throughout the dissertation and enables readers to critically engage with the analysis and findings presented.</w:t>
      </w:r>
    </w:p>
    <w:p w14:paraId="0CE15FF8" w14:textId="5AC4AC82" w:rsidR="00F2658C" w:rsidRDefault="00F2658C" w:rsidP="00086967">
      <w:pPr>
        <w:spacing w:line="360" w:lineRule="auto"/>
        <w:jc w:val="both"/>
        <w:rPr>
          <w:rFonts w:ascii="Arial" w:hAnsi="Arial" w:cs="Arial"/>
          <w:sz w:val="22"/>
          <w:szCs w:val="22"/>
        </w:rPr>
      </w:pPr>
    </w:p>
    <w:p w14:paraId="461AD64F" w14:textId="5EE9FEAC" w:rsidR="006D393E" w:rsidRDefault="006D393E" w:rsidP="00086967">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F2658C" w14:paraId="25C8694A" w14:textId="77777777" w:rsidTr="00F2658C">
        <w:tc>
          <w:tcPr>
            <w:tcW w:w="4508" w:type="dxa"/>
          </w:tcPr>
          <w:p w14:paraId="5647076B" w14:textId="7E9A1B17" w:rsidR="00F2658C" w:rsidRDefault="00F2658C" w:rsidP="00086967">
            <w:pPr>
              <w:spacing w:line="360" w:lineRule="auto"/>
              <w:jc w:val="both"/>
              <w:rPr>
                <w:rFonts w:ascii="Arial" w:hAnsi="Arial" w:cs="Arial"/>
                <w:sz w:val="22"/>
                <w:szCs w:val="22"/>
              </w:rPr>
            </w:pPr>
            <w:r>
              <w:rPr>
                <w:rFonts w:ascii="Arial" w:hAnsi="Arial" w:cs="Arial"/>
                <w:sz w:val="22"/>
                <w:szCs w:val="22"/>
              </w:rPr>
              <w:t>ACRONYMS</w:t>
            </w:r>
          </w:p>
        </w:tc>
        <w:tc>
          <w:tcPr>
            <w:tcW w:w="4508" w:type="dxa"/>
          </w:tcPr>
          <w:p w14:paraId="7DF4720D" w14:textId="2F156139" w:rsidR="00F2658C" w:rsidRDefault="00F2658C" w:rsidP="00086967">
            <w:pPr>
              <w:spacing w:line="360" w:lineRule="auto"/>
              <w:jc w:val="both"/>
              <w:rPr>
                <w:rFonts w:ascii="Arial" w:hAnsi="Arial" w:cs="Arial"/>
                <w:sz w:val="22"/>
                <w:szCs w:val="22"/>
              </w:rPr>
            </w:pPr>
            <w:r>
              <w:rPr>
                <w:rFonts w:ascii="Arial" w:hAnsi="Arial" w:cs="Arial"/>
                <w:sz w:val="22"/>
                <w:szCs w:val="22"/>
              </w:rPr>
              <w:t>ABBREVIATIONS</w:t>
            </w:r>
          </w:p>
        </w:tc>
      </w:tr>
      <w:tr w:rsidR="00F2658C" w14:paraId="6F36E5AF" w14:textId="77777777" w:rsidTr="00F2658C">
        <w:tc>
          <w:tcPr>
            <w:tcW w:w="4508" w:type="dxa"/>
          </w:tcPr>
          <w:p w14:paraId="147C0C6F" w14:textId="2B555574" w:rsidR="00F2658C" w:rsidRDefault="00F2658C" w:rsidP="00086967">
            <w:pPr>
              <w:spacing w:line="360" w:lineRule="auto"/>
              <w:jc w:val="both"/>
              <w:rPr>
                <w:rFonts w:ascii="Arial" w:hAnsi="Arial" w:cs="Arial"/>
                <w:sz w:val="22"/>
                <w:szCs w:val="22"/>
              </w:rPr>
            </w:pPr>
            <w:r>
              <w:rPr>
                <w:rFonts w:ascii="Arial" w:hAnsi="Arial" w:cs="Arial"/>
                <w:sz w:val="22"/>
                <w:szCs w:val="22"/>
              </w:rPr>
              <w:t>T2DM</w:t>
            </w:r>
          </w:p>
        </w:tc>
        <w:tc>
          <w:tcPr>
            <w:tcW w:w="4508" w:type="dxa"/>
          </w:tcPr>
          <w:p w14:paraId="75F5BBEA" w14:textId="0EC12B16" w:rsidR="00F2658C" w:rsidRDefault="00F2658C" w:rsidP="00086967">
            <w:pPr>
              <w:spacing w:line="360" w:lineRule="auto"/>
              <w:jc w:val="both"/>
              <w:rPr>
                <w:rFonts w:ascii="Arial" w:hAnsi="Arial" w:cs="Arial"/>
                <w:sz w:val="22"/>
                <w:szCs w:val="22"/>
              </w:rPr>
            </w:pPr>
            <w:r>
              <w:rPr>
                <w:rFonts w:ascii="Arial" w:hAnsi="Arial" w:cs="Arial"/>
                <w:sz w:val="22"/>
                <w:szCs w:val="22"/>
              </w:rPr>
              <w:t>Type 2 diabetes mellitus</w:t>
            </w:r>
          </w:p>
        </w:tc>
      </w:tr>
      <w:tr w:rsidR="00F2658C" w14:paraId="0DAECEA4" w14:textId="77777777" w:rsidTr="00F2658C">
        <w:tc>
          <w:tcPr>
            <w:tcW w:w="4508" w:type="dxa"/>
          </w:tcPr>
          <w:p w14:paraId="28165726" w14:textId="69958110" w:rsidR="00F2658C" w:rsidRDefault="00F2658C" w:rsidP="00086967">
            <w:pPr>
              <w:spacing w:line="360" w:lineRule="auto"/>
              <w:jc w:val="both"/>
              <w:rPr>
                <w:rFonts w:ascii="Arial" w:hAnsi="Arial" w:cs="Arial"/>
                <w:sz w:val="22"/>
                <w:szCs w:val="22"/>
              </w:rPr>
            </w:pPr>
            <w:r>
              <w:rPr>
                <w:rFonts w:ascii="Arial" w:hAnsi="Arial" w:cs="Arial"/>
                <w:sz w:val="22"/>
                <w:szCs w:val="22"/>
              </w:rPr>
              <w:lastRenderedPageBreak/>
              <w:t>BMI</w:t>
            </w:r>
          </w:p>
        </w:tc>
        <w:tc>
          <w:tcPr>
            <w:tcW w:w="4508" w:type="dxa"/>
          </w:tcPr>
          <w:p w14:paraId="7C1A07EB" w14:textId="0DE572EA" w:rsidR="00F2658C" w:rsidRDefault="00F2658C" w:rsidP="00086967">
            <w:pPr>
              <w:spacing w:line="360" w:lineRule="auto"/>
              <w:jc w:val="both"/>
              <w:rPr>
                <w:rFonts w:ascii="Arial" w:hAnsi="Arial" w:cs="Arial"/>
                <w:sz w:val="22"/>
                <w:szCs w:val="22"/>
              </w:rPr>
            </w:pPr>
            <w:r>
              <w:rPr>
                <w:rFonts w:ascii="Arial" w:hAnsi="Arial" w:cs="Arial"/>
                <w:sz w:val="22"/>
                <w:szCs w:val="22"/>
              </w:rPr>
              <w:t>Body mass index</w:t>
            </w:r>
          </w:p>
        </w:tc>
      </w:tr>
      <w:tr w:rsidR="00F2658C" w14:paraId="78C1511D" w14:textId="77777777" w:rsidTr="00F2658C">
        <w:tc>
          <w:tcPr>
            <w:tcW w:w="4508" w:type="dxa"/>
          </w:tcPr>
          <w:p w14:paraId="063A1E42" w14:textId="4A3B8BD5" w:rsidR="00F2658C" w:rsidRDefault="00F2658C" w:rsidP="00086967">
            <w:pPr>
              <w:spacing w:line="360" w:lineRule="auto"/>
              <w:jc w:val="both"/>
              <w:rPr>
                <w:rFonts w:ascii="Arial" w:hAnsi="Arial" w:cs="Arial"/>
                <w:sz w:val="22"/>
                <w:szCs w:val="22"/>
              </w:rPr>
            </w:pPr>
            <w:r>
              <w:rPr>
                <w:rFonts w:ascii="Arial" w:hAnsi="Arial" w:cs="Arial"/>
                <w:sz w:val="22"/>
                <w:szCs w:val="22"/>
              </w:rPr>
              <w:t>HbA1c</w:t>
            </w:r>
          </w:p>
        </w:tc>
        <w:tc>
          <w:tcPr>
            <w:tcW w:w="4508" w:type="dxa"/>
          </w:tcPr>
          <w:p w14:paraId="7EA771AF" w14:textId="06EAFB9F" w:rsidR="00F2658C" w:rsidRDefault="00F2658C" w:rsidP="00086967">
            <w:pPr>
              <w:spacing w:line="360" w:lineRule="auto"/>
              <w:jc w:val="both"/>
              <w:rPr>
                <w:rFonts w:ascii="Arial" w:hAnsi="Arial" w:cs="Arial"/>
                <w:sz w:val="22"/>
                <w:szCs w:val="22"/>
              </w:rPr>
            </w:pPr>
            <w:r>
              <w:rPr>
                <w:rFonts w:ascii="Arial" w:hAnsi="Arial" w:cs="Arial"/>
                <w:sz w:val="22"/>
                <w:szCs w:val="22"/>
              </w:rPr>
              <w:t>Glycated haemoglobin</w:t>
            </w:r>
          </w:p>
        </w:tc>
      </w:tr>
      <w:tr w:rsidR="00F2658C" w14:paraId="10B09B3C" w14:textId="77777777" w:rsidTr="00F2658C">
        <w:tc>
          <w:tcPr>
            <w:tcW w:w="4508" w:type="dxa"/>
          </w:tcPr>
          <w:p w14:paraId="2B51C032" w14:textId="6EEF6B79" w:rsidR="00F2658C" w:rsidRDefault="00F2658C" w:rsidP="00086967">
            <w:pPr>
              <w:spacing w:line="360" w:lineRule="auto"/>
              <w:jc w:val="both"/>
              <w:rPr>
                <w:rFonts w:ascii="Arial" w:hAnsi="Arial" w:cs="Arial"/>
                <w:sz w:val="22"/>
                <w:szCs w:val="22"/>
              </w:rPr>
            </w:pPr>
            <w:r>
              <w:rPr>
                <w:rFonts w:ascii="Arial" w:hAnsi="Arial" w:cs="Arial"/>
                <w:sz w:val="22"/>
                <w:szCs w:val="22"/>
              </w:rPr>
              <w:t>NHS</w:t>
            </w:r>
          </w:p>
        </w:tc>
        <w:tc>
          <w:tcPr>
            <w:tcW w:w="4508" w:type="dxa"/>
          </w:tcPr>
          <w:p w14:paraId="7A46FEF9" w14:textId="39CE7899" w:rsidR="00F2658C" w:rsidRDefault="00F2658C" w:rsidP="00086967">
            <w:pPr>
              <w:spacing w:line="360" w:lineRule="auto"/>
              <w:jc w:val="both"/>
              <w:rPr>
                <w:rFonts w:ascii="Arial" w:hAnsi="Arial" w:cs="Arial"/>
                <w:sz w:val="22"/>
                <w:szCs w:val="22"/>
              </w:rPr>
            </w:pPr>
            <w:r>
              <w:rPr>
                <w:rFonts w:ascii="Arial" w:hAnsi="Arial" w:cs="Arial"/>
                <w:sz w:val="22"/>
                <w:szCs w:val="22"/>
              </w:rPr>
              <w:t>National Health Service</w:t>
            </w:r>
          </w:p>
        </w:tc>
      </w:tr>
      <w:tr w:rsidR="00F2658C" w14:paraId="01CE5146" w14:textId="77777777" w:rsidTr="00F2658C">
        <w:tc>
          <w:tcPr>
            <w:tcW w:w="4508" w:type="dxa"/>
          </w:tcPr>
          <w:p w14:paraId="623FFB2D" w14:textId="1F20DF38" w:rsidR="00F2658C" w:rsidRDefault="00F2658C" w:rsidP="00086967">
            <w:pPr>
              <w:spacing w:line="360" w:lineRule="auto"/>
              <w:jc w:val="both"/>
              <w:rPr>
                <w:rFonts w:ascii="Arial" w:hAnsi="Arial" w:cs="Arial"/>
                <w:sz w:val="22"/>
                <w:szCs w:val="22"/>
              </w:rPr>
            </w:pPr>
            <w:r>
              <w:rPr>
                <w:rFonts w:ascii="Arial" w:hAnsi="Arial" w:cs="Arial"/>
                <w:sz w:val="22"/>
                <w:szCs w:val="22"/>
              </w:rPr>
              <w:t>WHO</w:t>
            </w:r>
          </w:p>
        </w:tc>
        <w:tc>
          <w:tcPr>
            <w:tcW w:w="4508" w:type="dxa"/>
          </w:tcPr>
          <w:p w14:paraId="4B93D7E5" w14:textId="68AF9814" w:rsidR="00F2658C" w:rsidRDefault="00F2658C" w:rsidP="00086967">
            <w:pPr>
              <w:spacing w:line="360" w:lineRule="auto"/>
              <w:jc w:val="both"/>
              <w:rPr>
                <w:rFonts w:ascii="Arial" w:hAnsi="Arial" w:cs="Arial"/>
                <w:sz w:val="22"/>
                <w:szCs w:val="22"/>
              </w:rPr>
            </w:pPr>
            <w:r>
              <w:rPr>
                <w:rFonts w:ascii="Arial" w:hAnsi="Arial" w:cs="Arial"/>
                <w:sz w:val="22"/>
                <w:szCs w:val="22"/>
              </w:rPr>
              <w:t>World Health Organisation</w:t>
            </w:r>
          </w:p>
        </w:tc>
      </w:tr>
      <w:tr w:rsidR="00F2658C" w14:paraId="0D39EF2E" w14:textId="77777777" w:rsidTr="00F2658C">
        <w:tc>
          <w:tcPr>
            <w:tcW w:w="4508" w:type="dxa"/>
          </w:tcPr>
          <w:p w14:paraId="63109F2D" w14:textId="0E297CF2" w:rsidR="00F2658C" w:rsidRDefault="00F2658C" w:rsidP="00086967">
            <w:pPr>
              <w:spacing w:line="360" w:lineRule="auto"/>
              <w:jc w:val="both"/>
              <w:rPr>
                <w:rFonts w:ascii="Arial" w:hAnsi="Arial" w:cs="Arial"/>
                <w:sz w:val="22"/>
                <w:szCs w:val="22"/>
              </w:rPr>
            </w:pPr>
            <w:r>
              <w:rPr>
                <w:rFonts w:ascii="Arial" w:hAnsi="Arial" w:cs="Arial"/>
                <w:sz w:val="22"/>
                <w:szCs w:val="22"/>
              </w:rPr>
              <w:t>PHE</w:t>
            </w:r>
          </w:p>
        </w:tc>
        <w:tc>
          <w:tcPr>
            <w:tcW w:w="4508" w:type="dxa"/>
          </w:tcPr>
          <w:p w14:paraId="0FB77CC3" w14:textId="4FFE1133" w:rsidR="00F2658C" w:rsidRDefault="00F2658C" w:rsidP="00086967">
            <w:pPr>
              <w:spacing w:line="360" w:lineRule="auto"/>
              <w:jc w:val="both"/>
              <w:rPr>
                <w:rFonts w:ascii="Arial" w:hAnsi="Arial" w:cs="Arial"/>
                <w:sz w:val="22"/>
                <w:szCs w:val="22"/>
              </w:rPr>
            </w:pPr>
            <w:r>
              <w:rPr>
                <w:rFonts w:ascii="Arial" w:hAnsi="Arial" w:cs="Arial"/>
                <w:sz w:val="22"/>
                <w:szCs w:val="22"/>
              </w:rPr>
              <w:t>Public Health England</w:t>
            </w:r>
          </w:p>
        </w:tc>
      </w:tr>
    </w:tbl>
    <w:p w14:paraId="4C6519F5" w14:textId="43F31143" w:rsidR="005F2669" w:rsidRDefault="006D393E" w:rsidP="009D328D">
      <w:r>
        <w:t>Table 1.</w:t>
      </w:r>
    </w:p>
    <w:p w14:paraId="17B0DA8E" w14:textId="76BD3932" w:rsidR="00BE3F9C" w:rsidRPr="00C7380B" w:rsidRDefault="00BE3F9C" w:rsidP="00BE5F92">
      <w:pPr>
        <w:pStyle w:val="ListParagraph"/>
        <w:ind w:left="360"/>
        <w:rPr>
          <w:rFonts w:ascii="Arial" w:hAnsi="Arial" w:cs="Arial"/>
          <w:b/>
          <w:bCs/>
          <w:sz w:val="22"/>
          <w:szCs w:val="22"/>
        </w:rPr>
      </w:pPr>
    </w:p>
    <w:p w14:paraId="54483B88" w14:textId="2EDA1643" w:rsidR="00BE3F9C" w:rsidRPr="00E52633" w:rsidRDefault="00BE3F9C" w:rsidP="00C7380B">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Rationale for Research</w:t>
      </w:r>
    </w:p>
    <w:p w14:paraId="529D4DE5" w14:textId="0FA9026B" w:rsidR="00BE3F9C" w:rsidRPr="001C7347" w:rsidRDefault="00BE3F9C" w:rsidP="001C7347">
      <w:pPr>
        <w:spacing w:line="360" w:lineRule="auto"/>
        <w:jc w:val="both"/>
        <w:rPr>
          <w:rFonts w:ascii="Arial" w:hAnsi="Arial" w:cs="Arial"/>
          <w:sz w:val="22"/>
          <w:szCs w:val="22"/>
        </w:rPr>
      </w:pPr>
      <w:r w:rsidRPr="001C7347">
        <w:rPr>
          <w:rFonts w:ascii="Arial" w:hAnsi="Arial" w:cs="Arial"/>
          <w:sz w:val="22"/>
          <w:szCs w:val="22"/>
        </w:rPr>
        <w:t xml:space="preserve">Type 2 diabetes mellitus (T2DM) was selected as the focus of this dissertation due to its escalating prevalence and substantial impact on adult health outcomes in the UK.  Current evidence indicates that T2DM accounts for the majority of diabetes diagnoses and represents a leading cause of cardiovascular disease, renal failure, and premature mortality </w:t>
      </w:r>
      <w:r w:rsidR="00D57939" w:rsidRPr="001C7347">
        <w:rPr>
          <w:rFonts w:ascii="Arial" w:hAnsi="Arial" w:cs="Arial"/>
          <w:color w:val="000000"/>
          <w:sz w:val="22"/>
          <w:szCs w:val="22"/>
        </w:rPr>
        <w:t>(Gavina et al., 2022)</w:t>
      </w:r>
      <w:r w:rsidRPr="001C7347">
        <w:rPr>
          <w:rFonts w:ascii="Arial" w:hAnsi="Arial" w:cs="Arial"/>
          <w:sz w:val="22"/>
          <w:szCs w:val="22"/>
        </w:rPr>
        <w:t>.  The growing burden of T2DM places increasing pressure on healthcare services, particularly the NHS England, making it a priority area for research and policy development.</w:t>
      </w:r>
    </w:p>
    <w:p w14:paraId="4092EA74" w14:textId="5F393C68" w:rsidR="00BE3F9C" w:rsidRDefault="00BE3F9C" w:rsidP="000A5243">
      <w:pPr>
        <w:pStyle w:val="ListParagraph"/>
        <w:spacing w:line="360" w:lineRule="auto"/>
        <w:ind w:left="360"/>
        <w:jc w:val="both"/>
      </w:pPr>
    </w:p>
    <w:p w14:paraId="31CF3A93" w14:textId="2A2E48E0" w:rsidR="00BE3F9C" w:rsidRPr="001C7347" w:rsidRDefault="00BE3F9C" w:rsidP="001C7347">
      <w:pPr>
        <w:spacing w:line="360" w:lineRule="auto"/>
        <w:jc w:val="both"/>
        <w:rPr>
          <w:rFonts w:ascii="Arial" w:hAnsi="Arial" w:cs="Arial"/>
          <w:sz w:val="22"/>
          <w:szCs w:val="22"/>
        </w:rPr>
      </w:pPr>
      <w:r w:rsidRPr="001C7347">
        <w:rPr>
          <w:rFonts w:ascii="Arial" w:hAnsi="Arial" w:cs="Arial"/>
          <w:sz w:val="22"/>
          <w:szCs w:val="22"/>
        </w:rPr>
        <w:t>Despite extensive literature examining T2DM, contemporary trends reveal persistent challenges in prevention and management</w:t>
      </w:r>
      <w:r w:rsidR="00D57939" w:rsidRPr="001C7347">
        <w:rPr>
          <w:rFonts w:ascii="Arial" w:hAnsi="Arial" w:cs="Arial"/>
          <w:sz w:val="22"/>
          <w:szCs w:val="22"/>
        </w:rPr>
        <w:t xml:space="preserve"> </w:t>
      </w:r>
      <w:r w:rsidR="00D57939" w:rsidRPr="001C7347">
        <w:rPr>
          <w:rFonts w:ascii="Arial" w:hAnsi="Arial" w:cs="Arial"/>
          <w:color w:val="000000"/>
          <w:sz w:val="22"/>
          <w:szCs w:val="22"/>
        </w:rPr>
        <w:t>(Reed, Bain and Kanamarlapudi, 2021)</w:t>
      </w:r>
      <w:r w:rsidRPr="001C7347">
        <w:rPr>
          <w:rFonts w:ascii="Arial" w:hAnsi="Arial" w:cs="Arial"/>
          <w:sz w:val="22"/>
          <w:szCs w:val="22"/>
        </w:rPr>
        <w:t xml:space="preserve">.  Rising obesity rates, sedentary lifestyles, population ageing, and widening socioeconomic inequalities have contributed to increased incidence, particularly among disadvantaged and ethnically diverse communities </w:t>
      </w:r>
      <w:r w:rsidR="00D57939" w:rsidRPr="001C7347">
        <w:rPr>
          <w:rFonts w:ascii="Arial" w:hAnsi="Arial" w:cs="Arial"/>
          <w:color w:val="000000"/>
          <w:sz w:val="22"/>
          <w:szCs w:val="22"/>
        </w:rPr>
        <w:t>(Anekwe et al., 2020)</w:t>
      </w:r>
      <w:r w:rsidR="00D57939" w:rsidRPr="001C7347">
        <w:rPr>
          <w:rFonts w:ascii="Arial" w:hAnsi="Arial" w:cs="Arial"/>
          <w:sz w:val="22"/>
          <w:szCs w:val="22"/>
        </w:rPr>
        <w:t xml:space="preserve">.  </w:t>
      </w:r>
      <w:r w:rsidRPr="001C7347">
        <w:rPr>
          <w:rFonts w:ascii="Arial" w:hAnsi="Arial" w:cs="Arial"/>
          <w:sz w:val="22"/>
          <w:szCs w:val="22"/>
        </w:rPr>
        <w:t>While national strategies emphasise early intervention and lifestyle modification, evidence suggests that uptake and effectiveness of these programmes remain inconsistent across regions and population groups.</w:t>
      </w:r>
    </w:p>
    <w:p w14:paraId="11586EC8" w14:textId="089EA8A8" w:rsidR="00BE3F9C" w:rsidRDefault="00BE3F9C" w:rsidP="000A5243">
      <w:pPr>
        <w:pStyle w:val="ListParagraph"/>
        <w:spacing w:line="360" w:lineRule="auto"/>
        <w:ind w:left="360"/>
        <w:jc w:val="both"/>
      </w:pPr>
    </w:p>
    <w:p w14:paraId="49B8D8C6" w14:textId="0D9C57D6" w:rsidR="00BE3F9C" w:rsidRPr="001C7347" w:rsidRDefault="00BE3F9C" w:rsidP="001C7347">
      <w:pPr>
        <w:spacing w:line="360" w:lineRule="auto"/>
        <w:jc w:val="both"/>
        <w:rPr>
          <w:rFonts w:ascii="Arial" w:hAnsi="Arial" w:cs="Arial"/>
          <w:sz w:val="22"/>
          <w:szCs w:val="22"/>
        </w:rPr>
      </w:pPr>
      <w:r w:rsidRPr="001C7347">
        <w:rPr>
          <w:rFonts w:ascii="Arial" w:hAnsi="Arial" w:cs="Arial"/>
          <w:sz w:val="22"/>
          <w:szCs w:val="22"/>
        </w:rPr>
        <w:t xml:space="preserve">A key research gap lies in the limited integration of prevalence data with an in-depth </w:t>
      </w:r>
      <w:r w:rsidR="00F81BF9" w:rsidRPr="001C7347">
        <w:rPr>
          <w:rFonts w:ascii="Arial" w:hAnsi="Arial" w:cs="Arial"/>
          <w:sz w:val="22"/>
          <w:szCs w:val="22"/>
        </w:rPr>
        <w:t>exploration of modifiable risk factors and real-world management</w:t>
      </w:r>
      <w:r w:rsidR="004E49CA" w:rsidRPr="001C7347">
        <w:rPr>
          <w:rFonts w:ascii="Arial" w:hAnsi="Arial" w:cs="Arial"/>
          <w:sz w:val="22"/>
          <w:szCs w:val="22"/>
        </w:rPr>
        <w:t xml:space="preserve"> strategies within UK adult populations</w:t>
      </w:r>
      <w:r w:rsidR="00D57939" w:rsidRPr="001C7347">
        <w:rPr>
          <w:rFonts w:ascii="Arial" w:hAnsi="Arial" w:cs="Arial"/>
          <w:sz w:val="22"/>
          <w:szCs w:val="22"/>
        </w:rPr>
        <w:t xml:space="preserve"> </w:t>
      </w:r>
      <w:r w:rsidR="00D57939" w:rsidRPr="001C7347">
        <w:rPr>
          <w:rFonts w:ascii="Arial" w:hAnsi="Arial" w:cs="Arial"/>
          <w:color w:val="000000"/>
          <w:sz w:val="22"/>
          <w:szCs w:val="22"/>
        </w:rPr>
        <w:t>(Tulchinsky and Varavikova, 2014)</w:t>
      </w:r>
      <w:r w:rsidR="004E49CA" w:rsidRPr="001C7347">
        <w:rPr>
          <w:rFonts w:ascii="Arial" w:hAnsi="Arial" w:cs="Arial"/>
          <w:sz w:val="22"/>
          <w:szCs w:val="22"/>
        </w:rPr>
        <w:t>.  Much of the existing literature focuses either on epidemiological trends or clinical management in isolation, with insufficient attention to how social determinants influence both disease development and long-term outcomes.  Additionally, there is ongoing debate regarding the adequacy of current prevention programmes in addressing health inequalities</w:t>
      </w:r>
      <w:r w:rsidR="00D57939" w:rsidRPr="001C7347">
        <w:rPr>
          <w:rFonts w:ascii="Arial" w:hAnsi="Arial" w:cs="Arial"/>
          <w:sz w:val="22"/>
          <w:szCs w:val="22"/>
        </w:rPr>
        <w:t xml:space="preserve"> </w:t>
      </w:r>
      <w:r w:rsidR="00D57939" w:rsidRPr="001C7347">
        <w:rPr>
          <w:rFonts w:ascii="Arial" w:hAnsi="Arial" w:cs="Arial"/>
          <w:color w:val="000000"/>
          <w:sz w:val="22"/>
          <w:szCs w:val="22"/>
        </w:rPr>
        <w:t>(Holt</w:t>
      </w:r>
      <w:r w:rsidR="00D57939" w:rsidRPr="001C7347">
        <w:rPr>
          <w:rFonts w:ascii="Cambria Math" w:hAnsi="Cambria Math" w:cs="Cambria Math"/>
          <w:color w:val="000000"/>
          <w:sz w:val="22"/>
          <w:szCs w:val="22"/>
        </w:rPr>
        <w:t>‐</w:t>
      </w:r>
      <w:r w:rsidR="00D57939" w:rsidRPr="001C7347">
        <w:rPr>
          <w:rFonts w:ascii="Arial" w:hAnsi="Arial" w:cs="Arial"/>
          <w:color w:val="000000"/>
          <w:sz w:val="22"/>
          <w:szCs w:val="22"/>
        </w:rPr>
        <w:t>Lunstad, 2024)</w:t>
      </w:r>
      <w:r w:rsidR="00D57939" w:rsidRPr="001C7347">
        <w:rPr>
          <w:rFonts w:ascii="Arial" w:hAnsi="Arial" w:cs="Arial"/>
          <w:sz w:val="22"/>
          <w:szCs w:val="22"/>
        </w:rPr>
        <w:t>.</w:t>
      </w:r>
    </w:p>
    <w:p w14:paraId="07C22E2A" w14:textId="3F71C25F" w:rsidR="004E49CA" w:rsidRDefault="004E49CA" w:rsidP="000A5243">
      <w:pPr>
        <w:pStyle w:val="ListParagraph"/>
        <w:spacing w:line="360" w:lineRule="auto"/>
        <w:ind w:left="360"/>
        <w:jc w:val="both"/>
      </w:pPr>
    </w:p>
    <w:p w14:paraId="0A3A8A6F" w14:textId="639CAB05" w:rsidR="004E49CA" w:rsidRPr="001C7347" w:rsidRDefault="004E49CA" w:rsidP="001C7347">
      <w:pPr>
        <w:spacing w:line="360" w:lineRule="auto"/>
        <w:jc w:val="both"/>
        <w:rPr>
          <w:rFonts w:ascii="Arial" w:hAnsi="Arial" w:cs="Arial"/>
          <w:sz w:val="22"/>
          <w:szCs w:val="22"/>
        </w:rPr>
      </w:pPr>
      <w:r w:rsidRPr="001C7347">
        <w:rPr>
          <w:rFonts w:ascii="Arial" w:hAnsi="Arial" w:cs="Arial"/>
          <w:sz w:val="22"/>
          <w:szCs w:val="22"/>
        </w:rPr>
        <w:t>This dissertation aims to address these gaps by synthesising evidence on prevalence, risk factors, and management strategies, offering a holistic understanding of T2DM in UK adults.  By doing so, the research seeks to inform more targeted, equitable, and effective approaches to prevention and management within adult diabetes care.</w:t>
      </w:r>
    </w:p>
    <w:p w14:paraId="0C59B92F" w14:textId="6921F5CC" w:rsidR="00CD4BA6" w:rsidRPr="00E52633" w:rsidRDefault="00CD4BA6" w:rsidP="000A5243">
      <w:pPr>
        <w:pStyle w:val="ListParagraph"/>
        <w:spacing w:line="360" w:lineRule="auto"/>
        <w:ind w:left="360"/>
        <w:jc w:val="both"/>
        <w:rPr>
          <w:sz w:val="28"/>
          <w:szCs w:val="28"/>
        </w:rPr>
      </w:pPr>
    </w:p>
    <w:p w14:paraId="56DF7603" w14:textId="2697E225" w:rsidR="00CD4BA6" w:rsidRPr="00E52633" w:rsidRDefault="00CD4BA6" w:rsidP="00665AC3">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lastRenderedPageBreak/>
        <w:t>AIM</w:t>
      </w:r>
      <w:r w:rsidR="00D92969" w:rsidRPr="00E52633">
        <w:rPr>
          <w:rFonts w:ascii="Arial" w:hAnsi="Arial" w:cs="Arial"/>
          <w:b/>
          <w:bCs/>
          <w:sz w:val="28"/>
          <w:szCs w:val="28"/>
        </w:rPr>
        <w:t xml:space="preserve"> and Objectives</w:t>
      </w:r>
    </w:p>
    <w:p w14:paraId="3587676F" w14:textId="77777777" w:rsidR="00665AC3" w:rsidRPr="00665AC3" w:rsidRDefault="00665AC3" w:rsidP="00665AC3">
      <w:pPr>
        <w:spacing w:line="360" w:lineRule="auto"/>
        <w:jc w:val="both"/>
        <w:rPr>
          <w:rFonts w:ascii="Arial" w:hAnsi="Arial" w:cs="Arial"/>
          <w:b/>
          <w:bCs/>
          <w:sz w:val="22"/>
          <w:szCs w:val="22"/>
        </w:rPr>
      </w:pPr>
    </w:p>
    <w:p w14:paraId="41A7323F" w14:textId="22534CA4" w:rsidR="00901B9A" w:rsidRPr="00901B9A" w:rsidRDefault="00CD4BA6" w:rsidP="001C7347">
      <w:pPr>
        <w:spacing w:line="360" w:lineRule="auto"/>
        <w:jc w:val="both"/>
        <w:rPr>
          <w:rFonts w:ascii="Arial" w:hAnsi="Arial" w:cs="Arial"/>
          <w:color w:val="000000" w:themeColor="text1"/>
          <w:sz w:val="22"/>
          <w:szCs w:val="22"/>
        </w:rPr>
      </w:pPr>
      <w:r w:rsidRPr="001C7347">
        <w:rPr>
          <w:rFonts w:ascii="Arial" w:hAnsi="Arial" w:cs="Arial"/>
          <w:sz w:val="22"/>
          <w:szCs w:val="22"/>
        </w:rPr>
        <w:t xml:space="preserve">The </w:t>
      </w:r>
      <w:r w:rsidR="00736986" w:rsidRPr="001C7347">
        <w:rPr>
          <w:rFonts w:ascii="Arial" w:hAnsi="Arial" w:cs="Arial"/>
          <w:sz w:val="22"/>
          <w:szCs w:val="22"/>
        </w:rPr>
        <w:t xml:space="preserve">overarching aim of this dissertation is to explore the prevalence, risk factors, and management strategies of type 2 diabetes mellitus (T2DM) among adults in the United Kingdom, with a critical evaluation of current health and social care responses.  T2DM continues to represent a major public health challenge, accounting for the majority of diabetes cases and contributing significantly to </w:t>
      </w:r>
      <w:r w:rsidR="00736986" w:rsidRPr="001C7347">
        <w:rPr>
          <w:rFonts w:ascii="Arial" w:hAnsi="Arial" w:cs="Arial"/>
          <w:color w:val="000000" w:themeColor="text1"/>
          <w:sz w:val="22"/>
          <w:szCs w:val="22"/>
        </w:rPr>
        <w:t>morbidity, mortality, and healthcare expenditure within the NHS England</w:t>
      </w:r>
      <w:r w:rsidR="00D57939" w:rsidRPr="001C7347">
        <w:rPr>
          <w:rFonts w:ascii="Arial" w:hAnsi="Arial" w:cs="Arial"/>
          <w:color w:val="000000" w:themeColor="text1"/>
          <w:sz w:val="22"/>
          <w:szCs w:val="22"/>
        </w:rPr>
        <w:t xml:space="preserve"> (England, 2025).</w:t>
      </w:r>
      <w:r w:rsidR="00EE3689" w:rsidRPr="001C7347">
        <w:rPr>
          <w:rFonts w:ascii="Arial" w:hAnsi="Arial" w:cs="Arial"/>
          <w:color w:val="000000" w:themeColor="text1"/>
          <w:sz w:val="22"/>
          <w:szCs w:val="22"/>
        </w:rPr>
        <w:t xml:space="preserve"> </w:t>
      </w:r>
    </w:p>
    <w:p w14:paraId="6D95C153" w14:textId="2526815E" w:rsidR="00736986" w:rsidRPr="001C7347" w:rsidRDefault="00736986" w:rsidP="000A5243">
      <w:pPr>
        <w:pStyle w:val="ListParagraph"/>
        <w:spacing w:line="360" w:lineRule="auto"/>
        <w:ind w:left="360"/>
        <w:jc w:val="both"/>
        <w:rPr>
          <w:rFonts w:ascii="Arial" w:hAnsi="Arial" w:cs="Arial"/>
          <w:color w:val="000000" w:themeColor="text1"/>
          <w:sz w:val="22"/>
          <w:szCs w:val="22"/>
        </w:rPr>
      </w:pPr>
    </w:p>
    <w:p w14:paraId="513DC27F" w14:textId="1352ADDF" w:rsidR="00736986" w:rsidRPr="001C7347" w:rsidRDefault="00736986" w:rsidP="001C7347">
      <w:pPr>
        <w:spacing w:line="360" w:lineRule="auto"/>
        <w:jc w:val="both"/>
        <w:rPr>
          <w:rFonts w:ascii="Arial" w:hAnsi="Arial" w:cs="Arial"/>
          <w:sz w:val="22"/>
          <w:szCs w:val="22"/>
        </w:rPr>
      </w:pPr>
      <w:r w:rsidRPr="001C7347">
        <w:rPr>
          <w:rFonts w:ascii="Arial" w:hAnsi="Arial" w:cs="Arial"/>
          <w:sz w:val="22"/>
          <w:szCs w:val="22"/>
        </w:rPr>
        <w:t>This research seeks to examine the distribution and scale of T2DM within UK adult populations, while identifying key modifiable and non-modifiable risk factors that influence disease development and progression.  In addition, the dissertation aims to critically assess existing management strategies, including lifestyle interventions, pharmacological treatments, and structured education programmes, to determine their effectiveness in supporting long-term glycaemic control and reducing complications.</w:t>
      </w:r>
    </w:p>
    <w:p w14:paraId="65E4F516" w14:textId="1B9B4C39" w:rsidR="00736986" w:rsidRDefault="00736986" w:rsidP="000A5243">
      <w:pPr>
        <w:pStyle w:val="ListParagraph"/>
        <w:spacing w:line="360" w:lineRule="auto"/>
        <w:ind w:left="360"/>
        <w:jc w:val="both"/>
      </w:pPr>
    </w:p>
    <w:p w14:paraId="2FC7EA85" w14:textId="72F9D075" w:rsidR="00736986" w:rsidRPr="001C7347" w:rsidRDefault="00736986" w:rsidP="001C7347">
      <w:pPr>
        <w:spacing w:line="360" w:lineRule="auto"/>
        <w:jc w:val="both"/>
        <w:rPr>
          <w:rFonts w:ascii="Arial" w:hAnsi="Arial" w:cs="Arial"/>
          <w:sz w:val="22"/>
          <w:szCs w:val="22"/>
        </w:rPr>
      </w:pPr>
      <w:r w:rsidRPr="001C7347">
        <w:rPr>
          <w:rFonts w:ascii="Arial" w:hAnsi="Arial" w:cs="Arial"/>
          <w:sz w:val="22"/>
          <w:szCs w:val="22"/>
        </w:rPr>
        <w:t>A further objective is to evaluate how social determinants of health, such as socioeconomic status, ethnicity, and access to healthcare services, shape both prevalence and management outcomes.  By synthesising current evidence, this research aims to identify gaps in existing approaches and highlight opportunities for improvement in prevention and care delivery.  Ultimately, the findings seek to contribute</w:t>
      </w:r>
      <w:r w:rsidR="006615CC" w:rsidRPr="001C7347">
        <w:rPr>
          <w:rFonts w:ascii="Arial" w:hAnsi="Arial" w:cs="Arial"/>
          <w:sz w:val="22"/>
          <w:szCs w:val="22"/>
        </w:rPr>
        <w:t xml:space="preserve"> to evidence-based practice and inform more equitable-based practice and inform more equitable, person-centred strategies to enhance long-term health outcomes for adults living with type 2 diabetes in the UK.</w:t>
      </w:r>
    </w:p>
    <w:p w14:paraId="74BF05BF" w14:textId="755B58FB" w:rsidR="001B055C" w:rsidRDefault="001B055C" w:rsidP="00BE5F92">
      <w:pPr>
        <w:pStyle w:val="ListParagraph"/>
        <w:ind w:left="360"/>
      </w:pPr>
    </w:p>
    <w:p w14:paraId="0EC37618" w14:textId="0E4CC5DD" w:rsidR="001B055C" w:rsidRPr="001C7347" w:rsidRDefault="001B055C" w:rsidP="001B055C">
      <w:pPr>
        <w:spacing w:line="360" w:lineRule="auto"/>
        <w:ind w:left="360"/>
        <w:rPr>
          <w:rFonts w:ascii="Arial" w:hAnsi="Arial" w:cs="Arial"/>
          <w:sz w:val="22"/>
          <w:szCs w:val="22"/>
        </w:rPr>
      </w:pPr>
      <w:r w:rsidRPr="001C7347">
        <w:rPr>
          <w:rFonts w:ascii="Arial" w:hAnsi="Arial" w:cs="Arial"/>
          <w:sz w:val="22"/>
          <w:szCs w:val="22"/>
        </w:rPr>
        <w:t>Objectives</w:t>
      </w:r>
    </w:p>
    <w:p w14:paraId="7B963CA0" w14:textId="77777777" w:rsidR="001B055C" w:rsidRPr="003928D3" w:rsidRDefault="001B055C" w:rsidP="001B055C">
      <w:pPr>
        <w:pStyle w:val="ListParagraph"/>
        <w:numPr>
          <w:ilvl w:val="0"/>
          <w:numId w:val="3"/>
        </w:numPr>
        <w:spacing w:line="360" w:lineRule="auto"/>
        <w:jc w:val="both"/>
        <w:rPr>
          <w:rFonts w:ascii="Arial" w:hAnsi="Arial" w:cs="Arial"/>
          <w:sz w:val="22"/>
          <w:szCs w:val="22"/>
        </w:rPr>
      </w:pPr>
      <w:r w:rsidRPr="003928D3">
        <w:rPr>
          <w:rFonts w:ascii="Arial" w:hAnsi="Arial" w:cs="Arial"/>
          <w:sz w:val="22"/>
          <w:szCs w:val="22"/>
        </w:rPr>
        <w:t>Define and examine the prevalence, causes, and risk factors associated with type 2 diabetes in UK adults.</w:t>
      </w:r>
    </w:p>
    <w:p w14:paraId="4DA0B205" w14:textId="77777777" w:rsidR="001B055C" w:rsidRPr="00A469F8" w:rsidRDefault="001B055C" w:rsidP="001B055C">
      <w:pPr>
        <w:spacing w:line="360" w:lineRule="auto"/>
        <w:ind w:left="360"/>
        <w:jc w:val="both"/>
        <w:rPr>
          <w:rFonts w:ascii="Arial" w:hAnsi="Arial" w:cs="Arial"/>
          <w:sz w:val="22"/>
          <w:szCs w:val="22"/>
        </w:rPr>
      </w:pPr>
    </w:p>
    <w:p w14:paraId="28DA593D" w14:textId="77777777" w:rsidR="001B055C" w:rsidRPr="003928D3" w:rsidRDefault="001B055C" w:rsidP="001B055C">
      <w:pPr>
        <w:pStyle w:val="ListParagraph"/>
        <w:numPr>
          <w:ilvl w:val="0"/>
          <w:numId w:val="3"/>
        </w:numPr>
        <w:spacing w:line="360" w:lineRule="auto"/>
        <w:jc w:val="both"/>
        <w:rPr>
          <w:rFonts w:ascii="Arial" w:hAnsi="Arial" w:cs="Arial"/>
          <w:sz w:val="22"/>
          <w:szCs w:val="22"/>
        </w:rPr>
      </w:pPr>
      <w:r w:rsidRPr="003928D3">
        <w:rPr>
          <w:rFonts w:ascii="Arial" w:hAnsi="Arial" w:cs="Arial"/>
          <w:sz w:val="22"/>
          <w:szCs w:val="22"/>
        </w:rPr>
        <w:t>Analyse current literature, including policies, interventions, and healthcare practices aimed at preventing and managing type 2 diabetes in UK adults.</w:t>
      </w:r>
    </w:p>
    <w:p w14:paraId="5B9E3075" w14:textId="77777777" w:rsidR="001B055C" w:rsidRPr="00A469F8" w:rsidRDefault="001B055C" w:rsidP="001B055C">
      <w:pPr>
        <w:spacing w:line="360" w:lineRule="auto"/>
        <w:ind w:left="360"/>
        <w:jc w:val="both"/>
        <w:rPr>
          <w:rFonts w:ascii="Arial" w:hAnsi="Arial" w:cs="Arial"/>
          <w:sz w:val="22"/>
          <w:szCs w:val="22"/>
        </w:rPr>
      </w:pPr>
    </w:p>
    <w:p w14:paraId="5EB5D44A" w14:textId="77777777" w:rsidR="001B055C" w:rsidRPr="003928D3" w:rsidRDefault="001B055C" w:rsidP="001B055C">
      <w:pPr>
        <w:pStyle w:val="ListParagraph"/>
        <w:numPr>
          <w:ilvl w:val="0"/>
          <w:numId w:val="3"/>
        </w:numPr>
        <w:spacing w:line="360" w:lineRule="auto"/>
        <w:jc w:val="both"/>
        <w:rPr>
          <w:rFonts w:ascii="Arial" w:hAnsi="Arial" w:cs="Arial"/>
          <w:sz w:val="22"/>
          <w:szCs w:val="22"/>
        </w:rPr>
      </w:pPr>
      <w:r w:rsidRPr="003928D3">
        <w:rPr>
          <w:rFonts w:ascii="Arial" w:hAnsi="Arial" w:cs="Arial"/>
          <w:sz w:val="22"/>
          <w:szCs w:val="22"/>
        </w:rPr>
        <w:t>Evaluate the effectiveness of health promotion strategies and community-based initiatives addressing lifestyle factors such as diet, exercise, and obesity.</w:t>
      </w:r>
    </w:p>
    <w:p w14:paraId="009E0848" w14:textId="77777777" w:rsidR="001B055C" w:rsidRPr="00A469F8" w:rsidRDefault="001B055C" w:rsidP="001B055C">
      <w:pPr>
        <w:spacing w:line="360" w:lineRule="auto"/>
        <w:ind w:left="360"/>
        <w:jc w:val="both"/>
        <w:rPr>
          <w:rFonts w:ascii="Arial" w:hAnsi="Arial" w:cs="Arial"/>
          <w:sz w:val="22"/>
          <w:szCs w:val="22"/>
        </w:rPr>
      </w:pPr>
    </w:p>
    <w:p w14:paraId="49B06D20" w14:textId="77777777" w:rsidR="001B055C" w:rsidRPr="003928D3" w:rsidRDefault="001B055C" w:rsidP="001B055C">
      <w:pPr>
        <w:pStyle w:val="ListParagraph"/>
        <w:numPr>
          <w:ilvl w:val="0"/>
          <w:numId w:val="3"/>
        </w:numPr>
        <w:spacing w:line="360" w:lineRule="auto"/>
        <w:jc w:val="both"/>
        <w:rPr>
          <w:rFonts w:ascii="Arial" w:hAnsi="Arial" w:cs="Arial"/>
          <w:sz w:val="22"/>
          <w:szCs w:val="22"/>
        </w:rPr>
      </w:pPr>
      <w:r w:rsidRPr="003928D3">
        <w:rPr>
          <w:rFonts w:ascii="Arial" w:hAnsi="Arial" w:cs="Arial"/>
          <w:sz w:val="22"/>
          <w:szCs w:val="22"/>
        </w:rPr>
        <w:lastRenderedPageBreak/>
        <w:t>Provide recommendations for improving healthcare delivery, education, and policy to reduce the burden of type 2 diabetes in UK adults and improve quality of life for affected individuals.</w:t>
      </w:r>
    </w:p>
    <w:p w14:paraId="4C718533" w14:textId="77777777" w:rsidR="001B055C" w:rsidRPr="00E52633" w:rsidRDefault="001B055C" w:rsidP="00BE5F92">
      <w:pPr>
        <w:pStyle w:val="ListParagraph"/>
        <w:ind w:left="360"/>
        <w:rPr>
          <w:sz w:val="28"/>
          <w:szCs w:val="28"/>
        </w:rPr>
      </w:pPr>
    </w:p>
    <w:p w14:paraId="1A08B4A7" w14:textId="6C1D2E2F" w:rsidR="001B055C" w:rsidRPr="00E52633" w:rsidRDefault="001B055C" w:rsidP="001B055C">
      <w:pPr>
        <w:spacing w:line="360" w:lineRule="auto"/>
        <w:rPr>
          <w:rFonts w:ascii="Arial" w:hAnsi="Arial" w:cs="Arial"/>
          <w:b/>
          <w:bCs/>
          <w:sz w:val="28"/>
          <w:szCs w:val="28"/>
        </w:rPr>
      </w:pPr>
      <w:r w:rsidRPr="00E52633">
        <w:rPr>
          <w:rFonts w:ascii="Arial" w:hAnsi="Arial" w:cs="Arial"/>
          <w:b/>
          <w:bCs/>
          <w:sz w:val="28"/>
          <w:szCs w:val="28"/>
        </w:rPr>
        <w:t>1.5 Conclusion</w:t>
      </w:r>
    </w:p>
    <w:p w14:paraId="3681A69A" w14:textId="2CF87F96" w:rsidR="00FF3D32" w:rsidRPr="001C7347" w:rsidRDefault="00FF3D32" w:rsidP="001C7347">
      <w:pPr>
        <w:spacing w:line="360" w:lineRule="auto"/>
        <w:jc w:val="both"/>
        <w:rPr>
          <w:rFonts w:ascii="Arial" w:hAnsi="Arial" w:cs="Arial"/>
          <w:sz w:val="22"/>
          <w:szCs w:val="22"/>
        </w:rPr>
      </w:pPr>
      <w:r w:rsidRPr="001C7347">
        <w:rPr>
          <w:rFonts w:ascii="Arial" w:hAnsi="Arial" w:cs="Arial"/>
          <w:sz w:val="22"/>
          <w:szCs w:val="22"/>
        </w:rPr>
        <w:t>This introductory chapter has established type 2 diabetes mellitus as a critical and escalating public health issue affecting UK adults.  It has outlined the rising prevalence of T2DM, identified key modifiable risk factors, and highlighted persistent health inequalities influencing disease outcomes.  Definitions and terminology were clarified to ensure conceptual consistency, while the rationale for the research emphasised gaps in prevention and management approaches within current health and social care systems.  Collectively, this chapter reinforces the importance of the research aim and objectives in advancing understanding, informing evidence-based practice, and supporting more equitable, effective strategies for the prevention and management of T2DM in the UK.</w:t>
      </w:r>
    </w:p>
    <w:p w14:paraId="5E1EF492" w14:textId="70320D9F" w:rsidR="00FF3D32" w:rsidRDefault="00FF3D32" w:rsidP="001B055C">
      <w:pPr>
        <w:spacing w:line="360" w:lineRule="auto"/>
      </w:pPr>
    </w:p>
    <w:p w14:paraId="4B4174B0" w14:textId="14D0CE35" w:rsidR="00FF3D32" w:rsidRPr="001C7347" w:rsidRDefault="00FF3D32" w:rsidP="001C7347">
      <w:pPr>
        <w:spacing w:line="360" w:lineRule="auto"/>
        <w:jc w:val="both"/>
        <w:rPr>
          <w:rFonts w:ascii="Arial" w:hAnsi="Arial" w:cs="Arial"/>
          <w:sz w:val="22"/>
          <w:szCs w:val="22"/>
        </w:rPr>
      </w:pPr>
      <w:r w:rsidRPr="001C7347">
        <w:rPr>
          <w:rFonts w:ascii="Arial" w:hAnsi="Arial" w:cs="Arial"/>
          <w:sz w:val="22"/>
          <w:szCs w:val="22"/>
        </w:rPr>
        <w:t>The following chapter builds upon this foundation by examining the epidemiological background of type 2 diabetes in UK adults.  It critically analyses prevalence data, explores biological, lifestyle, and social risk factors, and evaluates current management strategies to contextualise the scale, complexity, and challenges of T2DM within contemporary health and social care practice.</w:t>
      </w:r>
    </w:p>
    <w:p w14:paraId="29837DBA" w14:textId="347B246F" w:rsidR="00D016A3" w:rsidRPr="00665AC3" w:rsidRDefault="00D016A3" w:rsidP="001B055C">
      <w:pPr>
        <w:spacing w:line="360" w:lineRule="auto"/>
        <w:rPr>
          <w:rFonts w:ascii="Arial" w:hAnsi="Arial" w:cs="Arial"/>
          <w:sz w:val="22"/>
          <w:szCs w:val="22"/>
        </w:rPr>
      </w:pPr>
    </w:p>
    <w:p w14:paraId="73318452" w14:textId="5F6CD16B" w:rsidR="00D016A3" w:rsidRPr="00E52633" w:rsidRDefault="00D016A3" w:rsidP="001C7347">
      <w:pPr>
        <w:spacing w:line="360" w:lineRule="auto"/>
        <w:jc w:val="both"/>
        <w:rPr>
          <w:rFonts w:ascii="Arial" w:hAnsi="Arial" w:cs="Arial"/>
          <w:b/>
          <w:bCs/>
          <w:sz w:val="32"/>
          <w:szCs w:val="32"/>
        </w:rPr>
      </w:pPr>
      <w:r w:rsidRPr="00E52633">
        <w:rPr>
          <w:rFonts w:ascii="Arial" w:hAnsi="Arial" w:cs="Arial"/>
          <w:b/>
          <w:bCs/>
          <w:sz w:val="32"/>
          <w:szCs w:val="32"/>
        </w:rPr>
        <w:t>Chapter 2</w:t>
      </w:r>
    </w:p>
    <w:p w14:paraId="6CAAD2DB" w14:textId="77777777" w:rsidR="00A662B2" w:rsidRPr="00665AC3" w:rsidRDefault="00A662B2" w:rsidP="001C7347">
      <w:pPr>
        <w:spacing w:line="360" w:lineRule="auto"/>
        <w:jc w:val="both"/>
        <w:rPr>
          <w:rFonts w:ascii="Arial" w:hAnsi="Arial" w:cs="Arial"/>
          <w:b/>
          <w:bCs/>
          <w:sz w:val="22"/>
          <w:szCs w:val="22"/>
        </w:rPr>
      </w:pPr>
    </w:p>
    <w:p w14:paraId="62C9774A" w14:textId="7C226674" w:rsidR="00D016A3" w:rsidRPr="00E52633" w:rsidRDefault="00D016A3" w:rsidP="001C7347">
      <w:pPr>
        <w:spacing w:line="360" w:lineRule="auto"/>
        <w:jc w:val="both"/>
        <w:rPr>
          <w:rFonts w:ascii="Arial" w:hAnsi="Arial" w:cs="Arial"/>
          <w:b/>
          <w:bCs/>
          <w:sz w:val="28"/>
          <w:szCs w:val="28"/>
        </w:rPr>
      </w:pPr>
      <w:r w:rsidRPr="00E52633">
        <w:rPr>
          <w:rFonts w:ascii="Arial" w:hAnsi="Arial" w:cs="Arial"/>
          <w:b/>
          <w:bCs/>
          <w:sz w:val="28"/>
          <w:szCs w:val="28"/>
        </w:rPr>
        <w:t>BACKGROUND INFORMATION AND ANALYSIS</w:t>
      </w:r>
    </w:p>
    <w:p w14:paraId="4EC17417" w14:textId="6E8F6B3F" w:rsidR="00D016A3" w:rsidRPr="00665AC3" w:rsidRDefault="00D016A3" w:rsidP="001B055C">
      <w:pPr>
        <w:spacing w:line="360" w:lineRule="auto"/>
        <w:rPr>
          <w:rFonts w:ascii="Arial" w:hAnsi="Arial" w:cs="Arial"/>
          <w:b/>
          <w:bCs/>
          <w:sz w:val="22"/>
          <w:szCs w:val="22"/>
        </w:rPr>
      </w:pPr>
    </w:p>
    <w:p w14:paraId="0F124860" w14:textId="5844D40C" w:rsidR="00D016A3" w:rsidRPr="00E52633" w:rsidRDefault="00D016A3" w:rsidP="001C7347">
      <w:pPr>
        <w:spacing w:line="360" w:lineRule="auto"/>
        <w:jc w:val="both"/>
        <w:rPr>
          <w:rFonts w:ascii="Arial" w:hAnsi="Arial" w:cs="Arial"/>
          <w:b/>
          <w:bCs/>
          <w:sz w:val="28"/>
          <w:szCs w:val="28"/>
        </w:rPr>
      </w:pPr>
      <w:r w:rsidRPr="00E52633">
        <w:rPr>
          <w:rFonts w:ascii="Arial" w:hAnsi="Arial" w:cs="Arial"/>
          <w:b/>
          <w:bCs/>
          <w:sz w:val="28"/>
          <w:szCs w:val="28"/>
        </w:rPr>
        <w:t>2.1 INTRODUCTION</w:t>
      </w:r>
    </w:p>
    <w:p w14:paraId="6387BE0D" w14:textId="0F9D6123" w:rsidR="007A606C" w:rsidRPr="001C7347" w:rsidRDefault="007A606C" w:rsidP="001C7347">
      <w:pPr>
        <w:spacing w:line="360" w:lineRule="auto"/>
        <w:jc w:val="both"/>
        <w:rPr>
          <w:rFonts w:ascii="Arial" w:hAnsi="Arial" w:cs="Arial"/>
          <w:sz w:val="22"/>
          <w:szCs w:val="22"/>
        </w:rPr>
      </w:pPr>
      <w:r w:rsidRPr="001C7347">
        <w:rPr>
          <w:rFonts w:ascii="Arial" w:hAnsi="Arial" w:cs="Arial"/>
          <w:sz w:val="22"/>
          <w:szCs w:val="22"/>
        </w:rPr>
        <w:t xml:space="preserve">The purpose of the background chapter is to establish a comprehensive foundation for investigating the prevalence, risk factors, and management strategies of type 2 diabetes mellitus (T2DM) in UK adults.  This chapter situates the research topic within its broader historical, theoretical, and contextual framework, enabling a clear understanding of how T2DM has evolved into a major public health concern.  By outlining the historical development of the condition, the chapter demonstrates how shifts in lifestyle, population demographics, and healthcare systems have shaped contemporary disease pattern.  Theoretical perspectives relevant to chronic disease development and management are introduced to underpin the analytical lens of the study.  Additionally, the chapter explores international and national </w:t>
      </w:r>
      <w:r w:rsidRPr="001C7347">
        <w:rPr>
          <w:rFonts w:ascii="Arial" w:hAnsi="Arial" w:cs="Arial"/>
          <w:sz w:val="22"/>
          <w:szCs w:val="22"/>
        </w:rPr>
        <w:lastRenderedPageBreak/>
        <w:t>contexts to highlight how T2DM is addressed globally and within the UK, acknowledging policy, socioeconomic, and health system influences.  Collectively, this chapter provides essential contextual grounding, justifying the research focus and informing subsequent methodological decisions without introducing analytical theme</w:t>
      </w:r>
      <w:r w:rsidR="00E3555E" w:rsidRPr="001C7347">
        <w:rPr>
          <w:rFonts w:ascii="Arial" w:hAnsi="Arial" w:cs="Arial"/>
          <w:sz w:val="22"/>
          <w:szCs w:val="22"/>
        </w:rPr>
        <w:t>s.</w:t>
      </w:r>
    </w:p>
    <w:p w14:paraId="23A42527" w14:textId="6B320DCD" w:rsidR="00E3555E" w:rsidRDefault="00E3555E" w:rsidP="001B055C">
      <w:pPr>
        <w:spacing w:line="360" w:lineRule="auto"/>
      </w:pPr>
    </w:p>
    <w:p w14:paraId="7A4859FF" w14:textId="2CDFEA56" w:rsidR="00E3555E" w:rsidRPr="00E52633" w:rsidRDefault="00E3555E" w:rsidP="001C7347">
      <w:pPr>
        <w:spacing w:line="360" w:lineRule="auto"/>
        <w:jc w:val="both"/>
        <w:rPr>
          <w:rFonts w:ascii="Arial" w:hAnsi="Arial" w:cs="Arial"/>
          <w:b/>
          <w:bCs/>
          <w:sz w:val="28"/>
          <w:szCs w:val="28"/>
        </w:rPr>
      </w:pPr>
      <w:r w:rsidRPr="00E52633">
        <w:rPr>
          <w:rFonts w:ascii="Arial" w:hAnsi="Arial" w:cs="Arial"/>
          <w:b/>
          <w:bCs/>
          <w:sz w:val="28"/>
          <w:szCs w:val="28"/>
        </w:rPr>
        <w:t>2.2 Historical Background</w:t>
      </w:r>
    </w:p>
    <w:p w14:paraId="252DBF3C" w14:textId="43100E18" w:rsidR="00E3555E" w:rsidRPr="001C7347" w:rsidRDefault="00E3555E" w:rsidP="001C7347">
      <w:pPr>
        <w:spacing w:line="360" w:lineRule="auto"/>
        <w:jc w:val="both"/>
        <w:rPr>
          <w:rFonts w:ascii="Arial" w:hAnsi="Arial" w:cs="Arial"/>
          <w:sz w:val="22"/>
          <w:szCs w:val="22"/>
        </w:rPr>
      </w:pPr>
      <w:r w:rsidRPr="001C7347">
        <w:rPr>
          <w:rFonts w:ascii="Arial" w:hAnsi="Arial" w:cs="Arial"/>
          <w:sz w:val="22"/>
          <w:szCs w:val="22"/>
        </w:rPr>
        <w:t>Type 2 diabetes mellitus has undergone a significant transformation in both understanding and prevalence over time</w:t>
      </w:r>
      <w:r w:rsidR="00055EF2" w:rsidRPr="001C7347">
        <w:rPr>
          <w:rFonts w:ascii="Arial" w:hAnsi="Arial" w:cs="Arial"/>
          <w:sz w:val="22"/>
          <w:szCs w:val="22"/>
        </w:rPr>
        <w:t xml:space="preserve"> </w:t>
      </w:r>
      <w:r w:rsidR="00055EF2" w:rsidRPr="001C7347">
        <w:rPr>
          <w:rFonts w:ascii="Arial" w:hAnsi="Arial" w:cs="Arial"/>
          <w:color w:val="000000"/>
          <w:sz w:val="22"/>
          <w:szCs w:val="22"/>
        </w:rPr>
        <w:t>(Hossain, Al</w:t>
      </w:r>
      <w:r w:rsidR="00055EF2" w:rsidRPr="001C7347">
        <w:rPr>
          <w:rFonts w:ascii="Cambria Math" w:hAnsi="Cambria Math" w:cs="Cambria Math"/>
          <w:color w:val="000000"/>
          <w:sz w:val="22"/>
          <w:szCs w:val="22"/>
        </w:rPr>
        <w:t>‐</w:t>
      </w:r>
      <w:r w:rsidR="00055EF2" w:rsidRPr="001C7347">
        <w:rPr>
          <w:rFonts w:ascii="Arial" w:hAnsi="Arial" w:cs="Arial"/>
          <w:color w:val="000000"/>
          <w:sz w:val="22"/>
          <w:szCs w:val="22"/>
        </w:rPr>
        <w:t>Mamun and Islam, 2024)</w:t>
      </w:r>
      <w:r w:rsidRPr="001C7347">
        <w:rPr>
          <w:rFonts w:ascii="Arial" w:hAnsi="Arial" w:cs="Arial"/>
          <w:sz w:val="22"/>
          <w:szCs w:val="22"/>
        </w:rPr>
        <w:t xml:space="preserve">.  Early descriptions of diabetes date back to ancient Egyptian and Indian </w:t>
      </w:r>
      <w:r w:rsidR="00D269D0" w:rsidRPr="001C7347">
        <w:rPr>
          <w:rFonts w:ascii="Arial" w:hAnsi="Arial" w:cs="Arial"/>
          <w:sz w:val="22"/>
          <w:szCs w:val="22"/>
        </w:rPr>
        <w:t>medical texts, where the condition was recognised through symptoms such as excessive urination and sweet-tasting urine.  However, for centuries, diabetes was perceived as a rare and fatal disease with limited therapeutic options.  It was not until the late nineteenth and early twentieth centuries that distinctions between type 1 and type2 diabetes began to emerge, driven by advances in physiology and endocrinology</w:t>
      </w:r>
      <w:r w:rsidR="00BC3301" w:rsidRPr="001C7347">
        <w:rPr>
          <w:rFonts w:ascii="Arial" w:hAnsi="Arial" w:cs="Arial"/>
          <w:sz w:val="22"/>
          <w:szCs w:val="22"/>
        </w:rPr>
        <w:t xml:space="preserve"> </w:t>
      </w:r>
      <w:r w:rsidR="00BC3301" w:rsidRPr="001C7347">
        <w:rPr>
          <w:rFonts w:ascii="Arial" w:hAnsi="Arial" w:cs="Arial"/>
          <w:color w:val="000000"/>
          <w:sz w:val="22"/>
          <w:szCs w:val="22"/>
        </w:rPr>
        <w:t>(Karamanou, 2016)</w:t>
      </w:r>
      <w:r w:rsidR="00BC3301" w:rsidRPr="001C7347">
        <w:rPr>
          <w:rFonts w:ascii="Arial" w:hAnsi="Arial" w:cs="Arial"/>
          <w:sz w:val="22"/>
          <w:szCs w:val="22"/>
        </w:rPr>
        <w:t>.</w:t>
      </w:r>
    </w:p>
    <w:p w14:paraId="50B2DF22" w14:textId="7927006D" w:rsidR="00FC3E38" w:rsidRDefault="00FC3E38" w:rsidP="00903B48">
      <w:pPr>
        <w:spacing w:line="360" w:lineRule="auto"/>
      </w:pPr>
    </w:p>
    <w:p w14:paraId="68485712" w14:textId="2751FE2D" w:rsidR="00FC3E38" w:rsidRPr="001C7347" w:rsidRDefault="00FC3E38" w:rsidP="001C7347">
      <w:pPr>
        <w:spacing w:line="360" w:lineRule="auto"/>
        <w:jc w:val="both"/>
        <w:rPr>
          <w:rFonts w:ascii="Arial" w:hAnsi="Arial" w:cs="Arial"/>
          <w:sz w:val="22"/>
          <w:szCs w:val="22"/>
        </w:rPr>
      </w:pPr>
      <w:r w:rsidRPr="001C7347">
        <w:rPr>
          <w:rFonts w:ascii="Arial" w:hAnsi="Arial" w:cs="Arial"/>
          <w:sz w:val="22"/>
          <w:szCs w:val="22"/>
        </w:rPr>
        <w:t xml:space="preserve">A pivotal milestone occurred in 1921 with the discovery of insulin by Frederick Banting and Charles Best, revolutionising diabetes management and dramatically improving </w:t>
      </w:r>
      <w:r w:rsidR="00F576EF" w:rsidRPr="001C7347">
        <w:rPr>
          <w:rFonts w:ascii="Arial" w:hAnsi="Arial" w:cs="Arial"/>
          <w:sz w:val="22"/>
          <w:szCs w:val="22"/>
        </w:rPr>
        <w:t>survival rates</w:t>
      </w:r>
      <w:r w:rsidR="000C7F47" w:rsidRPr="001C7347">
        <w:rPr>
          <w:rFonts w:ascii="Arial" w:hAnsi="Arial" w:cs="Arial"/>
          <w:sz w:val="22"/>
          <w:szCs w:val="22"/>
        </w:rPr>
        <w:t xml:space="preserve"> </w:t>
      </w:r>
      <w:r w:rsidR="000C7F47" w:rsidRPr="001C7347">
        <w:rPr>
          <w:rFonts w:ascii="Arial" w:hAnsi="Arial" w:cs="Arial"/>
          <w:color w:val="000000"/>
          <w:sz w:val="22"/>
          <w:szCs w:val="22"/>
        </w:rPr>
        <w:t>(Vecchio et al., 2018)</w:t>
      </w:r>
      <w:r w:rsidR="000C7F47" w:rsidRPr="001C7347">
        <w:rPr>
          <w:rFonts w:ascii="Arial" w:hAnsi="Arial" w:cs="Arial"/>
          <w:sz w:val="22"/>
          <w:szCs w:val="22"/>
        </w:rPr>
        <w:t>.  While insulin was initially used for all forms of diabetes, subsequent research revealed that many adults with diabetes exhibited insulin resistance rather than absolute insulin resistance rather than absolute insulin deficiency, leading to the classification of type 2 diabetes.  Throughout the mid-twentieth century, T2DM increasingly became associated with ageing, obesity, and sedentary lifestyles, particularly in industrialised nations</w:t>
      </w:r>
      <w:r w:rsidR="005C540E" w:rsidRPr="001C7347">
        <w:rPr>
          <w:rFonts w:ascii="Arial" w:hAnsi="Arial" w:cs="Arial"/>
          <w:sz w:val="22"/>
          <w:szCs w:val="22"/>
        </w:rPr>
        <w:t xml:space="preserve"> </w:t>
      </w:r>
      <w:r w:rsidR="005C540E" w:rsidRPr="001C7347">
        <w:rPr>
          <w:rFonts w:ascii="Arial" w:hAnsi="Arial" w:cs="Arial"/>
          <w:color w:val="000000"/>
          <w:sz w:val="22"/>
          <w:szCs w:val="22"/>
        </w:rPr>
        <w:t>(American Diabetes Association, 2010)</w:t>
      </w:r>
      <w:r w:rsidR="005C540E" w:rsidRPr="001C7347">
        <w:rPr>
          <w:rFonts w:ascii="Arial" w:hAnsi="Arial" w:cs="Arial"/>
          <w:sz w:val="22"/>
          <w:szCs w:val="22"/>
        </w:rPr>
        <w:t>.</w:t>
      </w:r>
    </w:p>
    <w:p w14:paraId="3BBAA77B" w14:textId="02B7E644" w:rsidR="00D1372C" w:rsidRPr="001C7347" w:rsidRDefault="00D1372C" w:rsidP="001C7347">
      <w:pPr>
        <w:spacing w:line="360" w:lineRule="auto"/>
        <w:jc w:val="both"/>
        <w:rPr>
          <w:rFonts w:ascii="Arial" w:hAnsi="Arial" w:cs="Arial"/>
          <w:sz w:val="22"/>
          <w:szCs w:val="22"/>
        </w:rPr>
      </w:pPr>
    </w:p>
    <w:p w14:paraId="6409643E" w14:textId="1F95EE5E" w:rsidR="00D1372C" w:rsidRPr="001C7347" w:rsidRDefault="00412A1F" w:rsidP="001C7347">
      <w:pPr>
        <w:spacing w:line="360" w:lineRule="auto"/>
        <w:rPr>
          <w:rFonts w:ascii="Arial" w:hAnsi="Arial" w:cs="Arial"/>
          <w:sz w:val="22"/>
          <w:szCs w:val="22"/>
        </w:rPr>
      </w:pPr>
      <w:r w:rsidRPr="001C7347">
        <w:rPr>
          <w:rFonts w:ascii="Arial" w:hAnsi="Arial" w:cs="Arial"/>
          <w:sz w:val="22"/>
          <w:szCs w:val="22"/>
        </w:rPr>
        <w:t>The latter half of the twentieth century marked a critical shift as globalisation, urbanisation, and dietary changes contributed to rising obesity rates and</w:t>
      </w:r>
      <w:r w:rsidR="00ED4286" w:rsidRPr="001C7347">
        <w:rPr>
          <w:rFonts w:ascii="Arial" w:hAnsi="Arial" w:cs="Arial"/>
          <w:sz w:val="22"/>
          <w:szCs w:val="22"/>
        </w:rPr>
        <w:t>, consequently, increased T2DM prevalence</w:t>
      </w:r>
      <w:r w:rsidR="008C0282" w:rsidRPr="001C7347">
        <w:rPr>
          <w:rFonts w:ascii="Arial" w:hAnsi="Arial" w:cs="Arial"/>
          <w:sz w:val="22"/>
          <w:szCs w:val="22"/>
        </w:rPr>
        <w:t xml:space="preserve"> </w:t>
      </w:r>
      <w:r w:rsidR="008C0282" w:rsidRPr="001C7347">
        <w:rPr>
          <w:rFonts w:ascii="Arial" w:hAnsi="Arial" w:cs="Arial"/>
          <w:color w:val="000000"/>
          <w:sz w:val="22"/>
          <w:szCs w:val="22"/>
        </w:rPr>
        <w:t>(Hu, 2011)</w:t>
      </w:r>
      <w:r w:rsidR="00ED4286" w:rsidRPr="001C7347">
        <w:rPr>
          <w:rFonts w:ascii="Arial" w:hAnsi="Arial" w:cs="Arial"/>
          <w:sz w:val="22"/>
          <w:szCs w:val="22"/>
        </w:rPr>
        <w:t>.  Epidemiological studies in 1980s and 1990s highlighted strong associations between socioeconomic deprivation, ethnicity, and disease risk, reframing T2DM as a condition influenced by social determinants of health rather than solely individual behaviour</w:t>
      </w:r>
      <w:r w:rsidR="008C0282" w:rsidRPr="001C7347">
        <w:rPr>
          <w:rFonts w:ascii="Arial" w:hAnsi="Arial" w:cs="Arial"/>
          <w:sz w:val="22"/>
          <w:szCs w:val="22"/>
        </w:rPr>
        <w:t xml:space="preserve"> </w:t>
      </w:r>
      <w:r w:rsidR="008C0282" w:rsidRPr="001C7347">
        <w:rPr>
          <w:rFonts w:ascii="Arial" w:hAnsi="Arial" w:cs="Arial"/>
          <w:color w:val="000000"/>
          <w:sz w:val="22"/>
          <w:szCs w:val="22"/>
        </w:rPr>
        <w:t>(Au-Yeung et al., 2024)</w:t>
      </w:r>
      <w:r w:rsidR="00ED4286" w:rsidRPr="001C7347">
        <w:rPr>
          <w:rFonts w:ascii="Arial" w:hAnsi="Arial" w:cs="Arial"/>
          <w:sz w:val="22"/>
          <w:szCs w:val="22"/>
        </w:rPr>
        <w:t xml:space="preserve">.  </w:t>
      </w:r>
      <w:r w:rsidR="005011E5" w:rsidRPr="001C7347">
        <w:rPr>
          <w:rFonts w:ascii="Arial" w:hAnsi="Arial" w:cs="Arial"/>
          <w:sz w:val="22"/>
          <w:szCs w:val="22"/>
        </w:rPr>
        <w:t>Organisations such as World Health Organisation played a central role in recognising T2DM as a global epidemic, promoting international surveillance and prevention strategies.</w:t>
      </w:r>
    </w:p>
    <w:p w14:paraId="0B54EFAB" w14:textId="547B2206" w:rsidR="005011E5" w:rsidRDefault="005011E5" w:rsidP="00903B48">
      <w:pPr>
        <w:spacing w:line="360" w:lineRule="auto"/>
      </w:pPr>
    </w:p>
    <w:p w14:paraId="12D53525" w14:textId="5EC6ACAA" w:rsidR="005011E5" w:rsidRPr="001C7347" w:rsidRDefault="005011E5" w:rsidP="001C7347">
      <w:pPr>
        <w:spacing w:line="360" w:lineRule="auto"/>
        <w:rPr>
          <w:rFonts w:ascii="Arial" w:hAnsi="Arial" w:cs="Arial"/>
          <w:sz w:val="22"/>
          <w:szCs w:val="22"/>
        </w:rPr>
      </w:pPr>
      <w:r w:rsidRPr="001C7347">
        <w:rPr>
          <w:rFonts w:ascii="Arial" w:hAnsi="Arial" w:cs="Arial"/>
          <w:sz w:val="22"/>
          <w:szCs w:val="22"/>
        </w:rPr>
        <w:t xml:space="preserve">In the UK, the increasing burden of T2DM became evident </w:t>
      </w:r>
      <w:r w:rsidRPr="001C7347">
        <w:rPr>
          <w:rFonts w:ascii="Arial" w:hAnsi="Arial" w:cs="Arial"/>
          <w:sz w:val="22"/>
          <w:szCs w:val="22"/>
        </w:rPr>
        <w:tab/>
        <w:t xml:space="preserve">in the early 2000s, coinciding with rising healthcare costs and long-term complications such as cardiovascular disease and renal failure.  These developments shifted policy priorities towards prevention, early </w:t>
      </w:r>
      <w:r w:rsidRPr="001C7347">
        <w:rPr>
          <w:rFonts w:ascii="Arial" w:hAnsi="Arial" w:cs="Arial"/>
          <w:sz w:val="22"/>
          <w:szCs w:val="22"/>
        </w:rPr>
        <w:lastRenderedPageBreak/>
        <w:t>diagnosis, and long-term management</w:t>
      </w:r>
      <w:r w:rsidR="008C0282" w:rsidRPr="001C7347">
        <w:rPr>
          <w:rFonts w:ascii="Arial" w:hAnsi="Arial" w:cs="Arial"/>
          <w:sz w:val="22"/>
          <w:szCs w:val="22"/>
        </w:rPr>
        <w:t xml:space="preserve"> </w:t>
      </w:r>
      <w:r w:rsidR="008C0282" w:rsidRPr="001C7347">
        <w:rPr>
          <w:rFonts w:ascii="Arial" w:hAnsi="Arial" w:cs="Arial"/>
          <w:color w:val="000000"/>
          <w:sz w:val="22"/>
          <w:szCs w:val="22"/>
        </w:rPr>
        <w:t>(Sattar, 2019)</w:t>
      </w:r>
      <w:r w:rsidRPr="001C7347">
        <w:rPr>
          <w:rFonts w:ascii="Arial" w:hAnsi="Arial" w:cs="Arial"/>
          <w:sz w:val="22"/>
          <w:szCs w:val="22"/>
        </w:rPr>
        <w:t>.  As a result, T2DM is now understood as a complex, multifactorial chronic condition shaped by biological, behavioural, and structural factors, setting the stage for contemporary research into its prevalence, risk factors, and management strategies</w:t>
      </w:r>
      <w:r w:rsidR="009302F3" w:rsidRPr="001C7347">
        <w:rPr>
          <w:rFonts w:ascii="Arial" w:hAnsi="Arial" w:cs="Arial"/>
          <w:sz w:val="22"/>
          <w:szCs w:val="22"/>
        </w:rPr>
        <w:t xml:space="preserve"> </w:t>
      </w:r>
      <w:r w:rsidR="009302F3" w:rsidRPr="001C7347">
        <w:rPr>
          <w:rFonts w:ascii="Arial" w:hAnsi="Arial" w:cs="Arial"/>
          <w:color w:val="000000"/>
          <w:sz w:val="22"/>
          <w:szCs w:val="22"/>
        </w:rPr>
        <w:t>(Wu et al., 2014)</w:t>
      </w:r>
      <w:r w:rsidRPr="001C7347">
        <w:rPr>
          <w:rFonts w:ascii="Arial" w:hAnsi="Arial" w:cs="Arial"/>
          <w:sz w:val="22"/>
          <w:szCs w:val="22"/>
        </w:rPr>
        <w:t>.</w:t>
      </w:r>
    </w:p>
    <w:p w14:paraId="2D4B6EEE" w14:textId="41EB634C" w:rsidR="005011E5" w:rsidRDefault="005011E5" w:rsidP="00903B48">
      <w:pPr>
        <w:spacing w:line="360" w:lineRule="auto"/>
      </w:pPr>
    </w:p>
    <w:p w14:paraId="7E4D3558" w14:textId="5F4006E8" w:rsidR="005011E5" w:rsidRPr="00E52633" w:rsidRDefault="005011E5" w:rsidP="00903B48">
      <w:pPr>
        <w:spacing w:line="360" w:lineRule="auto"/>
        <w:rPr>
          <w:rFonts w:ascii="Arial" w:hAnsi="Arial" w:cs="Arial"/>
          <w:b/>
          <w:bCs/>
          <w:sz w:val="28"/>
          <w:szCs w:val="28"/>
        </w:rPr>
      </w:pPr>
      <w:r w:rsidRPr="00E52633">
        <w:rPr>
          <w:rFonts w:ascii="Arial" w:hAnsi="Arial" w:cs="Arial"/>
          <w:b/>
          <w:bCs/>
          <w:sz w:val="28"/>
          <w:szCs w:val="28"/>
        </w:rPr>
        <w:t>THEORETICAL BACKGROUND</w:t>
      </w:r>
    </w:p>
    <w:p w14:paraId="3655E4C6" w14:textId="37B177C7" w:rsidR="005011E5" w:rsidRPr="001C7347" w:rsidRDefault="005011E5" w:rsidP="001C7347">
      <w:pPr>
        <w:spacing w:line="360" w:lineRule="auto"/>
        <w:jc w:val="both"/>
        <w:rPr>
          <w:rFonts w:ascii="Arial" w:hAnsi="Arial" w:cs="Arial"/>
          <w:sz w:val="22"/>
          <w:szCs w:val="22"/>
        </w:rPr>
      </w:pPr>
      <w:r w:rsidRPr="001C7347">
        <w:rPr>
          <w:rFonts w:ascii="Arial" w:hAnsi="Arial" w:cs="Arial"/>
          <w:sz w:val="22"/>
          <w:szCs w:val="22"/>
        </w:rPr>
        <w:t>Several key theories and conceptual frameworks underpin the understanding of type 2 diabetes mellitus.  Central to this research area is the biomedical model, which explains T2DM through physiological mechanisms such as insulins resistance, pancreatic B-cell dysfunction, and glucose metabolism dysregulation</w:t>
      </w:r>
      <w:r w:rsidR="003B503B" w:rsidRPr="001C7347">
        <w:rPr>
          <w:rFonts w:ascii="Arial" w:hAnsi="Arial" w:cs="Arial"/>
          <w:sz w:val="22"/>
          <w:szCs w:val="22"/>
        </w:rPr>
        <w:t xml:space="preserve"> </w:t>
      </w:r>
      <w:r w:rsidR="003B503B" w:rsidRPr="001C7347">
        <w:rPr>
          <w:rFonts w:ascii="Arial" w:hAnsi="Arial" w:cs="Arial"/>
          <w:color w:val="000000"/>
          <w:sz w:val="22"/>
          <w:szCs w:val="22"/>
        </w:rPr>
        <w:t>(Galicia-Garcia et al., 2020)</w:t>
      </w:r>
      <w:r w:rsidRPr="001C7347">
        <w:rPr>
          <w:rFonts w:ascii="Arial" w:hAnsi="Arial" w:cs="Arial"/>
          <w:sz w:val="22"/>
          <w:szCs w:val="22"/>
        </w:rPr>
        <w:t xml:space="preserve">.  This model has been fundamental in guiding pharmacological interventions and clinical management strategies, including the use of oral hypoglycaemic </w:t>
      </w:r>
      <w:r w:rsidR="001B2E76" w:rsidRPr="001C7347">
        <w:rPr>
          <w:rFonts w:ascii="Arial" w:hAnsi="Arial" w:cs="Arial"/>
          <w:sz w:val="22"/>
          <w:szCs w:val="22"/>
        </w:rPr>
        <w:t>agents and insulin therapy.</w:t>
      </w:r>
    </w:p>
    <w:p w14:paraId="3A619361" w14:textId="4C5FB0FA" w:rsidR="001B2E76" w:rsidRDefault="001B2E76" w:rsidP="00903B48">
      <w:pPr>
        <w:spacing w:line="360" w:lineRule="auto"/>
      </w:pPr>
    </w:p>
    <w:p w14:paraId="0E153E44" w14:textId="372FE155" w:rsidR="001B2E76" w:rsidRPr="001C7347" w:rsidRDefault="001B2E76" w:rsidP="001C7347">
      <w:pPr>
        <w:spacing w:line="360" w:lineRule="auto"/>
        <w:jc w:val="both"/>
        <w:rPr>
          <w:rFonts w:ascii="Arial" w:hAnsi="Arial" w:cs="Arial"/>
          <w:sz w:val="22"/>
          <w:szCs w:val="22"/>
        </w:rPr>
      </w:pPr>
      <w:r w:rsidRPr="001C7347">
        <w:rPr>
          <w:rFonts w:ascii="Arial" w:hAnsi="Arial" w:cs="Arial"/>
          <w:sz w:val="22"/>
          <w:szCs w:val="22"/>
        </w:rPr>
        <w:t>Completing this approach is biopsychosocial model, which recognises that T2DM development and management are influenced by psychological factors, social environments, and behavioural patterns alongside biological processes</w:t>
      </w:r>
      <w:r w:rsidR="003B503B" w:rsidRPr="001C7347">
        <w:rPr>
          <w:rFonts w:ascii="Arial" w:hAnsi="Arial" w:cs="Arial"/>
          <w:sz w:val="22"/>
          <w:szCs w:val="22"/>
        </w:rPr>
        <w:t xml:space="preserve"> </w:t>
      </w:r>
      <w:r w:rsidR="003B503B" w:rsidRPr="001C7347">
        <w:rPr>
          <w:rFonts w:ascii="Arial" w:hAnsi="Arial" w:cs="Arial"/>
          <w:color w:val="000000"/>
          <w:sz w:val="22"/>
          <w:szCs w:val="22"/>
        </w:rPr>
        <w:t>(Abdullah et al., 2020)</w:t>
      </w:r>
      <w:r w:rsidRPr="001C7347">
        <w:rPr>
          <w:rFonts w:ascii="Arial" w:hAnsi="Arial" w:cs="Arial"/>
          <w:sz w:val="22"/>
          <w:szCs w:val="22"/>
        </w:rPr>
        <w:t>.  This model has informed research exploring lifestyle medication, health beliefs, and patient adherence, emphasising the role of education and self-management in long-term outcomes.  Closely related is the social determinants of health framework, which highlights how factors such as income, education, ethnicity, and access to healthcare shape disease risk and progression.  This perspective is particularly relevant in the UK context, where health inequalities significantly influence T2DM prevalence.</w:t>
      </w:r>
    </w:p>
    <w:p w14:paraId="30773914" w14:textId="68D59333" w:rsidR="001B2E76" w:rsidRDefault="001B2E76" w:rsidP="00903B48">
      <w:pPr>
        <w:spacing w:line="360" w:lineRule="auto"/>
      </w:pPr>
    </w:p>
    <w:p w14:paraId="4218084D" w14:textId="2D2FBDA9" w:rsidR="00BF0068" w:rsidRPr="001C7347" w:rsidRDefault="001B2E76" w:rsidP="001C7347">
      <w:pPr>
        <w:spacing w:line="360" w:lineRule="auto"/>
        <w:jc w:val="both"/>
        <w:rPr>
          <w:rFonts w:ascii="Arial" w:hAnsi="Arial" w:cs="Arial"/>
          <w:sz w:val="22"/>
          <w:szCs w:val="22"/>
        </w:rPr>
      </w:pPr>
      <w:r w:rsidRPr="001C7347">
        <w:rPr>
          <w:rFonts w:ascii="Arial" w:hAnsi="Arial" w:cs="Arial"/>
          <w:sz w:val="22"/>
          <w:szCs w:val="22"/>
        </w:rPr>
        <w:t>Behavioural change theories, including the Health Belief Model and Social Cognitive Theory, have also been widely applied in diabetes research</w:t>
      </w:r>
      <w:r w:rsidR="003B503B" w:rsidRPr="001C7347">
        <w:rPr>
          <w:rFonts w:ascii="Arial" w:hAnsi="Arial" w:cs="Arial"/>
          <w:sz w:val="22"/>
          <w:szCs w:val="22"/>
        </w:rPr>
        <w:t xml:space="preserve"> </w:t>
      </w:r>
      <w:r w:rsidR="003B503B" w:rsidRPr="001C7347">
        <w:rPr>
          <w:rFonts w:ascii="Arial" w:hAnsi="Arial" w:cs="Arial"/>
          <w:color w:val="000000"/>
          <w:sz w:val="22"/>
          <w:szCs w:val="22"/>
        </w:rPr>
        <w:t>(Alyafei and Carr, 2024)</w:t>
      </w:r>
      <w:r w:rsidRPr="001C7347">
        <w:rPr>
          <w:rFonts w:ascii="Arial" w:hAnsi="Arial" w:cs="Arial"/>
          <w:sz w:val="22"/>
          <w:szCs w:val="22"/>
        </w:rPr>
        <w:t>.  These theories explain how perceptions of risk, self-efficacy, and social support affect lifestyle behaviours such as diet and physical activity</w:t>
      </w:r>
      <w:r w:rsidR="00BF0068" w:rsidRPr="001C7347">
        <w:rPr>
          <w:rFonts w:ascii="Arial" w:hAnsi="Arial" w:cs="Arial"/>
          <w:sz w:val="22"/>
          <w:szCs w:val="22"/>
        </w:rPr>
        <w:t>.  Previous studies have utilised these frameworks to design and evaluate interventions aimed at improving glycaemic control and reducing complications</w:t>
      </w:r>
      <w:r w:rsidR="003B503B" w:rsidRPr="001C7347">
        <w:rPr>
          <w:rFonts w:ascii="Arial" w:hAnsi="Arial" w:cs="Arial"/>
          <w:sz w:val="22"/>
          <w:szCs w:val="22"/>
        </w:rPr>
        <w:t xml:space="preserve"> </w:t>
      </w:r>
      <w:r w:rsidR="003B503B" w:rsidRPr="001C7347">
        <w:rPr>
          <w:rFonts w:ascii="Arial" w:hAnsi="Arial" w:cs="Arial"/>
          <w:color w:val="000000"/>
          <w:sz w:val="22"/>
          <w:szCs w:val="22"/>
        </w:rPr>
        <w:t>(Hamidi et al., 2022)</w:t>
      </w:r>
      <w:r w:rsidR="00BF0068" w:rsidRPr="001C7347">
        <w:rPr>
          <w:rFonts w:ascii="Arial" w:hAnsi="Arial" w:cs="Arial"/>
          <w:sz w:val="22"/>
          <w:szCs w:val="22"/>
        </w:rPr>
        <w:t>.</w:t>
      </w:r>
    </w:p>
    <w:p w14:paraId="2BB4256B" w14:textId="77777777" w:rsidR="00BF0068" w:rsidRDefault="00BF0068" w:rsidP="00903B48">
      <w:pPr>
        <w:spacing w:line="360" w:lineRule="auto"/>
      </w:pPr>
    </w:p>
    <w:p w14:paraId="631DE44B" w14:textId="1508C023" w:rsidR="00BF0068" w:rsidRPr="00CE253A" w:rsidRDefault="00BF0068" w:rsidP="00CE253A">
      <w:pPr>
        <w:spacing w:line="360" w:lineRule="auto"/>
        <w:rPr>
          <w:rFonts w:ascii="Arial" w:hAnsi="Arial" w:cs="Arial"/>
          <w:sz w:val="22"/>
          <w:szCs w:val="22"/>
        </w:rPr>
      </w:pPr>
      <w:r w:rsidRPr="00CE253A">
        <w:rPr>
          <w:rFonts w:ascii="Arial" w:hAnsi="Arial" w:cs="Arial"/>
          <w:sz w:val="22"/>
          <w:szCs w:val="22"/>
        </w:rPr>
        <w:t>Despite their contributions, these theories have limitations.  The biomedical model had been criticised for its narrow focus on physiological mechanisms, often overlooking social and environmental constraints faced by individuals</w:t>
      </w:r>
      <w:r w:rsidR="003B503B" w:rsidRPr="00CE253A">
        <w:rPr>
          <w:rFonts w:ascii="Arial" w:hAnsi="Arial" w:cs="Arial"/>
          <w:sz w:val="22"/>
          <w:szCs w:val="22"/>
        </w:rPr>
        <w:t xml:space="preserve"> </w:t>
      </w:r>
      <w:r w:rsidR="003B503B" w:rsidRPr="00CE253A">
        <w:rPr>
          <w:rFonts w:ascii="Arial" w:hAnsi="Arial" w:cs="Arial"/>
          <w:color w:val="000000"/>
          <w:sz w:val="22"/>
          <w:szCs w:val="22"/>
        </w:rPr>
        <w:t>(Wade and Halligan, 2004</w:t>
      </w:r>
      <w:r w:rsidR="009D328D" w:rsidRPr="00CE253A">
        <w:rPr>
          <w:rFonts w:ascii="Arial" w:hAnsi="Arial" w:cs="Arial"/>
          <w:color w:val="000000"/>
          <w:sz w:val="22"/>
          <w:szCs w:val="22"/>
        </w:rPr>
        <w:t>), (Pianese and Bordoni, 2025)</w:t>
      </w:r>
      <w:r w:rsidRPr="00CE253A">
        <w:rPr>
          <w:rFonts w:ascii="Arial" w:hAnsi="Arial" w:cs="Arial"/>
          <w:sz w:val="22"/>
          <w:szCs w:val="22"/>
        </w:rPr>
        <w:t>.  Behavioural models, while useful for intervention design, may overemphasise personal responsibility and fail to account for structural barriers such as food insecurity or limited access to healthcare</w:t>
      </w:r>
      <w:r w:rsidR="00D56324" w:rsidRPr="00CE253A">
        <w:rPr>
          <w:rFonts w:ascii="Arial" w:hAnsi="Arial" w:cs="Arial"/>
          <w:sz w:val="22"/>
          <w:szCs w:val="22"/>
        </w:rPr>
        <w:t xml:space="preserve"> </w:t>
      </w:r>
      <w:r w:rsidR="00D56324" w:rsidRPr="00CE253A">
        <w:rPr>
          <w:rFonts w:ascii="Arial" w:hAnsi="Arial" w:cs="Arial"/>
          <w:color w:val="000000"/>
          <w:sz w:val="22"/>
          <w:szCs w:val="22"/>
        </w:rPr>
        <w:t>(Beyera, O’Brien and Campbell, 2021)</w:t>
      </w:r>
      <w:r w:rsidRPr="00CE253A">
        <w:rPr>
          <w:rFonts w:ascii="Arial" w:hAnsi="Arial" w:cs="Arial"/>
          <w:sz w:val="22"/>
          <w:szCs w:val="22"/>
        </w:rPr>
        <w:t xml:space="preserve">.  The </w:t>
      </w:r>
      <w:r w:rsidRPr="00CE253A">
        <w:rPr>
          <w:rFonts w:ascii="Arial" w:hAnsi="Arial" w:cs="Arial"/>
          <w:sz w:val="22"/>
          <w:szCs w:val="22"/>
        </w:rPr>
        <w:lastRenderedPageBreak/>
        <w:t>biopsychosocial model offers a more holistic perspective but can be challenging to operationalise consistently in research and practice.</w:t>
      </w:r>
    </w:p>
    <w:p w14:paraId="0A9B47E7" w14:textId="77777777" w:rsidR="00BF0068" w:rsidRPr="001C7347" w:rsidRDefault="00BF0068" w:rsidP="001C7347">
      <w:pPr>
        <w:spacing w:line="360" w:lineRule="auto"/>
        <w:jc w:val="both"/>
        <w:rPr>
          <w:rFonts w:ascii="Arial" w:hAnsi="Arial" w:cs="Arial"/>
          <w:sz w:val="22"/>
          <w:szCs w:val="22"/>
        </w:rPr>
      </w:pPr>
    </w:p>
    <w:p w14:paraId="647CEAAF" w14:textId="34F42479" w:rsidR="001B2E76" w:rsidRPr="001C7347" w:rsidRDefault="00BF0068" w:rsidP="001C7347">
      <w:pPr>
        <w:spacing w:line="360" w:lineRule="auto"/>
        <w:jc w:val="both"/>
        <w:rPr>
          <w:rFonts w:ascii="Arial" w:hAnsi="Arial" w:cs="Arial"/>
          <w:sz w:val="22"/>
          <w:szCs w:val="22"/>
        </w:rPr>
      </w:pPr>
      <w:r w:rsidRPr="001C7347">
        <w:rPr>
          <w:rFonts w:ascii="Arial" w:hAnsi="Arial" w:cs="Arial"/>
          <w:sz w:val="22"/>
          <w:szCs w:val="22"/>
        </w:rPr>
        <w:t>Ongoing debates centre on balancing individual-level interventions with populations with population-level strategies.  Critics argue that without addressing wider socioeconomic inequalities, theoretical models risk oversimplifying the complexity of T2DM</w:t>
      </w:r>
      <w:r w:rsidR="00D56324" w:rsidRPr="001C7347">
        <w:rPr>
          <w:rFonts w:ascii="Arial" w:hAnsi="Arial" w:cs="Arial"/>
          <w:sz w:val="22"/>
          <w:szCs w:val="22"/>
        </w:rPr>
        <w:t xml:space="preserve"> </w:t>
      </w:r>
      <w:r w:rsidR="00D56324" w:rsidRPr="001C7347">
        <w:rPr>
          <w:rFonts w:ascii="Arial" w:hAnsi="Arial" w:cs="Arial"/>
          <w:color w:val="000000"/>
          <w:sz w:val="22"/>
          <w:szCs w:val="22"/>
        </w:rPr>
        <w:t>(Barry et al., 2023)</w:t>
      </w:r>
      <w:r w:rsidRPr="001C7347">
        <w:rPr>
          <w:rFonts w:ascii="Arial" w:hAnsi="Arial" w:cs="Arial"/>
          <w:sz w:val="22"/>
          <w:szCs w:val="22"/>
        </w:rPr>
        <w:t xml:space="preserve">.  Therefore, integrating multiple theoretical perspectives is increasingly advocated to provide a more comprehensive understanding </w:t>
      </w:r>
      <w:r w:rsidR="002848AB" w:rsidRPr="001C7347">
        <w:rPr>
          <w:rFonts w:ascii="Arial" w:hAnsi="Arial" w:cs="Arial"/>
          <w:sz w:val="22"/>
          <w:szCs w:val="22"/>
        </w:rPr>
        <w:t>of disease development and management, strengthening the conceptual foundation of this research.</w:t>
      </w:r>
    </w:p>
    <w:p w14:paraId="1CCFC272" w14:textId="69634057" w:rsidR="002848AB" w:rsidRDefault="002848AB" w:rsidP="00903B48">
      <w:pPr>
        <w:spacing w:line="360" w:lineRule="auto"/>
      </w:pPr>
    </w:p>
    <w:p w14:paraId="1FA83AE6" w14:textId="79061645" w:rsidR="002848AB" w:rsidRPr="00665AC3" w:rsidRDefault="002848AB" w:rsidP="001C7347">
      <w:pPr>
        <w:spacing w:line="360" w:lineRule="auto"/>
        <w:jc w:val="both"/>
        <w:rPr>
          <w:rFonts w:ascii="Arial" w:hAnsi="Arial" w:cs="Arial"/>
          <w:b/>
          <w:bCs/>
          <w:sz w:val="22"/>
          <w:szCs w:val="22"/>
        </w:rPr>
      </w:pPr>
      <w:r w:rsidRPr="00665AC3">
        <w:rPr>
          <w:rFonts w:ascii="Arial" w:hAnsi="Arial" w:cs="Arial"/>
          <w:b/>
          <w:bCs/>
          <w:sz w:val="22"/>
          <w:szCs w:val="22"/>
        </w:rPr>
        <w:t>INTERNATIONAL CONTEXT</w:t>
      </w:r>
    </w:p>
    <w:p w14:paraId="799143E2" w14:textId="75453346" w:rsidR="002848AB" w:rsidRPr="001C7347" w:rsidRDefault="002848AB" w:rsidP="001C7347">
      <w:pPr>
        <w:spacing w:line="360" w:lineRule="auto"/>
        <w:jc w:val="both"/>
        <w:rPr>
          <w:rFonts w:ascii="Arial" w:hAnsi="Arial" w:cs="Arial"/>
          <w:sz w:val="22"/>
          <w:szCs w:val="22"/>
        </w:rPr>
      </w:pPr>
      <w:r w:rsidRPr="001C7347">
        <w:rPr>
          <w:rFonts w:ascii="Arial" w:hAnsi="Arial" w:cs="Arial"/>
          <w:sz w:val="22"/>
          <w:szCs w:val="22"/>
        </w:rPr>
        <w:t xml:space="preserve">Globally, type 2 diabetes mellitus is recognised as a major public health </w:t>
      </w:r>
      <w:r w:rsidR="00B439CC" w:rsidRPr="001C7347">
        <w:rPr>
          <w:rFonts w:ascii="Arial" w:hAnsi="Arial" w:cs="Arial"/>
          <w:sz w:val="22"/>
          <w:szCs w:val="22"/>
        </w:rPr>
        <w:t>challenge, with prevalence increasing across both high-income and low-to middle income countries.  Internationally, T2DM is closely linked to urbanisation, dietary transitions, and reduced physical activity</w:t>
      </w:r>
      <w:r w:rsidR="00D56324" w:rsidRPr="001C7347">
        <w:rPr>
          <w:rFonts w:ascii="Arial" w:hAnsi="Arial" w:cs="Arial"/>
          <w:sz w:val="22"/>
          <w:szCs w:val="22"/>
        </w:rPr>
        <w:t xml:space="preserve"> </w:t>
      </w:r>
      <w:r w:rsidR="00D56324" w:rsidRPr="001C7347">
        <w:rPr>
          <w:rFonts w:ascii="Arial" w:hAnsi="Arial" w:cs="Arial"/>
          <w:color w:val="000000"/>
          <w:sz w:val="22"/>
          <w:szCs w:val="22"/>
        </w:rPr>
        <w:t>(Hossain, Al</w:t>
      </w:r>
      <w:r w:rsidR="00D56324" w:rsidRPr="001C7347">
        <w:rPr>
          <w:rFonts w:ascii="Cambria Math" w:hAnsi="Cambria Math" w:cs="Cambria Math"/>
          <w:color w:val="000000"/>
          <w:sz w:val="22"/>
          <w:szCs w:val="22"/>
        </w:rPr>
        <w:t>‐</w:t>
      </w:r>
      <w:r w:rsidR="00D56324" w:rsidRPr="001C7347">
        <w:rPr>
          <w:rFonts w:ascii="Arial" w:hAnsi="Arial" w:cs="Arial"/>
          <w:color w:val="000000"/>
          <w:sz w:val="22"/>
          <w:szCs w:val="22"/>
        </w:rPr>
        <w:t>Mamun and Islam, 2024)</w:t>
      </w:r>
      <w:r w:rsidR="00B439CC" w:rsidRPr="001C7347">
        <w:rPr>
          <w:rFonts w:ascii="Arial" w:hAnsi="Arial" w:cs="Arial"/>
          <w:sz w:val="22"/>
          <w:szCs w:val="22"/>
        </w:rPr>
        <w:t>.  The World Health Organisation has identified diabetes as one of the fastest-growing non-communicable diseases, promoting coordinated global action plans focused on prevention and early intervention</w:t>
      </w:r>
      <w:r w:rsidR="00D56324" w:rsidRPr="001C7347">
        <w:rPr>
          <w:rFonts w:ascii="Arial" w:hAnsi="Arial" w:cs="Arial"/>
          <w:sz w:val="22"/>
          <w:szCs w:val="22"/>
        </w:rPr>
        <w:t xml:space="preserve"> </w:t>
      </w:r>
      <w:r w:rsidR="00D56324" w:rsidRPr="001C7347">
        <w:rPr>
          <w:rFonts w:ascii="Arial" w:hAnsi="Arial" w:cs="Arial"/>
          <w:color w:val="000000"/>
          <w:sz w:val="22"/>
          <w:szCs w:val="22"/>
        </w:rPr>
        <w:t>(World Health Organization, 2024)</w:t>
      </w:r>
      <w:r w:rsidR="00B439CC" w:rsidRPr="001C7347">
        <w:rPr>
          <w:rFonts w:ascii="Arial" w:hAnsi="Arial" w:cs="Arial"/>
          <w:sz w:val="22"/>
          <w:szCs w:val="22"/>
        </w:rPr>
        <w:t>.</w:t>
      </w:r>
    </w:p>
    <w:p w14:paraId="671A32A4" w14:textId="73159863" w:rsidR="00B439CC" w:rsidRDefault="00B439CC" w:rsidP="00903B48">
      <w:pPr>
        <w:spacing w:line="360" w:lineRule="auto"/>
      </w:pPr>
    </w:p>
    <w:p w14:paraId="1E8413DD" w14:textId="50734EF3" w:rsidR="00B439CC" w:rsidRPr="001C7347" w:rsidRDefault="00B439CC" w:rsidP="001C7347">
      <w:pPr>
        <w:spacing w:line="360" w:lineRule="auto"/>
        <w:jc w:val="both"/>
        <w:rPr>
          <w:rFonts w:ascii="Arial" w:hAnsi="Arial" w:cs="Arial"/>
          <w:sz w:val="22"/>
          <w:szCs w:val="22"/>
        </w:rPr>
      </w:pPr>
      <w:r w:rsidRPr="001C7347">
        <w:rPr>
          <w:rFonts w:ascii="Arial" w:hAnsi="Arial" w:cs="Arial"/>
          <w:sz w:val="22"/>
          <w:szCs w:val="22"/>
        </w:rPr>
        <w:t>Approaches to T2DM management vary internationally.  High-income countries</w:t>
      </w:r>
      <w:r w:rsidR="00D66D52" w:rsidRPr="001C7347">
        <w:rPr>
          <w:rFonts w:ascii="Arial" w:hAnsi="Arial" w:cs="Arial"/>
          <w:sz w:val="22"/>
          <w:szCs w:val="22"/>
        </w:rPr>
        <w:t xml:space="preserve"> often prioritise structured screening programmes, pharmacological treatment, and multidisciplinary care.  In contrast, </w:t>
      </w:r>
      <w:r w:rsidR="004F0E51" w:rsidRPr="001C7347">
        <w:rPr>
          <w:rFonts w:ascii="Arial" w:hAnsi="Arial" w:cs="Arial"/>
          <w:sz w:val="22"/>
          <w:szCs w:val="22"/>
        </w:rPr>
        <w:t>lower-income regions may face challenges related to limited healthcare infrastructure, delayed diagnosis, and restricted access to medication</w:t>
      </w:r>
      <w:r w:rsidR="00427C44" w:rsidRPr="001C7347">
        <w:rPr>
          <w:rFonts w:ascii="Arial" w:hAnsi="Arial" w:cs="Arial"/>
          <w:sz w:val="22"/>
          <w:szCs w:val="22"/>
        </w:rPr>
        <w:t xml:space="preserve"> </w:t>
      </w:r>
      <w:r w:rsidR="00427C44" w:rsidRPr="001C7347">
        <w:rPr>
          <w:rFonts w:ascii="Arial" w:hAnsi="Arial" w:cs="Arial"/>
          <w:color w:val="000000"/>
          <w:sz w:val="22"/>
          <w:szCs w:val="22"/>
        </w:rPr>
        <w:t>(Sugandh et al., 2023)</w:t>
      </w:r>
      <w:r w:rsidR="004F0E51" w:rsidRPr="001C7347">
        <w:rPr>
          <w:rFonts w:ascii="Arial" w:hAnsi="Arial" w:cs="Arial"/>
          <w:sz w:val="22"/>
          <w:szCs w:val="22"/>
        </w:rPr>
        <w:t>.  Despite these differences, global initiatives emphasise lifestyle modification and community-based prevention strategies.</w:t>
      </w:r>
    </w:p>
    <w:p w14:paraId="297AF863" w14:textId="6D97BC56" w:rsidR="004F0E51" w:rsidRDefault="004F0E51" w:rsidP="00903B48">
      <w:pPr>
        <w:spacing w:line="360" w:lineRule="auto"/>
      </w:pPr>
    </w:p>
    <w:p w14:paraId="71212F4B" w14:textId="063CBD08" w:rsidR="004F0E51" w:rsidRPr="007A406A" w:rsidRDefault="004F0E51" w:rsidP="007A406A">
      <w:pPr>
        <w:spacing w:line="360" w:lineRule="auto"/>
        <w:jc w:val="both"/>
        <w:rPr>
          <w:rFonts w:ascii="Arial" w:hAnsi="Arial" w:cs="Arial"/>
          <w:sz w:val="22"/>
          <w:szCs w:val="22"/>
        </w:rPr>
      </w:pPr>
      <w:r w:rsidRPr="007A406A">
        <w:rPr>
          <w:rFonts w:ascii="Arial" w:hAnsi="Arial" w:cs="Arial"/>
          <w:sz w:val="22"/>
          <w:szCs w:val="22"/>
        </w:rPr>
        <w:t>Comparative analysis reveals that countries such as Finland and Japan have achieved notable success through population-level interventions promoting healthy diets and physical activity.  Conversely, rapidly developing nations, including India and China, report escalating T2DM rates due to urban lifestyles and nutritional changes.  International collaborations, such as global diabetes surveillance programmes, aim to standardise data collection and inform policy responses</w:t>
      </w:r>
      <w:r w:rsidR="00016F6F" w:rsidRPr="007A406A">
        <w:rPr>
          <w:rFonts w:ascii="Arial" w:hAnsi="Arial" w:cs="Arial"/>
          <w:sz w:val="22"/>
          <w:szCs w:val="22"/>
        </w:rPr>
        <w:t xml:space="preserve"> </w:t>
      </w:r>
      <w:r w:rsidR="00016F6F" w:rsidRPr="007A406A">
        <w:rPr>
          <w:rFonts w:ascii="Arial" w:hAnsi="Arial" w:cs="Arial"/>
          <w:color w:val="000000"/>
          <w:sz w:val="22"/>
          <w:szCs w:val="22"/>
        </w:rPr>
        <w:t>(Galaviz et al., 2019)</w:t>
      </w:r>
      <w:r w:rsidRPr="007A406A">
        <w:rPr>
          <w:rFonts w:ascii="Arial" w:hAnsi="Arial" w:cs="Arial"/>
          <w:sz w:val="22"/>
          <w:szCs w:val="22"/>
        </w:rPr>
        <w:t>.</w:t>
      </w:r>
    </w:p>
    <w:p w14:paraId="36653AED" w14:textId="6492733B" w:rsidR="004F0E51" w:rsidRDefault="004F0E51" w:rsidP="00903B48">
      <w:pPr>
        <w:spacing w:line="360" w:lineRule="auto"/>
      </w:pPr>
    </w:p>
    <w:p w14:paraId="615B962B" w14:textId="7D6063EA" w:rsidR="004F0E51" w:rsidRPr="007A406A" w:rsidRDefault="004F0E51" w:rsidP="007A406A">
      <w:pPr>
        <w:spacing w:line="360" w:lineRule="auto"/>
        <w:jc w:val="both"/>
        <w:rPr>
          <w:rFonts w:ascii="Arial" w:hAnsi="Arial" w:cs="Arial"/>
          <w:sz w:val="22"/>
          <w:szCs w:val="22"/>
        </w:rPr>
      </w:pPr>
      <w:r w:rsidRPr="007A406A">
        <w:rPr>
          <w:rFonts w:ascii="Arial" w:hAnsi="Arial" w:cs="Arial"/>
          <w:sz w:val="22"/>
          <w:szCs w:val="22"/>
        </w:rPr>
        <w:t>Case studies illustrate both successes and challenges.  For example, large-scale prevention programmes in Scandinavia have reduced incidence rates through early lifestyle interventions, while resource-limited settings continue to struggle with late presentation and complications</w:t>
      </w:r>
      <w:r w:rsidR="00CC7B16" w:rsidRPr="007A406A">
        <w:rPr>
          <w:rFonts w:ascii="Arial" w:hAnsi="Arial" w:cs="Arial"/>
          <w:sz w:val="22"/>
          <w:szCs w:val="22"/>
        </w:rPr>
        <w:t xml:space="preserve"> </w:t>
      </w:r>
      <w:r w:rsidR="00CC7B16" w:rsidRPr="007A406A">
        <w:rPr>
          <w:rFonts w:ascii="Arial" w:hAnsi="Arial" w:cs="Arial"/>
          <w:color w:val="000000"/>
          <w:sz w:val="22"/>
          <w:szCs w:val="22"/>
        </w:rPr>
        <w:lastRenderedPageBreak/>
        <w:t>(Fritzell and Fors, 2025)</w:t>
      </w:r>
      <w:r w:rsidRPr="007A406A">
        <w:rPr>
          <w:rFonts w:ascii="Arial" w:hAnsi="Arial" w:cs="Arial"/>
          <w:sz w:val="22"/>
          <w:szCs w:val="22"/>
        </w:rPr>
        <w:t>.  These international perspectives highlight the importance of adaptable, contex</w:t>
      </w:r>
      <w:r w:rsidR="008D026B" w:rsidRPr="007A406A">
        <w:rPr>
          <w:rFonts w:ascii="Arial" w:hAnsi="Arial" w:cs="Arial"/>
          <w:sz w:val="22"/>
          <w:szCs w:val="22"/>
        </w:rPr>
        <w:t>t specific strategies and provide valuable insights fir evaluating UK-based approaches.</w:t>
      </w:r>
    </w:p>
    <w:p w14:paraId="5B1BEBE1" w14:textId="5934FE70" w:rsidR="008D026B" w:rsidRPr="00E52633" w:rsidRDefault="008D026B" w:rsidP="00903B48">
      <w:pPr>
        <w:spacing w:line="360" w:lineRule="auto"/>
        <w:rPr>
          <w:sz w:val="28"/>
          <w:szCs w:val="28"/>
        </w:rPr>
      </w:pPr>
    </w:p>
    <w:p w14:paraId="16BAC519" w14:textId="162815FE" w:rsidR="00045DA2" w:rsidRPr="00E52633" w:rsidRDefault="008D026B" w:rsidP="007A406A">
      <w:pPr>
        <w:spacing w:line="360" w:lineRule="auto"/>
        <w:jc w:val="both"/>
        <w:rPr>
          <w:rFonts w:ascii="Arial" w:hAnsi="Arial" w:cs="Arial"/>
          <w:b/>
          <w:bCs/>
          <w:sz w:val="28"/>
          <w:szCs w:val="28"/>
        </w:rPr>
      </w:pPr>
      <w:r w:rsidRPr="00E52633">
        <w:rPr>
          <w:rFonts w:ascii="Arial" w:hAnsi="Arial" w:cs="Arial"/>
          <w:b/>
          <w:bCs/>
          <w:sz w:val="28"/>
          <w:szCs w:val="28"/>
        </w:rPr>
        <w:t>NATIONAL AND LOCAL UK CONTEXT</w:t>
      </w:r>
    </w:p>
    <w:p w14:paraId="70428798" w14:textId="2E4B5CCA" w:rsidR="008D026B" w:rsidRPr="007A406A" w:rsidRDefault="008D026B" w:rsidP="007A406A">
      <w:pPr>
        <w:spacing w:line="360" w:lineRule="auto"/>
        <w:jc w:val="both"/>
        <w:rPr>
          <w:rFonts w:ascii="Arial" w:hAnsi="Arial" w:cs="Arial"/>
          <w:sz w:val="22"/>
          <w:szCs w:val="22"/>
        </w:rPr>
      </w:pPr>
      <w:r w:rsidRPr="007A406A">
        <w:rPr>
          <w:rFonts w:ascii="Arial" w:hAnsi="Arial" w:cs="Arial"/>
          <w:sz w:val="22"/>
          <w:szCs w:val="22"/>
        </w:rPr>
        <w:t>Within the UK, type 2 diabetes mellitus represents a significant and growing public health concern</w:t>
      </w:r>
      <w:r w:rsidR="003646DE" w:rsidRPr="007A406A">
        <w:rPr>
          <w:rFonts w:ascii="Arial" w:hAnsi="Arial" w:cs="Arial"/>
          <w:sz w:val="22"/>
          <w:szCs w:val="22"/>
        </w:rPr>
        <w:t xml:space="preserve"> </w:t>
      </w:r>
      <w:r w:rsidR="003646DE" w:rsidRPr="007A406A">
        <w:rPr>
          <w:rFonts w:ascii="Arial" w:hAnsi="Arial" w:cs="Arial"/>
          <w:color w:val="000000"/>
          <w:sz w:val="22"/>
          <w:szCs w:val="22"/>
        </w:rPr>
        <w:t>(Au-Yeung et al., 2024)</w:t>
      </w:r>
      <w:r w:rsidRPr="007A406A">
        <w:rPr>
          <w:rFonts w:ascii="Arial" w:hAnsi="Arial" w:cs="Arial"/>
          <w:sz w:val="22"/>
          <w:szCs w:val="22"/>
        </w:rPr>
        <w:t>.  Rising prevalence is strongly associated with ageing populations, obesity, and socioeconomic deprivation.  Nationally, T2DM places substantial pressure on healthcare services, particularly due to its long-term complications.  NHS England has prioritised diabetes prevention and management through structured care pathway and early intervention initiatives</w:t>
      </w:r>
      <w:r w:rsidR="003646DE" w:rsidRPr="007A406A">
        <w:rPr>
          <w:rFonts w:ascii="Arial" w:hAnsi="Arial" w:cs="Arial"/>
          <w:sz w:val="22"/>
          <w:szCs w:val="22"/>
        </w:rPr>
        <w:t xml:space="preserve"> </w:t>
      </w:r>
      <w:r w:rsidR="003646DE" w:rsidRPr="007A406A">
        <w:rPr>
          <w:rFonts w:ascii="Arial" w:hAnsi="Arial" w:cs="Arial"/>
          <w:color w:val="000000"/>
          <w:sz w:val="22"/>
          <w:szCs w:val="22"/>
        </w:rPr>
        <w:t>(NHS England, 2019)</w:t>
      </w:r>
      <w:r w:rsidRPr="007A406A">
        <w:rPr>
          <w:rFonts w:ascii="Arial" w:hAnsi="Arial" w:cs="Arial"/>
          <w:sz w:val="22"/>
          <w:szCs w:val="22"/>
        </w:rPr>
        <w:t>.</w:t>
      </w:r>
    </w:p>
    <w:p w14:paraId="28BC3F41" w14:textId="58D35C8E" w:rsidR="008D026B" w:rsidRPr="007A406A" w:rsidRDefault="008D026B" w:rsidP="007A406A">
      <w:pPr>
        <w:spacing w:line="360" w:lineRule="auto"/>
        <w:jc w:val="both"/>
        <w:rPr>
          <w:rFonts w:ascii="Arial" w:hAnsi="Arial" w:cs="Arial"/>
          <w:sz w:val="22"/>
          <w:szCs w:val="22"/>
        </w:rPr>
      </w:pPr>
    </w:p>
    <w:p w14:paraId="3F92996A" w14:textId="0643D94E" w:rsidR="008D026B" w:rsidRPr="007A406A" w:rsidRDefault="008D026B" w:rsidP="007A406A">
      <w:pPr>
        <w:spacing w:line="360" w:lineRule="auto"/>
        <w:jc w:val="both"/>
        <w:rPr>
          <w:rFonts w:ascii="Arial" w:hAnsi="Arial" w:cs="Arial"/>
          <w:sz w:val="22"/>
          <w:szCs w:val="22"/>
        </w:rPr>
      </w:pPr>
      <w:r w:rsidRPr="007A406A">
        <w:rPr>
          <w:rFonts w:ascii="Arial" w:hAnsi="Arial" w:cs="Arial"/>
          <w:sz w:val="22"/>
          <w:szCs w:val="22"/>
        </w:rPr>
        <w:t>Key national policies include the NHS Long Term Plan and the Diabetes Prevention Programme, which focus on reducing incidence through lifestyle modification and early identification of high-risk individuals</w:t>
      </w:r>
      <w:r w:rsidR="00596877" w:rsidRPr="007A406A">
        <w:rPr>
          <w:rFonts w:ascii="Arial" w:hAnsi="Arial" w:cs="Arial"/>
          <w:sz w:val="22"/>
          <w:szCs w:val="22"/>
        </w:rPr>
        <w:t xml:space="preserve"> </w:t>
      </w:r>
      <w:r w:rsidR="00596877" w:rsidRPr="007A406A">
        <w:rPr>
          <w:rFonts w:ascii="Arial" w:hAnsi="Arial" w:cs="Arial"/>
          <w:color w:val="000000"/>
          <w:sz w:val="22"/>
          <w:szCs w:val="22"/>
        </w:rPr>
        <w:t>(NHS England, 2023)</w:t>
      </w:r>
      <w:r w:rsidRPr="007A406A">
        <w:rPr>
          <w:rFonts w:ascii="Arial" w:hAnsi="Arial" w:cs="Arial"/>
          <w:sz w:val="22"/>
          <w:szCs w:val="22"/>
        </w:rPr>
        <w:t>.  These policies emphasis integrated care, patient education, and multidisciplinary working.  Legislative frameworks addressing public health, such as obesity and sugar reduction strategies, further influence national responses to T2DM</w:t>
      </w:r>
      <w:r w:rsidR="003F0DB8" w:rsidRPr="007A406A">
        <w:rPr>
          <w:rFonts w:ascii="Arial" w:hAnsi="Arial" w:cs="Arial"/>
          <w:sz w:val="22"/>
          <w:szCs w:val="22"/>
        </w:rPr>
        <w:t xml:space="preserve"> </w:t>
      </w:r>
      <w:r w:rsidR="003F0DB8" w:rsidRPr="007A406A">
        <w:rPr>
          <w:rFonts w:ascii="Arial" w:hAnsi="Arial" w:cs="Arial"/>
          <w:color w:val="000000"/>
          <w:sz w:val="22"/>
          <w:szCs w:val="22"/>
        </w:rPr>
        <w:t>(Dailah, 2024)</w:t>
      </w:r>
      <w:r w:rsidRPr="007A406A">
        <w:rPr>
          <w:rFonts w:ascii="Arial" w:hAnsi="Arial" w:cs="Arial"/>
          <w:sz w:val="22"/>
          <w:szCs w:val="22"/>
        </w:rPr>
        <w:t>.</w:t>
      </w:r>
    </w:p>
    <w:p w14:paraId="2E674C76" w14:textId="4BED09A8" w:rsidR="008D026B" w:rsidRDefault="008D026B" w:rsidP="00903B48">
      <w:pPr>
        <w:spacing w:line="360" w:lineRule="auto"/>
      </w:pPr>
    </w:p>
    <w:p w14:paraId="5F98541C" w14:textId="044A508E" w:rsidR="008D026B" w:rsidRPr="00AF5B89" w:rsidRDefault="008D026B" w:rsidP="00AF5B89">
      <w:pPr>
        <w:spacing w:line="360" w:lineRule="auto"/>
        <w:rPr>
          <w:rFonts w:ascii="Arial" w:hAnsi="Arial" w:cs="Arial"/>
          <w:sz w:val="22"/>
          <w:szCs w:val="22"/>
        </w:rPr>
      </w:pPr>
      <w:r w:rsidRPr="00AF5B89">
        <w:rPr>
          <w:rFonts w:ascii="Arial" w:hAnsi="Arial" w:cs="Arial"/>
          <w:sz w:val="22"/>
          <w:szCs w:val="22"/>
        </w:rPr>
        <w:t>At a local level, implementation varies across regions, reflecting differences in population demographics and resource allocation.  Integrated Care Systems (ICSs) play a central role in coordinating diabetes services, tailoring interventions to local needs</w:t>
      </w:r>
      <w:r w:rsidR="00B378CE" w:rsidRPr="00AF5B89">
        <w:rPr>
          <w:rFonts w:ascii="Arial" w:hAnsi="Arial" w:cs="Arial"/>
          <w:sz w:val="22"/>
          <w:szCs w:val="22"/>
        </w:rPr>
        <w:t xml:space="preserve"> </w:t>
      </w:r>
      <w:r w:rsidR="00B378CE" w:rsidRPr="00AF5B89">
        <w:rPr>
          <w:rFonts w:ascii="Arial" w:hAnsi="Arial" w:cs="Arial"/>
          <w:color w:val="000000"/>
          <w:sz w:val="22"/>
          <w:szCs w:val="22"/>
        </w:rPr>
        <w:t>(Bliss, Williamson and Alayo, 2023)</w:t>
      </w:r>
      <w:r w:rsidRPr="00AF5B89">
        <w:rPr>
          <w:rFonts w:ascii="Arial" w:hAnsi="Arial" w:cs="Arial"/>
          <w:sz w:val="22"/>
          <w:szCs w:val="22"/>
        </w:rPr>
        <w:t>.  Areas with higher deprivation and greater ethnic diversity often experience dispropo</w:t>
      </w:r>
      <w:r w:rsidR="003016EE" w:rsidRPr="00AF5B89">
        <w:rPr>
          <w:rFonts w:ascii="Arial" w:hAnsi="Arial" w:cs="Arial"/>
          <w:sz w:val="22"/>
          <w:szCs w:val="22"/>
        </w:rPr>
        <w:t>rtionately higher prevalence rates, promoting targeted community-based initiatives</w:t>
      </w:r>
      <w:r w:rsidR="00B378CE" w:rsidRPr="00AF5B89">
        <w:rPr>
          <w:rFonts w:ascii="Arial" w:hAnsi="Arial" w:cs="Arial"/>
          <w:sz w:val="22"/>
          <w:szCs w:val="22"/>
        </w:rPr>
        <w:t xml:space="preserve"> </w:t>
      </w:r>
      <w:r w:rsidR="00B378CE" w:rsidRPr="00AF5B89">
        <w:rPr>
          <w:rFonts w:ascii="Arial" w:hAnsi="Arial" w:cs="Arial"/>
          <w:color w:val="000000"/>
          <w:sz w:val="22"/>
          <w:szCs w:val="22"/>
        </w:rPr>
        <w:t>(Bansal et al., 2022)</w:t>
      </w:r>
      <w:r w:rsidR="003016EE" w:rsidRPr="00AF5B89">
        <w:rPr>
          <w:rFonts w:ascii="Arial" w:hAnsi="Arial" w:cs="Arial"/>
          <w:sz w:val="22"/>
          <w:szCs w:val="22"/>
        </w:rPr>
        <w:t>.</w:t>
      </w:r>
      <w:r w:rsidR="000D1A74" w:rsidRPr="00AF5B89">
        <w:rPr>
          <w:rFonts w:ascii="Arial" w:hAnsi="Arial" w:cs="Arial"/>
          <w:sz w:val="22"/>
          <w:szCs w:val="22"/>
        </w:rPr>
        <w:t xml:space="preserve">  For example, the Healthier You: NHS Diabetes Prevention Programme has been delivered locally across ICS regions, including the Black Country and West Birmingham ICS, where interventions are adapted to address higher-risk South Asian populations through culturally appropriate dietary advice and community engagement strategies</w:t>
      </w:r>
      <w:r w:rsidR="00AF5B89" w:rsidRPr="00AF5B89">
        <w:rPr>
          <w:rFonts w:ascii="Arial" w:hAnsi="Arial" w:cs="Arial"/>
          <w:sz w:val="22"/>
          <w:szCs w:val="22"/>
        </w:rPr>
        <w:t xml:space="preserve"> </w:t>
      </w:r>
      <w:r w:rsidR="00AF5B89" w:rsidRPr="00AF5B89">
        <w:rPr>
          <w:rFonts w:ascii="Arial" w:hAnsi="Arial" w:cs="Arial"/>
          <w:color w:val="000000"/>
          <w:sz w:val="22"/>
          <w:szCs w:val="22"/>
        </w:rPr>
        <w:t>(England, 2023)</w:t>
      </w:r>
      <w:r w:rsidR="000D1A74" w:rsidRPr="00AF5B89">
        <w:rPr>
          <w:rFonts w:ascii="Arial" w:hAnsi="Arial" w:cs="Arial"/>
          <w:sz w:val="22"/>
          <w:szCs w:val="22"/>
        </w:rPr>
        <w:t>.  Similarly, in London, the Diabetes Transformation Programme has supported borough-level initiatives such as enhanced primary care screening and structured education programmes (e.g., DESMOND), aimed at early detection and self-management</w:t>
      </w:r>
      <w:r w:rsidR="00AF5B89" w:rsidRPr="00AF5B89">
        <w:rPr>
          <w:rFonts w:ascii="Arial" w:hAnsi="Arial" w:cs="Arial"/>
          <w:sz w:val="22"/>
          <w:szCs w:val="22"/>
        </w:rPr>
        <w:t xml:space="preserve"> </w:t>
      </w:r>
      <w:r w:rsidR="00AF5B89" w:rsidRPr="00AF5B89">
        <w:rPr>
          <w:rFonts w:ascii="Arial" w:hAnsi="Arial" w:cs="Arial"/>
          <w:color w:val="000000"/>
          <w:sz w:val="22"/>
          <w:szCs w:val="22"/>
        </w:rPr>
        <w:t>(DESMOND, 2023)</w:t>
      </w:r>
      <w:r w:rsidR="000D1A74" w:rsidRPr="00AF5B89">
        <w:rPr>
          <w:rFonts w:ascii="Arial" w:hAnsi="Arial" w:cs="Arial"/>
          <w:sz w:val="22"/>
          <w:szCs w:val="22"/>
        </w:rPr>
        <w:t>.</w:t>
      </w:r>
    </w:p>
    <w:p w14:paraId="43610F0A" w14:textId="7D8ACCEB" w:rsidR="003016EE" w:rsidRDefault="003016EE" w:rsidP="00903B48">
      <w:pPr>
        <w:spacing w:line="360" w:lineRule="auto"/>
      </w:pPr>
    </w:p>
    <w:p w14:paraId="50E44EDA" w14:textId="35F8049D" w:rsidR="003016EE" w:rsidRPr="004E780F" w:rsidRDefault="003016EE" w:rsidP="004E780F">
      <w:pPr>
        <w:spacing w:line="360" w:lineRule="auto"/>
        <w:rPr>
          <w:rFonts w:ascii="Arial" w:hAnsi="Arial" w:cs="Arial"/>
          <w:sz w:val="22"/>
          <w:szCs w:val="22"/>
        </w:rPr>
      </w:pPr>
      <w:r w:rsidRPr="004E780F">
        <w:rPr>
          <w:rFonts w:ascii="Arial" w:hAnsi="Arial" w:cs="Arial"/>
          <w:sz w:val="22"/>
          <w:szCs w:val="22"/>
        </w:rPr>
        <w:t>Local programmes may include culturally tailored education, primary care-led screening, and partnerships with voluntary organisations.</w:t>
      </w:r>
      <w:r w:rsidR="00EC0515" w:rsidRPr="004E780F">
        <w:rPr>
          <w:rFonts w:ascii="Arial" w:hAnsi="Arial" w:cs="Arial"/>
          <w:sz w:val="22"/>
          <w:szCs w:val="22"/>
        </w:rPr>
        <w:t xml:space="preserve"> For instance, regional initiatives such as the ‘Living Well Taking Control’ programme-commissioned in several area including the </w:t>
      </w:r>
      <w:r w:rsidR="00EC0515" w:rsidRPr="004E780F">
        <w:rPr>
          <w:rFonts w:ascii="Arial" w:hAnsi="Arial" w:cs="Arial"/>
          <w:sz w:val="22"/>
          <w:szCs w:val="22"/>
        </w:rPr>
        <w:lastRenderedPageBreak/>
        <w:t>Midlands-provide beh</w:t>
      </w:r>
      <w:r w:rsidR="00411EA7" w:rsidRPr="004E780F">
        <w:rPr>
          <w:rFonts w:ascii="Arial" w:hAnsi="Arial" w:cs="Arial"/>
          <w:sz w:val="22"/>
          <w:szCs w:val="22"/>
        </w:rPr>
        <w:t>a</w:t>
      </w:r>
      <w:r w:rsidR="00EC0515" w:rsidRPr="004E780F">
        <w:rPr>
          <w:rFonts w:ascii="Arial" w:hAnsi="Arial" w:cs="Arial"/>
          <w:sz w:val="22"/>
          <w:szCs w:val="22"/>
        </w:rPr>
        <w:t>vio</w:t>
      </w:r>
      <w:r w:rsidR="00B63C96" w:rsidRPr="004E780F">
        <w:rPr>
          <w:rFonts w:ascii="Arial" w:hAnsi="Arial" w:cs="Arial"/>
          <w:sz w:val="22"/>
          <w:szCs w:val="22"/>
        </w:rPr>
        <w:t>u</w:t>
      </w:r>
      <w:r w:rsidR="00EC0515" w:rsidRPr="004E780F">
        <w:rPr>
          <w:rFonts w:ascii="Arial" w:hAnsi="Arial" w:cs="Arial"/>
          <w:sz w:val="22"/>
          <w:szCs w:val="22"/>
        </w:rPr>
        <w:t>ral interventions focusing on weight management and physical activity, while community-led schemes delivered through organisations such as Diab</w:t>
      </w:r>
      <w:r w:rsidR="00411EA7" w:rsidRPr="004E780F">
        <w:rPr>
          <w:rFonts w:ascii="Arial" w:hAnsi="Arial" w:cs="Arial"/>
          <w:sz w:val="22"/>
          <w:szCs w:val="22"/>
        </w:rPr>
        <w:t>e</w:t>
      </w:r>
      <w:r w:rsidR="00EC0515" w:rsidRPr="004E780F">
        <w:rPr>
          <w:rFonts w:ascii="Arial" w:hAnsi="Arial" w:cs="Arial"/>
          <w:sz w:val="22"/>
          <w:szCs w:val="22"/>
        </w:rPr>
        <w:t>tes</w:t>
      </w:r>
      <w:r w:rsidR="00AF5B89" w:rsidRPr="004E780F">
        <w:rPr>
          <w:rFonts w:ascii="Arial" w:hAnsi="Arial" w:cs="Arial"/>
          <w:sz w:val="22"/>
          <w:szCs w:val="22"/>
        </w:rPr>
        <w:t xml:space="preserve"> </w:t>
      </w:r>
      <w:r w:rsidR="00EC0515" w:rsidRPr="004E780F">
        <w:rPr>
          <w:rFonts w:ascii="Arial" w:hAnsi="Arial" w:cs="Arial"/>
          <w:sz w:val="22"/>
          <w:szCs w:val="22"/>
        </w:rPr>
        <w:t>UK local groups offer peer support and education tailored to specific populations</w:t>
      </w:r>
      <w:r w:rsidR="00600F43" w:rsidRPr="004E780F">
        <w:rPr>
          <w:rFonts w:ascii="Arial" w:hAnsi="Arial" w:cs="Arial"/>
          <w:sz w:val="22"/>
          <w:szCs w:val="22"/>
        </w:rPr>
        <w:t xml:space="preserve"> </w:t>
      </w:r>
      <w:r w:rsidR="00600F43" w:rsidRPr="004E780F">
        <w:rPr>
          <w:rFonts w:ascii="Arial" w:hAnsi="Arial" w:cs="Arial"/>
          <w:color w:val="000000"/>
          <w:sz w:val="22"/>
          <w:szCs w:val="22"/>
        </w:rPr>
        <w:t>(Smith et al., 2019)</w:t>
      </w:r>
      <w:r w:rsidR="00EC0515" w:rsidRPr="004E780F">
        <w:rPr>
          <w:rFonts w:ascii="Arial" w:hAnsi="Arial" w:cs="Arial"/>
          <w:sz w:val="22"/>
          <w:szCs w:val="22"/>
        </w:rPr>
        <w:t>.</w:t>
      </w:r>
      <w:r w:rsidRPr="004E780F">
        <w:rPr>
          <w:rFonts w:ascii="Arial" w:hAnsi="Arial" w:cs="Arial"/>
          <w:sz w:val="22"/>
          <w:szCs w:val="22"/>
        </w:rPr>
        <w:t xml:space="preserve">  However, regional variation persists in service accessibility and outcomes.  Understanding these national and local contexts is essential for evaluating current management strategies and identifying areas for improvement within the UK healthcare system</w:t>
      </w:r>
      <w:r w:rsidR="006A59F5" w:rsidRPr="004E780F">
        <w:rPr>
          <w:rFonts w:ascii="Arial" w:hAnsi="Arial" w:cs="Arial"/>
          <w:sz w:val="22"/>
          <w:szCs w:val="22"/>
        </w:rPr>
        <w:t xml:space="preserve"> </w:t>
      </w:r>
      <w:r w:rsidR="006A59F5" w:rsidRPr="004E780F">
        <w:rPr>
          <w:rFonts w:ascii="Arial" w:hAnsi="Arial" w:cs="Arial"/>
          <w:color w:val="000000"/>
          <w:sz w:val="22"/>
          <w:szCs w:val="22"/>
        </w:rPr>
        <w:t>(Hayes et al., 2012)</w:t>
      </w:r>
      <w:r w:rsidRPr="004E780F">
        <w:rPr>
          <w:rFonts w:ascii="Arial" w:hAnsi="Arial" w:cs="Arial"/>
          <w:sz w:val="22"/>
          <w:szCs w:val="22"/>
        </w:rPr>
        <w:t>.</w:t>
      </w:r>
      <w:r w:rsidR="00447029" w:rsidRPr="004E780F">
        <w:rPr>
          <w:rFonts w:ascii="Arial" w:hAnsi="Arial" w:cs="Arial"/>
          <w:sz w:val="22"/>
          <w:szCs w:val="22"/>
        </w:rPr>
        <w:t xml:space="preserve"> </w:t>
      </w:r>
    </w:p>
    <w:p w14:paraId="6D2A9434" w14:textId="15846DFA" w:rsidR="003016EE" w:rsidRPr="00E52633" w:rsidRDefault="003016EE" w:rsidP="00903B48">
      <w:pPr>
        <w:spacing w:line="360" w:lineRule="auto"/>
        <w:rPr>
          <w:b/>
          <w:bCs/>
          <w:sz w:val="28"/>
          <w:szCs w:val="28"/>
        </w:rPr>
      </w:pPr>
    </w:p>
    <w:p w14:paraId="147BD6A1" w14:textId="111973E2" w:rsidR="003016EE" w:rsidRPr="00E52633" w:rsidRDefault="003016EE" w:rsidP="007A406A">
      <w:pPr>
        <w:spacing w:line="360" w:lineRule="auto"/>
        <w:jc w:val="both"/>
        <w:rPr>
          <w:rFonts w:ascii="Arial" w:hAnsi="Arial" w:cs="Arial"/>
          <w:b/>
          <w:bCs/>
          <w:sz w:val="28"/>
          <w:szCs w:val="28"/>
        </w:rPr>
      </w:pPr>
      <w:r w:rsidRPr="00E52633">
        <w:rPr>
          <w:rFonts w:ascii="Arial" w:hAnsi="Arial" w:cs="Arial"/>
          <w:b/>
          <w:bCs/>
          <w:sz w:val="28"/>
          <w:szCs w:val="28"/>
        </w:rPr>
        <w:t>CONCLUSION AND TRANSITION TO METHODOLOGY</w:t>
      </w:r>
    </w:p>
    <w:p w14:paraId="187F629F" w14:textId="3139ECB5" w:rsidR="003016EE" w:rsidRPr="007A406A" w:rsidRDefault="003016EE" w:rsidP="007A406A">
      <w:pPr>
        <w:spacing w:line="360" w:lineRule="auto"/>
        <w:jc w:val="both"/>
        <w:rPr>
          <w:rFonts w:ascii="Arial" w:hAnsi="Arial" w:cs="Arial"/>
          <w:sz w:val="22"/>
          <w:szCs w:val="22"/>
        </w:rPr>
      </w:pPr>
      <w:r w:rsidRPr="007A406A">
        <w:rPr>
          <w:rFonts w:ascii="Arial" w:hAnsi="Arial" w:cs="Arial"/>
          <w:sz w:val="22"/>
          <w:szCs w:val="22"/>
        </w:rPr>
        <w:t>This background chapter has provided a comprehensive overview of type 2 diabetes mellitus, examining its historical development, theoretical foundations, and international, national, and local contexts.  The discussion has demonstrated how T2DM has evolved from a re</w:t>
      </w:r>
      <w:r w:rsidR="00655FB4" w:rsidRPr="007A406A">
        <w:rPr>
          <w:rFonts w:ascii="Arial" w:hAnsi="Arial" w:cs="Arial"/>
          <w:sz w:val="22"/>
          <w:szCs w:val="22"/>
        </w:rPr>
        <w:t>latively rare condition to a major global and UK public health challenge shaped by biological, behavioural, and socioeconomic factors.  By exploring key theories and policy frameworks, the chapter has established a robust conceptual and contextual basis for the study.</w:t>
      </w:r>
    </w:p>
    <w:p w14:paraId="163AA75C" w14:textId="63333276" w:rsidR="00655FB4" w:rsidRDefault="00655FB4" w:rsidP="00903B48">
      <w:pPr>
        <w:spacing w:line="360" w:lineRule="auto"/>
      </w:pPr>
    </w:p>
    <w:p w14:paraId="7549AA36" w14:textId="0D30BC88" w:rsidR="004C3695" w:rsidRDefault="00655FB4" w:rsidP="00D62622">
      <w:pPr>
        <w:spacing w:line="360" w:lineRule="auto"/>
        <w:jc w:val="both"/>
        <w:rPr>
          <w:rFonts w:ascii="Arial" w:hAnsi="Arial" w:cs="Arial"/>
          <w:sz w:val="22"/>
          <w:szCs w:val="22"/>
        </w:rPr>
      </w:pPr>
      <w:r w:rsidRPr="007A406A">
        <w:rPr>
          <w:rFonts w:ascii="Arial" w:hAnsi="Arial" w:cs="Arial"/>
          <w:sz w:val="22"/>
          <w:szCs w:val="22"/>
        </w:rPr>
        <w:t xml:space="preserve">This foundational knowledge directly informs the next </w:t>
      </w:r>
      <w:r w:rsidR="00A87228" w:rsidRPr="007A406A">
        <w:rPr>
          <w:rFonts w:ascii="Arial" w:hAnsi="Arial" w:cs="Arial"/>
          <w:sz w:val="22"/>
          <w:szCs w:val="22"/>
        </w:rPr>
        <w:t>chapter</w:t>
      </w:r>
      <w:r w:rsidR="004D6302" w:rsidRPr="007A406A">
        <w:rPr>
          <w:rFonts w:ascii="Arial" w:hAnsi="Arial" w:cs="Arial"/>
          <w:sz w:val="22"/>
          <w:szCs w:val="22"/>
        </w:rPr>
        <w:t xml:space="preserve"> on methodology.  Understanding the complexity and multifactorial nature of T2DM supports the selection of appropriate research methods, data sources, and analytical approaches.  The subsequent methodology chapter will build on this background to justify the research design and methods used to investigate prevalence, risk factors, and management strategies in UK adults.</w:t>
      </w:r>
    </w:p>
    <w:p w14:paraId="21BD77D0" w14:textId="77777777" w:rsidR="00E52633" w:rsidRPr="00D62622" w:rsidRDefault="00E52633" w:rsidP="00D62622">
      <w:pPr>
        <w:spacing w:line="360" w:lineRule="auto"/>
        <w:jc w:val="both"/>
        <w:rPr>
          <w:rFonts w:ascii="Arial" w:hAnsi="Arial" w:cs="Arial"/>
          <w:sz w:val="22"/>
          <w:szCs w:val="22"/>
        </w:rPr>
      </w:pPr>
    </w:p>
    <w:p w14:paraId="736F98D5" w14:textId="4B80A312" w:rsidR="001C34F5" w:rsidRPr="00E52633" w:rsidRDefault="00D1448E" w:rsidP="00F0752A">
      <w:pPr>
        <w:spacing w:line="360" w:lineRule="auto"/>
        <w:rPr>
          <w:rFonts w:ascii="Arial" w:hAnsi="Arial" w:cs="Arial"/>
          <w:b/>
          <w:bCs/>
          <w:color w:val="000000" w:themeColor="text1"/>
          <w:sz w:val="32"/>
          <w:szCs w:val="32"/>
        </w:rPr>
      </w:pPr>
      <w:r w:rsidRPr="00E52633">
        <w:rPr>
          <w:rFonts w:ascii="Arial" w:hAnsi="Arial" w:cs="Arial"/>
          <w:b/>
          <w:bCs/>
          <w:color w:val="000000" w:themeColor="text1"/>
          <w:sz w:val="32"/>
          <w:szCs w:val="32"/>
        </w:rPr>
        <w:t>CHAPTER 3</w:t>
      </w:r>
    </w:p>
    <w:p w14:paraId="5EE8B473" w14:textId="77777777" w:rsidR="00F0752A" w:rsidRPr="00E52633" w:rsidRDefault="001C34F5" w:rsidP="00F0752A">
      <w:pPr>
        <w:pStyle w:val="Heading2"/>
        <w:rPr>
          <w:rFonts w:ascii="Arial" w:hAnsi="Arial" w:cs="Arial"/>
          <w:b/>
          <w:bCs/>
          <w:color w:val="000000" w:themeColor="text1"/>
          <w:sz w:val="28"/>
          <w:szCs w:val="28"/>
        </w:rPr>
      </w:pPr>
      <w:r w:rsidRPr="00E52633">
        <w:rPr>
          <w:rFonts w:ascii="Arial" w:hAnsi="Arial" w:cs="Arial"/>
          <w:b/>
          <w:bCs/>
          <w:color w:val="000000" w:themeColor="text1"/>
          <w:sz w:val="28"/>
          <w:szCs w:val="28"/>
        </w:rPr>
        <w:t xml:space="preserve">3.1 – Introduction </w:t>
      </w:r>
    </w:p>
    <w:p w14:paraId="613CD401" w14:textId="77777777" w:rsidR="00F0752A" w:rsidRPr="00E52633" w:rsidRDefault="00F0752A" w:rsidP="00F0752A">
      <w:pPr>
        <w:pStyle w:val="Heading2"/>
        <w:rPr>
          <w:rFonts w:ascii="Arial" w:hAnsi="Arial" w:cs="Arial"/>
          <w:color w:val="000000" w:themeColor="text1"/>
          <w:sz w:val="28"/>
          <w:szCs w:val="28"/>
        </w:rPr>
      </w:pPr>
    </w:p>
    <w:p w14:paraId="136C1A09" w14:textId="0992D688" w:rsidR="001C34F5" w:rsidRPr="00E52633" w:rsidRDefault="001C34F5" w:rsidP="00F0752A">
      <w:pPr>
        <w:pStyle w:val="Heading2"/>
        <w:rPr>
          <w:rStyle w:val="Strong"/>
          <w:rFonts w:ascii="Arial" w:hAnsi="Arial" w:cs="Arial"/>
          <w:b w:val="0"/>
          <w:bCs w:val="0"/>
          <w:color w:val="000000" w:themeColor="text1"/>
          <w:sz w:val="28"/>
          <w:szCs w:val="28"/>
        </w:rPr>
      </w:pPr>
      <w:r w:rsidRPr="00E52633">
        <w:rPr>
          <w:rStyle w:val="Strong"/>
          <w:rFonts w:ascii="Arial" w:eastAsia="Calibri Light" w:hAnsi="Arial" w:cs="Arial"/>
          <w:color w:val="000000" w:themeColor="text1"/>
          <w:sz w:val="28"/>
          <w:szCs w:val="28"/>
        </w:rPr>
        <w:t>Purpose of the Chapter:</w:t>
      </w:r>
    </w:p>
    <w:p w14:paraId="500DEBFD" w14:textId="3665B3F9" w:rsidR="00F0752A" w:rsidRDefault="00F0752A" w:rsidP="001C34F5">
      <w:pPr>
        <w:pStyle w:val="NormalWeb"/>
        <w:spacing w:line="360" w:lineRule="auto"/>
        <w:rPr>
          <w:rStyle w:val="Strong"/>
          <w:rFonts w:ascii="Arial" w:eastAsia="Calibri Light" w:hAnsi="Arial" w:cs="Arial"/>
          <w:b w:val="0"/>
          <w:bCs w:val="0"/>
          <w:sz w:val="22"/>
          <w:szCs w:val="22"/>
        </w:rPr>
      </w:pPr>
      <w:r>
        <w:rPr>
          <w:rStyle w:val="Strong"/>
          <w:rFonts w:ascii="Arial" w:eastAsia="Calibri Light" w:hAnsi="Arial" w:cs="Arial"/>
          <w:b w:val="0"/>
          <w:bCs w:val="0"/>
          <w:sz w:val="22"/>
          <w:szCs w:val="22"/>
        </w:rPr>
        <w:t>This chapter outlines the methodological approach used to conduct the research for this dissertation.  The study adopted a desk-based, literature-based methodology, drawing upon existing academic and policy literature to investigate the prevalence, risk factors, and management strategies of type 2 diabetes mellitus (T2DM) among adults in the United Kingdom.  As no primary data collection was undertaken, the research relied on systematic identification, selection, and analysis of relevant secondary sources.</w:t>
      </w:r>
    </w:p>
    <w:p w14:paraId="0899A211" w14:textId="08EB1BFA" w:rsidR="001331BF" w:rsidRPr="001331BF" w:rsidRDefault="001331BF" w:rsidP="001C34F5">
      <w:pPr>
        <w:pStyle w:val="NormalWeb"/>
        <w:spacing w:line="360" w:lineRule="auto"/>
        <w:rPr>
          <w:rFonts w:ascii="Arial" w:eastAsia="Calibri Light" w:hAnsi="Arial" w:cs="Arial"/>
          <w:sz w:val="22"/>
          <w:szCs w:val="22"/>
        </w:rPr>
      </w:pPr>
      <w:r>
        <w:rPr>
          <w:rStyle w:val="Strong"/>
          <w:rFonts w:ascii="Arial" w:eastAsia="Calibri Light" w:hAnsi="Arial" w:cs="Arial"/>
          <w:b w:val="0"/>
          <w:bCs w:val="0"/>
          <w:sz w:val="22"/>
          <w:szCs w:val="22"/>
        </w:rPr>
        <w:t xml:space="preserve">An academic methodology poster was produced as part of this project, providing a visual overview of the research process, including search strategy, validation techniques, and </w:t>
      </w:r>
      <w:r>
        <w:rPr>
          <w:rStyle w:val="Strong"/>
          <w:rFonts w:ascii="Arial" w:eastAsia="Calibri Light" w:hAnsi="Arial" w:cs="Arial"/>
          <w:b w:val="0"/>
          <w:bCs w:val="0"/>
          <w:sz w:val="22"/>
          <w:szCs w:val="22"/>
        </w:rPr>
        <w:lastRenderedPageBreak/>
        <w:t>analytical methods.  This chapter expands on the key components presented within that poster, offering a detailed explanation of how the literature was located, evaluated and analysed.</w:t>
      </w:r>
    </w:p>
    <w:p w14:paraId="07717F4B" w14:textId="77777777" w:rsidR="00400A32" w:rsidRPr="00E52633" w:rsidRDefault="001C34F5" w:rsidP="001C34F5">
      <w:pPr>
        <w:pStyle w:val="NormalWeb"/>
        <w:spacing w:line="360" w:lineRule="auto"/>
        <w:rPr>
          <w:rStyle w:val="Strong"/>
          <w:rFonts w:ascii="Arial" w:eastAsia="Calibri Light" w:hAnsi="Arial" w:cs="Arial"/>
          <w:sz w:val="28"/>
          <w:szCs w:val="28"/>
        </w:rPr>
      </w:pPr>
      <w:r w:rsidRPr="00E52633">
        <w:rPr>
          <w:rStyle w:val="Strong"/>
          <w:rFonts w:ascii="Arial" w:eastAsia="Calibri Light" w:hAnsi="Arial" w:cs="Arial"/>
          <w:sz w:val="28"/>
          <w:szCs w:val="28"/>
        </w:rPr>
        <w:t>Connection to the Dissertation:</w:t>
      </w:r>
    </w:p>
    <w:p w14:paraId="4B8CA197" w14:textId="64937161" w:rsidR="001331BF" w:rsidRPr="00400A32" w:rsidRDefault="001331BF" w:rsidP="001C34F5">
      <w:pPr>
        <w:pStyle w:val="NormalWeb"/>
        <w:spacing w:line="360" w:lineRule="auto"/>
        <w:rPr>
          <w:rStyle w:val="Strong"/>
          <w:rFonts w:ascii="Arial" w:eastAsia="Calibri Light" w:hAnsi="Arial" w:cs="Arial"/>
          <w:sz w:val="22"/>
          <w:szCs w:val="22"/>
        </w:rPr>
      </w:pPr>
      <w:r>
        <w:rPr>
          <w:rStyle w:val="Strong"/>
          <w:rFonts w:ascii="Arial" w:eastAsia="Calibri Light" w:hAnsi="Arial" w:cs="Arial"/>
          <w:b w:val="0"/>
          <w:bCs w:val="0"/>
          <w:sz w:val="22"/>
          <w:szCs w:val="22"/>
        </w:rPr>
        <w:t>The methodological approach described in this chapter is essential in identifying credible sources that form the basis of the thematic findings presented in Chapter 4, where patterns and insights from the literature are critically examined.</w:t>
      </w:r>
    </w:p>
    <w:p w14:paraId="374C17D8" w14:textId="52D4CEAF" w:rsidR="001C34F5" w:rsidRPr="00E52633" w:rsidRDefault="001C34F5" w:rsidP="001C34F5">
      <w:pPr>
        <w:pStyle w:val="Heading2"/>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3.2 – Search Strategy  </w:t>
      </w:r>
    </w:p>
    <w:p w14:paraId="7C73E36F" w14:textId="77777777" w:rsidR="001331BF" w:rsidRPr="00E52633" w:rsidRDefault="001331BF" w:rsidP="001C34F5">
      <w:pPr>
        <w:rPr>
          <w:rFonts w:ascii="Arial" w:hAnsi="Arial" w:cs="Arial"/>
          <w:color w:val="000000" w:themeColor="text1"/>
          <w:sz w:val="28"/>
          <w:szCs w:val="28"/>
        </w:rPr>
      </w:pPr>
    </w:p>
    <w:p w14:paraId="7D3B83DE" w14:textId="7DF25CDF" w:rsidR="001C34F5" w:rsidRPr="00E52633" w:rsidRDefault="001C34F5" w:rsidP="001C34F5">
      <w:pPr>
        <w:rPr>
          <w:rFonts w:ascii="Arial" w:hAnsi="Arial" w:cs="Arial"/>
          <w:b/>
          <w:bCs/>
          <w:color w:val="000000" w:themeColor="text1"/>
          <w:sz w:val="28"/>
          <w:szCs w:val="28"/>
        </w:rPr>
      </w:pPr>
      <w:r w:rsidRPr="00E52633">
        <w:rPr>
          <w:rFonts w:ascii="Arial" w:hAnsi="Arial" w:cs="Arial"/>
          <w:b/>
          <w:bCs/>
          <w:color w:val="000000" w:themeColor="text1"/>
          <w:sz w:val="28"/>
          <w:szCs w:val="28"/>
        </w:rPr>
        <w:t>Developing Keywords:</w:t>
      </w:r>
    </w:p>
    <w:p w14:paraId="55E1DA96" w14:textId="383B618F" w:rsidR="001331BF" w:rsidRDefault="001331BF" w:rsidP="001C34F5">
      <w:pPr>
        <w:rPr>
          <w:rFonts w:ascii="Arial" w:hAnsi="Arial" w:cs="Arial"/>
          <w:sz w:val="22"/>
          <w:szCs w:val="22"/>
        </w:rPr>
      </w:pPr>
    </w:p>
    <w:p w14:paraId="591A8264" w14:textId="2D0B2C75" w:rsidR="001331BF" w:rsidRPr="001331BF" w:rsidRDefault="001331BF" w:rsidP="003045FF">
      <w:pPr>
        <w:spacing w:line="360" w:lineRule="auto"/>
        <w:rPr>
          <w:rFonts w:ascii="Arial" w:hAnsi="Arial" w:cs="Arial"/>
          <w:sz w:val="22"/>
          <w:szCs w:val="22"/>
        </w:rPr>
      </w:pPr>
      <w:r>
        <w:rPr>
          <w:rFonts w:ascii="Arial" w:hAnsi="Arial" w:cs="Arial"/>
          <w:sz w:val="22"/>
          <w:szCs w:val="22"/>
        </w:rPr>
        <w:t>The search strategy was developed using key terms derived directly from the dissertation title and research aim.  Core keywords included “type 2 diabetes,” “prevalence,” “risk factors,” “management strategies,” and “UK adults.”  To ensure comprehensive coverage of the literature, these terms were expanded to include professional and technical synonyms such as “T2DM,” “epide</w:t>
      </w:r>
      <w:r w:rsidR="003045FF">
        <w:rPr>
          <w:rFonts w:ascii="Arial" w:hAnsi="Arial" w:cs="Arial"/>
          <w:sz w:val="22"/>
          <w:szCs w:val="22"/>
        </w:rPr>
        <w:t>miology,” “glycaemic control,” “lifestyle intervention,” and “diabetes prevention.”</w:t>
      </w:r>
    </w:p>
    <w:p w14:paraId="1F43370A" w14:textId="77777777" w:rsidR="001331BF" w:rsidRDefault="001331BF" w:rsidP="001C34F5"/>
    <w:p w14:paraId="4A214A73" w14:textId="20B5422C" w:rsidR="001C34F5" w:rsidRPr="00E52633" w:rsidRDefault="001C34F5" w:rsidP="001C34F5">
      <w:pPr>
        <w:rPr>
          <w:rFonts w:ascii="Arial" w:hAnsi="Arial" w:cs="Arial"/>
          <w:b/>
          <w:bCs/>
          <w:sz w:val="28"/>
          <w:szCs w:val="28"/>
        </w:rPr>
      </w:pPr>
      <w:r w:rsidRPr="00E52633">
        <w:rPr>
          <w:rFonts w:ascii="Arial" w:hAnsi="Arial" w:cs="Arial"/>
          <w:b/>
          <w:bCs/>
          <w:sz w:val="28"/>
          <w:szCs w:val="28"/>
        </w:rPr>
        <w:t>Boolean Operators:</w:t>
      </w:r>
    </w:p>
    <w:p w14:paraId="64B85844" w14:textId="0F1F1115" w:rsidR="003045FF" w:rsidRDefault="003045FF" w:rsidP="001C34F5">
      <w:pPr>
        <w:rPr>
          <w:rFonts w:ascii="Arial" w:hAnsi="Arial" w:cs="Arial"/>
          <w:b/>
          <w:bCs/>
          <w:sz w:val="22"/>
          <w:szCs w:val="22"/>
        </w:rPr>
      </w:pPr>
    </w:p>
    <w:p w14:paraId="35DF0714" w14:textId="106ECCDA" w:rsidR="003045FF" w:rsidRPr="003045FF" w:rsidRDefault="003045FF" w:rsidP="003045FF">
      <w:pPr>
        <w:spacing w:line="360" w:lineRule="auto"/>
        <w:rPr>
          <w:rFonts w:ascii="Arial" w:hAnsi="Arial" w:cs="Arial"/>
          <w:sz w:val="22"/>
          <w:szCs w:val="22"/>
        </w:rPr>
      </w:pPr>
      <w:r>
        <w:rPr>
          <w:rFonts w:ascii="Arial" w:hAnsi="Arial" w:cs="Arial"/>
          <w:sz w:val="22"/>
          <w:szCs w:val="22"/>
        </w:rPr>
        <w:t>Boolean operators were used to refine the search process and improve the relevance of results.  For example, searches such as “type 2 diabetes AND prevalence AND UK,” and “T2DM AND risk factors OR lifestyle behaviours” were conducted.  The NOT operator was occasionally used to exclude unrelated studies.</w:t>
      </w:r>
    </w:p>
    <w:p w14:paraId="685FEC4E" w14:textId="77777777" w:rsidR="001C34F5" w:rsidRPr="003045FF" w:rsidRDefault="001C34F5" w:rsidP="003045FF">
      <w:pPr>
        <w:spacing w:line="360" w:lineRule="auto"/>
        <w:rPr>
          <w:rFonts w:ascii="Aptos" w:hAnsi="Aptos"/>
        </w:rPr>
      </w:pPr>
    </w:p>
    <w:p w14:paraId="42F94B6C" w14:textId="05B58E4E" w:rsidR="001C34F5" w:rsidRPr="00E52633" w:rsidRDefault="001C34F5" w:rsidP="001C34F5">
      <w:pPr>
        <w:rPr>
          <w:rFonts w:ascii="Arial" w:hAnsi="Arial" w:cs="Arial"/>
          <w:b/>
          <w:bCs/>
          <w:sz w:val="28"/>
          <w:szCs w:val="28"/>
        </w:rPr>
      </w:pPr>
      <w:r w:rsidRPr="00E52633">
        <w:rPr>
          <w:rFonts w:ascii="Arial" w:hAnsi="Arial" w:cs="Arial"/>
          <w:b/>
          <w:bCs/>
          <w:sz w:val="28"/>
          <w:szCs w:val="28"/>
        </w:rPr>
        <w:t>Structured Search Plan:</w:t>
      </w:r>
    </w:p>
    <w:p w14:paraId="6BDB3734" w14:textId="77777777" w:rsidR="00EE505C" w:rsidRDefault="00EE505C" w:rsidP="003045FF">
      <w:pPr>
        <w:spacing w:line="360" w:lineRule="auto"/>
        <w:rPr>
          <w:rFonts w:ascii="Arial" w:hAnsi="Arial" w:cs="Arial"/>
          <w:sz w:val="22"/>
          <w:szCs w:val="22"/>
        </w:rPr>
      </w:pPr>
    </w:p>
    <w:p w14:paraId="582FD38D" w14:textId="0F7A8F61" w:rsidR="001C34F5" w:rsidRDefault="003045FF" w:rsidP="003045FF">
      <w:pPr>
        <w:spacing w:line="360" w:lineRule="auto"/>
        <w:rPr>
          <w:rFonts w:ascii="Arial" w:hAnsi="Arial" w:cs="Arial"/>
          <w:sz w:val="22"/>
          <w:szCs w:val="22"/>
        </w:rPr>
      </w:pPr>
      <w:r>
        <w:rPr>
          <w:rFonts w:ascii="Arial" w:hAnsi="Arial" w:cs="Arial"/>
          <w:sz w:val="22"/>
          <w:szCs w:val="22"/>
        </w:rPr>
        <w:t>A structured search plan was implemented to organise the search process, enabling the researcher to record useful keyword combinations and ensure consistence across databases.</w:t>
      </w:r>
    </w:p>
    <w:p w14:paraId="38ED44ED" w14:textId="77777777" w:rsidR="003045FF" w:rsidRPr="003045FF" w:rsidRDefault="003045FF" w:rsidP="003045FF">
      <w:pPr>
        <w:spacing w:line="360" w:lineRule="auto"/>
        <w:rPr>
          <w:rFonts w:ascii="Arial" w:hAnsi="Arial" w:cs="Arial"/>
          <w:sz w:val="22"/>
          <w:szCs w:val="22"/>
        </w:rPr>
      </w:pPr>
    </w:p>
    <w:p w14:paraId="3DD3B0C0" w14:textId="4D672CB0" w:rsidR="001C34F5" w:rsidRPr="00E52633" w:rsidRDefault="001C34F5" w:rsidP="001C34F5">
      <w:pPr>
        <w:pStyle w:val="Heading2"/>
        <w:numPr>
          <w:ilvl w:val="1"/>
          <w:numId w:val="11"/>
        </w:numPr>
        <w:spacing w:line="360" w:lineRule="auto"/>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Searching for Information </w:t>
      </w:r>
    </w:p>
    <w:p w14:paraId="7D307822" w14:textId="3F5F30D5" w:rsidR="001C34F5" w:rsidRDefault="001C34F5" w:rsidP="001C34F5">
      <w:pPr>
        <w:rPr>
          <w:rFonts w:ascii="Arial" w:hAnsi="Arial" w:cs="Arial"/>
          <w:b/>
          <w:bCs/>
          <w:sz w:val="28"/>
          <w:szCs w:val="28"/>
        </w:rPr>
      </w:pPr>
      <w:r w:rsidRPr="00E52633">
        <w:rPr>
          <w:rFonts w:ascii="Arial" w:hAnsi="Arial" w:cs="Arial"/>
          <w:b/>
          <w:bCs/>
          <w:sz w:val="28"/>
          <w:szCs w:val="28"/>
        </w:rPr>
        <w:t>Databases and Platforms:</w:t>
      </w:r>
    </w:p>
    <w:p w14:paraId="41E13B36" w14:textId="77777777" w:rsidR="00045DA2" w:rsidRPr="00E52633" w:rsidRDefault="00045DA2" w:rsidP="001C34F5">
      <w:pPr>
        <w:rPr>
          <w:rFonts w:ascii="Arial" w:hAnsi="Arial" w:cs="Arial"/>
          <w:b/>
          <w:bCs/>
          <w:sz w:val="28"/>
          <w:szCs w:val="28"/>
        </w:rPr>
      </w:pPr>
    </w:p>
    <w:p w14:paraId="21D51834" w14:textId="21F2DCE5" w:rsidR="003045FF" w:rsidRPr="003045FF" w:rsidRDefault="003045FF" w:rsidP="003045FF">
      <w:pPr>
        <w:spacing w:line="360" w:lineRule="auto"/>
        <w:rPr>
          <w:rFonts w:ascii="Arial" w:hAnsi="Arial" w:cs="Arial"/>
          <w:sz w:val="22"/>
          <w:szCs w:val="22"/>
        </w:rPr>
      </w:pPr>
      <w:r>
        <w:rPr>
          <w:rFonts w:ascii="Arial" w:hAnsi="Arial" w:cs="Arial"/>
          <w:sz w:val="22"/>
          <w:szCs w:val="22"/>
        </w:rPr>
        <w:lastRenderedPageBreak/>
        <w:t>Academic literature was primarily sourced through reputable academic databases including Google Scholar, PubMed,</w:t>
      </w:r>
      <w:r w:rsidR="005A3FDD">
        <w:rPr>
          <w:rFonts w:ascii="Arial" w:hAnsi="Arial" w:cs="Arial"/>
          <w:sz w:val="22"/>
          <w:szCs w:val="22"/>
        </w:rPr>
        <w:t xml:space="preserve"> ScienceDirect</w:t>
      </w:r>
      <w:r>
        <w:rPr>
          <w:rFonts w:ascii="Arial" w:hAnsi="Arial" w:cs="Arial"/>
          <w:sz w:val="22"/>
          <w:szCs w:val="22"/>
        </w:rPr>
        <w:t xml:space="preserve"> and UWTSD library.  These platforms were selected due to their accessibility and extensive coverage or peer-reviewed medical</w:t>
      </w:r>
      <w:r w:rsidR="005A3FDD">
        <w:rPr>
          <w:rFonts w:ascii="Arial" w:hAnsi="Arial" w:cs="Arial"/>
          <w:sz w:val="22"/>
          <w:szCs w:val="22"/>
        </w:rPr>
        <w:t>, public health, and social science research relevant to diabetes.  Google Scholar provided broad access to multidisciplinary literature, while PubMed was particularly useful for identifying biomedical and epidemiological studies relating to diabetes prevalence and clinical management.  ScienceDirect and UWTSD library offered access to high-quality academic journals covering public health, healthcare policy, and chronic disease management.</w:t>
      </w:r>
    </w:p>
    <w:p w14:paraId="735F162B" w14:textId="77777777" w:rsidR="005A3FDD" w:rsidRDefault="005A3FDD" w:rsidP="001C34F5"/>
    <w:p w14:paraId="1D77D1F5" w14:textId="60D88490" w:rsidR="001C34F5" w:rsidRDefault="001C34F5" w:rsidP="001C34F5">
      <w:pPr>
        <w:rPr>
          <w:rFonts w:ascii="Arial" w:hAnsi="Arial" w:cs="Arial"/>
          <w:b/>
          <w:bCs/>
          <w:sz w:val="28"/>
          <w:szCs w:val="28"/>
        </w:rPr>
      </w:pPr>
      <w:r w:rsidRPr="00E52633">
        <w:rPr>
          <w:rFonts w:ascii="Arial" w:hAnsi="Arial" w:cs="Arial"/>
          <w:b/>
          <w:bCs/>
          <w:sz w:val="28"/>
          <w:szCs w:val="28"/>
        </w:rPr>
        <w:t>Using Filters:</w:t>
      </w:r>
    </w:p>
    <w:p w14:paraId="6D62690B" w14:textId="77777777" w:rsidR="00045DA2" w:rsidRPr="00E52633" w:rsidRDefault="00045DA2" w:rsidP="001C34F5">
      <w:pPr>
        <w:rPr>
          <w:rFonts w:ascii="Arial" w:hAnsi="Arial" w:cs="Arial"/>
          <w:b/>
          <w:bCs/>
          <w:sz w:val="28"/>
          <w:szCs w:val="28"/>
        </w:rPr>
      </w:pPr>
    </w:p>
    <w:p w14:paraId="441093D7" w14:textId="245E2B28" w:rsidR="005A3FDD" w:rsidRPr="005A3FDD" w:rsidRDefault="005A3FDD" w:rsidP="00420791">
      <w:pPr>
        <w:spacing w:line="360" w:lineRule="auto"/>
        <w:rPr>
          <w:rFonts w:ascii="Arial" w:hAnsi="Arial" w:cs="Arial"/>
          <w:sz w:val="22"/>
          <w:szCs w:val="22"/>
        </w:rPr>
      </w:pPr>
      <w:r>
        <w:rPr>
          <w:rFonts w:ascii="Arial" w:hAnsi="Arial" w:cs="Arial"/>
          <w:sz w:val="22"/>
          <w:szCs w:val="22"/>
        </w:rPr>
        <w:t>To improve the relevance and quality of search results, several filters were applied during the search process.  These included limiting results to peer-reviewed journals articles, publications within the last ten years, and studies written in English.  Where possible, research focusing specifically on UK adult populations was prioritised to ensure relevance to the research</w:t>
      </w:r>
      <w:r w:rsidR="00420791">
        <w:rPr>
          <w:rFonts w:ascii="Arial" w:hAnsi="Arial" w:cs="Arial"/>
          <w:sz w:val="22"/>
          <w:szCs w:val="22"/>
        </w:rPr>
        <w:t xml:space="preserve"> context.</w:t>
      </w:r>
    </w:p>
    <w:p w14:paraId="25E8DADE" w14:textId="77777777" w:rsidR="00420791" w:rsidRPr="00E52633" w:rsidRDefault="00420791" w:rsidP="001C34F5">
      <w:pPr>
        <w:rPr>
          <w:rFonts w:ascii="Arial" w:hAnsi="Arial" w:cs="Arial"/>
          <w:sz w:val="28"/>
          <w:szCs w:val="28"/>
        </w:rPr>
      </w:pPr>
    </w:p>
    <w:p w14:paraId="08BB43D4" w14:textId="7364B7F0" w:rsidR="001C34F5" w:rsidRDefault="001C34F5" w:rsidP="00420791">
      <w:pPr>
        <w:rPr>
          <w:rFonts w:ascii="Arial" w:hAnsi="Arial" w:cs="Arial"/>
          <w:b/>
          <w:bCs/>
          <w:sz w:val="28"/>
          <w:szCs w:val="28"/>
        </w:rPr>
      </w:pPr>
      <w:r w:rsidRPr="00E52633">
        <w:rPr>
          <w:rFonts w:ascii="Arial" w:hAnsi="Arial" w:cs="Arial"/>
          <w:b/>
          <w:bCs/>
          <w:sz w:val="28"/>
          <w:szCs w:val="28"/>
        </w:rPr>
        <w:t>Search Process:</w:t>
      </w:r>
    </w:p>
    <w:p w14:paraId="79F17695" w14:textId="77777777" w:rsidR="00045DA2" w:rsidRPr="00E52633" w:rsidRDefault="00045DA2" w:rsidP="00420791">
      <w:pPr>
        <w:rPr>
          <w:rFonts w:ascii="Arial" w:hAnsi="Arial" w:cs="Arial"/>
          <w:b/>
          <w:bCs/>
          <w:sz w:val="28"/>
          <w:szCs w:val="28"/>
        </w:rPr>
      </w:pPr>
    </w:p>
    <w:p w14:paraId="1EA7479B" w14:textId="72FBB5FE" w:rsidR="00420791" w:rsidRDefault="00420791" w:rsidP="00420791">
      <w:pPr>
        <w:spacing w:line="360" w:lineRule="auto"/>
        <w:rPr>
          <w:rFonts w:ascii="Arial" w:hAnsi="Arial" w:cs="Arial"/>
          <w:sz w:val="22"/>
          <w:szCs w:val="22"/>
        </w:rPr>
      </w:pPr>
      <w:r>
        <w:rPr>
          <w:rFonts w:ascii="Arial" w:hAnsi="Arial" w:cs="Arial"/>
          <w:sz w:val="22"/>
          <w:szCs w:val="22"/>
        </w:rPr>
        <w:t>The search process was iterative, meaning that search terms and combinations were adjusted as literature review progressed.  For example, additional terms such as “health inequalities,” “obesity,” and “diabetes prevention programme” were incorporated when these concepts repeatedly appeared within relevant studies.</w:t>
      </w:r>
    </w:p>
    <w:p w14:paraId="3D81B4A1" w14:textId="699E978D" w:rsidR="00420791" w:rsidRPr="00420791" w:rsidRDefault="00420791" w:rsidP="00420791">
      <w:pPr>
        <w:spacing w:line="360" w:lineRule="auto"/>
        <w:rPr>
          <w:rFonts w:ascii="Arial" w:hAnsi="Arial" w:cs="Arial"/>
          <w:sz w:val="22"/>
          <w:szCs w:val="22"/>
        </w:rPr>
      </w:pPr>
      <w:r>
        <w:rPr>
          <w:rFonts w:ascii="Arial" w:hAnsi="Arial" w:cs="Arial"/>
          <w:sz w:val="22"/>
          <w:szCs w:val="22"/>
        </w:rPr>
        <w:t xml:space="preserve">The maintain organisation throughout the research process, a source tracking table was created to record key details from each selected study, including author, publication year, research focus, and key findings. </w:t>
      </w:r>
      <w:r w:rsidR="004A530C">
        <w:rPr>
          <w:rFonts w:ascii="Arial" w:hAnsi="Arial" w:cs="Arial"/>
          <w:sz w:val="22"/>
          <w:szCs w:val="22"/>
        </w:rPr>
        <w:t>This helped ensure transparency in the selection process and supported the subsequent analysis of literature.</w:t>
      </w:r>
    </w:p>
    <w:p w14:paraId="3AB20A78" w14:textId="5B223C6B" w:rsidR="00420791" w:rsidRPr="00420791" w:rsidRDefault="00420791" w:rsidP="00420791">
      <w:pPr>
        <w:rPr>
          <w:rFonts w:ascii="Arial" w:hAnsi="Arial" w:cs="Arial"/>
          <w:sz w:val="22"/>
          <w:szCs w:val="22"/>
        </w:rPr>
      </w:pPr>
    </w:p>
    <w:p w14:paraId="4608D00C" w14:textId="77777777" w:rsidR="00420791" w:rsidRPr="00F84C23" w:rsidRDefault="00420791" w:rsidP="00420791"/>
    <w:p w14:paraId="30C4430F" w14:textId="77777777" w:rsidR="00112A83" w:rsidRPr="00E52633" w:rsidRDefault="001C34F5" w:rsidP="001C34F5">
      <w:pPr>
        <w:pStyle w:val="Heading2"/>
        <w:numPr>
          <w:ilvl w:val="1"/>
          <w:numId w:val="11"/>
        </w:numPr>
        <w:spacing w:line="360" w:lineRule="auto"/>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Research Validation </w:t>
      </w:r>
    </w:p>
    <w:p w14:paraId="2B1797A6" w14:textId="6D7BE103" w:rsidR="001C34F5" w:rsidRPr="00E52633" w:rsidRDefault="001C34F5" w:rsidP="00112A83">
      <w:pPr>
        <w:pStyle w:val="Heading2"/>
        <w:spacing w:line="360" w:lineRule="auto"/>
        <w:rPr>
          <w:rFonts w:ascii="Arial" w:hAnsi="Arial" w:cs="Arial"/>
          <w:b/>
          <w:bCs/>
          <w:color w:val="000000" w:themeColor="text1"/>
          <w:sz w:val="28"/>
          <w:szCs w:val="28"/>
        </w:rPr>
      </w:pPr>
      <w:r w:rsidRPr="00E52633">
        <w:rPr>
          <w:rFonts w:ascii="Arial" w:hAnsi="Arial" w:cs="Arial"/>
          <w:b/>
          <w:bCs/>
          <w:color w:val="000000" w:themeColor="text1"/>
          <w:sz w:val="28"/>
          <w:szCs w:val="28"/>
        </w:rPr>
        <w:t>Skimming Techniques:</w:t>
      </w:r>
    </w:p>
    <w:p w14:paraId="4F1E320C" w14:textId="3B8C4BDF" w:rsidR="00112A83" w:rsidRPr="003E495D" w:rsidRDefault="00112A83" w:rsidP="003E495D">
      <w:pPr>
        <w:spacing w:line="360" w:lineRule="auto"/>
        <w:rPr>
          <w:rFonts w:ascii="Arial" w:hAnsi="Arial" w:cs="Arial"/>
          <w:sz w:val="22"/>
          <w:szCs w:val="22"/>
        </w:rPr>
      </w:pPr>
      <w:r>
        <w:rPr>
          <w:rFonts w:ascii="Arial" w:hAnsi="Arial" w:cs="Arial"/>
          <w:sz w:val="22"/>
          <w:szCs w:val="22"/>
        </w:rPr>
        <w:t>Once potential sources were identified, a validation process was undertaken to determine their relevance and reliability.  Initially, skimming techniques were used to quickly assess whether an article was suitable for inclusion.  This involved reviewing key sections such as the title, abstract, introduction, and conclusion, enabling the researcher to determine whether the study addressed topics relevant to type 2 diabetes prevalence, risk factors, or management strategies within adult populations.</w:t>
      </w:r>
    </w:p>
    <w:p w14:paraId="76390E17" w14:textId="3CFAE622" w:rsidR="001C34F5" w:rsidRPr="00E52633" w:rsidRDefault="001C34F5" w:rsidP="001C34F5">
      <w:pPr>
        <w:rPr>
          <w:rFonts w:ascii="Arial" w:hAnsi="Arial" w:cs="Arial"/>
          <w:b/>
          <w:bCs/>
          <w:sz w:val="28"/>
          <w:szCs w:val="28"/>
        </w:rPr>
      </w:pPr>
      <w:r w:rsidRPr="00E52633">
        <w:rPr>
          <w:rFonts w:ascii="Arial" w:hAnsi="Arial" w:cs="Arial"/>
          <w:b/>
          <w:bCs/>
          <w:sz w:val="28"/>
          <w:szCs w:val="28"/>
        </w:rPr>
        <w:lastRenderedPageBreak/>
        <w:t>CRAAP Test Application:</w:t>
      </w:r>
    </w:p>
    <w:p w14:paraId="005B6A3E" w14:textId="4E076F5D" w:rsidR="00112A83" w:rsidRDefault="00112A83" w:rsidP="001C34F5">
      <w:pPr>
        <w:rPr>
          <w:rFonts w:ascii="Arial" w:hAnsi="Arial" w:cs="Arial"/>
          <w:sz w:val="22"/>
          <w:szCs w:val="22"/>
        </w:rPr>
      </w:pPr>
    </w:p>
    <w:p w14:paraId="0E482E63" w14:textId="3BB9DFB9" w:rsidR="00112A83" w:rsidRPr="00112A83" w:rsidRDefault="00112A83" w:rsidP="00112A83">
      <w:pPr>
        <w:spacing w:line="360" w:lineRule="auto"/>
        <w:rPr>
          <w:rFonts w:ascii="Arial" w:hAnsi="Arial" w:cs="Arial"/>
          <w:sz w:val="22"/>
          <w:szCs w:val="22"/>
        </w:rPr>
      </w:pPr>
      <w:r>
        <w:rPr>
          <w:rFonts w:ascii="Arial" w:hAnsi="Arial" w:cs="Arial"/>
          <w:sz w:val="22"/>
          <w:szCs w:val="22"/>
        </w:rPr>
        <w:t xml:space="preserve">To further assess the quality of sources, the CRAPP test was applied.  This framework evaluates sources based on Currency, Relevance, Authority, Accuracy, and Purpose.  Currency ensured that information reflected current knowledge and practices, while relevance confirmed alignment with the research question.  Authority considered the credibility </w:t>
      </w:r>
      <w:r w:rsidR="00522E90">
        <w:rPr>
          <w:rFonts w:ascii="Arial" w:hAnsi="Arial" w:cs="Arial"/>
          <w:sz w:val="22"/>
          <w:szCs w:val="22"/>
        </w:rPr>
        <w:t>of authors and publication journals, and accuracy assessed whether claims were supported by evidence.</w:t>
      </w:r>
    </w:p>
    <w:p w14:paraId="66544D05" w14:textId="77777777" w:rsidR="00522E90" w:rsidRPr="00E52633" w:rsidRDefault="00522E90" w:rsidP="001C34F5">
      <w:pPr>
        <w:rPr>
          <w:sz w:val="28"/>
          <w:szCs w:val="28"/>
        </w:rPr>
      </w:pPr>
    </w:p>
    <w:p w14:paraId="05CE96C1" w14:textId="011FEBCB" w:rsidR="001C34F5" w:rsidRPr="00E52633" w:rsidRDefault="001C34F5" w:rsidP="001C34F5">
      <w:pPr>
        <w:rPr>
          <w:rFonts w:ascii="Arial" w:hAnsi="Arial" w:cs="Arial"/>
          <w:b/>
          <w:bCs/>
          <w:sz w:val="28"/>
          <w:szCs w:val="28"/>
        </w:rPr>
      </w:pPr>
      <w:r w:rsidRPr="00E52633">
        <w:rPr>
          <w:rFonts w:ascii="Arial" w:hAnsi="Arial" w:cs="Arial"/>
          <w:b/>
          <w:bCs/>
          <w:sz w:val="28"/>
          <w:szCs w:val="28"/>
        </w:rPr>
        <w:t>Decision-Making:</w:t>
      </w:r>
    </w:p>
    <w:p w14:paraId="40A58D48" w14:textId="31A2FFAF" w:rsidR="00522E90" w:rsidRDefault="00522E90" w:rsidP="001C34F5">
      <w:pPr>
        <w:rPr>
          <w:b/>
          <w:bCs/>
        </w:rPr>
      </w:pPr>
    </w:p>
    <w:p w14:paraId="5537ACAC" w14:textId="668E080D" w:rsidR="00522E90" w:rsidRPr="00522E90" w:rsidRDefault="00522E90" w:rsidP="00522E90">
      <w:pPr>
        <w:spacing w:line="360" w:lineRule="auto"/>
        <w:rPr>
          <w:rFonts w:ascii="Arial" w:hAnsi="Arial" w:cs="Arial"/>
          <w:sz w:val="22"/>
          <w:szCs w:val="22"/>
        </w:rPr>
      </w:pPr>
      <w:r>
        <w:rPr>
          <w:rFonts w:ascii="Arial" w:hAnsi="Arial" w:cs="Arial"/>
          <w:sz w:val="22"/>
          <w:szCs w:val="22"/>
        </w:rPr>
        <w:t>For example, a peer-reviewed study published in a recognised medical journal discussing UK diabetes prevalence was prioritised over non-academic sources.  While not every article fulfilled all CRAPP criteria equally, sources demonstrating strong currency, relevance, and authority were prioritised for inclusion in the review.</w:t>
      </w:r>
    </w:p>
    <w:p w14:paraId="2307CFF6" w14:textId="77777777" w:rsidR="001C34F5" w:rsidRPr="00665AC3" w:rsidRDefault="001C34F5" w:rsidP="001C34F5">
      <w:pPr>
        <w:rPr>
          <w:b/>
          <w:bCs/>
          <w:color w:val="000000" w:themeColor="text1"/>
        </w:rPr>
      </w:pPr>
    </w:p>
    <w:p w14:paraId="1D28F31C" w14:textId="756B6A3E" w:rsidR="00522E90" w:rsidRPr="00E52633" w:rsidRDefault="001C34F5" w:rsidP="001C34F5">
      <w:pPr>
        <w:pStyle w:val="Heading2"/>
        <w:numPr>
          <w:ilvl w:val="1"/>
          <w:numId w:val="11"/>
        </w:numPr>
        <w:spacing w:line="360" w:lineRule="auto"/>
        <w:rPr>
          <w:rStyle w:val="Heading2Char"/>
          <w:rFonts w:ascii="Arial" w:hAnsi="Arial" w:cs="Arial"/>
          <w:b/>
          <w:bCs/>
          <w:color w:val="000000" w:themeColor="text1"/>
          <w:sz w:val="32"/>
          <w:szCs w:val="32"/>
        </w:rPr>
      </w:pPr>
      <w:r w:rsidRPr="00E52633">
        <w:rPr>
          <w:rStyle w:val="Heading2Char"/>
          <w:rFonts w:ascii="Arial" w:hAnsi="Arial" w:cs="Arial"/>
          <w:b/>
          <w:bCs/>
          <w:color w:val="000000" w:themeColor="text1"/>
          <w:sz w:val="32"/>
          <w:szCs w:val="32"/>
        </w:rPr>
        <w:t xml:space="preserve">- Inclusion and Exclusion Criteria </w:t>
      </w:r>
    </w:p>
    <w:p w14:paraId="34D7CDED" w14:textId="77777777" w:rsidR="00665AC3" w:rsidRPr="00665AC3" w:rsidRDefault="00665AC3" w:rsidP="00665AC3"/>
    <w:p w14:paraId="2FBC443E" w14:textId="2B519C0C" w:rsidR="00522E90" w:rsidRDefault="00522E90" w:rsidP="00522E90">
      <w:pPr>
        <w:spacing w:line="360" w:lineRule="auto"/>
        <w:rPr>
          <w:rFonts w:ascii="Arial" w:hAnsi="Arial" w:cs="Arial"/>
          <w:sz w:val="22"/>
          <w:szCs w:val="22"/>
        </w:rPr>
      </w:pPr>
      <w:r>
        <w:rPr>
          <w:rFonts w:ascii="Arial" w:hAnsi="Arial" w:cs="Arial"/>
          <w:sz w:val="22"/>
          <w:szCs w:val="22"/>
        </w:rPr>
        <w:t>Clear inclusion and exclusion criteria were established to ensure that the literature selected for this dissertation remained relevant, credible, and focused on the research objectives.</w:t>
      </w:r>
    </w:p>
    <w:p w14:paraId="74DC3E44" w14:textId="77777777" w:rsidR="00522E90" w:rsidRDefault="00522E90" w:rsidP="00522E90">
      <w:pPr>
        <w:spacing w:line="360" w:lineRule="auto"/>
        <w:rPr>
          <w:rFonts w:ascii="Arial" w:hAnsi="Arial" w:cs="Arial"/>
          <w:sz w:val="22"/>
          <w:szCs w:val="22"/>
        </w:rPr>
      </w:pPr>
    </w:p>
    <w:p w14:paraId="148FEBB2" w14:textId="7051D7DD" w:rsidR="00522E90" w:rsidRPr="00E52633" w:rsidRDefault="00522E90" w:rsidP="00522E90">
      <w:pPr>
        <w:pStyle w:val="Heading2"/>
        <w:spacing w:line="360" w:lineRule="auto"/>
        <w:rPr>
          <w:rFonts w:ascii="Arial" w:hAnsi="Arial" w:cs="Arial"/>
          <w:b/>
          <w:bCs/>
          <w:color w:val="000000" w:themeColor="text1"/>
          <w:sz w:val="28"/>
          <w:szCs w:val="28"/>
        </w:rPr>
      </w:pPr>
      <w:r w:rsidRPr="00E52633">
        <w:rPr>
          <w:rFonts w:ascii="Arial" w:hAnsi="Arial" w:cs="Arial"/>
          <w:b/>
          <w:bCs/>
          <w:color w:val="000000" w:themeColor="text1"/>
          <w:sz w:val="28"/>
          <w:szCs w:val="28"/>
        </w:rPr>
        <w:t>Inclusion Criteria:</w:t>
      </w:r>
    </w:p>
    <w:p w14:paraId="0ED32F13" w14:textId="21A8925E" w:rsidR="00522E90" w:rsidRPr="00522E90" w:rsidRDefault="00522E90" w:rsidP="00522E90">
      <w:pPr>
        <w:spacing w:line="360" w:lineRule="auto"/>
        <w:rPr>
          <w:rFonts w:ascii="Arial" w:hAnsi="Arial" w:cs="Arial"/>
          <w:sz w:val="22"/>
          <w:szCs w:val="22"/>
        </w:rPr>
      </w:pPr>
      <w:r>
        <w:rPr>
          <w:rFonts w:ascii="Arial" w:hAnsi="Arial" w:cs="Arial"/>
          <w:sz w:val="22"/>
          <w:szCs w:val="22"/>
        </w:rPr>
        <w:t>Inclusion criteria consisted of peer-reviewed journal articles, government reports, and reputable public health publications related to type 2 diabetes in adult populations related to type 2 diabetes in adult populations.  Studies published within the last ten years were prioritised to ensure contemporary relevance.  Research focusing on UK populations, as well international studies providing comparative insights into diabetes prevalence and management, were also included.</w:t>
      </w:r>
    </w:p>
    <w:p w14:paraId="498A8B08" w14:textId="77777777" w:rsidR="00FC4F0B" w:rsidRDefault="00FC4F0B" w:rsidP="001C34F5">
      <w:pPr>
        <w:rPr>
          <w:rFonts w:ascii="Arial" w:hAnsi="Arial" w:cs="Arial"/>
          <w:sz w:val="22"/>
          <w:szCs w:val="22"/>
        </w:rPr>
      </w:pPr>
    </w:p>
    <w:p w14:paraId="211AECE4" w14:textId="176B2BF5" w:rsidR="00FC4F0B" w:rsidRPr="00E52633" w:rsidRDefault="001C34F5" w:rsidP="001C34F5">
      <w:pPr>
        <w:rPr>
          <w:rFonts w:ascii="Arial" w:hAnsi="Arial" w:cs="Arial"/>
          <w:b/>
          <w:bCs/>
          <w:sz w:val="28"/>
          <w:szCs w:val="28"/>
        </w:rPr>
      </w:pPr>
      <w:r w:rsidRPr="00E52633">
        <w:rPr>
          <w:rFonts w:ascii="Arial" w:hAnsi="Arial" w:cs="Arial"/>
          <w:b/>
          <w:bCs/>
          <w:sz w:val="28"/>
          <w:szCs w:val="28"/>
        </w:rPr>
        <w:t>Exclusion Criteria:</w:t>
      </w:r>
    </w:p>
    <w:p w14:paraId="05820D15" w14:textId="693C7F25" w:rsidR="00FC4F0B" w:rsidRDefault="00FC4F0B" w:rsidP="001C34F5">
      <w:pPr>
        <w:rPr>
          <w:rFonts w:ascii="Arial" w:hAnsi="Arial" w:cs="Arial"/>
          <w:b/>
          <w:bCs/>
          <w:sz w:val="22"/>
          <w:szCs w:val="22"/>
        </w:rPr>
      </w:pPr>
    </w:p>
    <w:p w14:paraId="50E6A833" w14:textId="7AEED191" w:rsidR="00FC4F0B" w:rsidRPr="00FC4F0B" w:rsidRDefault="00FC4F0B" w:rsidP="00FC4F0B">
      <w:pPr>
        <w:spacing w:line="360" w:lineRule="auto"/>
        <w:rPr>
          <w:rFonts w:ascii="Arial" w:hAnsi="Arial" w:cs="Arial"/>
          <w:sz w:val="22"/>
          <w:szCs w:val="22"/>
        </w:rPr>
      </w:pPr>
      <w:r>
        <w:rPr>
          <w:rFonts w:ascii="Arial" w:hAnsi="Arial" w:cs="Arial"/>
          <w:sz w:val="22"/>
          <w:szCs w:val="22"/>
        </w:rPr>
        <w:t>Exclusion criteria included opinion blogs, non-academic websites, outdated studies with limited contemporary relevance, and articles not written in English.  Research focusing exclusively on type 1 diabetes or paediatric populations was also excluded.</w:t>
      </w:r>
    </w:p>
    <w:p w14:paraId="37061951" w14:textId="77777777" w:rsidR="00FC4F0B" w:rsidRDefault="00FC4F0B" w:rsidP="001C34F5">
      <w:pPr>
        <w:rPr>
          <w:rFonts w:ascii="Arial" w:hAnsi="Arial" w:cs="Arial"/>
          <w:sz w:val="22"/>
          <w:szCs w:val="22"/>
        </w:rPr>
      </w:pPr>
    </w:p>
    <w:p w14:paraId="35821A59" w14:textId="06E0CFF9" w:rsidR="001C34F5" w:rsidRPr="00EE505C" w:rsidRDefault="001C34F5" w:rsidP="001C34F5">
      <w:pPr>
        <w:rPr>
          <w:rFonts w:ascii="Arial" w:hAnsi="Arial" w:cs="Arial"/>
          <w:b/>
          <w:bCs/>
          <w:sz w:val="28"/>
          <w:szCs w:val="28"/>
        </w:rPr>
      </w:pPr>
      <w:r w:rsidRPr="00EE505C">
        <w:rPr>
          <w:rFonts w:ascii="Arial" w:hAnsi="Arial" w:cs="Arial"/>
          <w:b/>
          <w:bCs/>
          <w:sz w:val="28"/>
          <w:szCs w:val="28"/>
        </w:rPr>
        <w:t>Justification:</w:t>
      </w:r>
    </w:p>
    <w:p w14:paraId="7997301C" w14:textId="381DAC44" w:rsidR="00FC4F0B" w:rsidRDefault="00FC4F0B" w:rsidP="001C34F5">
      <w:pPr>
        <w:rPr>
          <w:rFonts w:ascii="Arial" w:hAnsi="Arial" w:cs="Arial"/>
          <w:b/>
          <w:bCs/>
          <w:sz w:val="22"/>
          <w:szCs w:val="22"/>
        </w:rPr>
      </w:pPr>
    </w:p>
    <w:p w14:paraId="65667D8C" w14:textId="077D1B77" w:rsidR="00FC4F0B" w:rsidRPr="00FC4F0B" w:rsidRDefault="00FC4F0B" w:rsidP="001C34F5">
      <w:pPr>
        <w:rPr>
          <w:rFonts w:ascii="Arial" w:hAnsi="Arial" w:cs="Arial"/>
          <w:sz w:val="22"/>
          <w:szCs w:val="22"/>
        </w:rPr>
      </w:pPr>
      <w:r>
        <w:rPr>
          <w:rFonts w:ascii="Arial" w:hAnsi="Arial" w:cs="Arial"/>
          <w:sz w:val="22"/>
          <w:szCs w:val="22"/>
        </w:rPr>
        <w:t>These criteria ensured that the research maintained both academic quality and topical focus.</w:t>
      </w:r>
    </w:p>
    <w:p w14:paraId="4D31D91B" w14:textId="77777777" w:rsidR="001C34F5" w:rsidRPr="00FC4F0B" w:rsidRDefault="001C34F5" w:rsidP="001C34F5">
      <w:pPr>
        <w:rPr>
          <w:rFonts w:ascii="Arial" w:hAnsi="Arial" w:cs="Arial"/>
          <w:sz w:val="22"/>
          <w:szCs w:val="22"/>
        </w:rPr>
      </w:pPr>
    </w:p>
    <w:p w14:paraId="0C62CC69" w14:textId="7F196D42" w:rsidR="001C34F5" w:rsidRPr="00E52633" w:rsidRDefault="001C34F5" w:rsidP="001C34F5">
      <w:pPr>
        <w:pStyle w:val="Heading2"/>
        <w:numPr>
          <w:ilvl w:val="1"/>
          <w:numId w:val="11"/>
        </w:numPr>
        <w:spacing w:line="360" w:lineRule="auto"/>
        <w:rPr>
          <w:rFonts w:ascii="Arial" w:hAnsi="Arial" w:cs="Arial"/>
          <w:b/>
          <w:bCs/>
          <w:color w:val="000000" w:themeColor="text1"/>
          <w:sz w:val="32"/>
          <w:szCs w:val="32"/>
        </w:rPr>
      </w:pPr>
      <w:r w:rsidRPr="00E52633">
        <w:rPr>
          <w:rFonts w:ascii="Arial" w:hAnsi="Arial" w:cs="Arial"/>
          <w:b/>
          <w:bCs/>
          <w:color w:val="000000" w:themeColor="text1"/>
          <w:sz w:val="32"/>
          <w:szCs w:val="32"/>
        </w:rPr>
        <w:lastRenderedPageBreak/>
        <w:t xml:space="preserve">– Analysing Research  </w:t>
      </w:r>
    </w:p>
    <w:p w14:paraId="0A2FAF4D" w14:textId="62261EF3" w:rsidR="001C34F5" w:rsidRPr="00E52633" w:rsidRDefault="001C34F5" w:rsidP="001C34F5">
      <w:pPr>
        <w:rPr>
          <w:rFonts w:ascii="Arial" w:hAnsi="Arial" w:cs="Arial"/>
          <w:b/>
          <w:bCs/>
          <w:sz w:val="28"/>
          <w:szCs w:val="28"/>
        </w:rPr>
      </w:pPr>
      <w:r w:rsidRPr="00E52633">
        <w:rPr>
          <w:rFonts w:ascii="Arial" w:hAnsi="Arial" w:cs="Arial"/>
          <w:b/>
          <w:bCs/>
          <w:sz w:val="28"/>
          <w:szCs w:val="28"/>
        </w:rPr>
        <w:t>Thematic Coding Approach:</w:t>
      </w:r>
    </w:p>
    <w:p w14:paraId="3CEB312E" w14:textId="6B7E4BC2" w:rsidR="003216E8" w:rsidRDefault="003216E8" w:rsidP="003216E8">
      <w:pPr>
        <w:spacing w:line="360" w:lineRule="auto"/>
        <w:rPr>
          <w:rFonts w:ascii="Arial" w:hAnsi="Arial" w:cs="Arial"/>
          <w:sz w:val="22"/>
          <w:szCs w:val="22"/>
        </w:rPr>
      </w:pPr>
    </w:p>
    <w:p w14:paraId="672D3880" w14:textId="077726CC" w:rsidR="003216E8" w:rsidRPr="003216E8" w:rsidRDefault="003216E8" w:rsidP="003216E8">
      <w:pPr>
        <w:spacing w:line="360" w:lineRule="auto"/>
        <w:rPr>
          <w:rFonts w:ascii="Arial" w:hAnsi="Arial" w:cs="Arial"/>
          <w:sz w:val="22"/>
          <w:szCs w:val="22"/>
        </w:rPr>
      </w:pPr>
      <w:r>
        <w:rPr>
          <w:rFonts w:ascii="Arial" w:hAnsi="Arial" w:cs="Arial"/>
          <w:sz w:val="22"/>
          <w:szCs w:val="22"/>
        </w:rPr>
        <w:t>The selected literature was analysed using a thematic coding approach, which allowed patterns and recurring ideas within the research to be systematically identified.  Each</w:t>
      </w:r>
      <w:r w:rsidR="001D77D2">
        <w:rPr>
          <w:rFonts w:ascii="Arial" w:hAnsi="Arial" w:cs="Arial"/>
          <w:sz w:val="22"/>
          <w:szCs w:val="22"/>
        </w:rPr>
        <w:t xml:space="preserve"> article was reviewed in detail, and key points relating to prevalence, risk factors, and management strategies were highlighted.  From this process, initial codes were generated to represent commonly occurring concepts within the literature.</w:t>
      </w:r>
    </w:p>
    <w:p w14:paraId="7CF8691D" w14:textId="77777777" w:rsidR="001D77D2" w:rsidRDefault="001D77D2" w:rsidP="001C34F5"/>
    <w:p w14:paraId="50AEDCAC" w14:textId="50D0FFF6" w:rsidR="001C34F5" w:rsidRPr="00E52633" w:rsidRDefault="001C34F5" w:rsidP="001C34F5">
      <w:pPr>
        <w:rPr>
          <w:rFonts w:ascii="Arial" w:hAnsi="Arial" w:cs="Arial"/>
          <w:sz w:val="28"/>
          <w:szCs w:val="28"/>
        </w:rPr>
      </w:pPr>
      <w:r w:rsidRPr="00E52633">
        <w:rPr>
          <w:rFonts w:ascii="Arial" w:hAnsi="Arial" w:cs="Arial"/>
          <w:b/>
          <w:bCs/>
          <w:sz w:val="28"/>
          <w:szCs w:val="28"/>
        </w:rPr>
        <w:t>Developing Themes:</w:t>
      </w:r>
    </w:p>
    <w:p w14:paraId="5EB3D1CD" w14:textId="0156B6A9" w:rsidR="001D77D2" w:rsidRDefault="001D77D2" w:rsidP="001C34F5"/>
    <w:p w14:paraId="76AA1D87" w14:textId="187AB9C8" w:rsidR="001D77D2" w:rsidRPr="001D77D2" w:rsidRDefault="001D77D2" w:rsidP="001D77D2">
      <w:pPr>
        <w:spacing w:line="360" w:lineRule="auto"/>
        <w:rPr>
          <w:rFonts w:ascii="Arial" w:hAnsi="Arial" w:cs="Arial"/>
          <w:sz w:val="22"/>
          <w:szCs w:val="22"/>
        </w:rPr>
      </w:pPr>
      <w:r>
        <w:rPr>
          <w:rFonts w:ascii="Arial" w:hAnsi="Arial" w:cs="Arial"/>
          <w:sz w:val="22"/>
          <w:szCs w:val="22"/>
        </w:rPr>
        <w:t>These codes were then grouped into broader themes, enabling the researcher to identify significant patterns across multiple studies.  For example, repeated references to obesity, physical inactivity, and dietary habits were grouped under lifestyle risk factors, while discussions around socioeconomic status and ethnicity informed themes related to health inequalities.</w:t>
      </w:r>
    </w:p>
    <w:p w14:paraId="6FC4048D" w14:textId="77777777" w:rsidR="001D77D2" w:rsidRDefault="001D77D2" w:rsidP="001C34F5"/>
    <w:p w14:paraId="4B920710" w14:textId="4DEF8577" w:rsidR="001C34F5" w:rsidRPr="00E52633" w:rsidRDefault="001C34F5" w:rsidP="001C34F5">
      <w:pPr>
        <w:rPr>
          <w:rFonts w:ascii="Arial" w:hAnsi="Arial" w:cs="Arial"/>
          <w:b/>
          <w:bCs/>
          <w:sz w:val="28"/>
          <w:szCs w:val="28"/>
        </w:rPr>
      </w:pPr>
      <w:r w:rsidRPr="00E52633">
        <w:rPr>
          <w:rFonts w:ascii="Arial" w:hAnsi="Arial" w:cs="Arial"/>
          <w:b/>
          <w:bCs/>
          <w:sz w:val="28"/>
          <w:szCs w:val="28"/>
        </w:rPr>
        <w:t>Organisation:</w:t>
      </w:r>
    </w:p>
    <w:p w14:paraId="78E003F6" w14:textId="4504FD7C" w:rsidR="001D77D2" w:rsidRDefault="001D77D2" w:rsidP="001C34F5">
      <w:pPr>
        <w:rPr>
          <w:rFonts w:ascii="Arial" w:hAnsi="Arial" w:cs="Arial"/>
          <w:b/>
          <w:bCs/>
          <w:sz w:val="22"/>
          <w:szCs w:val="22"/>
        </w:rPr>
      </w:pPr>
    </w:p>
    <w:p w14:paraId="6B7D6778" w14:textId="62267CA9" w:rsidR="001D77D2" w:rsidRPr="001D77D2" w:rsidRDefault="001D77D2" w:rsidP="001D77D2">
      <w:pPr>
        <w:spacing w:line="360" w:lineRule="auto"/>
        <w:rPr>
          <w:rFonts w:ascii="Arial" w:hAnsi="Arial" w:cs="Arial"/>
          <w:sz w:val="22"/>
          <w:szCs w:val="22"/>
        </w:rPr>
      </w:pPr>
      <w:r>
        <w:rPr>
          <w:rFonts w:ascii="Arial" w:hAnsi="Arial" w:cs="Arial"/>
          <w:sz w:val="22"/>
          <w:szCs w:val="22"/>
        </w:rPr>
        <w:t>To support organisation and clarity, the analysis process was recorded using tables and colour-coding techniques, which categorise findings from each study.  This structured approach allowed the researcher to systematically track themes and prepare the analytical framework used in Chapter 4, where the findings are discussed in greater depth.</w:t>
      </w:r>
    </w:p>
    <w:p w14:paraId="1154F4E9" w14:textId="77777777" w:rsidR="001C34F5" w:rsidRPr="009A1032" w:rsidRDefault="001C34F5" w:rsidP="001D77D2">
      <w:pPr>
        <w:spacing w:line="360" w:lineRule="auto"/>
        <w:rPr>
          <w:rFonts w:ascii="Arial" w:hAnsi="Arial" w:cs="Arial"/>
          <w:sz w:val="22"/>
          <w:szCs w:val="22"/>
        </w:rPr>
      </w:pPr>
    </w:p>
    <w:p w14:paraId="03445468" w14:textId="199D0FC9" w:rsidR="001C34F5" w:rsidRPr="00E52633" w:rsidRDefault="001C34F5" w:rsidP="001C34F5">
      <w:pPr>
        <w:pStyle w:val="Heading2"/>
        <w:numPr>
          <w:ilvl w:val="1"/>
          <w:numId w:val="11"/>
        </w:numPr>
        <w:spacing w:line="360" w:lineRule="auto"/>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Ethical Considerations </w:t>
      </w:r>
    </w:p>
    <w:p w14:paraId="567B4789" w14:textId="3431EF3E" w:rsidR="001C34F5" w:rsidRPr="00E52633" w:rsidRDefault="001C34F5" w:rsidP="001C34F5">
      <w:pPr>
        <w:rPr>
          <w:rFonts w:ascii="Arial" w:hAnsi="Arial" w:cs="Arial"/>
          <w:b/>
          <w:bCs/>
          <w:sz w:val="28"/>
          <w:szCs w:val="28"/>
        </w:rPr>
      </w:pPr>
      <w:r w:rsidRPr="00E52633">
        <w:rPr>
          <w:rFonts w:ascii="Arial" w:hAnsi="Arial" w:cs="Arial"/>
          <w:b/>
          <w:bCs/>
          <w:sz w:val="28"/>
          <w:szCs w:val="28"/>
        </w:rPr>
        <w:t>Secondary Research Ethics:</w:t>
      </w:r>
    </w:p>
    <w:p w14:paraId="7AB3E3E1" w14:textId="391D0370" w:rsidR="009A1032" w:rsidRDefault="009A1032" w:rsidP="001C34F5">
      <w:pPr>
        <w:rPr>
          <w:b/>
          <w:bCs/>
        </w:rPr>
      </w:pPr>
    </w:p>
    <w:p w14:paraId="2919C478" w14:textId="680A6309" w:rsidR="009A1032" w:rsidRPr="009A1032" w:rsidRDefault="009A1032" w:rsidP="009A1032">
      <w:pPr>
        <w:spacing w:line="360" w:lineRule="auto"/>
        <w:rPr>
          <w:rFonts w:ascii="Arial" w:hAnsi="Arial" w:cs="Arial"/>
          <w:sz w:val="22"/>
          <w:szCs w:val="22"/>
        </w:rPr>
      </w:pPr>
      <w:r>
        <w:rPr>
          <w:rFonts w:ascii="Arial" w:hAnsi="Arial" w:cs="Arial"/>
          <w:sz w:val="22"/>
          <w:szCs w:val="22"/>
        </w:rPr>
        <w:t>This research was conducted using secondary data sources, meaning that no primary data collection involving human participants was undertaken.  As a result, formal ethical approval was not required.  However, ethical principles were still carefully considered throughout the research process.</w:t>
      </w:r>
    </w:p>
    <w:p w14:paraId="6AA0E278" w14:textId="77777777" w:rsidR="009A1032" w:rsidRPr="00E52633" w:rsidRDefault="009A1032" w:rsidP="001C34F5">
      <w:pPr>
        <w:rPr>
          <w:sz w:val="28"/>
          <w:szCs w:val="28"/>
        </w:rPr>
      </w:pPr>
    </w:p>
    <w:p w14:paraId="51C88156" w14:textId="0FC7C45D" w:rsidR="001C34F5" w:rsidRPr="00E52633" w:rsidRDefault="001C34F5" w:rsidP="001C34F5">
      <w:pPr>
        <w:rPr>
          <w:rFonts w:ascii="Arial" w:hAnsi="Arial" w:cs="Arial"/>
          <w:b/>
          <w:bCs/>
          <w:sz w:val="28"/>
          <w:szCs w:val="28"/>
        </w:rPr>
      </w:pPr>
      <w:r w:rsidRPr="00E52633">
        <w:rPr>
          <w:rFonts w:ascii="Arial" w:hAnsi="Arial" w:cs="Arial"/>
          <w:b/>
          <w:bCs/>
          <w:sz w:val="28"/>
          <w:szCs w:val="28"/>
        </w:rPr>
        <w:t>Academic Integrity:</w:t>
      </w:r>
    </w:p>
    <w:p w14:paraId="7DC4D77B" w14:textId="038B96A1" w:rsidR="00267283" w:rsidRDefault="00267283" w:rsidP="001C34F5"/>
    <w:p w14:paraId="1B263481" w14:textId="10478607" w:rsidR="0015246F" w:rsidRPr="0015246F" w:rsidRDefault="00267283" w:rsidP="003E495D">
      <w:pPr>
        <w:spacing w:line="360" w:lineRule="auto"/>
        <w:rPr>
          <w:rFonts w:ascii="Arial" w:hAnsi="Arial" w:cs="Arial"/>
          <w:sz w:val="22"/>
          <w:szCs w:val="22"/>
        </w:rPr>
      </w:pPr>
      <w:r>
        <w:rPr>
          <w:rFonts w:ascii="Arial" w:hAnsi="Arial" w:cs="Arial"/>
          <w:sz w:val="22"/>
          <w:szCs w:val="22"/>
        </w:rPr>
        <w:t xml:space="preserve">Academic integrity was maintained by ensuring that all sources were accurately cited using Harvard referencing style, and that ideas and findings from previous research </w:t>
      </w:r>
      <w:r w:rsidR="0015246F">
        <w:rPr>
          <w:rFonts w:ascii="Arial" w:hAnsi="Arial" w:cs="Arial"/>
          <w:sz w:val="22"/>
          <w:szCs w:val="22"/>
        </w:rPr>
        <w:t>were clearly acknowledged.  Care was taken to avoid plagiarism and to represent the original authors’ findings accurately without misinterpretation.</w:t>
      </w:r>
    </w:p>
    <w:p w14:paraId="459D0136" w14:textId="23B8FAE1" w:rsidR="001C34F5" w:rsidRPr="00E52633" w:rsidRDefault="001C34F5" w:rsidP="001C34F5">
      <w:pPr>
        <w:rPr>
          <w:rFonts w:ascii="Arial" w:hAnsi="Arial" w:cs="Arial"/>
          <w:b/>
          <w:bCs/>
          <w:sz w:val="28"/>
          <w:szCs w:val="28"/>
        </w:rPr>
      </w:pPr>
      <w:r w:rsidRPr="00E52633">
        <w:rPr>
          <w:rFonts w:ascii="Arial" w:hAnsi="Arial" w:cs="Arial"/>
          <w:b/>
          <w:bCs/>
          <w:sz w:val="28"/>
          <w:szCs w:val="28"/>
        </w:rPr>
        <w:lastRenderedPageBreak/>
        <w:t>Transparency and Credibility:</w:t>
      </w:r>
    </w:p>
    <w:p w14:paraId="0A7D3E31" w14:textId="01C796FA" w:rsidR="0015246F" w:rsidRDefault="0015246F" w:rsidP="0015246F">
      <w:pPr>
        <w:spacing w:line="360" w:lineRule="auto"/>
        <w:rPr>
          <w:rFonts w:ascii="Arial" w:hAnsi="Arial" w:cs="Arial"/>
          <w:b/>
          <w:bCs/>
          <w:sz w:val="22"/>
          <w:szCs w:val="22"/>
        </w:rPr>
      </w:pPr>
    </w:p>
    <w:p w14:paraId="60F798A2" w14:textId="094A1CF3" w:rsidR="0015246F" w:rsidRPr="0015246F" w:rsidRDefault="0015246F" w:rsidP="0015246F">
      <w:pPr>
        <w:spacing w:line="360" w:lineRule="auto"/>
        <w:rPr>
          <w:rFonts w:ascii="Arial" w:hAnsi="Arial" w:cs="Arial"/>
          <w:sz w:val="22"/>
          <w:szCs w:val="22"/>
        </w:rPr>
      </w:pPr>
      <w:r>
        <w:rPr>
          <w:rFonts w:ascii="Arial" w:hAnsi="Arial" w:cs="Arial"/>
          <w:sz w:val="22"/>
          <w:szCs w:val="22"/>
        </w:rPr>
        <w:t>Transparency was also prioritised when selecting and presenting literature.  The researcher aimed to provide a balanced overview of the available evidence, ensuring that sources were included based on relevance and quality rather than personal bias.</w:t>
      </w:r>
    </w:p>
    <w:p w14:paraId="5CB6C4DE" w14:textId="77777777" w:rsidR="001C34F5" w:rsidRPr="0015246F" w:rsidRDefault="001C34F5" w:rsidP="001C34F5">
      <w:pPr>
        <w:rPr>
          <w:rFonts w:ascii="Arial" w:hAnsi="Arial" w:cs="Arial"/>
          <w:sz w:val="22"/>
          <w:szCs w:val="22"/>
        </w:rPr>
      </w:pPr>
    </w:p>
    <w:p w14:paraId="6AAB593B" w14:textId="686538F8" w:rsidR="001C34F5" w:rsidRPr="00E52633" w:rsidRDefault="001C34F5" w:rsidP="0015246F">
      <w:pPr>
        <w:pStyle w:val="Heading2"/>
        <w:numPr>
          <w:ilvl w:val="1"/>
          <w:numId w:val="11"/>
        </w:numPr>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Chapter Conclusion </w:t>
      </w:r>
    </w:p>
    <w:p w14:paraId="224FBF28" w14:textId="77777777" w:rsidR="0015246F" w:rsidRPr="00665AC3" w:rsidRDefault="0015246F" w:rsidP="0015246F">
      <w:pPr>
        <w:rPr>
          <w:b/>
          <w:bCs/>
        </w:rPr>
      </w:pPr>
    </w:p>
    <w:p w14:paraId="5342D42D" w14:textId="473F1B15" w:rsidR="001C34F5" w:rsidRPr="00E52633" w:rsidRDefault="001C34F5" w:rsidP="001C34F5">
      <w:pPr>
        <w:rPr>
          <w:rFonts w:ascii="Arial" w:hAnsi="Arial" w:cs="Arial"/>
          <w:b/>
          <w:bCs/>
          <w:sz w:val="28"/>
          <w:szCs w:val="28"/>
        </w:rPr>
      </w:pPr>
      <w:r w:rsidRPr="00E52633">
        <w:rPr>
          <w:rFonts w:ascii="Arial" w:hAnsi="Arial" w:cs="Arial"/>
          <w:b/>
          <w:bCs/>
          <w:sz w:val="28"/>
          <w:szCs w:val="28"/>
        </w:rPr>
        <w:t>Summary:</w:t>
      </w:r>
    </w:p>
    <w:p w14:paraId="117F6D03" w14:textId="6085C4CF" w:rsidR="0015246F" w:rsidRDefault="0015246F" w:rsidP="0015246F">
      <w:pPr>
        <w:spacing w:line="360" w:lineRule="auto"/>
        <w:rPr>
          <w:rFonts w:ascii="Arial" w:hAnsi="Arial" w:cs="Arial"/>
          <w:sz w:val="22"/>
          <w:szCs w:val="22"/>
        </w:rPr>
      </w:pPr>
    </w:p>
    <w:p w14:paraId="06DC264C" w14:textId="681312C4" w:rsidR="0015246F" w:rsidRDefault="0015246F" w:rsidP="0015246F">
      <w:pPr>
        <w:spacing w:line="360" w:lineRule="auto"/>
        <w:rPr>
          <w:rFonts w:ascii="Arial" w:hAnsi="Arial" w:cs="Arial"/>
          <w:sz w:val="22"/>
          <w:szCs w:val="22"/>
        </w:rPr>
      </w:pPr>
      <w:r>
        <w:rPr>
          <w:rFonts w:ascii="Arial" w:hAnsi="Arial" w:cs="Arial"/>
          <w:sz w:val="22"/>
          <w:szCs w:val="22"/>
        </w:rPr>
        <w:t>This chapter has outlined the methodological approach used to conduct the research for this dissertation.  It explained how a structured search strategy was developed to locate relevant academic literature, and how databases, filters, and keyword combinations were used to identify appropriate sources.  The chapter also described how the CRAPP framework was applied to validate research quality, alongside clearly defined inclusion and exclusion criteria to maintain relevance and credibility.</w:t>
      </w:r>
    </w:p>
    <w:p w14:paraId="3EC3CF1B" w14:textId="78ED19D8" w:rsidR="0015246F" w:rsidRDefault="0015246F" w:rsidP="0015246F">
      <w:pPr>
        <w:spacing w:line="360" w:lineRule="auto"/>
        <w:rPr>
          <w:rFonts w:ascii="Arial" w:hAnsi="Arial" w:cs="Arial"/>
          <w:sz w:val="22"/>
          <w:szCs w:val="22"/>
        </w:rPr>
      </w:pPr>
    </w:p>
    <w:p w14:paraId="3B0567E8" w14:textId="5B857EEB" w:rsidR="0015246F" w:rsidRDefault="0015246F" w:rsidP="0015246F">
      <w:pPr>
        <w:spacing w:line="360" w:lineRule="auto"/>
        <w:rPr>
          <w:rFonts w:ascii="Arial" w:hAnsi="Arial" w:cs="Arial"/>
          <w:sz w:val="22"/>
          <w:szCs w:val="22"/>
        </w:rPr>
      </w:pPr>
      <w:r>
        <w:rPr>
          <w:rFonts w:ascii="Arial" w:hAnsi="Arial" w:cs="Arial"/>
          <w:sz w:val="22"/>
          <w:szCs w:val="22"/>
        </w:rPr>
        <w:t xml:space="preserve">Furthermore, the chapter detailed the use of thematic coding techniques to analyse the selected </w:t>
      </w:r>
      <w:r w:rsidR="00D4154B">
        <w:rPr>
          <w:rFonts w:ascii="Arial" w:hAnsi="Arial" w:cs="Arial"/>
          <w:sz w:val="22"/>
          <w:szCs w:val="22"/>
        </w:rPr>
        <w:t>literature and identify recurring patterns within the research.</w:t>
      </w:r>
    </w:p>
    <w:p w14:paraId="764B5815" w14:textId="77777777" w:rsidR="00D4154B" w:rsidRDefault="00D4154B" w:rsidP="001C34F5">
      <w:pPr>
        <w:rPr>
          <w:rFonts w:ascii="Arial" w:hAnsi="Arial" w:cs="Arial"/>
          <w:sz w:val="22"/>
          <w:szCs w:val="22"/>
        </w:rPr>
      </w:pPr>
    </w:p>
    <w:p w14:paraId="3F0EA8F5" w14:textId="7B3D35F1" w:rsidR="001C34F5" w:rsidRPr="00E52633" w:rsidRDefault="001C34F5" w:rsidP="001C34F5">
      <w:pPr>
        <w:rPr>
          <w:rFonts w:ascii="Arial" w:hAnsi="Arial" w:cs="Arial"/>
          <w:sz w:val="28"/>
          <w:szCs w:val="28"/>
        </w:rPr>
      </w:pPr>
      <w:r w:rsidRPr="00E52633">
        <w:rPr>
          <w:rFonts w:ascii="Arial" w:hAnsi="Arial" w:cs="Arial"/>
          <w:b/>
          <w:bCs/>
          <w:sz w:val="28"/>
          <w:szCs w:val="28"/>
        </w:rPr>
        <w:t>Link to Next Chapter:</w:t>
      </w:r>
    </w:p>
    <w:p w14:paraId="05D0345C" w14:textId="63C7AEF9" w:rsidR="001C34F5" w:rsidRDefault="001C34F5" w:rsidP="00D4154B">
      <w:pPr>
        <w:spacing w:line="360" w:lineRule="auto"/>
        <w:rPr>
          <w:rFonts w:ascii="Arial" w:hAnsi="Arial" w:cs="Arial"/>
          <w:sz w:val="22"/>
          <w:szCs w:val="22"/>
        </w:rPr>
      </w:pPr>
    </w:p>
    <w:p w14:paraId="7E907BDE" w14:textId="7BFC2DB2" w:rsidR="00D4154B" w:rsidRDefault="00D4154B" w:rsidP="00D4154B">
      <w:pPr>
        <w:spacing w:line="360" w:lineRule="auto"/>
        <w:rPr>
          <w:rFonts w:ascii="Arial" w:hAnsi="Arial" w:cs="Arial"/>
          <w:sz w:val="22"/>
          <w:szCs w:val="22"/>
        </w:rPr>
      </w:pPr>
      <w:r>
        <w:rPr>
          <w:rFonts w:ascii="Arial" w:hAnsi="Arial" w:cs="Arial"/>
          <w:sz w:val="22"/>
          <w:szCs w:val="22"/>
        </w:rPr>
        <w:t>The following chapter will present the findings of this analysis, organised into key themes relating to the prevalence, risk factors, and management strategies of type 2 diabetes in UK adults.</w:t>
      </w:r>
    </w:p>
    <w:p w14:paraId="14720652" w14:textId="77777777" w:rsidR="00E04206" w:rsidRPr="00D4154B" w:rsidRDefault="00E04206" w:rsidP="00D4154B">
      <w:pPr>
        <w:spacing w:line="360" w:lineRule="auto"/>
        <w:rPr>
          <w:rFonts w:ascii="Arial" w:hAnsi="Arial" w:cs="Arial"/>
          <w:sz w:val="22"/>
          <w:szCs w:val="22"/>
        </w:rPr>
      </w:pPr>
    </w:p>
    <w:p w14:paraId="1F754FBE" w14:textId="34A368E7" w:rsidR="001C34F5" w:rsidRPr="00E52633" w:rsidRDefault="001C34F5" w:rsidP="001C34F5">
      <w:pPr>
        <w:pStyle w:val="Heading1"/>
        <w:ind w:left="0"/>
        <w:rPr>
          <w:rFonts w:cs="Arial"/>
        </w:rPr>
      </w:pPr>
      <w:r w:rsidRPr="00E52633">
        <w:rPr>
          <w:rFonts w:cs="Arial"/>
        </w:rPr>
        <w:t xml:space="preserve">CHAPTER 4 – Findings and Discussion </w:t>
      </w:r>
    </w:p>
    <w:p w14:paraId="7280E6D7" w14:textId="77777777" w:rsidR="001C34F5" w:rsidRDefault="001C34F5" w:rsidP="001C34F5"/>
    <w:p w14:paraId="3B044CF9" w14:textId="5E9B59ED" w:rsidR="001C34F5" w:rsidRPr="00E52633" w:rsidRDefault="001C34F5" w:rsidP="001C34F5">
      <w:pPr>
        <w:pStyle w:val="Heading2"/>
        <w:rPr>
          <w:rFonts w:ascii="Arial" w:hAnsi="Arial" w:cs="Arial"/>
          <w:b/>
          <w:bCs/>
          <w:color w:val="000000" w:themeColor="text1"/>
          <w:sz w:val="28"/>
          <w:szCs w:val="28"/>
        </w:rPr>
      </w:pPr>
      <w:r w:rsidRPr="00E52633">
        <w:rPr>
          <w:rFonts w:ascii="Arial" w:hAnsi="Arial" w:cs="Arial"/>
          <w:b/>
          <w:bCs/>
          <w:color w:val="000000" w:themeColor="text1"/>
          <w:sz w:val="28"/>
          <w:szCs w:val="28"/>
        </w:rPr>
        <w:t xml:space="preserve">4.1 – Introduction </w:t>
      </w:r>
    </w:p>
    <w:p w14:paraId="34BB4C1D" w14:textId="08D5C393" w:rsidR="001C34F5" w:rsidRDefault="001C34F5" w:rsidP="001C34F5"/>
    <w:p w14:paraId="0BBC9627" w14:textId="749FAC2F" w:rsidR="00CB1827" w:rsidRDefault="00CB1827" w:rsidP="00CB1827">
      <w:pPr>
        <w:spacing w:line="360" w:lineRule="auto"/>
        <w:rPr>
          <w:rFonts w:ascii="Arial" w:hAnsi="Arial" w:cs="Arial"/>
          <w:sz w:val="22"/>
          <w:szCs w:val="22"/>
        </w:rPr>
      </w:pPr>
      <w:r>
        <w:rPr>
          <w:rFonts w:ascii="Arial" w:hAnsi="Arial" w:cs="Arial"/>
          <w:sz w:val="22"/>
          <w:szCs w:val="22"/>
        </w:rPr>
        <w:t>This chapter presents and critically discusses the findings identified through the thematic analysis of selected secondary literature.  Drawing on the coding process outlined in Chapter 3, three major themes emerged across the reviewed evidence: the rising prevalence of type 2 diabetes mellitus (T2DM) in UK adults, the influence of lifestyle and socioeconomic risk factors, and the effectiveness of current management and prevention strategies.  These themes are examined in relation to the dissertation aim in order to evaluate how the literature explains the scale, causes and responses to T2DM in the United Kingdom.  Statistical evidence, policy guidance and examples from key studies are integrated throughout to support critical discussion rather than simple description.</w:t>
      </w:r>
    </w:p>
    <w:p w14:paraId="1063BCD8" w14:textId="6EF2BEC2" w:rsidR="001C34F5" w:rsidRPr="00E52633" w:rsidRDefault="00065798" w:rsidP="001C34F5">
      <w:pPr>
        <w:pStyle w:val="Heading2"/>
        <w:rPr>
          <w:rFonts w:ascii="Arial" w:hAnsi="Arial" w:cs="Arial"/>
          <w:b/>
          <w:bCs/>
          <w:color w:val="000000" w:themeColor="text1"/>
          <w:sz w:val="32"/>
          <w:szCs w:val="32"/>
        </w:rPr>
      </w:pPr>
      <w:r w:rsidRPr="00E52633">
        <w:rPr>
          <w:rFonts w:ascii="Arial" w:hAnsi="Arial" w:cs="Arial"/>
          <w:b/>
          <w:bCs/>
          <w:color w:val="000000" w:themeColor="text1"/>
          <w:sz w:val="32"/>
          <w:szCs w:val="32"/>
        </w:rPr>
        <w:lastRenderedPageBreak/>
        <w:t>4</w:t>
      </w:r>
      <w:r w:rsidR="001C34F5" w:rsidRPr="00E52633">
        <w:rPr>
          <w:rFonts w:ascii="Arial" w:hAnsi="Arial" w:cs="Arial"/>
          <w:b/>
          <w:bCs/>
          <w:color w:val="000000" w:themeColor="text1"/>
          <w:sz w:val="32"/>
          <w:szCs w:val="32"/>
        </w:rPr>
        <w:t xml:space="preserve">.2 – Thematic Analysis </w:t>
      </w:r>
    </w:p>
    <w:p w14:paraId="5D5068CF" w14:textId="77777777" w:rsidR="001C34F5" w:rsidRPr="00E52633" w:rsidRDefault="001C34F5" w:rsidP="001C34F5">
      <w:pPr>
        <w:pStyle w:val="Heading1"/>
        <w:rPr>
          <w:rFonts w:cs="Arial"/>
          <w:sz w:val="28"/>
          <w:szCs w:val="28"/>
        </w:rPr>
      </w:pPr>
    </w:p>
    <w:p w14:paraId="70D1ABD5" w14:textId="60022F95" w:rsidR="001C34F5" w:rsidRPr="00E52633" w:rsidRDefault="001C34F5" w:rsidP="001C34F5">
      <w:pPr>
        <w:rPr>
          <w:rFonts w:ascii="Arial" w:hAnsi="Arial" w:cs="Arial"/>
          <w:b/>
          <w:bCs/>
          <w:sz w:val="28"/>
          <w:szCs w:val="28"/>
        </w:rPr>
      </w:pPr>
      <w:r w:rsidRPr="00E52633">
        <w:rPr>
          <w:rFonts w:ascii="Arial" w:hAnsi="Arial" w:cs="Arial"/>
          <w:b/>
          <w:bCs/>
          <w:sz w:val="28"/>
          <w:szCs w:val="28"/>
        </w:rPr>
        <w:t>Definition of Thematic Analysis:</w:t>
      </w:r>
    </w:p>
    <w:p w14:paraId="4EE85B31" w14:textId="42FF4E80" w:rsidR="00CB1827" w:rsidRDefault="00CB1827" w:rsidP="001C34F5">
      <w:pPr>
        <w:rPr>
          <w:rFonts w:ascii="Arial" w:hAnsi="Arial" w:cs="Arial"/>
          <w:b/>
          <w:bCs/>
          <w:sz w:val="22"/>
          <w:szCs w:val="22"/>
        </w:rPr>
      </w:pPr>
    </w:p>
    <w:p w14:paraId="57736D53" w14:textId="0B82A325" w:rsidR="00CB1827" w:rsidRPr="00AC2C4F" w:rsidRDefault="00753C81" w:rsidP="00AC2C4F">
      <w:pPr>
        <w:spacing w:line="360" w:lineRule="auto"/>
        <w:rPr>
          <w:rFonts w:ascii="Arial" w:hAnsi="Arial" w:cs="Arial"/>
          <w:sz w:val="22"/>
          <w:szCs w:val="22"/>
        </w:rPr>
      </w:pPr>
      <w:r w:rsidRPr="00AC2C4F">
        <w:rPr>
          <w:rFonts w:ascii="Arial" w:hAnsi="Arial" w:cs="Arial"/>
          <w:sz w:val="22"/>
          <w:szCs w:val="22"/>
        </w:rPr>
        <w:t>Thematic analysis is a method used to identify, organise and interpret patterns of meaning across a dataset.  Braun and Clarke define it as a method for “identifying, analysing and reporting patterns (themes) within data”, making it particularly useful in secondary research where the aim is to synthesise findings from multiple sources into coherent analytical categories</w:t>
      </w:r>
      <w:r w:rsidR="001E6860" w:rsidRPr="00AC2C4F">
        <w:rPr>
          <w:rFonts w:ascii="Arial" w:hAnsi="Arial" w:cs="Arial"/>
          <w:sz w:val="22"/>
          <w:szCs w:val="22"/>
        </w:rPr>
        <w:t xml:space="preserve"> </w:t>
      </w:r>
      <w:r w:rsidR="001E6860" w:rsidRPr="00AC2C4F">
        <w:rPr>
          <w:rFonts w:ascii="Arial" w:hAnsi="Arial" w:cs="Arial"/>
          <w:color w:val="000000"/>
          <w:sz w:val="22"/>
          <w:szCs w:val="22"/>
        </w:rPr>
        <w:t>(Purssell and Gould, 2021)</w:t>
      </w:r>
      <w:r w:rsidRPr="00AC2C4F">
        <w:rPr>
          <w:rFonts w:ascii="Arial" w:hAnsi="Arial" w:cs="Arial"/>
          <w:sz w:val="22"/>
          <w:szCs w:val="22"/>
        </w:rPr>
        <w:t>.  In literature-based research, thematic analysis allows the researcher to move beyond summarising individual studies and instead examine recurring concepts, areas of agreement, contradiction and wider implications for the research question</w:t>
      </w:r>
      <w:r w:rsidR="00AC2C4F" w:rsidRPr="00AC2C4F">
        <w:rPr>
          <w:rFonts w:ascii="Arial" w:hAnsi="Arial" w:cs="Arial"/>
          <w:sz w:val="22"/>
          <w:szCs w:val="22"/>
        </w:rPr>
        <w:t xml:space="preserve"> </w:t>
      </w:r>
      <w:r w:rsidR="00AC2C4F" w:rsidRPr="00AC2C4F">
        <w:rPr>
          <w:rFonts w:ascii="Arial" w:hAnsi="Arial" w:cs="Arial"/>
          <w:color w:val="000000"/>
          <w:sz w:val="22"/>
          <w:szCs w:val="22"/>
        </w:rPr>
        <w:t>(Thomas and Harden, 2008)</w:t>
      </w:r>
      <w:r w:rsidRPr="00AC2C4F">
        <w:rPr>
          <w:rFonts w:ascii="Arial" w:hAnsi="Arial" w:cs="Arial"/>
          <w:sz w:val="22"/>
          <w:szCs w:val="22"/>
        </w:rPr>
        <w:t>.</w:t>
      </w:r>
    </w:p>
    <w:p w14:paraId="4C011151" w14:textId="77777777" w:rsidR="00CB1827" w:rsidRPr="00CB1827" w:rsidRDefault="00CB1827" w:rsidP="00CB1827">
      <w:pPr>
        <w:spacing w:line="360" w:lineRule="auto"/>
        <w:rPr>
          <w:rFonts w:ascii="Arial" w:hAnsi="Arial" w:cs="Arial"/>
          <w:sz w:val="22"/>
          <w:szCs w:val="22"/>
        </w:rPr>
      </w:pPr>
    </w:p>
    <w:p w14:paraId="16D38EE1" w14:textId="63B5EEC6" w:rsidR="001C34F5" w:rsidRPr="00E52633" w:rsidRDefault="001C34F5" w:rsidP="001C34F5">
      <w:pPr>
        <w:rPr>
          <w:rFonts w:ascii="Arial" w:hAnsi="Arial" w:cs="Arial"/>
          <w:sz w:val="28"/>
          <w:szCs w:val="28"/>
        </w:rPr>
      </w:pPr>
      <w:r w:rsidRPr="00E52633">
        <w:rPr>
          <w:rFonts w:ascii="Arial" w:hAnsi="Arial" w:cs="Arial"/>
          <w:b/>
          <w:bCs/>
          <w:sz w:val="28"/>
          <w:szCs w:val="28"/>
        </w:rPr>
        <w:t>Link to Coding/Results Table:</w:t>
      </w:r>
    </w:p>
    <w:p w14:paraId="79144BAD" w14:textId="5595FF97" w:rsidR="001C34F5" w:rsidRDefault="001C34F5" w:rsidP="001C34F5"/>
    <w:p w14:paraId="767B1FA4" w14:textId="37B2AD17" w:rsidR="00753C81" w:rsidRDefault="00753C81" w:rsidP="00753C81">
      <w:pPr>
        <w:spacing w:line="360" w:lineRule="auto"/>
        <w:rPr>
          <w:rFonts w:ascii="Arial" w:hAnsi="Arial" w:cs="Arial"/>
          <w:sz w:val="22"/>
          <w:szCs w:val="22"/>
        </w:rPr>
      </w:pPr>
      <w:r>
        <w:rPr>
          <w:rFonts w:ascii="Arial" w:hAnsi="Arial" w:cs="Arial"/>
          <w:sz w:val="22"/>
          <w:szCs w:val="22"/>
        </w:rPr>
        <w:t>In this dissertation, thematic analysis was applied to the selected journal articles, government reports and policy documents identified through the search strategy described in Chapter 3.  Each source was reviewed in detail and coded according to recurring concepts linked to the dissertation aim, including prevalence, obesity</w:t>
      </w:r>
      <w:r w:rsidR="009B0C5B">
        <w:rPr>
          <w:rFonts w:ascii="Arial" w:hAnsi="Arial" w:cs="Arial"/>
          <w:sz w:val="22"/>
          <w:szCs w:val="22"/>
        </w:rPr>
        <w:t>, ethnicity, deprivation, self-management and treatment pathways.  These codes were organised within the coding or results summary table referred to in Chapter 3 and the appendices, providing an audit trail for how the themes were developed.  Through this process, three dominant themes were identified: first, the increasing prevalence of T2DM in UK adults; second, the role of lifestyle and socioeconomic risk factors; and prevention strategies used to reduce disease burden and improve outcomes.  These themes are discussed in the following section</w:t>
      </w:r>
    </w:p>
    <w:p w14:paraId="5CA72CB0" w14:textId="77777777" w:rsidR="009B0C5B" w:rsidRPr="00E52633" w:rsidRDefault="009B0C5B" w:rsidP="00753C81">
      <w:pPr>
        <w:spacing w:line="360" w:lineRule="auto"/>
        <w:rPr>
          <w:rFonts w:ascii="Arial" w:hAnsi="Arial" w:cs="Arial"/>
          <w:b/>
          <w:bCs/>
          <w:color w:val="000000" w:themeColor="text1"/>
          <w:sz w:val="32"/>
          <w:szCs w:val="32"/>
        </w:rPr>
      </w:pPr>
    </w:p>
    <w:p w14:paraId="1AA830D9" w14:textId="27923F9A" w:rsidR="001C34F5" w:rsidRPr="00E52633" w:rsidRDefault="001C34F5" w:rsidP="001C34F5">
      <w:pPr>
        <w:pStyle w:val="Heading2"/>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4.3 – Theme </w:t>
      </w:r>
      <w:r w:rsidR="00850AD4" w:rsidRPr="00E52633">
        <w:rPr>
          <w:rFonts w:ascii="Arial" w:hAnsi="Arial" w:cs="Arial"/>
          <w:b/>
          <w:bCs/>
          <w:color w:val="000000" w:themeColor="text1"/>
          <w:sz w:val="32"/>
          <w:szCs w:val="32"/>
        </w:rPr>
        <w:t>1: Rising Prevalence of Type 2 Diabetes in UK Adults</w:t>
      </w:r>
    </w:p>
    <w:p w14:paraId="78FBA820" w14:textId="096176F9" w:rsidR="001C34F5" w:rsidRPr="00E52633" w:rsidRDefault="001C34F5" w:rsidP="00850AD4">
      <w:pPr>
        <w:spacing w:before="100" w:beforeAutospacing="1" w:after="100" w:afterAutospacing="1" w:line="360" w:lineRule="auto"/>
        <w:rPr>
          <w:rStyle w:val="Strong"/>
          <w:rFonts w:ascii="Arial" w:hAnsi="Arial" w:cs="Arial"/>
          <w:sz w:val="28"/>
          <w:szCs w:val="28"/>
        </w:rPr>
      </w:pPr>
      <w:r w:rsidRPr="00E52633">
        <w:rPr>
          <w:rStyle w:val="Strong"/>
          <w:rFonts w:ascii="Arial" w:hAnsi="Arial" w:cs="Arial"/>
          <w:sz w:val="28"/>
          <w:szCs w:val="28"/>
        </w:rPr>
        <w:t>Definition:</w:t>
      </w:r>
    </w:p>
    <w:p w14:paraId="7B1DF171" w14:textId="608AA7FF" w:rsidR="00850AD4" w:rsidRPr="009964EF" w:rsidRDefault="00850AD4" w:rsidP="009964EF">
      <w:pPr>
        <w:spacing w:line="360" w:lineRule="auto"/>
        <w:rPr>
          <w:rStyle w:val="Strong"/>
          <w:rFonts w:ascii="Arial" w:hAnsi="Arial" w:cs="Arial"/>
          <w:b w:val="0"/>
          <w:bCs w:val="0"/>
          <w:sz w:val="22"/>
          <w:szCs w:val="22"/>
        </w:rPr>
      </w:pPr>
      <w:r w:rsidRPr="009964EF">
        <w:rPr>
          <w:rStyle w:val="Strong"/>
          <w:rFonts w:ascii="Arial" w:hAnsi="Arial" w:cs="Arial"/>
          <w:b w:val="0"/>
          <w:bCs w:val="0"/>
          <w:sz w:val="22"/>
          <w:szCs w:val="22"/>
        </w:rPr>
        <w:t>Prevalence refers to the proportion of a population living with a disease at a given point in time</w:t>
      </w:r>
      <w:r w:rsidR="00D6037F" w:rsidRPr="009964EF">
        <w:rPr>
          <w:rStyle w:val="Strong"/>
          <w:rFonts w:ascii="Arial" w:hAnsi="Arial" w:cs="Arial"/>
          <w:b w:val="0"/>
          <w:bCs w:val="0"/>
          <w:sz w:val="22"/>
          <w:szCs w:val="22"/>
        </w:rPr>
        <w:t xml:space="preserve"> </w:t>
      </w:r>
      <w:r w:rsidR="00D6037F" w:rsidRPr="009964EF">
        <w:rPr>
          <w:rFonts w:ascii="Arial" w:hAnsi="Arial" w:cs="Arial"/>
          <w:color w:val="000000"/>
          <w:sz w:val="22"/>
          <w:szCs w:val="22"/>
        </w:rPr>
        <w:t>(National Institute of Mental Health, 2020)</w:t>
      </w:r>
      <w:r w:rsidRPr="009964EF">
        <w:rPr>
          <w:rStyle w:val="Strong"/>
          <w:rFonts w:ascii="Arial" w:hAnsi="Arial" w:cs="Arial"/>
          <w:b w:val="0"/>
          <w:bCs w:val="0"/>
          <w:sz w:val="22"/>
          <w:szCs w:val="22"/>
        </w:rPr>
        <w:t>.  Within this dissertation, the theme of prevalence is significant because it establishes the scale of T2DM in the UK and justifies why it remains a major public health priority.  T2DM is a chronic metabolic condition characterised by insulin resistance and progressive dys</w:t>
      </w:r>
      <w:r w:rsidR="00D67C18" w:rsidRPr="009964EF">
        <w:rPr>
          <w:rStyle w:val="Strong"/>
          <w:rFonts w:ascii="Arial" w:hAnsi="Arial" w:cs="Arial"/>
          <w:b w:val="0"/>
          <w:bCs w:val="0"/>
          <w:sz w:val="22"/>
          <w:szCs w:val="22"/>
        </w:rPr>
        <w:t>function of insulin secretion</w:t>
      </w:r>
      <w:r w:rsidR="009C10DB" w:rsidRPr="009964EF">
        <w:rPr>
          <w:rStyle w:val="Strong"/>
          <w:rFonts w:ascii="Arial" w:hAnsi="Arial" w:cs="Arial"/>
          <w:b w:val="0"/>
          <w:bCs w:val="0"/>
          <w:sz w:val="22"/>
          <w:szCs w:val="22"/>
        </w:rPr>
        <w:t xml:space="preserve"> </w:t>
      </w:r>
      <w:r w:rsidR="009C10DB" w:rsidRPr="009964EF">
        <w:rPr>
          <w:rFonts w:ascii="Arial" w:hAnsi="Arial" w:cs="Arial"/>
          <w:color w:val="000000"/>
          <w:sz w:val="22"/>
          <w:szCs w:val="22"/>
        </w:rPr>
        <w:t>(Gieroba, Kryska and Sroka-Bartnicka, 2025)</w:t>
      </w:r>
      <w:r w:rsidR="00D67C18" w:rsidRPr="009964EF">
        <w:rPr>
          <w:rStyle w:val="Strong"/>
          <w:rFonts w:ascii="Arial" w:hAnsi="Arial" w:cs="Arial"/>
          <w:b w:val="0"/>
          <w:bCs w:val="0"/>
          <w:sz w:val="22"/>
          <w:szCs w:val="22"/>
        </w:rPr>
        <w:t xml:space="preserve">.  Reed, Bain and Kanamarlapudi describe the condition </w:t>
      </w:r>
      <w:r w:rsidR="00D67C18" w:rsidRPr="009964EF">
        <w:rPr>
          <w:rStyle w:val="Strong"/>
          <w:rFonts w:ascii="Arial" w:hAnsi="Arial" w:cs="Arial"/>
          <w:b w:val="0"/>
          <w:bCs w:val="0"/>
          <w:sz w:val="22"/>
          <w:szCs w:val="22"/>
        </w:rPr>
        <w:lastRenderedPageBreak/>
        <w:t>as highly multifactorial, involving biological, behavioural and environmental pathways, which helps explain why rising prevalence is difficult to reverse through isolated interventions alone</w:t>
      </w:r>
      <w:r w:rsidR="009964EF" w:rsidRPr="009964EF">
        <w:rPr>
          <w:rStyle w:val="Strong"/>
          <w:rFonts w:ascii="Arial" w:hAnsi="Arial" w:cs="Arial"/>
          <w:b w:val="0"/>
          <w:bCs w:val="0"/>
          <w:sz w:val="22"/>
          <w:szCs w:val="22"/>
        </w:rPr>
        <w:t xml:space="preserve"> </w:t>
      </w:r>
      <w:r w:rsidR="009964EF" w:rsidRPr="009964EF">
        <w:rPr>
          <w:rFonts w:ascii="Arial" w:hAnsi="Arial" w:cs="Arial"/>
          <w:color w:val="000000"/>
          <w:sz w:val="22"/>
          <w:szCs w:val="22"/>
        </w:rPr>
        <w:t>(Reed, Bain and Kanamarlapudi, 2021)</w:t>
      </w:r>
      <w:r w:rsidR="00D67C18" w:rsidRPr="009964EF">
        <w:rPr>
          <w:rStyle w:val="Strong"/>
          <w:rFonts w:ascii="Arial" w:hAnsi="Arial" w:cs="Arial"/>
          <w:b w:val="0"/>
          <w:bCs w:val="0"/>
          <w:sz w:val="22"/>
          <w:szCs w:val="22"/>
        </w:rPr>
        <w:t>.</w:t>
      </w:r>
    </w:p>
    <w:p w14:paraId="4B0DFA79" w14:textId="4B4322B7" w:rsidR="001C34F5" w:rsidRPr="00E52633" w:rsidRDefault="001C34F5" w:rsidP="009C10DB">
      <w:pPr>
        <w:spacing w:before="100" w:beforeAutospacing="1" w:after="100" w:afterAutospacing="1" w:line="360" w:lineRule="auto"/>
        <w:rPr>
          <w:rStyle w:val="Strong"/>
          <w:rFonts w:ascii="Arial" w:hAnsi="Arial" w:cs="Arial"/>
          <w:sz w:val="28"/>
          <w:szCs w:val="28"/>
        </w:rPr>
      </w:pPr>
      <w:r w:rsidRPr="00E52633">
        <w:rPr>
          <w:rStyle w:val="Strong"/>
          <w:rFonts w:ascii="Arial" w:hAnsi="Arial" w:cs="Arial"/>
          <w:sz w:val="28"/>
          <w:szCs w:val="28"/>
        </w:rPr>
        <w:t>Historical/Contextual Background:</w:t>
      </w:r>
    </w:p>
    <w:p w14:paraId="6997A962" w14:textId="44094856" w:rsidR="00AC784D" w:rsidRPr="001E48C2" w:rsidRDefault="00AC784D" w:rsidP="001E48C2">
      <w:pPr>
        <w:spacing w:line="360" w:lineRule="auto"/>
        <w:rPr>
          <w:rStyle w:val="Strong"/>
          <w:rFonts w:ascii="Arial" w:hAnsi="Arial" w:cs="Arial"/>
          <w:b w:val="0"/>
          <w:bCs w:val="0"/>
          <w:sz w:val="22"/>
          <w:szCs w:val="22"/>
        </w:rPr>
      </w:pPr>
      <w:r w:rsidRPr="001E48C2">
        <w:rPr>
          <w:rStyle w:val="Strong"/>
          <w:rFonts w:ascii="Arial" w:hAnsi="Arial" w:cs="Arial"/>
          <w:b w:val="0"/>
          <w:bCs w:val="0"/>
          <w:sz w:val="22"/>
          <w:szCs w:val="22"/>
        </w:rPr>
        <w:t>Historically, type 2 diabetes was often associated with older adulthood, but the literature reviewed suggests that this framing is increasingly outdated</w:t>
      </w:r>
      <w:r w:rsidR="00FC6655" w:rsidRPr="001E48C2">
        <w:rPr>
          <w:rStyle w:val="Strong"/>
          <w:rFonts w:ascii="Arial" w:hAnsi="Arial" w:cs="Arial"/>
          <w:b w:val="0"/>
          <w:bCs w:val="0"/>
          <w:sz w:val="22"/>
          <w:szCs w:val="22"/>
        </w:rPr>
        <w:t xml:space="preserve"> </w:t>
      </w:r>
      <w:r w:rsidR="00FC6655" w:rsidRPr="001E48C2">
        <w:rPr>
          <w:rFonts w:ascii="Arial" w:hAnsi="Arial" w:cs="Arial"/>
          <w:color w:val="000000"/>
          <w:sz w:val="22"/>
          <w:szCs w:val="22"/>
        </w:rPr>
        <w:t>(Kirkman, 2012)</w:t>
      </w:r>
      <w:r w:rsidRPr="001E48C2">
        <w:rPr>
          <w:rStyle w:val="Strong"/>
          <w:rFonts w:ascii="Arial" w:hAnsi="Arial" w:cs="Arial"/>
          <w:b w:val="0"/>
          <w:bCs w:val="0"/>
          <w:sz w:val="22"/>
          <w:szCs w:val="22"/>
        </w:rPr>
        <w:t>.  Contemporary evidence shows that the condition is affecting larger numbers of UK adults and, in some groups, is appearing at younger ages than previously expected.  This trend is especially important because earlier onset increases lifetime exposure to hyperglycaemia and therefore the risk of complications such as cardiovascular disease, nephropathy, retinopathy and neuropathy</w:t>
      </w:r>
      <w:r w:rsidR="001E48C2" w:rsidRPr="001E48C2">
        <w:rPr>
          <w:rStyle w:val="Strong"/>
          <w:rFonts w:ascii="Arial" w:hAnsi="Arial" w:cs="Arial"/>
          <w:b w:val="0"/>
          <w:bCs w:val="0"/>
          <w:sz w:val="22"/>
          <w:szCs w:val="22"/>
        </w:rPr>
        <w:t xml:space="preserve"> </w:t>
      </w:r>
      <w:r w:rsidR="001E48C2" w:rsidRPr="001E48C2">
        <w:rPr>
          <w:rFonts w:ascii="Arial" w:hAnsi="Arial" w:cs="Arial"/>
          <w:color w:val="000000"/>
          <w:sz w:val="22"/>
          <w:szCs w:val="22"/>
        </w:rPr>
        <w:t>(Zakir et al., 2023)</w:t>
      </w:r>
      <w:r w:rsidRPr="001E48C2">
        <w:rPr>
          <w:rStyle w:val="Strong"/>
          <w:rFonts w:ascii="Arial" w:hAnsi="Arial" w:cs="Arial"/>
          <w:b w:val="0"/>
          <w:bCs w:val="0"/>
          <w:sz w:val="22"/>
          <w:szCs w:val="22"/>
        </w:rPr>
        <w:t>.  The significance of rising prevalence is therefore not purely epidemiological; it also reflects growing long-term demand on health services, medication prescribing, complication monitoring and social care systems</w:t>
      </w:r>
      <w:r w:rsidR="001E48C2" w:rsidRPr="001E48C2">
        <w:rPr>
          <w:rStyle w:val="Strong"/>
          <w:rFonts w:ascii="Arial" w:hAnsi="Arial" w:cs="Arial"/>
          <w:b w:val="0"/>
          <w:bCs w:val="0"/>
          <w:sz w:val="22"/>
          <w:szCs w:val="22"/>
        </w:rPr>
        <w:t xml:space="preserve"> </w:t>
      </w:r>
      <w:r w:rsidR="001E48C2" w:rsidRPr="001E48C2">
        <w:rPr>
          <w:rFonts w:ascii="Arial" w:hAnsi="Arial" w:cs="Arial"/>
          <w:color w:val="000000"/>
          <w:sz w:val="22"/>
          <w:szCs w:val="22"/>
        </w:rPr>
        <w:t>(Avery et al., 2013)</w:t>
      </w:r>
      <w:r w:rsidRPr="001E48C2">
        <w:rPr>
          <w:rStyle w:val="Strong"/>
          <w:rFonts w:ascii="Arial" w:hAnsi="Arial" w:cs="Arial"/>
          <w:b w:val="0"/>
          <w:bCs w:val="0"/>
          <w:sz w:val="22"/>
          <w:szCs w:val="22"/>
        </w:rPr>
        <w:t>.</w:t>
      </w:r>
    </w:p>
    <w:p w14:paraId="2991826C" w14:textId="77777777" w:rsidR="00654C39" w:rsidRDefault="001C34F5" w:rsidP="00FC1F65">
      <w:pPr>
        <w:spacing w:before="100" w:beforeAutospacing="1" w:after="100" w:afterAutospacing="1" w:line="360" w:lineRule="auto"/>
        <w:rPr>
          <w:rStyle w:val="Strong"/>
          <w:rFonts w:ascii="Arial" w:hAnsi="Arial" w:cs="Arial"/>
          <w:sz w:val="28"/>
          <w:szCs w:val="28"/>
        </w:rPr>
      </w:pPr>
      <w:r w:rsidRPr="00E52633">
        <w:rPr>
          <w:rStyle w:val="Strong"/>
          <w:rFonts w:ascii="Arial" w:hAnsi="Arial" w:cs="Arial"/>
          <w:sz w:val="28"/>
          <w:szCs w:val="28"/>
        </w:rPr>
        <w:t>Data and Statistics:</w:t>
      </w:r>
    </w:p>
    <w:p w14:paraId="12812C3E" w14:textId="65678CBF" w:rsidR="00FC1F65" w:rsidRPr="00401261" w:rsidRDefault="00FC1F65" w:rsidP="00401261">
      <w:pPr>
        <w:spacing w:line="360" w:lineRule="auto"/>
        <w:rPr>
          <w:rFonts w:ascii="Arial" w:hAnsi="Arial" w:cs="Arial"/>
          <w:sz w:val="22"/>
          <w:szCs w:val="22"/>
        </w:rPr>
      </w:pPr>
      <w:r w:rsidRPr="00401261">
        <w:rPr>
          <w:rStyle w:val="Strong"/>
          <w:rFonts w:ascii="Arial" w:hAnsi="Arial" w:cs="Arial"/>
          <w:b w:val="0"/>
          <w:bCs w:val="0"/>
          <w:sz w:val="22"/>
          <w:szCs w:val="22"/>
        </w:rPr>
        <w:t>Current UK data strongly support the argument that T2DM prevalence is increasing.  Government statistical commentary published in March 2025 reported that GP-recorded type 2 diabetes prevalence in adults aged 17 years and over in England was 7.0% in March 2024, compared with 6.8% in March 2023</w:t>
      </w:r>
      <w:r w:rsidR="001E48C2" w:rsidRPr="00401261">
        <w:rPr>
          <w:rStyle w:val="Strong"/>
          <w:rFonts w:ascii="Arial" w:hAnsi="Arial" w:cs="Arial"/>
          <w:b w:val="0"/>
          <w:bCs w:val="0"/>
          <w:sz w:val="22"/>
          <w:szCs w:val="22"/>
        </w:rPr>
        <w:t xml:space="preserve"> </w:t>
      </w:r>
      <w:r w:rsidR="001E48C2" w:rsidRPr="00401261">
        <w:rPr>
          <w:rFonts w:ascii="Arial" w:hAnsi="Arial" w:cs="Arial"/>
          <w:color w:val="000000"/>
          <w:sz w:val="22"/>
          <w:szCs w:val="22"/>
        </w:rPr>
        <w:t>(Office for Health Improvement &amp; Disparities, 2025)</w:t>
      </w:r>
      <w:r w:rsidRPr="00401261">
        <w:rPr>
          <w:rStyle w:val="Strong"/>
          <w:rFonts w:ascii="Arial" w:hAnsi="Arial" w:cs="Arial"/>
          <w:b w:val="0"/>
          <w:bCs w:val="0"/>
          <w:sz w:val="22"/>
          <w:szCs w:val="22"/>
        </w:rPr>
        <w:t>.</w:t>
      </w:r>
      <w:r w:rsidR="00932829" w:rsidRPr="00401261">
        <w:rPr>
          <w:rStyle w:val="Strong"/>
          <w:rFonts w:ascii="Arial" w:hAnsi="Arial" w:cs="Arial"/>
          <w:b w:val="0"/>
          <w:bCs w:val="0"/>
          <w:sz w:val="22"/>
          <w:szCs w:val="22"/>
        </w:rPr>
        <w:t xml:space="preserve">  The same report estimated total diagnosed and undiagnosed type 2 diabetes prevalence in England at 7.8% among adults aged 16 years and over in 2021.  Diabetes UK also states that more than 5.8 million people in the UK are currently living with diabetes, including diagnosed and estimated undiagnosed cases, and around 90% of those diagnoses are type 2</w:t>
      </w:r>
      <w:r w:rsidR="002B57D6" w:rsidRPr="00401261">
        <w:rPr>
          <w:rStyle w:val="Strong"/>
          <w:rFonts w:ascii="Arial" w:hAnsi="Arial" w:cs="Arial"/>
          <w:b w:val="0"/>
          <w:bCs w:val="0"/>
          <w:sz w:val="22"/>
          <w:szCs w:val="22"/>
        </w:rPr>
        <w:t xml:space="preserve"> </w:t>
      </w:r>
      <w:r w:rsidR="002B57D6" w:rsidRPr="00401261">
        <w:rPr>
          <w:rFonts w:ascii="Arial" w:hAnsi="Arial" w:cs="Arial"/>
          <w:color w:val="000000"/>
          <w:sz w:val="22"/>
          <w:szCs w:val="22"/>
        </w:rPr>
        <w:t>(Diabetes UK, 2023)</w:t>
      </w:r>
      <w:r w:rsidR="00932829" w:rsidRPr="00401261">
        <w:rPr>
          <w:rStyle w:val="Strong"/>
          <w:rFonts w:ascii="Arial" w:hAnsi="Arial" w:cs="Arial"/>
          <w:b w:val="0"/>
          <w:bCs w:val="0"/>
          <w:sz w:val="22"/>
          <w:szCs w:val="22"/>
        </w:rPr>
        <w:t>.  These figures show that T2DM represents by far the largest share of the diabetes burden and that recorded prevalence almost certainly understates the true scale of disease.</w:t>
      </w:r>
    </w:p>
    <w:p w14:paraId="51BDA65F" w14:textId="7263B13A" w:rsidR="001C34F5" w:rsidRPr="00500C0B" w:rsidRDefault="001C34F5" w:rsidP="00932829">
      <w:pPr>
        <w:pStyle w:val="NormalWeb"/>
        <w:spacing w:line="360" w:lineRule="auto"/>
        <w:rPr>
          <w:rStyle w:val="Strong"/>
          <w:rFonts w:ascii="Arial" w:eastAsia="Calibri Light" w:hAnsi="Arial" w:cs="Arial"/>
          <w:sz w:val="28"/>
          <w:szCs w:val="28"/>
        </w:rPr>
      </w:pPr>
      <w:r w:rsidRPr="00500C0B">
        <w:rPr>
          <w:rStyle w:val="Strong"/>
          <w:rFonts w:ascii="Arial" w:eastAsia="Calibri Light" w:hAnsi="Arial" w:cs="Arial"/>
          <w:sz w:val="28"/>
          <w:szCs w:val="28"/>
        </w:rPr>
        <w:t>Theoretical Framework:</w:t>
      </w:r>
    </w:p>
    <w:p w14:paraId="7592FDAC" w14:textId="4585054F" w:rsidR="00932829" w:rsidRDefault="00932829" w:rsidP="00932829">
      <w:pPr>
        <w:pStyle w:val="NormalWeb"/>
        <w:spacing w:line="360" w:lineRule="auto"/>
        <w:rPr>
          <w:rStyle w:val="Strong"/>
          <w:rFonts w:ascii="Arial" w:eastAsia="Calibri Light" w:hAnsi="Arial" w:cs="Arial"/>
          <w:b w:val="0"/>
          <w:bCs w:val="0"/>
          <w:color w:val="000000" w:themeColor="text1"/>
          <w:sz w:val="22"/>
          <w:szCs w:val="22"/>
        </w:rPr>
      </w:pPr>
      <w:r>
        <w:rPr>
          <w:rStyle w:val="Strong"/>
          <w:rFonts w:ascii="Arial" w:eastAsia="Calibri Light" w:hAnsi="Arial" w:cs="Arial"/>
          <w:b w:val="0"/>
          <w:bCs w:val="0"/>
          <w:sz w:val="22"/>
          <w:szCs w:val="22"/>
        </w:rPr>
        <w:t>This theme directly addresses the dissertation title because any investigation into risk factors and management strategies must first acknowledge the size of the problem</w:t>
      </w:r>
      <w:r>
        <w:rPr>
          <w:rStyle w:val="Strong"/>
          <w:rFonts w:ascii="Arial" w:eastAsia="Calibri Light" w:hAnsi="Arial" w:cs="Arial"/>
          <w:b w:val="0"/>
          <w:bCs w:val="0"/>
          <w:color w:val="000000" w:themeColor="text1"/>
          <w:sz w:val="22"/>
          <w:szCs w:val="22"/>
        </w:rPr>
        <w:t>.  If T2DM prevalence continues to rise despite national guidance, prevention schemes and decades of public health</w:t>
      </w:r>
      <w:r w:rsidR="0082697E">
        <w:rPr>
          <w:rStyle w:val="Strong"/>
          <w:rFonts w:ascii="Arial" w:eastAsia="Calibri Light" w:hAnsi="Arial" w:cs="Arial"/>
          <w:b w:val="0"/>
          <w:bCs w:val="0"/>
          <w:color w:val="000000" w:themeColor="text1"/>
          <w:sz w:val="22"/>
          <w:szCs w:val="22"/>
        </w:rPr>
        <w:t xml:space="preserve"> messaging, then the condition cannot be understood simply as a matter of individual responsibility or clinical mismanagement.  Rather, prevalence becomes a marker </w:t>
      </w:r>
      <w:r w:rsidR="0082697E">
        <w:rPr>
          <w:rStyle w:val="Strong"/>
          <w:rFonts w:ascii="Arial" w:eastAsia="Calibri Light" w:hAnsi="Arial" w:cs="Arial"/>
          <w:b w:val="0"/>
          <w:bCs w:val="0"/>
          <w:color w:val="000000" w:themeColor="text1"/>
          <w:sz w:val="22"/>
          <w:szCs w:val="22"/>
        </w:rPr>
        <w:lastRenderedPageBreak/>
        <w:t>of wider public health failure, indicating that upstream drivers of metabolic disease remain insufficient addressed.  In that sense, prevalence is not only an outcome to measure but also an indicator of how well health systems and broader society are responding to avoidable chronic illness</w:t>
      </w:r>
    </w:p>
    <w:p w14:paraId="1289A1B9" w14:textId="7298C128" w:rsidR="0082697E" w:rsidRDefault="0082697E" w:rsidP="00227B08">
      <w:pPr>
        <w:spacing w:line="360" w:lineRule="auto"/>
        <w:rPr>
          <w:rStyle w:val="Strong"/>
          <w:rFonts w:ascii="Arial" w:eastAsia="Calibri Light" w:hAnsi="Arial" w:cs="Arial"/>
          <w:b w:val="0"/>
          <w:bCs w:val="0"/>
          <w:color w:val="000000" w:themeColor="text1"/>
          <w:sz w:val="22"/>
          <w:szCs w:val="22"/>
        </w:rPr>
      </w:pPr>
      <w:r w:rsidRPr="00227B08">
        <w:rPr>
          <w:rStyle w:val="Strong"/>
          <w:rFonts w:ascii="Arial" w:eastAsia="Calibri Light" w:hAnsi="Arial" w:cs="Arial"/>
          <w:b w:val="0"/>
          <w:bCs w:val="0"/>
          <w:color w:val="000000" w:themeColor="text1"/>
          <w:sz w:val="22"/>
          <w:szCs w:val="22"/>
        </w:rPr>
        <w:t>A major point emerging from the literature is the prevalence is not evenly distributed across the population.  It varies by age, deprivation and ethnicity, indicating that the burden of disease is socially patterned.  The social determinants of health framework is particularly useful here because it explains health outcomes in relation to the conditions in which people live, work and age.  Marmot’s work argues that inequalities in power, resources, income and opportunity shape unequal exposure to poor health</w:t>
      </w:r>
      <w:r w:rsidR="00401261" w:rsidRPr="00227B08">
        <w:rPr>
          <w:rStyle w:val="Strong"/>
          <w:rFonts w:ascii="Arial" w:eastAsia="Calibri Light" w:hAnsi="Arial" w:cs="Arial"/>
          <w:b w:val="0"/>
          <w:bCs w:val="0"/>
          <w:color w:val="000000" w:themeColor="text1"/>
          <w:sz w:val="22"/>
          <w:szCs w:val="22"/>
        </w:rPr>
        <w:t xml:space="preserve"> </w:t>
      </w:r>
      <w:r w:rsidR="00401261" w:rsidRPr="00227B08">
        <w:rPr>
          <w:rFonts w:ascii="Arial" w:hAnsi="Arial" w:cs="Arial"/>
          <w:color w:val="000000"/>
          <w:sz w:val="22"/>
          <w:szCs w:val="22"/>
        </w:rPr>
        <w:t>(Marmot, 2017)</w:t>
      </w:r>
      <w:r w:rsidRPr="00227B08">
        <w:rPr>
          <w:rStyle w:val="Strong"/>
          <w:rFonts w:ascii="Arial" w:eastAsia="Calibri Light" w:hAnsi="Arial" w:cs="Arial"/>
          <w:b w:val="0"/>
          <w:bCs w:val="0"/>
          <w:color w:val="000000" w:themeColor="text1"/>
          <w:sz w:val="22"/>
          <w:szCs w:val="22"/>
        </w:rPr>
        <w:t>.  Applied to T2DM, this helps explain why prevalence is higher in communities where healthy food is less affordable, physical activity is less prevent</w:t>
      </w:r>
      <w:r w:rsidR="00A9702F" w:rsidRPr="00227B08">
        <w:rPr>
          <w:rStyle w:val="Strong"/>
          <w:rFonts w:ascii="Arial" w:eastAsia="Calibri Light" w:hAnsi="Arial" w:cs="Arial"/>
          <w:b w:val="0"/>
          <w:bCs w:val="0"/>
          <w:color w:val="000000" w:themeColor="text1"/>
          <w:sz w:val="22"/>
          <w:szCs w:val="22"/>
        </w:rPr>
        <w:t>ive healthcare is harder to navigate.</w:t>
      </w:r>
    </w:p>
    <w:p w14:paraId="693700AF" w14:textId="77777777" w:rsidR="00DA61AE" w:rsidRPr="00227B08" w:rsidRDefault="00DA61AE" w:rsidP="00227B08">
      <w:pPr>
        <w:spacing w:line="360" w:lineRule="auto"/>
        <w:rPr>
          <w:rStyle w:val="Strong"/>
          <w:rFonts w:ascii="Arial" w:hAnsi="Arial" w:cs="Arial"/>
          <w:b w:val="0"/>
          <w:bCs w:val="0"/>
          <w:sz w:val="22"/>
          <w:szCs w:val="22"/>
        </w:rPr>
      </w:pPr>
    </w:p>
    <w:p w14:paraId="63FE0D8B" w14:textId="49856FC0" w:rsidR="005F7B51" w:rsidRDefault="005F7B51" w:rsidP="00DA61AE">
      <w:pPr>
        <w:spacing w:line="360" w:lineRule="auto"/>
        <w:rPr>
          <w:rStyle w:val="Strong"/>
          <w:rFonts w:ascii="Arial" w:eastAsia="Calibri Light" w:hAnsi="Arial" w:cs="Arial"/>
          <w:b w:val="0"/>
          <w:bCs w:val="0"/>
          <w:color w:val="000000" w:themeColor="text1"/>
          <w:sz w:val="22"/>
          <w:szCs w:val="22"/>
        </w:rPr>
      </w:pPr>
      <w:r w:rsidRPr="00DA61AE">
        <w:rPr>
          <w:rStyle w:val="Strong"/>
          <w:rFonts w:ascii="Arial" w:eastAsia="Calibri Light" w:hAnsi="Arial" w:cs="Arial"/>
          <w:b w:val="0"/>
          <w:bCs w:val="0"/>
          <w:color w:val="000000" w:themeColor="text1"/>
          <w:sz w:val="22"/>
          <w:szCs w:val="22"/>
        </w:rPr>
        <w:t>Statistical evidence also shows that prevalence intersects with obesity and ethnicity.  The 2024 Health Survey for England reported that 30% of adults were living with obesity and 66% were either overweight or living with obesity</w:t>
      </w:r>
      <w:r w:rsidR="00227B08" w:rsidRPr="00DA61AE">
        <w:rPr>
          <w:rStyle w:val="Strong"/>
          <w:rFonts w:ascii="Arial" w:eastAsia="Calibri Light" w:hAnsi="Arial" w:cs="Arial"/>
          <w:b w:val="0"/>
          <w:bCs w:val="0"/>
          <w:color w:val="000000" w:themeColor="text1"/>
          <w:sz w:val="22"/>
          <w:szCs w:val="22"/>
        </w:rPr>
        <w:t xml:space="preserve"> </w:t>
      </w:r>
      <w:r w:rsidR="00227B08" w:rsidRPr="00DA61AE">
        <w:rPr>
          <w:rFonts w:ascii="Arial" w:hAnsi="Arial" w:cs="Arial"/>
          <w:color w:val="000000"/>
          <w:sz w:val="22"/>
          <w:szCs w:val="22"/>
        </w:rPr>
        <w:t>(NHS England, 2019)</w:t>
      </w:r>
      <w:r w:rsidRPr="00DA61AE">
        <w:rPr>
          <w:rStyle w:val="Strong"/>
          <w:rFonts w:ascii="Arial" w:eastAsia="Calibri Light" w:hAnsi="Arial" w:cs="Arial"/>
          <w:b w:val="0"/>
          <w:bCs w:val="0"/>
          <w:color w:val="000000" w:themeColor="text1"/>
          <w:sz w:val="22"/>
          <w:szCs w:val="22"/>
        </w:rPr>
        <w:t>. This</w:t>
      </w:r>
      <w:r w:rsidR="00AE727F" w:rsidRPr="00DA61AE">
        <w:rPr>
          <w:rStyle w:val="Strong"/>
          <w:rFonts w:ascii="Arial" w:eastAsia="Calibri Light" w:hAnsi="Arial" w:cs="Arial"/>
          <w:b w:val="0"/>
          <w:bCs w:val="0"/>
          <w:color w:val="000000" w:themeColor="text1"/>
          <w:sz w:val="22"/>
          <w:szCs w:val="22"/>
        </w:rPr>
        <w:t xml:space="preserve"> matters</w:t>
      </w:r>
      <w:r w:rsidRPr="00DA61AE">
        <w:rPr>
          <w:rStyle w:val="Strong"/>
          <w:rFonts w:ascii="Arial" w:eastAsia="Calibri Light" w:hAnsi="Arial" w:cs="Arial"/>
          <w:b w:val="0"/>
          <w:bCs w:val="0"/>
          <w:color w:val="000000" w:themeColor="text1"/>
          <w:sz w:val="22"/>
          <w:szCs w:val="22"/>
        </w:rPr>
        <w:t xml:space="preserve"> because obesity is one of the strongest modifiable risk factors for T2DM and is a major driver of national prevalence.  In addition, official UK evidence reports that type 2 diabetes prevalence is up to three to six times higher in South Asian and Black ethnic groups than in White populations, while Diabetes UK states that risk is two to four times higher in people of South Asian, African-Caribbean and Black African descent</w:t>
      </w:r>
      <w:r w:rsidR="00DA61AE" w:rsidRPr="00DA61AE">
        <w:rPr>
          <w:rStyle w:val="Strong"/>
          <w:rFonts w:ascii="Arial" w:eastAsia="Calibri Light" w:hAnsi="Arial" w:cs="Arial"/>
          <w:b w:val="0"/>
          <w:bCs w:val="0"/>
          <w:color w:val="000000" w:themeColor="text1"/>
          <w:sz w:val="22"/>
          <w:szCs w:val="22"/>
        </w:rPr>
        <w:t xml:space="preserve"> </w:t>
      </w:r>
      <w:r w:rsidR="00DA61AE" w:rsidRPr="00DA61AE">
        <w:rPr>
          <w:rFonts w:ascii="Arial" w:hAnsi="Arial" w:cs="Arial"/>
          <w:color w:val="000000"/>
          <w:sz w:val="22"/>
          <w:szCs w:val="22"/>
        </w:rPr>
        <w:t>(Goff, 2019)</w:t>
      </w:r>
      <w:r w:rsidRPr="00DA61AE">
        <w:rPr>
          <w:rStyle w:val="Strong"/>
          <w:rFonts w:ascii="Arial" w:eastAsia="Calibri Light" w:hAnsi="Arial" w:cs="Arial"/>
          <w:b w:val="0"/>
          <w:bCs w:val="0"/>
          <w:color w:val="000000" w:themeColor="text1"/>
          <w:sz w:val="22"/>
          <w:szCs w:val="22"/>
        </w:rPr>
        <w:t>.  These figures are not just clinically important; they raise serious questions about inequality, early identification and whether current prevention strategies are sufficiently targeted.</w:t>
      </w:r>
    </w:p>
    <w:p w14:paraId="1F1D00FA" w14:textId="77777777" w:rsidR="00E06529" w:rsidRPr="00DA61AE" w:rsidRDefault="00E06529" w:rsidP="00DA61AE">
      <w:pPr>
        <w:spacing w:line="360" w:lineRule="auto"/>
        <w:rPr>
          <w:rStyle w:val="Strong"/>
          <w:rFonts w:ascii="Arial" w:hAnsi="Arial" w:cs="Arial"/>
          <w:b w:val="0"/>
          <w:bCs w:val="0"/>
          <w:sz w:val="22"/>
          <w:szCs w:val="22"/>
        </w:rPr>
      </w:pPr>
    </w:p>
    <w:p w14:paraId="4F73DF0C" w14:textId="4C1DBC6C" w:rsidR="00D75904" w:rsidRDefault="00D75904" w:rsidP="00C31C73">
      <w:pPr>
        <w:spacing w:line="360" w:lineRule="auto"/>
        <w:rPr>
          <w:rStyle w:val="Strong"/>
          <w:rFonts w:ascii="Arial" w:eastAsia="Calibri Light" w:hAnsi="Arial" w:cs="Arial"/>
          <w:b w:val="0"/>
          <w:bCs w:val="0"/>
          <w:color w:val="000000" w:themeColor="text1"/>
          <w:sz w:val="22"/>
          <w:szCs w:val="22"/>
        </w:rPr>
      </w:pPr>
      <w:r w:rsidRPr="00C31C73">
        <w:rPr>
          <w:rStyle w:val="Strong"/>
          <w:rFonts w:ascii="Arial" w:eastAsia="Calibri Light" w:hAnsi="Arial" w:cs="Arial"/>
          <w:b w:val="0"/>
          <w:bCs w:val="0"/>
          <w:color w:val="000000" w:themeColor="text1"/>
          <w:sz w:val="22"/>
          <w:szCs w:val="22"/>
        </w:rPr>
        <w:t>Policy responses show that the scale of T2DM id formally recognised.  Nice guideline NG28 continues to provide national recommendations on the management of type 2 diabetes in adults and was updated in February 2026, confirming its ongoing policy relevance</w:t>
      </w:r>
      <w:r w:rsidR="00DA61AE" w:rsidRPr="00C31C73">
        <w:rPr>
          <w:rStyle w:val="Strong"/>
          <w:rFonts w:ascii="Arial" w:eastAsia="Calibri Light" w:hAnsi="Arial" w:cs="Arial"/>
          <w:b w:val="0"/>
          <w:bCs w:val="0"/>
          <w:color w:val="000000" w:themeColor="text1"/>
          <w:sz w:val="22"/>
          <w:szCs w:val="22"/>
        </w:rPr>
        <w:t xml:space="preserve"> </w:t>
      </w:r>
      <w:r w:rsidR="00DA61AE" w:rsidRPr="00C31C73">
        <w:rPr>
          <w:rFonts w:ascii="Arial" w:hAnsi="Arial" w:cs="Arial"/>
          <w:color w:val="000000"/>
          <w:sz w:val="22"/>
          <w:szCs w:val="22"/>
        </w:rPr>
        <w:t>(NICE, 2022)</w:t>
      </w:r>
      <w:r w:rsidRPr="00C31C73">
        <w:rPr>
          <w:rStyle w:val="Strong"/>
          <w:rFonts w:ascii="Arial" w:eastAsia="Calibri Light" w:hAnsi="Arial" w:cs="Arial"/>
          <w:b w:val="0"/>
          <w:bCs w:val="0"/>
          <w:color w:val="000000" w:themeColor="text1"/>
          <w:sz w:val="22"/>
          <w:szCs w:val="22"/>
        </w:rPr>
        <w:t>.  At system level, the Healthier You NHS Diabetes Prevention Programme identifies people at high risk and refers them to a nine-month</w:t>
      </w:r>
      <w:r w:rsidR="00CC2689" w:rsidRPr="00C31C73">
        <w:rPr>
          <w:rStyle w:val="Strong"/>
          <w:rFonts w:ascii="Arial" w:eastAsia="Calibri Light" w:hAnsi="Arial" w:cs="Arial"/>
          <w:b w:val="0"/>
          <w:bCs w:val="0"/>
          <w:color w:val="000000" w:themeColor="text1"/>
          <w:sz w:val="22"/>
          <w:szCs w:val="22"/>
        </w:rPr>
        <w:t xml:space="preserve"> lifestyle intervention.  NHS England states that the programme reduces new diagnoses and cuts the risk of developing type 2 diabetes by more than a third for those who complete it</w:t>
      </w:r>
      <w:r w:rsidR="00C31C73" w:rsidRPr="00C31C73">
        <w:rPr>
          <w:rStyle w:val="Strong"/>
          <w:rFonts w:ascii="Arial" w:eastAsia="Calibri Light" w:hAnsi="Arial" w:cs="Arial"/>
          <w:b w:val="0"/>
          <w:bCs w:val="0"/>
          <w:color w:val="000000" w:themeColor="text1"/>
          <w:sz w:val="22"/>
          <w:szCs w:val="22"/>
        </w:rPr>
        <w:t xml:space="preserve"> </w:t>
      </w:r>
      <w:r w:rsidR="00C31C73" w:rsidRPr="00C31C73">
        <w:rPr>
          <w:rFonts w:ascii="Arial" w:hAnsi="Arial" w:cs="Arial"/>
          <w:color w:val="000000"/>
          <w:sz w:val="22"/>
          <w:szCs w:val="22"/>
        </w:rPr>
        <w:t>(NHS England, 2023)</w:t>
      </w:r>
      <w:r w:rsidR="00CC2689" w:rsidRPr="00C31C73">
        <w:rPr>
          <w:rStyle w:val="Strong"/>
          <w:rFonts w:ascii="Arial" w:eastAsia="Calibri Light" w:hAnsi="Arial" w:cs="Arial"/>
          <w:b w:val="0"/>
          <w:bCs w:val="0"/>
          <w:color w:val="000000" w:themeColor="text1"/>
          <w:sz w:val="22"/>
          <w:szCs w:val="22"/>
        </w:rPr>
        <w:t>.  These policies show that prevalence is being addressed through structured national action, but they also invite critical scrutiny about reach, retention and equity of access.</w:t>
      </w:r>
    </w:p>
    <w:p w14:paraId="2BD2547A" w14:textId="77777777" w:rsidR="00CE5C43" w:rsidRPr="00C31C73" w:rsidRDefault="00CE5C43" w:rsidP="00C31C73">
      <w:pPr>
        <w:spacing w:line="360" w:lineRule="auto"/>
        <w:rPr>
          <w:rStyle w:val="Strong"/>
          <w:rFonts w:ascii="Arial" w:hAnsi="Arial" w:cs="Arial"/>
          <w:b w:val="0"/>
          <w:bCs w:val="0"/>
          <w:sz w:val="22"/>
          <w:szCs w:val="22"/>
        </w:rPr>
      </w:pPr>
    </w:p>
    <w:p w14:paraId="63950D4A" w14:textId="29373625" w:rsidR="00CC2689" w:rsidRPr="00CE5C43" w:rsidRDefault="00CC2689" w:rsidP="00CE5C43">
      <w:pPr>
        <w:spacing w:line="360" w:lineRule="auto"/>
        <w:rPr>
          <w:rStyle w:val="Strong"/>
          <w:rFonts w:ascii="Arial" w:hAnsi="Arial" w:cs="Arial"/>
          <w:b w:val="0"/>
          <w:bCs w:val="0"/>
          <w:sz w:val="22"/>
          <w:szCs w:val="22"/>
        </w:rPr>
      </w:pPr>
      <w:r w:rsidRPr="00CE5C43">
        <w:rPr>
          <w:rStyle w:val="Strong"/>
          <w:rFonts w:ascii="Arial" w:eastAsia="Calibri Light" w:hAnsi="Arial" w:cs="Arial"/>
          <w:b w:val="0"/>
          <w:bCs w:val="0"/>
          <w:color w:val="000000" w:themeColor="text1"/>
          <w:sz w:val="22"/>
          <w:szCs w:val="22"/>
        </w:rPr>
        <w:t xml:space="preserve">The studies reviewed in Chapter 3 broadly support this theme.  Reed, Bain and Kanamarlapudi present T2DM as a global and increasingly prevalent metabolic disease </w:t>
      </w:r>
      <w:r w:rsidRPr="00CE5C43">
        <w:rPr>
          <w:rStyle w:val="Strong"/>
          <w:rFonts w:ascii="Arial" w:eastAsia="Calibri Light" w:hAnsi="Arial" w:cs="Arial"/>
          <w:b w:val="0"/>
          <w:bCs w:val="0"/>
          <w:color w:val="000000" w:themeColor="text1"/>
          <w:sz w:val="22"/>
          <w:szCs w:val="22"/>
        </w:rPr>
        <w:lastRenderedPageBreak/>
        <w:t>shaped by multiple interacting drivers, which supports the argument that prevalence cannot be reduced to a single casual pathway.  Studies focusing on UK ethnic inequalities show that some minority ethnic communities experience not only higher prevalence, but earlier onset, often by 10 to 12 years, compared with White British populations.  Birmingham focused evidence also shows that local deprivation and ethnicity interact to elevate diabetes risk beyond national averages</w:t>
      </w:r>
      <w:r w:rsidR="00C31C73" w:rsidRPr="00CE5C43">
        <w:rPr>
          <w:rStyle w:val="Strong"/>
          <w:rFonts w:ascii="Arial" w:eastAsia="Calibri Light" w:hAnsi="Arial" w:cs="Arial"/>
          <w:b w:val="0"/>
          <w:bCs w:val="0"/>
          <w:color w:val="000000" w:themeColor="text1"/>
          <w:sz w:val="22"/>
          <w:szCs w:val="22"/>
        </w:rPr>
        <w:t xml:space="preserve"> </w:t>
      </w:r>
      <w:r w:rsidR="00C31C73" w:rsidRPr="00CE5C43">
        <w:rPr>
          <w:rFonts w:ascii="Arial" w:hAnsi="Arial" w:cs="Arial"/>
          <w:color w:val="000000"/>
          <w:sz w:val="22"/>
          <w:szCs w:val="22"/>
        </w:rPr>
        <w:t>(Raleigh, 2023)</w:t>
      </w:r>
      <w:r w:rsidRPr="00CE5C43">
        <w:rPr>
          <w:rStyle w:val="Strong"/>
          <w:rFonts w:ascii="Arial" w:eastAsia="Calibri Light" w:hAnsi="Arial" w:cs="Arial"/>
          <w:b w:val="0"/>
          <w:bCs w:val="0"/>
          <w:color w:val="000000" w:themeColor="text1"/>
          <w:sz w:val="22"/>
          <w:szCs w:val="22"/>
        </w:rPr>
        <w:t>.  These studies largely agree that prevalence is increasing and that it is being intensified by broader inequality rather than purely individual behaviour.</w:t>
      </w:r>
    </w:p>
    <w:p w14:paraId="2D4271D6" w14:textId="4F1BB3FE" w:rsidR="00CC2689" w:rsidRPr="00E52633" w:rsidRDefault="00CC2689" w:rsidP="00932829">
      <w:pPr>
        <w:pStyle w:val="NormalWeb"/>
        <w:spacing w:line="360" w:lineRule="auto"/>
        <w:rPr>
          <w:rStyle w:val="Strong"/>
          <w:rFonts w:ascii="Arial" w:eastAsia="Calibri Light" w:hAnsi="Arial" w:cs="Arial"/>
          <w:color w:val="000000" w:themeColor="text1"/>
          <w:sz w:val="28"/>
          <w:szCs w:val="28"/>
        </w:rPr>
      </w:pPr>
      <w:r w:rsidRPr="00E52633">
        <w:rPr>
          <w:rStyle w:val="Strong"/>
          <w:rFonts w:ascii="Arial" w:eastAsia="Calibri Light" w:hAnsi="Arial" w:cs="Arial"/>
          <w:color w:val="000000" w:themeColor="text1"/>
          <w:sz w:val="28"/>
          <w:szCs w:val="28"/>
        </w:rPr>
        <w:t>Implications:</w:t>
      </w:r>
    </w:p>
    <w:p w14:paraId="3E1AE3E5" w14:textId="77777777" w:rsidR="00CE5C43" w:rsidRDefault="00CC2689" w:rsidP="00CE5C43">
      <w:pPr>
        <w:spacing w:line="360" w:lineRule="auto"/>
        <w:rPr>
          <w:rFonts w:ascii="Arial" w:hAnsi="Arial" w:cs="Arial"/>
          <w:color w:val="000000"/>
          <w:sz w:val="22"/>
          <w:szCs w:val="22"/>
        </w:rPr>
      </w:pPr>
      <w:r w:rsidRPr="00CE5C43">
        <w:rPr>
          <w:rStyle w:val="Strong"/>
          <w:rFonts w:ascii="Arial" w:eastAsia="Calibri Light" w:hAnsi="Arial" w:cs="Arial"/>
          <w:b w:val="0"/>
          <w:bCs w:val="0"/>
          <w:color w:val="000000" w:themeColor="text1"/>
          <w:sz w:val="22"/>
          <w:szCs w:val="22"/>
        </w:rPr>
        <w:t>The implications of this theme are mixed</w:t>
      </w:r>
      <w:r w:rsidR="007366C2" w:rsidRPr="00CE5C43">
        <w:rPr>
          <w:rStyle w:val="Strong"/>
          <w:rFonts w:ascii="Arial" w:eastAsia="Calibri Light" w:hAnsi="Arial" w:cs="Arial"/>
          <w:b w:val="0"/>
          <w:bCs w:val="0"/>
          <w:color w:val="000000" w:themeColor="text1"/>
          <w:sz w:val="22"/>
          <w:szCs w:val="22"/>
        </w:rPr>
        <w:t>.  On the negative side, growing prevalence increases NHS expenditure, complication burden and long-term service demand.  It also means more adults are living with a condition that may affect quality of life, employment and mental wellbeing.  On the positive side, increasing prevalence has led to stronger policy visibility, better screening pathways and more explicit prevention strategies.  However, this positive development remains limited if prevalence continues to rise faster than prevention efforts can offset it.  A critical reading of the literature therefore suggests that current action is necessary but not yet sufficient</w:t>
      </w:r>
      <w:r w:rsidR="00CE5C43" w:rsidRPr="00CE5C43">
        <w:rPr>
          <w:rStyle w:val="Strong"/>
          <w:rFonts w:ascii="Arial" w:eastAsia="Calibri Light" w:hAnsi="Arial" w:cs="Arial"/>
          <w:b w:val="0"/>
          <w:bCs w:val="0"/>
          <w:color w:val="000000" w:themeColor="text1"/>
          <w:sz w:val="22"/>
          <w:szCs w:val="22"/>
        </w:rPr>
        <w:t xml:space="preserve"> </w:t>
      </w:r>
      <w:r w:rsidR="00CE5C43" w:rsidRPr="00CE5C43">
        <w:rPr>
          <w:rFonts w:ascii="Arial" w:hAnsi="Arial" w:cs="Arial"/>
          <w:color w:val="000000"/>
          <w:sz w:val="22"/>
          <w:szCs w:val="22"/>
        </w:rPr>
        <w:t>(McKee et al., 2021).</w:t>
      </w:r>
    </w:p>
    <w:p w14:paraId="71E6333A" w14:textId="3C69B393" w:rsidR="001C34F5" w:rsidRPr="00CE5C43" w:rsidRDefault="001C34F5" w:rsidP="00CE5C43">
      <w:pPr>
        <w:spacing w:line="360" w:lineRule="auto"/>
        <w:rPr>
          <w:rFonts w:ascii="Arial" w:hAnsi="Arial" w:cs="Arial"/>
          <w:sz w:val="22"/>
          <w:szCs w:val="22"/>
        </w:rPr>
      </w:pPr>
      <w:r w:rsidRPr="00E52633">
        <w:rPr>
          <w:rFonts w:ascii="Aptos" w:hAnsi="Aptos"/>
          <w:sz w:val="28"/>
          <w:szCs w:val="28"/>
        </w:rPr>
        <w:br/>
      </w:r>
      <w:r w:rsidRPr="00E52633">
        <w:rPr>
          <w:rFonts w:ascii="Arial" w:hAnsi="Arial" w:cs="Arial"/>
          <w:b/>
          <w:bCs/>
          <w:color w:val="000000" w:themeColor="text1"/>
          <w:sz w:val="28"/>
          <w:szCs w:val="28"/>
        </w:rPr>
        <w:t>Connections to Other Themes</w:t>
      </w:r>
      <w:r w:rsidR="007366C2" w:rsidRPr="00E52633">
        <w:rPr>
          <w:rFonts w:ascii="Arial" w:hAnsi="Arial" w:cs="Arial"/>
          <w:b/>
          <w:bCs/>
          <w:color w:val="000000" w:themeColor="text1"/>
          <w:sz w:val="28"/>
          <w:szCs w:val="28"/>
        </w:rPr>
        <w:t>:</w:t>
      </w:r>
    </w:p>
    <w:p w14:paraId="74A33DC2" w14:textId="13B227E0" w:rsidR="007366C2" w:rsidRPr="007366C2" w:rsidRDefault="007366C2" w:rsidP="007366C2">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This theme also connects directly with the other two themes in the chapter.  Rising prevalence cannot be properly understood without analysing the lifestyle and socioeconomic factors that drive it, and it cannot be reduced without effective management and prevention strategies.  In that sense, prevalence functions as the overarching problem to which the later themes provide explanation and response.</w:t>
      </w:r>
    </w:p>
    <w:p w14:paraId="6C97BC92" w14:textId="4126477D" w:rsidR="001C34F5" w:rsidRPr="00E52633" w:rsidRDefault="001C34F5" w:rsidP="001C34F5">
      <w:pPr>
        <w:pStyle w:val="Heading2"/>
        <w:rPr>
          <w:rFonts w:ascii="Arial" w:hAnsi="Arial" w:cs="Arial"/>
          <w:b/>
          <w:bCs/>
          <w:color w:val="000000" w:themeColor="text1"/>
          <w:sz w:val="32"/>
          <w:szCs w:val="32"/>
        </w:rPr>
      </w:pPr>
      <w:r w:rsidRPr="00E52633">
        <w:rPr>
          <w:rFonts w:ascii="Arial" w:hAnsi="Arial" w:cs="Arial"/>
          <w:b/>
          <w:bCs/>
          <w:color w:val="000000" w:themeColor="text1"/>
          <w:sz w:val="32"/>
          <w:szCs w:val="32"/>
        </w:rPr>
        <w:t>4.4 – Theme 2 (</w:t>
      </w:r>
      <w:r w:rsidR="007366C2" w:rsidRPr="00E52633">
        <w:rPr>
          <w:rFonts w:ascii="Arial" w:hAnsi="Arial" w:cs="Arial"/>
          <w:b/>
          <w:bCs/>
          <w:color w:val="000000" w:themeColor="text1"/>
          <w:sz w:val="32"/>
          <w:szCs w:val="32"/>
        </w:rPr>
        <w:t xml:space="preserve">Lifestyle and Socioeconomic </w:t>
      </w:r>
      <w:r w:rsidR="008E730D" w:rsidRPr="00E52633">
        <w:rPr>
          <w:rFonts w:ascii="Arial" w:hAnsi="Arial" w:cs="Arial"/>
          <w:b/>
          <w:bCs/>
          <w:color w:val="000000" w:themeColor="text1"/>
          <w:sz w:val="32"/>
          <w:szCs w:val="32"/>
        </w:rPr>
        <w:t>Risk Factors)</w:t>
      </w:r>
    </w:p>
    <w:p w14:paraId="4D584782" w14:textId="749169D6" w:rsidR="001C34F5" w:rsidRPr="00E52633" w:rsidRDefault="001C34F5" w:rsidP="008E730D">
      <w:pPr>
        <w:spacing w:before="100" w:beforeAutospacing="1" w:after="100" w:afterAutospacing="1" w:line="360" w:lineRule="auto"/>
        <w:rPr>
          <w:rStyle w:val="Strong"/>
          <w:rFonts w:ascii="Arial" w:hAnsi="Arial" w:cs="Arial"/>
          <w:sz w:val="28"/>
          <w:szCs w:val="28"/>
        </w:rPr>
      </w:pPr>
      <w:r w:rsidRPr="00E52633">
        <w:rPr>
          <w:rStyle w:val="Strong"/>
          <w:rFonts w:ascii="Arial" w:hAnsi="Arial" w:cs="Arial"/>
          <w:sz w:val="28"/>
          <w:szCs w:val="28"/>
        </w:rPr>
        <w:t>Definition:</w:t>
      </w:r>
    </w:p>
    <w:p w14:paraId="0996385F" w14:textId="5029AB96" w:rsidR="008E730D" w:rsidRPr="009C2993" w:rsidRDefault="008E730D" w:rsidP="009C2993">
      <w:pPr>
        <w:spacing w:line="360" w:lineRule="auto"/>
        <w:rPr>
          <w:rStyle w:val="Strong"/>
          <w:rFonts w:ascii="Arial" w:hAnsi="Arial" w:cs="Arial"/>
          <w:b w:val="0"/>
          <w:bCs w:val="0"/>
          <w:sz w:val="22"/>
          <w:szCs w:val="22"/>
        </w:rPr>
      </w:pPr>
      <w:r w:rsidRPr="009C2993">
        <w:rPr>
          <w:rStyle w:val="Strong"/>
          <w:rFonts w:ascii="Arial" w:hAnsi="Arial" w:cs="Arial"/>
          <w:b w:val="0"/>
          <w:bCs w:val="0"/>
          <w:sz w:val="22"/>
          <w:szCs w:val="22"/>
        </w:rPr>
        <w:t>The second major theme identified in the reviewed literature concerns the role of lifestyle and socioeconomic risk factors in the development of T2DM.  A risk factor may be defined as any attribute, behaviour or condition associated with increased likelihood of disease</w:t>
      </w:r>
      <w:r w:rsidR="00FF610A" w:rsidRPr="009C2993">
        <w:rPr>
          <w:rStyle w:val="Strong"/>
          <w:rFonts w:ascii="Arial" w:hAnsi="Arial" w:cs="Arial"/>
          <w:b w:val="0"/>
          <w:bCs w:val="0"/>
          <w:sz w:val="22"/>
          <w:szCs w:val="22"/>
        </w:rPr>
        <w:t xml:space="preserve"> </w:t>
      </w:r>
      <w:r w:rsidR="00FF610A" w:rsidRPr="009C2993">
        <w:rPr>
          <w:rFonts w:ascii="Arial" w:hAnsi="Arial" w:cs="Arial"/>
          <w:color w:val="000000"/>
          <w:sz w:val="22"/>
          <w:szCs w:val="22"/>
        </w:rPr>
        <w:t>(Kyrou et al., 2020)</w:t>
      </w:r>
      <w:r w:rsidRPr="009C2993">
        <w:rPr>
          <w:rStyle w:val="Strong"/>
          <w:rFonts w:ascii="Arial" w:hAnsi="Arial" w:cs="Arial"/>
          <w:b w:val="0"/>
          <w:bCs w:val="0"/>
          <w:sz w:val="22"/>
          <w:szCs w:val="22"/>
        </w:rPr>
        <w:t xml:space="preserve">.  In the context of T2DM, repeated factors across the literature include obesity, poor diet, physical inactivity, family history, age and ethnicity.  However, a stronger </w:t>
      </w:r>
      <w:r w:rsidRPr="009C2993">
        <w:rPr>
          <w:rStyle w:val="Strong"/>
          <w:rFonts w:ascii="Arial" w:hAnsi="Arial" w:cs="Arial"/>
          <w:b w:val="0"/>
          <w:bCs w:val="0"/>
          <w:sz w:val="22"/>
          <w:szCs w:val="22"/>
        </w:rPr>
        <w:lastRenderedPageBreak/>
        <w:t>reading of the evidence shows that these risks are not merely personal characteristics; they are shaped and distributed by wider social and economic circumstances.  This distinction matters because it prevents the discussion from becoming overly indiv</w:t>
      </w:r>
      <w:r w:rsidR="00A415BD" w:rsidRPr="009C2993">
        <w:rPr>
          <w:rStyle w:val="Strong"/>
          <w:rFonts w:ascii="Arial" w:hAnsi="Arial" w:cs="Arial"/>
          <w:b w:val="0"/>
          <w:bCs w:val="0"/>
          <w:sz w:val="22"/>
          <w:szCs w:val="22"/>
        </w:rPr>
        <w:t>id</w:t>
      </w:r>
      <w:r w:rsidRPr="009C2993">
        <w:rPr>
          <w:rStyle w:val="Strong"/>
          <w:rFonts w:ascii="Arial" w:hAnsi="Arial" w:cs="Arial"/>
          <w:b w:val="0"/>
          <w:bCs w:val="0"/>
          <w:sz w:val="22"/>
          <w:szCs w:val="22"/>
        </w:rPr>
        <w:t>ualised</w:t>
      </w:r>
      <w:r w:rsidR="009C2993" w:rsidRPr="009C2993">
        <w:rPr>
          <w:rStyle w:val="Strong"/>
          <w:rFonts w:ascii="Arial" w:hAnsi="Arial" w:cs="Arial"/>
          <w:b w:val="0"/>
          <w:bCs w:val="0"/>
          <w:sz w:val="22"/>
          <w:szCs w:val="22"/>
        </w:rPr>
        <w:t xml:space="preserve"> </w:t>
      </w:r>
      <w:r w:rsidR="009C2993" w:rsidRPr="009C2993">
        <w:rPr>
          <w:rFonts w:ascii="Arial" w:hAnsi="Arial" w:cs="Arial"/>
          <w:color w:val="000000"/>
          <w:sz w:val="22"/>
          <w:szCs w:val="22"/>
        </w:rPr>
        <w:t>(Kriznik et al., 2018)</w:t>
      </w:r>
      <w:r w:rsidRPr="009C2993">
        <w:rPr>
          <w:rStyle w:val="Strong"/>
          <w:rFonts w:ascii="Arial" w:hAnsi="Arial" w:cs="Arial"/>
          <w:b w:val="0"/>
          <w:bCs w:val="0"/>
          <w:sz w:val="22"/>
          <w:szCs w:val="22"/>
        </w:rPr>
        <w:t>.</w:t>
      </w:r>
    </w:p>
    <w:p w14:paraId="502879E4" w14:textId="77777777" w:rsidR="00A415BD" w:rsidRPr="009C2993" w:rsidRDefault="00A415BD" w:rsidP="009C2993">
      <w:pPr>
        <w:spacing w:line="360" w:lineRule="auto"/>
        <w:rPr>
          <w:rFonts w:ascii="Arial" w:hAnsi="Arial" w:cs="Arial"/>
          <w:sz w:val="22"/>
          <w:szCs w:val="22"/>
        </w:rPr>
      </w:pPr>
    </w:p>
    <w:p w14:paraId="3ACE59CB" w14:textId="621638DD" w:rsidR="001C34F5" w:rsidRPr="00E52633" w:rsidRDefault="001C34F5" w:rsidP="001C34F5">
      <w:pPr>
        <w:pStyle w:val="Heading4"/>
        <w:rPr>
          <w:rFonts w:ascii="Arial" w:hAnsi="Arial" w:cs="Arial"/>
          <w:b/>
          <w:bCs/>
          <w:i w:val="0"/>
          <w:iCs w:val="0"/>
          <w:color w:val="000000" w:themeColor="text1"/>
          <w:sz w:val="28"/>
          <w:szCs w:val="28"/>
        </w:rPr>
      </w:pPr>
      <w:r w:rsidRPr="00366C0D">
        <w:rPr>
          <w:rFonts w:ascii="Arial" w:hAnsi="Arial" w:cs="Arial"/>
          <w:b/>
          <w:bCs/>
          <w:i w:val="0"/>
          <w:iCs w:val="0"/>
          <w:color w:val="000000" w:themeColor="text1"/>
          <w:sz w:val="28"/>
          <w:szCs w:val="28"/>
        </w:rPr>
        <w:t>Background Information</w:t>
      </w:r>
      <w:r w:rsidR="008E730D" w:rsidRPr="00366C0D">
        <w:rPr>
          <w:rFonts w:ascii="Arial" w:hAnsi="Arial" w:cs="Arial"/>
          <w:b/>
          <w:bCs/>
          <w:i w:val="0"/>
          <w:iCs w:val="0"/>
          <w:color w:val="000000" w:themeColor="text1"/>
          <w:sz w:val="28"/>
          <w:szCs w:val="28"/>
        </w:rPr>
        <w:t>:</w:t>
      </w:r>
    </w:p>
    <w:p w14:paraId="099059CB" w14:textId="6EB7D5BF" w:rsidR="008E730D" w:rsidRPr="00AD2DFF" w:rsidRDefault="008E730D" w:rsidP="00AD2DFF">
      <w:pPr>
        <w:spacing w:line="360" w:lineRule="auto"/>
        <w:rPr>
          <w:rFonts w:ascii="Arial" w:hAnsi="Arial" w:cs="Arial"/>
          <w:sz w:val="22"/>
          <w:szCs w:val="22"/>
        </w:rPr>
      </w:pPr>
      <w:r w:rsidRPr="00AD2DFF">
        <w:rPr>
          <w:rFonts w:ascii="Arial" w:hAnsi="Arial" w:cs="Arial"/>
          <w:sz w:val="22"/>
          <w:szCs w:val="22"/>
          <w:lang w:eastAsia="zh-CN"/>
        </w:rPr>
        <w:t>Obesity emerge</w:t>
      </w:r>
      <w:r w:rsidR="00965566" w:rsidRPr="00AD2DFF">
        <w:rPr>
          <w:rFonts w:ascii="Arial" w:hAnsi="Arial" w:cs="Arial"/>
          <w:sz w:val="22"/>
          <w:szCs w:val="22"/>
          <w:lang w:eastAsia="zh-CN"/>
        </w:rPr>
        <w:t>d as the most consistent modifiable risk factor across the literature.  The Health Survey for England reported that in 2024, 30% of adults were living with obesity and 66% were overweight or living with obesity</w:t>
      </w:r>
      <w:r w:rsidR="009C2993" w:rsidRPr="00AD2DFF">
        <w:rPr>
          <w:rFonts w:ascii="Arial" w:hAnsi="Arial" w:cs="Arial"/>
          <w:sz w:val="22"/>
          <w:szCs w:val="22"/>
          <w:lang w:eastAsia="zh-CN"/>
        </w:rPr>
        <w:t xml:space="preserve"> </w:t>
      </w:r>
      <w:r w:rsidR="009C2993" w:rsidRPr="00AD2DFF">
        <w:rPr>
          <w:rFonts w:ascii="Arial" w:hAnsi="Arial" w:cs="Arial"/>
          <w:color w:val="000000"/>
          <w:sz w:val="22"/>
          <w:szCs w:val="22"/>
        </w:rPr>
        <w:t>(NHS England, 2019)</w:t>
      </w:r>
      <w:r w:rsidR="00965566" w:rsidRPr="00AD2DFF">
        <w:rPr>
          <w:rFonts w:ascii="Arial" w:hAnsi="Arial" w:cs="Arial"/>
          <w:sz w:val="22"/>
          <w:szCs w:val="22"/>
          <w:lang w:eastAsia="zh-CN"/>
        </w:rPr>
        <w:t xml:space="preserve">.  The persistence of these figures indicates that obesity </w:t>
      </w:r>
      <w:r w:rsidR="00204038" w:rsidRPr="00AD2DFF">
        <w:rPr>
          <w:rFonts w:ascii="Arial" w:hAnsi="Arial" w:cs="Arial"/>
          <w:sz w:val="22"/>
          <w:szCs w:val="22"/>
          <w:lang w:eastAsia="zh-CN"/>
        </w:rPr>
        <w:t>is not a marginal problem but a mainstream feature of the UK risk environment.</w:t>
      </w:r>
      <w:r w:rsidR="00462A79" w:rsidRPr="00AD2DFF">
        <w:rPr>
          <w:rFonts w:ascii="Arial" w:hAnsi="Arial" w:cs="Arial"/>
          <w:sz w:val="22"/>
          <w:szCs w:val="22"/>
          <w:lang w:eastAsia="zh-CN"/>
        </w:rPr>
        <w:t xml:space="preserve">  Excess adiposity is closely linked to insulin resistance, chronic inflammation and impaired glucose regulation, making the association with T2DM both statistically and biologically credible.  Public Health guidance has explicitly stated that being overweight or obese is the major modifiable risk factor for type 2 diabetes</w:t>
      </w:r>
      <w:r w:rsidR="00672DF5" w:rsidRPr="00AD2DFF">
        <w:rPr>
          <w:rFonts w:ascii="Arial" w:hAnsi="Arial" w:cs="Arial"/>
          <w:sz w:val="22"/>
          <w:szCs w:val="22"/>
          <w:lang w:eastAsia="zh-CN"/>
        </w:rPr>
        <w:t xml:space="preserve"> </w:t>
      </w:r>
      <w:r w:rsidR="00672DF5" w:rsidRPr="00AD2DFF">
        <w:rPr>
          <w:rFonts w:ascii="Arial" w:hAnsi="Arial" w:cs="Arial"/>
          <w:color w:val="000000"/>
          <w:sz w:val="22"/>
          <w:szCs w:val="22"/>
        </w:rPr>
        <w:t>(Ahmed and Mohammed, 2025)</w:t>
      </w:r>
      <w:r w:rsidR="00462A79" w:rsidRPr="00AD2DFF">
        <w:rPr>
          <w:rFonts w:ascii="Arial" w:hAnsi="Arial" w:cs="Arial"/>
          <w:sz w:val="22"/>
          <w:szCs w:val="22"/>
          <w:lang w:eastAsia="zh-CN"/>
        </w:rPr>
        <w:t>.</w:t>
      </w:r>
    </w:p>
    <w:p w14:paraId="61DE0F20" w14:textId="77777777" w:rsidR="00462A79" w:rsidRPr="002F0B35" w:rsidRDefault="00462A79" w:rsidP="008E730D">
      <w:pPr>
        <w:spacing w:line="360" w:lineRule="auto"/>
        <w:rPr>
          <w:rFonts w:ascii="Arial" w:hAnsi="Arial" w:cs="Arial"/>
          <w:sz w:val="22"/>
          <w:szCs w:val="22"/>
          <w:lang w:eastAsia="zh-CN"/>
        </w:rPr>
      </w:pPr>
    </w:p>
    <w:p w14:paraId="358ECCCB" w14:textId="4638426B" w:rsidR="00462A79" w:rsidRPr="00B92E00" w:rsidRDefault="00462A79" w:rsidP="00B92E00">
      <w:pPr>
        <w:spacing w:line="360" w:lineRule="auto"/>
        <w:rPr>
          <w:rFonts w:ascii="Arial" w:hAnsi="Arial" w:cs="Arial"/>
          <w:sz w:val="22"/>
          <w:szCs w:val="22"/>
        </w:rPr>
      </w:pPr>
      <w:r w:rsidRPr="00B92E00">
        <w:rPr>
          <w:rFonts w:ascii="Arial" w:hAnsi="Arial" w:cs="Arial"/>
          <w:sz w:val="22"/>
          <w:szCs w:val="22"/>
          <w:lang w:eastAsia="zh-CN"/>
        </w:rPr>
        <w:t>Diet and physical inactivity are clos</w:t>
      </w:r>
      <w:r w:rsidR="00320716" w:rsidRPr="00B92E00">
        <w:rPr>
          <w:rFonts w:ascii="Arial" w:hAnsi="Arial" w:cs="Arial"/>
          <w:sz w:val="22"/>
          <w:szCs w:val="22"/>
          <w:lang w:eastAsia="zh-CN"/>
        </w:rPr>
        <w:t>ely connected to this obesity pathway.  Diets high in energy-dense, nutrient-poor foods contribute to excess weight gain and poor glycaemic control, while low physical activity reduces insulin sensitivity and overall metabolic health</w:t>
      </w:r>
      <w:r w:rsidR="00AD2DFF" w:rsidRPr="00B92E00">
        <w:rPr>
          <w:rFonts w:ascii="Arial" w:hAnsi="Arial" w:cs="Arial"/>
          <w:sz w:val="22"/>
          <w:szCs w:val="22"/>
          <w:lang w:eastAsia="zh-CN"/>
        </w:rPr>
        <w:t xml:space="preserve"> </w:t>
      </w:r>
      <w:r w:rsidR="00AD2DFF" w:rsidRPr="00B92E00">
        <w:rPr>
          <w:rFonts w:ascii="Arial" w:hAnsi="Arial" w:cs="Arial"/>
          <w:color w:val="000000"/>
          <w:sz w:val="22"/>
          <w:szCs w:val="22"/>
        </w:rPr>
        <w:t>(Romieu et al., 2017)</w:t>
      </w:r>
      <w:r w:rsidR="00320716" w:rsidRPr="00B92E00">
        <w:rPr>
          <w:rFonts w:ascii="Arial" w:hAnsi="Arial" w:cs="Arial"/>
          <w:sz w:val="22"/>
          <w:szCs w:val="22"/>
          <w:lang w:eastAsia="zh-CN"/>
        </w:rPr>
        <w:t xml:space="preserve">.  Yet the literature also makes clear that describing these as “lifestyle choices” can be misleading if choice is discussed </w:t>
      </w:r>
      <w:r w:rsidR="00B613A0" w:rsidRPr="00B92E00">
        <w:rPr>
          <w:rFonts w:ascii="Arial" w:hAnsi="Arial" w:cs="Arial"/>
          <w:sz w:val="22"/>
          <w:szCs w:val="22"/>
          <w:lang w:eastAsia="zh-CN"/>
        </w:rPr>
        <w:t>without context.  The ability to eat well and remain active is heavily shaped by food affordability, built environments, working conditions, transport access, family responsibilities and local opportunities for exercise.  As a result, behaviour-based risk factors are better understood as socially patterned behaviours rather than purely free choices</w:t>
      </w:r>
      <w:r w:rsidR="00B23993" w:rsidRPr="00B92E00">
        <w:rPr>
          <w:rFonts w:ascii="Arial" w:hAnsi="Arial" w:cs="Arial"/>
          <w:sz w:val="22"/>
          <w:szCs w:val="22"/>
          <w:lang w:eastAsia="zh-CN"/>
        </w:rPr>
        <w:t xml:space="preserve"> </w:t>
      </w:r>
      <w:r w:rsidR="00B23993" w:rsidRPr="00B92E00">
        <w:rPr>
          <w:rFonts w:ascii="Arial" w:hAnsi="Arial" w:cs="Arial"/>
          <w:color w:val="000000"/>
          <w:sz w:val="22"/>
          <w:szCs w:val="22"/>
        </w:rPr>
        <w:t>(Hill-Briggs, 2020)</w:t>
      </w:r>
      <w:r w:rsidR="00B613A0" w:rsidRPr="00B92E00">
        <w:rPr>
          <w:rFonts w:ascii="Arial" w:hAnsi="Arial" w:cs="Arial"/>
          <w:sz w:val="22"/>
          <w:szCs w:val="22"/>
          <w:lang w:eastAsia="zh-CN"/>
        </w:rPr>
        <w:t>.</w:t>
      </w:r>
    </w:p>
    <w:p w14:paraId="631A8A43" w14:textId="60A948C5" w:rsidR="00B613A0" w:rsidRPr="002F0B35" w:rsidRDefault="00B613A0" w:rsidP="008E730D">
      <w:pPr>
        <w:spacing w:line="360" w:lineRule="auto"/>
        <w:rPr>
          <w:rFonts w:ascii="Arial" w:hAnsi="Arial" w:cs="Arial"/>
          <w:sz w:val="22"/>
          <w:szCs w:val="22"/>
          <w:lang w:eastAsia="zh-CN"/>
        </w:rPr>
      </w:pPr>
    </w:p>
    <w:p w14:paraId="595987DB" w14:textId="0131465E" w:rsidR="00B613A0" w:rsidRPr="00B92E00" w:rsidRDefault="00B613A0" w:rsidP="00B92E00">
      <w:pPr>
        <w:spacing w:line="360" w:lineRule="auto"/>
        <w:rPr>
          <w:rFonts w:ascii="Arial" w:hAnsi="Arial" w:cs="Arial"/>
          <w:sz w:val="22"/>
          <w:szCs w:val="22"/>
        </w:rPr>
      </w:pPr>
      <w:r w:rsidRPr="00B92E00">
        <w:rPr>
          <w:rFonts w:ascii="Arial" w:hAnsi="Arial" w:cs="Arial"/>
          <w:sz w:val="22"/>
          <w:szCs w:val="22"/>
          <w:lang w:eastAsia="zh-CN"/>
        </w:rPr>
        <w:t>This is where socioeconomic status becomes central.  Diabetes UK identifies income, education, housing, access to healthy food and poorer access to healthcare as factors strongly linked to obesity</w:t>
      </w:r>
      <w:r w:rsidR="005E702A" w:rsidRPr="00B92E00">
        <w:rPr>
          <w:rFonts w:ascii="Arial" w:hAnsi="Arial" w:cs="Arial"/>
          <w:sz w:val="22"/>
          <w:szCs w:val="22"/>
          <w:lang w:eastAsia="zh-CN"/>
        </w:rPr>
        <w:t xml:space="preserve"> and type 2 diabetes risk</w:t>
      </w:r>
      <w:r w:rsidR="00B92E00" w:rsidRPr="00B92E00">
        <w:rPr>
          <w:rFonts w:ascii="Arial" w:hAnsi="Arial" w:cs="Arial"/>
          <w:sz w:val="22"/>
          <w:szCs w:val="22"/>
          <w:lang w:eastAsia="zh-CN"/>
        </w:rPr>
        <w:t xml:space="preserve"> </w:t>
      </w:r>
      <w:r w:rsidR="00B92E00" w:rsidRPr="00B92E00">
        <w:rPr>
          <w:rFonts w:ascii="Arial" w:hAnsi="Arial" w:cs="Arial"/>
          <w:color w:val="000000"/>
          <w:sz w:val="22"/>
          <w:szCs w:val="22"/>
        </w:rPr>
        <w:t>(Diabetes UK, 2023)</w:t>
      </w:r>
      <w:r w:rsidR="005E702A" w:rsidRPr="00B92E00">
        <w:rPr>
          <w:rFonts w:ascii="Arial" w:hAnsi="Arial" w:cs="Arial"/>
          <w:sz w:val="22"/>
          <w:szCs w:val="22"/>
          <w:lang w:eastAsia="zh-CN"/>
        </w:rPr>
        <w:t>.  Marmot’s health equity work likewise argues that avoidable health inequalities stem from unequal social and economic conditions.  In relation to T2DM, people living in more deprived areas may face multiple barriers at once: higher food insecurity, reduced access to preventative care, lower health literacy opportunities, greater financial stress and more obesogenic neighbourhoods.  The result is that risk is clustered where disadvantage is greatest</w:t>
      </w:r>
      <w:r w:rsidR="00B92E00" w:rsidRPr="00B92E00">
        <w:rPr>
          <w:rFonts w:ascii="Arial" w:hAnsi="Arial" w:cs="Arial"/>
          <w:sz w:val="22"/>
          <w:szCs w:val="22"/>
          <w:lang w:eastAsia="zh-CN"/>
        </w:rPr>
        <w:t xml:space="preserve"> </w:t>
      </w:r>
      <w:r w:rsidR="00B92E00" w:rsidRPr="00B92E00">
        <w:rPr>
          <w:rFonts w:ascii="Arial" w:hAnsi="Arial" w:cs="Arial"/>
          <w:color w:val="000000"/>
          <w:sz w:val="22"/>
          <w:szCs w:val="22"/>
        </w:rPr>
        <w:t>(Marmot, 2017)</w:t>
      </w:r>
      <w:r w:rsidR="005E702A" w:rsidRPr="00B92E00">
        <w:rPr>
          <w:rFonts w:ascii="Arial" w:hAnsi="Arial" w:cs="Arial"/>
          <w:sz w:val="22"/>
          <w:szCs w:val="22"/>
          <w:lang w:eastAsia="zh-CN"/>
        </w:rPr>
        <w:t>.</w:t>
      </w:r>
    </w:p>
    <w:p w14:paraId="49D4F7B5" w14:textId="0A2FC6CE" w:rsidR="005E702A" w:rsidRPr="00385118" w:rsidRDefault="005E702A" w:rsidP="00385118">
      <w:pPr>
        <w:spacing w:line="360" w:lineRule="auto"/>
        <w:rPr>
          <w:rFonts w:ascii="Arial" w:hAnsi="Arial" w:cs="Arial"/>
          <w:sz w:val="22"/>
          <w:szCs w:val="22"/>
          <w:lang w:eastAsia="zh-CN"/>
        </w:rPr>
      </w:pPr>
    </w:p>
    <w:p w14:paraId="65EA7D76" w14:textId="56BB38C4" w:rsidR="005E702A" w:rsidRPr="00385118" w:rsidRDefault="005E702A" w:rsidP="00385118">
      <w:pPr>
        <w:spacing w:line="360" w:lineRule="auto"/>
        <w:rPr>
          <w:rFonts w:ascii="Arial" w:hAnsi="Arial" w:cs="Arial"/>
          <w:sz w:val="22"/>
          <w:szCs w:val="22"/>
        </w:rPr>
      </w:pPr>
      <w:r w:rsidRPr="00385118">
        <w:rPr>
          <w:rFonts w:ascii="Arial" w:hAnsi="Arial" w:cs="Arial"/>
          <w:sz w:val="22"/>
          <w:szCs w:val="22"/>
          <w:lang w:eastAsia="zh-CN"/>
        </w:rPr>
        <w:lastRenderedPageBreak/>
        <w:t xml:space="preserve">Recent evidence also supports the view that deprivation affects not only disease development but also early identification.  A 2024 study on inequalities in non-diabetic hyperglycaemia identification concluded that people living </w:t>
      </w:r>
      <w:r w:rsidR="00321D46" w:rsidRPr="00385118">
        <w:rPr>
          <w:rFonts w:ascii="Arial" w:hAnsi="Arial" w:cs="Arial"/>
          <w:sz w:val="22"/>
          <w:szCs w:val="22"/>
          <w:lang w:eastAsia="zh-CN"/>
        </w:rPr>
        <w:t>in more deprived areas, particularly younger adults, were less likely to have non-diabetic hyperglycaemia identified before later diagnosis of T2DM</w:t>
      </w:r>
      <w:r w:rsidR="00B92E00" w:rsidRPr="00385118">
        <w:rPr>
          <w:rFonts w:ascii="Arial" w:hAnsi="Arial" w:cs="Arial"/>
          <w:sz w:val="22"/>
          <w:szCs w:val="22"/>
          <w:lang w:eastAsia="zh-CN"/>
        </w:rPr>
        <w:t xml:space="preserve"> </w:t>
      </w:r>
      <w:r w:rsidR="00B92E00" w:rsidRPr="00385118">
        <w:rPr>
          <w:rFonts w:ascii="Arial" w:hAnsi="Arial" w:cs="Arial"/>
          <w:color w:val="000000"/>
          <w:sz w:val="22"/>
          <w:szCs w:val="22"/>
        </w:rPr>
        <w:t>(Watkinson et al., 2024)</w:t>
      </w:r>
      <w:r w:rsidR="00321D46" w:rsidRPr="00385118">
        <w:rPr>
          <w:rFonts w:ascii="Arial" w:hAnsi="Arial" w:cs="Arial"/>
          <w:sz w:val="22"/>
          <w:szCs w:val="22"/>
          <w:lang w:eastAsia="zh-CN"/>
        </w:rPr>
        <w:t xml:space="preserve">.  This is an important point because it suggests inequality operates twice: first in shaping risk, and second in limiting timely preventive intervention.  Deprivation therefore should not be treated as a background variable; it is an active part of the pathway through which diabetes burden is </w:t>
      </w:r>
      <w:r w:rsidR="002F0B35" w:rsidRPr="00385118">
        <w:rPr>
          <w:rFonts w:ascii="Arial" w:hAnsi="Arial" w:cs="Arial"/>
          <w:sz w:val="22"/>
          <w:szCs w:val="22"/>
          <w:lang w:eastAsia="zh-CN"/>
        </w:rPr>
        <w:t>r</w:t>
      </w:r>
      <w:r w:rsidR="00321D46" w:rsidRPr="00385118">
        <w:rPr>
          <w:rFonts w:ascii="Arial" w:hAnsi="Arial" w:cs="Arial"/>
          <w:sz w:val="22"/>
          <w:szCs w:val="22"/>
          <w:lang w:eastAsia="zh-CN"/>
        </w:rPr>
        <w:t>eproduced.</w:t>
      </w:r>
    </w:p>
    <w:p w14:paraId="4D62BBD8" w14:textId="5FCD3DE6" w:rsidR="00321D46" w:rsidRDefault="00321D46" w:rsidP="008E730D">
      <w:pPr>
        <w:spacing w:line="360" w:lineRule="auto"/>
        <w:rPr>
          <w:lang w:eastAsia="zh-CN"/>
        </w:rPr>
      </w:pPr>
    </w:p>
    <w:p w14:paraId="5FCC7C6A" w14:textId="1958EC76" w:rsidR="00321D46" w:rsidRPr="000F6E50" w:rsidRDefault="002F0B35" w:rsidP="000F6E50">
      <w:pPr>
        <w:spacing w:line="360" w:lineRule="auto"/>
        <w:rPr>
          <w:rFonts w:ascii="Arial" w:hAnsi="Arial" w:cs="Arial"/>
          <w:sz w:val="22"/>
          <w:szCs w:val="22"/>
        </w:rPr>
      </w:pPr>
      <w:r w:rsidRPr="000F6E50">
        <w:rPr>
          <w:rFonts w:ascii="Arial" w:hAnsi="Arial" w:cs="Arial"/>
          <w:sz w:val="22"/>
          <w:szCs w:val="22"/>
          <w:lang w:eastAsia="zh-CN"/>
        </w:rPr>
        <w:t>E</w:t>
      </w:r>
      <w:r w:rsidR="003F70C9" w:rsidRPr="000F6E50">
        <w:rPr>
          <w:rFonts w:ascii="Arial" w:hAnsi="Arial" w:cs="Arial"/>
          <w:sz w:val="22"/>
          <w:szCs w:val="22"/>
          <w:lang w:eastAsia="zh-CN"/>
        </w:rPr>
        <w:t>thnicity was another clear subtheme.  UK evidence indicates that type 2 diabetes prevalence is substantially higher in South Africa and Black ethnic groups than in White populations.  Diabetes UK notes that people from Black African, African Caribbean and South Asian backgrounds are at increased risk from age 25, while risk in the White population increases from around age 40</w:t>
      </w:r>
      <w:r w:rsidR="00385118" w:rsidRPr="000F6E50">
        <w:rPr>
          <w:rFonts w:ascii="Arial" w:hAnsi="Arial" w:cs="Arial"/>
          <w:sz w:val="22"/>
          <w:szCs w:val="22"/>
          <w:lang w:eastAsia="zh-CN"/>
        </w:rPr>
        <w:t xml:space="preserve"> </w:t>
      </w:r>
      <w:r w:rsidR="00385118" w:rsidRPr="000F6E50">
        <w:rPr>
          <w:rFonts w:ascii="Arial" w:hAnsi="Arial" w:cs="Arial"/>
          <w:color w:val="000000"/>
          <w:sz w:val="22"/>
          <w:szCs w:val="22"/>
        </w:rPr>
        <w:t>(Diabetes UK, 2020)</w:t>
      </w:r>
      <w:r w:rsidR="003F70C9" w:rsidRPr="000F6E50">
        <w:rPr>
          <w:rFonts w:ascii="Arial" w:hAnsi="Arial" w:cs="Arial"/>
          <w:sz w:val="22"/>
          <w:szCs w:val="22"/>
          <w:lang w:eastAsia="zh-CN"/>
        </w:rPr>
        <w:t>.  Official government evidence also reports that both South Asian and Black groups experience greater diabetes risk at lower BMI thresholds than White groups.  This is highly relevant because it challenges uniform risk models and suggests that screening and prevention thresholds may need to be more nuanced an</w:t>
      </w:r>
      <w:r w:rsidR="007E4911" w:rsidRPr="000F6E50">
        <w:rPr>
          <w:rFonts w:ascii="Arial" w:hAnsi="Arial" w:cs="Arial"/>
          <w:sz w:val="22"/>
          <w:szCs w:val="22"/>
          <w:lang w:eastAsia="zh-CN"/>
        </w:rPr>
        <w:t>d</w:t>
      </w:r>
      <w:r w:rsidR="003F70C9" w:rsidRPr="000F6E50">
        <w:rPr>
          <w:rFonts w:ascii="Arial" w:hAnsi="Arial" w:cs="Arial"/>
          <w:sz w:val="22"/>
          <w:szCs w:val="22"/>
          <w:lang w:eastAsia="zh-CN"/>
        </w:rPr>
        <w:t xml:space="preserve"> culturally informed.</w:t>
      </w:r>
    </w:p>
    <w:p w14:paraId="166E0907" w14:textId="165D1DAC" w:rsidR="007E4911" w:rsidRDefault="007E4911" w:rsidP="008E730D">
      <w:pPr>
        <w:spacing w:line="360" w:lineRule="auto"/>
        <w:rPr>
          <w:rFonts w:ascii="Arial" w:hAnsi="Arial" w:cs="Arial"/>
          <w:sz w:val="22"/>
          <w:szCs w:val="22"/>
          <w:lang w:eastAsia="zh-CN"/>
        </w:rPr>
      </w:pPr>
    </w:p>
    <w:p w14:paraId="5A857046" w14:textId="034CD29F" w:rsidR="00B65EF4" w:rsidRPr="004436F4" w:rsidRDefault="007E4911" w:rsidP="004436F4">
      <w:pPr>
        <w:spacing w:line="360" w:lineRule="auto"/>
        <w:rPr>
          <w:rFonts w:ascii="Arial" w:hAnsi="Arial" w:cs="Arial"/>
          <w:sz w:val="22"/>
          <w:szCs w:val="22"/>
        </w:rPr>
      </w:pPr>
      <w:r w:rsidRPr="004436F4">
        <w:rPr>
          <w:rFonts w:ascii="Arial" w:hAnsi="Arial" w:cs="Arial"/>
          <w:sz w:val="22"/>
          <w:szCs w:val="22"/>
          <w:lang w:eastAsia="zh-CN"/>
        </w:rPr>
        <w:t>The literature does not suggest that ethnic inequality is purely genetic.  That would be far too simplistic.  Instead, the better studies position ethnic risk within an interaction between</w:t>
      </w:r>
      <w:r w:rsidR="00B65EF4" w:rsidRPr="004436F4">
        <w:rPr>
          <w:rFonts w:ascii="Arial" w:hAnsi="Arial" w:cs="Arial"/>
          <w:sz w:val="22"/>
          <w:szCs w:val="22"/>
          <w:lang w:eastAsia="zh-CN"/>
        </w:rPr>
        <w:t xml:space="preserve"> biological susceptibility, earlier metabolic vulnerability and structural inequality.  For example, Birmingham-based research published in 2024 found that socioeconomic deprivation and ethnicity together increased diabetes risk in an urban UK population with prevalence above the national average</w:t>
      </w:r>
      <w:r w:rsidR="000F6E50" w:rsidRPr="004436F4">
        <w:rPr>
          <w:rFonts w:ascii="Arial" w:hAnsi="Arial" w:cs="Arial"/>
          <w:sz w:val="22"/>
          <w:szCs w:val="22"/>
          <w:lang w:eastAsia="zh-CN"/>
        </w:rPr>
        <w:t xml:space="preserve"> </w:t>
      </w:r>
      <w:r w:rsidR="000F6E50" w:rsidRPr="004436F4">
        <w:rPr>
          <w:rFonts w:ascii="Arial" w:hAnsi="Arial" w:cs="Arial"/>
          <w:color w:val="000000"/>
          <w:sz w:val="22"/>
          <w:szCs w:val="22"/>
        </w:rPr>
        <w:t>(Au-Yeung et al., 2024)</w:t>
      </w:r>
      <w:r w:rsidR="00B65EF4" w:rsidRPr="004436F4">
        <w:rPr>
          <w:rFonts w:ascii="Arial" w:hAnsi="Arial" w:cs="Arial"/>
          <w:sz w:val="22"/>
          <w:szCs w:val="22"/>
          <w:lang w:eastAsia="zh-CN"/>
        </w:rPr>
        <w:t>.  This kind of evidence is useful because it moves the debate away from either/or thinking.  Risk is not either social or biological; it is both, and these dimensions compound one another.</w:t>
      </w:r>
    </w:p>
    <w:p w14:paraId="6F5224D4" w14:textId="4C3109BE" w:rsidR="008E730D" w:rsidRPr="004436F4" w:rsidRDefault="007E4911" w:rsidP="004436F4">
      <w:pPr>
        <w:spacing w:line="360" w:lineRule="auto"/>
        <w:rPr>
          <w:rFonts w:ascii="Arial" w:hAnsi="Arial" w:cs="Arial"/>
          <w:sz w:val="22"/>
          <w:szCs w:val="22"/>
          <w:lang w:eastAsia="zh-CN"/>
        </w:rPr>
      </w:pPr>
      <w:r w:rsidRPr="004436F4">
        <w:rPr>
          <w:rFonts w:ascii="Arial" w:hAnsi="Arial" w:cs="Arial"/>
          <w:sz w:val="22"/>
          <w:szCs w:val="22"/>
          <w:lang w:eastAsia="zh-CN"/>
        </w:rPr>
        <w:t xml:space="preserve"> </w:t>
      </w:r>
    </w:p>
    <w:p w14:paraId="7FF2AE42" w14:textId="573FD971" w:rsidR="001C34F5" w:rsidRPr="00E52633" w:rsidRDefault="001C34F5" w:rsidP="00B65EF4">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Theories, Policies, and Legislation</w:t>
      </w:r>
      <w:r w:rsidR="00B65EF4" w:rsidRPr="00E52633">
        <w:rPr>
          <w:rFonts w:ascii="Arial" w:hAnsi="Arial" w:cs="Arial"/>
          <w:b/>
          <w:bCs/>
          <w:i w:val="0"/>
          <w:iCs w:val="0"/>
          <w:color w:val="000000" w:themeColor="text1"/>
          <w:sz w:val="28"/>
          <w:szCs w:val="28"/>
        </w:rPr>
        <w:t>:</w:t>
      </w:r>
    </w:p>
    <w:p w14:paraId="47859EA4" w14:textId="77777777" w:rsidR="00B65EF4" w:rsidRPr="00B65EF4" w:rsidRDefault="00B65EF4" w:rsidP="00B65EF4">
      <w:pPr>
        <w:rPr>
          <w:lang w:eastAsia="zh-CN"/>
        </w:rPr>
      </w:pPr>
    </w:p>
    <w:p w14:paraId="6036C00B" w14:textId="539C43D8" w:rsidR="00462A79" w:rsidRPr="00F5644A" w:rsidRDefault="00462A79" w:rsidP="00F5644A">
      <w:pPr>
        <w:spacing w:line="360" w:lineRule="auto"/>
        <w:rPr>
          <w:rFonts w:ascii="Arial" w:hAnsi="Arial" w:cs="Arial"/>
          <w:sz w:val="22"/>
          <w:szCs w:val="22"/>
        </w:rPr>
      </w:pPr>
      <w:r w:rsidRPr="00F5644A">
        <w:rPr>
          <w:rFonts w:ascii="Arial" w:hAnsi="Arial" w:cs="Arial"/>
          <w:sz w:val="22"/>
          <w:szCs w:val="22"/>
          <w:lang w:eastAsia="zh-CN"/>
        </w:rPr>
        <w:t>Theoretical pers</w:t>
      </w:r>
      <w:r w:rsidR="000A17BC" w:rsidRPr="00F5644A">
        <w:rPr>
          <w:rFonts w:ascii="Arial" w:hAnsi="Arial" w:cs="Arial"/>
          <w:sz w:val="22"/>
          <w:szCs w:val="22"/>
          <w:lang w:eastAsia="zh-CN"/>
        </w:rPr>
        <w:t xml:space="preserve">pectives help sharpen this analysis.  Behavioural health models focus on individual motivation, knowledge and change, which is useful when discussing diet, exercise and self-care.  </w:t>
      </w:r>
      <w:r w:rsidR="00461378" w:rsidRPr="00F5644A">
        <w:rPr>
          <w:rFonts w:ascii="Arial" w:hAnsi="Arial" w:cs="Arial"/>
          <w:sz w:val="22"/>
          <w:szCs w:val="22"/>
          <w:lang w:eastAsia="zh-CN"/>
        </w:rPr>
        <w:t>However, on their own they can become reductionist, because they imply that better decisions are always available and equally achievable</w:t>
      </w:r>
      <w:r w:rsidR="00652AA8" w:rsidRPr="00F5644A">
        <w:rPr>
          <w:rFonts w:ascii="Arial" w:hAnsi="Arial" w:cs="Arial"/>
          <w:sz w:val="22"/>
          <w:szCs w:val="22"/>
          <w:lang w:eastAsia="zh-CN"/>
        </w:rPr>
        <w:t xml:space="preserve"> </w:t>
      </w:r>
      <w:r w:rsidR="00652AA8" w:rsidRPr="00F5644A">
        <w:rPr>
          <w:rFonts w:ascii="Arial" w:hAnsi="Arial" w:cs="Arial"/>
          <w:color w:val="000000"/>
          <w:sz w:val="22"/>
          <w:szCs w:val="22"/>
        </w:rPr>
        <w:t>(Koulouvari et al., 2025)</w:t>
      </w:r>
      <w:r w:rsidR="00461378" w:rsidRPr="00F5644A">
        <w:rPr>
          <w:rFonts w:ascii="Arial" w:hAnsi="Arial" w:cs="Arial"/>
          <w:sz w:val="22"/>
          <w:szCs w:val="22"/>
          <w:lang w:eastAsia="zh-CN"/>
        </w:rPr>
        <w:t xml:space="preserve">.  Social determinants theory provides a more critical lens by showing that opportunities for healthy behaviour are unequally distributed.  For </w:t>
      </w:r>
      <w:r w:rsidR="007F18AC" w:rsidRPr="00F5644A">
        <w:rPr>
          <w:rFonts w:ascii="Arial" w:hAnsi="Arial" w:cs="Arial"/>
          <w:sz w:val="22"/>
          <w:szCs w:val="22"/>
          <w:lang w:eastAsia="zh-CN"/>
        </w:rPr>
        <w:t xml:space="preserve">a dissertation at this level, that distinction </w:t>
      </w:r>
      <w:r w:rsidR="007F18AC" w:rsidRPr="00F5644A">
        <w:rPr>
          <w:rFonts w:ascii="Arial" w:hAnsi="Arial" w:cs="Arial"/>
          <w:sz w:val="22"/>
          <w:szCs w:val="22"/>
          <w:lang w:eastAsia="zh-CN"/>
        </w:rPr>
        <w:lastRenderedPageBreak/>
        <w:t xml:space="preserve">matters.  It allows the discussion to critique public health approaches that rely too heavily on personal responsibility while underestimating the material realities </w:t>
      </w:r>
      <w:r w:rsidR="00035EEF" w:rsidRPr="00F5644A">
        <w:rPr>
          <w:rFonts w:ascii="Arial" w:hAnsi="Arial" w:cs="Arial"/>
          <w:sz w:val="22"/>
          <w:szCs w:val="22"/>
          <w:lang w:eastAsia="zh-CN"/>
        </w:rPr>
        <w:t>of daily life in deprived communities</w:t>
      </w:r>
      <w:r w:rsidR="00040AAE" w:rsidRPr="00F5644A">
        <w:rPr>
          <w:rFonts w:ascii="Arial" w:hAnsi="Arial" w:cs="Arial"/>
          <w:sz w:val="22"/>
          <w:szCs w:val="22"/>
          <w:lang w:eastAsia="zh-CN"/>
        </w:rPr>
        <w:t xml:space="preserve"> </w:t>
      </w:r>
      <w:r w:rsidR="00040AAE" w:rsidRPr="00F5644A">
        <w:rPr>
          <w:rFonts w:ascii="Arial" w:hAnsi="Arial" w:cs="Arial"/>
          <w:color w:val="000000"/>
          <w:sz w:val="22"/>
          <w:szCs w:val="22"/>
        </w:rPr>
        <w:t>(Wilderink et al., 2022)</w:t>
      </w:r>
      <w:r w:rsidR="00035EEF" w:rsidRPr="00F5644A">
        <w:rPr>
          <w:rFonts w:ascii="Arial" w:hAnsi="Arial" w:cs="Arial"/>
          <w:sz w:val="22"/>
          <w:szCs w:val="22"/>
          <w:lang w:eastAsia="zh-CN"/>
        </w:rPr>
        <w:t>.</w:t>
      </w:r>
    </w:p>
    <w:p w14:paraId="5672F795" w14:textId="1390E899" w:rsidR="00CD27CC" w:rsidRPr="00F5644A" w:rsidRDefault="00CD27CC" w:rsidP="00F5644A">
      <w:pPr>
        <w:spacing w:line="360" w:lineRule="auto"/>
        <w:rPr>
          <w:rFonts w:ascii="Arial" w:hAnsi="Arial" w:cs="Arial"/>
          <w:sz w:val="22"/>
          <w:szCs w:val="22"/>
          <w:lang w:eastAsia="zh-CN"/>
        </w:rPr>
      </w:pPr>
    </w:p>
    <w:p w14:paraId="3937E46A" w14:textId="0025FDB5" w:rsidR="00CD27CC" w:rsidRPr="00E52633" w:rsidRDefault="00CD27CC" w:rsidP="000A17BC">
      <w:pPr>
        <w:spacing w:line="360" w:lineRule="auto"/>
        <w:rPr>
          <w:rFonts w:ascii="Arial" w:hAnsi="Arial" w:cs="Arial"/>
          <w:b/>
          <w:bCs/>
          <w:sz w:val="28"/>
          <w:szCs w:val="28"/>
          <w:lang w:eastAsia="zh-CN"/>
        </w:rPr>
      </w:pPr>
      <w:r w:rsidRPr="00E52633">
        <w:rPr>
          <w:rFonts w:ascii="Arial" w:hAnsi="Arial" w:cs="Arial"/>
          <w:b/>
          <w:bCs/>
          <w:sz w:val="28"/>
          <w:szCs w:val="28"/>
          <w:lang w:eastAsia="zh-CN"/>
        </w:rPr>
        <w:t>Policy Implication:</w:t>
      </w:r>
    </w:p>
    <w:p w14:paraId="4C82AE71" w14:textId="520ECB78" w:rsidR="00CD27CC" w:rsidRPr="00317206" w:rsidRDefault="00CD27CC" w:rsidP="00317206">
      <w:pPr>
        <w:spacing w:line="360" w:lineRule="auto"/>
        <w:rPr>
          <w:rFonts w:ascii="Arial" w:hAnsi="Arial" w:cs="Arial"/>
          <w:sz w:val="22"/>
          <w:szCs w:val="22"/>
        </w:rPr>
      </w:pPr>
      <w:r w:rsidRPr="00317206">
        <w:rPr>
          <w:rFonts w:ascii="Arial" w:hAnsi="Arial" w:cs="Arial"/>
          <w:sz w:val="22"/>
          <w:szCs w:val="22"/>
          <w:lang w:eastAsia="zh-CN"/>
        </w:rPr>
        <w:t>Policy implications flow directly from</w:t>
      </w:r>
      <w:r w:rsidR="005B1169" w:rsidRPr="00317206">
        <w:rPr>
          <w:rFonts w:ascii="Arial" w:hAnsi="Arial" w:cs="Arial"/>
          <w:sz w:val="22"/>
          <w:szCs w:val="22"/>
          <w:lang w:eastAsia="zh-CN"/>
        </w:rPr>
        <w:t xml:space="preserve"> this theme.  If risk factors are socially patterned, then generic lifestyle advice may be insufficient.  Advising adults to lose weight, exercise more and eat better is not wrong, but it may be inadequate where health food is expensive, safe exercise space is limited, work is insecure, and services are not culturally responsive</w:t>
      </w:r>
      <w:r w:rsidR="00317206" w:rsidRPr="00317206">
        <w:rPr>
          <w:rFonts w:ascii="Arial" w:hAnsi="Arial" w:cs="Arial"/>
          <w:sz w:val="22"/>
          <w:szCs w:val="22"/>
          <w:lang w:eastAsia="zh-CN"/>
        </w:rPr>
        <w:t xml:space="preserve"> </w:t>
      </w:r>
      <w:r w:rsidR="00317206" w:rsidRPr="00317206">
        <w:rPr>
          <w:rFonts w:ascii="Arial" w:hAnsi="Arial" w:cs="Arial"/>
          <w:color w:val="000000"/>
          <w:sz w:val="22"/>
          <w:szCs w:val="22"/>
        </w:rPr>
        <w:t>(Ahmed and Mohammed, 2025)</w:t>
      </w:r>
      <w:r w:rsidR="005B1169" w:rsidRPr="00317206">
        <w:rPr>
          <w:rFonts w:ascii="Arial" w:hAnsi="Arial" w:cs="Arial"/>
          <w:sz w:val="22"/>
          <w:szCs w:val="22"/>
          <w:lang w:eastAsia="zh-CN"/>
        </w:rPr>
        <w:t>.  A major weakness in some interventions is that they assume the problem is lack of information when the actual problem may be lack of feasible options.  This helps explain why uptake and adherence to prevention support can be lower in some higher-risk groups.</w:t>
      </w:r>
    </w:p>
    <w:p w14:paraId="28F62ED5" w14:textId="77777777" w:rsidR="00CD27CC" w:rsidRPr="00ED0EE0" w:rsidRDefault="00CD27CC" w:rsidP="000A17BC">
      <w:pPr>
        <w:spacing w:line="360" w:lineRule="auto"/>
        <w:rPr>
          <w:rFonts w:ascii="Arial" w:hAnsi="Arial" w:cs="Arial"/>
          <w:sz w:val="22"/>
          <w:szCs w:val="22"/>
          <w:lang w:eastAsia="zh-CN"/>
        </w:rPr>
      </w:pPr>
    </w:p>
    <w:p w14:paraId="51D56D53" w14:textId="063434A3" w:rsidR="00ED0EE0" w:rsidRPr="00E52633" w:rsidRDefault="001C34F5" w:rsidP="00ED0EE0">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Examples from Articles</w:t>
      </w:r>
      <w:r w:rsidR="00ED0EE0" w:rsidRPr="00E52633">
        <w:rPr>
          <w:rFonts w:ascii="Arial" w:hAnsi="Arial" w:cs="Arial"/>
          <w:b/>
          <w:bCs/>
          <w:i w:val="0"/>
          <w:iCs w:val="0"/>
          <w:color w:val="000000" w:themeColor="text1"/>
          <w:sz w:val="28"/>
          <w:szCs w:val="28"/>
        </w:rPr>
        <w:t>:</w:t>
      </w:r>
    </w:p>
    <w:p w14:paraId="347FC724" w14:textId="7307E010" w:rsidR="00484BB7" w:rsidRPr="00317206" w:rsidRDefault="00484BB7" w:rsidP="00317206">
      <w:pPr>
        <w:spacing w:line="360" w:lineRule="auto"/>
        <w:rPr>
          <w:rFonts w:ascii="Arial" w:hAnsi="Arial" w:cs="Arial"/>
          <w:sz w:val="22"/>
          <w:szCs w:val="22"/>
        </w:rPr>
      </w:pPr>
      <w:r w:rsidRPr="00317206">
        <w:rPr>
          <w:rFonts w:ascii="Arial" w:hAnsi="Arial" w:cs="Arial"/>
          <w:sz w:val="22"/>
          <w:szCs w:val="22"/>
          <w:lang w:eastAsia="zh-CN"/>
        </w:rPr>
        <w:t>Examples from the reviewed studies reinforce these points.  Reed, Bain and Kanamarlapudi identify T2DM as a multifactorial disease involving both modifiable and non-modifiable risks.  Goff’s UK-focused work on ethnicity and type 2 diabetes highlights the much higher prevalence and earlier onset seen in minority ethnic communities.  More recent UK evidence from Birmingham shows the combined effect of deprivation and ethnicity on local diabetes risk</w:t>
      </w:r>
      <w:r w:rsidR="00317206" w:rsidRPr="00317206">
        <w:rPr>
          <w:rFonts w:ascii="Arial" w:hAnsi="Arial" w:cs="Arial"/>
          <w:sz w:val="22"/>
          <w:szCs w:val="22"/>
          <w:lang w:eastAsia="zh-CN"/>
        </w:rPr>
        <w:t xml:space="preserve"> </w:t>
      </w:r>
      <w:r w:rsidR="00317206" w:rsidRPr="00317206">
        <w:rPr>
          <w:rFonts w:ascii="Arial" w:hAnsi="Arial" w:cs="Arial"/>
          <w:color w:val="000000"/>
          <w:sz w:val="22"/>
          <w:szCs w:val="22"/>
        </w:rPr>
        <w:t>(Au-Yeung et al., 2024)</w:t>
      </w:r>
      <w:r w:rsidRPr="00317206">
        <w:rPr>
          <w:rFonts w:ascii="Arial" w:hAnsi="Arial" w:cs="Arial"/>
          <w:sz w:val="22"/>
          <w:szCs w:val="22"/>
          <w:lang w:eastAsia="zh-CN"/>
        </w:rPr>
        <w:t>.  Together, these studies agree that obesity, inactivity and ethnicity matter, but they differ in emphasis: biomedical work tends to foreground mechanism</w:t>
      </w:r>
      <w:r w:rsidR="00CA4AA2" w:rsidRPr="00317206">
        <w:rPr>
          <w:rFonts w:ascii="Arial" w:hAnsi="Arial" w:cs="Arial"/>
          <w:sz w:val="22"/>
          <w:szCs w:val="22"/>
          <w:lang w:eastAsia="zh-CN"/>
        </w:rPr>
        <w:t>, while public health studies focus more directly on inequality and access.  That contrast is useful rather than problematic because it shows that T2DM risk needs to be interpreted across multiple levels.</w:t>
      </w:r>
      <w:r w:rsidRPr="00317206">
        <w:rPr>
          <w:rFonts w:ascii="Arial" w:hAnsi="Arial" w:cs="Arial"/>
          <w:sz w:val="22"/>
          <w:szCs w:val="22"/>
          <w:lang w:eastAsia="zh-CN"/>
        </w:rPr>
        <w:t xml:space="preserve"> </w:t>
      </w:r>
    </w:p>
    <w:p w14:paraId="70A55E39" w14:textId="759E1C92" w:rsidR="005B1169" w:rsidRPr="00E52633" w:rsidRDefault="005B1169" w:rsidP="00CA4AA2">
      <w:pPr>
        <w:spacing w:before="100" w:beforeAutospacing="1" w:after="100" w:afterAutospacing="1" w:line="360" w:lineRule="auto"/>
        <w:rPr>
          <w:rFonts w:ascii="Arial" w:hAnsi="Arial" w:cs="Arial"/>
          <w:sz w:val="28"/>
          <w:szCs w:val="28"/>
        </w:rPr>
      </w:pPr>
      <w:r w:rsidRPr="00E52633">
        <w:rPr>
          <w:rStyle w:val="Strong"/>
          <w:rFonts w:ascii="Arial" w:hAnsi="Arial" w:cs="Arial"/>
          <w:sz w:val="28"/>
          <w:szCs w:val="28"/>
        </w:rPr>
        <w:t>Implications:</w:t>
      </w:r>
    </w:p>
    <w:p w14:paraId="72A9B335" w14:textId="2026B21D" w:rsidR="005971DA" w:rsidRPr="003E495D" w:rsidRDefault="00CA4AA2" w:rsidP="003E495D">
      <w:pPr>
        <w:spacing w:before="100" w:beforeAutospacing="1" w:after="100" w:afterAutospacing="1" w:line="360" w:lineRule="auto"/>
        <w:rPr>
          <w:rFonts w:ascii="Arial" w:hAnsi="Arial" w:cs="Arial"/>
          <w:sz w:val="22"/>
          <w:szCs w:val="22"/>
        </w:rPr>
      </w:pPr>
      <w:r>
        <w:rPr>
          <w:rFonts w:ascii="Arial" w:hAnsi="Arial" w:cs="Arial"/>
          <w:sz w:val="22"/>
          <w:szCs w:val="22"/>
        </w:rPr>
        <w:t xml:space="preserve">The implications are again both positive and negative.  Positively, many risk factors are modifiable in theory, meaning prevention remains genuinely possible.  Negatively, modifiability does not equal ease.   Without accounting for </w:t>
      </w:r>
      <w:r w:rsidR="005971DA">
        <w:rPr>
          <w:rFonts w:ascii="Arial" w:hAnsi="Arial" w:cs="Arial"/>
          <w:sz w:val="22"/>
          <w:szCs w:val="22"/>
        </w:rPr>
        <w:t>deprivation, cultural context and access barriers, prevention strategies may disproportionately benefit those who already have greater resources and flexibility, thereby widening rather than narrowing inequalities.  This theme therefore links strongly to Theme 1, because unequal exposure to risk helps explain growing prevalence, and to Theme 3, because management and prevention strategies are only likely to succeed if they are realistic within people’s lived circumstances.</w:t>
      </w:r>
    </w:p>
    <w:p w14:paraId="093C1893" w14:textId="1B370D61" w:rsidR="001C34F5" w:rsidRPr="00E52633" w:rsidRDefault="001C34F5" w:rsidP="001C34F5">
      <w:pPr>
        <w:pStyle w:val="Heading2"/>
        <w:rPr>
          <w:rFonts w:ascii="Arial" w:hAnsi="Arial" w:cs="Arial"/>
          <w:b/>
          <w:bCs/>
          <w:color w:val="000000" w:themeColor="text1"/>
          <w:sz w:val="32"/>
          <w:szCs w:val="32"/>
        </w:rPr>
      </w:pPr>
      <w:r w:rsidRPr="00E52633">
        <w:rPr>
          <w:rFonts w:ascii="Arial" w:hAnsi="Arial" w:cs="Arial"/>
          <w:b/>
          <w:bCs/>
          <w:color w:val="000000" w:themeColor="text1"/>
          <w:sz w:val="32"/>
          <w:szCs w:val="32"/>
        </w:rPr>
        <w:lastRenderedPageBreak/>
        <w:t>4.5 – Theme 3 (</w:t>
      </w:r>
      <w:r w:rsidR="005971DA" w:rsidRPr="00E52633">
        <w:rPr>
          <w:rFonts w:ascii="Arial" w:hAnsi="Arial" w:cs="Arial"/>
          <w:b/>
          <w:bCs/>
          <w:color w:val="000000" w:themeColor="text1"/>
          <w:sz w:val="32"/>
          <w:szCs w:val="32"/>
        </w:rPr>
        <w:t>Management and Prevention Strategies)</w:t>
      </w:r>
      <w:r w:rsidRPr="00E52633">
        <w:rPr>
          <w:rFonts w:ascii="Arial" w:hAnsi="Arial" w:cs="Arial"/>
          <w:b/>
          <w:bCs/>
          <w:color w:val="000000" w:themeColor="text1"/>
          <w:sz w:val="32"/>
          <w:szCs w:val="32"/>
        </w:rPr>
        <w:t xml:space="preserve"> </w:t>
      </w:r>
    </w:p>
    <w:p w14:paraId="4B016F2F" w14:textId="6C401ADA" w:rsidR="001C34F5" w:rsidRPr="00E52633" w:rsidRDefault="001C34F5" w:rsidP="005971DA">
      <w:pPr>
        <w:spacing w:before="100" w:beforeAutospacing="1" w:after="100" w:afterAutospacing="1" w:line="360" w:lineRule="auto"/>
        <w:rPr>
          <w:rStyle w:val="Strong"/>
          <w:rFonts w:ascii="Arial" w:hAnsi="Arial" w:cs="Arial"/>
          <w:sz w:val="28"/>
          <w:szCs w:val="28"/>
        </w:rPr>
      </w:pPr>
      <w:r w:rsidRPr="00E52633">
        <w:rPr>
          <w:rStyle w:val="Strong"/>
          <w:rFonts w:ascii="Arial" w:hAnsi="Arial" w:cs="Arial"/>
          <w:sz w:val="28"/>
          <w:szCs w:val="28"/>
        </w:rPr>
        <w:t>Definition:</w:t>
      </w:r>
    </w:p>
    <w:p w14:paraId="7253044B" w14:textId="300252A7" w:rsidR="005971DA" w:rsidRDefault="005971DA" w:rsidP="00F5644A">
      <w:pPr>
        <w:spacing w:line="360" w:lineRule="auto"/>
        <w:rPr>
          <w:rStyle w:val="Strong"/>
          <w:rFonts w:ascii="Arial" w:hAnsi="Arial" w:cs="Arial"/>
          <w:b w:val="0"/>
          <w:bCs w:val="0"/>
          <w:sz w:val="22"/>
          <w:szCs w:val="22"/>
        </w:rPr>
      </w:pPr>
      <w:r w:rsidRPr="00F5644A">
        <w:rPr>
          <w:rStyle w:val="Strong"/>
          <w:rFonts w:ascii="Arial" w:hAnsi="Arial" w:cs="Arial"/>
          <w:b w:val="0"/>
          <w:bCs w:val="0"/>
          <w:sz w:val="22"/>
          <w:szCs w:val="22"/>
        </w:rPr>
        <w:t>The third theme identified through the literature concerns current management and prevention strategies for T2DM in UK adults.  Management refers to the interventions used after diagnosis to control blood glucose, reduce complications and support long-term self-care.  Prevention refers to measures used to reduce progression from risk states, such as obesity or non-diabetic hyperglycaemia, into diagnosed T2DM</w:t>
      </w:r>
      <w:r w:rsidR="00F5644A" w:rsidRPr="00F5644A">
        <w:rPr>
          <w:rStyle w:val="Strong"/>
          <w:rFonts w:ascii="Arial" w:hAnsi="Arial" w:cs="Arial"/>
          <w:b w:val="0"/>
          <w:bCs w:val="0"/>
          <w:sz w:val="22"/>
          <w:szCs w:val="22"/>
        </w:rPr>
        <w:t xml:space="preserve"> </w:t>
      </w:r>
      <w:r w:rsidR="00F5644A" w:rsidRPr="00F5644A">
        <w:rPr>
          <w:rFonts w:ascii="Arial" w:hAnsi="Arial" w:cs="Arial"/>
          <w:color w:val="000000"/>
          <w:sz w:val="22"/>
          <w:szCs w:val="22"/>
        </w:rPr>
        <w:t>(Woodward et al., 2024)</w:t>
      </w:r>
      <w:r w:rsidRPr="00F5644A">
        <w:rPr>
          <w:rStyle w:val="Strong"/>
          <w:rFonts w:ascii="Arial" w:hAnsi="Arial" w:cs="Arial"/>
          <w:b w:val="0"/>
          <w:bCs w:val="0"/>
          <w:sz w:val="22"/>
          <w:szCs w:val="22"/>
        </w:rPr>
        <w:t>.  This theme is crucial to the dissertation because investigating prevalence and risk factors alone would be incomplete without considering how effectively the condition is being addressed in policy and practice.</w:t>
      </w:r>
    </w:p>
    <w:p w14:paraId="6429991F" w14:textId="77777777" w:rsidR="00F5644A" w:rsidRPr="00F5644A" w:rsidRDefault="00F5644A" w:rsidP="00F5644A">
      <w:pPr>
        <w:spacing w:line="360" w:lineRule="auto"/>
        <w:rPr>
          <w:rFonts w:ascii="Arial" w:hAnsi="Arial" w:cs="Arial"/>
          <w:sz w:val="22"/>
          <w:szCs w:val="22"/>
        </w:rPr>
      </w:pPr>
    </w:p>
    <w:p w14:paraId="5BCEA90C" w14:textId="7B2F2D9E" w:rsidR="005971DA" w:rsidRPr="00B0758B" w:rsidRDefault="00B0758B" w:rsidP="001C34F5">
      <w:pPr>
        <w:pStyle w:val="Heading4"/>
        <w:rPr>
          <w:rFonts w:ascii="Arial" w:hAnsi="Arial" w:cs="Arial"/>
          <w:b/>
          <w:bCs/>
          <w:i w:val="0"/>
          <w:iCs w:val="0"/>
          <w:color w:val="000000" w:themeColor="text1"/>
          <w:sz w:val="28"/>
          <w:szCs w:val="28"/>
        </w:rPr>
      </w:pPr>
      <w:r w:rsidRPr="00B0758B">
        <w:rPr>
          <w:rFonts w:ascii="Arial" w:hAnsi="Arial" w:cs="Arial"/>
          <w:b/>
          <w:bCs/>
          <w:i w:val="0"/>
          <w:iCs w:val="0"/>
          <w:color w:val="000000" w:themeColor="text1"/>
          <w:sz w:val="28"/>
          <w:szCs w:val="28"/>
        </w:rPr>
        <w:t>Background Information:</w:t>
      </w:r>
    </w:p>
    <w:p w14:paraId="0CB68654" w14:textId="79BE732F" w:rsidR="004D0A69" w:rsidRPr="00EE1271" w:rsidRDefault="004D0A69" w:rsidP="00EE1271">
      <w:pPr>
        <w:spacing w:line="360" w:lineRule="auto"/>
        <w:rPr>
          <w:rFonts w:ascii="Arial" w:hAnsi="Arial" w:cs="Arial"/>
          <w:sz w:val="22"/>
          <w:szCs w:val="22"/>
        </w:rPr>
      </w:pPr>
      <w:r w:rsidRPr="00EE1271">
        <w:rPr>
          <w:rFonts w:ascii="Arial" w:hAnsi="Arial" w:cs="Arial"/>
          <w:sz w:val="22"/>
          <w:szCs w:val="22"/>
          <w:lang w:eastAsia="zh-CN"/>
        </w:rPr>
        <w:t>A major strength of the UK response is that guidance is relatively well developed.  NICE guidelines NG28 covers care and management for adults with type 2 diabetes, including structured education, dietary advice, blood glucose management, cardiovascular risk reduction and monitoring for complications</w:t>
      </w:r>
      <w:r w:rsidR="00EE1271" w:rsidRPr="00EE1271">
        <w:rPr>
          <w:rFonts w:ascii="Arial" w:hAnsi="Arial" w:cs="Arial"/>
          <w:sz w:val="22"/>
          <w:szCs w:val="22"/>
          <w:lang w:eastAsia="zh-CN"/>
        </w:rPr>
        <w:t xml:space="preserve"> </w:t>
      </w:r>
      <w:r w:rsidR="00EE1271" w:rsidRPr="00EE1271">
        <w:rPr>
          <w:rFonts w:ascii="Arial" w:hAnsi="Arial" w:cs="Arial"/>
          <w:color w:val="000000"/>
          <w:sz w:val="22"/>
          <w:szCs w:val="22"/>
        </w:rPr>
        <w:t>(NICE, 2025)</w:t>
      </w:r>
      <w:r w:rsidRPr="00EE1271">
        <w:rPr>
          <w:rFonts w:ascii="Arial" w:hAnsi="Arial" w:cs="Arial"/>
          <w:sz w:val="22"/>
          <w:szCs w:val="22"/>
          <w:lang w:eastAsia="zh-CN"/>
        </w:rPr>
        <w:t>.  The guideline was updated 18 February 2026, showing that it remains active and responsive to evolving evidence.  NICE’s recent surveillance also</w:t>
      </w:r>
      <w:r w:rsidR="006D2AFC" w:rsidRPr="00EE1271">
        <w:rPr>
          <w:rFonts w:ascii="Arial" w:hAnsi="Arial" w:cs="Arial"/>
          <w:sz w:val="22"/>
          <w:szCs w:val="22"/>
          <w:lang w:eastAsia="zh-CN"/>
        </w:rPr>
        <w:t xml:space="preserve"> identified evidence relating to dietary interventions, including low-calorie approaches and time-restricted eating, and indicated further guideline updating in connection with obesity guidance.  This demonstrates that T2DM management is no longer viewed only through a medicine lens but increasingly through broader metabolic and behavioural approaches</w:t>
      </w:r>
      <w:r w:rsidR="00EE1271" w:rsidRPr="00EE1271">
        <w:rPr>
          <w:rFonts w:ascii="Arial" w:hAnsi="Arial" w:cs="Arial"/>
          <w:sz w:val="22"/>
          <w:szCs w:val="22"/>
          <w:lang w:eastAsia="zh-CN"/>
        </w:rPr>
        <w:t xml:space="preserve"> (NICE, 2025)</w:t>
      </w:r>
      <w:r w:rsidR="006D2AFC" w:rsidRPr="00EE1271">
        <w:rPr>
          <w:rFonts w:ascii="Arial" w:hAnsi="Arial" w:cs="Arial"/>
          <w:sz w:val="22"/>
          <w:szCs w:val="22"/>
          <w:lang w:eastAsia="zh-CN"/>
        </w:rPr>
        <w:t>.</w:t>
      </w:r>
    </w:p>
    <w:p w14:paraId="4B935AFF" w14:textId="707C1F5F" w:rsidR="006D2AFC" w:rsidRDefault="006D2AFC" w:rsidP="004D0A69">
      <w:pPr>
        <w:spacing w:line="360" w:lineRule="auto"/>
        <w:rPr>
          <w:rFonts w:ascii="Arial" w:hAnsi="Arial" w:cs="Arial"/>
          <w:sz w:val="22"/>
          <w:szCs w:val="22"/>
          <w:lang w:eastAsia="zh-CN"/>
        </w:rPr>
      </w:pPr>
    </w:p>
    <w:p w14:paraId="64CC73E0" w14:textId="47871AD0" w:rsidR="00B37CBB" w:rsidRPr="00B37CBB" w:rsidRDefault="00E024C5" w:rsidP="004D0A69">
      <w:pPr>
        <w:spacing w:line="360" w:lineRule="auto"/>
        <w:rPr>
          <w:rFonts w:ascii="Arial" w:hAnsi="Arial" w:cs="Arial"/>
          <w:b/>
          <w:bCs/>
          <w:sz w:val="28"/>
          <w:szCs w:val="28"/>
          <w:lang w:eastAsia="zh-CN"/>
        </w:rPr>
      </w:pPr>
      <w:r>
        <w:rPr>
          <w:rFonts w:ascii="Arial" w:hAnsi="Arial" w:cs="Arial"/>
          <w:b/>
          <w:bCs/>
          <w:sz w:val="28"/>
          <w:szCs w:val="28"/>
          <w:lang w:eastAsia="zh-CN"/>
        </w:rPr>
        <w:t>Impact on Research Question:</w:t>
      </w:r>
    </w:p>
    <w:p w14:paraId="109FFE77" w14:textId="2F50D673" w:rsidR="006D2AFC" w:rsidRPr="00746829" w:rsidRDefault="006D2AFC" w:rsidP="00746829">
      <w:pPr>
        <w:spacing w:line="360" w:lineRule="auto"/>
        <w:rPr>
          <w:rFonts w:ascii="Arial" w:hAnsi="Arial" w:cs="Arial"/>
          <w:sz w:val="22"/>
          <w:szCs w:val="22"/>
        </w:rPr>
      </w:pPr>
      <w:r w:rsidRPr="00746829">
        <w:rPr>
          <w:rFonts w:ascii="Arial" w:hAnsi="Arial" w:cs="Arial"/>
          <w:sz w:val="22"/>
          <w:szCs w:val="22"/>
          <w:lang w:eastAsia="zh-CN"/>
        </w:rPr>
        <w:t xml:space="preserve">At prevention level, the Healthier You NHS Diabetes Prevention Programme is central.  NHS England states that it identifies people at risk of developing T2DM and refers them to a nine-month evidence-based lifestyle change programme, available in face-to-face and digital formats.  The same source reports that the programme reduces new diagnoses and cuts the risk of developing T2DM </w:t>
      </w:r>
      <w:r w:rsidR="00E32380" w:rsidRPr="00746829">
        <w:rPr>
          <w:rFonts w:ascii="Arial" w:hAnsi="Arial" w:cs="Arial"/>
          <w:sz w:val="22"/>
          <w:szCs w:val="22"/>
          <w:lang w:eastAsia="zh-CN"/>
        </w:rPr>
        <w:t>by more than one third for people who completed it.  In December 2025, NHS England also reported that nearly one million people in England had started the prevention scheme.  These figures suggest that the programme has achieved substantial reach and is one of the most visible national prevention responses currently in place</w:t>
      </w:r>
      <w:r w:rsidR="00746829" w:rsidRPr="00746829">
        <w:rPr>
          <w:rFonts w:ascii="Arial" w:hAnsi="Arial" w:cs="Arial"/>
          <w:sz w:val="22"/>
          <w:szCs w:val="22"/>
          <w:lang w:eastAsia="zh-CN"/>
        </w:rPr>
        <w:t xml:space="preserve"> </w:t>
      </w:r>
      <w:r w:rsidR="00746829" w:rsidRPr="00746829">
        <w:rPr>
          <w:rFonts w:ascii="Arial" w:hAnsi="Arial" w:cs="Arial"/>
          <w:color w:val="000000"/>
          <w:sz w:val="22"/>
          <w:szCs w:val="22"/>
        </w:rPr>
        <w:t>(NHS England, 2023)</w:t>
      </w:r>
      <w:r w:rsidR="00E32380" w:rsidRPr="00746829">
        <w:rPr>
          <w:rFonts w:ascii="Arial" w:hAnsi="Arial" w:cs="Arial"/>
          <w:sz w:val="22"/>
          <w:szCs w:val="22"/>
          <w:lang w:eastAsia="zh-CN"/>
        </w:rPr>
        <w:t>.</w:t>
      </w:r>
    </w:p>
    <w:p w14:paraId="654708C8" w14:textId="7128DDEF" w:rsidR="00E32380" w:rsidRDefault="00E32380" w:rsidP="004D0A69">
      <w:pPr>
        <w:spacing w:line="360" w:lineRule="auto"/>
        <w:rPr>
          <w:rFonts w:ascii="Arial" w:hAnsi="Arial" w:cs="Arial"/>
          <w:sz w:val="22"/>
          <w:szCs w:val="22"/>
          <w:lang w:eastAsia="zh-CN"/>
        </w:rPr>
      </w:pPr>
    </w:p>
    <w:p w14:paraId="47D70EA3" w14:textId="74DCB8D6" w:rsidR="00E32380" w:rsidRPr="00317206" w:rsidRDefault="00E32380" w:rsidP="00317206">
      <w:pPr>
        <w:spacing w:line="360" w:lineRule="auto"/>
        <w:rPr>
          <w:rFonts w:ascii="Arial" w:hAnsi="Arial" w:cs="Arial"/>
          <w:sz w:val="22"/>
          <w:szCs w:val="22"/>
        </w:rPr>
      </w:pPr>
      <w:r w:rsidRPr="00317206">
        <w:rPr>
          <w:rFonts w:ascii="Arial" w:hAnsi="Arial" w:cs="Arial"/>
          <w:sz w:val="22"/>
          <w:szCs w:val="22"/>
          <w:lang w:eastAsia="zh-CN"/>
        </w:rPr>
        <w:lastRenderedPageBreak/>
        <w:t>Lifestyle intervention emerged across the literature as the cornerstone of both prevention and management.  Weight reduction, healthier diet and increased physical activity are consistently associated with improved glycaemic control and lower risk of progression from pre-diabetes to T2DM</w:t>
      </w:r>
      <w:r w:rsidR="00317206" w:rsidRPr="00317206">
        <w:rPr>
          <w:rFonts w:ascii="Arial" w:hAnsi="Arial" w:cs="Arial"/>
          <w:sz w:val="22"/>
          <w:szCs w:val="22"/>
          <w:lang w:eastAsia="zh-CN"/>
        </w:rPr>
        <w:t xml:space="preserve"> </w:t>
      </w:r>
      <w:r w:rsidR="00317206" w:rsidRPr="00317206">
        <w:rPr>
          <w:rFonts w:ascii="Arial" w:hAnsi="Arial" w:cs="Arial"/>
          <w:color w:val="000000"/>
          <w:sz w:val="22"/>
          <w:szCs w:val="22"/>
        </w:rPr>
        <w:t>(Syeda et al., 2023)</w:t>
      </w:r>
      <w:r w:rsidRPr="00317206">
        <w:rPr>
          <w:rFonts w:ascii="Arial" w:hAnsi="Arial" w:cs="Arial"/>
          <w:sz w:val="22"/>
          <w:szCs w:val="22"/>
          <w:lang w:eastAsia="zh-CN"/>
        </w:rPr>
        <w:t>.  This is not just policy rhetoric; it is evidence-based.  NHS England’s type 2 Diabetes Path to Remission Programme, which is based on trials such as DiRECT, reflects growing recognition that substantial weight loss can produce remission in some adults, especially in the earlier years after diagnosis.  NHS England states that in the DiRECT trial, almost half of participants on a low-calorie diet achieved remission after one year, and 86% of those who lost 15kg or more achieved remission.</w:t>
      </w:r>
    </w:p>
    <w:p w14:paraId="4EE70A0E" w14:textId="1079AB8E" w:rsidR="00E024C5" w:rsidRPr="00E024C5" w:rsidRDefault="00E024C5" w:rsidP="004D0A69">
      <w:pPr>
        <w:spacing w:line="360" w:lineRule="auto"/>
        <w:rPr>
          <w:rFonts w:ascii="Arial" w:hAnsi="Arial" w:cs="Arial"/>
          <w:b/>
          <w:bCs/>
          <w:sz w:val="28"/>
          <w:szCs w:val="28"/>
          <w:lang w:eastAsia="zh-CN"/>
        </w:rPr>
      </w:pPr>
    </w:p>
    <w:p w14:paraId="26B732B7" w14:textId="5E2868FC" w:rsidR="00E024C5" w:rsidRPr="00E024C5" w:rsidRDefault="00E024C5" w:rsidP="004D0A69">
      <w:pPr>
        <w:spacing w:line="360" w:lineRule="auto"/>
        <w:rPr>
          <w:rFonts w:ascii="Arial" w:hAnsi="Arial" w:cs="Arial"/>
          <w:b/>
          <w:bCs/>
          <w:sz w:val="28"/>
          <w:szCs w:val="28"/>
          <w:lang w:eastAsia="zh-CN"/>
        </w:rPr>
      </w:pPr>
      <w:r w:rsidRPr="00E024C5">
        <w:rPr>
          <w:rFonts w:ascii="Arial" w:hAnsi="Arial" w:cs="Arial"/>
          <w:b/>
          <w:bCs/>
          <w:sz w:val="28"/>
          <w:szCs w:val="28"/>
          <w:lang w:eastAsia="zh-CN"/>
        </w:rPr>
        <w:t>Statistical Information:</w:t>
      </w:r>
    </w:p>
    <w:p w14:paraId="37009A22" w14:textId="227F13B6" w:rsidR="00E32380" w:rsidRDefault="00E32380" w:rsidP="004D0A69">
      <w:pPr>
        <w:spacing w:line="360" w:lineRule="auto"/>
        <w:rPr>
          <w:rFonts w:ascii="Arial" w:hAnsi="Arial" w:cs="Arial"/>
          <w:sz w:val="22"/>
          <w:szCs w:val="22"/>
          <w:lang w:eastAsia="zh-CN"/>
        </w:rPr>
      </w:pPr>
      <w:r>
        <w:rPr>
          <w:rFonts w:ascii="Arial" w:hAnsi="Arial" w:cs="Arial"/>
          <w:sz w:val="22"/>
          <w:szCs w:val="22"/>
          <w:lang w:eastAsia="zh-CN"/>
        </w:rPr>
        <w:t>This is a genuinely important shift in the literature because it challenges the older assumption</w:t>
      </w:r>
      <w:r w:rsidR="000D0325">
        <w:rPr>
          <w:rFonts w:ascii="Arial" w:hAnsi="Arial" w:cs="Arial"/>
          <w:sz w:val="22"/>
          <w:szCs w:val="22"/>
          <w:lang w:eastAsia="zh-CN"/>
        </w:rPr>
        <w:t xml:space="preserve"> that T2DM is always inevitably progressive.  The 2024 five-year follow-up of DiRECT further suggested that long-term remission is possible when sufficient weight loss is achieved and maintained.  However, this evidence also needs careful interpretation.  Remission programmes are promising, but they are demanding, </w:t>
      </w:r>
      <w:r w:rsidR="00DA139E">
        <w:rPr>
          <w:rFonts w:ascii="Arial" w:hAnsi="Arial" w:cs="Arial"/>
          <w:sz w:val="22"/>
          <w:szCs w:val="22"/>
          <w:lang w:eastAsia="zh-CN"/>
        </w:rPr>
        <w:t>ma</w:t>
      </w:r>
      <w:r w:rsidR="000D0325">
        <w:rPr>
          <w:rFonts w:ascii="Arial" w:hAnsi="Arial" w:cs="Arial"/>
          <w:sz w:val="22"/>
          <w:szCs w:val="22"/>
          <w:lang w:eastAsia="zh-CN"/>
        </w:rPr>
        <w:t xml:space="preserve">y not be sustainable for everyone, and can be harder to complete for people facing deprivation, unstable routines or competing life pressures. </w:t>
      </w:r>
      <w:r w:rsidR="00AE66D7">
        <w:rPr>
          <w:rFonts w:ascii="Arial" w:hAnsi="Arial" w:cs="Arial"/>
          <w:sz w:val="22"/>
          <w:szCs w:val="22"/>
          <w:lang w:eastAsia="zh-CN"/>
        </w:rPr>
        <w:t>So,</w:t>
      </w:r>
      <w:r w:rsidR="000D0325">
        <w:rPr>
          <w:rFonts w:ascii="Arial" w:hAnsi="Arial" w:cs="Arial"/>
          <w:sz w:val="22"/>
          <w:szCs w:val="22"/>
          <w:lang w:eastAsia="zh-CN"/>
        </w:rPr>
        <w:t xml:space="preserve"> while remission evidence is exciting, it should not be oversold as a simple fix.  The better critical position is that remission is possible for some patients under some conditions, not guaranteed for all. </w:t>
      </w:r>
    </w:p>
    <w:p w14:paraId="0023ED43" w14:textId="7D51C308" w:rsidR="005C41EF" w:rsidRDefault="005C41EF" w:rsidP="004D0A69">
      <w:pPr>
        <w:spacing w:line="360" w:lineRule="auto"/>
        <w:rPr>
          <w:rFonts w:ascii="Arial" w:hAnsi="Arial" w:cs="Arial"/>
          <w:sz w:val="22"/>
          <w:szCs w:val="22"/>
          <w:lang w:eastAsia="zh-CN"/>
        </w:rPr>
      </w:pPr>
    </w:p>
    <w:p w14:paraId="44B403BE" w14:textId="61AC9547" w:rsidR="005C41EF" w:rsidRPr="005C41EF" w:rsidRDefault="005C41EF" w:rsidP="004D0A69">
      <w:pPr>
        <w:spacing w:line="360" w:lineRule="auto"/>
        <w:rPr>
          <w:rFonts w:ascii="Arial" w:hAnsi="Arial" w:cs="Arial"/>
          <w:b/>
          <w:bCs/>
          <w:sz w:val="28"/>
          <w:szCs w:val="28"/>
          <w:lang w:eastAsia="zh-CN"/>
        </w:rPr>
      </w:pPr>
      <w:r w:rsidRPr="005C41EF">
        <w:rPr>
          <w:rFonts w:ascii="Arial" w:hAnsi="Arial" w:cs="Arial"/>
          <w:b/>
          <w:bCs/>
          <w:sz w:val="28"/>
          <w:szCs w:val="28"/>
          <w:lang w:eastAsia="zh-CN"/>
        </w:rPr>
        <w:t>Theories, Policies and Legislation</w:t>
      </w:r>
      <w:r>
        <w:rPr>
          <w:rFonts w:ascii="Arial" w:hAnsi="Arial" w:cs="Arial"/>
          <w:b/>
          <w:bCs/>
          <w:sz w:val="28"/>
          <w:szCs w:val="28"/>
          <w:lang w:eastAsia="zh-CN"/>
        </w:rPr>
        <w:t>:</w:t>
      </w:r>
    </w:p>
    <w:p w14:paraId="205A4486" w14:textId="48CD9B59" w:rsidR="00990523" w:rsidRDefault="009D738E" w:rsidP="004D0A69">
      <w:pPr>
        <w:spacing w:line="360" w:lineRule="auto"/>
        <w:rPr>
          <w:rFonts w:ascii="Arial" w:hAnsi="Arial" w:cs="Arial"/>
          <w:sz w:val="22"/>
          <w:szCs w:val="22"/>
          <w:lang w:eastAsia="zh-CN"/>
        </w:rPr>
      </w:pPr>
      <w:r>
        <w:rPr>
          <w:rFonts w:ascii="Arial" w:hAnsi="Arial" w:cs="Arial"/>
          <w:sz w:val="22"/>
          <w:szCs w:val="22"/>
          <w:lang w:eastAsia="zh-CN"/>
        </w:rPr>
        <w:t>Pharmacological management remains another essential component.  NICE guidance continues to support structured medicine pathways, including first</w:t>
      </w:r>
      <w:r w:rsidR="00D26C76">
        <w:rPr>
          <w:rFonts w:ascii="Arial" w:hAnsi="Arial" w:cs="Arial"/>
          <w:sz w:val="22"/>
          <w:szCs w:val="22"/>
          <w:lang w:eastAsia="zh-CN"/>
        </w:rPr>
        <w:t xml:space="preserve"> </w:t>
      </w:r>
      <w:r>
        <w:rPr>
          <w:rFonts w:ascii="Arial" w:hAnsi="Arial" w:cs="Arial"/>
          <w:sz w:val="22"/>
          <w:szCs w:val="22"/>
          <w:lang w:eastAsia="zh-CN"/>
        </w:rPr>
        <w:t>line and further-line treatments, with emphasis on reviewing benefits, harms, adverse effects and patient preferences through shared decision-making.  The updated NICE visual summary specifically emphasises optimising treatment regimens and making decisions with the person rather than simply for them.  This person</w:t>
      </w:r>
      <w:r w:rsidR="00990523">
        <w:rPr>
          <w:rFonts w:ascii="Arial" w:hAnsi="Arial" w:cs="Arial"/>
          <w:sz w:val="22"/>
          <w:szCs w:val="22"/>
          <w:lang w:eastAsia="zh-CN"/>
        </w:rPr>
        <w:t>-</w:t>
      </w:r>
      <w:r>
        <w:rPr>
          <w:rFonts w:ascii="Arial" w:hAnsi="Arial" w:cs="Arial"/>
          <w:sz w:val="22"/>
          <w:szCs w:val="22"/>
          <w:lang w:eastAsia="zh-CN"/>
        </w:rPr>
        <w:t>centred approach matters because T2DM management is heavily dependent on everyday self-management outside the clinic</w:t>
      </w:r>
      <w:r w:rsidR="009A21F1">
        <w:rPr>
          <w:rFonts w:ascii="Arial" w:hAnsi="Arial" w:cs="Arial"/>
          <w:sz w:val="22"/>
          <w:szCs w:val="22"/>
          <w:lang w:eastAsia="zh-CN"/>
        </w:rPr>
        <w:t>, including medication adherence, diet, physical activity and follow-up attendance</w:t>
      </w:r>
      <w:r w:rsidR="00990523">
        <w:rPr>
          <w:rFonts w:ascii="Arial" w:hAnsi="Arial" w:cs="Arial"/>
          <w:sz w:val="22"/>
          <w:szCs w:val="22"/>
          <w:lang w:eastAsia="zh-CN"/>
        </w:rPr>
        <w:t>.</w:t>
      </w:r>
    </w:p>
    <w:p w14:paraId="61ED3665" w14:textId="644CA804" w:rsidR="00990523" w:rsidRDefault="00990523" w:rsidP="004D0A69">
      <w:pPr>
        <w:spacing w:line="360" w:lineRule="auto"/>
        <w:rPr>
          <w:rFonts w:ascii="Arial" w:hAnsi="Arial" w:cs="Arial"/>
          <w:sz w:val="22"/>
          <w:szCs w:val="22"/>
          <w:lang w:eastAsia="zh-CN"/>
        </w:rPr>
      </w:pPr>
    </w:p>
    <w:p w14:paraId="6BD68DCC" w14:textId="330149C0" w:rsidR="00990523" w:rsidRPr="00F60A5D" w:rsidRDefault="00990523" w:rsidP="00F60A5D">
      <w:pPr>
        <w:spacing w:line="360" w:lineRule="auto"/>
        <w:rPr>
          <w:rFonts w:ascii="Arial" w:hAnsi="Arial" w:cs="Arial"/>
          <w:sz w:val="22"/>
          <w:szCs w:val="22"/>
        </w:rPr>
      </w:pPr>
      <w:r w:rsidRPr="00F60A5D">
        <w:rPr>
          <w:rFonts w:ascii="Arial" w:hAnsi="Arial" w:cs="Arial"/>
          <w:sz w:val="22"/>
          <w:szCs w:val="22"/>
          <w:lang w:eastAsia="zh-CN"/>
        </w:rPr>
        <w:t>This is where self-management theory becomes especially relevant.  T2DM is one of those conditions where the bulk of care happens at home, not in hospital.  A patient may receive clinically sound advice, but outcomes still depend on whether that advice is practical, affordable and sustainable</w:t>
      </w:r>
      <w:r w:rsidR="0072240C" w:rsidRPr="00F60A5D">
        <w:rPr>
          <w:rFonts w:ascii="Arial" w:hAnsi="Arial" w:cs="Arial"/>
          <w:sz w:val="22"/>
          <w:szCs w:val="22"/>
          <w:lang w:eastAsia="zh-CN"/>
        </w:rPr>
        <w:t xml:space="preserve"> </w:t>
      </w:r>
      <w:r w:rsidR="0072240C" w:rsidRPr="00F60A5D">
        <w:rPr>
          <w:rFonts w:ascii="Arial" w:hAnsi="Arial" w:cs="Arial"/>
          <w:color w:val="000000"/>
          <w:sz w:val="22"/>
          <w:szCs w:val="22"/>
        </w:rPr>
        <w:t>(Lee et al., 2025)</w:t>
      </w:r>
      <w:r w:rsidRPr="00F60A5D">
        <w:rPr>
          <w:rFonts w:ascii="Arial" w:hAnsi="Arial" w:cs="Arial"/>
          <w:sz w:val="22"/>
          <w:szCs w:val="22"/>
          <w:lang w:eastAsia="zh-CN"/>
        </w:rPr>
        <w:t xml:space="preserve">.  Recent literature on self-management barriers shows that people experiencing socioeconomic deprivation face particular difficulties related </w:t>
      </w:r>
      <w:r w:rsidRPr="00F60A5D">
        <w:rPr>
          <w:rFonts w:ascii="Arial" w:hAnsi="Arial" w:cs="Arial"/>
          <w:sz w:val="22"/>
          <w:szCs w:val="22"/>
          <w:lang w:eastAsia="zh-CN"/>
        </w:rPr>
        <w:lastRenderedPageBreak/>
        <w:t>to finances, healthy food costs and service accessibility</w:t>
      </w:r>
      <w:r w:rsidR="0072240C" w:rsidRPr="00F60A5D">
        <w:rPr>
          <w:rFonts w:ascii="Arial" w:hAnsi="Arial" w:cs="Arial"/>
          <w:sz w:val="22"/>
          <w:szCs w:val="22"/>
          <w:lang w:eastAsia="zh-CN"/>
        </w:rPr>
        <w:t xml:space="preserve"> </w:t>
      </w:r>
      <w:r w:rsidR="0072240C" w:rsidRPr="00F60A5D">
        <w:rPr>
          <w:rFonts w:ascii="Arial" w:hAnsi="Arial" w:cs="Arial"/>
          <w:color w:val="000000"/>
          <w:sz w:val="22"/>
          <w:szCs w:val="22"/>
        </w:rPr>
        <w:t>(Woodward et al., 2024)</w:t>
      </w:r>
      <w:r w:rsidRPr="00F60A5D">
        <w:rPr>
          <w:rFonts w:ascii="Arial" w:hAnsi="Arial" w:cs="Arial"/>
          <w:sz w:val="22"/>
          <w:szCs w:val="22"/>
          <w:lang w:eastAsia="zh-CN"/>
        </w:rPr>
        <w:t>.  That matters because it means treatment success is not determined solely by clinical quality; it is also shaped by whether patients are supported to implement recommendations in real life.  This brings the discussion back to the wider inequality issues raised in Theme 2.</w:t>
      </w:r>
    </w:p>
    <w:p w14:paraId="52B4BDBB" w14:textId="7ADF99A1" w:rsidR="00990523" w:rsidRDefault="00990523" w:rsidP="004D0A69">
      <w:pPr>
        <w:spacing w:line="360" w:lineRule="auto"/>
        <w:rPr>
          <w:rFonts w:ascii="Arial" w:hAnsi="Arial" w:cs="Arial"/>
          <w:sz w:val="22"/>
          <w:szCs w:val="22"/>
          <w:lang w:eastAsia="zh-CN"/>
        </w:rPr>
      </w:pPr>
    </w:p>
    <w:p w14:paraId="6F15A880" w14:textId="0EE5AD26" w:rsidR="00990523" w:rsidRPr="00F76310" w:rsidRDefault="00990523" w:rsidP="00F76310">
      <w:pPr>
        <w:spacing w:line="360" w:lineRule="auto"/>
        <w:rPr>
          <w:rFonts w:ascii="Arial" w:hAnsi="Arial" w:cs="Arial"/>
          <w:sz w:val="22"/>
          <w:szCs w:val="22"/>
        </w:rPr>
      </w:pPr>
      <w:r w:rsidRPr="00F76310">
        <w:rPr>
          <w:rFonts w:ascii="Arial" w:hAnsi="Arial" w:cs="Arial"/>
          <w:sz w:val="22"/>
          <w:szCs w:val="22"/>
          <w:lang w:eastAsia="zh-CN"/>
        </w:rPr>
        <w:t>Early identification is another major part of prevention</w:t>
      </w:r>
      <w:r w:rsidR="00733719" w:rsidRPr="00F76310">
        <w:rPr>
          <w:rFonts w:ascii="Arial" w:hAnsi="Arial" w:cs="Arial"/>
          <w:sz w:val="22"/>
          <w:szCs w:val="22"/>
          <w:lang w:eastAsia="zh-CN"/>
        </w:rPr>
        <w:t>.  ONS analysis published in 2024 estimated that 7% of adults in England showed evidence of type 2 diabetes and that around 30% of those cases were undiagnosed, equating to roughly one million adults</w:t>
      </w:r>
      <w:r w:rsidR="00A03190" w:rsidRPr="00F76310">
        <w:rPr>
          <w:rFonts w:ascii="Arial" w:hAnsi="Arial" w:cs="Arial"/>
          <w:sz w:val="22"/>
          <w:szCs w:val="22"/>
          <w:lang w:eastAsia="zh-CN"/>
        </w:rPr>
        <w:t xml:space="preserve"> </w:t>
      </w:r>
      <w:r w:rsidR="00A03190" w:rsidRPr="00F76310">
        <w:rPr>
          <w:rFonts w:ascii="Arial" w:hAnsi="Arial" w:cs="Arial"/>
          <w:color w:val="000000"/>
          <w:sz w:val="22"/>
          <w:szCs w:val="22"/>
        </w:rPr>
        <w:t>(Diabetes UK, 2024)</w:t>
      </w:r>
      <w:r w:rsidR="00733719" w:rsidRPr="00F76310">
        <w:rPr>
          <w:rFonts w:ascii="Arial" w:hAnsi="Arial" w:cs="Arial"/>
          <w:sz w:val="22"/>
          <w:szCs w:val="22"/>
          <w:lang w:eastAsia="zh-CN"/>
        </w:rPr>
        <w:t>.  Younger adults with type 2 diabetes were more likely to be undiagnosed than older adults.  This is a serious finding, because prevention pathways only work if at risk individuals are actually identified and engaged before significant metabolic damage accumulates.  It also suggests that better case finding may be especially important in younger and more deprived populations where risk is more likely to go unnoticed.</w:t>
      </w:r>
    </w:p>
    <w:p w14:paraId="6DCBC039" w14:textId="77777777" w:rsidR="000510A8" w:rsidRPr="00E52633" w:rsidRDefault="000510A8" w:rsidP="000510A8">
      <w:pPr>
        <w:spacing w:line="360" w:lineRule="auto"/>
        <w:rPr>
          <w:rFonts w:ascii="Arial" w:hAnsi="Arial" w:cs="Arial"/>
          <w:sz w:val="28"/>
          <w:szCs w:val="28"/>
          <w:lang w:eastAsia="zh-CN"/>
        </w:rPr>
      </w:pPr>
    </w:p>
    <w:p w14:paraId="35DA646F" w14:textId="54CF94C0" w:rsidR="001C34F5" w:rsidRPr="00E52633" w:rsidRDefault="001C34F5" w:rsidP="001C34F5">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Examples from Articles</w:t>
      </w:r>
      <w:r w:rsidR="00733719" w:rsidRPr="00E52633">
        <w:rPr>
          <w:rFonts w:ascii="Arial" w:hAnsi="Arial" w:cs="Arial"/>
          <w:b/>
          <w:bCs/>
          <w:i w:val="0"/>
          <w:iCs w:val="0"/>
          <w:color w:val="000000" w:themeColor="text1"/>
          <w:sz w:val="28"/>
          <w:szCs w:val="28"/>
        </w:rPr>
        <w:t>:</w:t>
      </w:r>
    </w:p>
    <w:p w14:paraId="52418DB8" w14:textId="06EAD660" w:rsidR="00733719" w:rsidRDefault="00733719" w:rsidP="00733719">
      <w:pPr>
        <w:spacing w:line="360" w:lineRule="auto"/>
        <w:rPr>
          <w:rFonts w:ascii="Arial" w:hAnsi="Arial" w:cs="Arial"/>
          <w:sz w:val="22"/>
          <w:szCs w:val="22"/>
          <w:lang w:eastAsia="zh-CN"/>
        </w:rPr>
      </w:pPr>
      <w:r>
        <w:rPr>
          <w:rFonts w:ascii="Arial" w:hAnsi="Arial" w:cs="Arial"/>
          <w:sz w:val="22"/>
          <w:szCs w:val="22"/>
          <w:lang w:eastAsia="zh-CN"/>
        </w:rPr>
        <w:t>Examples from the reviewed studies support both optimism and caution.  Intervention oriented evidence broadly agrees that structured lifestyle support can reduce incidence and improve metabolic outcomes.  Remission focused evidence suggests that for selected patients, substantial weight loss can even reverse disease mark</w:t>
      </w:r>
      <w:r w:rsidR="00CA380C">
        <w:rPr>
          <w:rFonts w:ascii="Arial" w:hAnsi="Arial" w:cs="Arial"/>
          <w:sz w:val="22"/>
          <w:szCs w:val="22"/>
          <w:lang w:eastAsia="zh-CN"/>
        </w:rPr>
        <w:t>ers for meaningful periods.  Yet qualitative and inequality focused work shows that uptake and adherence are not evenly distributed, particularly in some minority ethnic communities and socioeconomically deprived groups.  These differing findings do not contradict each other; they show that interventions can be effective while still being inequitably experienced.  That distinction is key for answering the research question properly.</w:t>
      </w:r>
    </w:p>
    <w:p w14:paraId="7A2EE7E7" w14:textId="7483909C" w:rsidR="000510A8" w:rsidRDefault="000510A8" w:rsidP="00733719">
      <w:pPr>
        <w:spacing w:line="360" w:lineRule="auto"/>
        <w:rPr>
          <w:rFonts w:ascii="Arial" w:hAnsi="Arial" w:cs="Arial"/>
          <w:sz w:val="22"/>
          <w:szCs w:val="22"/>
          <w:lang w:eastAsia="zh-CN"/>
        </w:rPr>
      </w:pPr>
    </w:p>
    <w:p w14:paraId="69FC5639" w14:textId="77777777" w:rsidR="000510A8" w:rsidRPr="00E52633" w:rsidRDefault="000510A8" w:rsidP="000510A8">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Implications:</w:t>
      </w:r>
    </w:p>
    <w:p w14:paraId="72F242AF" w14:textId="2074B1A3" w:rsidR="006D393E" w:rsidRPr="006D393E" w:rsidRDefault="000510A8" w:rsidP="006D393E">
      <w:pPr>
        <w:spacing w:line="360" w:lineRule="auto"/>
        <w:rPr>
          <w:rFonts w:ascii="Arial" w:hAnsi="Arial" w:cs="Arial"/>
          <w:sz w:val="22"/>
          <w:szCs w:val="22"/>
          <w:lang w:eastAsia="zh-CN"/>
        </w:rPr>
      </w:pPr>
      <w:r>
        <w:rPr>
          <w:rFonts w:ascii="Arial" w:hAnsi="Arial" w:cs="Arial"/>
          <w:sz w:val="22"/>
          <w:szCs w:val="22"/>
          <w:lang w:eastAsia="zh-CN"/>
        </w:rPr>
        <w:t xml:space="preserve">The implications of this theme are therefore complex.  Positively, the UK has credible national frameworks for diabetes prevention, management and remission support.  Negatively, structural barriers still limit who benefits most from them.  A scheme can be evidence based and still fail to reach the people with the highest need.  That is probably one of the strongest conclusions from the literature: the issue is not the total absence of management strategies, but the uneven translation of those strategies into equitable long-term outcomes.  This theme links directly back to Theme 1, because rising prevalence sustains pressure on management services, and to Theme 2, because </w:t>
      </w:r>
      <w:r w:rsidR="006962D5">
        <w:rPr>
          <w:rFonts w:ascii="Arial" w:hAnsi="Arial" w:cs="Arial"/>
          <w:sz w:val="22"/>
          <w:szCs w:val="22"/>
          <w:lang w:eastAsia="zh-CN"/>
        </w:rPr>
        <w:t>prevention will always be constrained when the environments generating risk remain unchanged.</w:t>
      </w:r>
    </w:p>
    <w:p w14:paraId="164BB7D0" w14:textId="30741F6B" w:rsidR="001C34F5" w:rsidRPr="006D393E" w:rsidRDefault="001C34F5" w:rsidP="006D393E">
      <w:pPr>
        <w:pStyle w:val="Heading2"/>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3005"/>
        <w:gridCol w:w="3005"/>
        <w:gridCol w:w="3006"/>
      </w:tblGrid>
      <w:tr w:rsidR="001E3398" w14:paraId="3927361D" w14:textId="77777777" w:rsidTr="001E3398">
        <w:tc>
          <w:tcPr>
            <w:tcW w:w="3005" w:type="dxa"/>
          </w:tcPr>
          <w:p w14:paraId="0E893BCE" w14:textId="4770D116"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Theme 1</w:t>
            </w:r>
          </w:p>
        </w:tc>
        <w:tc>
          <w:tcPr>
            <w:tcW w:w="3005" w:type="dxa"/>
          </w:tcPr>
          <w:p w14:paraId="41C809EE" w14:textId="40D88B9E"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Theme 2</w:t>
            </w:r>
          </w:p>
        </w:tc>
        <w:tc>
          <w:tcPr>
            <w:tcW w:w="3006" w:type="dxa"/>
          </w:tcPr>
          <w:p w14:paraId="3231BCDD" w14:textId="6137B3AF"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Theme 3</w:t>
            </w:r>
          </w:p>
        </w:tc>
      </w:tr>
      <w:tr w:rsidR="001E3398" w14:paraId="524E7AD2" w14:textId="77777777" w:rsidTr="001E3398">
        <w:tc>
          <w:tcPr>
            <w:tcW w:w="3005" w:type="dxa"/>
          </w:tcPr>
          <w:p w14:paraId="49C05B1D" w14:textId="77777777" w:rsidR="001E3398" w:rsidRPr="003F0316" w:rsidRDefault="001E3398" w:rsidP="001E3398">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Rising Prevalence of Type 2 Diabetes in UK Adults</w:t>
            </w:r>
          </w:p>
          <w:p w14:paraId="3053C97B" w14:textId="77777777" w:rsidR="001E3398" w:rsidRPr="003F0316" w:rsidRDefault="001E3398" w:rsidP="001C34F5">
            <w:pPr>
              <w:pStyle w:val="Heading2"/>
              <w:rPr>
                <w:rFonts w:ascii="Arial" w:hAnsi="Arial" w:cs="Arial"/>
                <w:b/>
                <w:bCs/>
                <w:color w:val="000000" w:themeColor="text1"/>
                <w:sz w:val="22"/>
                <w:szCs w:val="22"/>
              </w:rPr>
            </w:pPr>
          </w:p>
        </w:tc>
        <w:tc>
          <w:tcPr>
            <w:tcW w:w="3005" w:type="dxa"/>
          </w:tcPr>
          <w:p w14:paraId="19655073" w14:textId="4F3BE331"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Lifestyle and Socioeconomic Risk Factors</w:t>
            </w:r>
          </w:p>
        </w:tc>
        <w:tc>
          <w:tcPr>
            <w:tcW w:w="3006" w:type="dxa"/>
          </w:tcPr>
          <w:p w14:paraId="5ECBFA4E" w14:textId="528F19EC"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Management and Prevention Strategies</w:t>
            </w:r>
          </w:p>
        </w:tc>
      </w:tr>
      <w:tr w:rsidR="001E3398" w14:paraId="447BC05B" w14:textId="77777777" w:rsidTr="001E3398">
        <w:tc>
          <w:tcPr>
            <w:tcW w:w="3005" w:type="dxa"/>
          </w:tcPr>
          <w:p w14:paraId="432868A4" w14:textId="77777777"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Author(s)</w:t>
            </w:r>
          </w:p>
          <w:p w14:paraId="27CAA721" w14:textId="151DAA67" w:rsidR="00F16CC3" w:rsidRPr="003F0316" w:rsidRDefault="00F16CC3" w:rsidP="00F16CC3">
            <w:pPr>
              <w:rPr>
                <w:sz w:val="22"/>
                <w:szCs w:val="22"/>
              </w:rPr>
            </w:pPr>
            <w:r w:rsidRPr="003F0316">
              <w:rPr>
                <w:rFonts w:ascii="Arial" w:hAnsi="Arial" w:cs="Arial"/>
                <w:color w:val="000000"/>
                <w:sz w:val="22"/>
                <w:szCs w:val="22"/>
              </w:rPr>
              <w:t>Gieroba et al (2025)</w:t>
            </w:r>
          </w:p>
        </w:tc>
        <w:tc>
          <w:tcPr>
            <w:tcW w:w="3005" w:type="dxa"/>
          </w:tcPr>
          <w:p w14:paraId="2DF9999D" w14:textId="77777777" w:rsidR="001E3398"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Author(s)</w:t>
            </w:r>
          </w:p>
          <w:p w14:paraId="247A527D" w14:textId="6E8D5965" w:rsidR="002C0EAB" w:rsidRPr="002C0EAB" w:rsidRDefault="002C0EAB" w:rsidP="002C0EAB">
            <w:pPr>
              <w:rPr>
                <w:rFonts w:ascii="Arial" w:hAnsi="Arial" w:cs="Arial"/>
                <w:sz w:val="22"/>
                <w:szCs w:val="22"/>
                <w:lang w:eastAsia="en-US"/>
              </w:rPr>
            </w:pPr>
            <w:r>
              <w:rPr>
                <w:rFonts w:ascii="Arial" w:hAnsi="Arial" w:cs="Arial"/>
                <w:sz w:val="22"/>
                <w:szCs w:val="22"/>
                <w:lang w:eastAsia="en-US"/>
              </w:rPr>
              <w:t>Kyrou et al. (2020)</w:t>
            </w:r>
          </w:p>
        </w:tc>
        <w:tc>
          <w:tcPr>
            <w:tcW w:w="3006" w:type="dxa"/>
          </w:tcPr>
          <w:p w14:paraId="7F25CD4B" w14:textId="77777777"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Author(s)</w:t>
            </w:r>
          </w:p>
          <w:p w14:paraId="3D9C391B" w14:textId="4909107F" w:rsidR="001E3398" w:rsidRPr="00253682" w:rsidRDefault="00253682" w:rsidP="001E3398">
            <w:pPr>
              <w:rPr>
                <w:rFonts w:ascii="Arial" w:hAnsi="Arial" w:cs="Arial"/>
                <w:sz w:val="22"/>
                <w:szCs w:val="22"/>
              </w:rPr>
            </w:pPr>
            <w:r w:rsidRPr="00253682">
              <w:rPr>
                <w:rFonts w:ascii="Arial" w:hAnsi="Arial" w:cs="Arial"/>
                <w:sz w:val="22"/>
                <w:szCs w:val="22"/>
              </w:rPr>
              <w:t xml:space="preserve">NICE </w:t>
            </w:r>
            <w:r>
              <w:rPr>
                <w:rFonts w:ascii="Arial" w:hAnsi="Arial" w:cs="Arial"/>
                <w:sz w:val="22"/>
                <w:szCs w:val="22"/>
              </w:rPr>
              <w:t>(2025)</w:t>
            </w:r>
          </w:p>
          <w:p w14:paraId="03BB536A" w14:textId="39925BAC" w:rsidR="001E3398" w:rsidRPr="00253682" w:rsidRDefault="001E3398" w:rsidP="001E3398">
            <w:pPr>
              <w:rPr>
                <w:rFonts w:ascii="Arial" w:hAnsi="Arial" w:cs="Arial"/>
                <w:sz w:val="22"/>
                <w:szCs w:val="22"/>
              </w:rPr>
            </w:pPr>
          </w:p>
        </w:tc>
      </w:tr>
      <w:tr w:rsidR="001E3398" w14:paraId="3A28D80A" w14:textId="77777777" w:rsidTr="001E3398">
        <w:tc>
          <w:tcPr>
            <w:tcW w:w="3005" w:type="dxa"/>
          </w:tcPr>
          <w:p w14:paraId="00EB367E" w14:textId="6573A213" w:rsidR="001E3398" w:rsidRDefault="00F16CC3" w:rsidP="001E3398">
            <w:pPr>
              <w:rPr>
                <w:rStyle w:val="Strong"/>
                <w:rFonts w:ascii="Arial" w:hAnsi="Arial" w:cs="Arial"/>
                <w:b w:val="0"/>
                <w:bCs w:val="0"/>
                <w:sz w:val="22"/>
                <w:szCs w:val="22"/>
              </w:rPr>
            </w:pPr>
            <w:r w:rsidRPr="009964EF">
              <w:rPr>
                <w:rFonts w:ascii="Arial" w:hAnsi="Arial" w:cs="Arial"/>
                <w:color w:val="000000"/>
                <w:sz w:val="22"/>
                <w:szCs w:val="22"/>
              </w:rPr>
              <w:t>Reed</w:t>
            </w:r>
            <w:r>
              <w:rPr>
                <w:rFonts w:ascii="Arial" w:hAnsi="Arial" w:cs="Arial"/>
                <w:color w:val="000000"/>
                <w:sz w:val="22"/>
                <w:szCs w:val="22"/>
              </w:rPr>
              <w:t xml:space="preserve"> et al (</w:t>
            </w:r>
            <w:r w:rsidRPr="009964EF">
              <w:rPr>
                <w:rFonts w:ascii="Arial" w:hAnsi="Arial" w:cs="Arial"/>
                <w:color w:val="000000"/>
                <w:sz w:val="22"/>
                <w:szCs w:val="22"/>
              </w:rPr>
              <w:t>2021)</w:t>
            </w:r>
            <w:r w:rsidRPr="009964EF">
              <w:rPr>
                <w:rStyle w:val="Strong"/>
                <w:rFonts w:ascii="Arial" w:hAnsi="Arial" w:cs="Arial"/>
                <w:b w:val="0"/>
                <w:bCs w:val="0"/>
                <w:sz w:val="22"/>
                <w:szCs w:val="22"/>
              </w:rPr>
              <w:t>.</w:t>
            </w:r>
          </w:p>
          <w:p w14:paraId="5A8F3B66" w14:textId="1382184E" w:rsidR="00F16CC3" w:rsidRPr="001E3398" w:rsidRDefault="00F16CC3" w:rsidP="001E3398"/>
        </w:tc>
        <w:tc>
          <w:tcPr>
            <w:tcW w:w="3005" w:type="dxa"/>
          </w:tcPr>
          <w:p w14:paraId="43E697D0" w14:textId="4F9FA825" w:rsidR="001E3398" w:rsidRPr="002C0EAB" w:rsidRDefault="002C0EAB" w:rsidP="001C34F5">
            <w:pPr>
              <w:pStyle w:val="Heading2"/>
              <w:rPr>
                <w:rFonts w:ascii="Arial" w:hAnsi="Arial" w:cs="Arial"/>
                <w:color w:val="000000" w:themeColor="text1"/>
                <w:sz w:val="22"/>
                <w:szCs w:val="22"/>
              </w:rPr>
            </w:pPr>
            <w:r>
              <w:rPr>
                <w:rFonts w:ascii="Arial" w:hAnsi="Arial" w:cs="Arial"/>
                <w:color w:val="000000" w:themeColor="text1"/>
                <w:sz w:val="22"/>
                <w:szCs w:val="22"/>
              </w:rPr>
              <w:t>Marmot (2017)</w:t>
            </w:r>
          </w:p>
        </w:tc>
        <w:tc>
          <w:tcPr>
            <w:tcW w:w="3006" w:type="dxa"/>
          </w:tcPr>
          <w:p w14:paraId="005AE5A7" w14:textId="272D7C5A" w:rsidR="001E3398" w:rsidRPr="00253682" w:rsidRDefault="00253682" w:rsidP="001C34F5">
            <w:pPr>
              <w:pStyle w:val="Heading2"/>
              <w:rPr>
                <w:rFonts w:ascii="Arial" w:hAnsi="Arial" w:cs="Arial"/>
                <w:color w:val="000000" w:themeColor="text1"/>
                <w:sz w:val="22"/>
                <w:szCs w:val="22"/>
              </w:rPr>
            </w:pPr>
            <w:r>
              <w:rPr>
                <w:rFonts w:ascii="Arial" w:hAnsi="Arial" w:cs="Arial"/>
                <w:color w:val="000000" w:themeColor="text1"/>
                <w:sz w:val="22"/>
                <w:szCs w:val="22"/>
              </w:rPr>
              <w:t>NHS England (2023)</w:t>
            </w:r>
          </w:p>
        </w:tc>
      </w:tr>
      <w:tr w:rsidR="001E3398" w14:paraId="25FD6543" w14:textId="77777777" w:rsidTr="001E3398">
        <w:tc>
          <w:tcPr>
            <w:tcW w:w="3005" w:type="dxa"/>
          </w:tcPr>
          <w:p w14:paraId="1954C7CF" w14:textId="0ABBD58E" w:rsidR="001E3398" w:rsidRDefault="00F16CC3" w:rsidP="001C34F5">
            <w:pPr>
              <w:pStyle w:val="Heading2"/>
              <w:rPr>
                <w:rFonts w:ascii="Arial" w:hAnsi="Arial" w:cs="Arial"/>
                <w:b/>
                <w:bCs/>
                <w:color w:val="000000" w:themeColor="text1"/>
                <w:sz w:val="32"/>
                <w:szCs w:val="32"/>
              </w:rPr>
            </w:pPr>
            <w:r w:rsidRPr="00FC6655">
              <w:rPr>
                <w:rFonts w:ascii="Arial" w:eastAsia="Times New Roman" w:hAnsi="Arial" w:cs="Arial"/>
                <w:color w:val="000000"/>
                <w:sz w:val="22"/>
                <w:szCs w:val="22"/>
                <w:lang w:eastAsia="en-GB"/>
              </w:rPr>
              <w:t>Kirkman</w:t>
            </w:r>
            <w:r>
              <w:rPr>
                <w:rFonts w:ascii="Arial" w:eastAsia="Times New Roman" w:hAnsi="Arial" w:cs="Arial"/>
                <w:color w:val="000000"/>
                <w:sz w:val="22"/>
                <w:szCs w:val="22"/>
                <w:lang w:eastAsia="en-GB"/>
              </w:rPr>
              <w:t xml:space="preserve"> (</w:t>
            </w:r>
            <w:r w:rsidRPr="00FC6655">
              <w:rPr>
                <w:rFonts w:ascii="Arial" w:eastAsia="Times New Roman" w:hAnsi="Arial" w:cs="Arial"/>
                <w:color w:val="000000"/>
                <w:sz w:val="22"/>
                <w:szCs w:val="22"/>
                <w:lang w:eastAsia="en-GB"/>
              </w:rPr>
              <w:t>2012)</w:t>
            </w:r>
          </w:p>
          <w:p w14:paraId="1B3D9648" w14:textId="64821BE0" w:rsidR="001E3398" w:rsidRPr="001E3398" w:rsidRDefault="001E3398" w:rsidP="001E3398"/>
        </w:tc>
        <w:tc>
          <w:tcPr>
            <w:tcW w:w="3005" w:type="dxa"/>
          </w:tcPr>
          <w:p w14:paraId="24BB03BA" w14:textId="04CD6746" w:rsidR="001E3398" w:rsidRPr="002C0EAB" w:rsidRDefault="002C0EAB" w:rsidP="001C34F5">
            <w:pPr>
              <w:pStyle w:val="Heading2"/>
              <w:rPr>
                <w:rFonts w:ascii="Arial" w:hAnsi="Arial" w:cs="Arial"/>
                <w:color w:val="000000" w:themeColor="text1"/>
                <w:sz w:val="22"/>
                <w:szCs w:val="22"/>
              </w:rPr>
            </w:pPr>
            <w:r w:rsidRPr="002C0EAB">
              <w:rPr>
                <w:rFonts w:ascii="Arial" w:hAnsi="Arial" w:cs="Arial"/>
                <w:color w:val="000000" w:themeColor="text1"/>
                <w:sz w:val="22"/>
                <w:szCs w:val="22"/>
              </w:rPr>
              <w:t>Hill-Briggs (2020)</w:t>
            </w:r>
          </w:p>
        </w:tc>
        <w:tc>
          <w:tcPr>
            <w:tcW w:w="3006" w:type="dxa"/>
          </w:tcPr>
          <w:p w14:paraId="358AB98F" w14:textId="0336293B" w:rsidR="00437873" w:rsidRPr="00437873" w:rsidRDefault="00253682" w:rsidP="00437873">
            <w:pPr>
              <w:rPr>
                <w:lang w:eastAsia="en-US"/>
              </w:rPr>
            </w:pPr>
            <w:r>
              <w:rPr>
                <w:lang w:eastAsia="en-US"/>
              </w:rPr>
              <w:t>McManus et al. (2022)</w:t>
            </w:r>
          </w:p>
        </w:tc>
      </w:tr>
      <w:tr w:rsidR="00437873" w14:paraId="600DEAB7" w14:textId="77777777" w:rsidTr="00253682">
        <w:trPr>
          <w:trHeight w:val="632"/>
        </w:trPr>
        <w:tc>
          <w:tcPr>
            <w:tcW w:w="3005" w:type="dxa"/>
          </w:tcPr>
          <w:p w14:paraId="4673A869" w14:textId="1A43E162" w:rsidR="00437873" w:rsidRPr="00253682" w:rsidRDefault="00A75ECC" w:rsidP="006D393E">
            <w:pPr>
              <w:pStyle w:val="Heading2"/>
              <w:rPr>
                <w:rFonts w:ascii="Arial" w:hAnsi="Arial" w:cs="Arial"/>
                <w:color w:val="000000" w:themeColor="text1"/>
                <w:sz w:val="22"/>
                <w:szCs w:val="22"/>
              </w:rPr>
            </w:pPr>
            <w:r>
              <w:rPr>
                <w:rFonts w:ascii="Arial" w:hAnsi="Arial" w:cs="Arial"/>
                <w:color w:val="000000" w:themeColor="text1"/>
                <w:sz w:val="22"/>
                <w:szCs w:val="22"/>
              </w:rPr>
              <w:t>Diabetes UK (2023)</w:t>
            </w:r>
          </w:p>
        </w:tc>
        <w:tc>
          <w:tcPr>
            <w:tcW w:w="3005" w:type="dxa"/>
          </w:tcPr>
          <w:p w14:paraId="5E109D4F" w14:textId="694B0B20" w:rsidR="00437873" w:rsidRPr="00253682" w:rsidRDefault="00253682" w:rsidP="006D393E">
            <w:pPr>
              <w:pStyle w:val="Heading2"/>
              <w:rPr>
                <w:rFonts w:ascii="Arial" w:hAnsi="Arial" w:cs="Arial"/>
                <w:color w:val="000000" w:themeColor="text1"/>
                <w:sz w:val="22"/>
                <w:szCs w:val="22"/>
              </w:rPr>
            </w:pPr>
            <w:r w:rsidRPr="00253682">
              <w:rPr>
                <w:rFonts w:ascii="Arial" w:hAnsi="Arial" w:cs="Arial"/>
                <w:color w:val="000000" w:themeColor="text1"/>
                <w:sz w:val="22"/>
                <w:szCs w:val="22"/>
              </w:rPr>
              <w:t>Watkinson et al. (2024)</w:t>
            </w:r>
          </w:p>
        </w:tc>
        <w:tc>
          <w:tcPr>
            <w:tcW w:w="3006" w:type="dxa"/>
          </w:tcPr>
          <w:p w14:paraId="3E6FBF62" w14:textId="22856142" w:rsidR="00437873" w:rsidRPr="00253682" w:rsidRDefault="00253682" w:rsidP="006D393E">
            <w:pPr>
              <w:pStyle w:val="Heading2"/>
              <w:rPr>
                <w:rFonts w:ascii="Arial" w:hAnsi="Arial" w:cs="Arial"/>
                <w:color w:val="000000" w:themeColor="text1"/>
                <w:sz w:val="22"/>
                <w:szCs w:val="22"/>
              </w:rPr>
            </w:pPr>
            <w:r>
              <w:rPr>
                <w:rFonts w:ascii="Arial" w:hAnsi="Arial" w:cs="Arial"/>
                <w:color w:val="000000" w:themeColor="text1"/>
                <w:sz w:val="22"/>
                <w:szCs w:val="22"/>
              </w:rPr>
              <w:t>Syeda et al. (2023)</w:t>
            </w:r>
          </w:p>
        </w:tc>
      </w:tr>
      <w:tr w:rsidR="00437873" w14:paraId="6C007476" w14:textId="77777777" w:rsidTr="00253682">
        <w:trPr>
          <w:trHeight w:val="556"/>
        </w:trPr>
        <w:tc>
          <w:tcPr>
            <w:tcW w:w="3005" w:type="dxa"/>
          </w:tcPr>
          <w:p w14:paraId="10F25FB3" w14:textId="3AD3E12D" w:rsidR="00437873" w:rsidRPr="00A75ECC" w:rsidRDefault="00A75ECC" w:rsidP="006D393E">
            <w:pPr>
              <w:pStyle w:val="Heading2"/>
              <w:rPr>
                <w:rFonts w:ascii="Arial" w:hAnsi="Arial" w:cs="Arial"/>
                <w:color w:val="000000" w:themeColor="text1"/>
                <w:sz w:val="22"/>
                <w:szCs w:val="22"/>
              </w:rPr>
            </w:pPr>
            <w:r w:rsidRPr="00A75ECC">
              <w:rPr>
                <w:rFonts w:ascii="Arial" w:hAnsi="Arial" w:cs="Arial"/>
                <w:color w:val="000000" w:themeColor="text1"/>
                <w:sz w:val="22"/>
                <w:szCs w:val="22"/>
              </w:rPr>
              <w:t>Office foe Health Improvements &amp; Disparities (2025)</w:t>
            </w:r>
          </w:p>
        </w:tc>
        <w:tc>
          <w:tcPr>
            <w:tcW w:w="3005" w:type="dxa"/>
          </w:tcPr>
          <w:p w14:paraId="3D4E1B1D" w14:textId="1A057E66" w:rsidR="00437873" w:rsidRPr="00253682" w:rsidRDefault="00253682" w:rsidP="006D393E">
            <w:pPr>
              <w:pStyle w:val="Heading2"/>
              <w:rPr>
                <w:rFonts w:ascii="Arial" w:hAnsi="Arial" w:cs="Arial"/>
                <w:color w:val="000000" w:themeColor="text1"/>
                <w:sz w:val="22"/>
                <w:szCs w:val="22"/>
              </w:rPr>
            </w:pPr>
            <w:r w:rsidRPr="00253682">
              <w:rPr>
                <w:rFonts w:ascii="Arial" w:hAnsi="Arial" w:cs="Arial"/>
                <w:color w:val="000000" w:themeColor="text1"/>
                <w:sz w:val="22"/>
                <w:szCs w:val="22"/>
              </w:rPr>
              <w:t>Goff (2019)</w:t>
            </w:r>
          </w:p>
        </w:tc>
        <w:tc>
          <w:tcPr>
            <w:tcW w:w="3006" w:type="dxa"/>
          </w:tcPr>
          <w:p w14:paraId="7872ED24" w14:textId="1BD33DB6" w:rsidR="00437873" w:rsidRPr="00253682" w:rsidRDefault="00253682" w:rsidP="006D393E">
            <w:pPr>
              <w:pStyle w:val="Heading2"/>
              <w:rPr>
                <w:rFonts w:ascii="Arial" w:hAnsi="Arial" w:cs="Arial"/>
                <w:color w:val="000000" w:themeColor="text1"/>
                <w:sz w:val="22"/>
                <w:szCs w:val="22"/>
              </w:rPr>
            </w:pPr>
            <w:r w:rsidRPr="00253682">
              <w:rPr>
                <w:rFonts w:ascii="Arial" w:hAnsi="Arial" w:cs="Arial"/>
                <w:color w:val="000000" w:themeColor="text1"/>
                <w:sz w:val="22"/>
                <w:szCs w:val="22"/>
              </w:rPr>
              <w:t>Woodward et al. (2024)</w:t>
            </w:r>
          </w:p>
        </w:tc>
      </w:tr>
    </w:tbl>
    <w:p w14:paraId="06524B27" w14:textId="75445AA7" w:rsidR="00437873" w:rsidRPr="00253682" w:rsidRDefault="00437873" w:rsidP="006D393E">
      <w:pPr>
        <w:pStyle w:val="Heading2"/>
        <w:rPr>
          <w:rFonts w:ascii="Arial" w:hAnsi="Arial" w:cs="Arial"/>
          <w:color w:val="000000" w:themeColor="text1"/>
          <w:sz w:val="22"/>
          <w:szCs w:val="22"/>
        </w:rPr>
      </w:pPr>
    </w:p>
    <w:p w14:paraId="7BACD4FE" w14:textId="459528FD" w:rsidR="006D393E" w:rsidRPr="006D393E" w:rsidRDefault="006D393E" w:rsidP="006D393E">
      <w:pPr>
        <w:pStyle w:val="Heading2"/>
        <w:rPr>
          <w:rFonts w:ascii="Arial" w:hAnsi="Arial" w:cs="Arial"/>
          <w:b/>
          <w:bCs/>
          <w:color w:val="000000" w:themeColor="text1"/>
          <w:sz w:val="22"/>
          <w:szCs w:val="22"/>
        </w:rPr>
      </w:pPr>
      <w:r w:rsidRPr="006D393E">
        <w:rPr>
          <w:rFonts w:ascii="Arial" w:hAnsi="Arial" w:cs="Arial"/>
          <w:b/>
          <w:bCs/>
          <w:color w:val="000000" w:themeColor="text1"/>
          <w:sz w:val="22"/>
          <w:szCs w:val="22"/>
        </w:rPr>
        <w:t xml:space="preserve">Table 2.              </w:t>
      </w:r>
    </w:p>
    <w:p w14:paraId="611E6CAA" w14:textId="77777777" w:rsidR="001E3398" w:rsidRDefault="001E3398" w:rsidP="001C34F5">
      <w:pPr>
        <w:pStyle w:val="Heading2"/>
        <w:rPr>
          <w:rFonts w:ascii="Arial" w:hAnsi="Arial" w:cs="Arial"/>
          <w:b/>
          <w:bCs/>
          <w:color w:val="000000" w:themeColor="text1"/>
          <w:sz w:val="32"/>
          <w:szCs w:val="32"/>
        </w:rPr>
      </w:pPr>
    </w:p>
    <w:p w14:paraId="1247F56B" w14:textId="06114F5E" w:rsidR="001C34F5" w:rsidRPr="00E52633" w:rsidRDefault="001C34F5" w:rsidP="001C34F5">
      <w:pPr>
        <w:pStyle w:val="Heading2"/>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4.6 – Chapter Conclusion </w:t>
      </w:r>
    </w:p>
    <w:p w14:paraId="0BC8FDC1" w14:textId="38BB800C" w:rsidR="006962D5" w:rsidRDefault="006962D5" w:rsidP="006962D5"/>
    <w:p w14:paraId="324D5E47" w14:textId="368C5223" w:rsidR="006962D5" w:rsidRDefault="006962D5" w:rsidP="006962D5">
      <w:pPr>
        <w:spacing w:line="360" w:lineRule="auto"/>
        <w:rPr>
          <w:rFonts w:ascii="Arial" w:hAnsi="Arial" w:cs="Arial"/>
          <w:sz w:val="22"/>
          <w:szCs w:val="22"/>
        </w:rPr>
      </w:pPr>
      <w:r>
        <w:rPr>
          <w:rFonts w:ascii="Arial" w:hAnsi="Arial" w:cs="Arial"/>
          <w:sz w:val="22"/>
          <w:szCs w:val="22"/>
        </w:rPr>
        <w:t xml:space="preserve">This chapter has presented and critically discussed the findings generated through thematic analysis of the selected literature on T2DM in UK adults.  Three interconnected themes emerged.  First, the literature showed that the prevalence of T2DM continues to rise, confirming that the condition remains a major and expanding public health concern.  Second, the findings demonstrated that lifestyle risk factors such as obesity, diet and physical inactivity are central to disease development, but that these risks are strongly shaped by wider socioeconomic and ethnic inequalities.  Third, the chapter </w:t>
      </w:r>
      <w:r w:rsidR="00064D63">
        <w:rPr>
          <w:rFonts w:ascii="Arial" w:hAnsi="Arial" w:cs="Arial"/>
          <w:sz w:val="22"/>
          <w:szCs w:val="22"/>
        </w:rPr>
        <w:t>showed that current prevention and management strategies are evidence-based and increasingly sophisticated</w:t>
      </w:r>
      <w:r w:rsidR="00DC779E">
        <w:rPr>
          <w:rFonts w:ascii="Arial" w:hAnsi="Arial" w:cs="Arial"/>
          <w:sz w:val="22"/>
          <w:szCs w:val="22"/>
        </w:rPr>
        <w:t>, yet their impact is constrained by issues of access, engagement and social context.</w:t>
      </w:r>
    </w:p>
    <w:p w14:paraId="4037E4CD" w14:textId="3B516F61" w:rsidR="00DC779E" w:rsidRDefault="00DC779E" w:rsidP="006962D5">
      <w:pPr>
        <w:spacing w:line="360" w:lineRule="auto"/>
        <w:rPr>
          <w:rFonts w:ascii="Arial" w:hAnsi="Arial" w:cs="Arial"/>
          <w:sz w:val="22"/>
          <w:szCs w:val="22"/>
        </w:rPr>
      </w:pPr>
    </w:p>
    <w:p w14:paraId="71723D03" w14:textId="7D6A4F39" w:rsidR="006D393E" w:rsidRPr="00437873" w:rsidRDefault="00DC779E" w:rsidP="00437873">
      <w:pPr>
        <w:spacing w:line="360" w:lineRule="auto"/>
        <w:rPr>
          <w:rFonts w:ascii="Arial" w:hAnsi="Arial" w:cs="Arial"/>
          <w:sz w:val="22"/>
          <w:szCs w:val="22"/>
        </w:rPr>
      </w:pPr>
      <w:r>
        <w:rPr>
          <w:rFonts w:ascii="Arial" w:hAnsi="Arial" w:cs="Arial"/>
          <w:sz w:val="22"/>
          <w:szCs w:val="22"/>
        </w:rPr>
        <w:t>Overall, the chapter has shown that T2DM in the UK should not be understood solely as a biomedical disorder requiring clinical treatment, but as a socially patterned long-term condition requiring action across prevention, early identification, ongoing management and inequality reduction.  The following chapter draws these findings together in the overall conclusion and presents recommendations for future practice.</w:t>
      </w:r>
    </w:p>
    <w:p w14:paraId="59817232" w14:textId="77777777" w:rsidR="003E495D" w:rsidRDefault="003E495D" w:rsidP="006D393E">
      <w:pPr>
        <w:spacing w:line="360" w:lineRule="auto"/>
        <w:rPr>
          <w:rFonts w:ascii="Arial" w:hAnsi="Arial" w:cs="Arial"/>
          <w:color w:val="000000"/>
          <w:sz w:val="22"/>
          <w:szCs w:val="22"/>
        </w:rPr>
      </w:pPr>
    </w:p>
    <w:p w14:paraId="5DF6DEE5" w14:textId="77777777" w:rsidR="003E495D" w:rsidRDefault="003E495D" w:rsidP="006D393E">
      <w:pPr>
        <w:spacing w:line="360" w:lineRule="auto"/>
        <w:rPr>
          <w:rFonts w:ascii="Arial" w:hAnsi="Arial" w:cs="Arial"/>
          <w:color w:val="000000"/>
          <w:sz w:val="22"/>
          <w:szCs w:val="22"/>
        </w:rPr>
      </w:pPr>
    </w:p>
    <w:p w14:paraId="26D12BA2" w14:textId="77777777" w:rsidR="003E495D" w:rsidRDefault="003E495D" w:rsidP="006D393E">
      <w:pPr>
        <w:spacing w:line="360" w:lineRule="auto"/>
        <w:rPr>
          <w:rFonts w:ascii="Arial" w:hAnsi="Arial" w:cs="Arial"/>
          <w:color w:val="000000"/>
          <w:sz w:val="22"/>
          <w:szCs w:val="22"/>
        </w:rPr>
      </w:pPr>
    </w:p>
    <w:p w14:paraId="70E2FA15" w14:textId="77777777" w:rsidR="003E495D" w:rsidRDefault="003E495D" w:rsidP="006D393E">
      <w:pPr>
        <w:spacing w:line="360" w:lineRule="auto"/>
        <w:rPr>
          <w:rFonts w:ascii="Arial" w:hAnsi="Arial" w:cs="Arial"/>
          <w:color w:val="000000"/>
          <w:sz w:val="22"/>
          <w:szCs w:val="22"/>
        </w:rPr>
      </w:pPr>
    </w:p>
    <w:p w14:paraId="0CEC5F2F" w14:textId="41EBFF31" w:rsidR="003E495D" w:rsidRDefault="003E495D" w:rsidP="006D393E">
      <w:pPr>
        <w:spacing w:line="360" w:lineRule="auto"/>
        <w:rPr>
          <w:rFonts w:ascii="Arial" w:hAnsi="Arial" w:cs="Arial"/>
          <w:color w:val="000000"/>
          <w:sz w:val="22"/>
          <w:szCs w:val="22"/>
        </w:rPr>
      </w:pPr>
      <w:r>
        <w:rPr>
          <w:rFonts w:cs="Arial"/>
          <w:noProof/>
          <w:color w:val="FF0000"/>
          <w:sz w:val="22"/>
          <w:szCs w:val="22"/>
        </w:rPr>
        <w:lastRenderedPageBreak/>
        <w:drawing>
          <wp:inline distT="0" distB="0" distL="0" distR="0" wp14:anchorId="15A9C6B5" wp14:editId="63B5C919">
            <wp:extent cx="4914900" cy="2973646"/>
            <wp:effectExtent l="0" t="0" r="0" b="0"/>
            <wp:docPr id="1" name="Picture 1" descr="A graph of diabe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abet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300098" cy="3206701"/>
                    </a:xfrm>
                    <a:prstGeom prst="rect">
                      <a:avLst/>
                    </a:prstGeom>
                  </pic:spPr>
                </pic:pic>
              </a:graphicData>
            </a:graphic>
          </wp:inline>
        </w:drawing>
      </w:r>
    </w:p>
    <w:p w14:paraId="469BA07D" w14:textId="2A6D446A" w:rsidR="006D393E" w:rsidRDefault="006D393E" w:rsidP="006D393E">
      <w:pPr>
        <w:spacing w:line="360" w:lineRule="auto"/>
        <w:rPr>
          <w:rFonts w:ascii="Arial" w:hAnsi="Arial" w:cs="Arial"/>
          <w:color w:val="000000"/>
          <w:sz w:val="22"/>
          <w:szCs w:val="22"/>
        </w:rPr>
      </w:pPr>
      <w:r w:rsidRPr="00503C14">
        <w:rPr>
          <w:rFonts w:ascii="Arial" w:hAnsi="Arial" w:cs="Arial"/>
          <w:color w:val="000000"/>
          <w:sz w:val="22"/>
          <w:szCs w:val="22"/>
        </w:rPr>
        <w:t>(NHS digital, 2023)</w:t>
      </w:r>
      <w:r w:rsidR="003E495D">
        <w:rPr>
          <w:rFonts w:ascii="Arial" w:hAnsi="Arial" w:cs="Arial"/>
          <w:color w:val="000000"/>
          <w:sz w:val="22"/>
          <w:szCs w:val="22"/>
        </w:rPr>
        <w:t xml:space="preserve">                                                                       Graph 1.</w:t>
      </w:r>
    </w:p>
    <w:p w14:paraId="3CE65C0B" w14:textId="77777777" w:rsidR="003E495D" w:rsidRPr="00503C14" w:rsidRDefault="003E495D" w:rsidP="006D393E">
      <w:pPr>
        <w:spacing w:line="360" w:lineRule="auto"/>
        <w:rPr>
          <w:rFonts w:ascii="Arial" w:hAnsi="Arial" w:cs="Arial"/>
          <w:sz w:val="22"/>
          <w:szCs w:val="22"/>
        </w:rPr>
      </w:pPr>
    </w:p>
    <w:p w14:paraId="08239B35" w14:textId="77777777" w:rsidR="006D393E" w:rsidRPr="00E52633" w:rsidRDefault="006D393E" w:rsidP="001C34F5">
      <w:pPr>
        <w:pStyle w:val="Heading1"/>
        <w:ind w:left="0"/>
        <w:rPr>
          <w:rFonts w:ascii="Aptos" w:hAnsi="Aptos"/>
        </w:rPr>
      </w:pPr>
    </w:p>
    <w:p w14:paraId="7261F74F" w14:textId="7596E2AB" w:rsidR="001C34F5" w:rsidRPr="00E52633" w:rsidRDefault="001C34F5" w:rsidP="001C34F5">
      <w:pPr>
        <w:pStyle w:val="Heading1"/>
        <w:ind w:left="0"/>
        <w:rPr>
          <w:rFonts w:cs="Arial"/>
        </w:rPr>
      </w:pPr>
      <w:r w:rsidRPr="00E52633">
        <w:rPr>
          <w:rFonts w:cs="Arial"/>
        </w:rPr>
        <w:t xml:space="preserve">CHAPTER 5 – Conclusion and Recommendations </w:t>
      </w:r>
    </w:p>
    <w:p w14:paraId="33597DF9" w14:textId="77777777" w:rsidR="001C34F5" w:rsidRPr="005C5E80" w:rsidRDefault="001C34F5" w:rsidP="001C34F5"/>
    <w:p w14:paraId="6749A111" w14:textId="56FB5375" w:rsidR="001C34F5" w:rsidRPr="00E52633" w:rsidRDefault="001C34F5" w:rsidP="001C34F5">
      <w:pPr>
        <w:pStyle w:val="Heading2"/>
        <w:rPr>
          <w:rFonts w:ascii="Arial" w:hAnsi="Arial" w:cs="Arial"/>
          <w:b/>
          <w:bCs/>
          <w:color w:val="000000" w:themeColor="text1"/>
          <w:sz w:val="28"/>
          <w:szCs w:val="28"/>
        </w:rPr>
      </w:pPr>
      <w:r w:rsidRPr="00E52633">
        <w:rPr>
          <w:rFonts w:ascii="Arial" w:hAnsi="Arial" w:cs="Arial"/>
          <w:b/>
          <w:bCs/>
          <w:color w:val="000000" w:themeColor="text1"/>
          <w:sz w:val="28"/>
          <w:szCs w:val="28"/>
        </w:rPr>
        <w:t xml:space="preserve">5.1 – Overall Conclusion </w:t>
      </w:r>
    </w:p>
    <w:p w14:paraId="02BDA405" w14:textId="404A189A" w:rsidR="00AF53ED" w:rsidRDefault="00AF53ED" w:rsidP="00AF53ED"/>
    <w:p w14:paraId="759E9C0B" w14:textId="6A586FAC" w:rsidR="00AF53ED" w:rsidRPr="00AF53ED" w:rsidRDefault="00AF53ED" w:rsidP="00AF53ED">
      <w:pPr>
        <w:spacing w:line="360" w:lineRule="auto"/>
        <w:rPr>
          <w:rFonts w:ascii="Arial" w:hAnsi="Arial" w:cs="Arial"/>
          <w:color w:val="000000" w:themeColor="text1"/>
          <w:sz w:val="22"/>
          <w:szCs w:val="22"/>
        </w:rPr>
      </w:pPr>
      <w:r>
        <w:rPr>
          <w:rFonts w:ascii="Arial" w:hAnsi="Arial" w:cs="Arial"/>
          <w:color w:val="000000" w:themeColor="text1"/>
          <w:sz w:val="22"/>
          <w:szCs w:val="22"/>
        </w:rPr>
        <w:t>This dissertation investigated the prevalence, risk factors and management strategies associated with type 2 diabetes mellitus in UK adults through a desk-based review of secondary literature.  Across the dissertation, the evidence showed that T2DM remains one of the most significant long-term public health challenges in the United Kingdom.  The research demonstrated that prevalence is rising, that risk is shaped by both behavioural and structural factors, and that while evidence-based prevention and treatment pathways exist, their impact is affected by inequality, uptake and access.  The dissertation</w:t>
      </w:r>
      <w:r w:rsidR="00A3037B">
        <w:rPr>
          <w:rFonts w:ascii="Arial" w:hAnsi="Arial" w:cs="Arial"/>
          <w:color w:val="000000" w:themeColor="text1"/>
          <w:sz w:val="22"/>
          <w:szCs w:val="22"/>
        </w:rPr>
        <w:t xml:space="preserve"> aim was therefore met by examining the scale of disease, the major factors contributing to its development, and the strengths and limitations of current responses.  No new analysis is introduced here; rather, the dissertation concludes that T2DM is best understood not only as a chronic metabolic disorder, but also as a health inequality issue that demands both strong clinical management and broader upstream prevention. </w:t>
      </w:r>
    </w:p>
    <w:p w14:paraId="0EB4E557" w14:textId="77777777" w:rsidR="001C34F5" w:rsidRDefault="001C34F5" w:rsidP="001C34F5"/>
    <w:p w14:paraId="5483FC58" w14:textId="583B8D10" w:rsidR="001C34F5" w:rsidRPr="00E52633" w:rsidRDefault="001C34F5" w:rsidP="00A3037B">
      <w:pPr>
        <w:pStyle w:val="Heading1"/>
        <w:ind w:left="0"/>
        <w:rPr>
          <w:rFonts w:cs="Arial"/>
        </w:rPr>
      </w:pPr>
      <w:r w:rsidRPr="00E52633">
        <w:rPr>
          <w:rFonts w:cs="Arial"/>
        </w:rPr>
        <w:t>5.2.1 – Recommendation 1</w:t>
      </w:r>
      <w:r w:rsidR="00A3037B" w:rsidRPr="00E52633">
        <w:rPr>
          <w:rFonts w:cs="Arial"/>
        </w:rPr>
        <w:t>: Strengthen earlier identification and targeted screening in high-risk groups</w:t>
      </w:r>
    </w:p>
    <w:p w14:paraId="7F9F7919" w14:textId="23F5AF91" w:rsidR="00A3037B" w:rsidRDefault="00A3037B" w:rsidP="00A3037B">
      <w:pPr>
        <w:pStyle w:val="Heading1"/>
        <w:ind w:left="0"/>
        <w:rPr>
          <w:rFonts w:cs="Arial"/>
          <w:sz w:val="22"/>
          <w:szCs w:val="22"/>
        </w:rPr>
      </w:pPr>
    </w:p>
    <w:p w14:paraId="235D0E57" w14:textId="4E2CC32A" w:rsidR="00A3037B" w:rsidRPr="003B7151" w:rsidRDefault="00A3037B" w:rsidP="003B7151">
      <w:pPr>
        <w:spacing w:line="360" w:lineRule="auto"/>
        <w:rPr>
          <w:rFonts w:ascii="Arial" w:hAnsi="Arial" w:cs="Arial"/>
          <w:sz w:val="22"/>
          <w:szCs w:val="22"/>
        </w:rPr>
      </w:pPr>
      <w:r w:rsidRPr="003B7151">
        <w:rPr>
          <w:rFonts w:ascii="Arial" w:hAnsi="Arial" w:cs="Arial"/>
          <w:sz w:val="22"/>
          <w:szCs w:val="22"/>
        </w:rPr>
        <w:t xml:space="preserve">A key recommendation is to strengthen earlier identification of people at high risk of T2DM, especially those living in deprived areas, individuals from higher risk ethnic groups, adults </w:t>
      </w:r>
      <w:r w:rsidRPr="003B7151">
        <w:rPr>
          <w:rFonts w:ascii="Arial" w:hAnsi="Arial" w:cs="Arial"/>
          <w:sz w:val="22"/>
          <w:szCs w:val="22"/>
        </w:rPr>
        <w:lastRenderedPageBreak/>
        <w:t>with obesity, and people with family history or previous gestational diabetes.</w:t>
      </w:r>
      <w:r w:rsidR="00C17845" w:rsidRPr="003B7151">
        <w:rPr>
          <w:rFonts w:ascii="Arial" w:hAnsi="Arial" w:cs="Arial"/>
          <w:sz w:val="22"/>
          <w:szCs w:val="22"/>
        </w:rPr>
        <w:t xml:space="preserve">  Earlier iden</w:t>
      </w:r>
      <w:r w:rsidR="005266DA" w:rsidRPr="003B7151">
        <w:rPr>
          <w:rFonts w:ascii="Arial" w:hAnsi="Arial" w:cs="Arial"/>
          <w:sz w:val="22"/>
          <w:szCs w:val="22"/>
        </w:rPr>
        <w:t>tification matters because delayed diagnosis increases the likelihood that hyperglycaemia remains untreated for longer, raising the risk of avoidable complications</w:t>
      </w:r>
      <w:r w:rsidR="00EE4373" w:rsidRPr="003B7151">
        <w:rPr>
          <w:rFonts w:ascii="Arial" w:hAnsi="Arial" w:cs="Arial"/>
          <w:sz w:val="22"/>
          <w:szCs w:val="22"/>
        </w:rPr>
        <w:t xml:space="preserve"> </w:t>
      </w:r>
      <w:r w:rsidR="00EE4373" w:rsidRPr="003B7151">
        <w:rPr>
          <w:rFonts w:ascii="Arial" w:hAnsi="Arial" w:cs="Arial"/>
          <w:color w:val="000000"/>
          <w:sz w:val="22"/>
          <w:szCs w:val="22"/>
        </w:rPr>
        <w:t>(Zhang et al., 2023)</w:t>
      </w:r>
      <w:r w:rsidR="005266DA" w:rsidRPr="003B7151">
        <w:rPr>
          <w:rFonts w:ascii="Arial" w:hAnsi="Arial" w:cs="Arial"/>
          <w:sz w:val="22"/>
          <w:szCs w:val="22"/>
        </w:rPr>
        <w:t>.  ONS analysis has shown that a sizeable proportion of adults with type 2 diabetes in England remain undiagnosed, while more deprived and younger groups may be less likely to have pre-diabetes identified in time for prevention</w:t>
      </w:r>
      <w:r w:rsidR="00EE4373" w:rsidRPr="003B7151">
        <w:rPr>
          <w:rFonts w:ascii="Arial" w:hAnsi="Arial" w:cs="Arial"/>
          <w:sz w:val="22"/>
          <w:szCs w:val="22"/>
        </w:rPr>
        <w:t xml:space="preserve"> </w:t>
      </w:r>
      <w:r w:rsidR="00EE4373" w:rsidRPr="003B7151">
        <w:rPr>
          <w:rFonts w:ascii="Arial" w:hAnsi="Arial" w:cs="Arial"/>
          <w:color w:val="000000"/>
          <w:sz w:val="22"/>
          <w:szCs w:val="22"/>
        </w:rPr>
        <w:t>(Office for national statistics, 2024)</w:t>
      </w:r>
      <w:r w:rsidR="005266DA" w:rsidRPr="003B7151">
        <w:rPr>
          <w:rFonts w:ascii="Arial" w:hAnsi="Arial" w:cs="Arial"/>
          <w:sz w:val="22"/>
          <w:szCs w:val="22"/>
        </w:rPr>
        <w:t>.</w:t>
      </w:r>
    </w:p>
    <w:p w14:paraId="057187D0" w14:textId="6F73F281" w:rsidR="005266DA" w:rsidRDefault="005266DA" w:rsidP="00A3037B">
      <w:pPr>
        <w:pStyle w:val="Heading1"/>
        <w:spacing w:line="360" w:lineRule="auto"/>
        <w:ind w:left="0"/>
        <w:rPr>
          <w:rFonts w:cs="Arial"/>
          <w:b w:val="0"/>
          <w:bCs/>
          <w:sz w:val="22"/>
          <w:szCs w:val="22"/>
        </w:rPr>
      </w:pPr>
    </w:p>
    <w:p w14:paraId="4E2B24B1" w14:textId="4CB58AEB" w:rsidR="005266DA" w:rsidRDefault="005266DA" w:rsidP="00A3037B">
      <w:pPr>
        <w:pStyle w:val="Heading1"/>
        <w:spacing w:line="360" w:lineRule="auto"/>
        <w:ind w:left="0"/>
        <w:rPr>
          <w:rFonts w:cs="Arial"/>
          <w:b w:val="0"/>
          <w:bCs/>
          <w:sz w:val="22"/>
          <w:szCs w:val="22"/>
        </w:rPr>
      </w:pPr>
      <w:r>
        <w:rPr>
          <w:rFonts w:cs="Arial"/>
          <w:b w:val="0"/>
          <w:bCs/>
          <w:sz w:val="22"/>
          <w:szCs w:val="22"/>
        </w:rPr>
        <w:t>In practice, this recommendation could be implemented through more proactive HbA1c screening in primary care, more systematic use of diabetes risk assessment tools, and stronger opportunistic case-finding during routine NHS contacts.  Community based screening in pharmacies, local out</w:t>
      </w:r>
      <w:r w:rsidR="00C66B96">
        <w:rPr>
          <w:rFonts w:cs="Arial"/>
          <w:b w:val="0"/>
          <w:bCs/>
          <w:sz w:val="22"/>
          <w:szCs w:val="22"/>
        </w:rPr>
        <w:t>reach clinics and faith or community venues could also improve reach beyond those routinely attend GP appointments.  This is realistic because it builds on existing NHS infrastructure rather than requiring a completely new service model.</w:t>
      </w:r>
    </w:p>
    <w:p w14:paraId="6B9F3F7F" w14:textId="5753DB14" w:rsidR="00C66B96" w:rsidRDefault="00C66B96" w:rsidP="00A3037B">
      <w:pPr>
        <w:pStyle w:val="Heading1"/>
        <w:spacing w:line="360" w:lineRule="auto"/>
        <w:ind w:left="0"/>
        <w:rPr>
          <w:rFonts w:cs="Arial"/>
          <w:b w:val="0"/>
          <w:bCs/>
          <w:sz w:val="22"/>
          <w:szCs w:val="22"/>
        </w:rPr>
      </w:pPr>
    </w:p>
    <w:p w14:paraId="4708767E" w14:textId="34D39939" w:rsidR="00C66B96" w:rsidRPr="004D4E0B" w:rsidRDefault="0087191D" w:rsidP="004D4E0B">
      <w:pPr>
        <w:spacing w:line="360" w:lineRule="auto"/>
        <w:rPr>
          <w:rFonts w:ascii="Arial" w:hAnsi="Arial" w:cs="Arial"/>
          <w:sz w:val="22"/>
          <w:szCs w:val="22"/>
        </w:rPr>
      </w:pPr>
      <w:r w:rsidRPr="004D4E0B">
        <w:rPr>
          <w:rFonts w:ascii="Arial" w:hAnsi="Arial" w:cs="Arial"/>
          <w:sz w:val="22"/>
          <w:szCs w:val="22"/>
        </w:rPr>
        <w:t>The principal advantage of earlier identification lies in the expansion of the prevention window. Individuals identified at the stage of non-diabetic hyperglycaemia can be referred to targeted prevention programmes prior to disease progression, while those with previously undiagnosed T2DM are able to initiate structured management at an earlier stage, thereby reducing the risk of complications</w:t>
      </w:r>
      <w:r w:rsidR="00E90E87" w:rsidRPr="004D4E0B">
        <w:rPr>
          <w:rFonts w:ascii="Arial" w:hAnsi="Arial" w:cs="Arial"/>
          <w:sz w:val="22"/>
          <w:szCs w:val="22"/>
        </w:rPr>
        <w:t xml:space="preserve"> </w:t>
      </w:r>
      <w:r w:rsidR="00E90E87" w:rsidRPr="004D4E0B">
        <w:rPr>
          <w:rFonts w:ascii="Arial" w:hAnsi="Arial" w:cs="Arial"/>
          <w:color w:val="000000"/>
          <w:sz w:val="22"/>
          <w:szCs w:val="22"/>
        </w:rPr>
        <w:t>(Bergman et al., 2012)</w:t>
      </w:r>
      <w:r w:rsidRPr="004D4E0B">
        <w:rPr>
          <w:rFonts w:ascii="Arial" w:hAnsi="Arial" w:cs="Arial"/>
          <w:sz w:val="22"/>
          <w:szCs w:val="22"/>
        </w:rPr>
        <w:t xml:space="preserve">. However, a key limitation relates to healthcare system capacity.  Primary care services are already operating under significant pressure, and the introduction of additional screening initiatives may further increase workload and resource demands.  Moreover, there is a risk that screening programmes may perpetuate existing health inequalities if they rely predominantly on patient-initiated engagement.  </w:t>
      </w:r>
    </w:p>
    <w:p w14:paraId="6C9435AD" w14:textId="0CDC30C0" w:rsidR="0087191D" w:rsidRDefault="0087191D" w:rsidP="00A3037B">
      <w:pPr>
        <w:pStyle w:val="Heading1"/>
        <w:spacing w:line="360" w:lineRule="auto"/>
        <w:ind w:left="0"/>
        <w:rPr>
          <w:rFonts w:cs="Arial"/>
          <w:b w:val="0"/>
          <w:bCs/>
          <w:sz w:val="22"/>
          <w:szCs w:val="22"/>
        </w:rPr>
      </w:pPr>
    </w:p>
    <w:p w14:paraId="7646F5D0" w14:textId="028A4DB8" w:rsidR="0087191D" w:rsidRPr="00A3037B" w:rsidRDefault="0087191D" w:rsidP="00A3037B">
      <w:pPr>
        <w:pStyle w:val="Heading1"/>
        <w:spacing w:line="360" w:lineRule="auto"/>
        <w:ind w:left="0"/>
        <w:rPr>
          <w:rFonts w:cs="Arial"/>
          <w:b w:val="0"/>
          <w:bCs/>
          <w:sz w:val="22"/>
          <w:szCs w:val="22"/>
        </w:rPr>
      </w:pPr>
      <w:r>
        <w:rPr>
          <w:rFonts w:cs="Arial"/>
          <w:b w:val="0"/>
          <w:bCs/>
          <w:sz w:val="22"/>
          <w:szCs w:val="22"/>
        </w:rPr>
        <w:t xml:space="preserve">To address these challenges, high-risk case-finding strategies should incorporate proactive outreach approaches and targeted interventions based on local population health data, rather than relying solely on passive invitation systems.  This may enhance accessibility </w:t>
      </w:r>
      <w:r w:rsidR="001E08F2">
        <w:rPr>
          <w:rFonts w:cs="Arial"/>
          <w:b w:val="0"/>
          <w:bCs/>
          <w:sz w:val="22"/>
          <w:szCs w:val="22"/>
        </w:rPr>
        <w:t>and improve uptake among underserved or high-risk groups.</w:t>
      </w:r>
    </w:p>
    <w:p w14:paraId="51928C20" w14:textId="7E168E20" w:rsidR="00A3037B" w:rsidRDefault="00A3037B" w:rsidP="00A3037B">
      <w:pPr>
        <w:pStyle w:val="Heading1"/>
        <w:ind w:left="0"/>
        <w:rPr>
          <w:rFonts w:cs="Arial"/>
          <w:sz w:val="22"/>
          <w:szCs w:val="22"/>
        </w:rPr>
      </w:pPr>
    </w:p>
    <w:p w14:paraId="2410DBF0" w14:textId="26BA62C3" w:rsidR="001C34F5" w:rsidRPr="00E52633" w:rsidRDefault="001C34F5" w:rsidP="00864A09">
      <w:pPr>
        <w:pStyle w:val="Heading1"/>
        <w:ind w:left="0"/>
        <w:rPr>
          <w:rFonts w:cs="Arial"/>
        </w:rPr>
      </w:pPr>
      <w:r w:rsidRPr="00E52633">
        <w:rPr>
          <w:rFonts w:cs="Arial"/>
        </w:rPr>
        <w:t>5.2.2 – Recommendation 2</w:t>
      </w:r>
      <w:r w:rsidR="00864A09" w:rsidRPr="00E52633">
        <w:rPr>
          <w:rFonts w:cs="Arial"/>
        </w:rPr>
        <w:t>: Deliver culturally and socially tailored lifestyle support rather than one-size-fits-all advice</w:t>
      </w:r>
    </w:p>
    <w:p w14:paraId="576BA20A" w14:textId="5734333F" w:rsidR="00864A09" w:rsidRDefault="00864A09" w:rsidP="00864A09">
      <w:pPr>
        <w:pStyle w:val="Heading1"/>
        <w:ind w:left="0"/>
        <w:rPr>
          <w:rFonts w:cs="Arial"/>
          <w:sz w:val="22"/>
          <w:szCs w:val="22"/>
        </w:rPr>
      </w:pPr>
    </w:p>
    <w:p w14:paraId="089EDB05" w14:textId="5561D83C" w:rsidR="00864A09" w:rsidRPr="004D4E0B" w:rsidRDefault="00864A09" w:rsidP="004D4E0B">
      <w:pPr>
        <w:spacing w:line="360" w:lineRule="auto"/>
        <w:rPr>
          <w:rFonts w:ascii="Arial" w:hAnsi="Arial" w:cs="Arial"/>
          <w:sz w:val="22"/>
          <w:szCs w:val="22"/>
        </w:rPr>
      </w:pPr>
      <w:r w:rsidRPr="004D4E0B">
        <w:rPr>
          <w:rFonts w:ascii="Arial" w:hAnsi="Arial" w:cs="Arial"/>
          <w:sz w:val="22"/>
          <w:szCs w:val="22"/>
        </w:rPr>
        <w:t xml:space="preserve">A second recommendation is that prevention and self-management support should be more culturally responsive and socially realistic.  The dissertation findings suggest that generic advice on diet, exercise and weight loss is often clinically sound but may not be sufficiently </w:t>
      </w:r>
      <w:r w:rsidRPr="004D4E0B">
        <w:rPr>
          <w:rFonts w:ascii="Arial" w:hAnsi="Arial" w:cs="Arial"/>
          <w:sz w:val="22"/>
          <w:szCs w:val="22"/>
        </w:rPr>
        <w:lastRenderedPageBreak/>
        <w:t>tailored to the realities of people’s lives.  This is especially relevant for adults experiencing financial pressure, insecure work patterns, poor access to healthy food, or cultural disconnect between health advice and everyday eating practices.  Recent UK evidence also suggests that uptake and adherence to current support can be lower in some minority ethnic groups, even where risk is higher</w:t>
      </w:r>
      <w:r w:rsidR="004D4E0B" w:rsidRPr="004D4E0B">
        <w:rPr>
          <w:rFonts w:ascii="Arial" w:hAnsi="Arial" w:cs="Arial"/>
          <w:sz w:val="22"/>
          <w:szCs w:val="22"/>
        </w:rPr>
        <w:t xml:space="preserve"> </w:t>
      </w:r>
      <w:r w:rsidR="004D4E0B" w:rsidRPr="004D4E0B">
        <w:rPr>
          <w:rFonts w:ascii="Arial" w:hAnsi="Arial" w:cs="Arial"/>
          <w:color w:val="000000"/>
          <w:sz w:val="22"/>
          <w:szCs w:val="22"/>
        </w:rPr>
        <w:t>(Raleigh, 2023)</w:t>
      </w:r>
      <w:r w:rsidRPr="004D4E0B">
        <w:rPr>
          <w:rFonts w:ascii="Arial" w:hAnsi="Arial" w:cs="Arial"/>
          <w:sz w:val="22"/>
          <w:szCs w:val="22"/>
        </w:rPr>
        <w:t>.</w:t>
      </w:r>
    </w:p>
    <w:p w14:paraId="113E935C" w14:textId="123A54F2" w:rsidR="00864A09" w:rsidRDefault="00864A09" w:rsidP="00864A09">
      <w:pPr>
        <w:pStyle w:val="Heading1"/>
        <w:spacing w:line="360" w:lineRule="auto"/>
        <w:ind w:left="0"/>
        <w:rPr>
          <w:rFonts w:cs="Arial"/>
          <w:b w:val="0"/>
          <w:bCs/>
          <w:sz w:val="22"/>
          <w:szCs w:val="22"/>
        </w:rPr>
      </w:pPr>
    </w:p>
    <w:p w14:paraId="62D986C7" w14:textId="0C9F6311" w:rsidR="00864A09" w:rsidRDefault="00864A09" w:rsidP="00864A09">
      <w:pPr>
        <w:pStyle w:val="Heading1"/>
        <w:spacing w:line="360" w:lineRule="auto"/>
        <w:ind w:left="0"/>
        <w:rPr>
          <w:rFonts w:cs="Arial"/>
          <w:b w:val="0"/>
          <w:bCs/>
          <w:sz w:val="22"/>
          <w:szCs w:val="22"/>
        </w:rPr>
      </w:pPr>
      <w:r>
        <w:rPr>
          <w:rFonts w:cs="Arial"/>
          <w:b w:val="0"/>
          <w:bCs/>
          <w:sz w:val="22"/>
          <w:szCs w:val="22"/>
        </w:rPr>
        <w:t>In practic</w:t>
      </w:r>
      <w:r w:rsidR="000A03D2">
        <w:rPr>
          <w:rFonts w:cs="Arial"/>
          <w:b w:val="0"/>
          <w:bCs/>
          <w:sz w:val="22"/>
          <w:szCs w:val="22"/>
        </w:rPr>
        <w:t>e, this recommendation means adapting interventions to the communiti</w:t>
      </w:r>
      <w:r w:rsidR="00FA1A6E">
        <w:rPr>
          <w:rFonts w:cs="Arial"/>
          <w:b w:val="0"/>
          <w:bCs/>
          <w:sz w:val="22"/>
          <w:szCs w:val="22"/>
        </w:rPr>
        <w:t xml:space="preserve">es they are meant to serve.  Dietary advice should reflect culturally relevant foods.  Physical activity support </w:t>
      </w:r>
      <w:r w:rsidR="00610369">
        <w:rPr>
          <w:rFonts w:cs="Arial"/>
          <w:b w:val="0"/>
          <w:bCs/>
          <w:sz w:val="22"/>
          <w:szCs w:val="22"/>
        </w:rPr>
        <w:t>should consider affordability, local safety and time constraints.  Education should use accessible language and offer flexible delivery formats, including community groups and digital options where appropriate.  This is not about diluting evidence-based care; it is about making it usable in real life.</w:t>
      </w:r>
    </w:p>
    <w:p w14:paraId="59A83574" w14:textId="25177869" w:rsidR="00610369" w:rsidRDefault="00610369" w:rsidP="00864A09">
      <w:pPr>
        <w:pStyle w:val="Heading1"/>
        <w:spacing w:line="360" w:lineRule="auto"/>
        <w:ind w:left="0"/>
        <w:rPr>
          <w:rFonts w:cs="Arial"/>
          <w:b w:val="0"/>
          <w:bCs/>
          <w:sz w:val="22"/>
          <w:szCs w:val="22"/>
        </w:rPr>
      </w:pPr>
    </w:p>
    <w:p w14:paraId="107322BF" w14:textId="684B89FD" w:rsidR="00610369" w:rsidRPr="00F97153" w:rsidRDefault="00610369" w:rsidP="00F97153">
      <w:pPr>
        <w:spacing w:line="360" w:lineRule="auto"/>
        <w:rPr>
          <w:rFonts w:ascii="Arial" w:hAnsi="Arial" w:cs="Arial"/>
          <w:sz w:val="22"/>
          <w:szCs w:val="22"/>
        </w:rPr>
      </w:pPr>
      <w:r w:rsidRPr="00F97153">
        <w:rPr>
          <w:rFonts w:ascii="Arial" w:hAnsi="Arial" w:cs="Arial"/>
          <w:sz w:val="22"/>
          <w:szCs w:val="22"/>
        </w:rPr>
        <w:t>The advantage is improved engagement, better retention and potentially more equitable outcomes. People are far more likely to follow advice that feels realistic, respectful and relevant.  The barrier is that tailored intervention takes more design effort, workforce training and local engagement than standardised messaging.  There is also a risk of tokenism, where services claim to be person-centred without making meaningful adaption.  This can be addressed through co-production with service users and local communities, ensuring programmes are shaped by the people most affected rather than imposed on them</w:t>
      </w:r>
      <w:r w:rsidR="00F97153" w:rsidRPr="00F97153">
        <w:rPr>
          <w:rFonts w:ascii="Arial" w:hAnsi="Arial" w:cs="Arial"/>
          <w:sz w:val="22"/>
          <w:szCs w:val="22"/>
        </w:rPr>
        <w:t xml:space="preserve"> </w:t>
      </w:r>
      <w:r w:rsidR="00F97153" w:rsidRPr="00F97153">
        <w:rPr>
          <w:rFonts w:ascii="Arial" w:hAnsi="Arial" w:cs="Arial"/>
          <w:color w:val="000000"/>
          <w:sz w:val="22"/>
          <w:szCs w:val="22"/>
        </w:rPr>
        <w:t>(Conquer et al., 2024)</w:t>
      </w:r>
      <w:r w:rsidRPr="00F97153">
        <w:rPr>
          <w:rFonts w:ascii="Arial" w:hAnsi="Arial" w:cs="Arial"/>
          <w:sz w:val="22"/>
          <w:szCs w:val="22"/>
        </w:rPr>
        <w:t xml:space="preserve">. </w:t>
      </w:r>
    </w:p>
    <w:p w14:paraId="35D257C9" w14:textId="77777777" w:rsidR="001C34F5" w:rsidRPr="005C5E80" w:rsidRDefault="001C34F5" w:rsidP="001C34F5">
      <w:pPr>
        <w:pStyle w:val="Heading1"/>
        <w:rPr>
          <w:rFonts w:ascii="Aptos" w:hAnsi="Aptos"/>
          <w:sz w:val="28"/>
          <w:szCs w:val="28"/>
        </w:rPr>
      </w:pPr>
    </w:p>
    <w:p w14:paraId="617E8C70" w14:textId="3B1CA50F" w:rsidR="001C34F5" w:rsidRPr="00E52633" w:rsidRDefault="001C34F5" w:rsidP="00610369">
      <w:pPr>
        <w:pStyle w:val="Heading1"/>
        <w:ind w:left="0"/>
        <w:rPr>
          <w:rFonts w:cs="Arial"/>
        </w:rPr>
      </w:pPr>
      <w:r w:rsidRPr="00E52633">
        <w:rPr>
          <w:rFonts w:cs="Arial"/>
        </w:rPr>
        <w:t>5.2.3 – Recommendation 3</w:t>
      </w:r>
      <w:r w:rsidR="00610369" w:rsidRPr="00E52633">
        <w:rPr>
          <w:rFonts w:cs="Arial"/>
        </w:rPr>
        <w:t>: Shift policy further upstream by addressing obesity and deprivation as drivers of diabetes risk</w:t>
      </w:r>
    </w:p>
    <w:p w14:paraId="54F51693" w14:textId="596FF558" w:rsidR="0031157E" w:rsidRDefault="0031157E" w:rsidP="00610369">
      <w:pPr>
        <w:pStyle w:val="Heading1"/>
        <w:ind w:left="0"/>
        <w:rPr>
          <w:rFonts w:cs="Arial"/>
          <w:sz w:val="22"/>
          <w:szCs w:val="22"/>
        </w:rPr>
      </w:pPr>
    </w:p>
    <w:p w14:paraId="3724190C" w14:textId="414CFE0C" w:rsidR="0031157E" w:rsidRPr="00B15E54" w:rsidRDefault="009339DC" w:rsidP="00B15E54">
      <w:pPr>
        <w:spacing w:line="360" w:lineRule="auto"/>
        <w:rPr>
          <w:rFonts w:ascii="Arial" w:hAnsi="Arial" w:cs="Arial"/>
          <w:sz w:val="22"/>
          <w:szCs w:val="22"/>
        </w:rPr>
      </w:pPr>
      <w:r w:rsidRPr="00B15E54">
        <w:rPr>
          <w:rFonts w:ascii="Arial" w:hAnsi="Arial" w:cs="Arial"/>
          <w:sz w:val="22"/>
          <w:szCs w:val="22"/>
        </w:rPr>
        <w:t>The final recommendation is that future practice should place stronger emphasis on upstream prevention.  The dissertation findings repeatedly show that T2DM is not driven only by personal behaviour but by obesogenic and unequal environments.</w:t>
      </w:r>
      <w:r w:rsidR="00504D1F" w:rsidRPr="00B15E54">
        <w:rPr>
          <w:rFonts w:ascii="Arial" w:hAnsi="Arial" w:cs="Arial"/>
          <w:sz w:val="22"/>
          <w:szCs w:val="22"/>
        </w:rPr>
        <w:t xml:space="preserve">  National obesity data remain high, and the literature shows clear links between deprivation, poor access to healthy food, lower preventive care uptake and increased diabetes risk.  If prevention remains focused only on individual advice after risk has already accumulated, then long-term reduction in prevalence is likely to remain limited</w:t>
      </w:r>
      <w:r w:rsidR="00B15E54" w:rsidRPr="00B15E54">
        <w:rPr>
          <w:rFonts w:ascii="Arial" w:hAnsi="Arial" w:cs="Arial"/>
          <w:sz w:val="22"/>
          <w:szCs w:val="22"/>
        </w:rPr>
        <w:t xml:space="preserve"> </w:t>
      </w:r>
      <w:r w:rsidR="00B15E54" w:rsidRPr="00B15E54">
        <w:rPr>
          <w:rFonts w:ascii="Arial" w:hAnsi="Arial" w:cs="Arial"/>
          <w:color w:val="000000"/>
          <w:sz w:val="22"/>
          <w:szCs w:val="22"/>
        </w:rPr>
        <w:t>(Ahmed and Mohammed, 2025)</w:t>
      </w:r>
      <w:r w:rsidR="00504D1F" w:rsidRPr="00B15E54">
        <w:rPr>
          <w:rFonts w:ascii="Arial" w:hAnsi="Arial" w:cs="Arial"/>
          <w:sz w:val="22"/>
          <w:szCs w:val="22"/>
        </w:rPr>
        <w:t>.</w:t>
      </w:r>
    </w:p>
    <w:p w14:paraId="78ABE45A" w14:textId="75644D86" w:rsidR="00504D1F" w:rsidRDefault="00504D1F" w:rsidP="0031157E">
      <w:pPr>
        <w:pStyle w:val="Heading1"/>
        <w:spacing w:line="360" w:lineRule="auto"/>
        <w:ind w:left="0"/>
        <w:rPr>
          <w:rFonts w:cs="Arial"/>
          <w:b w:val="0"/>
          <w:bCs/>
          <w:sz w:val="22"/>
          <w:szCs w:val="22"/>
        </w:rPr>
      </w:pPr>
    </w:p>
    <w:p w14:paraId="23FEFF33" w14:textId="46150BDA" w:rsidR="00504D1F" w:rsidRDefault="00504D1F" w:rsidP="0031157E">
      <w:pPr>
        <w:pStyle w:val="Heading1"/>
        <w:spacing w:line="360" w:lineRule="auto"/>
        <w:ind w:left="0"/>
        <w:rPr>
          <w:rFonts w:cs="Arial"/>
          <w:b w:val="0"/>
          <w:bCs/>
          <w:sz w:val="22"/>
          <w:szCs w:val="22"/>
        </w:rPr>
      </w:pPr>
      <w:r>
        <w:rPr>
          <w:rFonts w:cs="Arial"/>
          <w:b w:val="0"/>
          <w:bCs/>
          <w:sz w:val="22"/>
          <w:szCs w:val="22"/>
        </w:rPr>
        <w:t xml:space="preserve">In practice, this means greater alignment between diabetes strategy and wider public health action on poverty, local food environments, integrated care systems and NHS organisations should use population data to identify areas of greatest metabolic risk and prioritise them for </w:t>
      </w:r>
      <w:r>
        <w:rPr>
          <w:rFonts w:cs="Arial"/>
          <w:b w:val="0"/>
          <w:bCs/>
          <w:sz w:val="22"/>
          <w:szCs w:val="22"/>
        </w:rPr>
        <w:lastRenderedPageBreak/>
        <w:t>preventive investment.  This could include improved access to affordable healthy food, more local weight management support, and environmental planning that makes physical activity more feasible.</w:t>
      </w:r>
    </w:p>
    <w:p w14:paraId="30747D11" w14:textId="7FEECAF7" w:rsidR="00504D1F" w:rsidRDefault="00504D1F" w:rsidP="0031157E">
      <w:pPr>
        <w:pStyle w:val="Heading1"/>
        <w:spacing w:line="360" w:lineRule="auto"/>
        <w:ind w:left="0"/>
        <w:rPr>
          <w:rFonts w:cs="Arial"/>
          <w:b w:val="0"/>
          <w:bCs/>
          <w:sz w:val="22"/>
          <w:szCs w:val="22"/>
        </w:rPr>
      </w:pPr>
    </w:p>
    <w:p w14:paraId="06ED651D" w14:textId="1E2831B9" w:rsidR="00504D1F" w:rsidRPr="009339DC" w:rsidRDefault="00504D1F" w:rsidP="0031157E">
      <w:pPr>
        <w:pStyle w:val="Heading1"/>
        <w:spacing w:line="360" w:lineRule="auto"/>
        <w:ind w:left="0"/>
        <w:rPr>
          <w:rFonts w:cs="Arial"/>
          <w:b w:val="0"/>
          <w:bCs/>
          <w:sz w:val="22"/>
          <w:szCs w:val="22"/>
        </w:rPr>
      </w:pPr>
      <w:r>
        <w:rPr>
          <w:rFonts w:cs="Arial"/>
          <w:b w:val="0"/>
          <w:bCs/>
          <w:sz w:val="22"/>
          <w:szCs w:val="22"/>
        </w:rPr>
        <w:t>The strength of this recommendation is that it targets root causes rather than relying entirely on downstream treatment.  It may also produce wider benefits beyond diabetes, including lower cardiovascular risk and improved general health.  The barrier is that upstream action is politically harder and often slower to show results than clinical interventions.  It requires</w:t>
      </w:r>
      <w:r w:rsidR="00263303">
        <w:rPr>
          <w:rFonts w:cs="Arial"/>
          <w:b w:val="0"/>
          <w:bCs/>
          <w:sz w:val="22"/>
          <w:szCs w:val="22"/>
        </w:rPr>
        <w:t xml:space="preserve"> cross-sector cooperation, long-term funding and a </w:t>
      </w:r>
      <w:r w:rsidR="00FF6A5D">
        <w:rPr>
          <w:rFonts w:cs="Arial"/>
          <w:b w:val="0"/>
          <w:bCs/>
          <w:sz w:val="22"/>
          <w:szCs w:val="22"/>
        </w:rPr>
        <w:t>willingness to tackle inequality directly.  These challenges can be partly overcome by linking local diabetes data to commissioning priorities and by evaluating prevention not only in terms of short-term output, but in relation to long-term reductions in inequality and disease burden.  Bluntly, the NHS cannot treat its way out a preventable epidemic if the conditions generating that epidemic are left untouched</w:t>
      </w:r>
      <w:r w:rsidR="00267FB5">
        <w:rPr>
          <w:rFonts w:cs="Arial"/>
          <w:b w:val="0"/>
          <w:bCs/>
          <w:sz w:val="22"/>
          <w:szCs w:val="22"/>
        </w:rPr>
        <w:t>.</w:t>
      </w:r>
    </w:p>
    <w:p w14:paraId="4EDE9D65" w14:textId="77777777" w:rsidR="001C34F5" w:rsidRDefault="001C34F5" w:rsidP="001C34F5"/>
    <w:p w14:paraId="4D491D6F" w14:textId="77777777" w:rsidR="001C34F5" w:rsidRDefault="001C34F5" w:rsidP="001C34F5"/>
    <w:p w14:paraId="08FAFAD4" w14:textId="77777777" w:rsidR="001C34F5" w:rsidRDefault="001C34F5" w:rsidP="001C34F5"/>
    <w:p w14:paraId="1F753FC7" w14:textId="77777777" w:rsidR="001C34F5" w:rsidRDefault="001C34F5" w:rsidP="001C34F5"/>
    <w:p w14:paraId="701C87F0" w14:textId="77777777" w:rsidR="001C34F5" w:rsidRDefault="001C34F5" w:rsidP="001C34F5"/>
    <w:p w14:paraId="1197E971" w14:textId="77777777" w:rsidR="001C34F5" w:rsidRDefault="001C34F5" w:rsidP="001C34F5"/>
    <w:p w14:paraId="0BE35338" w14:textId="77777777" w:rsidR="001C34F5" w:rsidRDefault="001C34F5" w:rsidP="001C34F5"/>
    <w:p w14:paraId="7A24B1F1" w14:textId="598A779F" w:rsidR="004C3695" w:rsidRDefault="004C3695" w:rsidP="00903B48">
      <w:pPr>
        <w:spacing w:line="360" w:lineRule="auto"/>
      </w:pPr>
    </w:p>
    <w:p w14:paraId="301BEA40" w14:textId="39F66AC6" w:rsidR="006D393E" w:rsidRDefault="006D393E" w:rsidP="00903B48">
      <w:pPr>
        <w:spacing w:line="360" w:lineRule="auto"/>
      </w:pPr>
    </w:p>
    <w:p w14:paraId="3D6AF962" w14:textId="4BEDFB12" w:rsidR="006D393E" w:rsidRDefault="006D393E" w:rsidP="00903B48">
      <w:pPr>
        <w:spacing w:line="360" w:lineRule="auto"/>
      </w:pPr>
    </w:p>
    <w:p w14:paraId="03C5AC8C" w14:textId="51792384" w:rsidR="006D393E" w:rsidRDefault="006D393E" w:rsidP="00903B48">
      <w:pPr>
        <w:spacing w:line="360" w:lineRule="auto"/>
      </w:pPr>
    </w:p>
    <w:p w14:paraId="2F5462AF" w14:textId="535AA459" w:rsidR="006D393E" w:rsidRDefault="006D393E" w:rsidP="00903B48">
      <w:pPr>
        <w:spacing w:line="360" w:lineRule="auto"/>
      </w:pPr>
    </w:p>
    <w:p w14:paraId="575FBCD4" w14:textId="0EDBEA55" w:rsidR="006D393E" w:rsidRDefault="006D393E" w:rsidP="00903B48">
      <w:pPr>
        <w:spacing w:line="360" w:lineRule="auto"/>
      </w:pPr>
    </w:p>
    <w:p w14:paraId="25B98623" w14:textId="595BBC96" w:rsidR="006D393E" w:rsidRDefault="006D393E" w:rsidP="00903B48">
      <w:pPr>
        <w:spacing w:line="360" w:lineRule="auto"/>
      </w:pPr>
    </w:p>
    <w:p w14:paraId="2F5EB876" w14:textId="5FD744E8" w:rsidR="006D393E" w:rsidRDefault="006D393E" w:rsidP="00903B48">
      <w:pPr>
        <w:spacing w:line="360" w:lineRule="auto"/>
      </w:pPr>
    </w:p>
    <w:p w14:paraId="607B6167" w14:textId="606B3458" w:rsidR="006D393E" w:rsidRDefault="006D393E" w:rsidP="00903B48">
      <w:pPr>
        <w:spacing w:line="360" w:lineRule="auto"/>
      </w:pPr>
    </w:p>
    <w:p w14:paraId="0BC40E55" w14:textId="7B6677BE" w:rsidR="002A6C4F" w:rsidRDefault="002A6C4F" w:rsidP="00903B48">
      <w:pPr>
        <w:spacing w:line="360" w:lineRule="auto"/>
      </w:pPr>
    </w:p>
    <w:p w14:paraId="250C9BF3" w14:textId="26FD5389" w:rsidR="002A6C4F" w:rsidRDefault="002A6C4F" w:rsidP="00903B48">
      <w:pPr>
        <w:spacing w:line="360" w:lineRule="auto"/>
      </w:pPr>
    </w:p>
    <w:p w14:paraId="5F7A877C" w14:textId="7AAC7C48" w:rsidR="00041B0B" w:rsidRDefault="00041B0B" w:rsidP="00903B48">
      <w:pPr>
        <w:spacing w:line="360" w:lineRule="auto"/>
      </w:pPr>
    </w:p>
    <w:p w14:paraId="4628C700" w14:textId="256713C2" w:rsidR="00041B0B" w:rsidRDefault="00041B0B" w:rsidP="00903B48">
      <w:pPr>
        <w:spacing w:line="360" w:lineRule="auto"/>
      </w:pPr>
    </w:p>
    <w:p w14:paraId="7E6DBB43" w14:textId="52B5E59C" w:rsidR="00041B0B" w:rsidRDefault="00041B0B" w:rsidP="00903B48">
      <w:pPr>
        <w:spacing w:line="360" w:lineRule="auto"/>
      </w:pPr>
    </w:p>
    <w:p w14:paraId="27367DA5" w14:textId="77777777" w:rsidR="00041B0B" w:rsidRDefault="00041B0B" w:rsidP="00903B48">
      <w:pPr>
        <w:spacing w:line="360" w:lineRule="auto"/>
      </w:pPr>
    </w:p>
    <w:p w14:paraId="26D50ADD" w14:textId="77777777" w:rsidR="00E52633" w:rsidRDefault="00E52633" w:rsidP="00903B48">
      <w:pPr>
        <w:spacing w:line="360" w:lineRule="auto"/>
      </w:pPr>
    </w:p>
    <w:p w14:paraId="087B503D" w14:textId="56692E72" w:rsidR="002C0BD1" w:rsidRDefault="00420763" w:rsidP="00903B48">
      <w:pPr>
        <w:spacing w:line="360" w:lineRule="auto"/>
      </w:pPr>
      <w:r>
        <w:lastRenderedPageBreak/>
        <w:t xml:space="preserve">                                                </w:t>
      </w:r>
      <w:r w:rsidR="002C0BD1">
        <w:t>SOURCE TRACKING TABLE</w:t>
      </w:r>
    </w:p>
    <w:p w14:paraId="5B4C4042" w14:textId="77777777" w:rsidR="002C0BD1" w:rsidRDefault="002C0BD1" w:rsidP="00903B48">
      <w:pPr>
        <w:spacing w:line="360" w:lineRule="auto"/>
      </w:pPr>
    </w:p>
    <w:tbl>
      <w:tblPr>
        <w:tblStyle w:val="TableGrid"/>
        <w:tblW w:w="11058" w:type="dxa"/>
        <w:tblInd w:w="-998" w:type="dxa"/>
        <w:tblLayout w:type="fixed"/>
        <w:tblLook w:val="04A0" w:firstRow="1" w:lastRow="0" w:firstColumn="1" w:lastColumn="0" w:noHBand="0" w:noVBand="1"/>
      </w:tblPr>
      <w:tblGrid>
        <w:gridCol w:w="1283"/>
        <w:gridCol w:w="1576"/>
        <w:gridCol w:w="1469"/>
        <w:gridCol w:w="1429"/>
        <w:gridCol w:w="5301"/>
      </w:tblGrid>
      <w:tr w:rsidR="009E2E17" w14:paraId="609B3FCD" w14:textId="77777777" w:rsidTr="00122C40">
        <w:trPr>
          <w:trHeight w:val="813"/>
        </w:trPr>
        <w:tc>
          <w:tcPr>
            <w:tcW w:w="1283" w:type="dxa"/>
          </w:tcPr>
          <w:p w14:paraId="0D1B0D01" w14:textId="5E58EBD8" w:rsidR="009E2E17" w:rsidRDefault="009E2E17" w:rsidP="00903B48">
            <w:pPr>
              <w:spacing w:line="360" w:lineRule="auto"/>
            </w:pPr>
            <w:r>
              <w:t>Author (</w:t>
            </w:r>
            <w:r w:rsidR="00037342">
              <w:t>s) &amp;</w:t>
            </w:r>
            <w:r>
              <w:t xml:space="preserve"> Year</w:t>
            </w:r>
          </w:p>
        </w:tc>
        <w:tc>
          <w:tcPr>
            <w:tcW w:w="1576" w:type="dxa"/>
          </w:tcPr>
          <w:p w14:paraId="61CE99A8" w14:textId="72F6BF69" w:rsidR="009E2E17" w:rsidRDefault="009E2E17" w:rsidP="00903B48">
            <w:pPr>
              <w:spacing w:line="360" w:lineRule="auto"/>
            </w:pPr>
            <w:r>
              <w:t>Title</w:t>
            </w:r>
          </w:p>
        </w:tc>
        <w:tc>
          <w:tcPr>
            <w:tcW w:w="1469" w:type="dxa"/>
          </w:tcPr>
          <w:p w14:paraId="4DE9A802" w14:textId="5371D3A6" w:rsidR="009E2E17" w:rsidRDefault="009E2E17" w:rsidP="00903B48">
            <w:pPr>
              <w:spacing w:line="360" w:lineRule="auto"/>
            </w:pPr>
            <w:r>
              <w:t>Summary</w:t>
            </w:r>
          </w:p>
        </w:tc>
        <w:tc>
          <w:tcPr>
            <w:tcW w:w="1429" w:type="dxa"/>
          </w:tcPr>
          <w:p w14:paraId="17DF36BC" w14:textId="0F64501F" w:rsidR="009E2E17" w:rsidRDefault="009E2E17" w:rsidP="00903B48">
            <w:pPr>
              <w:spacing w:line="360" w:lineRule="auto"/>
            </w:pPr>
            <w:r>
              <w:t>CRAAP Notes</w:t>
            </w:r>
          </w:p>
        </w:tc>
        <w:tc>
          <w:tcPr>
            <w:tcW w:w="5301" w:type="dxa"/>
          </w:tcPr>
          <w:p w14:paraId="69439440" w14:textId="0F3816E3" w:rsidR="009E2E17" w:rsidRDefault="009E2E17" w:rsidP="00903B48">
            <w:pPr>
              <w:spacing w:line="360" w:lineRule="auto"/>
            </w:pPr>
            <w:r>
              <w:t>Link to Source</w:t>
            </w:r>
          </w:p>
        </w:tc>
      </w:tr>
      <w:tr w:rsidR="009E2E17" w14:paraId="57A1493D" w14:textId="77777777" w:rsidTr="00122C40">
        <w:trPr>
          <w:trHeight w:val="6134"/>
        </w:trPr>
        <w:tc>
          <w:tcPr>
            <w:tcW w:w="1283" w:type="dxa"/>
          </w:tcPr>
          <w:p w14:paraId="6E615D4B" w14:textId="03DE64F5" w:rsidR="009E2E17" w:rsidRDefault="00FF1E56" w:rsidP="00903B48">
            <w:pPr>
              <w:spacing w:line="360" w:lineRule="auto"/>
            </w:pPr>
            <w:r>
              <w:t>Mcmanus et al.</w:t>
            </w:r>
            <w:r w:rsidR="007C2788">
              <w:t xml:space="preserve"> 2022</w:t>
            </w:r>
          </w:p>
        </w:tc>
        <w:tc>
          <w:tcPr>
            <w:tcW w:w="1576" w:type="dxa"/>
          </w:tcPr>
          <w:p w14:paraId="28450A0C" w14:textId="38F70F9F" w:rsidR="009E2E17" w:rsidRDefault="0055345C" w:rsidP="00903B48">
            <w:pPr>
              <w:spacing w:line="360" w:lineRule="auto"/>
            </w:pPr>
            <w:r>
              <w:rPr>
                <w:color w:val="000000"/>
              </w:rPr>
              <w:t>Population Level Impact of the NHS Diabetes Prevention Programme on Incidence of Type 2 Diabetes in England</w:t>
            </w:r>
          </w:p>
        </w:tc>
        <w:tc>
          <w:tcPr>
            <w:tcW w:w="1469" w:type="dxa"/>
          </w:tcPr>
          <w:p w14:paraId="7B9F3550" w14:textId="456E4184" w:rsidR="009E2E17" w:rsidRDefault="0055345C" w:rsidP="00903B48">
            <w:pPr>
              <w:spacing w:line="360" w:lineRule="auto"/>
            </w:pPr>
            <w:r>
              <w:t xml:space="preserve">This article focuses on current prevention programmes which are available through NHS provision current incidence rates. </w:t>
            </w:r>
          </w:p>
        </w:tc>
        <w:tc>
          <w:tcPr>
            <w:tcW w:w="1429" w:type="dxa"/>
          </w:tcPr>
          <w:p w14:paraId="7791B4C2" w14:textId="4CB1869B" w:rsidR="009E2E17" w:rsidRDefault="0055345C" w:rsidP="00903B48">
            <w:pPr>
              <w:spacing w:line="360" w:lineRule="auto"/>
            </w:pPr>
            <w:r>
              <w:t>Currency - 2022</w:t>
            </w:r>
          </w:p>
          <w:p w14:paraId="515A8423" w14:textId="37E0320A" w:rsidR="0055345C" w:rsidRDefault="0055345C" w:rsidP="00903B48">
            <w:pPr>
              <w:spacing w:line="360" w:lineRule="auto"/>
            </w:pPr>
            <w:r>
              <w:t xml:space="preserve">Relevance – yes because the article is about Diabetes. </w:t>
            </w:r>
          </w:p>
          <w:p w14:paraId="74A903DB" w14:textId="1322AEB8" w:rsidR="0055345C" w:rsidRDefault="0055345C" w:rsidP="00903B48">
            <w:pPr>
              <w:spacing w:line="360" w:lineRule="auto"/>
            </w:pPr>
            <w:r>
              <w:t xml:space="preserve">Authority – Peer reviewed Journal </w:t>
            </w:r>
          </w:p>
          <w:p w14:paraId="5256A42A" w14:textId="777B0073" w:rsidR="0055345C" w:rsidRDefault="0055345C" w:rsidP="00903B48">
            <w:pPr>
              <w:spacing w:line="360" w:lineRule="auto"/>
            </w:pPr>
            <w:r>
              <w:t>Accuracy - Yes</w:t>
            </w:r>
          </w:p>
          <w:p w14:paraId="25CD3ECB" w14:textId="0437801F" w:rsidR="0055345C" w:rsidRDefault="0055345C" w:rsidP="00903B48">
            <w:pPr>
              <w:spacing w:line="360" w:lineRule="auto"/>
            </w:pPr>
            <w:r>
              <w:t>Purpose - Yes</w:t>
            </w:r>
          </w:p>
        </w:tc>
        <w:tc>
          <w:tcPr>
            <w:tcW w:w="5301" w:type="dxa"/>
          </w:tcPr>
          <w:p w14:paraId="4DEEA79E" w14:textId="3788C974" w:rsidR="009E2E17" w:rsidRDefault="00122C40" w:rsidP="00903B48">
            <w:pPr>
              <w:spacing w:line="360" w:lineRule="auto"/>
            </w:pPr>
            <w:hyperlink r:id="rId7" w:history="1">
              <w:r w:rsidR="0055345C" w:rsidRPr="000C100F">
                <w:rPr>
                  <w:rStyle w:val="Hyperlink"/>
                </w:rPr>
                <w:t>https://pubmed.ncbi.nlm.nih.gov/35664052/</w:t>
              </w:r>
            </w:hyperlink>
            <w:r w:rsidR="0055345C">
              <w:t xml:space="preserve"> </w:t>
            </w:r>
          </w:p>
        </w:tc>
      </w:tr>
      <w:tr w:rsidR="009E2E17" w14:paraId="2FF67ECE" w14:textId="77777777" w:rsidTr="00122C40">
        <w:trPr>
          <w:trHeight w:val="1220"/>
        </w:trPr>
        <w:tc>
          <w:tcPr>
            <w:tcW w:w="1283" w:type="dxa"/>
          </w:tcPr>
          <w:p w14:paraId="10700435" w14:textId="008B14A8" w:rsidR="009E2E17" w:rsidRDefault="009C0239" w:rsidP="00903B48">
            <w:pPr>
              <w:spacing w:line="360" w:lineRule="auto"/>
            </w:pPr>
            <w:r>
              <w:t>Reed et al. (2021)</w:t>
            </w:r>
          </w:p>
        </w:tc>
        <w:tc>
          <w:tcPr>
            <w:tcW w:w="1576" w:type="dxa"/>
          </w:tcPr>
          <w:p w14:paraId="345E0D0B" w14:textId="05A034A0" w:rsidR="009E2E17" w:rsidRDefault="009C0239" w:rsidP="00903B48">
            <w:pPr>
              <w:spacing w:line="360" w:lineRule="auto"/>
            </w:pPr>
            <w:r>
              <w:t>T2DM Epidemiology Review</w:t>
            </w:r>
          </w:p>
        </w:tc>
        <w:tc>
          <w:tcPr>
            <w:tcW w:w="1469" w:type="dxa"/>
          </w:tcPr>
          <w:p w14:paraId="172723C8" w14:textId="0671799F" w:rsidR="009E2E17" w:rsidRDefault="00BB14E4" w:rsidP="00903B48">
            <w:pPr>
              <w:spacing w:line="360" w:lineRule="auto"/>
            </w:pPr>
            <w:r>
              <w:t>Overview of prevalence &amp; causes</w:t>
            </w:r>
          </w:p>
        </w:tc>
        <w:tc>
          <w:tcPr>
            <w:tcW w:w="1429" w:type="dxa"/>
          </w:tcPr>
          <w:p w14:paraId="53947FC1" w14:textId="556234BE" w:rsidR="009E2E17" w:rsidRDefault="00BB14E4" w:rsidP="00903B48">
            <w:pPr>
              <w:spacing w:line="360" w:lineRule="auto"/>
            </w:pPr>
            <w:r>
              <w:t>Strong peer-reviewed evidence</w:t>
            </w:r>
          </w:p>
        </w:tc>
        <w:tc>
          <w:tcPr>
            <w:tcW w:w="5301" w:type="dxa"/>
          </w:tcPr>
          <w:p w14:paraId="02F5EFA0" w14:textId="09E8A032" w:rsidR="009E2E17" w:rsidRDefault="00265409" w:rsidP="00903B48">
            <w:pPr>
              <w:spacing w:line="360" w:lineRule="auto"/>
            </w:pPr>
            <w:r w:rsidRPr="00265409">
              <w:t>https://pmc.ncbi.nlm.nih.gov/articles/PMC8369920/</w:t>
            </w:r>
          </w:p>
        </w:tc>
      </w:tr>
      <w:tr w:rsidR="009E2E17" w14:paraId="1B02462A" w14:textId="77777777" w:rsidTr="00122C40">
        <w:trPr>
          <w:trHeight w:val="1627"/>
        </w:trPr>
        <w:tc>
          <w:tcPr>
            <w:tcW w:w="1283" w:type="dxa"/>
          </w:tcPr>
          <w:p w14:paraId="199D616B" w14:textId="76B6A726" w:rsidR="009E2E17" w:rsidRDefault="009C0239" w:rsidP="00903B48">
            <w:pPr>
              <w:spacing w:line="360" w:lineRule="auto"/>
            </w:pPr>
            <w:r>
              <w:t>Diabetes UK (2023)</w:t>
            </w:r>
          </w:p>
        </w:tc>
        <w:tc>
          <w:tcPr>
            <w:tcW w:w="1576" w:type="dxa"/>
          </w:tcPr>
          <w:p w14:paraId="45AF020A" w14:textId="5512F5E2" w:rsidR="009E2E17" w:rsidRDefault="009C0239" w:rsidP="00903B48">
            <w:pPr>
              <w:spacing w:line="360" w:lineRule="auto"/>
            </w:pPr>
            <w:r>
              <w:t>UK Diabetes Statistics</w:t>
            </w:r>
          </w:p>
        </w:tc>
        <w:tc>
          <w:tcPr>
            <w:tcW w:w="1469" w:type="dxa"/>
          </w:tcPr>
          <w:p w14:paraId="65EE0E00" w14:textId="13919541" w:rsidR="009E2E17" w:rsidRDefault="00BB14E4" w:rsidP="00903B48">
            <w:pPr>
              <w:spacing w:line="360" w:lineRule="auto"/>
            </w:pPr>
            <w:r>
              <w:t>Provides prevalence data</w:t>
            </w:r>
          </w:p>
        </w:tc>
        <w:tc>
          <w:tcPr>
            <w:tcW w:w="1429" w:type="dxa"/>
          </w:tcPr>
          <w:p w14:paraId="789C0411" w14:textId="5C833CC6" w:rsidR="009E2E17" w:rsidRDefault="00BB14E4" w:rsidP="00903B48">
            <w:pPr>
              <w:spacing w:line="360" w:lineRule="auto"/>
            </w:pPr>
            <w:r>
              <w:t>Highly relevant national data</w:t>
            </w:r>
          </w:p>
        </w:tc>
        <w:tc>
          <w:tcPr>
            <w:tcW w:w="5301" w:type="dxa"/>
          </w:tcPr>
          <w:p w14:paraId="1454F9DD" w14:textId="3E08BFD5" w:rsidR="009E2E17" w:rsidRDefault="00122C40" w:rsidP="00903B48">
            <w:pPr>
              <w:spacing w:line="360" w:lineRule="auto"/>
            </w:pPr>
            <w:r>
              <w:rPr>
                <w:color w:val="000000"/>
              </w:rPr>
              <w:t>https://www.diabetes.org.uk/about-us/about-the-charity/our-strategy/statistics</w:t>
            </w:r>
          </w:p>
        </w:tc>
      </w:tr>
      <w:tr w:rsidR="009E2E17" w14:paraId="0AB08D3C" w14:textId="77777777" w:rsidTr="00122C40">
        <w:trPr>
          <w:trHeight w:val="1643"/>
        </w:trPr>
        <w:tc>
          <w:tcPr>
            <w:tcW w:w="1283" w:type="dxa"/>
          </w:tcPr>
          <w:p w14:paraId="6125C3DA" w14:textId="2F8B4125" w:rsidR="009E2E17" w:rsidRDefault="009C0239" w:rsidP="00903B48">
            <w:pPr>
              <w:spacing w:line="360" w:lineRule="auto"/>
            </w:pPr>
            <w:r>
              <w:t>Kyrou et al. (2020)</w:t>
            </w:r>
          </w:p>
        </w:tc>
        <w:tc>
          <w:tcPr>
            <w:tcW w:w="1576" w:type="dxa"/>
          </w:tcPr>
          <w:p w14:paraId="00D773CA" w14:textId="15968B04" w:rsidR="009E2E17" w:rsidRDefault="009C0239" w:rsidP="00903B48">
            <w:pPr>
              <w:spacing w:line="360" w:lineRule="auto"/>
            </w:pPr>
            <w:r>
              <w:t>Risk Factors Review</w:t>
            </w:r>
          </w:p>
        </w:tc>
        <w:tc>
          <w:tcPr>
            <w:tcW w:w="1469" w:type="dxa"/>
          </w:tcPr>
          <w:p w14:paraId="6481CDF1" w14:textId="482B1C96" w:rsidR="009E2E17" w:rsidRDefault="00BB14E4" w:rsidP="00903B48">
            <w:pPr>
              <w:spacing w:line="360" w:lineRule="auto"/>
            </w:pPr>
            <w:r>
              <w:t>Identifies lifestyle and demographic risks</w:t>
            </w:r>
          </w:p>
        </w:tc>
        <w:tc>
          <w:tcPr>
            <w:tcW w:w="1429" w:type="dxa"/>
          </w:tcPr>
          <w:p w14:paraId="62C69448" w14:textId="555DB53C" w:rsidR="009E2E17" w:rsidRDefault="00BB14E4" w:rsidP="00903B48">
            <w:pPr>
              <w:spacing w:line="360" w:lineRule="auto"/>
            </w:pPr>
            <w:r>
              <w:t>Strong academic review</w:t>
            </w:r>
          </w:p>
        </w:tc>
        <w:tc>
          <w:tcPr>
            <w:tcW w:w="5301" w:type="dxa"/>
          </w:tcPr>
          <w:p w14:paraId="77336B84" w14:textId="19A1F980" w:rsidR="009E2E17" w:rsidRDefault="00122C40" w:rsidP="00903B48">
            <w:pPr>
              <w:spacing w:line="360" w:lineRule="auto"/>
            </w:pPr>
            <w:r w:rsidRPr="00122C40">
              <w:t>https://pubmed.ncbi.nlm.nih.gov/32164656/</w:t>
            </w:r>
          </w:p>
        </w:tc>
      </w:tr>
      <w:tr w:rsidR="009E2E17" w14:paraId="41E84473" w14:textId="77777777" w:rsidTr="00122C40">
        <w:trPr>
          <w:trHeight w:val="1204"/>
        </w:trPr>
        <w:tc>
          <w:tcPr>
            <w:tcW w:w="1283" w:type="dxa"/>
          </w:tcPr>
          <w:p w14:paraId="19A014FC" w14:textId="30077E19" w:rsidR="009E2E17" w:rsidRDefault="00243767" w:rsidP="00903B48">
            <w:pPr>
              <w:spacing w:line="360" w:lineRule="auto"/>
            </w:pPr>
            <w:r>
              <w:t>Marmot (2017)</w:t>
            </w:r>
          </w:p>
        </w:tc>
        <w:tc>
          <w:tcPr>
            <w:tcW w:w="1576" w:type="dxa"/>
          </w:tcPr>
          <w:p w14:paraId="2D51C31E" w14:textId="2B668ECA" w:rsidR="00243767" w:rsidRDefault="00243767" w:rsidP="00903B48">
            <w:pPr>
              <w:spacing w:line="360" w:lineRule="auto"/>
            </w:pPr>
            <w:r>
              <w:t>Health Inequality Theory</w:t>
            </w:r>
          </w:p>
        </w:tc>
        <w:tc>
          <w:tcPr>
            <w:tcW w:w="1469" w:type="dxa"/>
          </w:tcPr>
          <w:p w14:paraId="34B718E3" w14:textId="74DF499D" w:rsidR="009E2E17" w:rsidRDefault="00BB14E4" w:rsidP="00903B48">
            <w:pPr>
              <w:spacing w:line="360" w:lineRule="auto"/>
            </w:pPr>
            <w:r>
              <w:t>Explains social determinants</w:t>
            </w:r>
          </w:p>
        </w:tc>
        <w:tc>
          <w:tcPr>
            <w:tcW w:w="1429" w:type="dxa"/>
          </w:tcPr>
          <w:p w14:paraId="6F427EC6" w14:textId="0AFFBE82" w:rsidR="009E2E17" w:rsidRDefault="00BB14E4" w:rsidP="00903B48">
            <w:pPr>
              <w:spacing w:line="360" w:lineRule="auto"/>
            </w:pPr>
            <w:r>
              <w:t>Highly authoritative</w:t>
            </w:r>
          </w:p>
        </w:tc>
        <w:tc>
          <w:tcPr>
            <w:tcW w:w="5301" w:type="dxa"/>
          </w:tcPr>
          <w:p w14:paraId="6506689D" w14:textId="244598AD" w:rsidR="009E2E17" w:rsidRDefault="00122C40" w:rsidP="00903B48">
            <w:pPr>
              <w:spacing w:line="360" w:lineRule="auto"/>
            </w:pPr>
            <w:r w:rsidRPr="00122C40">
              <w:t>https://pubmed.ncbi.nlm.nih.gov/28938756/</w:t>
            </w:r>
          </w:p>
        </w:tc>
      </w:tr>
      <w:tr w:rsidR="009E2E17" w14:paraId="0B67A561" w14:textId="77777777" w:rsidTr="00122C40">
        <w:trPr>
          <w:trHeight w:val="1220"/>
        </w:trPr>
        <w:tc>
          <w:tcPr>
            <w:tcW w:w="1283" w:type="dxa"/>
          </w:tcPr>
          <w:p w14:paraId="5FA23C83" w14:textId="103D3D0C" w:rsidR="009E2E17" w:rsidRDefault="00243767" w:rsidP="00903B48">
            <w:pPr>
              <w:spacing w:line="360" w:lineRule="auto"/>
            </w:pPr>
            <w:r>
              <w:lastRenderedPageBreak/>
              <w:t>Goff (2019)</w:t>
            </w:r>
          </w:p>
        </w:tc>
        <w:tc>
          <w:tcPr>
            <w:tcW w:w="1576" w:type="dxa"/>
          </w:tcPr>
          <w:p w14:paraId="6DF85297" w14:textId="050DFDB9" w:rsidR="009E2E17" w:rsidRDefault="00243767" w:rsidP="00903B48">
            <w:pPr>
              <w:spacing w:line="360" w:lineRule="auto"/>
            </w:pPr>
            <w:r>
              <w:t>Ethnicity and T2DM</w:t>
            </w:r>
          </w:p>
        </w:tc>
        <w:tc>
          <w:tcPr>
            <w:tcW w:w="1469" w:type="dxa"/>
          </w:tcPr>
          <w:p w14:paraId="6A85655C" w14:textId="10B91C94" w:rsidR="009E2E17" w:rsidRDefault="00BB14E4" w:rsidP="00903B48">
            <w:pPr>
              <w:spacing w:line="360" w:lineRule="auto"/>
            </w:pPr>
            <w:r>
              <w:t>Highlights ethnic disparities</w:t>
            </w:r>
          </w:p>
        </w:tc>
        <w:tc>
          <w:tcPr>
            <w:tcW w:w="1429" w:type="dxa"/>
          </w:tcPr>
          <w:p w14:paraId="1A8E7A07" w14:textId="0CE6E8F2" w:rsidR="009E2E17" w:rsidRDefault="00BB14E4" w:rsidP="00903B48">
            <w:pPr>
              <w:spacing w:line="360" w:lineRule="auto"/>
            </w:pPr>
            <w:r>
              <w:t>UK-focused evidence</w:t>
            </w:r>
          </w:p>
        </w:tc>
        <w:tc>
          <w:tcPr>
            <w:tcW w:w="5301" w:type="dxa"/>
          </w:tcPr>
          <w:p w14:paraId="66EC1ED4" w14:textId="26AC5CC4" w:rsidR="009E2E17" w:rsidRDefault="00122C40" w:rsidP="00903B48">
            <w:pPr>
              <w:spacing w:line="360" w:lineRule="auto"/>
            </w:pPr>
            <w:r w:rsidRPr="00122C40">
              <w:t>https://pubmed.ncbi.nlm.nih.gov/30614072/</w:t>
            </w:r>
          </w:p>
        </w:tc>
      </w:tr>
      <w:tr w:rsidR="009E2E17" w14:paraId="7C80D0FF" w14:textId="77777777" w:rsidTr="00122C40">
        <w:trPr>
          <w:trHeight w:val="1220"/>
        </w:trPr>
        <w:tc>
          <w:tcPr>
            <w:tcW w:w="1283" w:type="dxa"/>
          </w:tcPr>
          <w:p w14:paraId="10F61060" w14:textId="188BE686" w:rsidR="009E2E17" w:rsidRDefault="00243767" w:rsidP="00903B48">
            <w:pPr>
              <w:spacing w:line="360" w:lineRule="auto"/>
            </w:pPr>
            <w:r>
              <w:t>NICE (2025)</w:t>
            </w:r>
          </w:p>
        </w:tc>
        <w:tc>
          <w:tcPr>
            <w:tcW w:w="1576" w:type="dxa"/>
          </w:tcPr>
          <w:p w14:paraId="4ADEE3E1" w14:textId="4D314011" w:rsidR="009E2E17" w:rsidRDefault="00243767" w:rsidP="00903B48">
            <w:pPr>
              <w:spacing w:line="360" w:lineRule="auto"/>
            </w:pPr>
            <w:r>
              <w:t>NG28 Guidelines</w:t>
            </w:r>
          </w:p>
        </w:tc>
        <w:tc>
          <w:tcPr>
            <w:tcW w:w="1469" w:type="dxa"/>
          </w:tcPr>
          <w:p w14:paraId="63D900A2" w14:textId="5D13799D" w:rsidR="009E2E17" w:rsidRDefault="00BB14E4" w:rsidP="00903B48">
            <w:pPr>
              <w:spacing w:line="360" w:lineRule="auto"/>
            </w:pPr>
            <w:r>
              <w:t>Clinical management</w:t>
            </w:r>
          </w:p>
        </w:tc>
        <w:tc>
          <w:tcPr>
            <w:tcW w:w="1429" w:type="dxa"/>
          </w:tcPr>
          <w:p w14:paraId="16FA3526" w14:textId="45727414" w:rsidR="009E2E17" w:rsidRDefault="00BB14E4" w:rsidP="00903B48">
            <w:pPr>
              <w:spacing w:line="360" w:lineRule="auto"/>
            </w:pPr>
            <w:r>
              <w:t>National guideline</w:t>
            </w:r>
          </w:p>
        </w:tc>
        <w:tc>
          <w:tcPr>
            <w:tcW w:w="5301" w:type="dxa"/>
          </w:tcPr>
          <w:p w14:paraId="17D5B4AB" w14:textId="7572C954" w:rsidR="009E2E17" w:rsidRDefault="00122C40" w:rsidP="00903B48">
            <w:pPr>
              <w:spacing w:line="360" w:lineRule="auto"/>
            </w:pPr>
            <w:r w:rsidRPr="00122C40">
              <w:t>https://www.nice.org.uk/guidance/ng28/resources/visual-summary-full-version-choosing-medicines-for-firstline-and-further-treatment-pdf-10956472093</w:t>
            </w:r>
          </w:p>
        </w:tc>
      </w:tr>
      <w:tr w:rsidR="009E2E17" w14:paraId="4B708B2A" w14:textId="77777777" w:rsidTr="00122C40">
        <w:trPr>
          <w:trHeight w:val="1220"/>
        </w:trPr>
        <w:tc>
          <w:tcPr>
            <w:tcW w:w="1283" w:type="dxa"/>
          </w:tcPr>
          <w:p w14:paraId="1DD5E204" w14:textId="5547F304" w:rsidR="009E2E17" w:rsidRDefault="00243767" w:rsidP="00903B48">
            <w:pPr>
              <w:spacing w:line="360" w:lineRule="auto"/>
            </w:pPr>
            <w:r>
              <w:t>NHS England (2023)</w:t>
            </w:r>
          </w:p>
        </w:tc>
        <w:tc>
          <w:tcPr>
            <w:tcW w:w="1576" w:type="dxa"/>
          </w:tcPr>
          <w:p w14:paraId="314C6E46" w14:textId="0BC1AC48" w:rsidR="009E2E17" w:rsidRDefault="00243767" w:rsidP="00903B48">
            <w:pPr>
              <w:spacing w:line="360" w:lineRule="auto"/>
            </w:pPr>
            <w:r>
              <w:t>Prevention Programme</w:t>
            </w:r>
          </w:p>
        </w:tc>
        <w:tc>
          <w:tcPr>
            <w:tcW w:w="1469" w:type="dxa"/>
          </w:tcPr>
          <w:p w14:paraId="07A3980E" w14:textId="33CE5858" w:rsidR="00B53375" w:rsidRPr="00B53375" w:rsidRDefault="00B53375" w:rsidP="00B53375">
            <w:pPr>
              <w:rPr>
                <w:rFonts w:ascii="Arial" w:hAnsi="Arial" w:cs="Arial"/>
                <w:sz w:val="22"/>
                <w:szCs w:val="22"/>
              </w:rPr>
            </w:pPr>
            <w:r>
              <w:rPr>
                <w:rFonts w:ascii="Arial" w:hAnsi="Arial" w:cs="Arial"/>
                <w:color w:val="202A30"/>
                <w:sz w:val="22"/>
                <w:szCs w:val="22"/>
                <w:shd w:val="clear" w:color="auto" w:fill="FFFFFF"/>
              </w:rPr>
              <w:t>I</w:t>
            </w:r>
            <w:r w:rsidRPr="00B53375">
              <w:rPr>
                <w:rFonts w:ascii="Arial" w:hAnsi="Arial" w:cs="Arial"/>
                <w:color w:val="202A30"/>
                <w:sz w:val="22"/>
                <w:szCs w:val="22"/>
                <w:shd w:val="clear" w:color="auto" w:fill="FFFFFF"/>
              </w:rPr>
              <w:t>dentifies people at risk of developing type 2 diabetes and refers them onto a nine-month, evidence-based lifestyle change programme.</w:t>
            </w:r>
          </w:p>
          <w:p w14:paraId="5C2F3D75" w14:textId="77777777" w:rsidR="009E2E17" w:rsidRDefault="009E2E17" w:rsidP="00903B48">
            <w:pPr>
              <w:spacing w:line="360" w:lineRule="auto"/>
            </w:pPr>
          </w:p>
        </w:tc>
        <w:tc>
          <w:tcPr>
            <w:tcW w:w="1429" w:type="dxa"/>
          </w:tcPr>
          <w:p w14:paraId="1B559D07" w14:textId="758292DC" w:rsidR="009E2E17" w:rsidRDefault="00D865D4" w:rsidP="00903B48">
            <w:pPr>
              <w:spacing w:line="360" w:lineRule="auto"/>
            </w:pPr>
            <w:r>
              <w:t>Currency 2023, relevant for identifying people at risk of developing diabetes</w:t>
            </w:r>
          </w:p>
        </w:tc>
        <w:tc>
          <w:tcPr>
            <w:tcW w:w="5301" w:type="dxa"/>
          </w:tcPr>
          <w:p w14:paraId="3E75E21F" w14:textId="4A28636F" w:rsidR="009E2E17" w:rsidRDefault="00D865D4" w:rsidP="00903B48">
            <w:pPr>
              <w:spacing w:line="360" w:lineRule="auto"/>
            </w:pPr>
            <w:r w:rsidRPr="00D865D4">
              <w:t>https://www.england.nhs.uk/diabetes/diabetes-prevention/</w:t>
            </w:r>
          </w:p>
        </w:tc>
      </w:tr>
      <w:tr w:rsidR="009E2E17" w14:paraId="77081EEA" w14:textId="77777777" w:rsidTr="00122C40">
        <w:trPr>
          <w:trHeight w:val="1220"/>
        </w:trPr>
        <w:tc>
          <w:tcPr>
            <w:tcW w:w="1283" w:type="dxa"/>
          </w:tcPr>
          <w:p w14:paraId="4F8204A0" w14:textId="0C22E209" w:rsidR="009E2E17" w:rsidRDefault="00243767" w:rsidP="00903B48">
            <w:pPr>
              <w:spacing w:line="360" w:lineRule="auto"/>
            </w:pPr>
            <w:r>
              <w:t>Woodward et al. (2024)</w:t>
            </w:r>
          </w:p>
        </w:tc>
        <w:tc>
          <w:tcPr>
            <w:tcW w:w="1576" w:type="dxa"/>
          </w:tcPr>
          <w:p w14:paraId="49F84365" w14:textId="44BB323F" w:rsidR="009E2E17" w:rsidRDefault="00243767" w:rsidP="00903B48">
            <w:pPr>
              <w:spacing w:line="360" w:lineRule="auto"/>
            </w:pPr>
            <w:r>
              <w:t>Self-Management Barriers</w:t>
            </w:r>
          </w:p>
        </w:tc>
        <w:tc>
          <w:tcPr>
            <w:tcW w:w="1469" w:type="dxa"/>
          </w:tcPr>
          <w:p w14:paraId="159D1037" w14:textId="77777777" w:rsidR="00D865D4" w:rsidRPr="00D865D4" w:rsidRDefault="00D865D4" w:rsidP="00D865D4">
            <w:pPr>
              <w:pStyle w:val="Heading1"/>
              <w:rPr>
                <w:rFonts w:cs="Arial"/>
                <w:b w:val="0"/>
                <w:bCs/>
                <w:color w:val="212121"/>
                <w:sz w:val="22"/>
                <w:szCs w:val="22"/>
              </w:rPr>
            </w:pPr>
            <w:r w:rsidRPr="00D865D4">
              <w:rPr>
                <w:rFonts w:cs="Arial"/>
                <w:b w:val="0"/>
                <w:bCs/>
                <w:color w:val="212121"/>
                <w:sz w:val="22"/>
                <w:szCs w:val="22"/>
              </w:rPr>
              <w:t>A qualitative exploration of the barriers and facilitators to self-managing multiple long-term conditions amongst people experiencing socioeconomic deprivation</w:t>
            </w:r>
          </w:p>
          <w:p w14:paraId="543E484A" w14:textId="729A420E" w:rsidR="009E2E17" w:rsidRPr="00D865D4" w:rsidRDefault="009E2E17" w:rsidP="00903B48">
            <w:pPr>
              <w:spacing w:line="360" w:lineRule="auto"/>
              <w:rPr>
                <w:rFonts w:ascii="Arial" w:hAnsi="Arial" w:cs="Arial"/>
                <w:sz w:val="22"/>
                <w:szCs w:val="22"/>
              </w:rPr>
            </w:pPr>
          </w:p>
        </w:tc>
        <w:tc>
          <w:tcPr>
            <w:tcW w:w="1429" w:type="dxa"/>
          </w:tcPr>
          <w:p w14:paraId="74682D79" w14:textId="5D6C1D1F" w:rsidR="009E2E17" w:rsidRDefault="00D865D4" w:rsidP="00903B48">
            <w:pPr>
              <w:spacing w:line="360" w:lineRule="auto"/>
            </w:pPr>
            <w:r>
              <w:t>Currency 2024</w:t>
            </w:r>
          </w:p>
        </w:tc>
        <w:tc>
          <w:tcPr>
            <w:tcW w:w="5301" w:type="dxa"/>
          </w:tcPr>
          <w:p w14:paraId="5BA57F0E" w14:textId="60354F60" w:rsidR="009E2E17" w:rsidRDefault="00D865D4" w:rsidP="00903B48">
            <w:pPr>
              <w:spacing w:line="360" w:lineRule="auto"/>
            </w:pPr>
            <w:r w:rsidRPr="00D865D4">
              <w:t>https://pubmed.ncbi.nlm.nih.gov/38623837/</w:t>
            </w:r>
          </w:p>
        </w:tc>
      </w:tr>
      <w:tr w:rsidR="009E2E17" w14:paraId="4EA21194" w14:textId="77777777" w:rsidTr="00122C40">
        <w:trPr>
          <w:trHeight w:val="406"/>
        </w:trPr>
        <w:tc>
          <w:tcPr>
            <w:tcW w:w="1283" w:type="dxa"/>
          </w:tcPr>
          <w:p w14:paraId="71325FFC" w14:textId="77777777" w:rsidR="009E2E17" w:rsidRDefault="009E2E17" w:rsidP="00903B48">
            <w:pPr>
              <w:spacing w:line="360" w:lineRule="auto"/>
            </w:pPr>
          </w:p>
        </w:tc>
        <w:tc>
          <w:tcPr>
            <w:tcW w:w="1576" w:type="dxa"/>
          </w:tcPr>
          <w:p w14:paraId="3499294E" w14:textId="77777777" w:rsidR="009E2E17" w:rsidRDefault="009E2E17" w:rsidP="00903B48">
            <w:pPr>
              <w:spacing w:line="360" w:lineRule="auto"/>
            </w:pPr>
          </w:p>
        </w:tc>
        <w:tc>
          <w:tcPr>
            <w:tcW w:w="1469" w:type="dxa"/>
          </w:tcPr>
          <w:p w14:paraId="72D25865" w14:textId="77777777" w:rsidR="009E2E17" w:rsidRDefault="009E2E17" w:rsidP="00903B48">
            <w:pPr>
              <w:spacing w:line="360" w:lineRule="auto"/>
            </w:pPr>
          </w:p>
        </w:tc>
        <w:tc>
          <w:tcPr>
            <w:tcW w:w="1429" w:type="dxa"/>
          </w:tcPr>
          <w:p w14:paraId="0A960A57" w14:textId="77777777" w:rsidR="009E2E17" w:rsidRDefault="009E2E17" w:rsidP="00903B48">
            <w:pPr>
              <w:spacing w:line="360" w:lineRule="auto"/>
            </w:pPr>
          </w:p>
        </w:tc>
        <w:tc>
          <w:tcPr>
            <w:tcW w:w="5301" w:type="dxa"/>
          </w:tcPr>
          <w:p w14:paraId="39175198" w14:textId="77777777" w:rsidR="009E2E17" w:rsidRDefault="009E2E17" w:rsidP="00903B48">
            <w:pPr>
              <w:spacing w:line="360" w:lineRule="auto"/>
            </w:pPr>
          </w:p>
        </w:tc>
      </w:tr>
    </w:tbl>
    <w:p w14:paraId="51ED34EB" w14:textId="23163F23" w:rsidR="00496C66" w:rsidRDefault="006D393E" w:rsidP="00903B48">
      <w:pPr>
        <w:spacing w:line="360" w:lineRule="auto"/>
      </w:pPr>
      <w:r>
        <w:t>Table 3.</w:t>
      </w:r>
    </w:p>
    <w:p w14:paraId="6D201772" w14:textId="5B64BE7F" w:rsidR="002C0BD1" w:rsidRDefault="002C0BD1" w:rsidP="00903B48">
      <w:pPr>
        <w:spacing w:line="360" w:lineRule="auto"/>
      </w:pPr>
    </w:p>
    <w:p w14:paraId="42ECF95C" w14:textId="77777777" w:rsidR="008A3B08" w:rsidRDefault="008A3B08" w:rsidP="00903B48">
      <w:pPr>
        <w:spacing w:line="360" w:lineRule="auto"/>
      </w:pPr>
    </w:p>
    <w:p w14:paraId="71FEAA5B" w14:textId="1730BA55" w:rsidR="002C0BD1" w:rsidRDefault="004F1EE8" w:rsidP="00903B48">
      <w:pPr>
        <w:spacing w:line="360" w:lineRule="auto"/>
      </w:pPr>
      <w:r>
        <w:t xml:space="preserve">                                   </w:t>
      </w:r>
      <w:r w:rsidR="002C0BD1">
        <w:t>PROJECT RESULTS SUMMARY TABLE</w:t>
      </w:r>
    </w:p>
    <w:p w14:paraId="7EC2F4FD" w14:textId="183D9143" w:rsidR="002C0BD1" w:rsidRDefault="002C0BD1" w:rsidP="00903B48">
      <w:pPr>
        <w:spacing w:line="360" w:lineRule="auto"/>
      </w:pPr>
    </w:p>
    <w:tbl>
      <w:tblPr>
        <w:tblStyle w:val="TableGrid"/>
        <w:tblW w:w="11340" w:type="dxa"/>
        <w:tblInd w:w="-1139" w:type="dxa"/>
        <w:tblLook w:val="04A0" w:firstRow="1" w:lastRow="0" w:firstColumn="1" w:lastColumn="0" w:noHBand="0" w:noVBand="1"/>
      </w:tblPr>
      <w:tblGrid>
        <w:gridCol w:w="1283"/>
        <w:gridCol w:w="1576"/>
        <w:gridCol w:w="1563"/>
        <w:gridCol w:w="1336"/>
        <w:gridCol w:w="1509"/>
        <w:gridCol w:w="1549"/>
        <w:gridCol w:w="1329"/>
        <w:gridCol w:w="1257"/>
      </w:tblGrid>
      <w:tr w:rsidR="00EC691C" w14:paraId="60567BF6" w14:textId="77777777" w:rsidTr="00C14C98">
        <w:trPr>
          <w:trHeight w:val="1687"/>
        </w:trPr>
        <w:tc>
          <w:tcPr>
            <w:tcW w:w="1850" w:type="dxa"/>
          </w:tcPr>
          <w:p w14:paraId="25411A65" w14:textId="56BBA472" w:rsidR="002C0BD1" w:rsidRDefault="002C0BD1" w:rsidP="00903B48">
            <w:pPr>
              <w:spacing w:line="360" w:lineRule="auto"/>
            </w:pPr>
            <w:r>
              <w:t>Author &amp; Year</w:t>
            </w:r>
          </w:p>
        </w:tc>
        <w:tc>
          <w:tcPr>
            <w:tcW w:w="1576" w:type="dxa"/>
          </w:tcPr>
          <w:p w14:paraId="4D9E52BB" w14:textId="40CE006A" w:rsidR="002C0BD1" w:rsidRDefault="002C0BD1" w:rsidP="00903B48">
            <w:pPr>
              <w:spacing w:line="360" w:lineRule="auto"/>
            </w:pPr>
            <w:r>
              <w:t>Article Title</w:t>
            </w:r>
          </w:p>
        </w:tc>
        <w:tc>
          <w:tcPr>
            <w:tcW w:w="1563" w:type="dxa"/>
          </w:tcPr>
          <w:p w14:paraId="4DD8B90F" w14:textId="762BF4E2" w:rsidR="002C0BD1" w:rsidRDefault="002C0BD1" w:rsidP="00903B48">
            <w:pPr>
              <w:spacing w:line="360" w:lineRule="auto"/>
            </w:pPr>
            <w:r>
              <w:t>Type of Study</w:t>
            </w:r>
          </w:p>
        </w:tc>
        <w:tc>
          <w:tcPr>
            <w:tcW w:w="1284" w:type="dxa"/>
          </w:tcPr>
          <w:p w14:paraId="0E404839" w14:textId="6348212D" w:rsidR="002C0BD1" w:rsidRDefault="002C0BD1" w:rsidP="00903B48">
            <w:pPr>
              <w:spacing w:line="360" w:lineRule="auto"/>
            </w:pPr>
            <w:r>
              <w:t>Research Method &amp; Sample Size</w:t>
            </w:r>
          </w:p>
        </w:tc>
        <w:tc>
          <w:tcPr>
            <w:tcW w:w="1323" w:type="dxa"/>
          </w:tcPr>
          <w:p w14:paraId="531F6907" w14:textId="5FB6CD63" w:rsidR="002C0BD1" w:rsidRDefault="002C0BD1" w:rsidP="00903B48">
            <w:pPr>
              <w:spacing w:line="360" w:lineRule="auto"/>
            </w:pPr>
            <w:r>
              <w:t>Strengths &amp; Limitations</w:t>
            </w:r>
          </w:p>
        </w:tc>
        <w:tc>
          <w:tcPr>
            <w:tcW w:w="1057" w:type="dxa"/>
          </w:tcPr>
          <w:p w14:paraId="770D25D4" w14:textId="0D2C15C5" w:rsidR="002C0BD1" w:rsidRDefault="002C0BD1" w:rsidP="00903B48">
            <w:pPr>
              <w:spacing w:line="360" w:lineRule="auto"/>
            </w:pPr>
            <w:r>
              <w:t>Main Findings</w:t>
            </w:r>
          </w:p>
        </w:tc>
        <w:tc>
          <w:tcPr>
            <w:tcW w:w="1203" w:type="dxa"/>
          </w:tcPr>
          <w:p w14:paraId="4E71329F" w14:textId="5A3D405E" w:rsidR="002C0BD1" w:rsidRDefault="002C0BD1" w:rsidP="00903B48">
            <w:pPr>
              <w:spacing w:line="360" w:lineRule="auto"/>
            </w:pPr>
            <w:r>
              <w:t>Keywords &amp; Codes</w:t>
            </w:r>
          </w:p>
        </w:tc>
        <w:tc>
          <w:tcPr>
            <w:tcW w:w="1484" w:type="dxa"/>
          </w:tcPr>
          <w:p w14:paraId="67AFDA4C" w14:textId="56CEA62F" w:rsidR="002C0BD1" w:rsidRDefault="002C0BD1" w:rsidP="00903B48">
            <w:pPr>
              <w:spacing w:line="360" w:lineRule="auto"/>
            </w:pPr>
            <w:r>
              <w:t>Notes and Comments</w:t>
            </w:r>
          </w:p>
        </w:tc>
      </w:tr>
      <w:tr w:rsidR="00EC691C" w14:paraId="6A126B38" w14:textId="77777777" w:rsidTr="00C14C98">
        <w:trPr>
          <w:trHeight w:val="4850"/>
        </w:trPr>
        <w:tc>
          <w:tcPr>
            <w:tcW w:w="1850" w:type="dxa"/>
          </w:tcPr>
          <w:p w14:paraId="70DE6AD9" w14:textId="4B5AB616" w:rsidR="007C2788" w:rsidRDefault="007C2788" w:rsidP="007C2788">
            <w:pPr>
              <w:spacing w:line="360" w:lineRule="auto"/>
            </w:pPr>
            <w:r>
              <w:t>Mcmanus et al. 2022</w:t>
            </w:r>
          </w:p>
        </w:tc>
        <w:tc>
          <w:tcPr>
            <w:tcW w:w="1576" w:type="dxa"/>
          </w:tcPr>
          <w:p w14:paraId="1FB608E9" w14:textId="54DE283D" w:rsidR="007C2788" w:rsidRDefault="007C2788" w:rsidP="007C2788">
            <w:pPr>
              <w:spacing w:line="360" w:lineRule="auto"/>
            </w:pPr>
            <w:r>
              <w:rPr>
                <w:color w:val="000000"/>
              </w:rPr>
              <w:t>Population Level Impact of the NHS Diabetes Prevention Programme on Incidence of Type 2 Diabetes in England</w:t>
            </w:r>
          </w:p>
        </w:tc>
        <w:tc>
          <w:tcPr>
            <w:tcW w:w="1563" w:type="dxa"/>
          </w:tcPr>
          <w:p w14:paraId="258092B6" w14:textId="0F319AA1" w:rsidR="007C2788" w:rsidRDefault="00D1705A" w:rsidP="007C2788">
            <w:pPr>
              <w:spacing w:line="360" w:lineRule="auto"/>
            </w:pPr>
            <w:r>
              <w:t>Observational study</w:t>
            </w:r>
          </w:p>
        </w:tc>
        <w:tc>
          <w:tcPr>
            <w:tcW w:w="1284" w:type="dxa"/>
          </w:tcPr>
          <w:p w14:paraId="5158C985" w14:textId="77777777" w:rsidR="00D1705A" w:rsidRDefault="00D1705A" w:rsidP="00D1705A">
            <w:r>
              <w:rPr>
                <w:rFonts w:ascii="Segoe UI" w:hAnsi="Segoe UI" w:cs="Segoe UI"/>
                <w:color w:val="212121"/>
                <w:shd w:val="clear" w:color="auto" w:fill="FFFFFF"/>
              </w:rPr>
              <w:t>We compare patients registered with the 3,282 general practices</w:t>
            </w:r>
            <w:r>
              <w:rPr>
                <w:rStyle w:val="apple-converted-space"/>
                <w:rFonts w:ascii="Segoe UI" w:hAnsi="Segoe UI" w:cs="Segoe UI"/>
                <w:color w:val="212121"/>
                <w:shd w:val="clear" w:color="auto" w:fill="FFFFFF"/>
              </w:rPr>
              <w:t> </w:t>
            </w:r>
          </w:p>
          <w:p w14:paraId="50890F35" w14:textId="77777777" w:rsidR="007C2788" w:rsidRDefault="007C2788" w:rsidP="007C2788">
            <w:pPr>
              <w:spacing w:line="360" w:lineRule="auto"/>
            </w:pPr>
          </w:p>
        </w:tc>
        <w:tc>
          <w:tcPr>
            <w:tcW w:w="1323" w:type="dxa"/>
          </w:tcPr>
          <w:p w14:paraId="36A9CD7F" w14:textId="0BA64162" w:rsidR="00EC691C" w:rsidRDefault="00EC691C" w:rsidP="00EC691C">
            <w:pPr>
              <w:spacing w:line="360" w:lineRule="auto"/>
            </w:pPr>
            <w:r>
              <w:t>Large sample</w:t>
            </w:r>
            <w:r w:rsidR="009C7B53">
              <w:t>,</w:t>
            </w:r>
          </w:p>
          <w:p w14:paraId="35193BD9" w14:textId="2421A1A5" w:rsidR="00EC691C" w:rsidRDefault="009C7B53" w:rsidP="00EC691C">
            <w:pPr>
              <w:spacing w:line="360" w:lineRule="auto"/>
            </w:pPr>
            <w:r>
              <w:t>o</w:t>
            </w:r>
            <w:r w:rsidR="00EC691C">
              <w:t>bservational bias</w:t>
            </w:r>
          </w:p>
        </w:tc>
        <w:tc>
          <w:tcPr>
            <w:tcW w:w="1057" w:type="dxa"/>
          </w:tcPr>
          <w:p w14:paraId="2419B446" w14:textId="1124B7AC" w:rsidR="007C2788" w:rsidRDefault="00922575" w:rsidP="007C2788">
            <w:pPr>
              <w:spacing w:line="360" w:lineRule="auto"/>
            </w:pPr>
            <w:r>
              <w:t>Reduces incidence</w:t>
            </w:r>
          </w:p>
        </w:tc>
        <w:tc>
          <w:tcPr>
            <w:tcW w:w="1203" w:type="dxa"/>
          </w:tcPr>
          <w:p w14:paraId="5AB292ED" w14:textId="77777777" w:rsidR="007C2788" w:rsidRDefault="009C7B53" w:rsidP="007C2788">
            <w:pPr>
              <w:spacing w:line="360" w:lineRule="auto"/>
            </w:pPr>
            <w:r>
              <w:t>Prevention,</w:t>
            </w:r>
          </w:p>
          <w:p w14:paraId="09259D00" w14:textId="680E06D4" w:rsidR="009C7B53" w:rsidRDefault="009C7B53" w:rsidP="007C2788">
            <w:pPr>
              <w:spacing w:line="360" w:lineRule="auto"/>
            </w:pPr>
            <w:r>
              <w:t>lifestyle</w:t>
            </w:r>
          </w:p>
        </w:tc>
        <w:tc>
          <w:tcPr>
            <w:tcW w:w="1484" w:type="dxa"/>
          </w:tcPr>
          <w:p w14:paraId="0304CBFD" w14:textId="520457B9" w:rsidR="007C2788" w:rsidRDefault="009C7B53" w:rsidP="007C2788">
            <w:pPr>
              <w:spacing w:line="360" w:lineRule="auto"/>
            </w:pPr>
            <w:r>
              <w:t>Strong policy relevance</w:t>
            </w:r>
          </w:p>
        </w:tc>
      </w:tr>
      <w:tr w:rsidR="00EC691C" w14:paraId="439C5193" w14:textId="77777777" w:rsidTr="00C14C98">
        <w:trPr>
          <w:trHeight w:val="392"/>
        </w:trPr>
        <w:tc>
          <w:tcPr>
            <w:tcW w:w="1850" w:type="dxa"/>
          </w:tcPr>
          <w:p w14:paraId="5FA83A08" w14:textId="4CCEC5CC" w:rsidR="007C2788" w:rsidRDefault="00243767" w:rsidP="007C2788">
            <w:pPr>
              <w:spacing w:line="360" w:lineRule="auto"/>
            </w:pPr>
            <w:r>
              <w:t>Reed et al. (2021)</w:t>
            </w:r>
          </w:p>
        </w:tc>
        <w:tc>
          <w:tcPr>
            <w:tcW w:w="1576" w:type="dxa"/>
          </w:tcPr>
          <w:p w14:paraId="53C72AF5" w14:textId="2D04B91B" w:rsidR="007C2788" w:rsidRDefault="00243767" w:rsidP="007C2788">
            <w:pPr>
              <w:spacing w:line="360" w:lineRule="auto"/>
            </w:pPr>
            <w:r>
              <w:t>Epidemiology Review</w:t>
            </w:r>
          </w:p>
        </w:tc>
        <w:tc>
          <w:tcPr>
            <w:tcW w:w="1563" w:type="dxa"/>
          </w:tcPr>
          <w:p w14:paraId="1AC7E1FB" w14:textId="6E27DFF2" w:rsidR="007C2788" w:rsidRDefault="006C6A72" w:rsidP="007C2788">
            <w:pPr>
              <w:spacing w:line="360" w:lineRule="auto"/>
            </w:pPr>
            <w:r>
              <w:t>Literature Review</w:t>
            </w:r>
          </w:p>
        </w:tc>
        <w:tc>
          <w:tcPr>
            <w:tcW w:w="1284" w:type="dxa"/>
          </w:tcPr>
          <w:p w14:paraId="01352005" w14:textId="29617691" w:rsidR="007C2788" w:rsidRDefault="00482327" w:rsidP="007C2788">
            <w:pPr>
              <w:spacing w:line="360" w:lineRule="auto"/>
            </w:pPr>
            <w:r>
              <w:t>Multiple Studies</w:t>
            </w:r>
          </w:p>
        </w:tc>
        <w:tc>
          <w:tcPr>
            <w:tcW w:w="1323" w:type="dxa"/>
          </w:tcPr>
          <w:p w14:paraId="64FB0D05" w14:textId="65384816" w:rsidR="00EC691C" w:rsidRDefault="00EC691C" w:rsidP="007C2788">
            <w:pPr>
              <w:spacing w:line="360" w:lineRule="auto"/>
            </w:pPr>
            <w:r>
              <w:t>Broad</w:t>
            </w:r>
            <w:r w:rsidR="009C7B53">
              <w:t>,</w:t>
            </w:r>
          </w:p>
          <w:p w14:paraId="6E1A1E61" w14:textId="5DE88CC5" w:rsidR="007C2788" w:rsidRDefault="00EC691C" w:rsidP="007C2788">
            <w:pPr>
              <w:spacing w:line="360" w:lineRule="auto"/>
            </w:pPr>
            <w:r>
              <w:t>Secondary data</w:t>
            </w:r>
          </w:p>
        </w:tc>
        <w:tc>
          <w:tcPr>
            <w:tcW w:w="1057" w:type="dxa"/>
          </w:tcPr>
          <w:p w14:paraId="7B0C62C7" w14:textId="0002A097" w:rsidR="007C2788" w:rsidRDefault="00922575" w:rsidP="007C2788">
            <w:pPr>
              <w:spacing w:line="360" w:lineRule="auto"/>
            </w:pPr>
            <w:r>
              <w:t>Multifactorial disease</w:t>
            </w:r>
          </w:p>
        </w:tc>
        <w:tc>
          <w:tcPr>
            <w:tcW w:w="1203" w:type="dxa"/>
          </w:tcPr>
          <w:p w14:paraId="2536551F" w14:textId="4F2E1C87" w:rsidR="007C2788" w:rsidRDefault="009C7B53" w:rsidP="007C2788">
            <w:pPr>
              <w:spacing w:line="360" w:lineRule="auto"/>
            </w:pPr>
            <w:r>
              <w:t>Prevalence, risk</w:t>
            </w:r>
          </w:p>
        </w:tc>
        <w:tc>
          <w:tcPr>
            <w:tcW w:w="1484" w:type="dxa"/>
          </w:tcPr>
          <w:p w14:paraId="306C3E3C" w14:textId="151FC7B3" w:rsidR="007C2788" w:rsidRDefault="009C7B53" w:rsidP="007C2788">
            <w:pPr>
              <w:spacing w:line="360" w:lineRule="auto"/>
            </w:pPr>
            <w:r>
              <w:t>Supports theme 1</w:t>
            </w:r>
          </w:p>
        </w:tc>
      </w:tr>
      <w:tr w:rsidR="00EC691C" w14:paraId="07191C99" w14:textId="77777777" w:rsidTr="00C14C98">
        <w:trPr>
          <w:trHeight w:val="404"/>
        </w:trPr>
        <w:tc>
          <w:tcPr>
            <w:tcW w:w="1850" w:type="dxa"/>
          </w:tcPr>
          <w:p w14:paraId="5EF23CB5" w14:textId="49CE4C38" w:rsidR="007C2788" w:rsidRDefault="00243767" w:rsidP="007C2788">
            <w:pPr>
              <w:spacing w:line="360" w:lineRule="auto"/>
            </w:pPr>
            <w:r>
              <w:t>Kyrou et al. (2020)</w:t>
            </w:r>
          </w:p>
        </w:tc>
        <w:tc>
          <w:tcPr>
            <w:tcW w:w="1576" w:type="dxa"/>
          </w:tcPr>
          <w:p w14:paraId="0E0FD076" w14:textId="552C9666" w:rsidR="007C2788" w:rsidRDefault="00243767" w:rsidP="007C2788">
            <w:pPr>
              <w:spacing w:line="360" w:lineRule="auto"/>
            </w:pPr>
            <w:r>
              <w:t>Risk Factors Review</w:t>
            </w:r>
          </w:p>
        </w:tc>
        <w:tc>
          <w:tcPr>
            <w:tcW w:w="1563" w:type="dxa"/>
          </w:tcPr>
          <w:p w14:paraId="0FBCF724" w14:textId="1BE6AFD3" w:rsidR="007C2788" w:rsidRDefault="006C6A72" w:rsidP="007C2788">
            <w:pPr>
              <w:spacing w:line="360" w:lineRule="auto"/>
            </w:pPr>
            <w:r>
              <w:t>Narrative review</w:t>
            </w:r>
          </w:p>
        </w:tc>
        <w:tc>
          <w:tcPr>
            <w:tcW w:w="1284" w:type="dxa"/>
          </w:tcPr>
          <w:p w14:paraId="5F61E35D" w14:textId="56134B60" w:rsidR="007C2788" w:rsidRDefault="00482327" w:rsidP="007C2788">
            <w:pPr>
              <w:spacing w:line="360" w:lineRule="auto"/>
            </w:pPr>
            <w:r>
              <w:t>European data</w:t>
            </w:r>
          </w:p>
        </w:tc>
        <w:tc>
          <w:tcPr>
            <w:tcW w:w="1323" w:type="dxa"/>
          </w:tcPr>
          <w:p w14:paraId="4F66D1B2" w14:textId="37095018" w:rsidR="00EC691C" w:rsidRDefault="00EC691C" w:rsidP="007C2788">
            <w:pPr>
              <w:spacing w:line="360" w:lineRule="auto"/>
            </w:pPr>
            <w:r>
              <w:t>Detailed</w:t>
            </w:r>
            <w:r w:rsidR="009C7B53">
              <w:t>,</w:t>
            </w:r>
          </w:p>
          <w:p w14:paraId="495C44F8" w14:textId="51875222" w:rsidR="007C2788" w:rsidRDefault="00EC691C" w:rsidP="007C2788">
            <w:pPr>
              <w:spacing w:line="360" w:lineRule="auto"/>
            </w:pPr>
            <w:r>
              <w:t>generalised</w:t>
            </w:r>
          </w:p>
        </w:tc>
        <w:tc>
          <w:tcPr>
            <w:tcW w:w="1057" w:type="dxa"/>
          </w:tcPr>
          <w:p w14:paraId="73CEC44B" w14:textId="75AE4AC2" w:rsidR="007C2788" w:rsidRDefault="00922575" w:rsidP="007C2788">
            <w:pPr>
              <w:spacing w:line="360" w:lineRule="auto"/>
            </w:pPr>
            <w:r>
              <w:t>Obesity</w:t>
            </w:r>
            <w:r w:rsidR="009C7B53">
              <w:t xml:space="preserve"> key risk</w:t>
            </w:r>
          </w:p>
        </w:tc>
        <w:tc>
          <w:tcPr>
            <w:tcW w:w="1203" w:type="dxa"/>
          </w:tcPr>
          <w:p w14:paraId="5E4D6828" w14:textId="0BC593E8" w:rsidR="007C2788" w:rsidRDefault="009C7B53" w:rsidP="007C2788">
            <w:pPr>
              <w:spacing w:line="360" w:lineRule="auto"/>
            </w:pPr>
            <w:r>
              <w:t>Obesity, lifestyle</w:t>
            </w:r>
          </w:p>
        </w:tc>
        <w:tc>
          <w:tcPr>
            <w:tcW w:w="1484" w:type="dxa"/>
          </w:tcPr>
          <w:p w14:paraId="5AA1AA8F" w14:textId="61B39081" w:rsidR="007C2788" w:rsidRDefault="009C7B53" w:rsidP="007C2788">
            <w:pPr>
              <w:spacing w:line="360" w:lineRule="auto"/>
            </w:pPr>
            <w:r>
              <w:t>Links to Theme 2</w:t>
            </w:r>
          </w:p>
        </w:tc>
      </w:tr>
      <w:tr w:rsidR="00EC691C" w14:paraId="68DA6782" w14:textId="77777777" w:rsidTr="00C14C98">
        <w:trPr>
          <w:trHeight w:val="404"/>
        </w:trPr>
        <w:tc>
          <w:tcPr>
            <w:tcW w:w="1850" w:type="dxa"/>
          </w:tcPr>
          <w:p w14:paraId="696ADB97" w14:textId="35F5DB07" w:rsidR="007C2788" w:rsidRDefault="00243767" w:rsidP="007C2788">
            <w:pPr>
              <w:spacing w:line="360" w:lineRule="auto"/>
            </w:pPr>
            <w:r>
              <w:t>Woodward et al. (2024)</w:t>
            </w:r>
          </w:p>
        </w:tc>
        <w:tc>
          <w:tcPr>
            <w:tcW w:w="1576" w:type="dxa"/>
          </w:tcPr>
          <w:p w14:paraId="43773108" w14:textId="67FDA0B2" w:rsidR="007C2788" w:rsidRDefault="00243767" w:rsidP="007C2788">
            <w:pPr>
              <w:spacing w:line="360" w:lineRule="auto"/>
            </w:pPr>
            <w:r>
              <w:t>Self-management barriers</w:t>
            </w:r>
          </w:p>
        </w:tc>
        <w:tc>
          <w:tcPr>
            <w:tcW w:w="1563" w:type="dxa"/>
          </w:tcPr>
          <w:p w14:paraId="4EA0DF70" w14:textId="383BA0A7" w:rsidR="007C2788" w:rsidRDefault="006C6A72" w:rsidP="007C2788">
            <w:pPr>
              <w:spacing w:line="360" w:lineRule="auto"/>
            </w:pPr>
            <w:r>
              <w:t>Qualitative</w:t>
            </w:r>
          </w:p>
        </w:tc>
        <w:tc>
          <w:tcPr>
            <w:tcW w:w="1284" w:type="dxa"/>
          </w:tcPr>
          <w:p w14:paraId="0CA8BC3C" w14:textId="0AC4761E" w:rsidR="007C2788" w:rsidRDefault="00482327" w:rsidP="007C2788">
            <w:pPr>
              <w:spacing w:line="360" w:lineRule="auto"/>
            </w:pPr>
            <w:r>
              <w:t>Deprived populations</w:t>
            </w:r>
          </w:p>
        </w:tc>
        <w:tc>
          <w:tcPr>
            <w:tcW w:w="1323" w:type="dxa"/>
          </w:tcPr>
          <w:p w14:paraId="2EAEE4D2" w14:textId="40BBA12B" w:rsidR="007C2788" w:rsidRDefault="00EC691C" w:rsidP="007C2788">
            <w:pPr>
              <w:spacing w:line="360" w:lineRule="auto"/>
            </w:pPr>
            <w:r>
              <w:t>Real world</w:t>
            </w:r>
            <w:r w:rsidR="009C7B53">
              <w:t>,</w:t>
            </w:r>
          </w:p>
          <w:p w14:paraId="4049F688" w14:textId="6D7837C5" w:rsidR="00EC691C" w:rsidRDefault="00EC691C" w:rsidP="007C2788">
            <w:pPr>
              <w:spacing w:line="360" w:lineRule="auto"/>
            </w:pPr>
            <w:r>
              <w:t>Small sample</w:t>
            </w:r>
          </w:p>
        </w:tc>
        <w:tc>
          <w:tcPr>
            <w:tcW w:w="1057" w:type="dxa"/>
          </w:tcPr>
          <w:p w14:paraId="708383BD" w14:textId="3C8FCFE9" w:rsidR="007C2788" w:rsidRDefault="00922575" w:rsidP="007C2788">
            <w:pPr>
              <w:spacing w:line="360" w:lineRule="auto"/>
            </w:pPr>
            <w:r>
              <w:t>Inequality impacts management</w:t>
            </w:r>
          </w:p>
        </w:tc>
        <w:tc>
          <w:tcPr>
            <w:tcW w:w="1203" w:type="dxa"/>
          </w:tcPr>
          <w:p w14:paraId="0061DCAE" w14:textId="33855EFA" w:rsidR="007C2788" w:rsidRDefault="009C7B53" w:rsidP="007C2788">
            <w:pPr>
              <w:spacing w:line="360" w:lineRule="auto"/>
            </w:pPr>
            <w:r>
              <w:t>Inequality, access</w:t>
            </w:r>
          </w:p>
        </w:tc>
        <w:tc>
          <w:tcPr>
            <w:tcW w:w="1484" w:type="dxa"/>
          </w:tcPr>
          <w:p w14:paraId="455BABCB" w14:textId="1E254733" w:rsidR="007C2788" w:rsidRDefault="009C7B53" w:rsidP="007C2788">
            <w:pPr>
              <w:spacing w:line="360" w:lineRule="auto"/>
            </w:pPr>
            <w:r>
              <w:t>Strong Theme 3 link</w:t>
            </w:r>
          </w:p>
        </w:tc>
      </w:tr>
      <w:tr w:rsidR="00EC691C" w14:paraId="3005FE14" w14:textId="77777777" w:rsidTr="00C14C98">
        <w:trPr>
          <w:trHeight w:val="392"/>
        </w:trPr>
        <w:tc>
          <w:tcPr>
            <w:tcW w:w="1850" w:type="dxa"/>
          </w:tcPr>
          <w:p w14:paraId="1DC1C982" w14:textId="77777777" w:rsidR="007C2788" w:rsidRDefault="007C2788" w:rsidP="007C2788">
            <w:pPr>
              <w:spacing w:line="360" w:lineRule="auto"/>
            </w:pPr>
          </w:p>
        </w:tc>
        <w:tc>
          <w:tcPr>
            <w:tcW w:w="1576" w:type="dxa"/>
          </w:tcPr>
          <w:p w14:paraId="2E5C4D8E" w14:textId="77777777" w:rsidR="007C2788" w:rsidRDefault="007C2788" w:rsidP="007C2788">
            <w:pPr>
              <w:spacing w:line="360" w:lineRule="auto"/>
            </w:pPr>
          </w:p>
        </w:tc>
        <w:tc>
          <w:tcPr>
            <w:tcW w:w="1563" w:type="dxa"/>
          </w:tcPr>
          <w:p w14:paraId="26180572" w14:textId="77777777" w:rsidR="007C2788" w:rsidRDefault="007C2788" w:rsidP="007C2788">
            <w:pPr>
              <w:spacing w:line="360" w:lineRule="auto"/>
            </w:pPr>
          </w:p>
        </w:tc>
        <w:tc>
          <w:tcPr>
            <w:tcW w:w="1284" w:type="dxa"/>
          </w:tcPr>
          <w:p w14:paraId="0295BD7C" w14:textId="77777777" w:rsidR="007C2788" w:rsidRDefault="007C2788" w:rsidP="007C2788">
            <w:pPr>
              <w:spacing w:line="360" w:lineRule="auto"/>
            </w:pPr>
          </w:p>
        </w:tc>
        <w:tc>
          <w:tcPr>
            <w:tcW w:w="1323" w:type="dxa"/>
          </w:tcPr>
          <w:p w14:paraId="4592F412" w14:textId="77777777" w:rsidR="007C2788" w:rsidRDefault="007C2788" w:rsidP="007C2788">
            <w:pPr>
              <w:spacing w:line="360" w:lineRule="auto"/>
            </w:pPr>
          </w:p>
        </w:tc>
        <w:tc>
          <w:tcPr>
            <w:tcW w:w="1057" w:type="dxa"/>
          </w:tcPr>
          <w:p w14:paraId="31AA2EF5" w14:textId="77777777" w:rsidR="007C2788" w:rsidRDefault="007C2788" w:rsidP="007C2788">
            <w:pPr>
              <w:spacing w:line="360" w:lineRule="auto"/>
            </w:pPr>
          </w:p>
        </w:tc>
        <w:tc>
          <w:tcPr>
            <w:tcW w:w="1203" w:type="dxa"/>
          </w:tcPr>
          <w:p w14:paraId="68D8445E" w14:textId="77777777" w:rsidR="007C2788" w:rsidRDefault="007C2788" w:rsidP="007C2788">
            <w:pPr>
              <w:spacing w:line="360" w:lineRule="auto"/>
            </w:pPr>
          </w:p>
        </w:tc>
        <w:tc>
          <w:tcPr>
            <w:tcW w:w="1484" w:type="dxa"/>
          </w:tcPr>
          <w:p w14:paraId="4BC3C268" w14:textId="77777777" w:rsidR="007C2788" w:rsidRDefault="007C2788" w:rsidP="007C2788">
            <w:pPr>
              <w:spacing w:line="360" w:lineRule="auto"/>
            </w:pPr>
          </w:p>
        </w:tc>
      </w:tr>
    </w:tbl>
    <w:p w14:paraId="0CFA7ADB" w14:textId="77D62F13" w:rsidR="002C0BD1" w:rsidRDefault="006D393E" w:rsidP="00903B48">
      <w:pPr>
        <w:spacing w:line="360" w:lineRule="auto"/>
      </w:pPr>
      <w:r>
        <w:t>Table 4.</w:t>
      </w:r>
    </w:p>
    <w:p w14:paraId="5D0086CC" w14:textId="77777777" w:rsidR="00496C66" w:rsidRDefault="00496C66" w:rsidP="00903B48">
      <w:pPr>
        <w:spacing w:line="360" w:lineRule="auto"/>
      </w:pPr>
    </w:p>
    <w:p w14:paraId="4EB1AB21" w14:textId="622D0EE0" w:rsidR="00496C66" w:rsidRDefault="00496C66" w:rsidP="00903B48">
      <w:pPr>
        <w:spacing w:line="360" w:lineRule="auto"/>
      </w:pPr>
    </w:p>
    <w:p w14:paraId="75A09E22" w14:textId="2DDF7ABC" w:rsidR="00DB3FB5" w:rsidRDefault="00DB3FB5" w:rsidP="00903B48">
      <w:pPr>
        <w:spacing w:line="360" w:lineRule="auto"/>
      </w:pPr>
    </w:p>
    <w:p w14:paraId="717445DA" w14:textId="14A8A7F2" w:rsidR="00DB3FB5" w:rsidRDefault="00DB3FB5" w:rsidP="00903B48">
      <w:pPr>
        <w:spacing w:line="360" w:lineRule="auto"/>
      </w:pPr>
    </w:p>
    <w:p w14:paraId="253FAA2F" w14:textId="77777777" w:rsidR="00DB3FB5" w:rsidRDefault="00DB3FB5" w:rsidP="00903B48">
      <w:pPr>
        <w:spacing w:line="360" w:lineRule="auto"/>
      </w:pPr>
    </w:p>
    <w:p w14:paraId="1F698E58" w14:textId="77777777" w:rsidR="00496C66" w:rsidRDefault="00496C66" w:rsidP="00903B48">
      <w:pPr>
        <w:spacing w:line="360" w:lineRule="auto"/>
      </w:pPr>
    </w:p>
    <w:p w14:paraId="573281F6" w14:textId="75F1CE11" w:rsidR="00496C66" w:rsidRDefault="00496C66" w:rsidP="00903B48">
      <w:pPr>
        <w:spacing w:line="360" w:lineRule="auto"/>
      </w:pPr>
    </w:p>
    <w:p w14:paraId="587B55A4" w14:textId="0E914AF9" w:rsidR="002C0BD1" w:rsidRDefault="002C0BD1" w:rsidP="00903B48">
      <w:pPr>
        <w:spacing w:line="360" w:lineRule="auto"/>
      </w:pPr>
    </w:p>
    <w:p w14:paraId="5DC7CAE5" w14:textId="32AF61D3" w:rsidR="00317DAC" w:rsidRDefault="00317DAC" w:rsidP="00903B48">
      <w:pPr>
        <w:spacing w:line="360" w:lineRule="auto"/>
      </w:pPr>
    </w:p>
    <w:p w14:paraId="0D48981F" w14:textId="1BAE1328" w:rsidR="0042470E" w:rsidRDefault="0042470E" w:rsidP="00903B48">
      <w:pPr>
        <w:spacing w:line="360" w:lineRule="auto"/>
      </w:pPr>
    </w:p>
    <w:p w14:paraId="0021B975" w14:textId="0A55D942" w:rsidR="00C72A80" w:rsidRDefault="00C72A80" w:rsidP="00903B48">
      <w:pPr>
        <w:spacing w:line="360" w:lineRule="auto"/>
      </w:pPr>
    </w:p>
    <w:p w14:paraId="49954C3C" w14:textId="7016D031" w:rsidR="003B503B" w:rsidRDefault="007F0200" w:rsidP="003B503B">
      <w:pPr>
        <w:pStyle w:val="Heading1"/>
        <w:spacing w:after="240" w:line="540" w:lineRule="atLeast"/>
        <w:ind w:left="0"/>
        <w:rPr>
          <w:color w:val="000000"/>
          <w:sz w:val="36"/>
          <w:szCs w:val="36"/>
        </w:rPr>
      </w:pPr>
      <w:r>
        <w:rPr>
          <w:color w:val="000000"/>
          <w:sz w:val="36"/>
          <w:szCs w:val="36"/>
        </w:rPr>
        <w:t>Reference List</w:t>
      </w:r>
    </w:p>
    <w:p w14:paraId="1CD8BDEE" w14:textId="7189F215" w:rsidR="003B503B" w:rsidRDefault="003B503B" w:rsidP="003B503B">
      <w:pPr>
        <w:spacing w:after="240" w:line="360" w:lineRule="atLeast"/>
        <w:rPr>
          <w:color w:val="000000"/>
        </w:rPr>
      </w:pPr>
      <w:r w:rsidRPr="003B503B">
        <w:rPr>
          <w:color w:val="000000"/>
        </w:rPr>
        <w:t>Abdullah, M.F.I.L.B., Sidi, H., Ravindran, A., Gosse, P.J., Kaunismaa, E.S., Mainland, R.L., Mustafa, N., Hatta, N.H., Arnawati, P., Zulkifli, A.Y. and Woon, L.S.-C. (2020). How Much Do We Know about the Biopsychosocial Predictors of Glycaemic Control? Age and Clinical Factors Predict Glycaemic Control, but Psychological Factors Do Not. </w:t>
      </w:r>
      <w:r w:rsidRPr="003B503B">
        <w:rPr>
          <w:i/>
          <w:iCs/>
          <w:color w:val="000000"/>
        </w:rPr>
        <w:t>Journal of Diabetes Research</w:t>
      </w:r>
      <w:r w:rsidRPr="003B503B">
        <w:rPr>
          <w:color w:val="000000"/>
        </w:rPr>
        <w:t>, 2020, pp.1–11. doi:https://doi.org/10.1155/2020/2654208</w:t>
      </w:r>
      <w:r w:rsidR="0042470E">
        <w:rPr>
          <w:color w:val="000000"/>
        </w:rPr>
        <w:t xml:space="preserve"> (Accessed 10</w:t>
      </w:r>
      <w:r w:rsidR="0042470E" w:rsidRPr="0042470E">
        <w:rPr>
          <w:color w:val="000000"/>
          <w:vertAlign w:val="superscript"/>
        </w:rPr>
        <w:t>th</w:t>
      </w:r>
      <w:r w:rsidR="0042470E">
        <w:rPr>
          <w:color w:val="000000"/>
        </w:rPr>
        <w:t xml:space="preserve"> Jan. 2026)</w:t>
      </w:r>
    </w:p>
    <w:p w14:paraId="35E41017" w14:textId="730F76B3" w:rsidR="00672DF5" w:rsidRDefault="00672DF5" w:rsidP="003B503B">
      <w:pPr>
        <w:spacing w:after="240" w:line="360" w:lineRule="atLeast"/>
        <w:rPr>
          <w:color w:val="000000"/>
        </w:rPr>
      </w:pPr>
      <w:r w:rsidRPr="00672DF5">
        <w:rPr>
          <w:color w:val="000000"/>
        </w:rPr>
        <w:t>Ahmed, S.K. and Mohammed, R.A. (2025). Obesity: Prevalence, causes, consequences, management, preventive strategies and future research directions. </w:t>
      </w:r>
      <w:r w:rsidRPr="00672DF5">
        <w:rPr>
          <w:i/>
          <w:iCs/>
          <w:color w:val="000000"/>
        </w:rPr>
        <w:t>Metabolism Open</w:t>
      </w:r>
      <w:r w:rsidRPr="00672DF5">
        <w:rPr>
          <w:color w:val="000000"/>
        </w:rPr>
        <w:t xml:space="preserve">, 27, p.100375. </w:t>
      </w:r>
      <w:proofErr w:type="gramStart"/>
      <w:r w:rsidRPr="00672DF5">
        <w:rPr>
          <w:color w:val="000000"/>
        </w:rPr>
        <w:t>doi:https://doi.org/10.1016/j.metop.2025.100375</w:t>
      </w:r>
      <w:proofErr w:type="gramEnd"/>
      <w:r w:rsidR="0042470E">
        <w:rPr>
          <w:color w:val="000000"/>
        </w:rPr>
        <w:t xml:space="preserve"> (Accessed 4</w:t>
      </w:r>
      <w:r w:rsidR="0042470E" w:rsidRPr="0042470E">
        <w:rPr>
          <w:color w:val="000000"/>
          <w:vertAlign w:val="superscript"/>
        </w:rPr>
        <w:t>th</w:t>
      </w:r>
      <w:r w:rsidR="0042470E">
        <w:rPr>
          <w:color w:val="000000"/>
        </w:rPr>
        <w:t xml:space="preserve"> Feb 2026).</w:t>
      </w:r>
    </w:p>
    <w:p w14:paraId="20594A07" w14:textId="7BA2B861" w:rsidR="003B503B" w:rsidRPr="003B503B" w:rsidRDefault="003B503B" w:rsidP="003B503B">
      <w:pPr>
        <w:spacing w:after="240" w:line="360" w:lineRule="atLeast"/>
        <w:rPr>
          <w:color w:val="000000"/>
        </w:rPr>
      </w:pPr>
      <w:r w:rsidRPr="003B503B">
        <w:rPr>
          <w:color w:val="000000"/>
        </w:rPr>
        <w:t>Alyafei, A. and Carr, R.E. (2024). </w:t>
      </w:r>
      <w:r w:rsidRPr="003B503B">
        <w:rPr>
          <w:i/>
          <w:iCs/>
          <w:color w:val="000000"/>
        </w:rPr>
        <w:t>The Health Belief Model of Behavior Change</w:t>
      </w:r>
      <w:r w:rsidRPr="003B503B">
        <w:rPr>
          <w:color w:val="000000"/>
        </w:rPr>
        <w:t xml:space="preserve">. National Library of Medicine. Available at: https://www.ncbi.nlm.nih.gov/books/NBK606120/ </w:t>
      </w:r>
      <w:r w:rsidR="003458DD">
        <w:rPr>
          <w:color w:val="000000"/>
        </w:rPr>
        <w:t>(</w:t>
      </w:r>
      <w:r w:rsidRPr="003B503B">
        <w:rPr>
          <w:color w:val="000000"/>
        </w:rPr>
        <w:t>Accessed 20 Nov. 2025</w:t>
      </w:r>
      <w:r w:rsidR="003458DD">
        <w:rPr>
          <w:color w:val="000000"/>
        </w:rPr>
        <w:t>)</w:t>
      </w:r>
      <w:r w:rsidRPr="003B503B">
        <w:rPr>
          <w:color w:val="000000"/>
        </w:rPr>
        <w:t>.</w:t>
      </w:r>
    </w:p>
    <w:p w14:paraId="586AFE28" w14:textId="436B5511" w:rsidR="003B503B" w:rsidRDefault="003B503B" w:rsidP="003B503B">
      <w:pPr>
        <w:spacing w:after="240" w:line="360" w:lineRule="atLeast"/>
        <w:rPr>
          <w:color w:val="000000"/>
        </w:rPr>
      </w:pPr>
      <w:r w:rsidRPr="005C540E">
        <w:rPr>
          <w:color w:val="000000"/>
        </w:rPr>
        <w:t>American Diabetes Association (2010). Diagnosis and classification of diabetes mellitus. </w:t>
      </w:r>
      <w:r w:rsidRPr="005C540E">
        <w:rPr>
          <w:i/>
          <w:iCs/>
          <w:color w:val="000000"/>
        </w:rPr>
        <w:t>Diabetes Care</w:t>
      </w:r>
      <w:r w:rsidRPr="005C540E">
        <w:rPr>
          <w:color w:val="000000"/>
        </w:rPr>
        <w:t xml:space="preserve">, 33(Supplement_1), pp.S62–S69. </w:t>
      </w:r>
      <w:proofErr w:type="spellStart"/>
      <w:proofErr w:type="gramStart"/>
      <w:r w:rsidRPr="005C540E">
        <w:rPr>
          <w:color w:val="000000"/>
        </w:rPr>
        <w:t>doi:https</w:t>
      </w:r>
      <w:proofErr w:type="spellEnd"/>
      <w:r w:rsidRPr="005C540E">
        <w:rPr>
          <w:color w:val="000000"/>
        </w:rPr>
        <w:t>://doi.org/10.2337/dc10-s062</w:t>
      </w:r>
      <w:proofErr w:type="gramEnd"/>
      <w:r w:rsidR="0042470E">
        <w:rPr>
          <w:color w:val="000000"/>
        </w:rPr>
        <w:t xml:space="preserve"> (Accessed 10</w:t>
      </w:r>
      <w:r w:rsidR="0042470E" w:rsidRPr="0042470E">
        <w:rPr>
          <w:color w:val="000000"/>
          <w:vertAlign w:val="superscript"/>
        </w:rPr>
        <w:t>th</w:t>
      </w:r>
      <w:r w:rsidR="0042470E">
        <w:rPr>
          <w:color w:val="000000"/>
        </w:rPr>
        <w:t xml:space="preserve"> Nov 2025).</w:t>
      </w:r>
    </w:p>
    <w:p w14:paraId="25AB5652" w14:textId="18597B69" w:rsidR="005D6EEC" w:rsidRDefault="005D6EEC" w:rsidP="005D6EEC">
      <w:pPr>
        <w:pStyle w:val="NormalWeb"/>
        <w:spacing w:before="0" w:beforeAutospacing="0" w:after="240" w:afterAutospacing="0" w:line="360" w:lineRule="atLeast"/>
        <w:rPr>
          <w:color w:val="000000"/>
        </w:rPr>
      </w:pPr>
      <w:r>
        <w:rPr>
          <w:color w:val="000000"/>
        </w:rPr>
        <w:t>Anekwe, C.V., Jarrell, A.R., Townsend, M.J., Gaudier, G.I., Hiserodt, J.M. and Stanford, F.C. (2020). Socioeconomics of Obesity.</w:t>
      </w:r>
      <w:r>
        <w:rPr>
          <w:rStyle w:val="apple-converted-space"/>
          <w:rFonts w:eastAsia="Calibri Light"/>
          <w:color w:val="000000"/>
        </w:rPr>
        <w:t> </w:t>
      </w:r>
      <w:r>
        <w:rPr>
          <w:i/>
          <w:iCs/>
          <w:color w:val="000000"/>
        </w:rPr>
        <w:t>Current Obesity Reports</w:t>
      </w:r>
      <w:r>
        <w:rPr>
          <w:color w:val="000000"/>
        </w:rPr>
        <w:t xml:space="preserve">,  9(3), pp.272–279. </w:t>
      </w:r>
      <w:proofErr w:type="spellStart"/>
      <w:proofErr w:type="gramStart"/>
      <w:r>
        <w:rPr>
          <w:color w:val="000000"/>
        </w:rPr>
        <w:t>doi:https</w:t>
      </w:r>
      <w:proofErr w:type="spellEnd"/>
      <w:r>
        <w:rPr>
          <w:color w:val="000000"/>
        </w:rPr>
        <w:t>://doi.org/10.1007/s13679-020-00398-7</w:t>
      </w:r>
      <w:proofErr w:type="gramEnd"/>
      <w:r w:rsidR="0042470E">
        <w:rPr>
          <w:color w:val="000000"/>
        </w:rPr>
        <w:t xml:space="preserve"> (Accessed 20</w:t>
      </w:r>
      <w:r w:rsidR="0042470E" w:rsidRPr="0042470E">
        <w:rPr>
          <w:color w:val="000000"/>
          <w:vertAlign w:val="superscript"/>
        </w:rPr>
        <w:t>th</w:t>
      </w:r>
      <w:r w:rsidR="0042470E">
        <w:rPr>
          <w:color w:val="000000"/>
        </w:rPr>
        <w:t xml:space="preserve"> Dec. 2025).</w:t>
      </w:r>
    </w:p>
    <w:p w14:paraId="391B3B91" w14:textId="61E08BAA" w:rsidR="005D6EEC" w:rsidRDefault="005D6EEC" w:rsidP="005D6EEC">
      <w:pPr>
        <w:pStyle w:val="NormalWeb"/>
        <w:spacing w:before="0" w:beforeAutospacing="0" w:after="240" w:afterAutospacing="0" w:line="360" w:lineRule="atLeast"/>
        <w:rPr>
          <w:color w:val="000000"/>
        </w:rPr>
      </w:pPr>
      <w:r>
        <w:rPr>
          <w:color w:val="000000"/>
        </w:rPr>
        <w:t>Au-Yeung, C.H., Ellis, D., Dallaway, A., Riley, J., Varney, J. and Howell-Jones, R. (2024). Socioeconomic and ethnic inequalities increase the risk of type 2 diabetes: an analysis of NHS health check attendees in Birmingham.</w:t>
      </w:r>
      <w:r>
        <w:rPr>
          <w:rStyle w:val="apple-converted-space"/>
          <w:rFonts w:eastAsia="Calibri Light"/>
          <w:color w:val="000000"/>
        </w:rPr>
        <w:t> </w:t>
      </w:r>
      <w:r>
        <w:rPr>
          <w:i/>
          <w:iCs/>
          <w:color w:val="000000"/>
        </w:rPr>
        <w:t>Frontiers in Public Health</w:t>
      </w:r>
      <w:r>
        <w:rPr>
          <w:color w:val="000000"/>
        </w:rPr>
        <w:t xml:space="preserve">, 12. </w:t>
      </w:r>
      <w:proofErr w:type="spellStart"/>
      <w:proofErr w:type="gramStart"/>
      <w:r>
        <w:rPr>
          <w:color w:val="000000"/>
        </w:rPr>
        <w:t>doi:https</w:t>
      </w:r>
      <w:proofErr w:type="spellEnd"/>
      <w:r>
        <w:rPr>
          <w:color w:val="000000"/>
        </w:rPr>
        <w:t>://doi.org/10.3389/fpubh.2024.1477418</w:t>
      </w:r>
      <w:proofErr w:type="gramEnd"/>
      <w:r w:rsidR="0042470E">
        <w:rPr>
          <w:color w:val="000000"/>
        </w:rPr>
        <w:t xml:space="preserve"> (Accessed 4</w:t>
      </w:r>
      <w:r w:rsidR="0042470E" w:rsidRPr="0042470E">
        <w:rPr>
          <w:color w:val="000000"/>
          <w:vertAlign w:val="superscript"/>
        </w:rPr>
        <w:t>th</w:t>
      </w:r>
      <w:r w:rsidR="0042470E">
        <w:rPr>
          <w:color w:val="000000"/>
        </w:rPr>
        <w:t xml:space="preserve"> Feb. 2026).</w:t>
      </w:r>
    </w:p>
    <w:p w14:paraId="40BE6143" w14:textId="750839F2" w:rsidR="001E48C2" w:rsidRPr="001E48C2" w:rsidRDefault="001E48C2" w:rsidP="001E48C2">
      <w:pPr>
        <w:spacing w:after="240" w:line="360" w:lineRule="atLeast"/>
        <w:rPr>
          <w:color w:val="000000"/>
        </w:rPr>
      </w:pPr>
      <w:r w:rsidRPr="001E48C2">
        <w:rPr>
          <w:color w:val="000000"/>
        </w:rPr>
        <w:t xml:space="preserve">Avery, A.J., </w:t>
      </w:r>
      <w:proofErr w:type="spellStart"/>
      <w:r w:rsidRPr="001E48C2">
        <w:rPr>
          <w:color w:val="000000"/>
        </w:rPr>
        <w:t>Ghaleb</w:t>
      </w:r>
      <w:proofErr w:type="spellEnd"/>
      <w:r w:rsidRPr="001E48C2">
        <w:rPr>
          <w:color w:val="000000"/>
        </w:rPr>
        <w:t xml:space="preserve">, M., Barber, N., Dean Franklin, B., Armstrong, S.J., </w:t>
      </w:r>
      <w:proofErr w:type="spellStart"/>
      <w:r w:rsidRPr="001E48C2">
        <w:rPr>
          <w:color w:val="000000"/>
        </w:rPr>
        <w:t>Serumaga</w:t>
      </w:r>
      <w:proofErr w:type="spellEnd"/>
      <w:r w:rsidRPr="001E48C2">
        <w:rPr>
          <w:color w:val="000000"/>
        </w:rPr>
        <w:t xml:space="preserve">, B., Dhillon, S., </w:t>
      </w:r>
      <w:proofErr w:type="spellStart"/>
      <w:r w:rsidRPr="001E48C2">
        <w:rPr>
          <w:color w:val="000000"/>
        </w:rPr>
        <w:t>Freyer</w:t>
      </w:r>
      <w:proofErr w:type="spellEnd"/>
      <w:r w:rsidRPr="001E48C2">
        <w:rPr>
          <w:color w:val="000000"/>
        </w:rPr>
        <w:t xml:space="preserve">, A., Howard, R., </w:t>
      </w:r>
      <w:proofErr w:type="spellStart"/>
      <w:r w:rsidRPr="001E48C2">
        <w:rPr>
          <w:color w:val="000000"/>
        </w:rPr>
        <w:t>Talabi</w:t>
      </w:r>
      <w:proofErr w:type="spellEnd"/>
      <w:r w:rsidRPr="001E48C2">
        <w:rPr>
          <w:color w:val="000000"/>
        </w:rPr>
        <w:t>, O. and Mehta, R.L. (2013). The prevalence and nature of prescribing and monitoring errors in English general practice: a retrospective case note review. </w:t>
      </w:r>
      <w:r w:rsidRPr="001E48C2">
        <w:rPr>
          <w:i/>
          <w:iCs/>
          <w:color w:val="000000"/>
        </w:rPr>
        <w:t>British Journal of General Practice</w:t>
      </w:r>
      <w:r w:rsidRPr="001E48C2">
        <w:rPr>
          <w:color w:val="000000"/>
        </w:rPr>
        <w:t xml:space="preserve">, 63(613), </w:t>
      </w:r>
      <w:proofErr w:type="gramStart"/>
      <w:r w:rsidRPr="001E48C2">
        <w:rPr>
          <w:color w:val="000000"/>
        </w:rPr>
        <w:t>pp.e</w:t>
      </w:r>
      <w:proofErr w:type="gramEnd"/>
      <w:r w:rsidRPr="001E48C2">
        <w:rPr>
          <w:color w:val="000000"/>
        </w:rPr>
        <w:t xml:space="preserve">543–e553. </w:t>
      </w:r>
      <w:proofErr w:type="spellStart"/>
      <w:proofErr w:type="gramStart"/>
      <w:r w:rsidRPr="001E48C2">
        <w:rPr>
          <w:color w:val="000000"/>
        </w:rPr>
        <w:t>doi:https</w:t>
      </w:r>
      <w:proofErr w:type="spellEnd"/>
      <w:r w:rsidRPr="001E48C2">
        <w:rPr>
          <w:color w:val="000000"/>
        </w:rPr>
        <w:t>://doi.org/10.3399/bjgp13x670679</w:t>
      </w:r>
      <w:proofErr w:type="gramEnd"/>
      <w:r w:rsidR="0042470E">
        <w:rPr>
          <w:color w:val="000000"/>
        </w:rPr>
        <w:t xml:space="preserve"> (Accessed 10</w:t>
      </w:r>
      <w:r w:rsidR="0042470E" w:rsidRPr="0042470E">
        <w:rPr>
          <w:color w:val="000000"/>
          <w:vertAlign w:val="superscript"/>
        </w:rPr>
        <w:t>th</w:t>
      </w:r>
      <w:r w:rsidR="0042470E">
        <w:rPr>
          <w:color w:val="000000"/>
        </w:rPr>
        <w:t xml:space="preserve"> March 2026).</w:t>
      </w:r>
    </w:p>
    <w:p w14:paraId="2F540377" w14:textId="3F6D2769" w:rsidR="00B378CE" w:rsidRPr="00B378CE" w:rsidRDefault="00B378CE" w:rsidP="00B378CE">
      <w:pPr>
        <w:spacing w:after="240" w:line="360" w:lineRule="atLeast"/>
        <w:rPr>
          <w:color w:val="000000"/>
        </w:rPr>
      </w:pPr>
      <w:r w:rsidRPr="00B378CE">
        <w:rPr>
          <w:color w:val="000000"/>
        </w:rPr>
        <w:lastRenderedPageBreak/>
        <w:t>Bansal, N., Karlsen, S., Sashidharan, S.P., Cohen, R., Chew-Graham, C.A. and Malpass, A. (2022). Understanding Ethnic Inequalities in Mental Healthcare in the UK: a meta-ethnography. </w:t>
      </w:r>
      <w:r w:rsidRPr="00B378CE">
        <w:rPr>
          <w:i/>
          <w:iCs/>
          <w:color w:val="000000"/>
        </w:rPr>
        <w:t>PLOS Medicine</w:t>
      </w:r>
      <w:r w:rsidRPr="00B378CE">
        <w:rPr>
          <w:color w:val="000000"/>
        </w:rPr>
        <w:t xml:space="preserve">,19(12), pp.1–36. </w:t>
      </w:r>
      <w:proofErr w:type="spellStart"/>
      <w:proofErr w:type="gramStart"/>
      <w:r w:rsidRPr="00B378CE">
        <w:rPr>
          <w:color w:val="000000"/>
        </w:rPr>
        <w:t>doi:https</w:t>
      </w:r>
      <w:proofErr w:type="spellEnd"/>
      <w:r w:rsidRPr="00B378CE">
        <w:rPr>
          <w:color w:val="000000"/>
        </w:rPr>
        <w:t>://doi.org/10.1371/journal.pmed.1004139</w:t>
      </w:r>
      <w:proofErr w:type="gramEnd"/>
      <w:r w:rsidR="0042470E">
        <w:rPr>
          <w:color w:val="000000"/>
        </w:rPr>
        <w:t xml:space="preserve"> (Accessed 5</w:t>
      </w:r>
      <w:r w:rsidR="0042470E" w:rsidRPr="0042470E">
        <w:rPr>
          <w:color w:val="000000"/>
          <w:vertAlign w:val="superscript"/>
        </w:rPr>
        <w:t>th</w:t>
      </w:r>
      <w:r w:rsidR="0042470E">
        <w:rPr>
          <w:color w:val="000000"/>
        </w:rPr>
        <w:t xml:space="preserve"> Feb. 2026).</w:t>
      </w:r>
    </w:p>
    <w:p w14:paraId="3C7815CE" w14:textId="309E16C4" w:rsidR="00B378CE" w:rsidRDefault="00D56324" w:rsidP="00D56324">
      <w:pPr>
        <w:spacing w:after="240" w:line="360" w:lineRule="atLeast"/>
        <w:rPr>
          <w:color w:val="000000"/>
        </w:rPr>
      </w:pPr>
      <w:r w:rsidRPr="00D56324">
        <w:rPr>
          <w:color w:val="000000"/>
        </w:rPr>
        <w:t>Barry, E., Greenhalgh, T., Shaw, S. and Papoutsi, C. (2023). Explaining the UK’s ‘high-risk’ approach to type 2 diabetes prevention: findings from a qualitative interview study with policy-makers in England. </w:t>
      </w:r>
      <w:r w:rsidRPr="00D56324">
        <w:rPr>
          <w:i/>
          <w:iCs/>
          <w:color w:val="000000"/>
        </w:rPr>
        <w:t>BMJ Open</w:t>
      </w:r>
      <w:r w:rsidRPr="00D56324">
        <w:rPr>
          <w:color w:val="000000"/>
        </w:rPr>
        <w:t xml:space="preserve">, 13(2), p.e066301. </w:t>
      </w:r>
      <w:proofErr w:type="spellStart"/>
      <w:proofErr w:type="gramStart"/>
      <w:r w:rsidRPr="00D56324">
        <w:rPr>
          <w:color w:val="000000"/>
        </w:rPr>
        <w:t>doi:https</w:t>
      </w:r>
      <w:proofErr w:type="spellEnd"/>
      <w:r w:rsidRPr="00D56324">
        <w:rPr>
          <w:color w:val="000000"/>
        </w:rPr>
        <w:t>://doi.org/10.1136/bmjopen-2022-066301</w:t>
      </w:r>
      <w:proofErr w:type="gramEnd"/>
      <w:r w:rsidR="0042470E">
        <w:rPr>
          <w:color w:val="000000"/>
        </w:rPr>
        <w:t xml:space="preserve"> (Accessed 10</w:t>
      </w:r>
      <w:r w:rsidR="0042470E" w:rsidRPr="0042470E">
        <w:rPr>
          <w:color w:val="000000"/>
          <w:vertAlign w:val="superscript"/>
        </w:rPr>
        <w:t>th</w:t>
      </w:r>
      <w:r w:rsidR="0042470E">
        <w:rPr>
          <w:color w:val="000000"/>
        </w:rPr>
        <w:t xml:space="preserve"> March 2026).</w:t>
      </w:r>
    </w:p>
    <w:p w14:paraId="76619257" w14:textId="1D0E61C1" w:rsidR="00E90E87" w:rsidRPr="00D56324" w:rsidRDefault="00E90E87" w:rsidP="00D56324">
      <w:pPr>
        <w:spacing w:after="240" w:line="360" w:lineRule="atLeast"/>
        <w:rPr>
          <w:color w:val="000000"/>
        </w:rPr>
      </w:pPr>
      <w:r w:rsidRPr="00E90E87">
        <w:rPr>
          <w:color w:val="000000"/>
        </w:rPr>
        <w:t xml:space="preserve">Bergman, M., </w:t>
      </w:r>
      <w:proofErr w:type="spellStart"/>
      <w:r w:rsidRPr="00E90E87">
        <w:rPr>
          <w:color w:val="000000"/>
        </w:rPr>
        <w:t>Buysschaert</w:t>
      </w:r>
      <w:proofErr w:type="spellEnd"/>
      <w:r w:rsidRPr="00E90E87">
        <w:rPr>
          <w:color w:val="000000"/>
        </w:rPr>
        <w:t xml:space="preserve">, M., Schwarz, P.E., Albright, A., Narayan, K.V. and </w:t>
      </w:r>
      <w:proofErr w:type="spellStart"/>
      <w:r w:rsidRPr="00E90E87">
        <w:rPr>
          <w:color w:val="000000"/>
        </w:rPr>
        <w:t>Yach</w:t>
      </w:r>
      <w:proofErr w:type="spellEnd"/>
      <w:r w:rsidRPr="00E90E87">
        <w:rPr>
          <w:color w:val="000000"/>
        </w:rPr>
        <w:t>, D. (2012). Diabetes prevention: global health policy and perspectives from the ground. </w:t>
      </w:r>
      <w:r w:rsidRPr="00E90E87">
        <w:rPr>
          <w:i/>
          <w:iCs/>
          <w:color w:val="000000"/>
        </w:rPr>
        <w:t>Diabetes management (London, England)</w:t>
      </w:r>
      <w:r w:rsidRPr="00E90E87">
        <w:rPr>
          <w:color w:val="000000"/>
        </w:rPr>
        <w:t xml:space="preserve">, 2(4), pp.309–321. </w:t>
      </w:r>
      <w:proofErr w:type="spellStart"/>
      <w:proofErr w:type="gramStart"/>
      <w:r w:rsidRPr="00E90E87">
        <w:rPr>
          <w:color w:val="000000"/>
        </w:rPr>
        <w:t>doi:https</w:t>
      </w:r>
      <w:proofErr w:type="spellEnd"/>
      <w:r w:rsidRPr="00E90E87">
        <w:rPr>
          <w:color w:val="000000"/>
        </w:rPr>
        <w:t>://doi.org/10.2217/dmt.12.34</w:t>
      </w:r>
      <w:proofErr w:type="gramEnd"/>
      <w:r w:rsidR="0042470E">
        <w:rPr>
          <w:color w:val="000000"/>
        </w:rPr>
        <w:t xml:space="preserve"> (Accessed end Nov. 2025).</w:t>
      </w:r>
    </w:p>
    <w:p w14:paraId="7792B0D3" w14:textId="2784118D" w:rsidR="00D56324" w:rsidRDefault="00D56324" w:rsidP="00D56324">
      <w:pPr>
        <w:spacing w:after="240" w:line="360" w:lineRule="atLeast"/>
        <w:rPr>
          <w:color w:val="000000"/>
        </w:rPr>
      </w:pPr>
      <w:r w:rsidRPr="00D56324">
        <w:rPr>
          <w:color w:val="000000"/>
        </w:rPr>
        <w:t>Beyera, G.K., O’Brien, J. and Campbell, S. (2021). Choosing a health behaviour theory or model for related research projects: A narrative review. </w:t>
      </w:r>
      <w:r w:rsidRPr="00D56324">
        <w:rPr>
          <w:i/>
          <w:iCs/>
          <w:color w:val="000000"/>
        </w:rPr>
        <w:t>Journal of Research in Nursing</w:t>
      </w:r>
      <w:r w:rsidRPr="00D56324">
        <w:rPr>
          <w:color w:val="000000"/>
        </w:rPr>
        <w:t xml:space="preserve">, 27(5), p.174498712110515. </w:t>
      </w:r>
      <w:proofErr w:type="spellStart"/>
      <w:proofErr w:type="gramStart"/>
      <w:r w:rsidRPr="00D56324">
        <w:rPr>
          <w:color w:val="000000"/>
        </w:rPr>
        <w:t>doi:https</w:t>
      </w:r>
      <w:proofErr w:type="spellEnd"/>
      <w:r w:rsidRPr="00D56324">
        <w:rPr>
          <w:color w:val="000000"/>
        </w:rPr>
        <w:t>://doi.org/10.1177/17449871211051566</w:t>
      </w:r>
      <w:proofErr w:type="gramEnd"/>
      <w:r w:rsidR="0042470E">
        <w:rPr>
          <w:color w:val="000000"/>
        </w:rPr>
        <w:t xml:space="preserve"> (Accessed 18</w:t>
      </w:r>
      <w:r w:rsidR="0042470E" w:rsidRPr="0042470E">
        <w:rPr>
          <w:color w:val="000000"/>
          <w:vertAlign w:val="superscript"/>
        </w:rPr>
        <w:t>th</w:t>
      </w:r>
      <w:r w:rsidR="0042470E">
        <w:rPr>
          <w:color w:val="000000"/>
        </w:rPr>
        <w:t xml:space="preserve"> Nov. 2025).</w:t>
      </w:r>
    </w:p>
    <w:p w14:paraId="1B5E3471" w14:textId="1434CE21" w:rsidR="00B378CE" w:rsidRDefault="00B378CE" w:rsidP="00D56324">
      <w:pPr>
        <w:spacing w:after="240" w:line="360" w:lineRule="atLeast"/>
        <w:rPr>
          <w:color w:val="000000"/>
        </w:rPr>
      </w:pPr>
      <w:r w:rsidRPr="00B378CE">
        <w:rPr>
          <w:color w:val="000000"/>
        </w:rPr>
        <w:t>Bliss, A., Williamson, S. and Alayo, L. (2023). </w:t>
      </w:r>
      <w:r w:rsidRPr="00B378CE">
        <w:rPr>
          <w:i/>
          <w:iCs/>
          <w:color w:val="000000"/>
        </w:rPr>
        <w:t>The State of Integrated Care Systems 2023/24</w:t>
      </w:r>
      <w:r w:rsidRPr="00B378CE">
        <w:rPr>
          <w:color w:val="000000"/>
        </w:rPr>
        <w:t xml:space="preserve">. NHS Confederation. Available at: </w:t>
      </w:r>
      <w:hyperlink r:id="rId8" w:history="1">
        <w:r w:rsidR="00DD02CA" w:rsidRPr="00EC02CF">
          <w:rPr>
            <w:rStyle w:val="Hyperlink"/>
          </w:rPr>
          <w:t>https://www.nhsconfed.org/publications/state-integrated-care-systems-202324</w:t>
        </w:r>
      </w:hyperlink>
      <w:r w:rsidR="0042470E">
        <w:rPr>
          <w:color w:val="000000"/>
        </w:rPr>
        <w:t xml:space="preserve"> (Accessed 17</w:t>
      </w:r>
      <w:r w:rsidR="0042470E" w:rsidRPr="0042470E">
        <w:rPr>
          <w:color w:val="000000"/>
          <w:vertAlign w:val="superscript"/>
        </w:rPr>
        <w:t>th</w:t>
      </w:r>
      <w:r w:rsidR="0042470E">
        <w:rPr>
          <w:color w:val="000000"/>
        </w:rPr>
        <w:t xml:space="preserve"> Feb. 2026).</w:t>
      </w:r>
    </w:p>
    <w:p w14:paraId="59A86BA5" w14:textId="7CAA9151" w:rsidR="00DD02CA" w:rsidRDefault="00DD02CA" w:rsidP="00D56324">
      <w:pPr>
        <w:spacing w:after="240" w:line="360" w:lineRule="atLeast"/>
        <w:rPr>
          <w:color w:val="000000"/>
        </w:rPr>
      </w:pPr>
      <w:r w:rsidRPr="00DD02CA">
        <w:rPr>
          <w:color w:val="000000"/>
        </w:rPr>
        <w:t xml:space="preserve">Conquer, S., Iles, R., Windle, K., </w:t>
      </w:r>
      <w:proofErr w:type="spellStart"/>
      <w:r w:rsidRPr="00DD02CA">
        <w:rPr>
          <w:color w:val="000000"/>
        </w:rPr>
        <w:t>Heathershaw</w:t>
      </w:r>
      <w:proofErr w:type="spellEnd"/>
      <w:r w:rsidRPr="00DD02CA">
        <w:rPr>
          <w:color w:val="000000"/>
        </w:rPr>
        <w:t>, R. and Ski, C.F. (2024). Transforming Integrated Care Through Co-production: A Systematic Review Using Meta-ethnography. </w:t>
      </w:r>
      <w:r w:rsidRPr="00DD02CA">
        <w:rPr>
          <w:i/>
          <w:iCs/>
          <w:color w:val="000000"/>
        </w:rPr>
        <w:t>International journal of integrated care</w:t>
      </w:r>
      <w:r w:rsidRPr="00DD02CA">
        <w:rPr>
          <w:color w:val="000000"/>
        </w:rPr>
        <w:t xml:space="preserve">, 24(1), pp.17–17. </w:t>
      </w:r>
      <w:proofErr w:type="spellStart"/>
      <w:proofErr w:type="gramStart"/>
      <w:r w:rsidRPr="00DD02CA">
        <w:rPr>
          <w:color w:val="000000"/>
        </w:rPr>
        <w:t>doi:https</w:t>
      </w:r>
      <w:proofErr w:type="spellEnd"/>
      <w:r w:rsidRPr="00DD02CA">
        <w:rPr>
          <w:color w:val="000000"/>
        </w:rPr>
        <w:t>://doi.org/10.5334/ijic.7603</w:t>
      </w:r>
      <w:proofErr w:type="gramEnd"/>
      <w:r w:rsidR="0042470E">
        <w:rPr>
          <w:color w:val="000000"/>
        </w:rPr>
        <w:t xml:space="preserve"> (Accessed 20</w:t>
      </w:r>
      <w:r w:rsidR="0042470E" w:rsidRPr="0042470E">
        <w:rPr>
          <w:color w:val="000000"/>
          <w:vertAlign w:val="superscript"/>
        </w:rPr>
        <w:t>th</w:t>
      </w:r>
      <w:r w:rsidR="0042470E">
        <w:rPr>
          <w:color w:val="000000"/>
        </w:rPr>
        <w:t xml:space="preserve"> March 2026).</w:t>
      </w:r>
    </w:p>
    <w:p w14:paraId="7D78FB1B" w14:textId="1DA94BDD" w:rsidR="003F0DB8" w:rsidRDefault="003F0DB8" w:rsidP="00D56324">
      <w:pPr>
        <w:spacing w:after="240" w:line="360" w:lineRule="atLeast"/>
        <w:rPr>
          <w:color w:val="000000"/>
        </w:rPr>
      </w:pPr>
      <w:r w:rsidRPr="003F0DB8">
        <w:rPr>
          <w:color w:val="000000"/>
        </w:rPr>
        <w:t>Dailah, H.G. (2024). The Influence of Nurse-Led Interventions on Diseases Management in Patients with Diabetes Mellitus: A Narrative Review. </w:t>
      </w:r>
      <w:r w:rsidRPr="003F0DB8">
        <w:rPr>
          <w:i/>
          <w:iCs/>
          <w:color w:val="000000"/>
        </w:rPr>
        <w:t>Healthcare</w:t>
      </w:r>
      <w:r w:rsidRPr="003F0DB8">
        <w:rPr>
          <w:color w:val="000000"/>
        </w:rPr>
        <w:t>,</w:t>
      </w:r>
      <w:r w:rsidR="00E64A3B">
        <w:rPr>
          <w:color w:val="000000"/>
        </w:rPr>
        <w:t xml:space="preserve"> </w:t>
      </w:r>
      <w:r w:rsidRPr="003F0DB8">
        <w:rPr>
          <w:color w:val="000000"/>
        </w:rPr>
        <w:t xml:space="preserve">12(3), p.352. </w:t>
      </w:r>
      <w:proofErr w:type="spellStart"/>
      <w:proofErr w:type="gramStart"/>
      <w:r w:rsidRPr="003F0DB8">
        <w:rPr>
          <w:color w:val="000000"/>
        </w:rPr>
        <w:t>doi:https</w:t>
      </w:r>
      <w:proofErr w:type="spellEnd"/>
      <w:r w:rsidRPr="003F0DB8">
        <w:rPr>
          <w:color w:val="000000"/>
        </w:rPr>
        <w:t>://doi.org/10.3390/healthcare12030352</w:t>
      </w:r>
      <w:proofErr w:type="gramEnd"/>
      <w:r w:rsidR="0042470E">
        <w:rPr>
          <w:color w:val="000000"/>
        </w:rPr>
        <w:t xml:space="preserve"> (Accessed </w:t>
      </w:r>
      <w:r w:rsidR="005D7526">
        <w:rPr>
          <w:color w:val="000000"/>
        </w:rPr>
        <w:t>23</w:t>
      </w:r>
      <w:r w:rsidR="005D7526" w:rsidRPr="005D7526">
        <w:rPr>
          <w:color w:val="000000"/>
          <w:vertAlign w:val="superscript"/>
        </w:rPr>
        <w:t>rd</w:t>
      </w:r>
      <w:r w:rsidR="005D7526">
        <w:rPr>
          <w:color w:val="000000"/>
        </w:rPr>
        <w:t xml:space="preserve"> Feb. 2026).</w:t>
      </w:r>
    </w:p>
    <w:p w14:paraId="71F96267" w14:textId="358025EB" w:rsidR="006716BD" w:rsidRDefault="006716BD" w:rsidP="00D56324">
      <w:pPr>
        <w:spacing w:after="240" w:line="360" w:lineRule="atLeast"/>
        <w:rPr>
          <w:color w:val="000000"/>
        </w:rPr>
      </w:pPr>
      <w:r w:rsidRPr="006716BD">
        <w:rPr>
          <w:color w:val="000000"/>
        </w:rPr>
        <w:t>DESMOND (2023). </w:t>
      </w:r>
      <w:r w:rsidRPr="006716BD">
        <w:rPr>
          <w:i/>
          <w:iCs/>
          <w:color w:val="000000"/>
        </w:rPr>
        <w:t>DESMOND</w:t>
      </w:r>
      <w:r w:rsidRPr="006716BD">
        <w:rPr>
          <w:color w:val="000000"/>
        </w:rPr>
        <w:t xml:space="preserve">.  DESMOND. Available at: </w:t>
      </w:r>
      <w:hyperlink r:id="rId9" w:history="1">
        <w:r w:rsidR="00385118" w:rsidRPr="00EC02CF">
          <w:rPr>
            <w:rStyle w:val="Hyperlink"/>
          </w:rPr>
          <w:t>https://www.desmond.nhs.uk</w:t>
        </w:r>
      </w:hyperlink>
      <w:r w:rsidR="005D7526">
        <w:rPr>
          <w:color w:val="000000"/>
        </w:rPr>
        <w:t xml:space="preserve"> (Accessed 1</w:t>
      </w:r>
      <w:r w:rsidR="005D7526" w:rsidRPr="005D7526">
        <w:rPr>
          <w:color w:val="000000"/>
          <w:vertAlign w:val="superscript"/>
        </w:rPr>
        <w:t>st</w:t>
      </w:r>
      <w:r w:rsidR="005D7526">
        <w:rPr>
          <w:color w:val="000000"/>
        </w:rPr>
        <w:t xml:space="preserve"> March 2026).</w:t>
      </w:r>
    </w:p>
    <w:p w14:paraId="1D3AB3EA" w14:textId="2583C51B" w:rsidR="00385118" w:rsidRDefault="00385118" w:rsidP="00D56324">
      <w:pPr>
        <w:spacing w:after="240" w:line="360" w:lineRule="atLeast"/>
        <w:rPr>
          <w:color w:val="000000"/>
        </w:rPr>
      </w:pPr>
      <w:r w:rsidRPr="00385118">
        <w:rPr>
          <w:color w:val="000000"/>
        </w:rPr>
        <w:t>Diabetes UK (2020). </w:t>
      </w:r>
      <w:r w:rsidRPr="00385118">
        <w:rPr>
          <w:i/>
          <w:iCs/>
          <w:color w:val="000000"/>
        </w:rPr>
        <w:t>Ethnicity and type 2 diabetes</w:t>
      </w:r>
      <w:r w:rsidRPr="00385118">
        <w:rPr>
          <w:color w:val="000000"/>
        </w:rPr>
        <w:t xml:space="preserve">.  Diabetes UK. Available at: </w:t>
      </w:r>
      <w:hyperlink r:id="rId10" w:history="1">
        <w:r w:rsidR="00A03190" w:rsidRPr="00385118">
          <w:rPr>
            <w:rStyle w:val="Hyperlink"/>
          </w:rPr>
          <w:t>https://www.diabetes.org.uk/about-diabetes/type-2-diabetes/diabetes-ethnicity</w:t>
        </w:r>
      </w:hyperlink>
      <w:r w:rsidR="005D7526">
        <w:rPr>
          <w:color w:val="000000"/>
        </w:rPr>
        <w:t xml:space="preserve"> (Accessed 4th Nov. 2025).</w:t>
      </w:r>
    </w:p>
    <w:p w14:paraId="00C6CDDC" w14:textId="39491200" w:rsidR="00A03190" w:rsidRPr="00D56324" w:rsidRDefault="00A03190" w:rsidP="00D56324">
      <w:pPr>
        <w:spacing w:after="240" w:line="360" w:lineRule="atLeast"/>
        <w:rPr>
          <w:color w:val="000000"/>
        </w:rPr>
      </w:pPr>
      <w:r w:rsidRPr="00A03190">
        <w:rPr>
          <w:color w:val="000000"/>
        </w:rPr>
        <w:lastRenderedPageBreak/>
        <w:t>Diabetes UK (2024). </w:t>
      </w:r>
      <w:r w:rsidRPr="00A03190">
        <w:rPr>
          <w:i/>
          <w:iCs/>
          <w:color w:val="000000"/>
        </w:rPr>
        <w:t>30% of people living with type 2 diabetes in England are undiagnosed, ONS analysis shows</w:t>
      </w:r>
      <w:r w:rsidRPr="00A03190">
        <w:rPr>
          <w:color w:val="000000"/>
        </w:rPr>
        <w:t xml:space="preserve">. Diabetes UK. Available at: </w:t>
      </w:r>
      <w:hyperlink r:id="rId11" w:history="1">
        <w:r w:rsidR="005D7526" w:rsidRPr="00A03190">
          <w:rPr>
            <w:rStyle w:val="Hyperlink"/>
          </w:rPr>
          <w:t>https://www.diabetes.org.uk/about-us/news-and-views/30-people-living-type-2-diabetes-england-are-undiagnosed-ons-analysis-shows</w:t>
        </w:r>
      </w:hyperlink>
      <w:r w:rsidR="005D7526">
        <w:rPr>
          <w:color w:val="000000"/>
        </w:rPr>
        <w:t xml:space="preserve"> (Accessed 10th Dec. 2025).</w:t>
      </w:r>
    </w:p>
    <w:p w14:paraId="64C8F0DB" w14:textId="508F688E" w:rsidR="005D6EEC" w:rsidRDefault="005D6EEC" w:rsidP="005D6EEC">
      <w:pPr>
        <w:pStyle w:val="NormalWeb"/>
        <w:spacing w:before="0" w:beforeAutospacing="0" w:after="240" w:afterAutospacing="0" w:line="360" w:lineRule="atLeast"/>
        <w:rPr>
          <w:color w:val="000000"/>
        </w:rPr>
      </w:pPr>
      <w:r>
        <w:rPr>
          <w:color w:val="000000"/>
        </w:rPr>
        <w:t>Diabetes UK (2023).</w:t>
      </w:r>
      <w:r>
        <w:rPr>
          <w:rStyle w:val="apple-converted-space"/>
          <w:rFonts w:eastAsia="Calibri Light"/>
          <w:color w:val="000000"/>
        </w:rPr>
        <w:t> </w:t>
      </w:r>
      <w:r>
        <w:rPr>
          <w:i/>
          <w:iCs/>
          <w:color w:val="000000"/>
        </w:rPr>
        <w:t>How Many People in the UK Have diabetes?</w:t>
      </w:r>
      <w:r>
        <w:rPr>
          <w:rStyle w:val="apple-converted-space"/>
          <w:rFonts w:eastAsia="Calibri Light"/>
          <w:color w:val="000000"/>
        </w:rPr>
        <w:t> </w:t>
      </w:r>
      <w:r>
        <w:rPr>
          <w:color w:val="000000"/>
        </w:rPr>
        <w:t xml:space="preserve"> Diabetes UK. Available at: https://www.diabetes.org.uk/about-us/about-the-charity/our-strategy/statistics </w:t>
      </w:r>
      <w:r w:rsidR="00F869CD">
        <w:rPr>
          <w:color w:val="000000"/>
        </w:rPr>
        <w:t>(</w:t>
      </w:r>
      <w:r>
        <w:rPr>
          <w:color w:val="000000"/>
        </w:rPr>
        <w:t>Accessed 27 Feb. 2026</w:t>
      </w:r>
      <w:r w:rsidR="00F869CD">
        <w:rPr>
          <w:color w:val="000000"/>
        </w:rPr>
        <w:t>)</w:t>
      </w:r>
      <w:r>
        <w:rPr>
          <w:color w:val="000000"/>
        </w:rPr>
        <w:t>.</w:t>
      </w:r>
    </w:p>
    <w:p w14:paraId="0BCCF0D5" w14:textId="397D61E2" w:rsidR="005D6EEC" w:rsidRDefault="005D6EEC" w:rsidP="005D6EEC">
      <w:pPr>
        <w:pStyle w:val="NormalWeb"/>
        <w:spacing w:before="0" w:beforeAutospacing="0" w:after="240" w:afterAutospacing="0" w:line="360" w:lineRule="atLeast"/>
        <w:rPr>
          <w:color w:val="000000"/>
        </w:rPr>
      </w:pPr>
      <w:r>
        <w:rPr>
          <w:color w:val="000000"/>
        </w:rPr>
        <w:t>England, N. (2025).</w:t>
      </w:r>
      <w:r>
        <w:rPr>
          <w:rStyle w:val="apple-converted-space"/>
          <w:rFonts w:eastAsia="Calibri Light"/>
          <w:color w:val="000000"/>
        </w:rPr>
        <w:t> </w:t>
      </w:r>
      <w:r>
        <w:rPr>
          <w:i/>
          <w:iCs/>
          <w:color w:val="000000"/>
        </w:rPr>
        <w:t>NHS England» NHS initiative helps thousands more tackle their diabetes risk</w:t>
      </w:r>
      <w:r>
        <w:rPr>
          <w:color w:val="000000"/>
        </w:rPr>
        <w:t>.</w:t>
      </w:r>
      <w:r w:rsidR="00F869CD">
        <w:rPr>
          <w:color w:val="000000"/>
        </w:rPr>
        <w:t xml:space="preserve"> </w:t>
      </w:r>
      <w:r>
        <w:rPr>
          <w:color w:val="000000"/>
        </w:rPr>
        <w:t xml:space="preserve">England.nhs.uk. Available at: https://www.england.nhs.uk/2025/05/nhs-initiative-helps-thousands-more-tackle-their-diabetes-risk/ </w:t>
      </w:r>
      <w:r w:rsidR="00F869CD">
        <w:rPr>
          <w:color w:val="000000"/>
        </w:rPr>
        <w:t>(</w:t>
      </w:r>
      <w:r>
        <w:rPr>
          <w:color w:val="000000"/>
        </w:rPr>
        <w:t>Accessed 24 Feb. 2026</w:t>
      </w:r>
      <w:r w:rsidR="00F869CD">
        <w:rPr>
          <w:color w:val="000000"/>
        </w:rPr>
        <w:t>)</w:t>
      </w:r>
      <w:r>
        <w:rPr>
          <w:color w:val="000000"/>
        </w:rPr>
        <w:t>.</w:t>
      </w:r>
    </w:p>
    <w:p w14:paraId="4BCDB0AE" w14:textId="789A267B" w:rsidR="00524A00" w:rsidRDefault="00524A00" w:rsidP="00016F6F">
      <w:pPr>
        <w:spacing w:after="240" w:line="360" w:lineRule="atLeast"/>
        <w:rPr>
          <w:color w:val="000000"/>
        </w:rPr>
      </w:pPr>
      <w:r w:rsidRPr="00524A00">
        <w:rPr>
          <w:color w:val="000000"/>
        </w:rPr>
        <w:t>Fritzell, J. and Fors, S. (2025). Health inequalities in the Nordic countries: A comparative overview and update. </w:t>
      </w:r>
      <w:r w:rsidRPr="00524A00">
        <w:rPr>
          <w:i/>
          <w:iCs/>
          <w:color w:val="000000"/>
        </w:rPr>
        <w:t>Journal of Internal Medicine</w:t>
      </w:r>
      <w:r w:rsidRPr="00524A00">
        <w:rPr>
          <w:color w:val="000000"/>
        </w:rPr>
        <w:t xml:space="preserve">, 298(6), pp.591–603. </w:t>
      </w:r>
      <w:proofErr w:type="spellStart"/>
      <w:proofErr w:type="gramStart"/>
      <w:r w:rsidRPr="00524A00">
        <w:rPr>
          <w:color w:val="000000"/>
        </w:rPr>
        <w:t>doi:https</w:t>
      </w:r>
      <w:proofErr w:type="spellEnd"/>
      <w:r w:rsidRPr="00524A00">
        <w:rPr>
          <w:color w:val="000000"/>
        </w:rPr>
        <w:t>://doi.org/10.1111/joim.70029</w:t>
      </w:r>
      <w:proofErr w:type="gramEnd"/>
      <w:r w:rsidR="005D7526">
        <w:rPr>
          <w:color w:val="000000"/>
        </w:rPr>
        <w:t xml:space="preserve"> (Accessed 5</w:t>
      </w:r>
      <w:r w:rsidR="005D7526" w:rsidRPr="005D7526">
        <w:rPr>
          <w:color w:val="000000"/>
          <w:vertAlign w:val="superscript"/>
        </w:rPr>
        <w:t>th</w:t>
      </w:r>
      <w:r w:rsidR="005D7526">
        <w:rPr>
          <w:color w:val="000000"/>
        </w:rPr>
        <w:t xml:space="preserve"> Nov. 2025).</w:t>
      </w:r>
    </w:p>
    <w:p w14:paraId="24DB93B5" w14:textId="5A2EBCBC" w:rsidR="00016F6F" w:rsidRPr="00016F6F" w:rsidRDefault="00016F6F" w:rsidP="00016F6F">
      <w:pPr>
        <w:spacing w:after="240" w:line="360" w:lineRule="atLeast"/>
        <w:rPr>
          <w:color w:val="000000"/>
        </w:rPr>
      </w:pPr>
      <w:r w:rsidRPr="00016F6F">
        <w:rPr>
          <w:color w:val="000000"/>
        </w:rPr>
        <w:t>Galaviz, K.I., Narayan, K.M.V., Lobelo, F. and Weber, M.B. (2019). Lifestyle and the Prevention of Type 2 Diabetes: A Status Report. </w:t>
      </w:r>
      <w:r w:rsidRPr="00016F6F">
        <w:rPr>
          <w:i/>
          <w:iCs/>
          <w:color w:val="000000"/>
        </w:rPr>
        <w:t>American Journal of Lifestyle Medicine</w:t>
      </w:r>
      <w:r w:rsidRPr="00016F6F">
        <w:rPr>
          <w:color w:val="000000"/>
        </w:rPr>
        <w:t>, 12(1), pp.4–20</w:t>
      </w:r>
      <w:r w:rsidR="005D7526">
        <w:rPr>
          <w:color w:val="000000"/>
        </w:rPr>
        <w:t xml:space="preserve"> (Accessed 12</w:t>
      </w:r>
      <w:r w:rsidR="005D7526" w:rsidRPr="005D7526">
        <w:rPr>
          <w:color w:val="000000"/>
          <w:vertAlign w:val="superscript"/>
        </w:rPr>
        <w:t>th</w:t>
      </w:r>
      <w:r w:rsidR="005D7526">
        <w:rPr>
          <w:color w:val="000000"/>
        </w:rPr>
        <w:t xml:space="preserve"> Dec. 2025).</w:t>
      </w:r>
    </w:p>
    <w:p w14:paraId="503FC4BD" w14:textId="0970C3DF" w:rsidR="005D6EEC" w:rsidRDefault="005D6EEC" w:rsidP="005D6EEC">
      <w:pPr>
        <w:pStyle w:val="NormalWeb"/>
        <w:spacing w:before="0" w:beforeAutospacing="0" w:after="240" w:afterAutospacing="0" w:line="360" w:lineRule="atLeast"/>
        <w:rPr>
          <w:color w:val="000000"/>
        </w:rPr>
      </w:pPr>
      <w:r>
        <w:rPr>
          <w:color w:val="000000"/>
        </w:rPr>
        <w:t>Gavina, C., Carvalho, D.S., Dias, D.M., Bernardo, F., Martinho, H., Couceiro, J., Santos-Araújo, C., Dinis-Oliveira, R.J. and Taveira-Gomes, T. (2022). Premature Mortality in Type 2 Diabetes Mellitus Associated with Heart Failure and Chronic Kidney Disease: 20 Years of Real-World Data.</w:t>
      </w:r>
      <w:r>
        <w:rPr>
          <w:rStyle w:val="apple-converted-space"/>
          <w:rFonts w:eastAsia="Calibri Light"/>
          <w:color w:val="000000"/>
        </w:rPr>
        <w:t> </w:t>
      </w:r>
      <w:r>
        <w:rPr>
          <w:i/>
          <w:iCs/>
          <w:color w:val="000000"/>
        </w:rPr>
        <w:t>Journal of Clinical Medicine</w:t>
      </w:r>
      <w:r>
        <w:rPr>
          <w:color w:val="000000"/>
        </w:rPr>
        <w:t xml:space="preserve">, 11(8), p.2131. </w:t>
      </w:r>
      <w:proofErr w:type="spellStart"/>
      <w:proofErr w:type="gramStart"/>
      <w:r>
        <w:rPr>
          <w:color w:val="000000"/>
        </w:rPr>
        <w:t>doi:https</w:t>
      </w:r>
      <w:proofErr w:type="spellEnd"/>
      <w:r>
        <w:rPr>
          <w:color w:val="000000"/>
        </w:rPr>
        <w:t>://doi.org/10.3390/jcm11082131</w:t>
      </w:r>
      <w:proofErr w:type="gramEnd"/>
      <w:r w:rsidR="005D7526">
        <w:rPr>
          <w:color w:val="000000"/>
        </w:rPr>
        <w:t xml:space="preserve"> (Accessed 27</w:t>
      </w:r>
      <w:r w:rsidR="005D7526" w:rsidRPr="005D7526">
        <w:rPr>
          <w:color w:val="000000"/>
          <w:vertAlign w:val="superscript"/>
        </w:rPr>
        <w:t>th</w:t>
      </w:r>
      <w:r w:rsidR="005D7526">
        <w:rPr>
          <w:color w:val="000000"/>
        </w:rPr>
        <w:t xml:space="preserve"> Dec. 2025).</w:t>
      </w:r>
    </w:p>
    <w:p w14:paraId="781766B7" w14:textId="76898EE7" w:rsidR="009C10DB" w:rsidRDefault="009C10DB" w:rsidP="009C10DB">
      <w:pPr>
        <w:spacing w:after="240" w:line="360" w:lineRule="atLeast"/>
        <w:rPr>
          <w:color w:val="000000"/>
        </w:rPr>
      </w:pPr>
      <w:proofErr w:type="spellStart"/>
      <w:r w:rsidRPr="009C10DB">
        <w:rPr>
          <w:color w:val="000000"/>
        </w:rPr>
        <w:t>Gieroba</w:t>
      </w:r>
      <w:proofErr w:type="spellEnd"/>
      <w:r w:rsidRPr="009C10DB">
        <w:rPr>
          <w:color w:val="000000"/>
        </w:rPr>
        <w:t xml:space="preserve">, B., </w:t>
      </w:r>
      <w:proofErr w:type="spellStart"/>
      <w:r w:rsidRPr="009C10DB">
        <w:rPr>
          <w:color w:val="000000"/>
        </w:rPr>
        <w:t>Kryska</w:t>
      </w:r>
      <w:proofErr w:type="spellEnd"/>
      <w:r w:rsidRPr="009C10DB">
        <w:rPr>
          <w:color w:val="000000"/>
        </w:rPr>
        <w:t xml:space="preserve">, A. and </w:t>
      </w:r>
      <w:proofErr w:type="spellStart"/>
      <w:r w:rsidRPr="009C10DB">
        <w:rPr>
          <w:color w:val="000000"/>
        </w:rPr>
        <w:t>Sroka-Bartnicka</w:t>
      </w:r>
      <w:proofErr w:type="spellEnd"/>
      <w:r w:rsidRPr="009C10DB">
        <w:rPr>
          <w:color w:val="000000"/>
        </w:rPr>
        <w:t>, A. (2025). Type 2 diabetes mellitus – conventional therapies and future perspectives in innovative treatment. </w:t>
      </w:r>
      <w:r w:rsidRPr="009C10DB">
        <w:rPr>
          <w:i/>
          <w:iCs/>
          <w:color w:val="000000"/>
        </w:rPr>
        <w:t>Biochemistry and Biophysics Reports</w:t>
      </w:r>
      <w:r w:rsidRPr="009C10DB">
        <w:rPr>
          <w:color w:val="000000"/>
        </w:rPr>
        <w:t xml:space="preserve">, 42, p.102037. </w:t>
      </w:r>
      <w:proofErr w:type="spellStart"/>
      <w:proofErr w:type="gramStart"/>
      <w:r w:rsidRPr="009C10DB">
        <w:rPr>
          <w:color w:val="000000"/>
        </w:rPr>
        <w:t>doi:https</w:t>
      </w:r>
      <w:proofErr w:type="spellEnd"/>
      <w:r w:rsidRPr="009C10DB">
        <w:rPr>
          <w:color w:val="000000"/>
        </w:rPr>
        <w:t>://doi.org/10.1016/j.bbrep.2025.102037</w:t>
      </w:r>
      <w:proofErr w:type="gramEnd"/>
      <w:r w:rsidR="005D7526">
        <w:rPr>
          <w:color w:val="000000"/>
        </w:rPr>
        <w:t xml:space="preserve"> (Accessed 17</w:t>
      </w:r>
      <w:r w:rsidR="005D7526" w:rsidRPr="005D7526">
        <w:rPr>
          <w:color w:val="000000"/>
          <w:vertAlign w:val="superscript"/>
        </w:rPr>
        <w:t>th</w:t>
      </w:r>
      <w:r w:rsidR="005D7526">
        <w:rPr>
          <w:color w:val="000000"/>
        </w:rPr>
        <w:t xml:space="preserve"> March. 2026)</w:t>
      </w:r>
    </w:p>
    <w:p w14:paraId="2DA97BE8" w14:textId="6663E528" w:rsidR="00994EFA" w:rsidRPr="009C10DB" w:rsidRDefault="00994EFA" w:rsidP="009C10DB">
      <w:pPr>
        <w:spacing w:after="240" w:line="360" w:lineRule="atLeast"/>
        <w:rPr>
          <w:color w:val="000000"/>
        </w:rPr>
      </w:pPr>
      <w:r w:rsidRPr="00994EFA">
        <w:rPr>
          <w:color w:val="000000"/>
        </w:rPr>
        <w:t>Goff, L.M. (2019). Ethnicity and Type 2 diabetes in the UK. </w:t>
      </w:r>
      <w:r w:rsidRPr="00994EFA">
        <w:rPr>
          <w:i/>
          <w:iCs/>
          <w:color w:val="000000"/>
        </w:rPr>
        <w:t>Diabetic Medicine</w:t>
      </w:r>
      <w:r w:rsidRPr="00994EFA">
        <w:rPr>
          <w:color w:val="000000"/>
        </w:rPr>
        <w:t>,</w:t>
      </w:r>
      <w:r w:rsidR="005D7526">
        <w:rPr>
          <w:color w:val="000000"/>
        </w:rPr>
        <w:t xml:space="preserve"> </w:t>
      </w:r>
      <w:r w:rsidRPr="00994EFA">
        <w:rPr>
          <w:color w:val="000000"/>
        </w:rPr>
        <w:t xml:space="preserve">36(8), pp.927–938. Available at: https://onlinelibrary.wiley.com/doi/full/10.1111/dme.13895?saml_referrer </w:t>
      </w:r>
      <w:r>
        <w:rPr>
          <w:color w:val="000000"/>
        </w:rPr>
        <w:t>(</w:t>
      </w:r>
      <w:r w:rsidRPr="00994EFA">
        <w:rPr>
          <w:color w:val="000000"/>
        </w:rPr>
        <w:t>Accessed 24 Feb. 2026</w:t>
      </w:r>
      <w:r>
        <w:rPr>
          <w:color w:val="000000"/>
        </w:rPr>
        <w:t>)</w:t>
      </w:r>
      <w:r w:rsidRPr="00994EFA">
        <w:rPr>
          <w:color w:val="000000"/>
        </w:rPr>
        <w:t>.</w:t>
      </w:r>
    </w:p>
    <w:p w14:paraId="396B6AB1" w14:textId="1B8BC06F" w:rsidR="005D6EEC" w:rsidRDefault="005D6EEC" w:rsidP="005D6EEC">
      <w:pPr>
        <w:pStyle w:val="NormalWeb"/>
        <w:spacing w:before="0" w:beforeAutospacing="0" w:after="240" w:afterAutospacing="0" w:line="360" w:lineRule="atLeast"/>
        <w:rPr>
          <w:color w:val="000000"/>
        </w:rPr>
      </w:pPr>
      <w:r>
        <w:rPr>
          <w:color w:val="000000"/>
        </w:rPr>
        <w:t>Goyal, R., Jialal, I. and Singhal, M. (2023).</w:t>
      </w:r>
      <w:r>
        <w:rPr>
          <w:rStyle w:val="apple-converted-space"/>
          <w:rFonts w:eastAsia="Calibri Light"/>
          <w:color w:val="000000"/>
        </w:rPr>
        <w:t> </w:t>
      </w:r>
      <w:r>
        <w:rPr>
          <w:i/>
          <w:iCs/>
          <w:color w:val="000000"/>
        </w:rPr>
        <w:t>Type 2 diabetes</w:t>
      </w:r>
      <w:r>
        <w:rPr>
          <w:color w:val="000000"/>
        </w:rPr>
        <w:t xml:space="preserve">. National Center for Biotechnology Information. Available at: https://www.ncbi.nlm.nih.gov/books/NBK513253/ </w:t>
      </w:r>
      <w:r w:rsidR="00F869CD">
        <w:rPr>
          <w:color w:val="000000"/>
        </w:rPr>
        <w:t>(</w:t>
      </w:r>
      <w:r>
        <w:rPr>
          <w:color w:val="000000"/>
        </w:rPr>
        <w:t>Accessed 27 Feb. 2026</w:t>
      </w:r>
      <w:r w:rsidR="00F869CD">
        <w:rPr>
          <w:color w:val="000000"/>
        </w:rPr>
        <w:t>)</w:t>
      </w:r>
      <w:r>
        <w:rPr>
          <w:color w:val="000000"/>
        </w:rPr>
        <w:t>.</w:t>
      </w:r>
    </w:p>
    <w:p w14:paraId="5B62131A" w14:textId="462A17B8" w:rsidR="003B503B" w:rsidRDefault="003B503B" w:rsidP="003B503B">
      <w:pPr>
        <w:spacing w:after="240" w:line="360" w:lineRule="atLeast"/>
        <w:rPr>
          <w:color w:val="000000"/>
        </w:rPr>
      </w:pPr>
      <w:r w:rsidRPr="003B503B">
        <w:rPr>
          <w:color w:val="000000"/>
        </w:rPr>
        <w:lastRenderedPageBreak/>
        <w:t>Hamidi, S., Gholamnezhad, Z., Kasraie, N. and Sahebkar, A. (2022). The Effects of Self-Efficacy and Physical Activity Improving Methods on the Quality of Life in Patients with Diabetes: A Systematic Review. </w:t>
      </w:r>
      <w:r w:rsidRPr="003B503B">
        <w:rPr>
          <w:i/>
          <w:iCs/>
          <w:color w:val="000000"/>
        </w:rPr>
        <w:t>Journal of Diabetes Research</w:t>
      </w:r>
      <w:r w:rsidRPr="003B503B">
        <w:rPr>
          <w:color w:val="000000"/>
        </w:rPr>
        <w:t xml:space="preserve">, 2022, p.e2884933. </w:t>
      </w:r>
      <w:proofErr w:type="spellStart"/>
      <w:proofErr w:type="gramStart"/>
      <w:r w:rsidRPr="003B503B">
        <w:rPr>
          <w:color w:val="000000"/>
        </w:rPr>
        <w:t>doi:https</w:t>
      </w:r>
      <w:proofErr w:type="spellEnd"/>
      <w:r w:rsidRPr="003B503B">
        <w:rPr>
          <w:color w:val="000000"/>
        </w:rPr>
        <w:t>://doi.org/10.1155/2022/2884933</w:t>
      </w:r>
      <w:proofErr w:type="gramEnd"/>
      <w:r w:rsidR="005D7526">
        <w:rPr>
          <w:color w:val="000000"/>
        </w:rPr>
        <w:t xml:space="preserve"> (Accessed 18</w:t>
      </w:r>
      <w:r w:rsidR="005D7526" w:rsidRPr="005D7526">
        <w:rPr>
          <w:color w:val="000000"/>
          <w:vertAlign w:val="superscript"/>
        </w:rPr>
        <w:t>th</w:t>
      </w:r>
      <w:r w:rsidR="005D7526">
        <w:rPr>
          <w:color w:val="000000"/>
        </w:rPr>
        <w:t xml:space="preserve"> Jan. 2026).</w:t>
      </w:r>
    </w:p>
    <w:p w14:paraId="7ABA61F0" w14:textId="0200716B" w:rsidR="006A59F5" w:rsidRPr="003B503B" w:rsidRDefault="006A59F5" w:rsidP="003B503B">
      <w:pPr>
        <w:spacing w:after="240" w:line="360" w:lineRule="atLeast"/>
        <w:rPr>
          <w:color w:val="000000"/>
        </w:rPr>
      </w:pPr>
      <w:r w:rsidRPr="006A59F5">
        <w:rPr>
          <w:color w:val="000000"/>
        </w:rPr>
        <w:t>Hayes, S.L., Mann, M.K., Morgan, F.M., Kelly, M.J. and Weightman, A.L. (2012). Collaboration between Local Health and Local Government Agencies for Health Improvement. </w:t>
      </w:r>
      <w:r w:rsidRPr="006A59F5">
        <w:rPr>
          <w:i/>
          <w:iCs/>
          <w:color w:val="000000"/>
        </w:rPr>
        <w:t>Cochrane Database of Systematic Reviews</w:t>
      </w:r>
      <w:r w:rsidRPr="006A59F5">
        <w:rPr>
          <w:color w:val="000000"/>
        </w:rPr>
        <w:t xml:space="preserve">, 10(10). </w:t>
      </w:r>
      <w:proofErr w:type="spellStart"/>
      <w:proofErr w:type="gramStart"/>
      <w:r w:rsidRPr="006A59F5">
        <w:rPr>
          <w:color w:val="000000"/>
        </w:rPr>
        <w:t>doi:https</w:t>
      </w:r>
      <w:proofErr w:type="spellEnd"/>
      <w:r w:rsidRPr="006A59F5">
        <w:rPr>
          <w:color w:val="000000"/>
        </w:rPr>
        <w:t>://doi.org/10.1002/14651858.cd007825.pub6</w:t>
      </w:r>
      <w:proofErr w:type="gramEnd"/>
      <w:r w:rsidR="005D7526">
        <w:rPr>
          <w:color w:val="000000"/>
        </w:rPr>
        <w:t xml:space="preserve"> (Accessed 10</w:t>
      </w:r>
      <w:r w:rsidR="005D7526" w:rsidRPr="005D7526">
        <w:rPr>
          <w:color w:val="000000"/>
          <w:vertAlign w:val="superscript"/>
        </w:rPr>
        <w:t>th</w:t>
      </w:r>
      <w:r w:rsidR="005D7526">
        <w:rPr>
          <w:color w:val="000000"/>
        </w:rPr>
        <w:t xml:space="preserve"> Jan. 2026).</w:t>
      </w:r>
    </w:p>
    <w:p w14:paraId="68E8CE95" w14:textId="66C40E63" w:rsidR="005D6EEC" w:rsidRDefault="005D6EEC" w:rsidP="005D6EEC">
      <w:pPr>
        <w:pStyle w:val="NormalWeb"/>
        <w:spacing w:before="0" w:beforeAutospacing="0" w:after="240" w:afterAutospacing="0" w:line="360" w:lineRule="atLeast"/>
        <w:rPr>
          <w:color w:val="000000"/>
        </w:rPr>
      </w:pPr>
      <w:r>
        <w:rPr>
          <w:color w:val="000000"/>
        </w:rPr>
        <w:t>He, K.-J., Wang, H., Xu, J., Gong, G., Liu, X. and Guan, H. (2024). Global burden of type 2 diabetes mellitus from 1990 to 2021, with projections of prevalence to 2044: a systematic analysis across SDI levels for the global burden of disease study 2021.</w:t>
      </w:r>
      <w:r>
        <w:rPr>
          <w:rStyle w:val="apple-converted-space"/>
          <w:rFonts w:eastAsia="Calibri Light"/>
          <w:color w:val="000000"/>
        </w:rPr>
        <w:t> </w:t>
      </w:r>
      <w:r>
        <w:rPr>
          <w:i/>
          <w:iCs/>
          <w:color w:val="000000"/>
        </w:rPr>
        <w:t>Frontiers in Endocrinology</w:t>
      </w:r>
      <w:r>
        <w:rPr>
          <w:color w:val="000000"/>
        </w:rPr>
        <w:t xml:space="preserve">, 15. </w:t>
      </w:r>
      <w:proofErr w:type="spellStart"/>
      <w:proofErr w:type="gramStart"/>
      <w:r>
        <w:rPr>
          <w:color w:val="000000"/>
        </w:rPr>
        <w:t>doi:https</w:t>
      </w:r>
      <w:proofErr w:type="spellEnd"/>
      <w:r>
        <w:rPr>
          <w:color w:val="000000"/>
        </w:rPr>
        <w:t>://doi.org/10.3389/fendo.2024.1501690</w:t>
      </w:r>
      <w:proofErr w:type="gramEnd"/>
      <w:r w:rsidR="005D7526">
        <w:rPr>
          <w:color w:val="000000"/>
        </w:rPr>
        <w:t xml:space="preserve"> (Accessed 28</w:t>
      </w:r>
      <w:r w:rsidR="005D7526" w:rsidRPr="005D7526">
        <w:rPr>
          <w:color w:val="000000"/>
          <w:vertAlign w:val="superscript"/>
        </w:rPr>
        <w:t>th</w:t>
      </w:r>
      <w:r w:rsidR="005D7526">
        <w:rPr>
          <w:color w:val="000000"/>
        </w:rPr>
        <w:t xml:space="preserve"> Jan. 2026).</w:t>
      </w:r>
    </w:p>
    <w:p w14:paraId="22B51746" w14:textId="183E2578" w:rsidR="00B23993" w:rsidRPr="00B23993" w:rsidRDefault="00B23993" w:rsidP="00B23993">
      <w:pPr>
        <w:spacing w:after="240" w:line="360" w:lineRule="atLeast"/>
        <w:rPr>
          <w:color w:val="000000"/>
        </w:rPr>
      </w:pPr>
      <w:r w:rsidRPr="00B23993">
        <w:rPr>
          <w:color w:val="000000"/>
        </w:rPr>
        <w:t>Hill-Briggs, F. (2020). Social determinants of health and diabetes: A scientific review. </w:t>
      </w:r>
      <w:r w:rsidRPr="00B23993">
        <w:rPr>
          <w:i/>
          <w:iCs/>
          <w:color w:val="000000"/>
        </w:rPr>
        <w:t>Diabetes Care</w:t>
      </w:r>
      <w:r w:rsidRPr="00B23993">
        <w:rPr>
          <w:color w:val="000000"/>
        </w:rPr>
        <w:t xml:space="preserve">, 44(1), pp.258–279. </w:t>
      </w:r>
      <w:proofErr w:type="spellStart"/>
      <w:proofErr w:type="gramStart"/>
      <w:r w:rsidRPr="00B23993">
        <w:rPr>
          <w:color w:val="000000"/>
        </w:rPr>
        <w:t>doi:https</w:t>
      </w:r>
      <w:proofErr w:type="spellEnd"/>
      <w:r w:rsidRPr="00B23993">
        <w:rPr>
          <w:color w:val="000000"/>
        </w:rPr>
        <w:t>://doi.org/10.2337/dci20-0053</w:t>
      </w:r>
      <w:proofErr w:type="gramEnd"/>
      <w:r w:rsidR="005D7526">
        <w:rPr>
          <w:color w:val="000000"/>
        </w:rPr>
        <w:t xml:space="preserve"> (Accessed 11</w:t>
      </w:r>
      <w:r w:rsidR="005D7526" w:rsidRPr="005D7526">
        <w:rPr>
          <w:color w:val="000000"/>
          <w:vertAlign w:val="superscript"/>
        </w:rPr>
        <w:t>th</w:t>
      </w:r>
      <w:r w:rsidR="005D7526">
        <w:rPr>
          <w:color w:val="000000"/>
        </w:rPr>
        <w:t xml:space="preserve">  March 2026).</w:t>
      </w:r>
    </w:p>
    <w:p w14:paraId="464A1281" w14:textId="4329601E" w:rsidR="005D6EEC" w:rsidRDefault="005D6EEC" w:rsidP="005D6EEC">
      <w:pPr>
        <w:pStyle w:val="NormalWeb"/>
        <w:spacing w:before="0" w:beforeAutospacing="0" w:after="240" w:afterAutospacing="0" w:line="360" w:lineRule="atLeast"/>
        <w:rPr>
          <w:color w:val="000000"/>
        </w:rPr>
      </w:pPr>
      <w:r>
        <w:rPr>
          <w:color w:val="000000"/>
        </w:rPr>
        <w:t>Holt‐Lunstad, J. (2024). Social connection as a critical factor for mental and physical health: evidence, trends, challenges, and future implications.</w:t>
      </w:r>
      <w:r>
        <w:rPr>
          <w:rStyle w:val="apple-converted-space"/>
          <w:rFonts w:eastAsia="Calibri Light"/>
          <w:color w:val="000000"/>
        </w:rPr>
        <w:t> </w:t>
      </w:r>
      <w:r>
        <w:rPr>
          <w:i/>
          <w:iCs/>
          <w:color w:val="000000"/>
        </w:rPr>
        <w:t>World Psychiatry</w:t>
      </w:r>
      <w:r>
        <w:rPr>
          <w:color w:val="000000"/>
        </w:rPr>
        <w:t xml:space="preserve">, 23(3), pp.312–332. </w:t>
      </w:r>
      <w:proofErr w:type="spellStart"/>
      <w:proofErr w:type="gramStart"/>
      <w:r>
        <w:rPr>
          <w:color w:val="000000"/>
        </w:rPr>
        <w:t>doi:https</w:t>
      </w:r>
      <w:proofErr w:type="spellEnd"/>
      <w:r>
        <w:rPr>
          <w:color w:val="000000"/>
        </w:rPr>
        <w:t>://doi.org/10.1002/wps.21224</w:t>
      </w:r>
      <w:proofErr w:type="gramEnd"/>
      <w:r w:rsidR="005D7526">
        <w:rPr>
          <w:color w:val="000000"/>
        </w:rPr>
        <w:t xml:space="preserve"> (Accessed 19</w:t>
      </w:r>
      <w:r w:rsidR="005D7526" w:rsidRPr="005D7526">
        <w:rPr>
          <w:color w:val="000000"/>
          <w:vertAlign w:val="superscript"/>
        </w:rPr>
        <w:t>th</w:t>
      </w:r>
      <w:r w:rsidR="005D7526">
        <w:rPr>
          <w:color w:val="000000"/>
        </w:rPr>
        <w:t xml:space="preserve"> Nov. 2025).</w:t>
      </w:r>
    </w:p>
    <w:p w14:paraId="59D14489" w14:textId="4EDEDFCD" w:rsidR="00055EF2" w:rsidRDefault="00055EF2" w:rsidP="00055EF2">
      <w:pPr>
        <w:spacing w:after="240" w:line="360" w:lineRule="atLeast"/>
        <w:rPr>
          <w:color w:val="000000"/>
        </w:rPr>
      </w:pPr>
      <w:r w:rsidRPr="00055EF2">
        <w:rPr>
          <w:color w:val="000000"/>
        </w:rPr>
        <w:t>Hossain, Md.J., Al‐Mamun, Md. and Islam, Md.R. (2024). Diabetes mellitus, the fastest growing global public health concern: Early detection should be focused. </w:t>
      </w:r>
      <w:r w:rsidRPr="00055EF2">
        <w:rPr>
          <w:i/>
          <w:iCs/>
          <w:color w:val="000000"/>
        </w:rPr>
        <w:t>Health science</w:t>
      </w:r>
      <w:r w:rsidR="00D56324">
        <w:rPr>
          <w:i/>
          <w:iCs/>
          <w:color w:val="000000"/>
        </w:rPr>
        <w:t xml:space="preserve"> </w:t>
      </w:r>
      <w:r w:rsidRPr="00055EF2">
        <w:rPr>
          <w:i/>
          <w:iCs/>
          <w:color w:val="000000"/>
        </w:rPr>
        <w:t>reports</w:t>
      </w:r>
      <w:r w:rsidRPr="00055EF2">
        <w:rPr>
          <w:color w:val="000000"/>
        </w:rPr>
        <w:t xml:space="preserve">, 7(3). </w:t>
      </w:r>
      <w:proofErr w:type="spellStart"/>
      <w:proofErr w:type="gramStart"/>
      <w:r w:rsidRPr="00055EF2">
        <w:rPr>
          <w:color w:val="000000"/>
        </w:rPr>
        <w:t>doi:https</w:t>
      </w:r>
      <w:proofErr w:type="spellEnd"/>
      <w:r w:rsidRPr="00055EF2">
        <w:rPr>
          <w:color w:val="000000"/>
        </w:rPr>
        <w:t>://doi.org/10.1002/hsr2.2004</w:t>
      </w:r>
      <w:proofErr w:type="gramEnd"/>
      <w:r w:rsidR="005D7526">
        <w:rPr>
          <w:color w:val="000000"/>
        </w:rPr>
        <w:t xml:space="preserve"> (Accessed 17</w:t>
      </w:r>
      <w:r w:rsidR="005D7526" w:rsidRPr="005D7526">
        <w:rPr>
          <w:color w:val="000000"/>
          <w:vertAlign w:val="superscript"/>
        </w:rPr>
        <w:t>th</w:t>
      </w:r>
      <w:r w:rsidR="005D7526">
        <w:rPr>
          <w:color w:val="000000"/>
        </w:rPr>
        <w:t xml:space="preserve"> Dec. 2025).</w:t>
      </w:r>
    </w:p>
    <w:p w14:paraId="3C6EEF40" w14:textId="341DB3EF" w:rsidR="008C0282" w:rsidRPr="00055EF2" w:rsidRDefault="008C0282" w:rsidP="00055EF2">
      <w:pPr>
        <w:spacing w:after="240" w:line="360" w:lineRule="atLeast"/>
        <w:rPr>
          <w:color w:val="000000"/>
        </w:rPr>
      </w:pPr>
      <w:r w:rsidRPr="008C0282">
        <w:rPr>
          <w:color w:val="000000"/>
        </w:rPr>
        <w:t>Hu, F.B. (2011). Globalization of Diabetes: The role of diet, lifestyle, and genes. </w:t>
      </w:r>
      <w:r w:rsidRPr="008C0282">
        <w:rPr>
          <w:i/>
          <w:iCs/>
          <w:color w:val="000000"/>
        </w:rPr>
        <w:t>Diabetes Care</w:t>
      </w:r>
      <w:r w:rsidRPr="008C0282">
        <w:rPr>
          <w:color w:val="000000"/>
        </w:rPr>
        <w:t xml:space="preserve">, 34(6), pp.1249–1257. </w:t>
      </w:r>
      <w:proofErr w:type="spellStart"/>
      <w:proofErr w:type="gramStart"/>
      <w:r w:rsidRPr="008C0282">
        <w:rPr>
          <w:color w:val="000000"/>
        </w:rPr>
        <w:t>doi:https</w:t>
      </w:r>
      <w:proofErr w:type="spellEnd"/>
      <w:r w:rsidRPr="008C0282">
        <w:rPr>
          <w:color w:val="000000"/>
        </w:rPr>
        <w:t>://doi.org/10.2337/dc11-0442</w:t>
      </w:r>
      <w:proofErr w:type="gramEnd"/>
      <w:r w:rsidR="005D7526">
        <w:rPr>
          <w:color w:val="000000"/>
        </w:rPr>
        <w:t xml:space="preserve"> (Accessed 11</w:t>
      </w:r>
      <w:r w:rsidR="005D7526" w:rsidRPr="005D7526">
        <w:rPr>
          <w:color w:val="000000"/>
          <w:vertAlign w:val="superscript"/>
        </w:rPr>
        <w:t>th</w:t>
      </w:r>
      <w:r w:rsidR="005D7526">
        <w:rPr>
          <w:color w:val="000000"/>
        </w:rPr>
        <w:t xml:space="preserve"> March 2026).</w:t>
      </w:r>
    </w:p>
    <w:p w14:paraId="22B4B9AE" w14:textId="77D58C85" w:rsidR="005D6EEC" w:rsidRDefault="005D6EEC" w:rsidP="005D6EEC">
      <w:pPr>
        <w:pStyle w:val="NormalWeb"/>
        <w:spacing w:before="0" w:beforeAutospacing="0" w:after="240" w:afterAutospacing="0" w:line="360" w:lineRule="atLeast"/>
        <w:rPr>
          <w:color w:val="000000"/>
        </w:rPr>
      </w:pPr>
      <w:r>
        <w:rPr>
          <w:color w:val="000000"/>
        </w:rPr>
        <w:t>Ismail, L., Materwala, H. and Kaabi, J.A. (2021). Association of Risk Factors with Type 2 Diabetes: A Systematic Review.</w:t>
      </w:r>
      <w:r>
        <w:rPr>
          <w:rStyle w:val="apple-converted-space"/>
          <w:rFonts w:eastAsia="Calibri Light"/>
          <w:color w:val="000000"/>
        </w:rPr>
        <w:t> </w:t>
      </w:r>
      <w:r>
        <w:rPr>
          <w:i/>
          <w:iCs/>
          <w:color w:val="000000"/>
        </w:rPr>
        <w:t>Computational and Structural Biotechnology Journal</w:t>
      </w:r>
      <w:r>
        <w:rPr>
          <w:color w:val="000000"/>
        </w:rPr>
        <w:t xml:space="preserve">, 19(19), pp.1759–1785. </w:t>
      </w:r>
      <w:proofErr w:type="spellStart"/>
      <w:proofErr w:type="gramStart"/>
      <w:r>
        <w:rPr>
          <w:color w:val="000000"/>
        </w:rPr>
        <w:t>doi:https</w:t>
      </w:r>
      <w:proofErr w:type="spellEnd"/>
      <w:r>
        <w:rPr>
          <w:color w:val="000000"/>
        </w:rPr>
        <w:t>://doi.org/10.1016/j.csbj.2021.03.003</w:t>
      </w:r>
      <w:proofErr w:type="gramEnd"/>
      <w:r w:rsidR="005D7526">
        <w:rPr>
          <w:color w:val="000000"/>
        </w:rPr>
        <w:t xml:space="preserve"> (Accessed 28</w:t>
      </w:r>
      <w:r w:rsidR="005D7526" w:rsidRPr="005D7526">
        <w:rPr>
          <w:color w:val="000000"/>
          <w:vertAlign w:val="superscript"/>
        </w:rPr>
        <w:t>th</w:t>
      </w:r>
      <w:r w:rsidR="005D7526">
        <w:rPr>
          <w:color w:val="000000"/>
        </w:rPr>
        <w:t xml:space="preserve"> Nov. 2026).</w:t>
      </w:r>
    </w:p>
    <w:p w14:paraId="54940C26" w14:textId="2D71D4CC" w:rsidR="00BC3301" w:rsidRDefault="00BC3301" w:rsidP="00BC3301">
      <w:pPr>
        <w:spacing w:after="240" w:line="360" w:lineRule="atLeast"/>
        <w:rPr>
          <w:color w:val="000000"/>
        </w:rPr>
      </w:pPr>
      <w:r w:rsidRPr="00BC3301">
        <w:rPr>
          <w:color w:val="000000"/>
        </w:rPr>
        <w:t>Karamanou, M. (2016). Milestones in the history of diabetes mellitus: The main contributors. </w:t>
      </w:r>
      <w:r w:rsidRPr="00BC3301">
        <w:rPr>
          <w:i/>
          <w:iCs/>
          <w:color w:val="000000"/>
        </w:rPr>
        <w:t>World Journal of Diabetes</w:t>
      </w:r>
      <w:r w:rsidRPr="00BC3301">
        <w:rPr>
          <w:color w:val="000000"/>
        </w:rPr>
        <w:t xml:space="preserve">, 7(1), p.1. </w:t>
      </w:r>
      <w:proofErr w:type="spellStart"/>
      <w:proofErr w:type="gramStart"/>
      <w:r w:rsidRPr="00BC3301">
        <w:rPr>
          <w:color w:val="000000"/>
        </w:rPr>
        <w:t>doi:https</w:t>
      </w:r>
      <w:proofErr w:type="spellEnd"/>
      <w:r w:rsidRPr="00BC3301">
        <w:rPr>
          <w:color w:val="000000"/>
        </w:rPr>
        <w:t>://doi.org/10.4239/wjd.v7.i1.1</w:t>
      </w:r>
      <w:proofErr w:type="gramEnd"/>
      <w:r w:rsidR="005D7526">
        <w:rPr>
          <w:color w:val="000000"/>
        </w:rPr>
        <w:t xml:space="preserve"> (Accessed 17</w:t>
      </w:r>
      <w:r w:rsidR="005D7526" w:rsidRPr="005D7526">
        <w:rPr>
          <w:color w:val="000000"/>
          <w:vertAlign w:val="superscript"/>
        </w:rPr>
        <w:t>th</w:t>
      </w:r>
      <w:r w:rsidR="005D7526">
        <w:rPr>
          <w:color w:val="000000"/>
        </w:rPr>
        <w:t xml:space="preserve"> Dec. 2025).</w:t>
      </w:r>
    </w:p>
    <w:p w14:paraId="6170B6D3" w14:textId="6B31698F" w:rsidR="00FC6655" w:rsidRDefault="00FC6655" w:rsidP="00FC6655">
      <w:pPr>
        <w:spacing w:after="240" w:line="360" w:lineRule="atLeast"/>
        <w:rPr>
          <w:color w:val="000000"/>
        </w:rPr>
      </w:pPr>
      <w:r w:rsidRPr="00FC6655">
        <w:rPr>
          <w:color w:val="000000"/>
        </w:rPr>
        <w:lastRenderedPageBreak/>
        <w:t>Kirkman, M.S. (2012). Diabetes in Older Adults. </w:t>
      </w:r>
      <w:r w:rsidRPr="00FC6655">
        <w:rPr>
          <w:i/>
          <w:iCs/>
          <w:color w:val="000000"/>
        </w:rPr>
        <w:t>Diabetes Care</w:t>
      </w:r>
      <w:r w:rsidRPr="00FC6655">
        <w:rPr>
          <w:color w:val="000000"/>
        </w:rPr>
        <w:t xml:space="preserve">, 35(12), pp.2650–2664. </w:t>
      </w:r>
      <w:proofErr w:type="spellStart"/>
      <w:proofErr w:type="gramStart"/>
      <w:r w:rsidRPr="00FC6655">
        <w:rPr>
          <w:color w:val="000000"/>
        </w:rPr>
        <w:t>doi:https</w:t>
      </w:r>
      <w:proofErr w:type="spellEnd"/>
      <w:r w:rsidRPr="00FC6655">
        <w:rPr>
          <w:color w:val="000000"/>
        </w:rPr>
        <w:t>://doi.org/10.2337/dc12-1801</w:t>
      </w:r>
      <w:proofErr w:type="gramEnd"/>
      <w:r w:rsidR="005D7526">
        <w:rPr>
          <w:color w:val="000000"/>
        </w:rPr>
        <w:t xml:space="preserve"> (Accessed 25</w:t>
      </w:r>
      <w:r w:rsidR="005D7526" w:rsidRPr="005D7526">
        <w:rPr>
          <w:color w:val="000000"/>
          <w:vertAlign w:val="superscript"/>
        </w:rPr>
        <w:t>th</w:t>
      </w:r>
      <w:r w:rsidR="005D7526">
        <w:rPr>
          <w:color w:val="000000"/>
        </w:rPr>
        <w:t xml:space="preserve"> Nov. 2025).</w:t>
      </w:r>
    </w:p>
    <w:p w14:paraId="7F3CEF36" w14:textId="295B633B" w:rsidR="00652AA8" w:rsidRDefault="00652AA8" w:rsidP="00FC6655">
      <w:pPr>
        <w:spacing w:after="240" w:line="360" w:lineRule="atLeast"/>
        <w:rPr>
          <w:color w:val="000000"/>
        </w:rPr>
      </w:pPr>
      <w:proofErr w:type="spellStart"/>
      <w:r w:rsidRPr="00652AA8">
        <w:rPr>
          <w:color w:val="000000"/>
        </w:rPr>
        <w:t>Koulouvari</w:t>
      </w:r>
      <w:proofErr w:type="spellEnd"/>
      <w:r w:rsidRPr="00652AA8">
        <w:rPr>
          <w:color w:val="000000"/>
        </w:rPr>
        <w:t xml:space="preserve">, A.-D., </w:t>
      </w:r>
      <w:proofErr w:type="spellStart"/>
      <w:r w:rsidRPr="00652AA8">
        <w:rPr>
          <w:color w:val="000000"/>
        </w:rPr>
        <w:t>Margariti</w:t>
      </w:r>
      <w:proofErr w:type="spellEnd"/>
      <w:r w:rsidRPr="00652AA8">
        <w:rPr>
          <w:color w:val="000000"/>
        </w:rPr>
        <w:t xml:space="preserve">, A., </w:t>
      </w:r>
      <w:proofErr w:type="spellStart"/>
      <w:r w:rsidRPr="00652AA8">
        <w:rPr>
          <w:color w:val="000000"/>
        </w:rPr>
        <w:t>Sakellari</w:t>
      </w:r>
      <w:proofErr w:type="spellEnd"/>
      <w:r w:rsidRPr="00652AA8">
        <w:rPr>
          <w:color w:val="000000"/>
        </w:rPr>
        <w:t xml:space="preserve">, E., </w:t>
      </w:r>
      <w:proofErr w:type="spellStart"/>
      <w:r w:rsidRPr="00652AA8">
        <w:rPr>
          <w:color w:val="000000"/>
        </w:rPr>
        <w:t>Barbouni</w:t>
      </w:r>
      <w:proofErr w:type="spellEnd"/>
      <w:r w:rsidRPr="00652AA8">
        <w:rPr>
          <w:color w:val="000000"/>
        </w:rPr>
        <w:t xml:space="preserve">, A. and </w:t>
      </w:r>
      <w:proofErr w:type="spellStart"/>
      <w:r w:rsidRPr="00652AA8">
        <w:rPr>
          <w:color w:val="000000"/>
        </w:rPr>
        <w:t>Lagiou</w:t>
      </w:r>
      <w:proofErr w:type="spellEnd"/>
      <w:r w:rsidRPr="00652AA8">
        <w:rPr>
          <w:color w:val="000000"/>
        </w:rPr>
        <w:t xml:space="preserve">, A. (2025). Applications of </w:t>
      </w:r>
      <w:proofErr w:type="spellStart"/>
      <w:r w:rsidRPr="00652AA8">
        <w:rPr>
          <w:color w:val="000000"/>
        </w:rPr>
        <w:t>Behavioral</w:t>
      </w:r>
      <w:proofErr w:type="spellEnd"/>
      <w:r w:rsidRPr="00652AA8">
        <w:rPr>
          <w:color w:val="000000"/>
        </w:rPr>
        <w:t xml:space="preserve"> Change Theories and Models in Health Promotion Interventions: A Rapid Review. </w:t>
      </w:r>
      <w:proofErr w:type="spellStart"/>
      <w:r w:rsidRPr="00652AA8">
        <w:rPr>
          <w:i/>
          <w:iCs/>
          <w:color w:val="000000"/>
        </w:rPr>
        <w:t>Behavioral</w:t>
      </w:r>
      <w:proofErr w:type="spellEnd"/>
      <w:r w:rsidRPr="00652AA8">
        <w:rPr>
          <w:i/>
          <w:iCs/>
          <w:color w:val="000000"/>
        </w:rPr>
        <w:t xml:space="preserve"> </w:t>
      </w:r>
      <w:proofErr w:type="gramStart"/>
      <w:r w:rsidRPr="00652AA8">
        <w:rPr>
          <w:i/>
          <w:iCs/>
          <w:color w:val="000000"/>
        </w:rPr>
        <w:t>Sciences</w:t>
      </w:r>
      <w:r w:rsidRPr="00652AA8">
        <w:rPr>
          <w:color w:val="000000"/>
        </w:rPr>
        <w:t>,  15</w:t>
      </w:r>
      <w:proofErr w:type="gramEnd"/>
      <w:r w:rsidRPr="00652AA8">
        <w:rPr>
          <w:color w:val="000000"/>
        </w:rPr>
        <w:t xml:space="preserve">(5), p.580. </w:t>
      </w:r>
      <w:proofErr w:type="spellStart"/>
      <w:proofErr w:type="gramStart"/>
      <w:r w:rsidRPr="00652AA8">
        <w:rPr>
          <w:color w:val="000000"/>
        </w:rPr>
        <w:t>doi:https</w:t>
      </w:r>
      <w:proofErr w:type="spellEnd"/>
      <w:r w:rsidRPr="00652AA8">
        <w:rPr>
          <w:color w:val="000000"/>
        </w:rPr>
        <w:t>://doi.org/10.3390/bs15050580</w:t>
      </w:r>
      <w:proofErr w:type="gramEnd"/>
      <w:r w:rsidR="005D7526">
        <w:rPr>
          <w:color w:val="000000"/>
        </w:rPr>
        <w:t xml:space="preserve"> (Accessed 11</w:t>
      </w:r>
      <w:r w:rsidR="005D7526" w:rsidRPr="005D7526">
        <w:rPr>
          <w:color w:val="000000"/>
          <w:vertAlign w:val="superscript"/>
        </w:rPr>
        <w:t>th</w:t>
      </w:r>
      <w:r w:rsidR="005D7526">
        <w:rPr>
          <w:color w:val="000000"/>
        </w:rPr>
        <w:t xml:space="preserve"> Dec. 2025).</w:t>
      </w:r>
    </w:p>
    <w:p w14:paraId="00CA399F" w14:textId="0BA0D549" w:rsidR="009C2993" w:rsidRDefault="009C2993" w:rsidP="00FC6655">
      <w:pPr>
        <w:spacing w:after="240" w:line="360" w:lineRule="atLeast"/>
        <w:rPr>
          <w:color w:val="000000"/>
        </w:rPr>
      </w:pPr>
      <w:proofErr w:type="spellStart"/>
      <w:r w:rsidRPr="009C2993">
        <w:rPr>
          <w:color w:val="000000"/>
        </w:rPr>
        <w:t>Kriznik</w:t>
      </w:r>
      <w:proofErr w:type="spellEnd"/>
      <w:r w:rsidRPr="009C2993">
        <w:rPr>
          <w:color w:val="000000"/>
        </w:rPr>
        <w:t xml:space="preserve">, N.M., </w:t>
      </w:r>
      <w:proofErr w:type="spellStart"/>
      <w:r w:rsidRPr="009C2993">
        <w:rPr>
          <w:color w:val="000000"/>
        </w:rPr>
        <w:t>Kinmonth</w:t>
      </w:r>
      <w:proofErr w:type="spellEnd"/>
      <w:r w:rsidRPr="009C2993">
        <w:rPr>
          <w:color w:val="000000"/>
        </w:rPr>
        <w:t>, A.L., Ling, T. and Kelly, M.P. (2018). Moving beyond individual choice in policies to reduce health inequalities: the integration of dynamic with individual explanations. </w:t>
      </w:r>
      <w:r w:rsidRPr="009C2993">
        <w:rPr>
          <w:i/>
          <w:iCs/>
          <w:color w:val="000000"/>
        </w:rPr>
        <w:t>Journal of Public Health</w:t>
      </w:r>
      <w:r w:rsidRPr="009C2993">
        <w:rPr>
          <w:color w:val="000000"/>
        </w:rPr>
        <w:t xml:space="preserve">, 40(4), pp.764–775. </w:t>
      </w:r>
      <w:proofErr w:type="spellStart"/>
      <w:proofErr w:type="gramStart"/>
      <w:r w:rsidRPr="009C2993">
        <w:rPr>
          <w:color w:val="000000"/>
        </w:rPr>
        <w:t>doi:https</w:t>
      </w:r>
      <w:proofErr w:type="spellEnd"/>
      <w:r w:rsidRPr="009C2993">
        <w:rPr>
          <w:color w:val="000000"/>
        </w:rPr>
        <w:t>://doi.org/10.1093/</w:t>
      </w:r>
      <w:proofErr w:type="spellStart"/>
      <w:r w:rsidRPr="009C2993">
        <w:rPr>
          <w:color w:val="000000"/>
        </w:rPr>
        <w:t>pubmed</w:t>
      </w:r>
      <w:proofErr w:type="spellEnd"/>
      <w:r w:rsidRPr="009C2993">
        <w:rPr>
          <w:color w:val="000000"/>
        </w:rPr>
        <w:t>/fdy045</w:t>
      </w:r>
      <w:proofErr w:type="gramEnd"/>
      <w:r w:rsidR="005D7526">
        <w:rPr>
          <w:color w:val="000000"/>
        </w:rPr>
        <w:t xml:space="preserve"> (Accessed 20</w:t>
      </w:r>
      <w:r w:rsidR="005D7526" w:rsidRPr="005D7526">
        <w:rPr>
          <w:color w:val="000000"/>
          <w:vertAlign w:val="superscript"/>
        </w:rPr>
        <w:t>th</w:t>
      </w:r>
      <w:r w:rsidR="005D7526">
        <w:rPr>
          <w:color w:val="000000"/>
        </w:rPr>
        <w:t xml:space="preserve"> Dec. 2025).</w:t>
      </w:r>
    </w:p>
    <w:p w14:paraId="0A440163" w14:textId="7D01771D" w:rsidR="005D6EEC" w:rsidRDefault="005D6EEC" w:rsidP="005D6EEC">
      <w:pPr>
        <w:pStyle w:val="NormalWeb"/>
        <w:spacing w:before="0" w:beforeAutospacing="0" w:after="240" w:afterAutospacing="0" w:line="360" w:lineRule="atLeast"/>
        <w:rPr>
          <w:color w:val="000000"/>
        </w:rPr>
      </w:pPr>
      <w:r>
        <w:rPr>
          <w:color w:val="000000"/>
        </w:rPr>
        <w:t>Kyrou, I., Tsigos, C., Mavrogianni, C., Cardon, G., Van Stappen, V., Latomme, J., Kivelä, J., Wikström, K., Tsochev, K., Nanasi, A., Semanova, C., Mateo-Gallego, R., Lamiquiz-Moneo, I., Dafoulas, G., Timpel, P., Schwarz, P.E.H., Iotova, V., Tankova, T., Makrilakis, K. and Manios, Y. (2020). Sociodemographic and lifestyle-related risk factors for identifying vulnerable groups for type 2 diabetes: a narrative review with emphasis on data from Europe.</w:t>
      </w:r>
      <w:r>
        <w:rPr>
          <w:rStyle w:val="apple-converted-space"/>
          <w:rFonts w:eastAsia="Calibri Light"/>
          <w:color w:val="000000"/>
        </w:rPr>
        <w:t> </w:t>
      </w:r>
      <w:r>
        <w:rPr>
          <w:i/>
          <w:iCs/>
          <w:color w:val="000000"/>
        </w:rPr>
        <w:t>BMC Endocrine Disorders</w:t>
      </w:r>
      <w:r>
        <w:rPr>
          <w:color w:val="000000"/>
        </w:rPr>
        <w:t xml:space="preserve">, 20(S1). </w:t>
      </w:r>
      <w:proofErr w:type="spellStart"/>
      <w:proofErr w:type="gramStart"/>
      <w:r>
        <w:rPr>
          <w:color w:val="000000"/>
        </w:rPr>
        <w:t>doi:https</w:t>
      </w:r>
      <w:proofErr w:type="spellEnd"/>
      <w:r>
        <w:rPr>
          <w:color w:val="000000"/>
        </w:rPr>
        <w:t>://doi.org/10.1186/s12902-019-0463-3</w:t>
      </w:r>
      <w:r w:rsidR="005D7526">
        <w:rPr>
          <w:color w:val="000000"/>
        </w:rPr>
        <w:t>(Accessed</w:t>
      </w:r>
      <w:proofErr w:type="gramEnd"/>
      <w:r w:rsidR="005D7526">
        <w:rPr>
          <w:color w:val="000000"/>
        </w:rPr>
        <w:t xml:space="preserve"> 19</w:t>
      </w:r>
      <w:r w:rsidR="005D7526" w:rsidRPr="005D7526">
        <w:rPr>
          <w:color w:val="000000"/>
          <w:vertAlign w:val="superscript"/>
        </w:rPr>
        <w:t>th</w:t>
      </w:r>
      <w:r w:rsidR="005D7526">
        <w:rPr>
          <w:color w:val="000000"/>
        </w:rPr>
        <w:t xml:space="preserve"> March 2026).</w:t>
      </w:r>
    </w:p>
    <w:p w14:paraId="0BB71345" w14:textId="53A3CDF5" w:rsidR="0072240C" w:rsidRDefault="0072240C" w:rsidP="0072240C">
      <w:pPr>
        <w:spacing w:after="240" w:line="360" w:lineRule="atLeast"/>
        <w:rPr>
          <w:color w:val="000000"/>
        </w:rPr>
      </w:pPr>
      <w:r w:rsidRPr="0072240C">
        <w:rPr>
          <w:color w:val="000000"/>
        </w:rPr>
        <w:t>Lee, I., Kang, M., Choi, J.H., Lim, H. and Chon, S. (2025). Clinically Practical and Affordable Lifestyle Modification to Prevent Diabetes Mellitus in Real Practice. </w:t>
      </w:r>
      <w:r w:rsidRPr="0072240C">
        <w:rPr>
          <w:i/>
          <w:iCs/>
          <w:color w:val="000000"/>
        </w:rPr>
        <w:t>Diabetes &amp; Metabolism Journal</w:t>
      </w:r>
      <w:r w:rsidRPr="0072240C">
        <w:rPr>
          <w:color w:val="000000"/>
        </w:rPr>
        <w:t xml:space="preserve">, 49(5), pp.951–963. </w:t>
      </w:r>
      <w:proofErr w:type="spellStart"/>
      <w:proofErr w:type="gramStart"/>
      <w:r w:rsidRPr="0072240C">
        <w:rPr>
          <w:color w:val="000000"/>
        </w:rPr>
        <w:t>doi:https</w:t>
      </w:r>
      <w:proofErr w:type="spellEnd"/>
      <w:r w:rsidRPr="0072240C">
        <w:rPr>
          <w:color w:val="000000"/>
        </w:rPr>
        <w:t>://doi.org/10.4093/dmj.2025.0675</w:t>
      </w:r>
      <w:r w:rsidR="005D7526">
        <w:rPr>
          <w:color w:val="000000"/>
        </w:rPr>
        <w:t>(Accessed</w:t>
      </w:r>
      <w:proofErr w:type="gramEnd"/>
      <w:r w:rsidR="005D7526">
        <w:rPr>
          <w:color w:val="000000"/>
        </w:rPr>
        <w:t xml:space="preserve"> 23</w:t>
      </w:r>
      <w:r w:rsidR="005D7526" w:rsidRPr="005D7526">
        <w:rPr>
          <w:color w:val="000000"/>
          <w:vertAlign w:val="superscript"/>
        </w:rPr>
        <w:t>rd</w:t>
      </w:r>
      <w:r w:rsidR="005D7526">
        <w:rPr>
          <w:color w:val="000000"/>
        </w:rPr>
        <w:t xml:space="preserve"> Jan. 2026).</w:t>
      </w:r>
    </w:p>
    <w:p w14:paraId="278CC743" w14:textId="42B25493" w:rsidR="00401261" w:rsidRDefault="00401261" w:rsidP="00401261">
      <w:pPr>
        <w:spacing w:after="240" w:line="360" w:lineRule="atLeast"/>
        <w:rPr>
          <w:color w:val="000000"/>
        </w:rPr>
      </w:pPr>
      <w:r w:rsidRPr="00401261">
        <w:rPr>
          <w:color w:val="000000"/>
        </w:rPr>
        <w:t>Marmot, M. (2017). The Health Gap: The Challenge of an Unequal World: the argument. </w:t>
      </w:r>
      <w:r w:rsidRPr="00401261">
        <w:rPr>
          <w:i/>
          <w:iCs/>
          <w:color w:val="000000"/>
        </w:rPr>
        <w:t>International Journal of Epidemiology</w:t>
      </w:r>
      <w:r w:rsidRPr="00401261">
        <w:rPr>
          <w:color w:val="000000"/>
        </w:rPr>
        <w:t xml:space="preserve">, 46(4), pp.1312–1318. </w:t>
      </w:r>
      <w:proofErr w:type="spellStart"/>
      <w:proofErr w:type="gramStart"/>
      <w:r w:rsidRPr="00401261">
        <w:rPr>
          <w:color w:val="000000"/>
        </w:rPr>
        <w:t>doi:https</w:t>
      </w:r>
      <w:proofErr w:type="spellEnd"/>
      <w:r w:rsidRPr="00401261">
        <w:rPr>
          <w:color w:val="000000"/>
        </w:rPr>
        <w:t>://doi.org/10.1093/</w:t>
      </w:r>
      <w:proofErr w:type="spellStart"/>
      <w:r w:rsidRPr="00401261">
        <w:rPr>
          <w:color w:val="000000"/>
        </w:rPr>
        <w:t>ije</w:t>
      </w:r>
      <w:proofErr w:type="spellEnd"/>
      <w:r w:rsidRPr="00401261">
        <w:rPr>
          <w:color w:val="000000"/>
        </w:rPr>
        <w:t>/dyx163</w:t>
      </w:r>
      <w:proofErr w:type="gramEnd"/>
      <w:r w:rsidR="005D7526">
        <w:rPr>
          <w:color w:val="000000"/>
        </w:rPr>
        <w:t xml:space="preserve"> (Accessed 19</w:t>
      </w:r>
      <w:r w:rsidR="005D7526" w:rsidRPr="005D7526">
        <w:rPr>
          <w:color w:val="000000"/>
          <w:vertAlign w:val="superscript"/>
        </w:rPr>
        <w:t>th</w:t>
      </w:r>
      <w:r w:rsidR="005D7526">
        <w:rPr>
          <w:color w:val="000000"/>
        </w:rPr>
        <w:t xml:space="preserve"> Jan. 2026).</w:t>
      </w:r>
    </w:p>
    <w:p w14:paraId="76B8ADE4" w14:textId="057F349F" w:rsidR="00CE5C43" w:rsidRPr="00401261" w:rsidRDefault="00CE5C43" w:rsidP="00401261">
      <w:pPr>
        <w:spacing w:after="240" w:line="360" w:lineRule="atLeast"/>
        <w:rPr>
          <w:color w:val="000000"/>
        </w:rPr>
      </w:pPr>
      <w:r w:rsidRPr="00CE5C43">
        <w:rPr>
          <w:color w:val="000000"/>
        </w:rPr>
        <w:t xml:space="preserve">McKee, M., </w:t>
      </w:r>
      <w:proofErr w:type="spellStart"/>
      <w:r w:rsidRPr="00CE5C43">
        <w:rPr>
          <w:color w:val="000000"/>
        </w:rPr>
        <w:t>Dunnell</w:t>
      </w:r>
      <w:proofErr w:type="spellEnd"/>
      <w:r w:rsidRPr="00CE5C43">
        <w:rPr>
          <w:color w:val="000000"/>
        </w:rPr>
        <w:t xml:space="preserve">, K., Anderson, M., </w:t>
      </w:r>
      <w:proofErr w:type="spellStart"/>
      <w:r w:rsidRPr="00CE5C43">
        <w:rPr>
          <w:color w:val="000000"/>
        </w:rPr>
        <w:t>Brayne</w:t>
      </w:r>
      <w:proofErr w:type="spellEnd"/>
      <w:r w:rsidRPr="00CE5C43">
        <w:rPr>
          <w:color w:val="000000"/>
        </w:rPr>
        <w:t>, C., Charlesworth, A., Johnston-Webber, C., Knapp, M., McGuire, A., Newton, J.N., Taylor, D. and Watt, R.G. (2021). The changing health needs of the UK population. </w:t>
      </w:r>
      <w:r w:rsidRPr="00CE5C43">
        <w:rPr>
          <w:i/>
          <w:iCs/>
          <w:color w:val="000000"/>
        </w:rPr>
        <w:t>The Lancet</w:t>
      </w:r>
      <w:r w:rsidRPr="00CE5C43">
        <w:rPr>
          <w:color w:val="000000"/>
        </w:rPr>
        <w:t>, 397(10288), pp.1979–1991</w:t>
      </w:r>
      <w:r w:rsidR="005D7526">
        <w:rPr>
          <w:color w:val="000000"/>
        </w:rPr>
        <w:t xml:space="preserve"> (Accessed 12</w:t>
      </w:r>
      <w:r w:rsidR="005D7526" w:rsidRPr="005D7526">
        <w:rPr>
          <w:color w:val="000000"/>
          <w:vertAlign w:val="superscript"/>
        </w:rPr>
        <w:t>th</w:t>
      </w:r>
      <w:r w:rsidR="005D7526">
        <w:rPr>
          <w:color w:val="000000"/>
        </w:rPr>
        <w:t xml:space="preserve"> March 2026).</w:t>
      </w:r>
    </w:p>
    <w:p w14:paraId="6DF5D6C7" w14:textId="3BA567C6" w:rsidR="005D6EEC" w:rsidRDefault="005D6EEC" w:rsidP="005D6EEC">
      <w:pPr>
        <w:pStyle w:val="NormalWeb"/>
        <w:spacing w:before="0" w:beforeAutospacing="0" w:after="240" w:afterAutospacing="0" w:line="360" w:lineRule="atLeast"/>
        <w:rPr>
          <w:color w:val="000000"/>
        </w:rPr>
      </w:pPr>
      <w:r>
        <w:rPr>
          <w:color w:val="000000"/>
        </w:rPr>
        <w:t>McManus, E., Meacock, R., Parkinson, B. and Sutton, M. (2022). Population Level Impact of the NHS Diabetes Prevention Programme on Incidence of Type 2 Diabetes in England: an Observational Study.</w:t>
      </w:r>
      <w:r>
        <w:rPr>
          <w:rStyle w:val="apple-converted-space"/>
          <w:rFonts w:eastAsia="Calibri Light"/>
          <w:color w:val="000000"/>
        </w:rPr>
        <w:t> </w:t>
      </w:r>
      <w:r>
        <w:rPr>
          <w:i/>
          <w:iCs/>
          <w:color w:val="000000"/>
        </w:rPr>
        <w:t>The Lancet Regional Health - Europe</w:t>
      </w:r>
      <w:r>
        <w:rPr>
          <w:color w:val="000000"/>
        </w:rPr>
        <w:t xml:space="preserve">, 19(100420), p.100420. </w:t>
      </w:r>
      <w:proofErr w:type="spellStart"/>
      <w:proofErr w:type="gramStart"/>
      <w:r>
        <w:rPr>
          <w:color w:val="000000"/>
        </w:rPr>
        <w:t>doi:https</w:t>
      </w:r>
      <w:proofErr w:type="spellEnd"/>
      <w:r>
        <w:rPr>
          <w:color w:val="000000"/>
        </w:rPr>
        <w:t>://doi.org/10.1016/j.lanepe.2022.100420</w:t>
      </w:r>
      <w:proofErr w:type="gramEnd"/>
      <w:r w:rsidR="005D7526">
        <w:rPr>
          <w:color w:val="000000"/>
        </w:rPr>
        <w:t xml:space="preserve"> (Accessed 10</w:t>
      </w:r>
      <w:r w:rsidR="005D7526" w:rsidRPr="005D7526">
        <w:rPr>
          <w:color w:val="000000"/>
          <w:vertAlign w:val="superscript"/>
        </w:rPr>
        <w:t>th</w:t>
      </w:r>
      <w:r w:rsidR="005D7526">
        <w:rPr>
          <w:color w:val="000000"/>
        </w:rPr>
        <w:t xml:space="preserve"> Nov. 2025).</w:t>
      </w:r>
    </w:p>
    <w:p w14:paraId="0B3D89C1" w14:textId="04B089DF" w:rsidR="005D6EEC" w:rsidRDefault="005D6EEC" w:rsidP="005D6EEC">
      <w:pPr>
        <w:pStyle w:val="NormalWeb"/>
        <w:spacing w:before="0" w:beforeAutospacing="0" w:after="240" w:afterAutospacing="0" w:line="360" w:lineRule="atLeast"/>
        <w:rPr>
          <w:color w:val="000000"/>
        </w:rPr>
      </w:pPr>
      <w:r>
        <w:rPr>
          <w:color w:val="000000"/>
        </w:rPr>
        <w:lastRenderedPageBreak/>
        <w:t>National Institute of Mental Health (2020).</w:t>
      </w:r>
      <w:r>
        <w:rPr>
          <w:rStyle w:val="apple-converted-space"/>
          <w:rFonts w:eastAsia="Calibri Light"/>
          <w:color w:val="000000"/>
        </w:rPr>
        <w:t> </w:t>
      </w:r>
      <w:r>
        <w:rPr>
          <w:i/>
          <w:iCs/>
          <w:color w:val="000000"/>
        </w:rPr>
        <w:t>What is Prevalence?</w:t>
      </w:r>
      <w:r>
        <w:rPr>
          <w:color w:val="000000"/>
        </w:rPr>
        <w:t xml:space="preserve"> National Institute of Mental Health. Available at: https://www.nimh.nih.gov/health/statistics/what-is-prevalence </w:t>
      </w:r>
      <w:r w:rsidR="008D4CF6">
        <w:rPr>
          <w:color w:val="000000"/>
        </w:rPr>
        <w:t>(</w:t>
      </w:r>
      <w:r>
        <w:rPr>
          <w:color w:val="000000"/>
        </w:rPr>
        <w:t>Accessed 27 Feb. 2026</w:t>
      </w:r>
      <w:r w:rsidR="008D4CF6">
        <w:rPr>
          <w:color w:val="000000"/>
        </w:rPr>
        <w:t>)</w:t>
      </w:r>
      <w:r>
        <w:rPr>
          <w:color w:val="000000"/>
        </w:rPr>
        <w:t>.</w:t>
      </w:r>
    </w:p>
    <w:p w14:paraId="03A5EBA9" w14:textId="5194765C" w:rsidR="00015022" w:rsidRPr="00015022" w:rsidRDefault="00015022" w:rsidP="00015022">
      <w:pPr>
        <w:spacing w:after="240" w:line="360" w:lineRule="atLeast"/>
        <w:rPr>
          <w:color w:val="000000"/>
        </w:rPr>
      </w:pPr>
      <w:r w:rsidRPr="00015022">
        <w:rPr>
          <w:color w:val="000000"/>
        </w:rPr>
        <w:t>NHS digital (2023). </w:t>
      </w:r>
      <w:r w:rsidRPr="00015022">
        <w:rPr>
          <w:i/>
          <w:iCs/>
          <w:color w:val="000000"/>
        </w:rPr>
        <w:t xml:space="preserve">Adults’ health: </w:t>
      </w:r>
      <w:proofErr w:type="spellStart"/>
      <w:r w:rsidRPr="00015022">
        <w:rPr>
          <w:i/>
          <w:iCs/>
          <w:color w:val="000000"/>
        </w:rPr>
        <w:t>Diabetes</w:t>
      </w:r>
      <w:r w:rsidRPr="00015022">
        <w:rPr>
          <w:color w:val="000000"/>
        </w:rPr>
        <w:t>.NDRS</w:t>
      </w:r>
      <w:proofErr w:type="spellEnd"/>
      <w:r w:rsidRPr="00015022">
        <w:rPr>
          <w:color w:val="000000"/>
        </w:rPr>
        <w:t>. Available at: https://digital.nhs.uk/data-and-information/publications/statistical/health-survey-for-england/2021-part-2/adult-health-diabetes (Accessed 15 Mar. 2026).</w:t>
      </w:r>
    </w:p>
    <w:p w14:paraId="52DA7586" w14:textId="438D30D6" w:rsidR="005D6EEC" w:rsidRDefault="005D6EEC" w:rsidP="005D6EEC">
      <w:pPr>
        <w:pStyle w:val="NormalWeb"/>
        <w:spacing w:before="0" w:beforeAutospacing="0" w:after="240" w:afterAutospacing="0" w:line="360" w:lineRule="atLeast"/>
        <w:rPr>
          <w:color w:val="000000"/>
        </w:rPr>
      </w:pPr>
      <w:r>
        <w:rPr>
          <w:color w:val="000000"/>
        </w:rPr>
        <w:t>NHS England (2023).</w:t>
      </w:r>
      <w:r>
        <w:rPr>
          <w:rStyle w:val="apple-converted-space"/>
          <w:rFonts w:eastAsia="Calibri Light"/>
          <w:color w:val="000000"/>
        </w:rPr>
        <w:t> </w:t>
      </w:r>
      <w:r>
        <w:rPr>
          <w:i/>
          <w:iCs/>
          <w:color w:val="000000"/>
        </w:rPr>
        <w:t>What Are Healthcare Inequalities?</w:t>
      </w:r>
      <w:r>
        <w:rPr>
          <w:color w:val="000000"/>
        </w:rPr>
        <w:t xml:space="preserve"> NHS England. Available at: https://www.england.nhs.uk/about/equality/equality-hub/national-healthcare-inequalities-improvement-programme/what-are-healthcare-inequalities/ </w:t>
      </w:r>
      <w:r w:rsidR="008D4CF6">
        <w:rPr>
          <w:color w:val="000000"/>
        </w:rPr>
        <w:t>(</w:t>
      </w:r>
      <w:r>
        <w:rPr>
          <w:color w:val="000000"/>
        </w:rPr>
        <w:t>Accessed 27 Feb. 2026</w:t>
      </w:r>
      <w:r w:rsidR="008D4CF6">
        <w:rPr>
          <w:color w:val="000000"/>
        </w:rPr>
        <w:t>)</w:t>
      </w:r>
      <w:r>
        <w:rPr>
          <w:color w:val="000000"/>
        </w:rPr>
        <w:t>.</w:t>
      </w:r>
    </w:p>
    <w:p w14:paraId="1A9752F8" w14:textId="270C1F39" w:rsidR="00596877" w:rsidRDefault="00596877" w:rsidP="00E53F8E">
      <w:pPr>
        <w:spacing w:after="240" w:line="360" w:lineRule="atLeast"/>
        <w:rPr>
          <w:color w:val="000000"/>
        </w:rPr>
      </w:pPr>
      <w:r w:rsidRPr="00596877">
        <w:rPr>
          <w:color w:val="000000"/>
        </w:rPr>
        <w:t>NHS England (2023). </w:t>
      </w:r>
      <w:r w:rsidRPr="00596877">
        <w:rPr>
          <w:i/>
          <w:iCs/>
          <w:color w:val="000000"/>
        </w:rPr>
        <w:t>NHS Diabetes Prevention Programme (NHS DPP)</w:t>
      </w:r>
      <w:r w:rsidRPr="00596877">
        <w:rPr>
          <w:color w:val="000000"/>
        </w:rPr>
        <w:t xml:space="preserve">.  NHS England. Available at: https://www.england.nhs.uk/diabetes/diabetes-prevention/ </w:t>
      </w:r>
      <w:r w:rsidR="00E64A3B">
        <w:rPr>
          <w:color w:val="000000"/>
        </w:rPr>
        <w:t>(</w:t>
      </w:r>
      <w:r w:rsidRPr="00596877">
        <w:rPr>
          <w:color w:val="000000"/>
        </w:rPr>
        <w:t>Accessed Nov. 2025</w:t>
      </w:r>
      <w:r w:rsidR="00E64A3B">
        <w:rPr>
          <w:color w:val="000000"/>
        </w:rPr>
        <w:t>)</w:t>
      </w:r>
      <w:r w:rsidRPr="00596877">
        <w:rPr>
          <w:color w:val="000000"/>
        </w:rPr>
        <w:t>.</w:t>
      </w:r>
    </w:p>
    <w:p w14:paraId="62BFEA77" w14:textId="47C24D95" w:rsidR="00227B08" w:rsidRPr="00E53F8E" w:rsidRDefault="00452D1F" w:rsidP="00E53F8E">
      <w:pPr>
        <w:spacing w:after="240" w:line="360" w:lineRule="atLeast"/>
        <w:rPr>
          <w:color w:val="000000"/>
        </w:rPr>
      </w:pPr>
      <w:r w:rsidRPr="00452D1F">
        <w:rPr>
          <w:color w:val="000000"/>
        </w:rPr>
        <w:t>NHS England (2019). </w:t>
      </w:r>
      <w:r w:rsidRPr="00452D1F">
        <w:rPr>
          <w:i/>
          <w:iCs/>
          <w:color w:val="000000"/>
        </w:rPr>
        <w:t>NHS England» Obesity</w:t>
      </w:r>
      <w:r w:rsidRPr="00452D1F">
        <w:rPr>
          <w:color w:val="000000"/>
        </w:rPr>
        <w:t xml:space="preserve">. England.nhs.uk. Available at: https://www.england.nhs.uk/ourwork/prevention/obesity/ </w:t>
      </w:r>
      <w:r>
        <w:rPr>
          <w:color w:val="000000"/>
        </w:rPr>
        <w:t>(</w:t>
      </w:r>
      <w:r w:rsidRPr="00452D1F">
        <w:rPr>
          <w:color w:val="000000"/>
        </w:rPr>
        <w:t>Accessed 20 Feb. 2026</w:t>
      </w:r>
      <w:r>
        <w:rPr>
          <w:color w:val="000000"/>
        </w:rPr>
        <w:t>)</w:t>
      </w:r>
      <w:r w:rsidRPr="00452D1F">
        <w:rPr>
          <w:color w:val="000000"/>
        </w:rPr>
        <w:t>.</w:t>
      </w:r>
    </w:p>
    <w:p w14:paraId="1FDD3EF5" w14:textId="0BCEF568" w:rsidR="00DA61AE" w:rsidRDefault="003646DE" w:rsidP="00AF5B89">
      <w:pPr>
        <w:spacing w:after="240" w:line="360" w:lineRule="atLeast"/>
        <w:rPr>
          <w:color w:val="000000"/>
        </w:rPr>
      </w:pPr>
      <w:r w:rsidRPr="003646DE">
        <w:rPr>
          <w:color w:val="000000"/>
        </w:rPr>
        <w:t>NHS England (2019). </w:t>
      </w:r>
      <w:r w:rsidRPr="003646DE">
        <w:rPr>
          <w:i/>
          <w:iCs/>
          <w:color w:val="000000"/>
        </w:rPr>
        <w:t>NHS England» Diabetes treatment and care programme</w:t>
      </w:r>
      <w:r w:rsidRPr="003646DE">
        <w:rPr>
          <w:color w:val="000000"/>
        </w:rPr>
        <w:t xml:space="preserve">.  England.nhs.uk. Available at: </w:t>
      </w:r>
      <w:hyperlink r:id="rId12" w:history="1">
        <w:r w:rsidR="00AF5B89" w:rsidRPr="00EC02CF">
          <w:rPr>
            <w:rStyle w:val="Hyperlink"/>
          </w:rPr>
          <w:t>https://www.england.nhs.uk/diabetes/treatment-care/</w:t>
        </w:r>
      </w:hyperlink>
      <w:r w:rsidRPr="003646DE">
        <w:rPr>
          <w:color w:val="000000"/>
        </w:rPr>
        <w:t>.</w:t>
      </w:r>
      <w:r w:rsidR="00AF5B89" w:rsidRPr="00AF5B89">
        <w:rPr>
          <w:color w:val="000000"/>
        </w:rPr>
        <w:t>England, N. (2023)</w:t>
      </w:r>
      <w:r w:rsidR="005D7526">
        <w:rPr>
          <w:color w:val="000000"/>
        </w:rPr>
        <w:t xml:space="preserve"> (Accessed 18</w:t>
      </w:r>
      <w:r w:rsidR="005D7526" w:rsidRPr="005D7526">
        <w:rPr>
          <w:color w:val="000000"/>
          <w:vertAlign w:val="superscript"/>
        </w:rPr>
        <w:t>th</w:t>
      </w:r>
      <w:r w:rsidR="005D7526">
        <w:rPr>
          <w:color w:val="000000"/>
        </w:rPr>
        <w:t xml:space="preserve"> Nov. 2026).</w:t>
      </w:r>
      <w:r w:rsidR="00AF5B89" w:rsidRPr="00AF5B89">
        <w:rPr>
          <w:color w:val="000000"/>
        </w:rPr>
        <w:t> </w:t>
      </w:r>
    </w:p>
    <w:p w14:paraId="21C86D48" w14:textId="4868EDD0" w:rsidR="00AF5B89" w:rsidRPr="00D770DC" w:rsidRDefault="00AF5B89" w:rsidP="00AF5B89">
      <w:pPr>
        <w:spacing w:after="240" w:line="360" w:lineRule="atLeast"/>
        <w:rPr>
          <w:color w:val="000000" w:themeColor="text1"/>
        </w:rPr>
      </w:pPr>
      <w:r w:rsidRPr="00AF5B89">
        <w:rPr>
          <w:i/>
          <w:iCs/>
          <w:color w:val="000000"/>
        </w:rPr>
        <w:t>NHS England — Midlands» Black and South Asian people in the West Midlands urged to act now to prevent or delay Type 2 diabetes</w:t>
      </w:r>
      <w:r w:rsidRPr="00AF5B89">
        <w:rPr>
          <w:color w:val="000000"/>
        </w:rPr>
        <w:t xml:space="preserve">. England.nhs.uk. Available at: </w:t>
      </w:r>
      <w:hyperlink r:id="rId13" w:history="1">
        <w:r w:rsidR="005D7526" w:rsidRPr="00D770DC">
          <w:rPr>
            <w:rStyle w:val="Hyperlink"/>
            <w:color w:val="000000" w:themeColor="text1"/>
          </w:rPr>
          <w:t>https://www.england.nhs.uk/midlands/2023/01/25/black-and-south-asian-people-in-the-west-midlands-urged-to-act-now-to-prevent-or-delay-type-2-diabetes/(Accessed</w:t>
        </w:r>
      </w:hyperlink>
      <w:r w:rsidR="005D7526" w:rsidRPr="00D770DC">
        <w:rPr>
          <w:color w:val="000000" w:themeColor="text1"/>
        </w:rPr>
        <w:t xml:space="preserve"> 12</w:t>
      </w:r>
      <w:r w:rsidR="005D7526" w:rsidRPr="00D770DC">
        <w:rPr>
          <w:color w:val="000000" w:themeColor="text1"/>
          <w:vertAlign w:val="superscript"/>
        </w:rPr>
        <w:t>th</w:t>
      </w:r>
      <w:r w:rsidR="005D7526" w:rsidRPr="00D770DC">
        <w:rPr>
          <w:color w:val="000000" w:themeColor="text1"/>
        </w:rPr>
        <w:t xml:space="preserve"> Nov. 2025).</w:t>
      </w:r>
    </w:p>
    <w:p w14:paraId="69DDEF9F" w14:textId="7A35C438" w:rsidR="00DA61AE" w:rsidRDefault="00DA61AE" w:rsidP="00AF5B89">
      <w:pPr>
        <w:spacing w:after="240" w:line="360" w:lineRule="atLeast"/>
        <w:rPr>
          <w:color w:val="000000"/>
        </w:rPr>
      </w:pPr>
      <w:r w:rsidRPr="00DA61AE">
        <w:rPr>
          <w:color w:val="000000"/>
        </w:rPr>
        <w:t>NICE (2022). </w:t>
      </w:r>
      <w:r w:rsidRPr="00DA61AE">
        <w:rPr>
          <w:i/>
          <w:iCs/>
          <w:color w:val="000000"/>
        </w:rPr>
        <w:t>Type 2 Diabetes in adults: Choosing Medicines Factors to Take into Account When choosing, Reviewing and Changing Medicines</w:t>
      </w:r>
      <w:r w:rsidRPr="00DA61AE">
        <w:rPr>
          <w:color w:val="000000"/>
        </w:rPr>
        <w:t>.  </w:t>
      </w:r>
      <w:r w:rsidRPr="00DA61AE">
        <w:rPr>
          <w:i/>
          <w:iCs/>
          <w:color w:val="000000"/>
        </w:rPr>
        <w:t>National Institute for Health and Care Excellence</w:t>
      </w:r>
      <w:r w:rsidRPr="00DA61AE">
        <w:rPr>
          <w:color w:val="000000"/>
        </w:rPr>
        <w:t xml:space="preserve">. Available at: https://www.nice.org.uk/guidance/ng28/resources/visual-summary-full-version-choosing-medicines-for-firstline-and-further-treatment-pdf-10956472093 </w:t>
      </w:r>
      <w:r>
        <w:rPr>
          <w:color w:val="000000"/>
        </w:rPr>
        <w:t>(</w:t>
      </w:r>
      <w:r w:rsidRPr="00DA61AE">
        <w:rPr>
          <w:color w:val="000000"/>
        </w:rPr>
        <w:t>Accessed 10 Mar. 2026</w:t>
      </w:r>
      <w:r>
        <w:rPr>
          <w:color w:val="000000"/>
        </w:rPr>
        <w:t>)</w:t>
      </w:r>
      <w:r w:rsidRPr="00DA61AE">
        <w:rPr>
          <w:color w:val="000000"/>
        </w:rPr>
        <w:t>.</w:t>
      </w:r>
    </w:p>
    <w:p w14:paraId="7BB5934C" w14:textId="5BC3EE32" w:rsidR="00EE1271" w:rsidRPr="00AF5B89" w:rsidRDefault="00EE1271" w:rsidP="00AF5B89">
      <w:pPr>
        <w:spacing w:after="240" w:line="360" w:lineRule="atLeast"/>
        <w:rPr>
          <w:color w:val="000000"/>
        </w:rPr>
      </w:pPr>
      <w:r w:rsidRPr="00EE1271">
        <w:rPr>
          <w:color w:val="000000"/>
        </w:rPr>
        <w:t>NICE (2025). </w:t>
      </w:r>
      <w:r w:rsidRPr="00EE1271">
        <w:rPr>
          <w:i/>
          <w:iCs/>
          <w:color w:val="000000"/>
        </w:rPr>
        <w:t>Overweight and Obesity Management NICE Guideline</w:t>
      </w:r>
      <w:r w:rsidRPr="00EE1271">
        <w:rPr>
          <w:color w:val="000000"/>
        </w:rPr>
        <w:t xml:space="preserve">. Available at: https://www.nice.org.uk/guidance/ng246/resources/overweight-and-obesity-management-pdf-66143959958725 </w:t>
      </w:r>
      <w:r w:rsidR="003F02BF">
        <w:rPr>
          <w:color w:val="000000"/>
        </w:rPr>
        <w:t>(</w:t>
      </w:r>
      <w:r w:rsidRPr="00EE1271">
        <w:rPr>
          <w:color w:val="000000"/>
        </w:rPr>
        <w:t>Accessed 10 Mar. 2026</w:t>
      </w:r>
      <w:r w:rsidR="003F02BF">
        <w:rPr>
          <w:color w:val="000000"/>
        </w:rPr>
        <w:t>)</w:t>
      </w:r>
      <w:r w:rsidRPr="00EE1271">
        <w:rPr>
          <w:color w:val="000000"/>
        </w:rPr>
        <w:t>.</w:t>
      </w:r>
    </w:p>
    <w:p w14:paraId="3D102C50" w14:textId="2647FA4D" w:rsidR="00AF5B89" w:rsidRDefault="001E48C2" w:rsidP="003646DE">
      <w:pPr>
        <w:spacing w:after="240" w:line="360" w:lineRule="atLeast"/>
        <w:rPr>
          <w:color w:val="000000"/>
        </w:rPr>
      </w:pPr>
      <w:r w:rsidRPr="001E48C2">
        <w:rPr>
          <w:color w:val="000000"/>
        </w:rPr>
        <w:t>Office for Health Improvement &amp; Disparities (2025). </w:t>
      </w:r>
      <w:r w:rsidRPr="001E48C2">
        <w:rPr>
          <w:i/>
          <w:iCs/>
          <w:color w:val="000000"/>
        </w:rPr>
        <w:t>Diabetes profile: Statistical commentary, March 2025</w:t>
      </w:r>
      <w:r w:rsidRPr="001E48C2">
        <w:rPr>
          <w:color w:val="000000"/>
        </w:rPr>
        <w:t xml:space="preserve">. GOV.UK. Available at: </w:t>
      </w:r>
      <w:r w:rsidRPr="001E48C2">
        <w:rPr>
          <w:color w:val="000000"/>
        </w:rPr>
        <w:lastRenderedPageBreak/>
        <w:t xml:space="preserve">https://www.gov.uk/government/statistics/diabetes-profile-update-march-2025/diabetes-profile-statistical-commentary-march-2025 </w:t>
      </w:r>
      <w:r>
        <w:rPr>
          <w:color w:val="000000"/>
        </w:rPr>
        <w:t>(</w:t>
      </w:r>
      <w:r w:rsidRPr="001E48C2">
        <w:rPr>
          <w:color w:val="000000"/>
        </w:rPr>
        <w:t>Accessed 20 Mar. 2026</w:t>
      </w:r>
      <w:r>
        <w:rPr>
          <w:color w:val="000000"/>
        </w:rPr>
        <w:t>)</w:t>
      </w:r>
      <w:r w:rsidRPr="001E48C2">
        <w:rPr>
          <w:color w:val="000000"/>
        </w:rPr>
        <w:t>.</w:t>
      </w:r>
    </w:p>
    <w:p w14:paraId="325A1FDC" w14:textId="72D9FEC2" w:rsidR="00EE4373" w:rsidRPr="003646DE" w:rsidRDefault="00EE4373" w:rsidP="003646DE">
      <w:pPr>
        <w:spacing w:after="240" w:line="360" w:lineRule="atLeast"/>
        <w:rPr>
          <w:color w:val="000000"/>
        </w:rPr>
      </w:pPr>
      <w:r w:rsidRPr="00EE4373">
        <w:rPr>
          <w:color w:val="000000"/>
        </w:rPr>
        <w:t>Office for national statistics (2024). </w:t>
      </w:r>
      <w:r w:rsidRPr="00EE4373">
        <w:rPr>
          <w:i/>
          <w:iCs/>
          <w:color w:val="000000"/>
        </w:rPr>
        <w:t>Risk factors for pre-diabetes and undiagnosed type 2 diabetes in England - Office for National Statistics</w:t>
      </w:r>
      <w:r w:rsidRPr="00EE4373">
        <w:rPr>
          <w:color w:val="000000"/>
        </w:rPr>
        <w:t xml:space="preserve">. www.ons.gov.uk. Available at: </w:t>
      </w:r>
      <w:hyperlink r:id="rId14" w:history="1">
        <w:r w:rsidR="005D7526" w:rsidRPr="00EE4373">
          <w:rPr>
            <w:rStyle w:val="Hyperlink"/>
          </w:rPr>
          <w:t>https://www.ons.gov.uk/peoplepopulationandcommunity/healthandsocialcare/healthinequalities/bulletins/riskfactorsforprediabetesandundiagnosedtype2diabetesinengland/2013to2019</w:t>
        </w:r>
      </w:hyperlink>
      <w:r w:rsidR="005D7526">
        <w:rPr>
          <w:color w:val="000000"/>
        </w:rPr>
        <w:t xml:space="preserve"> (Accessed 10th </w:t>
      </w:r>
      <w:r w:rsidR="00D5469C">
        <w:rPr>
          <w:color w:val="000000"/>
        </w:rPr>
        <w:t xml:space="preserve">Jan. 2026). </w:t>
      </w:r>
    </w:p>
    <w:p w14:paraId="21DB694D" w14:textId="1234E475" w:rsidR="005D6EEC" w:rsidRDefault="005D6EEC" w:rsidP="005D6EEC">
      <w:pPr>
        <w:pStyle w:val="NormalWeb"/>
        <w:spacing w:before="0" w:beforeAutospacing="0" w:after="240" w:afterAutospacing="0" w:line="360" w:lineRule="atLeast"/>
        <w:rPr>
          <w:color w:val="000000"/>
        </w:rPr>
      </w:pPr>
      <w:r>
        <w:rPr>
          <w:color w:val="000000"/>
        </w:rPr>
        <w:t>Ofori, S. and Unachukwu, C. (2014). Holistic approach to prevention and management of type 2 diabetes mellitus in a family setting.</w:t>
      </w:r>
      <w:r>
        <w:rPr>
          <w:rStyle w:val="apple-converted-space"/>
          <w:rFonts w:eastAsia="Calibri Light"/>
          <w:color w:val="000000"/>
        </w:rPr>
        <w:t> </w:t>
      </w:r>
      <w:r>
        <w:rPr>
          <w:i/>
          <w:iCs/>
          <w:color w:val="000000"/>
        </w:rPr>
        <w:t>Diabetes, Metabolic Syndrome and Obesity: Targets and Therapy</w:t>
      </w:r>
      <w:r>
        <w:rPr>
          <w:color w:val="000000"/>
        </w:rPr>
        <w:t xml:space="preserve">, 7(7), p.159. </w:t>
      </w:r>
      <w:proofErr w:type="spellStart"/>
      <w:proofErr w:type="gramStart"/>
      <w:r>
        <w:rPr>
          <w:color w:val="000000"/>
        </w:rPr>
        <w:t>doi:https</w:t>
      </w:r>
      <w:proofErr w:type="spellEnd"/>
      <w:r>
        <w:rPr>
          <w:color w:val="000000"/>
        </w:rPr>
        <w:t>://doi.org/10.2147/dmso.s62320</w:t>
      </w:r>
      <w:proofErr w:type="gramEnd"/>
      <w:r w:rsidR="00D5469C">
        <w:rPr>
          <w:color w:val="000000"/>
        </w:rPr>
        <w:t xml:space="preserve"> (Accessed 4</w:t>
      </w:r>
      <w:r w:rsidR="00D5469C" w:rsidRPr="00D5469C">
        <w:rPr>
          <w:color w:val="000000"/>
          <w:vertAlign w:val="superscript"/>
        </w:rPr>
        <w:t>th</w:t>
      </w:r>
      <w:r w:rsidR="00D5469C">
        <w:rPr>
          <w:color w:val="000000"/>
        </w:rPr>
        <w:t xml:space="preserve"> Nov. 2025).</w:t>
      </w:r>
    </w:p>
    <w:p w14:paraId="5676D8B3" w14:textId="554A377C" w:rsidR="009D328D" w:rsidRPr="009D328D" w:rsidRDefault="009D328D" w:rsidP="009D328D">
      <w:pPr>
        <w:spacing w:after="240" w:line="360" w:lineRule="atLeast"/>
        <w:rPr>
          <w:color w:val="000000"/>
        </w:rPr>
      </w:pPr>
      <w:proofErr w:type="spellStart"/>
      <w:r w:rsidRPr="009D328D">
        <w:rPr>
          <w:color w:val="000000"/>
        </w:rPr>
        <w:t>Pianese</w:t>
      </w:r>
      <w:proofErr w:type="spellEnd"/>
      <w:r w:rsidRPr="009D328D">
        <w:rPr>
          <w:color w:val="000000"/>
        </w:rPr>
        <w:t xml:space="preserve">, L. and </w:t>
      </w:r>
      <w:proofErr w:type="spellStart"/>
      <w:r w:rsidRPr="009D328D">
        <w:rPr>
          <w:color w:val="000000"/>
        </w:rPr>
        <w:t>Bordoni</w:t>
      </w:r>
      <w:proofErr w:type="spellEnd"/>
      <w:r w:rsidRPr="009D328D">
        <w:rPr>
          <w:color w:val="000000"/>
        </w:rPr>
        <w:t>, B. (2025). Beyond the Biomedical Model: A Critical Review of the Approach to Chronic Pain and the Proposal of an Integrated Functional Model. </w:t>
      </w:r>
      <w:proofErr w:type="spellStart"/>
      <w:r w:rsidRPr="009D328D">
        <w:rPr>
          <w:i/>
          <w:iCs/>
          <w:color w:val="000000"/>
        </w:rPr>
        <w:t>Cureus</w:t>
      </w:r>
      <w:proofErr w:type="spellEnd"/>
      <w:r w:rsidRPr="009D328D">
        <w:rPr>
          <w:color w:val="000000"/>
        </w:rPr>
        <w:t xml:space="preserve">, 17(6), p.e85717. </w:t>
      </w:r>
      <w:proofErr w:type="spellStart"/>
      <w:proofErr w:type="gramStart"/>
      <w:r w:rsidRPr="009D328D">
        <w:rPr>
          <w:color w:val="000000"/>
        </w:rPr>
        <w:t>doi:https</w:t>
      </w:r>
      <w:proofErr w:type="spellEnd"/>
      <w:r w:rsidRPr="009D328D">
        <w:rPr>
          <w:color w:val="000000"/>
        </w:rPr>
        <w:t>://doi.org/10.7759/cureus.85717</w:t>
      </w:r>
      <w:proofErr w:type="gramEnd"/>
      <w:r w:rsidR="00D5469C">
        <w:rPr>
          <w:color w:val="000000"/>
        </w:rPr>
        <w:t xml:space="preserve"> (Accessed 12</w:t>
      </w:r>
      <w:r w:rsidR="00D5469C" w:rsidRPr="00D5469C">
        <w:rPr>
          <w:color w:val="000000"/>
          <w:vertAlign w:val="superscript"/>
        </w:rPr>
        <w:t>th</w:t>
      </w:r>
      <w:r w:rsidR="00D5469C">
        <w:rPr>
          <w:color w:val="000000"/>
        </w:rPr>
        <w:t xml:space="preserve"> Nov. 2025).</w:t>
      </w:r>
    </w:p>
    <w:p w14:paraId="7A4AC91A" w14:textId="7A5431ED" w:rsidR="001E6860" w:rsidRPr="001E6860" w:rsidRDefault="001E6860" w:rsidP="001E6860">
      <w:pPr>
        <w:spacing w:after="240" w:line="360" w:lineRule="atLeast"/>
        <w:rPr>
          <w:color w:val="000000"/>
        </w:rPr>
      </w:pPr>
      <w:proofErr w:type="spellStart"/>
      <w:r w:rsidRPr="001E6860">
        <w:rPr>
          <w:color w:val="000000"/>
        </w:rPr>
        <w:t>Purssell</w:t>
      </w:r>
      <w:proofErr w:type="spellEnd"/>
      <w:r w:rsidRPr="001E6860">
        <w:rPr>
          <w:color w:val="000000"/>
        </w:rPr>
        <w:t>, E. and Gould, D. (2021). Undertaking qualitative reviews in nursing and education - A method of thematic analysis for students and clinicians. </w:t>
      </w:r>
      <w:r w:rsidRPr="001E6860">
        <w:rPr>
          <w:i/>
          <w:iCs/>
          <w:color w:val="000000"/>
        </w:rPr>
        <w:t>International Journal of Nursing Studies Advances</w:t>
      </w:r>
      <w:r w:rsidRPr="001E6860">
        <w:rPr>
          <w:color w:val="000000"/>
        </w:rPr>
        <w:t xml:space="preserve">, 3(100036), p.100036. </w:t>
      </w:r>
      <w:proofErr w:type="spellStart"/>
      <w:proofErr w:type="gramStart"/>
      <w:r w:rsidRPr="001E6860">
        <w:rPr>
          <w:color w:val="000000"/>
        </w:rPr>
        <w:t>doi:https</w:t>
      </w:r>
      <w:proofErr w:type="spellEnd"/>
      <w:r w:rsidRPr="001E6860">
        <w:rPr>
          <w:color w:val="000000"/>
        </w:rPr>
        <w:t>://doi.org/10.1016/j.ijnsa.2021.100036</w:t>
      </w:r>
      <w:proofErr w:type="gramEnd"/>
      <w:r w:rsidRPr="001E6860">
        <w:rPr>
          <w:color w:val="000000"/>
        </w:rPr>
        <w:t>.</w:t>
      </w:r>
    </w:p>
    <w:p w14:paraId="7C88A921" w14:textId="03D21D45" w:rsidR="00C31C73" w:rsidRDefault="00C31C73" w:rsidP="008C0282">
      <w:pPr>
        <w:spacing w:after="240" w:line="360" w:lineRule="atLeast"/>
        <w:rPr>
          <w:color w:val="000000"/>
        </w:rPr>
      </w:pPr>
      <w:r w:rsidRPr="00C31C73">
        <w:rPr>
          <w:color w:val="000000"/>
        </w:rPr>
        <w:t>Raleigh, V. (2023). </w:t>
      </w:r>
      <w:r w:rsidRPr="00C31C73">
        <w:rPr>
          <w:i/>
          <w:iCs/>
          <w:color w:val="000000"/>
        </w:rPr>
        <w:t>The Health of People from Ethnic Minority Groups in England</w:t>
      </w:r>
      <w:r w:rsidRPr="00C31C73">
        <w:rPr>
          <w:color w:val="000000"/>
        </w:rPr>
        <w:t xml:space="preserve">. [online] The King’s Fund. Available at: https://www.kingsfund.org.uk/insight-and-analysis/long-reads/health-people-ethnic-minority-groups-england </w:t>
      </w:r>
      <w:r>
        <w:rPr>
          <w:color w:val="000000"/>
        </w:rPr>
        <w:t>(</w:t>
      </w:r>
      <w:r w:rsidRPr="00C31C73">
        <w:rPr>
          <w:color w:val="000000"/>
        </w:rPr>
        <w:t>Accessed 10 Feb. 2026</w:t>
      </w:r>
      <w:r>
        <w:rPr>
          <w:color w:val="000000"/>
        </w:rPr>
        <w:t>)</w:t>
      </w:r>
      <w:r w:rsidRPr="00C31C73">
        <w:rPr>
          <w:color w:val="000000"/>
        </w:rPr>
        <w:t>.</w:t>
      </w:r>
    </w:p>
    <w:p w14:paraId="2EB9A00E" w14:textId="4D88202F" w:rsidR="00AD2DFF" w:rsidRDefault="00AD2DFF" w:rsidP="00AD2DFF">
      <w:pPr>
        <w:pStyle w:val="NormalWeb"/>
        <w:spacing w:before="0" w:beforeAutospacing="0" w:after="240" w:afterAutospacing="0" w:line="360" w:lineRule="atLeast"/>
        <w:rPr>
          <w:color w:val="000000"/>
        </w:rPr>
      </w:pPr>
      <w:r>
        <w:rPr>
          <w:color w:val="000000"/>
        </w:rPr>
        <w:t xml:space="preserve">Reed, J., Bain, S. and </w:t>
      </w:r>
      <w:proofErr w:type="spellStart"/>
      <w:r>
        <w:rPr>
          <w:color w:val="000000"/>
        </w:rPr>
        <w:t>Kanamarlapudi</w:t>
      </w:r>
      <w:proofErr w:type="spellEnd"/>
      <w:r>
        <w:rPr>
          <w:color w:val="000000"/>
        </w:rPr>
        <w:t>, V. (2021). A Review of Current Trends with Type 2 Diabetes Epidemiology, Aetiology, Pathogenesis, Treatments and Future Perspectives.</w:t>
      </w:r>
      <w:r>
        <w:rPr>
          <w:rStyle w:val="apple-converted-space"/>
          <w:rFonts w:eastAsia="Calibri Light"/>
          <w:color w:val="000000"/>
        </w:rPr>
        <w:t> </w:t>
      </w:r>
      <w:r>
        <w:rPr>
          <w:i/>
          <w:iCs/>
          <w:color w:val="000000"/>
        </w:rPr>
        <w:t>Diabetes, Metabolic Syndrome and Obesity: Targets and Therapy</w:t>
      </w:r>
      <w:r>
        <w:rPr>
          <w:color w:val="000000"/>
        </w:rPr>
        <w:t xml:space="preserve">, Volume 14(1), pp.3567–3602. </w:t>
      </w:r>
      <w:proofErr w:type="spellStart"/>
      <w:proofErr w:type="gramStart"/>
      <w:r>
        <w:rPr>
          <w:color w:val="000000"/>
        </w:rPr>
        <w:t>doi:https</w:t>
      </w:r>
      <w:proofErr w:type="spellEnd"/>
      <w:r>
        <w:rPr>
          <w:color w:val="000000"/>
        </w:rPr>
        <w:t>://doi.org/10.2147/DMSO.S319895</w:t>
      </w:r>
      <w:r w:rsidR="00D5469C">
        <w:rPr>
          <w:color w:val="000000"/>
        </w:rPr>
        <w:t>(Accessed</w:t>
      </w:r>
      <w:proofErr w:type="gramEnd"/>
      <w:r w:rsidR="00D5469C">
        <w:rPr>
          <w:color w:val="000000"/>
        </w:rPr>
        <w:t xml:space="preserve"> 28</w:t>
      </w:r>
      <w:r w:rsidR="00D5469C" w:rsidRPr="00D5469C">
        <w:rPr>
          <w:color w:val="000000"/>
          <w:vertAlign w:val="superscript"/>
        </w:rPr>
        <w:t>th</w:t>
      </w:r>
      <w:r w:rsidR="00D5469C">
        <w:rPr>
          <w:color w:val="000000"/>
        </w:rPr>
        <w:t xml:space="preserve"> Dec. 2025)</w:t>
      </w:r>
    </w:p>
    <w:p w14:paraId="6C286B3B" w14:textId="54396D87" w:rsidR="00AD2DFF" w:rsidRDefault="00AD2DFF" w:rsidP="008C0282">
      <w:pPr>
        <w:spacing w:after="240" w:line="360" w:lineRule="atLeast"/>
        <w:rPr>
          <w:color w:val="000000"/>
        </w:rPr>
      </w:pPr>
      <w:proofErr w:type="spellStart"/>
      <w:r w:rsidRPr="00AD2DFF">
        <w:rPr>
          <w:color w:val="000000"/>
        </w:rPr>
        <w:t>Romieu</w:t>
      </w:r>
      <w:proofErr w:type="spellEnd"/>
      <w:r w:rsidRPr="00AD2DFF">
        <w:rPr>
          <w:color w:val="000000"/>
        </w:rPr>
        <w:t xml:space="preserve">, I., </w:t>
      </w:r>
      <w:proofErr w:type="spellStart"/>
      <w:r w:rsidRPr="00AD2DFF">
        <w:rPr>
          <w:color w:val="000000"/>
        </w:rPr>
        <w:t>Dossus</w:t>
      </w:r>
      <w:proofErr w:type="spellEnd"/>
      <w:r w:rsidRPr="00AD2DFF">
        <w:rPr>
          <w:color w:val="000000"/>
        </w:rPr>
        <w:t xml:space="preserve">, L., </w:t>
      </w:r>
      <w:proofErr w:type="spellStart"/>
      <w:r w:rsidRPr="00AD2DFF">
        <w:rPr>
          <w:color w:val="000000"/>
        </w:rPr>
        <w:t>Barquera</w:t>
      </w:r>
      <w:proofErr w:type="spellEnd"/>
      <w:r w:rsidRPr="00AD2DFF">
        <w:rPr>
          <w:color w:val="000000"/>
        </w:rPr>
        <w:t xml:space="preserve">, S., </w:t>
      </w:r>
      <w:proofErr w:type="spellStart"/>
      <w:r w:rsidRPr="00AD2DFF">
        <w:rPr>
          <w:color w:val="000000"/>
        </w:rPr>
        <w:t>Blottière</w:t>
      </w:r>
      <w:proofErr w:type="spellEnd"/>
      <w:r w:rsidRPr="00AD2DFF">
        <w:rPr>
          <w:color w:val="000000"/>
        </w:rPr>
        <w:t xml:space="preserve">, H.M., Franks, P.W., Gunter, M., </w:t>
      </w:r>
      <w:proofErr w:type="spellStart"/>
      <w:r w:rsidRPr="00AD2DFF">
        <w:rPr>
          <w:color w:val="000000"/>
        </w:rPr>
        <w:t>Hwalla</w:t>
      </w:r>
      <w:proofErr w:type="spellEnd"/>
      <w:r w:rsidRPr="00AD2DFF">
        <w:rPr>
          <w:color w:val="000000"/>
        </w:rPr>
        <w:t xml:space="preserve">, N., </w:t>
      </w:r>
      <w:proofErr w:type="spellStart"/>
      <w:r w:rsidRPr="00AD2DFF">
        <w:rPr>
          <w:color w:val="000000"/>
        </w:rPr>
        <w:t>Hursting</w:t>
      </w:r>
      <w:proofErr w:type="spellEnd"/>
      <w:r w:rsidRPr="00AD2DFF">
        <w:rPr>
          <w:color w:val="000000"/>
        </w:rPr>
        <w:t xml:space="preserve">, S.D., </w:t>
      </w:r>
      <w:proofErr w:type="spellStart"/>
      <w:r w:rsidRPr="00AD2DFF">
        <w:rPr>
          <w:color w:val="000000"/>
        </w:rPr>
        <w:t>Leitzmann</w:t>
      </w:r>
      <w:proofErr w:type="spellEnd"/>
      <w:r w:rsidRPr="00AD2DFF">
        <w:rPr>
          <w:color w:val="000000"/>
        </w:rPr>
        <w:t xml:space="preserve">, M., Margetts, B., Nishida, C., </w:t>
      </w:r>
      <w:proofErr w:type="spellStart"/>
      <w:r w:rsidRPr="00AD2DFF">
        <w:rPr>
          <w:color w:val="000000"/>
        </w:rPr>
        <w:t>Potischman</w:t>
      </w:r>
      <w:proofErr w:type="spellEnd"/>
      <w:r w:rsidRPr="00AD2DFF">
        <w:rPr>
          <w:color w:val="000000"/>
        </w:rPr>
        <w:t xml:space="preserve">, N., </w:t>
      </w:r>
      <w:proofErr w:type="spellStart"/>
      <w:r w:rsidRPr="00AD2DFF">
        <w:rPr>
          <w:color w:val="000000"/>
        </w:rPr>
        <w:t>Seidell</w:t>
      </w:r>
      <w:proofErr w:type="spellEnd"/>
      <w:r w:rsidRPr="00AD2DFF">
        <w:rPr>
          <w:color w:val="000000"/>
        </w:rPr>
        <w:t xml:space="preserve">, J., </w:t>
      </w:r>
      <w:proofErr w:type="spellStart"/>
      <w:r w:rsidRPr="00AD2DFF">
        <w:rPr>
          <w:color w:val="000000"/>
        </w:rPr>
        <w:t>Stepien</w:t>
      </w:r>
      <w:proofErr w:type="spellEnd"/>
      <w:r w:rsidRPr="00AD2DFF">
        <w:rPr>
          <w:color w:val="000000"/>
        </w:rPr>
        <w:t xml:space="preserve">, M., Wang, Y., </w:t>
      </w:r>
      <w:proofErr w:type="spellStart"/>
      <w:r w:rsidRPr="00AD2DFF">
        <w:rPr>
          <w:color w:val="000000"/>
        </w:rPr>
        <w:t>Westerterp</w:t>
      </w:r>
      <w:proofErr w:type="spellEnd"/>
      <w:r w:rsidRPr="00AD2DFF">
        <w:rPr>
          <w:color w:val="000000"/>
        </w:rPr>
        <w:t xml:space="preserve">, K., </w:t>
      </w:r>
      <w:proofErr w:type="spellStart"/>
      <w:r w:rsidRPr="00AD2DFF">
        <w:rPr>
          <w:color w:val="000000"/>
        </w:rPr>
        <w:t>Winichagoon</w:t>
      </w:r>
      <w:proofErr w:type="spellEnd"/>
      <w:r w:rsidRPr="00AD2DFF">
        <w:rPr>
          <w:color w:val="000000"/>
        </w:rPr>
        <w:t>, P., Wiseman, M. and Willett, W.C. (2017). Energy balance and obesity: what are the main drivers? </w:t>
      </w:r>
      <w:r w:rsidRPr="00AD2DFF">
        <w:rPr>
          <w:i/>
          <w:iCs/>
          <w:color w:val="000000"/>
        </w:rPr>
        <w:t>Cancer Causes &amp; Control</w:t>
      </w:r>
      <w:r w:rsidRPr="00AD2DFF">
        <w:rPr>
          <w:color w:val="000000"/>
        </w:rPr>
        <w:t xml:space="preserve">, 28(3), pp.247–258. </w:t>
      </w:r>
      <w:proofErr w:type="spellStart"/>
      <w:proofErr w:type="gramStart"/>
      <w:r w:rsidRPr="00AD2DFF">
        <w:rPr>
          <w:color w:val="000000"/>
        </w:rPr>
        <w:t>doi:https</w:t>
      </w:r>
      <w:proofErr w:type="spellEnd"/>
      <w:r w:rsidRPr="00AD2DFF">
        <w:rPr>
          <w:color w:val="000000"/>
        </w:rPr>
        <w:t>://doi.org/10.1007/s10552-017-0869-z</w:t>
      </w:r>
      <w:r w:rsidR="00D5469C">
        <w:rPr>
          <w:color w:val="000000"/>
        </w:rPr>
        <w:t>(Accessed</w:t>
      </w:r>
      <w:proofErr w:type="gramEnd"/>
      <w:r w:rsidR="00D5469C">
        <w:rPr>
          <w:color w:val="000000"/>
        </w:rPr>
        <w:t xml:space="preserve"> 10</w:t>
      </w:r>
      <w:r w:rsidR="00D5469C" w:rsidRPr="00D5469C">
        <w:rPr>
          <w:color w:val="000000"/>
          <w:vertAlign w:val="superscript"/>
        </w:rPr>
        <w:t>th</w:t>
      </w:r>
      <w:r w:rsidR="00D5469C">
        <w:rPr>
          <w:color w:val="000000"/>
        </w:rPr>
        <w:t xml:space="preserve"> Feb. 2026).</w:t>
      </w:r>
    </w:p>
    <w:p w14:paraId="4FBC82EA" w14:textId="59D9C0D2" w:rsidR="008C0282" w:rsidRDefault="008C0282" w:rsidP="008C0282">
      <w:pPr>
        <w:spacing w:after="240" w:line="360" w:lineRule="atLeast"/>
        <w:rPr>
          <w:color w:val="000000"/>
        </w:rPr>
      </w:pPr>
      <w:r w:rsidRPr="008C0282">
        <w:rPr>
          <w:color w:val="000000"/>
        </w:rPr>
        <w:t>Sattar, N. (2019). Advances in the clinical management of type 2 diabetes: a brief history of the past 15 years and challenges for the future. </w:t>
      </w:r>
      <w:r w:rsidRPr="008C0282">
        <w:rPr>
          <w:i/>
          <w:iCs/>
          <w:color w:val="000000"/>
        </w:rPr>
        <w:t>BMC Medicine</w:t>
      </w:r>
      <w:r w:rsidRPr="008C0282">
        <w:rPr>
          <w:color w:val="000000"/>
        </w:rPr>
        <w:t xml:space="preserve">, 17(1). </w:t>
      </w:r>
      <w:proofErr w:type="spellStart"/>
      <w:proofErr w:type="gramStart"/>
      <w:r w:rsidRPr="008C0282">
        <w:rPr>
          <w:color w:val="000000"/>
        </w:rPr>
        <w:t>doi:https</w:t>
      </w:r>
      <w:proofErr w:type="spellEnd"/>
      <w:r w:rsidRPr="008C0282">
        <w:rPr>
          <w:color w:val="000000"/>
        </w:rPr>
        <w:t>://doi.org/10.1186/s12916-019-1281-1</w:t>
      </w:r>
      <w:r w:rsidR="00D5469C">
        <w:rPr>
          <w:color w:val="000000"/>
        </w:rPr>
        <w:t>(Accessed</w:t>
      </w:r>
      <w:proofErr w:type="gramEnd"/>
      <w:r w:rsidR="00D5469C">
        <w:rPr>
          <w:color w:val="000000"/>
        </w:rPr>
        <w:t xml:space="preserve"> 13</w:t>
      </w:r>
      <w:r w:rsidR="00D5469C" w:rsidRPr="00D5469C">
        <w:rPr>
          <w:color w:val="000000"/>
          <w:vertAlign w:val="superscript"/>
        </w:rPr>
        <w:t>th</w:t>
      </w:r>
      <w:r w:rsidR="00D5469C">
        <w:rPr>
          <w:color w:val="000000"/>
        </w:rPr>
        <w:t xml:space="preserve"> Mar. 2026).</w:t>
      </w:r>
    </w:p>
    <w:p w14:paraId="5157D7D5" w14:textId="6633E3B1" w:rsidR="00600F43" w:rsidRDefault="00600F43" w:rsidP="008C0282">
      <w:pPr>
        <w:spacing w:after="240" w:line="360" w:lineRule="atLeast"/>
        <w:rPr>
          <w:color w:val="000000"/>
        </w:rPr>
      </w:pPr>
      <w:r w:rsidRPr="00600F43">
        <w:rPr>
          <w:color w:val="000000"/>
        </w:rPr>
        <w:lastRenderedPageBreak/>
        <w:t xml:space="preserve">Smith, J.R., Greaves, C.J., Thompson, J.L., Taylor, R.S., Jones, M., Armstrong, R., </w:t>
      </w:r>
      <w:proofErr w:type="spellStart"/>
      <w:r w:rsidRPr="00600F43">
        <w:rPr>
          <w:color w:val="000000"/>
        </w:rPr>
        <w:t>Moorlock</w:t>
      </w:r>
      <w:proofErr w:type="spellEnd"/>
      <w:r w:rsidRPr="00600F43">
        <w:rPr>
          <w:color w:val="000000"/>
        </w:rPr>
        <w:t>, S., Griffin, A., Solomon-Moore, E., Biddle, M.S.Y., Price, L. and Abraham, C. (2019). The community-based prevention of diabetes (</w:t>
      </w:r>
      <w:proofErr w:type="spellStart"/>
      <w:r w:rsidRPr="00600F43">
        <w:rPr>
          <w:color w:val="000000"/>
        </w:rPr>
        <w:t>ComPoD</w:t>
      </w:r>
      <w:proofErr w:type="spellEnd"/>
      <w:r w:rsidRPr="00600F43">
        <w:rPr>
          <w:color w:val="000000"/>
        </w:rPr>
        <w:t xml:space="preserve">) study: a randomised, waiting </w:t>
      </w:r>
      <w:proofErr w:type="gramStart"/>
      <w:r w:rsidRPr="00600F43">
        <w:rPr>
          <w:color w:val="000000"/>
        </w:rPr>
        <w:t>list controlled</w:t>
      </w:r>
      <w:proofErr w:type="gramEnd"/>
      <w:r w:rsidRPr="00600F43">
        <w:rPr>
          <w:color w:val="000000"/>
        </w:rPr>
        <w:t xml:space="preserve"> trial of a voluntary sector-led diabetes prevention programme. </w:t>
      </w:r>
      <w:r w:rsidRPr="00600F43">
        <w:rPr>
          <w:i/>
          <w:iCs/>
          <w:color w:val="000000"/>
        </w:rPr>
        <w:t xml:space="preserve">International Journal of </w:t>
      </w:r>
      <w:proofErr w:type="spellStart"/>
      <w:r w:rsidRPr="00600F43">
        <w:rPr>
          <w:i/>
          <w:iCs/>
          <w:color w:val="000000"/>
        </w:rPr>
        <w:t>Behavioral</w:t>
      </w:r>
      <w:proofErr w:type="spellEnd"/>
      <w:r w:rsidRPr="00600F43">
        <w:rPr>
          <w:i/>
          <w:iCs/>
          <w:color w:val="000000"/>
        </w:rPr>
        <w:t xml:space="preserve"> Nutrition and Physical Activity</w:t>
      </w:r>
      <w:r w:rsidRPr="00600F43">
        <w:rPr>
          <w:color w:val="000000"/>
        </w:rPr>
        <w:t xml:space="preserve">, 16(1). </w:t>
      </w:r>
      <w:proofErr w:type="spellStart"/>
      <w:proofErr w:type="gramStart"/>
      <w:r w:rsidRPr="00600F43">
        <w:rPr>
          <w:color w:val="000000"/>
        </w:rPr>
        <w:t>doi:https</w:t>
      </w:r>
      <w:proofErr w:type="spellEnd"/>
      <w:r w:rsidRPr="00600F43">
        <w:rPr>
          <w:color w:val="000000"/>
        </w:rPr>
        <w:t>://doi.org/10.1186/s12966-019-0877-3</w:t>
      </w:r>
      <w:r w:rsidR="00D5469C">
        <w:rPr>
          <w:color w:val="000000"/>
        </w:rPr>
        <w:t>(Accessed</w:t>
      </w:r>
      <w:proofErr w:type="gramEnd"/>
      <w:r w:rsidR="00D5469C">
        <w:rPr>
          <w:color w:val="000000"/>
        </w:rPr>
        <w:t xml:space="preserve"> 10</w:t>
      </w:r>
      <w:r w:rsidR="00D5469C" w:rsidRPr="00D5469C">
        <w:rPr>
          <w:color w:val="000000"/>
          <w:vertAlign w:val="superscript"/>
        </w:rPr>
        <w:t>th</w:t>
      </w:r>
      <w:r w:rsidR="00D5469C">
        <w:rPr>
          <w:color w:val="000000"/>
        </w:rPr>
        <w:t xml:space="preserve"> Jan. 2026).</w:t>
      </w:r>
    </w:p>
    <w:p w14:paraId="0C03AB25" w14:textId="3C302D9F" w:rsidR="005C2AEC" w:rsidRPr="005C2AEC" w:rsidRDefault="005C2AEC" w:rsidP="005C2AEC">
      <w:pPr>
        <w:spacing w:after="240" w:line="360" w:lineRule="atLeast"/>
        <w:rPr>
          <w:color w:val="000000"/>
        </w:rPr>
      </w:pPr>
      <w:r w:rsidRPr="005C2AEC">
        <w:rPr>
          <w:color w:val="000000"/>
        </w:rPr>
        <w:t>Sugandh, F.N.U., Chandio, M., Raveena, F.N.U., Kumar, L., Karishma, F.N.U., Khuwaja, S., Memon, U.A., Bai, K., Kashif, M., Varrassi, G., Khatri, M., Kumar, S., Sugandh, F., Chandio, M., Raveena, F.N.U., Kumar, L., Karishma, F.N.U., Khuwaja, S., Memon, U.A. and Bai, K. (2023). Advances in the management of diabetes mellitus: A focus on personalized medicine. </w:t>
      </w:r>
      <w:r w:rsidRPr="005C2AEC">
        <w:rPr>
          <w:i/>
          <w:iCs/>
          <w:color w:val="000000"/>
        </w:rPr>
        <w:t>Cureus</w:t>
      </w:r>
      <w:r w:rsidRPr="005C2AEC">
        <w:rPr>
          <w:color w:val="000000"/>
        </w:rPr>
        <w:t xml:space="preserve">, 15(8), pp.1–13. </w:t>
      </w:r>
      <w:proofErr w:type="spellStart"/>
      <w:proofErr w:type="gramStart"/>
      <w:r w:rsidRPr="005C2AEC">
        <w:rPr>
          <w:color w:val="000000"/>
        </w:rPr>
        <w:t>doi:https</w:t>
      </w:r>
      <w:proofErr w:type="spellEnd"/>
      <w:r w:rsidRPr="005C2AEC">
        <w:rPr>
          <w:color w:val="000000"/>
        </w:rPr>
        <w:t>://doi.org/10.7759/cureus.43697</w:t>
      </w:r>
      <w:r w:rsidR="00D5469C">
        <w:rPr>
          <w:color w:val="000000"/>
        </w:rPr>
        <w:t>(Accessed</w:t>
      </w:r>
      <w:proofErr w:type="gramEnd"/>
      <w:r w:rsidR="00D5469C">
        <w:rPr>
          <w:color w:val="000000"/>
        </w:rPr>
        <w:t xml:space="preserve"> 14</w:t>
      </w:r>
      <w:r w:rsidR="00D5469C" w:rsidRPr="00D5469C">
        <w:rPr>
          <w:color w:val="000000"/>
          <w:vertAlign w:val="superscript"/>
        </w:rPr>
        <w:t>th</w:t>
      </w:r>
      <w:r w:rsidR="00D5469C">
        <w:rPr>
          <w:color w:val="000000"/>
        </w:rPr>
        <w:t xml:space="preserve"> Feb.2026).</w:t>
      </w:r>
    </w:p>
    <w:p w14:paraId="04BCAF98" w14:textId="5F5DFBA6" w:rsidR="00317206" w:rsidRDefault="00317206" w:rsidP="00E56415">
      <w:pPr>
        <w:spacing w:after="240" w:line="360" w:lineRule="atLeast"/>
        <w:rPr>
          <w:color w:val="000000"/>
        </w:rPr>
      </w:pPr>
      <w:proofErr w:type="spellStart"/>
      <w:r w:rsidRPr="00317206">
        <w:rPr>
          <w:color w:val="000000"/>
        </w:rPr>
        <w:t>Syeda</w:t>
      </w:r>
      <w:proofErr w:type="spellEnd"/>
      <w:r w:rsidRPr="00317206">
        <w:rPr>
          <w:color w:val="000000"/>
        </w:rPr>
        <w:t xml:space="preserve">, A., </w:t>
      </w:r>
      <w:proofErr w:type="spellStart"/>
      <w:r w:rsidRPr="00317206">
        <w:rPr>
          <w:color w:val="000000"/>
        </w:rPr>
        <w:t>Battillo</w:t>
      </w:r>
      <w:proofErr w:type="spellEnd"/>
      <w:r w:rsidRPr="00317206">
        <w:rPr>
          <w:color w:val="000000"/>
        </w:rPr>
        <w:t xml:space="preserve">, D., </w:t>
      </w:r>
      <w:proofErr w:type="spellStart"/>
      <w:r w:rsidRPr="00317206">
        <w:rPr>
          <w:color w:val="000000"/>
        </w:rPr>
        <w:t>Visaria</w:t>
      </w:r>
      <w:proofErr w:type="spellEnd"/>
      <w:r w:rsidRPr="00317206">
        <w:rPr>
          <w:color w:val="000000"/>
        </w:rPr>
        <w:t xml:space="preserve">, A. and </w:t>
      </w:r>
      <w:proofErr w:type="spellStart"/>
      <w:r w:rsidRPr="00317206">
        <w:rPr>
          <w:color w:val="000000"/>
        </w:rPr>
        <w:t>Malin</w:t>
      </w:r>
      <w:proofErr w:type="spellEnd"/>
      <w:r w:rsidRPr="00317206">
        <w:rPr>
          <w:color w:val="000000"/>
        </w:rPr>
        <w:t xml:space="preserve">, S.K. (2023). The Importance of Exercise for </w:t>
      </w:r>
      <w:proofErr w:type="spellStart"/>
      <w:r w:rsidRPr="00317206">
        <w:rPr>
          <w:color w:val="000000"/>
        </w:rPr>
        <w:t>Glycemic</w:t>
      </w:r>
      <w:proofErr w:type="spellEnd"/>
      <w:r w:rsidRPr="00317206">
        <w:rPr>
          <w:color w:val="000000"/>
        </w:rPr>
        <w:t xml:space="preserve"> Control in Type 2 Diabetes. </w:t>
      </w:r>
      <w:r w:rsidRPr="00317206">
        <w:rPr>
          <w:i/>
          <w:iCs/>
          <w:color w:val="000000"/>
        </w:rPr>
        <w:t>American Journal of Medicine Open</w:t>
      </w:r>
      <w:r w:rsidRPr="00317206">
        <w:rPr>
          <w:color w:val="000000"/>
        </w:rPr>
        <w:t xml:space="preserve">, 9(9), p.100031. </w:t>
      </w:r>
      <w:proofErr w:type="spellStart"/>
      <w:proofErr w:type="gramStart"/>
      <w:r w:rsidRPr="00317206">
        <w:rPr>
          <w:color w:val="000000"/>
        </w:rPr>
        <w:t>doi:https</w:t>
      </w:r>
      <w:proofErr w:type="spellEnd"/>
      <w:r w:rsidRPr="00317206">
        <w:rPr>
          <w:color w:val="000000"/>
        </w:rPr>
        <w:t>://doi.org/10.1016/j.ajmo.2023.100031</w:t>
      </w:r>
      <w:r w:rsidR="00D5469C">
        <w:rPr>
          <w:color w:val="000000"/>
        </w:rPr>
        <w:t>(Accessed</w:t>
      </w:r>
      <w:proofErr w:type="gramEnd"/>
      <w:r w:rsidR="00D5469C">
        <w:rPr>
          <w:color w:val="000000"/>
        </w:rPr>
        <w:t xml:space="preserve"> 19</w:t>
      </w:r>
      <w:r w:rsidR="00D5469C" w:rsidRPr="00D5469C">
        <w:rPr>
          <w:color w:val="000000"/>
          <w:vertAlign w:val="superscript"/>
        </w:rPr>
        <w:t>th</w:t>
      </w:r>
      <w:r w:rsidR="00D5469C">
        <w:rPr>
          <w:color w:val="000000"/>
        </w:rPr>
        <w:t xml:space="preserve"> Nov. 2025).</w:t>
      </w:r>
    </w:p>
    <w:p w14:paraId="7D2C1E72" w14:textId="65E3BF6A" w:rsidR="00E56415" w:rsidRPr="00E56415" w:rsidRDefault="00E56415" w:rsidP="00E56415">
      <w:pPr>
        <w:spacing w:after="240" w:line="360" w:lineRule="atLeast"/>
        <w:rPr>
          <w:color w:val="000000"/>
        </w:rPr>
      </w:pPr>
      <w:r w:rsidRPr="00E56415">
        <w:rPr>
          <w:color w:val="000000"/>
        </w:rPr>
        <w:t>Thomas, J. and Harden, A. (2008). Methods for the Thematic Synthesis of Qualitative Research in Systematic Reviews. </w:t>
      </w:r>
      <w:r w:rsidRPr="00E56415">
        <w:rPr>
          <w:i/>
          <w:iCs/>
          <w:color w:val="000000"/>
        </w:rPr>
        <w:t>BMC Medical Research Methodology</w:t>
      </w:r>
      <w:r w:rsidRPr="00E56415">
        <w:rPr>
          <w:color w:val="000000"/>
        </w:rPr>
        <w:t xml:space="preserve">, 8(1), pp.1–10. </w:t>
      </w:r>
      <w:proofErr w:type="spellStart"/>
      <w:proofErr w:type="gramStart"/>
      <w:r w:rsidRPr="00E56415">
        <w:rPr>
          <w:color w:val="000000"/>
        </w:rPr>
        <w:t>doi:https</w:t>
      </w:r>
      <w:proofErr w:type="spellEnd"/>
      <w:r w:rsidRPr="00E56415">
        <w:rPr>
          <w:color w:val="000000"/>
        </w:rPr>
        <w:t>://doi.org/10.1186/1471-2288-8-45</w:t>
      </w:r>
      <w:proofErr w:type="gramEnd"/>
      <w:r w:rsidR="00D5469C">
        <w:rPr>
          <w:color w:val="000000"/>
        </w:rPr>
        <w:t xml:space="preserve"> (Accessed 17</w:t>
      </w:r>
      <w:r w:rsidR="00D5469C" w:rsidRPr="00D5469C">
        <w:rPr>
          <w:color w:val="000000"/>
          <w:vertAlign w:val="superscript"/>
        </w:rPr>
        <w:t>th</w:t>
      </w:r>
      <w:r w:rsidR="00D5469C">
        <w:rPr>
          <w:color w:val="000000"/>
        </w:rPr>
        <w:t xml:space="preserve"> Dec. 2025).</w:t>
      </w:r>
    </w:p>
    <w:p w14:paraId="78DAF85F" w14:textId="66FED44F" w:rsidR="005D6EEC" w:rsidRDefault="005D6EEC" w:rsidP="005D6EEC">
      <w:pPr>
        <w:pStyle w:val="NormalWeb"/>
        <w:spacing w:before="0" w:beforeAutospacing="0" w:after="240" w:afterAutospacing="0" w:line="360" w:lineRule="atLeast"/>
        <w:rPr>
          <w:color w:val="000000"/>
        </w:rPr>
      </w:pPr>
      <w:proofErr w:type="spellStart"/>
      <w:r>
        <w:rPr>
          <w:color w:val="000000"/>
        </w:rPr>
        <w:t>Tulchinsky</w:t>
      </w:r>
      <w:proofErr w:type="spellEnd"/>
      <w:r>
        <w:rPr>
          <w:color w:val="000000"/>
        </w:rPr>
        <w:t xml:space="preserve">, T.H. and </w:t>
      </w:r>
      <w:proofErr w:type="spellStart"/>
      <w:r>
        <w:rPr>
          <w:color w:val="000000"/>
        </w:rPr>
        <w:t>Varavikova</w:t>
      </w:r>
      <w:proofErr w:type="spellEnd"/>
      <w:r>
        <w:rPr>
          <w:color w:val="000000"/>
        </w:rPr>
        <w:t>, E.A. (2014). Measuring, Monitoring, and Evaluating the Health of a Population.</w:t>
      </w:r>
      <w:r>
        <w:rPr>
          <w:rStyle w:val="apple-converted-space"/>
          <w:rFonts w:eastAsia="Calibri Light"/>
          <w:color w:val="000000"/>
        </w:rPr>
        <w:t> </w:t>
      </w:r>
      <w:r>
        <w:rPr>
          <w:i/>
          <w:iCs/>
          <w:color w:val="000000"/>
        </w:rPr>
        <w:t>The New Public Health</w:t>
      </w:r>
      <w:r>
        <w:rPr>
          <w:color w:val="000000"/>
        </w:rPr>
        <w:t xml:space="preserve">, pp.91–147. </w:t>
      </w:r>
      <w:proofErr w:type="spellStart"/>
      <w:proofErr w:type="gramStart"/>
      <w:r>
        <w:rPr>
          <w:color w:val="000000"/>
        </w:rPr>
        <w:t>doi:https</w:t>
      </w:r>
      <w:proofErr w:type="spellEnd"/>
      <w:r>
        <w:rPr>
          <w:color w:val="000000"/>
        </w:rPr>
        <w:t>://doi.org/10.1016/b978-0-12-415766-8.00003-3</w:t>
      </w:r>
      <w:r w:rsidR="00D5469C">
        <w:rPr>
          <w:color w:val="000000"/>
        </w:rPr>
        <w:t>(Accessed</w:t>
      </w:r>
      <w:proofErr w:type="gramEnd"/>
      <w:r w:rsidR="00D5469C">
        <w:rPr>
          <w:color w:val="000000"/>
        </w:rPr>
        <w:t xml:space="preserve"> 20</w:t>
      </w:r>
      <w:r w:rsidR="00D5469C" w:rsidRPr="00D5469C">
        <w:rPr>
          <w:color w:val="000000"/>
          <w:vertAlign w:val="superscript"/>
        </w:rPr>
        <w:t>th</w:t>
      </w:r>
      <w:r w:rsidR="00D5469C">
        <w:rPr>
          <w:color w:val="000000"/>
        </w:rPr>
        <w:t xml:space="preserve"> Feb. 2026).</w:t>
      </w:r>
    </w:p>
    <w:p w14:paraId="32CA3EF3" w14:textId="022FF591" w:rsidR="005D1C0F" w:rsidRDefault="005D1C0F" w:rsidP="005D1C0F">
      <w:pPr>
        <w:pStyle w:val="NormalWeb"/>
        <w:spacing w:before="0" w:beforeAutospacing="0" w:after="240" w:afterAutospacing="0" w:line="360" w:lineRule="atLeast"/>
        <w:rPr>
          <w:color w:val="000000"/>
        </w:rPr>
      </w:pPr>
      <w:r>
        <w:rPr>
          <w:color w:val="000000"/>
        </w:rPr>
        <w:t>Vecchio, I., Tornali, C., Bragazzi, N.L. and Martini, M. (2018). The Discovery of Insulin: an Important Milestone in the History of Medicine.</w:t>
      </w:r>
      <w:r>
        <w:rPr>
          <w:rStyle w:val="apple-converted-space"/>
          <w:rFonts w:eastAsia="Calibri Light"/>
          <w:color w:val="000000"/>
        </w:rPr>
        <w:t> </w:t>
      </w:r>
      <w:r>
        <w:rPr>
          <w:i/>
          <w:iCs/>
          <w:color w:val="000000"/>
        </w:rPr>
        <w:t>Frontiers in Endocrinology</w:t>
      </w:r>
      <w:r>
        <w:rPr>
          <w:color w:val="000000"/>
        </w:rPr>
        <w:t xml:space="preserve">, 9(613). </w:t>
      </w:r>
      <w:proofErr w:type="spellStart"/>
      <w:proofErr w:type="gramStart"/>
      <w:r>
        <w:rPr>
          <w:color w:val="000000"/>
        </w:rPr>
        <w:t>doi:https</w:t>
      </w:r>
      <w:proofErr w:type="spellEnd"/>
      <w:r>
        <w:rPr>
          <w:color w:val="000000"/>
        </w:rPr>
        <w:t>://doi.org/10.3389/fendo.2018.00613</w:t>
      </w:r>
      <w:r w:rsidR="00D5469C">
        <w:rPr>
          <w:color w:val="000000"/>
        </w:rPr>
        <w:t>(Accessed</w:t>
      </w:r>
      <w:proofErr w:type="gramEnd"/>
      <w:r w:rsidR="00D5469C">
        <w:rPr>
          <w:color w:val="000000"/>
        </w:rPr>
        <w:t xml:space="preserve"> 18</w:t>
      </w:r>
      <w:r w:rsidR="00D5469C" w:rsidRPr="00D5469C">
        <w:rPr>
          <w:color w:val="000000"/>
          <w:vertAlign w:val="superscript"/>
        </w:rPr>
        <w:t>th</w:t>
      </w:r>
      <w:r w:rsidR="00D5469C">
        <w:rPr>
          <w:color w:val="000000"/>
        </w:rPr>
        <w:t xml:space="preserve"> Feb. 2026).</w:t>
      </w:r>
    </w:p>
    <w:p w14:paraId="5369D7F9" w14:textId="3A00D8F1" w:rsidR="00D56324" w:rsidRDefault="00D56324" w:rsidP="00D56324">
      <w:pPr>
        <w:spacing w:after="240" w:line="360" w:lineRule="atLeast"/>
        <w:rPr>
          <w:color w:val="000000"/>
        </w:rPr>
      </w:pPr>
      <w:r w:rsidRPr="00D56324">
        <w:rPr>
          <w:color w:val="000000"/>
        </w:rPr>
        <w:t>Wade, D.T. and Halligan, P.W. (2004). Do Biomedical Models of Illness Make for Good Healthcare systems? </w:t>
      </w:r>
      <w:r w:rsidRPr="00D56324">
        <w:rPr>
          <w:i/>
          <w:iCs/>
          <w:color w:val="000000"/>
        </w:rPr>
        <w:t>BMJ</w:t>
      </w:r>
      <w:r w:rsidRPr="00D56324">
        <w:rPr>
          <w:color w:val="000000"/>
        </w:rPr>
        <w:t xml:space="preserve">, 329(7479), pp.1398–1401. </w:t>
      </w:r>
      <w:proofErr w:type="spellStart"/>
      <w:proofErr w:type="gramStart"/>
      <w:r w:rsidRPr="00D56324">
        <w:rPr>
          <w:color w:val="000000"/>
        </w:rPr>
        <w:t>doi:https</w:t>
      </w:r>
      <w:proofErr w:type="spellEnd"/>
      <w:r w:rsidRPr="00D56324">
        <w:rPr>
          <w:color w:val="000000"/>
        </w:rPr>
        <w:t>://doi.org/10.1136/bmj.329.7479.1398</w:t>
      </w:r>
      <w:r w:rsidR="00D5469C">
        <w:rPr>
          <w:color w:val="000000"/>
        </w:rPr>
        <w:t>(Accessed</w:t>
      </w:r>
      <w:proofErr w:type="gramEnd"/>
      <w:r w:rsidR="00D5469C">
        <w:rPr>
          <w:color w:val="000000"/>
        </w:rPr>
        <w:t xml:space="preserve"> 27</w:t>
      </w:r>
      <w:r w:rsidR="00D5469C" w:rsidRPr="00D5469C">
        <w:rPr>
          <w:color w:val="000000"/>
          <w:vertAlign w:val="superscript"/>
        </w:rPr>
        <w:t>th</w:t>
      </w:r>
      <w:r w:rsidR="00D5469C">
        <w:rPr>
          <w:color w:val="000000"/>
        </w:rPr>
        <w:t xml:space="preserve"> Nov. 2025).</w:t>
      </w:r>
    </w:p>
    <w:p w14:paraId="59B047F5" w14:textId="590CDB73" w:rsidR="00B92E00" w:rsidRDefault="00B92E00" w:rsidP="00D56324">
      <w:pPr>
        <w:spacing w:after="240" w:line="360" w:lineRule="atLeast"/>
        <w:rPr>
          <w:color w:val="000000"/>
        </w:rPr>
      </w:pPr>
      <w:r w:rsidRPr="00B92E00">
        <w:rPr>
          <w:color w:val="000000"/>
        </w:rPr>
        <w:t xml:space="preserve">Watkinson, R., McManus, E., </w:t>
      </w:r>
      <w:proofErr w:type="spellStart"/>
      <w:r w:rsidRPr="00B92E00">
        <w:rPr>
          <w:color w:val="000000"/>
        </w:rPr>
        <w:t>Meacock</w:t>
      </w:r>
      <w:proofErr w:type="spellEnd"/>
      <w:r w:rsidRPr="00B92E00">
        <w:rPr>
          <w:color w:val="000000"/>
        </w:rPr>
        <w:t>, R. and Sutton, M. (2024). Age- and deprivation-related inequalities in identification of people at high risk of type 2 diabetes in England. </w:t>
      </w:r>
      <w:r w:rsidRPr="00B92E00">
        <w:rPr>
          <w:i/>
          <w:iCs/>
          <w:color w:val="000000"/>
        </w:rPr>
        <w:t>BMC Public Health</w:t>
      </w:r>
      <w:r w:rsidRPr="00B92E00">
        <w:rPr>
          <w:color w:val="000000"/>
        </w:rPr>
        <w:t xml:space="preserve">, 24(1). </w:t>
      </w:r>
      <w:proofErr w:type="spellStart"/>
      <w:proofErr w:type="gramStart"/>
      <w:r w:rsidRPr="00B92E00">
        <w:rPr>
          <w:color w:val="000000"/>
        </w:rPr>
        <w:t>doi:https</w:t>
      </w:r>
      <w:proofErr w:type="spellEnd"/>
      <w:r w:rsidRPr="00B92E00">
        <w:rPr>
          <w:color w:val="000000"/>
        </w:rPr>
        <w:t>://doi.org/10.1186/s12889-024-19571-x</w:t>
      </w:r>
      <w:proofErr w:type="gramEnd"/>
      <w:r w:rsidR="00D5469C">
        <w:rPr>
          <w:color w:val="000000"/>
        </w:rPr>
        <w:t xml:space="preserve"> (Accessed28th Dec. 2025).</w:t>
      </w:r>
    </w:p>
    <w:p w14:paraId="34BDB02D" w14:textId="73AAF126" w:rsidR="00040AAE" w:rsidRDefault="00040AAE" w:rsidP="00D56324">
      <w:pPr>
        <w:spacing w:after="240" w:line="360" w:lineRule="atLeast"/>
        <w:rPr>
          <w:color w:val="000000"/>
        </w:rPr>
      </w:pPr>
      <w:proofErr w:type="spellStart"/>
      <w:r w:rsidRPr="00040AAE">
        <w:rPr>
          <w:color w:val="000000"/>
        </w:rPr>
        <w:t>Wilderink</w:t>
      </w:r>
      <w:proofErr w:type="spellEnd"/>
      <w:r w:rsidRPr="00040AAE">
        <w:rPr>
          <w:color w:val="000000"/>
        </w:rPr>
        <w:t xml:space="preserve">, L., Bakker, I., </w:t>
      </w:r>
      <w:proofErr w:type="spellStart"/>
      <w:r w:rsidRPr="00040AAE">
        <w:rPr>
          <w:color w:val="000000"/>
        </w:rPr>
        <w:t>Schuit</w:t>
      </w:r>
      <w:proofErr w:type="spellEnd"/>
      <w:r w:rsidRPr="00040AAE">
        <w:rPr>
          <w:color w:val="000000"/>
        </w:rPr>
        <w:t xml:space="preserve">, A.J., </w:t>
      </w:r>
      <w:proofErr w:type="spellStart"/>
      <w:r w:rsidRPr="00040AAE">
        <w:rPr>
          <w:color w:val="000000"/>
        </w:rPr>
        <w:t>Seidell</w:t>
      </w:r>
      <w:proofErr w:type="spellEnd"/>
      <w:r w:rsidRPr="00040AAE">
        <w:rPr>
          <w:color w:val="000000"/>
        </w:rPr>
        <w:t xml:space="preserve">, J.C., Pop, I.A. and Renders, C.M. (2022). A Theoretical Perspective on Why Socioeconomic Health Inequalities Are Persistent: Building </w:t>
      </w:r>
      <w:r w:rsidRPr="00040AAE">
        <w:rPr>
          <w:color w:val="000000"/>
        </w:rPr>
        <w:lastRenderedPageBreak/>
        <w:t>the Case for an Effective Approach. </w:t>
      </w:r>
      <w:r w:rsidRPr="00040AAE">
        <w:rPr>
          <w:i/>
          <w:iCs/>
          <w:color w:val="000000"/>
        </w:rPr>
        <w:t>International Journal of Environmental Research and Public Health</w:t>
      </w:r>
      <w:r w:rsidRPr="00040AAE">
        <w:rPr>
          <w:color w:val="000000"/>
        </w:rPr>
        <w:t xml:space="preserve">, [online] 19(14), p.8384. </w:t>
      </w:r>
      <w:proofErr w:type="spellStart"/>
      <w:proofErr w:type="gramStart"/>
      <w:r w:rsidRPr="00040AAE">
        <w:rPr>
          <w:color w:val="000000"/>
        </w:rPr>
        <w:t>doi:https</w:t>
      </w:r>
      <w:proofErr w:type="spellEnd"/>
      <w:r w:rsidRPr="00040AAE">
        <w:rPr>
          <w:color w:val="000000"/>
        </w:rPr>
        <w:t>://doi.org/10.3390/ijerph19148384</w:t>
      </w:r>
      <w:r w:rsidR="00776D26">
        <w:rPr>
          <w:color w:val="000000"/>
        </w:rPr>
        <w:t>(Accessed</w:t>
      </w:r>
      <w:proofErr w:type="gramEnd"/>
      <w:r w:rsidR="00776D26">
        <w:rPr>
          <w:color w:val="000000"/>
        </w:rPr>
        <w:t xml:space="preserve"> 24</w:t>
      </w:r>
      <w:r w:rsidR="00776D26" w:rsidRPr="00776D26">
        <w:rPr>
          <w:color w:val="000000"/>
          <w:vertAlign w:val="superscript"/>
        </w:rPr>
        <w:t>th</w:t>
      </w:r>
      <w:r w:rsidR="00776D26">
        <w:rPr>
          <w:color w:val="000000"/>
        </w:rPr>
        <w:t xml:space="preserve"> Feb. 2026).</w:t>
      </w:r>
    </w:p>
    <w:p w14:paraId="4547AF35" w14:textId="764688F3" w:rsidR="0072240C" w:rsidRPr="0072240C" w:rsidRDefault="0072240C" w:rsidP="0072240C">
      <w:pPr>
        <w:spacing w:after="240" w:line="360" w:lineRule="atLeast"/>
        <w:rPr>
          <w:color w:val="000000"/>
        </w:rPr>
      </w:pPr>
      <w:r w:rsidRPr="0072240C">
        <w:rPr>
          <w:color w:val="000000"/>
        </w:rPr>
        <w:t xml:space="preserve">Woodward, A., </w:t>
      </w:r>
      <w:proofErr w:type="spellStart"/>
      <w:r w:rsidRPr="0072240C">
        <w:rPr>
          <w:color w:val="000000"/>
        </w:rPr>
        <w:t>Nimmons</w:t>
      </w:r>
      <w:proofErr w:type="spellEnd"/>
      <w:r w:rsidRPr="0072240C">
        <w:rPr>
          <w:color w:val="000000"/>
        </w:rPr>
        <w:t xml:space="preserve">, D., Davies, N., Walters, K., Stevenson, F.A., </w:t>
      </w:r>
      <w:proofErr w:type="spellStart"/>
      <w:r w:rsidRPr="0072240C">
        <w:rPr>
          <w:color w:val="000000"/>
        </w:rPr>
        <w:t>Protheroe</w:t>
      </w:r>
      <w:proofErr w:type="spellEnd"/>
      <w:r w:rsidRPr="0072240C">
        <w:rPr>
          <w:color w:val="000000"/>
        </w:rPr>
        <w:t>, J., Chew-Graham, C.A. and Armstrong, M. (2024a). A qualitative exploration of the barriers and facilitators to self‐managing multiple long‐term conditions amongst people experiencing socioeconomic deprivation. </w:t>
      </w:r>
      <w:r w:rsidRPr="0072240C">
        <w:rPr>
          <w:i/>
          <w:iCs/>
          <w:color w:val="000000"/>
        </w:rPr>
        <w:t xml:space="preserve">Health </w:t>
      </w:r>
      <w:proofErr w:type="gramStart"/>
      <w:r w:rsidRPr="0072240C">
        <w:rPr>
          <w:i/>
          <w:iCs/>
          <w:color w:val="000000"/>
        </w:rPr>
        <w:t>expectations</w:t>
      </w:r>
      <w:r w:rsidRPr="0072240C">
        <w:rPr>
          <w:color w:val="000000"/>
        </w:rPr>
        <w:t>,  27</w:t>
      </w:r>
      <w:proofErr w:type="gramEnd"/>
      <w:r w:rsidRPr="0072240C">
        <w:rPr>
          <w:color w:val="000000"/>
        </w:rPr>
        <w:t xml:space="preserve">(2). </w:t>
      </w:r>
      <w:proofErr w:type="spellStart"/>
      <w:proofErr w:type="gramStart"/>
      <w:r w:rsidRPr="0072240C">
        <w:rPr>
          <w:color w:val="000000"/>
        </w:rPr>
        <w:t>doi:https</w:t>
      </w:r>
      <w:proofErr w:type="spellEnd"/>
      <w:r w:rsidRPr="0072240C">
        <w:rPr>
          <w:color w:val="000000"/>
        </w:rPr>
        <w:t>://doi.org/10.1111/hex.14046</w:t>
      </w:r>
      <w:proofErr w:type="gramEnd"/>
      <w:r w:rsidR="00776D26">
        <w:rPr>
          <w:color w:val="000000"/>
        </w:rPr>
        <w:t xml:space="preserve"> (Accessed 22</w:t>
      </w:r>
      <w:r w:rsidR="00776D26" w:rsidRPr="00776D26">
        <w:rPr>
          <w:color w:val="000000"/>
          <w:vertAlign w:val="superscript"/>
        </w:rPr>
        <w:t>nd</w:t>
      </w:r>
      <w:r w:rsidR="00776D26">
        <w:rPr>
          <w:color w:val="000000"/>
        </w:rPr>
        <w:t xml:space="preserve"> Feb. 2026)</w:t>
      </w:r>
      <w:r w:rsidRPr="0072240C">
        <w:rPr>
          <w:color w:val="000000"/>
        </w:rPr>
        <w:t>.</w:t>
      </w:r>
    </w:p>
    <w:p w14:paraId="712D0AFA" w14:textId="772BC144" w:rsidR="00F5644A" w:rsidRDefault="00F5644A" w:rsidP="00D56324">
      <w:pPr>
        <w:spacing w:after="240" w:line="360" w:lineRule="atLeast"/>
        <w:rPr>
          <w:color w:val="000000"/>
        </w:rPr>
      </w:pPr>
      <w:r w:rsidRPr="00F5644A">
        <w:rPr>
          <w:color w:val="000000"/>
        </w:rPr>
        <w:t xml:space="preserve">Woodward, A., Walters, K., Davies, N., </w:t>
      </w:r>
      <w:proofErr w:type="spellStart"/>
      <w:r w:rsidRPr="00F5644A">
        <w:rPr>
          <w:color w:val="000000"/>
        </w:rPr>
        <w:t>Nimmons</w:t>
      </w:r>
      <w:proofErr w:type="spellEnd"/>
      <w:r w:rsidRPr="00F5644A">
        <w:rPr>
          <w:color w:val="000000"/>
        </w:rPr>
        <w:t xml:space="preserve">, D., </w:t>
      </w:r>
      <w:proofErr w:type="spellStart"/>
      <w:r w:rsidRPr="00F5644A">
        <w:rPr>
          <w:color w:val="000000"/>
        </w:rPr>
        <w:t>Protheroe</w:t>
      </w:r>
      <w:proofErr w:type="spellEnd"/>
      <w:r w:rsidRPr="00F5644A">
        <w:rPr>
          <w:color w:val="000000"/>
        </w:rPr>
        <w:t>, J., Chew‐Graham, C.A., Stevenson, F. and Armstrong, M. (2024). Barriers and facilitators of self‐management of Diabetes amongst people experiencing socioeconomic deprivation: A systematic review and qualitative synthesis. </w:t>
      </w:r>
      <w:r w:rsidRPr="00F5644A">
        <w:rPr>
          <w:i/>
          <w:iCs/>
          <w:color w:val="000000"/>
        </w:rPr>
        <w:t>Health Expectations</w:t>
      </w:r>
      <w:r w:rsidRPr="00F5644A">
        <w:rPr>
          <w:color w:val="000000"/>
        </w:rPr>
        <w:t xml:space="preserve">,27(3), pp.1–19. </w:t>
      </w:r>
      <w:proofErr w:type="spellStart"/>
      <w:proofErr w:type="gramStart"/>
      <w:r w:rsidRPr="00F5644A">
        <w:rPr>
          <w:color w:val="000000"/>
        </w:rPr>
        <w:t>doi:https</w:t>
      </w:r>
      <w:proofErr w:type="spellEnd"/>
      <w:r w:rsidRPr="00F5644A">
        <w:rPr>
          <w:color w:val="000000"/>
        </w:rPr>
        <w:t>://doi.org/10.1111/hex.14070</w:t>
      </w:r>
      <w:r w:rsidR="00776D26">
        <w:rPr>
          <w:color w:val="000000"/>
        </w:rPr>
        <w:t>(Accessed</w:t>
      </w:r>
      <w:proofErr w:type="gramEnd"/>
      <w:r w:rsidR="00776D26">
        <w:rPr>
          <w:color w:val="000000"/>
        </w:rPr>
        <w:t xml:space="preserve"> 27</w:t>
      </w:r>
      <w:r w:rsidR="00776D26" w:rsidRPr="00776D26">
        <w:rPr>
          <w:color w:val="000000"/>
          <w:vertAlign w:val="superscript"/>
        </w:rPr>
        <w:t>th</w:t>
      </w:r>
      <w:r w:rsidR="00776D26">
        <w:rPr>
          <w:color w:val="000000"/>
        </w:rPr>
        <w:t xml:space="preserve"> March. 2026).</w:t>
      </w:r>
    </w:p>
    <w:p w14:paraId="54B51A96" w14:textId="5AFAB919" w:rsidR="00D56324" w:rsidRPr="00D56324" w:rsidRDefault="00D56324" w:rsidP="00D56324">
      <w:pPr>
        <w:spacing w:after="240" w:line="360" w:lineRule="atLeast"/>
        <w:rPr>
          <w:color w:val="000000"/>
        </w:rPr>
      </w:pPr>
      <w:r w:rsidRPr="00D56324">
        <w:rPr>
          <w:color w:val="000000"/>
        </w:rPr>
        <w:t>World Health Organization (2024). </w:t>
      </w:r>
      <w:r w:rsidRPr="00D56324">
        <w:rPr>
          <w:i/>
          <w:iCs/>
          <w:color w:val="000000"/>
        </w:rPr>
        <w:t>Diabetes</w:t>
      </w:r>
      <w:r w:rsidRPr="00D56324">
        <w:rPr>
          <w:color w:val="000000"/>
        </w:rPr>
        <w:t>.</w:t>
      </w:r>
      <w:r>
        <w:rPr>
          <w:color w:val="000000"/>
        </w:rPr>
        <w:t xml:space="preserve"> </w:t>
      </w:r>
      <w:r w:rsidRPr="00D56324">
        <w:rPr>
          <w:color w:val="000000"/>
        </w:rPr>
        <w:t xml:space="preserve">World Health Organization. Available at: https://www.who.int/news-room/fact-sheets/detail/diabetes </w:t>
      </w:r>
      <w:r w:rsidR="00E64A3B">
        <w:rPr>
          <w:color w:val="000000"/>
        </w:rPr>
        <w:t>(</w:t>
      </w:r>
      <w:r w:rsidRPr="00D56324">
        <w:rPr>
          <w:color w:val="000000"/>
        </w:rPr>
        <w:t>Accessed 12 Nov. 2025</w:t>
      </w:r>
      <w:r w:rsidR="00E64A3B">
        <w:rPr>
          <w:color w:val="000000"/>
        </w:rPr>
        <w:t>)</w:t>
      </w:r>
      <w:r w:rsidRPr="00D56324">
        <w:rPr>
          <w:color w:val="000000"/>
        </w:rPr>
        <w:t>.</w:t>
      </w:r>
    </w:p>
    <w:p w14:paraId="197E2CE0" w14:textId="56571604" w:rsidR="009302F3" w:rsidRDefault="009302F3" w:rsidP="009302F3">
      <w:pPr>
        <w:spacing w:after="240" w:line="360" w:lineRule="atLeast"/>
        <w:rPr>
          <w:color w:val="000000"/>
        </w:rPr>
      </w:pPr>
      <w:r w:rsidRPr="009302F3">
        <w:rPr>
          <w:color w:val="000000"/>
        </w:rPr>
        <w:t>Wu, Y., Ding, Y., Tanaka, Y. and Zhang, W. (2014). Risk Factors Contributing to Type 2 Diabetes and Recent Advances in the Treatment and Prevention. </w:t>
      </w:r>
      <w:r w:rsidRPr="009302F3">
        <w:rPr>
          <w:i/>
          <w:iCs/>
          <w:color w:val="000000"/>
        </w:rPr>
        <w:t>International Journal of Medical Sciences</w:t>
      </w:r>
      <w:r w:rsidRPr="009302F3">
        <w:rPr>
          <w:color w:val="000000"/>
        </w:rPr>
        <w:t xml:space="preserve">, 11(11), pp.1185–1200. </w:t>
      </w:r>
      <w:proofErr w:type="spellStart"/>
      <w:proofErr w:type="gramStart"/>
      <w:r w:rsidRPr="009302F3">
        <w:rPr>
          <w:color w:val="000000"/>
        </w:rPr>
        <w:t>doi:https</w:t>
      </w:r>
      <w:proofErr w:type="spellEnd"/>
      <w:r w:rsidRPr="009302F3">
        <w:rPr>
          <w:color w:val="000000"/>
        </w:rPr>
        <w:t>://doi.org/10.7150/ijms.10001</w:t>
      </w:r>
      <w:r w:rsidR="00776D26">
        <w:rPr>
          <w:color w:val="000000"/>
        </w:rPr>
        <w:t>(Accessed</w:t>
      </w:r>
      <w:proofErr w:type="gramEnd"/>
      <w:r w:rsidR="00776D26">
        <w:rPr>
          <w:color w:val="000000"/>
        </w:rPr>
        <w:t xml:space="preserve"> 20</w:t>
      </w:r>
      <w:r w:rsidR="00776D26" w:rsidRPr="00776D26">
        <w:rPr>
          <w:color w:val="000000"/>
          <w:vertAlign w:val="superscript"/>
        </w:rPr>
        <w:t>th</w:t>
      </w:r>
      <w:r w:rsidR="00776D26">
        <w:rPr>
          <w:color w:val="000000"/>
        </w:rPr>
        <w:t xml:space="preserve"> Feb. 2026).</w:t>
      </w:r>
    </w:p>
    <w:p w14:paraId="5ACBF779" w14:textId="3708F2D3" w:rsidR="001E48C2" w:rsidRDefault="001E48C2" w:rsidP="001E48C2">
      <w:pPr>
        <w:spacing w:after="240" w:line="360" w:lineRule="atLeast"/>
        <w:rPr>
          <w:color w:val="000000"/>
        </w:rPr>
      </w:pPr>
      <w:r w:rsidRPr="001E48C2">
        <w:rPr>
          <w:color w:val="000000"/>
        </w:rPr>
        <w:t xml:space="preserve">Zakir, M., Ahuja, N., </w:t>
      </w:r>
      <w:proofErr w:type="spellStart"/>
      <w:r w:rsidRPr="001E48C2">
        <w:rPr>
          <w:color w:val="000000"/>
        </w:rPr>
        <w:t>Surksha</w:t>
      </w:r>
      <w:proofErr w:type="spellEnd"/>
      <w:r w:rsidRPr="001E48C2">
        <w:rPr>
          <w:color w:val="000000"/>
        </w:rPr>
        <w:t xml:space="preserve">, M.A., Sachdev, R., </w:t>
      </w:r>
      <w:proofErr w:type="spellStart"/>
      <w:r w:rsidRPr="001E48C2">
        <w:rPr>
          <w:color w:val="000000"/>
        </w:rPr>
        <w:t>Kalariya</w:t>
      </w:r>
      <w:proofErr w:type="spellEnd"/>
      <w:r w:rsidRPr="001E48C2">
        <w:rPr>
          <w:color w:val="000000"/>
        </w:rPr>
        <w:t xml:space="preserve">, Y., Nasir, M., Kashif, M., </w:t>
      </w:r>
      <w:proofErr w:type="spellStart"/>
      <w:r w:rsidRPr="001E48C2">
        <w:rPr>
          <w:color w:val="000000"/>
        </w:rPr>
        <w:t>Shahzeen</w:t>
      </w:r>
      <w:proofErr w:type="spellEnd"/>
      <w:r w:rsidRPr="001E48C2">
        <w:rPr>
          <w:color w:val="000000"/>
        </w:rPr>
        <w:t xml:space="preserve">, F., Tayyab, A., Khan, M.S. </w:t>
      </w:r>
      <w:proofErr w:type="spellStart"/>
      <w:r w:rsidRPr="001E48C2">
        <w:rPr>
          <w:color w:val="000000"/>
        </w:rPr>
        <w:t>moazzam</w:t>
      </w:r>
      <w:proofErr w:type="spellEnd"/>
      <w:r w:rsidRPr="001E48C2">
        <w:rPr>
          <w:color w:val="000000"/>
        </w:rPr>
        <w:t xml:space="preserve">, </w:t>
      </w:r>
      <w:proofErr w:type="spellStart"/>
      <w:r w:rsidRPr="001E48C2">
        <w:rPr>
          <w:color w:val="000000"/>
        </w:rPr>
        <w:t>Junejo</w:t>
      </w:r>
      <w:proofErr w:type="spellEnd"/>
      <w:r w:rsidRPr="001E48C2">
        <w:rPr>
          <w:color w:val="000000"/>
        </w:rPr>
        <w:t xml:space="preserve">, M., Manoj Kumar, F., </w:t>
      </w:r>
      <w:proofErr w:type="spellStart"/>
      <w:r w:rsidRPr="001E48C2">
        <w:rPr>
          <w:color w:val="000000"/>
        </w:rPr>
        <w:t>Varrassi</w:t>
      </w:r>
      <w:proofErr w:type="spellEnd"/>
      <w:r w:rsidRPr="001E48C2">
        <w:rPr>
          <w:color w:val="000000"/>
        </w:rPr>
        <w:t>, G., Kumar, S., Khatri, M. and Mohamad, T. (2023). Cardiovascular Complications of Diabetes: from Microvascular to Macrovascular Pathways. </w:t>
      </w:r>
      <w:proofErr w:type="spellStart"/>
      <w:r w:rsidRPr="001E48C2">
        <w:rPr>
          <w:i/>
          <w:iCs/>
          <w:color w:val="000000"/>
        </w:rPr>
        <w:t>Cureus</w:t>
      </w:r>
      <w:proofErr w:type="spellEnd"/>
      <w:r w:rsidRPr="001E48C2">
        <w:rPr>
          <w:color w:val="000000"/>
        </w:rPr>
        <w:t xml:space="preserve">, 15(9). </w:t>
      </w:r>
      <w:proofErr w:type="spellStart"/>
      <w:proofErr w:type="gramStart"/>
      <w:r w:rsidRPr="001E48C2">
        <w:rPr>
          <w:color w:val="000000"/>
        </w:rPr>
        <w:t>doi:https</w:t>
      </w:r>
      <w:proofErr w:type="spellEnd"/>
      <w:r w:rsidRPr="001E48C2">
        <w:rPr>
          <w:color w:val="000000"/>
        </w:rPr>
        <w:t>://doi.org/10.7759/cureus.45835</w:t>
      </w:r>
      <w:r w:rsidR="00776D26">
        <w:rPr>
          <w:color w:val="000000"/>
        </w:rPr>
        <w:t>(Accessed</w:t>
      </w:r>
      <w:proofErr w:type="gramEnd"/>
      <w:r w:rsidR="00776D26">
        <w:rPr>
          <w:color w:val="000000"/>
        </w:rPr>
        <w:t xml:space="preserve"> 18</w:t>
      </w:r>
      <w:r w:rsidR="00776D26" w:rsidRPr="00776D26">
        <w:rPr>
          <w:color w:val="000000"/>
          <w:vertAlign w:val="superscript"/>
        </w:rPr>
        <w:t>th</w:t>
      </w:r>
      <w:r w:rsidR="00776D26">
        <w:rPr>
          <w:color w:val="000000"/>
        </w:rPr>
        <w:t xml:space="preserve"> Jan. 2026).</w:t>
      </w:r>
    </w:p>
    <w:p w14:paraId="4ADE39CB" w14:textId="5F187ED2" w:rsidR="00EE4373" w:rsidRDefault="00EE4373" w:rsidP="00EE4373">
      <w:pPr>
        <w:spacing w:after="240" w:line="360" w:lineRule="atLeast"/>
        <w:rPr>
          <w:color w:val="000000"/>
        </w:rPr>
      </w:pPr>
      <w:r w:rsidRPr="00EE4373">
        <w:rPr>
          <w:color w:val="000000"/>
        </w:rPr>
        <w:t xml:space="preserve">Zhang, J., Zhang, Z., Zhang, K., Ge, X., Sun, R. and </w:t>
      </w:r>
      <w:proofErr w:type="spellStart"/>
      <w:r w:rsidRPr="00EE4373">
        <w:rPr>
          <w:color w:val="000000"/>
        </w:rPr>
        <w:t>Zhai</w:t>
      </w:r>
      <w:proofErr w:type="spellEnd"/>
      <w:r w:rsidRPr="00EE4373">
        <w:rPr>
          <w:color w:val="000000"/>
        </w:rPr>
        <w:t>, X. (2023). Early detection of type 2 diabetes risk: limitations of current diagnostic criteria. </w:t>
      </w:r>
      <w:r w:rsidRPr="00EE4373">
        <w:rPr>
          <w:i/>
          <w:iCs/>
          <w:color w:val="000000"/>
        </w:rPr>
        <w:t>Frontiers in Endocrinology</w:t>
      </w:r>
      <w:r w:rsidRPr="00EE4373">
        <w:rPr>
          <w:color w:val="000000"/>
        </w:rPr>
        <w:t xml:space="preserve">, 14(14). </w:t>
      </w:r>
      <w:proofErr w:type="spellStart"/>
      <w:proofErr w:type="gramStart"/>
      <w:r w:rsidRPr="00EE4373">
        <w:rPr>
          <w:color w:val="000000"/>
        </w:rPr>
        <w:t>doi:https</w:t>
      </w:r>
      <w:proofErr w:type="spellEnd"/>
      <w:r w:rsidRPr="00EE4373">
        <w:rPr>
          <w:color w:val="000000"/>
        </w:rPr>
        <w:t>://doi.org/10.3389/fendo.2023.1260623</w:t>
      </w:r>
      <w:r w:rsidR="00776D26">
        <w:rPr>
          <w:color w:val="000000"/>
        </w:rPr>
        <w:t>(Accessed</w:t>
      </w:r>
      <w:proofErr w:type="gramEnd"/>
      <w:r w:rsidR="00776D26">
        <w:rPr>
          <w:color w:val="000000"/>
        </w:rPr>
        <w:t xml:space="preserve"> 22</w:t>
      </w:r>
      <w:r w:rsidR="00776D26" w:rsidRPr="00776D26">
        <w:rPr>
          <w:color w:val="000000"/>
          <w:vertAlign w:val="superscript"/>
        </w:rPr>
        <w:t>nd</w:t>
      </w:r>
      <w:r w:rsidR="00776D26">
        <w:rPr>
          <w:color w:val="000000"/>
        </w:rPr>
        <w:t xml:space="preserve"> Dec. 2025).</w:t>
      </w:r>
    </w:p>
    <w:p w14:paraId="49C6355A" w14:textId="53F98939" w:rsidR="00C72A80" w:rsidRDefault="00C72A80" w:rsidP="00EE4373">
      <w:pPr>
        <w:spacing w:after="240" w:line="360" w:lineRule="atLeast"/>
        <w:rPr>
          <w:color w:val="000000"/>
        </w:rPr>
      </w:pPr>
    </w:p>
    <w:p w14:paraId="27122D25" w14:textId="7F5AAB52" w:rsidR="00C72A80" w:rsidRDefault="00C72A80" w:rsidP="00EE4373">
      <w:pPr>
        <w:spacing w:after="240" w:line="360" w:lineRule="atLeast"/>
        <w:rPr>
          <w:color w:val="000000"/>
        </w:rPr>
      </w:pPr>
    </w:p>
    <w:p w14:paraId="546B628C" w14:textId="36B07525" w:rsidR="00C72A80" w:rsidRDefault="00C72A80" w:rsidP="00EE4373">
      <w:pPr>
        <w:spacing w:after="240" w:line="360" w:lineRule="atLeast"/>
        <w:rPr>
          <w:color w:val="000000"/>
        </w:rPr>
      </w:pPr>
    </w:p>
    <w:p w14:paraId="2A8ACF94" w14:textId="2A4A3104" w:rsidR="00C72A80" w:rsidRDefault="00C72A80" w:rsidP="00EE4373">
      <w:pPr>
        <w:spacing w:after="240" w:line="360" w:lineRule="atLeast"/>
        <w:rPr>
          <w:color w:val="000000"/>
        </w:rPr>
      </w:pPr>
    </w:p>
    <w:p w14:paraId="5CF9B4F4" w14:textId="7B41EE2C" w:rsidR="00C72A80" w:rsidRDefault="00C72A80" w:rsidP="00EE4373">
      <w:pPr>
        <w:spacing w:after="240" w:line="360" w:lineRule="atLeast"/>
        <w:rPr>
          <w:color w:val="000000"/>
        </w:rPr>
      </w:pPr>
    </w:p>
    <w:p w14:paraId="043EEF1D" w14:textId="77777777" w:rsidR="001B38A8" w:rsidRDefault="001B38A8" w:rsidP="00EE4373">
      <w:pPr>
        <w:spacing w:after="240" w:line="360" w:lineRule="atLeast"/>
        <w:rPr>
          <w:color w:val="000000"/>
        </w:rPr>
      </w:pPr>
    </w:p>
    <w:p w14:paraId="727840AE" w14:textId="41CD839D" w:rsidR="00C72A80" w:rsidRPr="000E6EF6" w:rsidRDefault="00C72A80"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Appendi</w:t>
      </w:r>
      <w:r w:rsidR="00977B6D" w:rsidRPr="000E6EF6">
        <w:rPr>
          <w:rFonts w:ascii="Arial" w:hAnsi="Arial" w:cs="Arial"/>
          <w:b/>
          <w:bCs/>
          <w:color w:val="000000"/>
          <w:sz w:val="22"/>
          <w:szCs w:val="22"/>
        </w:rPr>
        <w:t>c</w:t>
      </w:r>
      <w:r w:rsidRPr="000E6EF6">
        <w:rPr>
          <w:rFonts w:ascii="Arial" w:hAnsi="Arial" w:cs="Arial"/>
          <w:b/>
          <w:bCs/>
          <w:color w:val="000000"/>
          <w:sz w:val="22"/>
          <w:szCs w:val="22"/>
        </w:rPr>
        <w:t>es</w:t>
      </w:r>
    </w:p>
    <w:p w14:paraId="4A7FF891" w14:textId="41CD5D2F" w:rsidR="00B60EC6" w:rsidRPr="000E6EF6" w:rsidRDefault="00B60EC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Appendix 1: Search Strategy Table</w:t>
      </w:r>
    </w:p>
    <w:p w14:paraId="7E7C9D5A" w14:textId="11F3BEED" w:rsidR="00B60EC6" w:rsidRP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w:t>
      </w:r>
      <w:r w:rsidR="00B60EC6" w:rsidRPr="000E6EF6">
        <w:rPr>
          <w:rFonts w:ascii="Arial" w:hAnsi="Arial" w:cs="Arial"/>
          <w:color w:val="000000"/>
          <w:sz w:val="22"/>
          <w:szCs w:val="22"/>
        </w:rPr>
        <w:t>Keywords</w:t>
      </w:r>
      <w:r w:rsidR="0036536C" w:rsidRPr="000E6EF6">
        <w:rPr>
          <w:rFonts w:ascii="Arial" w:hAnsi="Arial" w:cs="Arial"/>
          <w:color w:val="000000"/>
          <w:sz w:val="22"/>
          <w:szCs w:val="22"/>
        </w:rPr>
        <w:t xml:space="preserve">: </w:t>
      </w:r>
      <w:r w:rsidR="00B60EC6" w:rsidRPr="000E6EF6">
        <w:rPr>
          <w:rFonts w:ascii="Arial" w:hAnsi="Arial" w:cs="Arial"/>
          <w:color w:val="000000"/>
          <w:sz w:val="22"/>
          <w:szCs w:val="22"/>
        </w:rPr>
        <w:t>“Type 2 diabetes”, “prevalence”, “risk factors”, “management”, “UK adults”</w:t>
      </w:r>
    </w:p>
    <w:p w14:paraId="096D7862" w14:textId="7245F8C3" w:rsidR="0036536C" w:rsidRP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w:t>
      </w:r>
      <w:r w:rsidR="0036536C" w:rsidRPr="000E6EF6">
        <w:rPr>
          <w:rFonts w:ascii="Arial" w:hAnsi="Arial" w:cs="Arial"/>
          <w:color w:val="000000"/>
          <w:sz w:val="22"/>
          <w:szCs w:val="22"/>
        </w:rPr>
        <w:t>Databases: Google Scholar, PubMed</w:t>
      </w:r>
      <w:r w:rsidR="00082300" w:rsidRPr="000E6EF6">
        <w:rPr>
          <w:rFonts w:ascii="Arial" w:hAnsi="Arial" w:cs="Arial"/>
          <w:color w:val="000000"/>
          <w:sz w:val="22"/>
          <w:szCs w:val="22"/>
        </w:rPr>
        <w:t>, ScienceDirect, UWTSD Library</w:t>
      </w:r>
    </w:p>
    <w:p w14:paraId="758F466E" w14:textId="2298D626" w:rsidR="00082300" w:rsidRP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w:t>
      </w:r>
      <w:r w:rsidR="00082300" w:rsidRPr="000E6EF6">
        <w:rPr>
          <w:rFonts w:ascii="Arial" w:hAnsi="Arial" w:cs="Arial"/>
          <w:color w:val="000000"/>
          <w:sz w:val="22"/>
          <w:szCs w:val="22"/>
        </w:rPr>
        <w:t>Filters: Last 10 years, English, peer-reviewed</w:t>
      </w:r>
    </w:p>
    <w:p w14:paraId="0E315DEE" w14:textId="7749E808" w:rsidR="000E6EF6" w:rsidRDefault="000E6EF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Appendix 2: Inclusion and Exclusion Criteria</w:t>
      </w:r>
    </w:p>
    <w:p w14:paraId="6957715E" w14:textId="7FB88028" w:rsidR="000E6EF6" w:rsidRPr="000E6EF6" w:rsidRDefault="000E6EF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Inclusion:</w:t>
      </w:r>
    </w:p>
    <w:p w14:paraId="6419718B" w14:textId="54C06B78"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Peer-reviewed articles</w:t>
      </w:r>
    </w:p>
    <w:p w14:paraId="74E7BCBF" w14:textId="5C5C2B26"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UK-focused studies</w:t>
      </w:r>
    </w:p>
    <w:p w14:paraId="56F030C0" w14:textId="74B2881E"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Published within the last 10 years</w:t>
      </w:r>
    </w:p>
    <w:p w14:paraId="001CEB3A" w14:textId="01B945ED" w:rsidR="000E6EF6" w:rsidRDefault="000E6EF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Exclusion:</w:t>
      </w:r>
    </w:p>
    <w:p w14:paraId="3BBC3F35" w14:textId="79B012D0" w:rsidR="000E6EF6" w:rsidRDefault="000E6EF6" w:rsidP="00EE4373">
      <w:pPr>
        <w:spacing w:after="240" w:line="360" w:lineRule="atLeast"/>
        <w:rPr>
          <w:rFonts w:ascii="Arial" w:hAnsi="Arial" w:cs="Arial"/>
          <w:color w:val="000000"/>
          <w:sz w:val="22"/>
          <w:szCs w:val="22"/>
        </w:rPr>
      </w:pPr>
      <w:r w:rsidRPr="000E6EF6">
        <w:rPr>
          <w:rFonts w:ascii="Arial" w:hAnsi="Arial" w:cs="Arial"/>
          <w:color w:val="000000"/>
          <w:sz w:val="22"/>
          <w:szCs w:val="22"/>
        </w:rPr>
        <w:t>. Non</w:t>
      </w:r>
      <w:r>
        <w:rPr>
          <w:rFonts w:ascii="Arial" w:hAnsi="Arial" w:cs="Arial"/>
          <w:color w:val="000000"/>
          <w:sz w:val="22"/>
          <w:szCs w:val="22"/>
        </w:rPr>
        <w:t>-academic sources</w:t>
      </w:r>
    </w:p>
    <w:p w14:paraId="72CEABA6" w14:textId="06A45C3A"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Type 1 diabetes studies</w:t>
      </w:r>
    </w:p>
    <w:p w14:paraId="6A72C993" w14:textId="3A1D6FC0"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Paediatric populations</w:t>
      </w:r>
    </w:p>
    <w:p w14:paraId="1654EA0D" w14:textId="27FAB9AF" w:rsidR="0057266E" w:rsidRDefault="0057266E" w:rsidP="00EE4373">
      <w:pPr>
        <w:spacing w:after="240" w:line="360" w:lineRule="atLeast"/>
        <w:rPr>
          <w:rFonts w:ascii="Arial" w:hAnsi="Arial" w:cs="Arial"/>
          <w:b/>
          <w:bCs/>
          <w:color w:val="000000"/>
          <w:sz w:val="22"/>
          <w:szCs w:val="22"/>
        </w:rPr>
      </w:pPr>
      <w:r w:rsidRPr="0057266E">
        <w:rPr>
          <w:rFonts w:ascii="Arial" w:hAnsi="Arial" w:cs="Arial"/>
          <w:b/>
          <w:bCs/>
          <w:color w:val="000000"/>
          <w:sz w:val="22"/>
          <w:szCs w:val="22"/>
        </w:rPr>
        <w:t>Appendix 3: CRAAP Framework</w:t>
      </w:r>
    </w:p>
    <w:p w14:paraId="58B249D6" w14:textId="2AA4949B"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Currency</w:t>
      </w:r>
    </w:p>
    <w:p w14:paraId="06E5D8C0" w14:textId="57EBC322"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Relevance </w:t>
      </w:r>
    </w:p>
    <w:p w14:paraId="0AA9D69B" w14:textId="3AE46D43"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Authority</w:t>
      </w:r>
    </w:p>
    <w:p w14:paraId="68407409" w14:textId="51D6DF71"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Accuracy</w:t>
      </w:r>
    </w:p>
    <w:p w14:paraId="3B46D88E" w14:textId="2B5DE143"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Purpose </w:t>
      </w:r>
    </w:p>
    <w:p w14:paraId="3E270EEE" w14:textId="2E0FFF3D" w:rsidR="00341F65" w:rsidRDefault="00341F65" w:rsidP="00EE4373">
      <w:pPr>
        <w:spacing w:after="240" w:line="360" w:lineRule="atLeast"/>
        <w:rPr>
          <w:rFonts w:ascii="Arial" w:hAnsi="Arial" w:cs="Arial"/>
          <w:b/>
          <w:bCs/>
          <w:color w:val="000000"/>
          <w:sz w:val="22"/>
          <w:szCs w:val="22"/>
        </w:rPr>
      </w:pPr>
      <w:r w:rsidRPr="00341F65">
        <w:rPr>
          <w:rFonts w:ascii="Arial" w:hAnsi="Arial" w:cs="Arial"/>
          <w:b/>
          <w:bCs/>
          <w:color w:val="000000"/>
          <w:sz w:val="22"/>
          <w:szCs w:val="22"/>
        </w:rPr>
        <w:t>Appendix 4: Thematic Coding Framework</w:t>
      </w:r>
    </w:p>
    <w:p w14:paraId="36BF9829" w14:textId="0A045506" w:rsid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lastRenderedPageBreak/>
        <w:t>Themes identified:</w:t>
      </w:r>
    </w:p>
    <w:p w14:paraId="633E80CC" w14:textId="56768054" w:rsid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 Prevalence</w:t>
      </w:r>
    </w:p>
    <w:p w14:paraId="1B2601AA" w14:textId="3B3D06C5" w:rsid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 Risk factors</w:t>
      </w:r>
    </w:p>
    <w:p w14:paraId="2F398CF5" w14:textId="6DF20B48" w:rsidR="00341F65" w:rsidRP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 Management Strategies</w:t>
      </w:r>
    </w:p>
    <w:p w14:paraId="714166D5" w14:textId="77777777" w:rsidR="00EE4373" w:rsidRPr="001E48C2" w:rsidRDefault="00EE4373" w:rsidP="001E48C2">
      <w:pPr>
        <w:spacing w:after="240" w:line="360" w:lineRule="atLeast"/>
        <w:rPr>
          <w:color w:val="000000"/>
        </w:rPr>
      </w:pPr>
    </w:p>
    <w:p w14:paraId="7CDDD014" w14:textId="77777777" w:rsidR="001E48C2" w:rsidRPr="009302F3" w:rsidRDefault="001E48C2" w:rsidP="009302F3">
      <w:pPr>
        <w:spacing w:after="240" w:line="360" w:lineRule="atLeast"/>
        <w:rPr>
          <w:color w:val="000000"/>
        </w:rPr>
      </w:pPr>
    </w:p>
    <w:p w14:paraId="17F57D3C" w14:textId="77777777" w:rsidR="009302F3" w:rsidRDefault="009302F3" w:rsidP="005D1C0F">
      <w:pPr>
        <w:pStyle w:val="NormalWeb"/>
        <w:spacing w:before="0" w:beforeAutospacing="0" w:after="240" w:afterAutospacing="0" w:line="360" w:lineRule="atLeast"/>
        <w:rPr>
          <w:color w:val="000000"/>
        </w:rPr>
      </w:pPr>
    </w:p>
    <w:p w14:paraId="6C5277C9" w14:textId="77777777" w:rsidR="005D1C0F" w:rsidRDefault="005D1C0F" w:rsidP="005D6EEC">
      <w:pPr>
        <w:pStyle w:val="NormalWeb"/>
        <w:spacing w:before="0" w:beforeAutospacing="0" w:after="240" w:afterAutospacing="0" w:line="360" w:lineRule="atLeast"/>
        <w:rPr>
          <w:color w:val="000000"/>
        </w:rPr>
      </w:pPr>
    </w:p>
    <w:p w14:paraId="6702A2FF" w14:textId="77777777" w:rsidR="00CC3D52" w:rsidRPr="00EE13B9" w:rsidRDefault="00CC3D52" w:rsidP="001B055C">
      <w:pPr>
        <w:spacing w:line="360" w:lineRule="auto"/>
        <w:rPr>
          <w:rFonts w:ascii="Arial" w:hAnsi="Arial" w:cs="Arial"/>
          <w:b/>
          <w:bCs/>
          <w:sz w:val="28"/>
          <w:szCs w:val="28"/>
        </w:rPr>
      </w:pPr>
    </w:p>
    <w:p w14:paraId="1196AD78" w14:textId="3CDFEB86" w:rsidR="001B055C" w:rsidRDefault="001B055C" w:rsidP="001B055C">
      <w:pPr>
        <w:pStyle w:val="ListParagraph"/>
        <w:ind w:left="360"/>
      </w:pPr>
    </w:p>
    <w:sectPr w:rsidR="001B0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B53000"/>
    <w:multiLevelType w:val="hybridMultilevel"/>
    <w:tmpl w:val="365844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455C8F"/>
    <w:multiLevelType w:val="multilevel"/>
    <w:tmpl w:val="4C9EDA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9718DF"/>
    <w:multiLevelType w:val="hybridMultilevel"/>
    <w:tmpl w:val="B6B24D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630AB5"/>
    <w:multiLevelType w:val="multilevel"/>
    <w:tmpl w:val="EE40D5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11"/>
  </w:num>
  <w:num w:numId="4">
    <w:abstractNumId w:val="19"/>
  </w:num>
  <w:num w:numId="5">
    <w:abstractNumId w:val="30"/>
  </w:num>
  <w:num w:numId="6">
    <w:abstractNumId w:val="14"/>
  </w:num>
  <w:num w:numId="7">
    <w:abstractNumId w:val="28"/>
  </w:num>
  <w:num w:numId="8">
    <w:abstractNumId w:val="35"/>
  </w:num>
  <w:num w:numId="9">
    <w:abstractNumId w:val="33"/>
  </w:num>
  <w:num w:numId="10">
    <w:abstractNumId w:val="10"/>
  </w:num>
  <w:num w:numId="11">
    <w:abstractNumId w:val="24"/>
  </w:num>
  <w:num w:numId="12">
    <w:abstractNumId w:val="27"/>
  </w:num>
  <w:num w:numId="13">
    <w:abstractNumId w:val="5"/>
  </w:num>
  <w:num w:numId="14">
    <w:abstractNumId w:val="9"/>
  </w:num>
  <w:num w:numId="15">
    <w:abstractNumId w:val="18"/>
  </w:num>
  <w:num w:numId="16">
    <w:abstractNumId w:val="12"/>
  </w:num>
  <w:num w:numId="17">
    <w:abstractNumId w:val="31"/>
  </w:num>
  <w:num w:numId="18">
    <w:abstractNumId w:val="17"/>
  </w:num>
  <w:num w:numId="19">
    <w:abstractNumId w:val="6"/>
  </w:num>
  <w:num w:numId="20">
    <w:abstractNumId w:val="20"/>
  </w:num>
  <w:num w:numId="21">
    <w:abstractNumId w:val="23"/>
  </w:num>
  <w:num w:numId="22">
    <w:abstractNumId w:val="25"/>
  </w:num>
  <w:num w:numId="23">
    <w:abstractNumId w:val="13"/>
  </w:num>
  <w:num w:numId="24">
    <w:abstractNumId w:val="3"/>
  </w:num>
  <w:num w:numId="25">
    <w:abstractNumId w:val="22"/>
  </w:num>
  <w:num w:numId="26">
    <w:abstractNumId w:val="1"/>
  </w:num>
  <w:num w:numId="27">
    <w:abstractNumId w:val="26"/>
  </w:num>
  <w:num w:numId="28">
    <w:abstractNumId w:val="0"/>
  </w:num>
  <w:num w:numId="29">
    <w:abstractNumId w:val="4"/>
  </w:num>
  <w:num w:numId="30">
    <w:abstractNumId w:val="21"/>
  </w:num>
  <w:num w:numId="31">
    <w:abstractNumId w:val="15"/>
  </w:num>
  <w:num w:numId="32">
    <w:abstractNumId w:val="29"/>
  </w:num>
  <w:num w:numId="33">
    <w:abstractNumId w:val="37"/>
  </w:num>
  <w:num w:numId="34">
    <w:abstractNumId w:val="36"/>
  </w:num>
  <w:num w:numId="35">
    <w:abstractNumId w:val="32"/>
  </w:num>
  <w:num w:numId="36">
    <w:abstractNumId w:val="34"/>
  </w:num>
  <w:num w:numId="37">
    <w:abstractNumId w:val="8"/>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56"/>
    <w:rsid w:val="00015022"/>
    <w:rsid w:val="00016F6F"/>
    <w:rsid w:val="00022A0B"/>
    <w:rsid w:val="00023108"/>
    <w:rsid w:val="00035EEF"/>
    <w:rsid w:val="000369C7"/>
    <w:rsid w:val="00037342"/>
    <w:rsid w:val="00040AAE"/>
    <w:rsid w:val="000416C7"/>
    <w:rsid w:val="00041B0B"/>
    <w:rsid w:val="00045DA2"/>
    <w:rsid w:val="000510A8"/>
    <w:rsid w:val="00055EF2"/>
    <w:rsid w:val="00064B08"/>
    <w:rsid w:val="00064D63"/>
    <w:rsid w:val="00065798"/>
    <w:rsid w:val="00082300"/>
    <w:rsid w:val="00086967"/>
    <w:rsid w:val="000A03D2"/>
    <w:rsid w:val="000A17BC"/>
    <w:rsid w:val="000A5243"/>
    <w:rsid w:val="000A7F70"/>
    <w:rsid w:val="000C21A6"/>
    <w:rsid w:val="000C4494"/>
    <w:rsid w:val="000C7F47"/>
    <w:rsid w:val="000D0325"/>
    <w:rsid w:val="000D1A74"/>
    <w:rsid w:val="000D6AFC"/>
    <w:rsid w:val="000E25E3"/>
    <w:rsid w:val="000E348F"/>
    <w:rsid w:val="000E6EF6"/>
    <w:rsid w:val="000F6E50"/>
    <w:rsid w:val="000F79B1"/>
    <w:rsid w:val="00112A83"/>
    <w:rsid w:val="00122C40"/>
    <w:rsid w:val="001331BF"/>
    <w:rsid w:val="0015246F"/>
    <w:rsid w:val="00174E8D"/>
    <w:rsid w:val="001B055C"/>
    <w:rsid w:val="001B2E76"/>
    <w:rsid w:val="001B38A8"/>
    <w:rsid w:val="001C34F5"/>
    <w:rsid w:val="001C701D"/>
    <w:rsid w:val="001C7347"/>
    <w:rsid w:val="001D77D2"/>
    <w:rsid w:val="001E08F2"/>
    <w:rsid w:val="001E3398"/>
    <w:rsid w:val="001E48C2"/>
    <w:rsid w:val="001E6860"/>
    <w:rsid w:val="00204038"/>
    <w:rsid w:val="00205DB7"/>
    <w:rsid w:val="00212A46"/>
    <w:rsid w:val="00227B08"/>
    <w:rsid w:val="00230508"/>
    <w:rsid w:val="00243767"/>
    <w:rsid w:val="00253682"/>
    <w:rsid w:val="00263303"/>
    <w:rsid w:val="00265409"/>
    <w:rsid w:val="00267283"/>
    <w:rsid w:val="00267FB5"/>
    <w:rsid w:val="002848AB"/>
    <w:rsid w:val="00297640"/>
    <w:rsid w:val="002A6C4F"/>
    <w:rsid w:val="002B57D6"/>
    <w:rsid w:val="002B7685"/>
    <w:rsid w:val="002C0BD1"/>
    <w:rsid w:val="002C0EAB"/>
    <w:rsid w:val="002F0B35"/>
    <w:rsid w:val="002F66B8"/>
    <w:rsid w:val="003016EE"/>
    <w:rsid w:val="00304140"/>
    <w:rsid w:val="003045FF"/>
    <w:rsid w:val="0031157E"/>
    <w:rsid w:val="00317206"/>
    <w:rsid w:val="00317DAC"/>
    <w:rsid w:val="00320716"/>
    <w:rsid w:val="003216E8"/>
    <w:rsid w:val="00321D46"/>
    <w:rsid w:val="003330C8"/>
    <w:rsid w:val="00341F65"/>
    <w:rsid w:val="003458DD"/>
    <w:rsid w:val="00353E1A"/>
    <w:rsid w:val="003646DE"/>
    <w:rsid w:val="0036536C"/>
    <w:rsid w:val="00366C0D"/>
    <w:rsid w:val="00385118"/>
    <w:rsid w:val="00392095"/>
    <w:rsid w:val="003B0D19"/>
    <w:rsid w:val="003B137E"/>
    <w:rsid w:val="003B503B"/>
    <w:rsid w:val="003B7151"/>
    <w:rsid w:val="003E495D"/>
    <w:rsid w:val="003F02BF"/>
    <w:rsid w:val="003F0316"/>
    <w:rsid w:val="003F0DB8"/>
    <w:rsid w:val="003F70C9"/>
    <w:rsid w:val="0040081B"/>
    <w:rsid w:val="00400A32"/>
    <w:rsid w:val="00401261"/>
    <w:rsid w:val="00411EA7"/>
    <w:rsid w:val="00412A1F"/>
    <w:rsid w:val="00420404"/>
    <w:rsid w:val="00420763"/>
    <w:rsid w:val="00420791"/>
    <w:rsid w:val="0042470E"/>
    <w:rsid w:val="00427C44"/>
    <w:rsid w:val="00431063"/>
    <w:rsid w:val="00437873"/>
    <w:rsid w:val="004436F4"/>
    <w:rsid w:val="00447029"/>
    <w:rsid w:val="00450917"/>
    <w:rsid w:val="00452D1F"/>
    <w:rsid w:val="00461378"/>
    <w:rsid w:val="00462A79"/>
    <w:rsid w:val="00463AE7"/>
    <w:rsid w:val="00482327"/>
    <w:rsid w:val="00484BB7"/>
    <w:rsid w:val="00492FEE"/>
    <w:rsid w:val="00496C66"/>
    <w:rsid w:val="004A530C"/>
    <w:rsid w:val="004B5309"/>
    <w:rsid w:val="004C3695"/>
    <w:rsid w:val="004D0A69"/>
    <w:rsid w:val="004D4E0B"/>
    <w:rsid w:val="004D6302"/>
    <w:rsid w:val="004E49CA"/>
    <w:rsid w:val="004E780F"/>
    <w:rsid w:val="004F0E51"/>
    <w:rsid w:val="004F1EE8"/>
    <w:rsid w:val="00500C0B"/>
    <w:rsid w:val="005011E5"/>
    <w:rsid w:val="00504D1F"/>
    <w:rsid w:val="00520BB4"/>
    <w:rsid w:val="00522E90"/>
    <w:rsid w:val="00524A00"/>
    <w:rsid w:val="005266DA"/>
    <w:rsid w:val="0055345C"/>
    <w:rsid w:val="0055394D"/>
    <w:rsid w:val="0057266E"/>
    <w:rsid w:val="00581236"/>
    <w:rsid w:val="005876D2"/>
    <w:rsid w:val="00596877"/>
    <w:rsid w:val="005971DA"/>
    <w:rsid w:val="005A3FDD"/>
    <w:rsid w:val="005B1169"/>
    <w:rsid w:val="005C2AEC"/>
    <w:rsid w:val="005C41EF"/>
    <w:rsid w:val="005C540E"/>
    <w:rsid w:val="005D1C0F"/>
    <w:rsid w:val="005D6EEC"/>
    <w:rsid w:val="005D7526"/>
    <w:rsid w:val="005E702A"/>
    <w:rsid w:val="005F2669"/>
    <w:rsid w:val="005F7B51"/>
    <w:rsid w:val="00600F43"/>
    <w:rsid w:val="00610369"/>
    <w:rsid w:val="00652AA8"/>
    <w:rsid w:val="00654C39"/>
    <w:rsid w:val="00655FB4"/>
    <w:rsid w:val="006615CC"/>
    <w:rsid w:val="00665AC3"/>
    <w:rsid w:val="006716BD"/>
    <w:rsid w:val="00672DF5"/>
    <w:rsid w:val="006962D5"/>
    <w:rsid w:val="006A59F5"/>
    <w:rsid w:val="006C56E7"/>
    <w:rsid w:val="006C6A72"/>
    <w:rsid w:val="006D2AFC"/>
    <w:rsid w:val="006D371E"/>
    <w:rsid w:val="006D393E"/>
    <w:rsid w:val="0072240C"/>
    <w:rsid w:val="00733719"/>
    <w:rsid w:val="007366C2"/>
    <w:rsid w:val="00736986"/>
    <w:rsid w:val="00743E88"/>
    <w:rsid w:val="00746829"/>
    <w:rsid w:val="00753C81"/>
    <w:rsid w:val="00776D26"/>
    <w:rsid w:val="007A406A"/>
    <w:rsid w:val="007A606C"/>
    <w:rsid w:val="007C2788"/>
    <w:rsid w:val="007C736F"/>
    <w:rsid w:val="007E4911"/>
    <w:rsid w:val="007E50A5"/>
    <w:rsid w:val="007F0200"/>
    <w:rsid w:val="007F18AC"/>
    <w:rsid w:val="00802F6A"/>
    <w:rsid w:val="00822AB2"/>
    <w:rsid w:val="0082697E"/>
    <w:rsid w:val="00830ECD"/>
    <w:rsid w:val="00850AD4"/>
    <w:rsid w:val="00864A09"/>
    <w:rsid w:val="0087191D"/>
    <w:rsid w:val="00886C26"/>
    <w:rsid w:val="00887A09"/>
    <w:rsid w:val="008A3B08"/>
    <w:rsid w:val="008C0282"/>
    <w:rsid w:val="008D026B"/>
    <w:rsid w:val="008D4CF6"/>
    <w:rsid w:val="008E730D"/>
    <w:rsid w:val="008F7EC6"/>
    <w:rsid w:val="00901B9A"/>
    <w:rsid w:val="00903B48"/>
    <w:rsid w:val="00922575"/>
    <w:rsid w:val="00926A6C"/>
    <w:rsid w:val="009302F3"/>
    <w:rsid w:val="00932829"/>
    <w:rsid w:val="009339DC"/>
    <w:rsid w:val="00965566"/>
    <w:rsid w:val="00977B6D"/>
    <w:rsid w:val="00990523"/>
    <w:rsid w:val="00994AE3"/>
    <w:rsid w:val="00994EFA"/>
    <w:rsid w:val="009964EF"/>
    <w:rsid w:val="009A1032"/>
    <w:rsid w:val="009A21F1"/>
    <w:rsid w:val="009B0C5B"/>
    <w:rsid w:val="009C0239"/>
    <w:rsid w:val="009C10DB"/>
    <w:rsid w:val="009C2993"/>
    <w:rsid w:val="009C7B53"/>
    <w:rsid w:val="009D328D"/>
    <w:rsid w:val="009D738E"/>
    <w:rsid w:val="009E2E17"/>
    <w:rsid w:val="00A03190"/>
    <w:rsid w:val="00A23058"/>
    <w:rsid w:val="00A3037B"/>
    <w:rsid w:val="00A415BD"/>
    <w:rsid w:val="00A44DD0"/>
    <w:rsid w:val="00A51EC5"/>
    <w:rsid w:val="00A57F5C"/>
    <w:rsid w:val="00A662B2"/>
    <w:rsid w:val="00A75ECC"/>
    <w:rsid w:val="00A87228"/>
    <w:rsid w:val="00A95ABE"/>
    <w:rsid w:val="00A9702F"/>
    <w:rsid w:val="00AA398F"/>
    <w:rsid w:val="00AA667A"/>
    <w:rsid w:val="00AC2C4F"/>
    <w:rsid w:val="00AC784D"/>
    <w:rsid w:val="00AD1EAC"/>
    <w:rsid w:val="00AD2DFF"/>
    <w:rsid w:val="00AE66D7"/>
    <w:rsid w:val="00AE697A"/>
    <w:rsid w:val="00AE727F"/>
    <w:rsid w:val="00AF53ED"/>
    <w:rsid w:val="00AF5B89"/>
    <w:rsid w:val="00B0758B"/>
    <w:rsid w:val="00B15E54"/>
    <w:rsid w:val="00B23993"/>
    <w:rsid w:val="00B378CE"/>
    <w:rsid w:val="00B37CBB"/>
    <w:rsid w:val="00B439CC"/>
    <w:rsid w:val="00B53375"/>
    <w:rsid w:val="00B60EC6"/>
    <w:rsid w:val="00B613A0"/>
    <w:rsid w:val="00B63C96"/>
    <w:rsid w:val="00B65EF4"/>
    <w:rsid w:val="00B76D0F"/>
    <w:rsid w:val="00B83037"/>
    <w:rsid w:val="00B92E00"/>
    <w:rsid w:val="00BB14E4"/>
    <w:rsid w:val="00BC3301"/>
    <w:rsid w:val="00BD521C"/>
    <w:rsid w:val="00BE3F9C"/>
    <w:rsid w:val="00BE5F92"/>
    <w:rsid w:val="00BE6654"/>
    <w:rsid w:val="00BE7AE9"/>
    <w:rsid w:val="00BF0068"/>
    <w:rsid w:val="00C14C98"/>
    <w:rsid w:val="00C17845"/>
    <w:rsid w:val="00C24FC7"/>
    <w:rsid w:val="00C31C73"/>
    <w:rsid w:val="00C53B1E"/>
    <w:rsid w:val="00C66B96"/>
    <w:rsid w:val="00C72A80"/>
    <w:rsid w:val="00C7380B"/>
    <w:rsid w:val="00C93786"/>
    <w:rsid w:val="00C946E7"/>
    <w:rsid w:val="00CA380C"/>
    <w:rsid w:val="00CA4AA2"/>
    <w:rsid w:val="00CA6A9C"/>
    <w:rsid w:val="00CB1827"/>
    <w:rsid w:val="00CB6C56"/>
    <w:rsid w:val="00CC2689"/>
    <w:rsid w:val="00CC3D52"/>
    <w:rsid w:val="00CC7B16"/>
    <w:rsid w:val="00CD27CC"/>
    <w:rsid w:val="00CD4BA6"/>
    <w:rsid w:val="00CD51F4"/>
    <w:rsid w:val="00CE253A"/>
    <w:rsid w:val="00CE5C43"/>
    <w:rsid w:val="00D016A3"/>
    <w:rsid w:val="00D1372C"/>
    <w:rsid w:val="00D1448E"/>
    <w:rsid w:val="00D1705A"/>
    <w:rsid w:val="00D2317F"/>
    <w:rsid w:val="00D269D0"/>
    <w:rsid w:val="00D26C76"/>
    <w:rsid w:val="00D37F33"/>
    <w:rsid w:val="00D4154B"/>
    <w:rsid w:val="00D5469C"/>
    <w:rsid w:val="00D55C8F"/>
    <w:rsid w:val="00D56324"/>
    <w:rsid w:val="00D57939"/>
    <w:rsid w:val="00D6037F"/>
    <w:rsid w:val="00D62622"/>
    <w:rsid w:val="00D66A80"/>
    <w:rsid w:val="00D66D52"/>
    <w:rsid w:val="00D67C18"/>
    <w:rsid w:val="00D75904"/>
    <w:rsid w:val="00D770DC"/>
    <w:rsid w:val="00D865D4"/>
    <w:rsid w:val="00D90B14"/>
    <w:rsid w:val="00D92969"/>
    <w:rsid w:val="00D95248"/>
    <w:rsid w:val="00DA139E"/>
    <w:rsid w:val="00DA61AE"/>
    <w:rsid w:val="00DB3FB5"/>
    <w:rsid w:val="00DB5DCC"/>
    <w:rsid w:val="00DC5E4F"/>
    <w:rsid w:val="00DC779E"/>
    <w:rsid w:val="00DD02CA"/>
    <w:rsid w:val="00E024C5"/>
    <w:rsid w:val="00E04206"/>
    <w:rsid w:val="00E06529"/>
    <w:rsid w:val="00E17B6C"/>
    <w:rsid w:val="00E32380"/>
    <w:rsid w:val="00E3555E"/>
    <w:rsid w:val="00E43913"/>
    <w:rsid w:val="00E52633"/>
    <w:rsid w:val="00E53F8E"/>
    <w:rsid w:val="00E56415"/>
    <w:rsid w:val="00E624C7"/>
    <w:rsid w:val="00E64A3B"/>
    <w:rsid w:val="00E90E87"/>
    <w:rsid w:val="00EA1549"/>
    <w:rsid w:val="00EA38DD"/>
    <w:rsid w:val="00EC0515"/>
    <w:rsid w:val="00EC30C2"/>
    <w:rsid w:val="00EC691C"/>
    <w:rsid w:val="00ED0EE0"/>
    <w:rsid w:val="00ED4286"/>
    <w:rsid w:val="00EE1271"/>
    <w:rsid w:val="00EE3689"/>
    <w:rsid w:val="00EE4373"/>
    <w:rsid w:val="00EE505C"/>
    <w:rsid w:val="00F0410F"/>
    <w:rsid w:val="00F0752A"/>
    <w:rsid w:val="00F16CC3"/>
    <w:rsid w:val="00F2658C"/>
    <w:rsid w:val="00F30613"/>
    <w:rsid w:val="00F51E2C"/>
    <w:rsid w:val="00F5644A"/>
    <w:rsid w:val="00F576EF"/>
    <w:rsid w:val="00F60A5D"/>
    <w:rsid w:val="00F76310"/>
    <w:rsid w:val="00F81BF9"/>
    <w:rsid w:val="00F869CD"/>
    <w:rsid w:val="00F97153"/>
    <w:rsid w:val="00FA1A6E"/>
    <w:rsid w:val="00FC1F65"/>
    <w:rsid w:val="00FC2DDC"/>
    <w:rsid w:val="00FC3E38"/>
    <w:rsid w:val="00FC4F0B"/>
    <w:rsid w:val="00FC6655"/>
    <w:rsid w:val="00FF1E56"/>
    <w:rsid w:val="00FF3D32"/>
    <w:rsid w:val="00FF610A"/>
    <w:rsid w:val="00FF6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99532"/>
  <w15:chartTrackingRefBased/>
  <w15:docId w15:val="{74CFE2AB-0E56-E040-99C6-C1B3F3F08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375"/>
    <w:rPr>
      <w:rFonts w:ascii="Times New Roman" w:eastAsia="Times New Roman" w:hAnsi="Times New Roman" w:cs="Times New Roman"/>
      <w:lang w:eastAsia="en-GB"/>
    </w:rPr>
  </w:style>
  <w:style w:type="paragraph" w:styleId="Heading1">
    <w:name w:val="heading 1"/>
    <w:basedOn w:val="Normal"/>
    <w:link w:val="Heading1Char"/>
    <w:uiPriority w:val="9"/>
    <w:qFormat/>
    <w:rsid w:val="00230508"/>
    <w:pPr>
      <w:widowControl w:val="0"/>
      <w:autoSpaceDE w:val="0"/>
      <w:autoSpaceDN w:val="0"/>
      <w:ind w:left="220"/>
      <w:outlineLvl w:val="0"/>
    </w:pPr>
    <w:rPr>
      <w:rFonts w:ascii="Arial" w:eastAsia="Calibri Light" w:hAnsi="Arial" w:cs="Calibri Light"/>
      <w:b/>
      <w:sz w:val="32"/>
      <w:szCs w:val="32"/>
      <w:lang w:bidi="en-GB"/>
    </w:rPr>
  </w:style>
  <w:style w:type="paragraph" w:styleId="Heading2">
    <w:name w:val="heading 2"/>
    <w:basedOn w:val="Normal"/>
    <w:next w:val="Normal"/>
    <w:link w:val="Heading2Char"/>
    <w:uiPriority w:val="9"/>
    <w:unhideWhenUsed/>
    <w:qFormat/>
    <w:rsid w:val="001C34F5"/>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next w:val="Normal"/>
    <w:link w:val="Heading4Char"/>
    <w:uiPriority w:val="9"/>
    <w:unhideWhenUsed/>
    <w:qFormat/>
    <w:rsid w:val="001C34F5"/>
    <w:pPr>
      <w:keepNext/>
      <w:keepLines/>
      <w:spacing w:before="40" w:line="360" w:lineRule="auto"/>
      <w:jc w:val="both"/>
      <w:outlineLvl w:val="3"/>
    </w:pPr>
    <w:rPr>
      <w:rFonts w:asciiTheme="majorHAnsi" w:eastAsiaTheme="majorEastAsia" w:hAnsiTheme="majorHAnsi" w:cstheme="majorBidi"/>
      <w:i/>
      <w:iCs/>
      <w:color w:val="2F5496" w:themeColor="accent1" w:themeShade="BF"/>
      <w:kern w:val="2"/>
      <w:sz w:val="22"/>
      <w:szCs w:val="2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5F92"/>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230508"/>
    <w:rPr>
      <w:rFonts w:ascii="Arial" w:eastAsia="Calibri Light" w:hAnsi="Arial" w:cs="Calibri Light"/>
      <w:b/>
      <w:sz w:val="32"/>
      <w:szCs w:val="32"/>
      <w:lang w:eastAsia="en-GB" w:bidi="en-GB"/>
    </w:rPr>
  </w:style>
  <w:style w:type="paragraph" w:styleId="BodyText">
    <w:name w:val="Body Text"/>
    <w:basedOn w:val="Normal"/>
    <w:link w:val="BodyTextChar"/>
    <w:uiPriority w:val="1"/>
    <w:unhideWhenUsed/>
    <w:qFormat/>
    <w:rsid w:val="00230508"/>
    <w:pPr>
      <w:widowControl w:val="0"/>
      <w:autoSpaceDE w:val="0"/>
      <w:autoSpaceDN w:val="0"/>
    </w:pPr>
    <w:rPr>
      <w:rFonts w:ascii="Arial" w:eastAsia="Calibri Light" w:hAnsi="Arial" w:cs="Calibri Light"/>
      <w:sz w:val="22"/>
      <w:szCs w:val="22"/>
      <w:lang w:bidi="en-GB"/>
    </w:rPr>
  </w:style>
  <w:style w:type="character" w:customStyle="1" w:styleId="BodyTextChar">
    <w:name w:val="Body Text Char"/>
    <w:basedOn w:val="DefaultParagraphFont"/>
    <w:link w:val="BodyText"/>
    <w:uiPriority w:val="1"/>
    <w:rsid w:val="00230508"/>
    <w:rPr>
      <w:rFonts w:ascii="Arial" w:eastAsia="Calibri Light" w:hAnsi="Arial" w:cs="Calibri Light"/>
      <w:sz w:val="22"/>
      <w:szCs w:val="22"/>
      <w:lang w:eastAsia="en-GB" w:bidi="en-GB"/>
    </w:rPr>
  </w:style>
  <w:style w:type="paragraph" w:styleId="NormalWeb">
    <w:name w:val="Normal (Web)"/>
    <w:basedOn w:val="Normal"/>
    <w:uiPriority w:val="99"/>
    <w:unhideWhenUsed/>
    <w:rsid w:val="00230508"/>
    <w:pPr>
      <w:spacing w:before="100" w:beforeAutospacing="1" w:after="100" w:afterAutospacing="1"/>
    </w:pPr>
  </w:style>
  <w:style w:type="character" w:customStyle="1" w:styleId="apple-converted-space">
    <w:name w:val="apple-converted-space"/>
    <w:basedOn w:val="DefaultParagraphFont"/>
    <w:rsid w:val="004C3695"/>
  </w:style>
  <w:style w:type="table" w:styleId="TableGrid">
    <w:name w:val="Table Grid"/>
    <w:basedOn w:val="TableNormal"/>
    <w:uiPriority w:val="39"/>
    <w:rsid w:val="005876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345C"/>
    <w:rPr>
      <w:color w:val="0563C1" w:themeColor="hyperlink"/>
      <w:u w:val="single"/>
    </w:rPr>
  </w:style>
  <w:style w:type="character" w:styleId="UnresolvedMention">
    <w:name w:val="Unresolved Mention"/>
    <w:basedOn w:val="DefaultParagraphFont"/>
    <w:uiPriority w:val="99"/>
    <w:semiHidden/>
    <w:unhideWhenUsed/>
    <w:rsid w:val="0055345C"/>
    <w:rPr>
      <w:color w:val="605E5C"/>
      <w:shd w:val="clear" w:color="auto" w:fill="E1DFDD"/>
    </w:rPr>
  </w:style>
  <w:style w:type="character" w:styleId="FollowedHyperlink">
    <w:name w:val="FollowedHyperlink"/>
    <w:basedOn w:val="DefaultParagraphFont"/>
    <w:uiPriority w:val="99"/>
    <w:semiHidden/>
    <w:unhideWhenUsed/>
    <w:rsid w:val="0055345C"/>
    <w:rPr>
      <w:color w:val="954F72" w:themeColor="followedHyperlink"/>
      <w:u w:val="single"/>
    </w:rPr>
  </w:style>
  <w:style w:type="character" w:customStyle="1" w:styleId="Heading2Char">
    <w:name w:val="Heading 2 Char"/>
    <w:basedOn w:val="DefaultParagraphFont"/>
    <w:link w:val="Heading2"/>
    <w:uiPriority w:val="9"/>
    <w:rsid w:val="001C34F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1C34F5"/>
    <w:rPr>
      <w:rFonts w:asciiTheme="majorHAnsi" w:eastAsiaTheme="majorEastAsia" w:hAnsiTheme="majorHAnsi" w:cstheme="majorBidi"/>
      <w:i/>
      <w:iCs/>
      <w:color w:val="2F5496" w:themeColor="accent1" w:themeShade="BF"/>
      <w:kern w:val="2"/>
      <w:sz w:val="22"/>
      <w:szCs w:val="22"/>
      <w:lang w:eastAsia="zh-CN"/>
      <w14:ligatures w14:val="standardContextual"/>
    </w:rPr>
  </w:style>
  <w:style w:type="character" w:styleId="Strong">
    <w:name w:val="Strong"/>
    <w:basedOn w:val="DefaultParagraphFont"/>
    <w:uiPriority w:val="22"/>
    <w:qFormat/>
    <w:rsid w:val="001C34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1087">
      <w:bodyDiv w:val="1"/>
      <w:marLeft w:val="0"/>
      <w:marRight w:val="0"/>
      <w:marTop w:val="0"/>
      <w:marBottom w:val="0"/>
      <w:divBdr>
        <w:top w:val="none" w:sz="0" w:space="0" w:color="auto"/>
        <w:left w:val="none" w:sz="0" w:space="0" w:color="auto"/>
        <w:bottom w:val="none" w:sz="0" w:space="0" w:color="auto"/>
        <w:right w:val="none" w:sz="0" w:space="0" w:color="auto"/>
      </w:divBdr>
    </w:div>
    <w:div w:id="39407558">
      <w:bodyDiv w:val="1"/>
      <w:marLeft w:val="0"/>
      <w:marRight w:val="0"/>
      <w:marTop w:val="0"/>
      <w:marBottom w:val="0"/>
      <w:divBdr>
        <w:top w:val="none" w:sz="0" w:space="0" w:color="auto"/>
        <w:left w:val="none" w:sz="0" w:space="0" w:color="auto"/>
        <w:bottom w:val="none" w:sz="0" w:space="0" w:color="auto"/>
        <w:right w:val="none" w:sz="0" w:space="0" w:color="auto"/>
      </w:divBdr>
      <w:divsChild>
        <w:div w:id="2081365094">
          <w:marLeft w:val="0"/>
          <w:marRight w:val="0"/>
          <w:marTop w:val="0"/>
          <w:marBottom w:val="0"/>
          <w:divBdr>
            <w:top w:val="none" w:sz="0" w:space="0" w:color="auto"/>
            <w:left w:val="none" w:sz="0" w:space="0" w:color="auto"/>
            <w:bottom w:val="none" w:sz="0" w:space="0" w:color="auto"/>
            <w:right w:val="none" w:sz="0" w:space="0" w:color="auto"/>
          </w:divBdr>
        </w:div>
      </w:divsChild>
    </w:div>
    <w:div w:id="51275520">
      <w:bodyDiv w:val="1"/>
      <w:marLeft w:val="0"/>
      <w:marRight w:val="0"/>
      <w:marTop w:val="0"/>
      <w:marBottom w:val="0"/>
      <w:divBdr>
        <w:top w:val="none" w:sz="0" w:space="0" w:color="auto"/>
        <w:left w:val="none" w:sz="0" w:space="0" w:color="auto"/>
        <w:bottom w:val="none" w:sz="0" w:space="0" w:color="auto"/>
        <w:right w:val="none" w:sz="0" w:space="0" w:color="auto"/>
      </w:divBdr>
    </w:div>
    <w:div w:id="55934421">
      <w:bodyDiv w:val="1"/>
      <w:marLeft w:val="0"/>
      <w:marRight w:val="0"/>
      <w:marTop w:val="0"/>
      <w:marBottom w:val="0"/>
      <w:divBdr>
        <w:top w:val="none" w:sz="0" w:space="0" w:color="auto"/>
        <w:left w:val="none" w:sz="0" w:space="0" w:color="auto"/>
        <w:bottom w:val="none" w:sz="0" w:space="0" w:color="auto"/>
        <w:right w:val="none" w:sz="0" w:space="0" w:color="auto"/>
      </w:divBdr>
      <w:divsChild>
        <w:div w:id="1384326894">
          <w:marLeft w:val="0"/>
          <w:marRight w:val="0"/>
          <w:marTop w:val="0"/>
          <w:marBottom w:val="0"/>
          <w:divBdr>
            <w:top w:val="none" w:sz="0" w:space="0" w:color="auto"/>
            <w:left w:val="none" w:sz="0" w:space="0" w:color="auto"/>
            <w:bottom w:val="none" w:sz="0" w:space="0" w:color="auto"/>
            <w:right w:val="none" w:sz="0" w:space="0" w:color="auto"/>
          </w:divBdr>
        </w:div>
      </w:divsChild>
    </w:div>
    <w:div w:id="92552865">
      <w:bodyDiv w:val="1"/>
      <w:marLeft w:val="0"/>
      <w:marRight w:val="0"/>
      <w:marTop w:val="0"/>
      <w:marBottom w:val="0"/>
      <w:divBdr>
        <w:top w:val="none" w:sz="0" w:space="0" w:color="auto"/>
        <w:left w:val="none" w:sz="0" w:space="0" w:color="auto"/>
        <w:bottom w:val="none" w:sz="0" w:space="0" w:color="auto"/>
        <w:right w:val="none" w:sz="0" w:space="0" w:color="auto"/>
      </w:divBdr>
      <w:divsChild>
        <w:div w:id="750854123">
          <w:marLeft w:val="0"/>
          <w:marRight w:val="0"/>
          <w:marTop w:val="0"/>
          <w:marBottom w:val="0"/>
          <w:divBdr>
            <w:top w:val="none" w:sz="0" w:space="0" w:color="auto"/>
            <w:left w:val="none" w:sz="0" w:space="0" w:color="auto"/>
            <w:bottom w:val="none" w:sz="0" w:space="0" w:color="auto"/>
            <w:right w:val="none" w:sz="0" w:space="0" w:color="auto"/>
          </w:divBdr>
        </w:div>
      </w:divsChild>
    </w:div>
    <w:div w:id="93938391">
      <w:bodyDiv w:val="1"/>
      <w:marLeft w:val="0"/>
      <w:marRight w:val="0"/>
      <w:marTop w:val="0"/>
      <w:marBottom w:val="0"/>
      <w:divBdr>
        <w:top w:val="none" w:sz="0" w:space="0" w:color="auto"/>
        <w:left w:val="none" w:sz="0" w:space="0" w:color="auto"/>
        <w:bottom w:val="none" w:sz="0" w:space="0" w:color="auto"/>
        <w:right w:val="none" w:sz="0" w:space="0" w:color="auto"/>
      </w:divBdr>
      <w:divsChild>
        <w:div w:id="2008436008">
          <w:marLeft w:val="0"/>
          <w:marRight w:val="0"/>
          <w:marTop w:val="0"/>
          <w:marBottom w:val="0"/>
          <w:divBdr>
            <w:top w:val="none" w:sz="0" w:space="0" w:color="auto"/>
            <w:left w:val="none" w:sz="0" w:space="0" w:color="auto"/>
            <w:bottom w:val="none" w:sz="0" w:space="0" w:color="auto"/>
            <w:right w:val="none" w:sz="0" w:space="0" w:color="auto"/>
          </w:divBdr>
        </w:div>
      </w:divsChild>
    </w:div>
    <w:div w:id="144669152">
      <w:bodyDiv w:val="1"/>
      <w:marLeft w:val="0"/>
      <w:marRight w:val="0"/>
      <w:marTop w:val="0"/>
      <w:marBottom w:val="0"/>
      <w:divBdr>
        <w:top w:val="none" w:sz="0" w:space="0" w:color="auto"/>
        <w:left w:val="none" w:sz="0" w:space="0" w:color="auto"/>
        <w:bottom w:val="none" w:sz="0" w:space="0" w:color="auto"/>
        <w:right w:val="none" w:sz="0" w:space="0" w:color="auto"/>
      </w:divBdr>
    </w:div>
    <w:div w:id="152911307">
      <w:bodyDiv w:val="1"/>
      <w:marLeft w:val="0"/>
      <w:marRight w:val="0"/>
      <w:marTop w:val="0"/>
      <w:marBottom w:val="0"/>
      <w:divBdr>
        <w:top w:val="none" w:sz="0" w:space="0" w:color="auto"/>
        <w:left w:val="none" w:sz="0" w:space="0" w:color="auto"/>
        <w:bottom w:val="none" w:sz="0" w:space="0" w:color="auto"/>
        <w:right w:val="none" w:sz="0" w:space="0" w:color="auto"/>
      </w:divBdr>
      <w:divsChild>
        <w:div w:id="1929073440">
          <w:marLeft w:val="0"/>
          <w:marRight w:val="0"/>
          <w:marTop w:val="0"/>
          <w:marBottom w:val="0"/>
          <w:divBdr>
            <w:top w:val="none" w:sz="0" w:space="0" w:color="auto"/>
            <w:left w:val="none" w:sz="0" w:space="0" w:color="auto"/>
            <w:bottom w:val="none" w:sz="0" w:space="0" w:color="auto"/>
            <w:right w:val="none" w:sz="0" w:space="0" w:color="auto"/>
          </w:divBdr>
        </w:div>
      </w:divsChild>
    </w:div>
    <w:div w:id="156894690">
      <w:bodyDiv w:val="1"/>
      <w:marLeft w:val="0"/>
      <w:marRight w:val="0"/>
      <w:marTop w:val="0"/>
      <w:marBottom w:val="0"/>
      <w:divBdr>
        <w:top w:val="none" w:sz="0" w:space="0" w:color="auto"/>
        <w:left w:val="none" w:sz="0" w:space="0" w:color="auto"/>
        <w:bottom w:val="none" w:sz="0" w:space="0" w:color="auto"/>
        <w:right w:val="none" w:sz="0" w:space="0" w:color="auto"/>
      </w:divBdr>
      <w:divsChild>
        <w:div w:id="667561020">
          <w:marLeft w:val="0"/>
          <w:marRight w:val="0"/>
          <w:marTop w:val="0"/>
          <w:marBottom w:val="0"/>
          <w:divBdr>
            <w:top w:val="none" w:sz="0" w:space="0" w:color="auto"/>
            <w:left w:val="none" w:sz="0" w:space="0" w:color="auto"/>
            <w:bottom w:val="none" w:sz="0" w:space="0" w:color="auto"/>
            <w:right w:val="none" w:sz="0" w:space="0" w:color="auto"/>
          </w:divBdr>
        </w:div>
      </w:divsChild>
    </w:div>
    <w:div w:id="170996590">
      <w:bodyDiv w:val="1"/>
      <w:marLeft w:val="0"/>
      <w:marRight w:val="0"/>
      <w:marTop w:val="0"/>
      <w:marBottom w:val="0"/>
      <w:divBdr>
        <w:top w:val="none" w:sz="0" w:space="0" w:color="auto"/>
        <w:left w:val="none" w:sz="0" w:space="0" w:color="auto"/>
        <w:bottom w:val="none" w:sz="0" w:space="0" w:color="auto"/>
        <w:right w:val="none" w:sz="0" w:space="0" w:color="auto"/>
      </w:divBdr>
    </w:div>
    <w:div w:id="179859832">
      <w:bodyDiv w:val="1"/>
      <w:marLeft w:val="0"/>
      <w:marRight w:val="0"/>
      <w:marTop w:val="0"/>
      <w:marBottom w:val="0"/>
      <w:divBdr>
        <w:top w:val="none" w:sz="0" w:space="0" w:color="auto"/>
        <w:left w:val="none" w:sz="0" w:space="0" w:color="auto"/>
        <w:bottom w:val="none" w:sz="0" w:space="0" w:color="auto"/>
        <w:right w:val="none" w:sz="0" w:space="0" w:color="auto"/>
      </w:divBdr>
      <w:divsChild>
        <w:div w:id="618950113">
          <w:marLeft w:val="0"/>
          <w:marRight w:val="0"/>
          <w:marTop w:val="0"/>
          <w:marBottom w:val="0"/>
          <w:divBdr>
            <w:top w:val="none" w:sz="0" w:space="0" w:color="auto"/>
            <w:left w:val="none" w:sz="0" w:space="0" w:color="auto"/>
            <w:bottom w:val="none" w:sz="0" w:space="0" w:color="auto"/>
            <w:right w:val="none" w:sz="0" w:space="0" w:color="auto"/>
          </w:divBdr>
        </w:div>
      </w:divsChild>
    </w:div>
    <w:div w:id="193613094">
      <w:bodyDiv w:val="1"/>
      <w:marLeft w:val="0"/>
      <w:marRight w:val="0"/>
      <w:marTop w:val="0"/>
      <w:marBottom w:val="0"/>
      <w:divBdr>
        <w:top w:val="none" w:sz="0" w:space="0" w:color="auto"/>
        <w:left w:val="none" w:sz="0" w:space="0" w:color="auto"/>
        <w:bottom w:val="none" w:sz="0" w:space="0" w:color="auto"/>
        <w:right w:val="none" w:sz="0" w:space="0" w:color="auto"/>
      </w:divBdr>
    </w:div>
    <w:div w:id="195893626">
      <w:bodyDiv w:val="1"/>
      <w:marLeft w:val="0"/>
      <w:marRight w:val="0"/>
      <w:marTop w:val="0"/>
      <w:marBottom w:val="0"/>
      <w:divBdr>
        <w:top w:val="none" w:sz="0" w:space="0" w:color="auto"/>
        <w:left w:val="none" w:sz="0" w:space="0" w:color="auto"/>
        <w:bottom w:val="none" w:sz="0" w:space="0" w:color="auto"/>
        <w:right w:val="none" w:sz="0" w:space="0" w:color="auto"/>
      </w:divBdr>
    </w:div>
    <w:div w:id="212280448">
      <w:bodyDiv w:val="1"/>
      <w:marLeft w:val="0"/>
      <w:marRight w:val="0"/>
      <w:marTop w:val="0"/>
      <w:marBottom w:val="0"/>
      <w:divBdr>
        <w:top w:val="none" w:sz="0" w:space="0" w:color="auto"/>
        <w:left w:val="none" w:sz="0" w:space="0" w:color="auto"/>
        <w:bottom w:val="none" w:sz="0" w:space="0" w:color="auto"/>
        <w:right w:val="none" w:sz="0" w:space="0" w:color="auto"/>
      </w:divBdr>
    </w:div>
    <w:div w:id="224754947">
      <w:bodyDiv w:val="1"/>
      <w:marLeft w:val="0"/>
      <w:marRight w:val="0"/>
      <w:marTop w:val="0"/>
      <w:marBottom w:val="0"/>
      <w:divBdr>
        <w:top w:val="none" w:sz="0" w:space="0" w:color="auto"/>
        <w:left w:val="none" w:sz="0" w:space="0" w:color="auto"/>
        <w:bottom w:val="none" w:sz="0" w:space="0" w:color="auto"/>
        <w:right w:val="none" w:sz="0" w:space="0" w:color="auto"/>
      </w:divBdr>
    </w:div>
    <w:div w:id="248126926">
      <w:bodyDiv w:val="1"/>
      <w:marLeft w:val="0"/>
      <w:marRight w:val="0"/>
      <w:marTop w:val="0"/>
      <w:marBottom w:val="0"/>
      <w:divBdr>
        <w:top w:val="none" w:sz="0" w:space="0" w:color="auto"/>
        <w:left w:val="none" w:sz="0" w:space="0" w:color="auto"/>
        <w:bottom w:val="none" w:sz="0" w:space="0" w:color="auto"/>
        <w:right w:val="none" w:sz="0" w:space="0" w:color="auto"/>
      </w:divBdr>
    </w:div>
    <w:div w:id="248201263">
      <w:bodyDiv w:val="1"/>
      <w:marLeft w:val="0"/>
      <w:marRight w:val="0"/>
      <w:marTop w:val="0"/>
      <w:marBottom w:val="0"/>
      <w:divBdr>
        <w:top w:val="none" w:sz="0" w:space="0" w:color="auto"/>
        <w:left w:val="none" w:sz="0" w:space="0" w:color="auto"/>
        <w:bottom w:val="none" w:sz="0" w:space="0" w:color="auto"/>
        <w:right w:val="none" w:sz="0" w:space="0" w:color="auto"/>
      </w:divBdr>
    </w:div>
    <w:div w:id="274798271">
      <w:bodyDiv w:val="1"/>
      <w:marLeft w:val="0"/>
      <w:marRight w:val="0"/>
      <w:marTop w:val="0"/>
      <w:marBottom w:val="0"/>
      <w:divBdr>
        <w:top w:val="none" w:sz="0" w:space="0" w:color="auto"/>
        <w:left w:val="none" w:sz="0" w:space="0" w:color="auto"/>
        <w:bottom w:val="none" w:sz="0" w:space="0" w:color="auto"/>
        <w:right w:val="none" w:sz="0" w:space="0" w:color="auto"/>
      </w:divBdr>
      <w:divsChild>
        <w:div w:id="1304778398">
          <w:marLeft w:val="0"/>
          <w:marRight w:val="0"/>
          <w:marTop w:val="0"/>
          <w:marBottom w:val="0"/>
          <w:divBdr>
            <w:top w:val="none" w:sz="0" w:space="0" w:color="auto"/>
            <w:left w:val="none" w:sz="0" w:space="0" w:color="auto"/>
            <w:bottom w:val="none" w:sz="0" w:space="0" w:color="auto"/>
            <w:right w:val="none" w:sz="0" w:space="0" w:color="auto"/>
          </w:divBdr>
        </w:div>
      </w:divsChild>
    </w:div>
    <w:div w:id="304971129">
      <w:bodyDiv w:val="1"/>
      <w:marLeft w:val="0"/>
      <w:marRight w:val="0"/>
      <w:marTop w:val="0"/>
      <w:marBottom w:val="0"/>
      <w:divBdr>
        <w:top w:val="none" w:sz="0" w:space="0" w:color="auto"/>
        <w:left w:val="none" w:sz="0" w:space="0" w:color="auto"/>
        <w:bottom w:val="none" w:sz="0" w:space="0" w:color="auto"/>
        <w:right w:val="none" w:sz="0" w:space="0" w:color="auto"/>
      </w:divBdr>
      <w:divsChild>
        <w:div w:id="314528634">
          <w:marLeft w:val="0"/>
          <w:marRight w:val="0"/>
          <w:marTop w:val="0"/>
          <w:marBottom w:val="0"/>
          <w:divBdr>
            <w:top w:val="none" w:sz="0" w:space="0" w:color="auto"/>
            <w:left w:val="none" w:sz="0" w:space="0" w:color="auto"/>
            <w:bottom w:val="none" w:sz="0" w:space="0" w:color="auto"/>
            <w:right w:val="none" w:sz="0" w:space="0" w:color="auto"/>
          </w:divBdr>
        </w:div>
      </w:divsChild>
    </w:div>
    <w:div w:id="306982272">
      <w:bodyDiv w:val="1"/>
      <w:marLeft w:val="0"/>
      <w:marRight w:val="0"/>
      <w:marTop w:val="0"/>
      <w:marBottom w:val="0"/>
      <w:divBdr>
        <w:top w:val="none" w:sz="0" w:space="0" w:color="auto"/>
        <w:left w:val="none" w:sz="0" w:space="0" w:color="auto"/>
        <w:bottom w:val="none" w:sz="0" w:space="0" w:color="auto"/>
        <w:right w:val="none" w:sz="0" w:space="0" w:color="auto"/>
      </w:divBdr>
    </w:div>
    <w:div w:id="333336940">
      <w:bodyDiv w:val="1"/>
      <w:marLeft w:val="0"/>
      <w:marRight w:val="0"/>
      <w:marTop w:val="0"/>
      <w:marBottom w:val="0"/>
      <w:divBdr>
        <w:top w:val="none" w:sz="0" w:space="0" w:color="auto"/>
        <w:left w:val="none" w:sz="0" w:space="0" w:color="auto"/>
        <w:bottom w:val="none" w:sz="0" w:space="0" w:color="auto"/>
        <w:right w:val="none" w:sz="0" w:space="0" w:color="auto"/>
      </w:divBdr>
      <w:divsChild>
        <w:div w:id="1828279863">
          <w:marLeft w:val="0"/>
          <w:marRight w:val="0"/>
          <w:marTop w:val="0"/>
          <w:marBottom w:val="0"/>
          <w:divBdr>
            <w:top w:val="none" w:sz="0" w:space="0" w:color="auto"/>
            <w:left w:val="none" w:sz="0" w:space="0" w:color="auto"/>
            <w:bottom w:val="none" w:sz="0" w:space="0" w:color="auto"/>
            <w:right w:val="none" w:sz="0" w:space="0" w:color="auto"/>
          </w:divBdr>
        </w:div>
      </w:divsChild>
    </w:div>
    <w:div w:id="339477401">
      <w:bodyDiv w:val="1"/>
      <w:marLeft w:val="0"/>
      <w:marRight w:val="0"/>
      <w:marTop w:val="0"/>
      <w:marBottom w:val="0"/>
      <w:divBdr>
        <w:top w:val="none" w:sz="0" w:space="0" w:color="auto"/>
        <w:left w:val="none" w:sz="0" w:space="0" w:color="auto"/>
        <w:bottom w:val="none" w:sz="0" w:space="0" w:color="auto"/>
        <w:right w:val="none" w:sz="0" w:space="0" w:color="auto"/>
      </w:divBdr>
      <w:divsChild>
        <w:div w:id="1587574553">
          <w:marLeft w:val="0"/>
          <w:marRight w:val="0"/>
          <w:marTop w:val="0"/>
          <w:marBottom w:val="0"/>
          <w:divBdr>
            <w:top w:val="none" w:sz="0" w:space="0" w:color="auto"/>
            <w:left w:val="none" w:sz="0" w:space="0" w:color="auto"/>
            <w:bottom w:val="none" w:sz="0" w:space="0" w:color="auto"/>
            <w:right w:val="none" w:sz="0" w:space="0" w:color="auto"/>
          </w:divBdr>
        </w:div>
      </w:divsChild>
    </w:div>
    <w:div w:id="347100391">
      <w:bodyDiv w:val="1"/>
      <w:marLeft w:val="0"/>
      <w:marRight w:val="0"/>
      <w:marTop w:val="0"/>
      <w:marBottom w:val="0"/>
      <w:divBdr>
        <w:top w:val="none" w:sz="0" w:space="0" w:color="auto"/>
        <w:left w:val="none" w:sz="0" w:space="0" w:color="auto"/>
        <w:bottom w:val="none" w:sz="0" w:space="0" w:color="auto"/>
        <w:right w:val="none" w:sz="0" w:space="0" w:color="auto"/>
      </w:divBdr>
    </w:div>
    <w:div w:id="355272563">
      <w:bodyDiv w:val="1"/>
      <w:marLeft w:val="0"/>
      <w:marRight w:val="0"/>
      <w:marTop w:val="0"/>
      <w:marBottom w:val="0"/>
      <w:divBdr>
        <w:top w:val="none" w:sz="0" w:space="0" w:color="auto"/>
        <w:left w:val="none" w:sz="0" w:space="0" w:color="auto"/>
        <w:bottom w:val="none" w:sz="0" w:space="0" w:color="auto"/>
        <w:right w:val="none" w:sz="0" w:space="0" w:color="auto"/>
      </w:divBdr>
      <w:divsChild>
        <w:div w:id="1604847687">
          <w:marLeft w:val="0"/>
          <w:marRight w:val="0"/>
          <w:marTop w:val="0"/>
          <w:marBottom w:val="0"/>
          <w:divBdr>
            <w:top w:val="none" w:sz="0" w:space="0" w:color="auto"/>
            <w:left w:val="none" w:sz="0" w:space="0" w:color="auto"/>
            <w:bottom w:val="none" w:sz="0" w:space="0" w:color="auto"/>
            <w:right w:val="none" w:sz="0" w:space="0" w:color="auto"/>
          </w:divBdr>
        </w:div>
      </w:divsChild>
    </w:div>
    <w:div w:id="357700350">
      <w:bodyDiv w:val="1"/>
      <w:marLeft w:val="0"/>
      <w:marRight w:val="0"/>
      <w:marTop w:val="0"/>
      <w:marBottom w:val="0"/>
      <w:divBdr>
        <w:top w:val="none" w:sz="0" w:space="0" w:color="auto"/>
        <w:left w:val="none" w:sz="0" w:space="0" w:color="auto"/>
        <w:bottom w:val="none" w:sz="0" w:space="0" w:color="auto"/>
        <w:right w:val="none" w:sz="0" w:space="0" w:color="auto"/>
      </w:divBdr>
    </w:div>
    <w:div w:id="373893211">
      <w:bodyDiv w:val="1"/>
      <w:marLeft w:val="0"/>
      <w:marRight w:val="0"/>
      <w:marTop w:val="0"/>
      <w:marBottom w:val="0"/>
      <w:divBdr>
        <w:top w:val="none" w:sz="0" w:space="0" w:color="auto"/>
        <w:left w:val="none" w:sz="0" w:space="0" w:color="auto"/>
        <w:bottom w:val="none" w:sz="0" w:space="0" w:color="auto"/>
        <w:right w:val="none" w:sz="0" w:space="0" w:color="auto"/>
      </w:divBdr>
    </w:div>
    <w:div w:id="380062874">
      <w:bodyDiv w:val="1"/>
      <w:marLeft w:val="0"/>
      <w:marRight w:val="0"/>
      <w:marTop w:val="0"/>
      <w:marBottom w:val="0"/>
      <w:divBdr>
        <w:top w:val="none" w:sz="0" w:space="0" w:color="auto"/>
        <w:left w:val="none" w:sz="0" w:space="0" w:color="auto"/>
        <w:bottom w:val="none" w:sz="0" w:space="0" w:color="auto"/>
        <w:right w:val="none" w:sz="0" w:space="0" w:color="auto"/>
      </w:divBdr>
    </w:div>
    <w:div w:id="382678122">
      <w:bodyDiv w:val="1"/>
      <w:marLeft w:val="0"/>
      <w:marRight w:val="0"/>
      <w:marTop w:val="0"/>
      <w:marBottom w:val="0"/>
      <w:divBdr>
        <w:top w:val="none" w:sz="0" w:space="0" w:color="auto"/>
        <w:left w:val="none" w:sz="0" w:space="0" w:color="auto"/>
        <w:bottom w:val="none" w:sz="0" w:space="0" w:color="auto"/>
        <w:right w:val="none" w:sz="0" w:space="0" w:color="auto"/>
      </w:divBdr>
      <w:divsChild>
        <w:div w:id="1040084313">
          <w:marLeft w:val="0"/>
          <w:marRight w:val="0"/>
          <w:marTop w:val="0"/>
          <w:marBottom w:val="0"/>
          <w:divBdr>
            <w:top w:val="none" w:sz="0" w:space="0" w:color="auto"/>
            <w:left w:val="none" w:sz="0" w:space="0" w:color="auto"/>
            <w:bottom w:val="none" w:sz="0" w:space="0" w:color="auto"/>
            <w:right w:val="none" w:sz="0" w:space="0" w:color="auto"/>
          </w:divBdr>
        </w:div>
      </w:divsChild>
    </w:div>
    <w:div w:id="386878931">
      <w:bodyDiv w:val="1"/>
      <w:marLeft w:val="0"/>
      <w:marRight w:val="0"/>
      <w:marTop w:val="0"/>
      <w:marBottom w:val="0"/>
      <w:divBdr>
        <w:top w:val="none" w:sz="0" w:space="0" w:color="auto"/>
        <w:left w:val="none" w:sz="0" w:space="0" w:color="auto"/>
        <w:bottom w:val="none" w:sz="0" w:space="0" w:color="auto"/>
        <w:right w:val="none" w:sz="0" w:space="0" w:color="auto"/>
      </w:divBdr>
    </w:div>
    <w:div w:id="404762501">
      <w:bodyDiv w:val="1"/>
      <w:marLeft w:val="0"/>
      <w:marRight w:val="0"/>
      <w:marTop w:val="0"/>
      <w:marBottom w:val="0"/>
      <w:divBdr>
        <w:top w:val="none" w:sz="0" w:space="0" w:color="auto"/>
        <w:left w:val="none" w:sz="0" w:space="0" w:color="auto"/>
        <w:bottom w:val="none" w:sz="0" w:space="0" w:color="auto"/>
        <w:right w:val="none" w:sz="0" w:space="0" w:color="auto"/>
      </w:divBdr>
    </w:div>
    <w:div w:id="419378952">
      <w:bodyDiv w:val="1"/>
      <w:marLeft w:val="0"/>
      <w:marRight w:val="0"/>
      <w:marTop w:val="0"/>
      <w:marBottom w:val="0"/>
      <w:divBdr>
        <w:top w:val="none" w:sz="0" w:space="0" w:color="auto"/>
        <w:left w:val="none" w:sz="0" w:space="0" w:color="auto"/>
        <w:bottom w:val="none" w:sz="0" w:space="0" w:color="auto"/>
        <w:right w:val="none" w:sz="0" w:space="0" w:color="auto"/>
      </w:divBdr>
    </w:div>
    <w:div w:id="423497680">
      <w:bodyDiv w:val="1"/>
      <w:marLeft w:val="0"/>
      <w:marRight w:val="0"/>
      <w:marTop w:val="0"/>
      <w:marBottom w:val="0"/>
      <w:divBdr>
        <w:top w:val="none" w:sz="0" w:space="0" w:color="auto"/>
        <w:left w:val="none" w:sz="0" w:space="0" w:color="auto"/>
        <w:bottom w:val="none" w:sz="0" w:space="0" w:color="auto"/>
        <w:right w:val="none" w:sz="0" w:space="0" w:color="auto"/>
      </w:divBdr>
    </w:div>
    <w:div w:id="423498573">
      <w:bodyDiv w:val="1"/>
      <w:marLeft w:val="0"/>
      <w:marRight w:val="0"/>
      <w:marTop w:val="0"/>
      <w:marBottom w:val="0"/>
      <w:divBdr>
        <w:top w:val="none" w:sz="0" w:space="0" w:color="auto"/>
        <w:left w:val="none" w:sz="0" w:space="0" w:color="auto"/>
        <w:bottom w:val="none" w:sz="0" w:space="0" w:color="auto"/>
        <w:right w:val="none" w:sz="0" w:space="0" w:color="auto"/>
      </w:divBdr>
      <w:divsChild>
        <w:div w:id="678779944">
          <w:marLeft w:val="0"/>
          <w:marRight w:val="0"/>
          <w:marTop w:val="0"/>
          <w:marBottom w:val="0"/>
          <w:divBdr>
            <w:top w:val="none" w:sz="0" w:space="0" w:color="auto"/>
            <w:left w:val="none" w:sz="0" w:space="0" w:color="auto"/>
            <w:bottom w:val="none" w:sz="0" w:space="0" w:color="auto"/>
            <w:right w:val="none" w:sz="0" w:space="0" w:color="auto"/>
          </w:divBdr>
        </w:div>
      </w:divsChild>
    </w:div>
    <w:div w:id="423650412">
      <w:bodyDiv w:val="1"/>
      <w:marLeft w:val="0"/>
      <w:marRight w:val="0"/>
      <w:marTop w:val="0"/>
      <w:marBottom w:val="0"/>
      <w:divBdr>
        <w:top w:val="none" w:sz="0" w:space="0" w:color="auto"/>
        <w:left w:val="none" w:sz="0" w:space="0" w:color="auto"/>
        <w:bottom w:val="none" w:sz="0" w:space="0" w:color="auto"/>
        <w:right w:val="none" w:sz="0" w:space="0" w:color="auto"/>
      </w:divBdr>
    </w:div>
    <w:div w:id="424226251">
      <w:bodyDiv w:val="1"/>
      <w:marLeft w:val="0"/>
      <w:marRight w:val="0"/>
      <w:marTop w:val="0"/>
      <w:marBottom w:val="0"/>
      <w:divBdr>
        <w:top w:val="none" w:sz="0" w:space="0" w:color="auto"/>
        <w:left w:val="none" w:sz="0" w:space="0" w:color="auto"/>
        <w:bottom w:val="none" w:sz="0" w:space="0" w:color="auto"/>
        <w:right w:val="none" w:sz="0" w:space="0" w:color="auto"/>
      </w:divBdr>
    </w:div>
    <w:div w:id="467478484">
      <w:bodyDiv w:val="1"/>
      <w:marLeft w:val="0"/>
      <w:marRight w:val="0"/>
      <w:marTop w:val="0"/>
      <w:marBottom w:val="0"/>
      <w:divBdr>
        <w:top w:val="none" w:sz="0" w:space="0" w:color="auto"/>
        <w:left w:val="none" w:sz="0" w:space="0" w:color="auto"/>
        <w:bottom w:val="none" w:sz="0" w:space="0" w:color="auto"/>
        <w:right w:val="none" w:sz="0" w:space="0" w:color="auto"/>
      </w:divBdr>
    </w:div>
    <w:div w:id="471794448">
      <w:bodyDiv w:val="1"/>
      <w:marLeft w:val="0"/>
      <w:marRight w:val="0"/>
      <w:marTop w:val="0"/>
      <w:marBottom w:val="0"/>
      <w:divBdr>
        <w:top w:val="none" w:sz="0" w:space="0" w:color="auto"/>
        <w:left w:val="none" w:sz="0" w:space="0" w:color="auto"/>
        <w:bottom w:val="none" w:sz="0" w:space="0" w:color="auto"/>
        <w:right w:val="none" w:sz="0" w:space="0" w:color="auto"/>
      </w:divBdr>
    </w:div>
    <w:div w:id="473640433">
      <w:bodyDiv w:val="1"/>
      <w:marLeft w:val="0"/>
      <w:marRight w:val="0"/>
      <w:marTop w:val="0"/>
      <w:marBottom w:val="0"/>
      <w:divBdr>
        <w:top w:val="none" w:sz="0" w:space="0" w:color="auto"/>
        <w:left w:val="none" w:sz="0" w:space="0" w:color="auto"/>
        <w:bottom w:val="none" w:sz="0" w:space="0" w:color="auto"/>
        <w:right w:val="none" w:sz="0" w:space="0" w:color="auto"/>
      </w:divBdr>
    </w:div>
    <w:div w:id="475949924">
      <w:bodyDiv w:val="1"/>
      <w:marLeft w:val="0"/>
      <w:marRight w:val="0"/>
      <w:marTop w:val="0"/>
      <w:marBottom w:val="0"/>
      <w:divBdr>
        <w:top w:val="none" w:sz="0" w:space="0" w:color="auto"/>
        <w:left w:val="none" w:sz="0" w:space="0" w:color="auto"/>
        <w:bottom w:val="none" w:sz="0" w:space="0" w:color="auto"/>
        <w:right w:val="none" w:sz="0" w:space="0" w:color="auto"/>
      </w:divBdr>
    </w:div>
    <w:div w:id="478612744">
      <w:bodyDiv w:val="1"/>
      <w:marLeft w:val="0"/>
      <w:marRight w:val="0"/>
      <w:marTop w:val="0"/>
      <w:marBottom w:val="0"/>
      <w:divBdr>
        <w:top w:val="none" w:sz="0" w:space="0" w:color="auto"/>
        <w:left w:val="none" w:sz="0" w:space="0" w:color="auto"/>
        <w:bottom w:val="none" w:sz="0" w:space="0" w:color="auto"/>
        <w:right w:val="none" w:sz="0" w:space="0" w:color="auto"/>
      </w:divBdr>
    </w:div>
    <w:div w:id="484275231">
      <w:bodyDiv w:val="1"/>
      <w:marLeft w:val="0"/>
      <w:marRight w:val="0"/>
      <w:marTop w:val="0"/>
      <w:marBottom w:val="0"/>
      <w:divBdr>
        <w:top w:val="none" w:sz="0" w:space="0" w:color="auto"/>
        <w:left w:val="none" w:sz="0" w:space="0" w:color="auto"/>
        <w:bottom w:val="none" w:sz="0" w:space="0" w:color="auto"/>
        <w:right w:val="none" w:sz="0" w:space="0" w:color="auto"/>
      </w:divBdr>
    </w:div>
    <w:div w:id="516772528">
      <w:bodyDiv w:val="1"/>
      <w:marLeft w:val="0"/>
      <w:marRight w:val="0"/>
      <w:marTop w:val="0"/>
      <w:marBottom w:val="0"/>
      <w:divBdr>
        <w:top w:val="none" w:sz="0" w:space="0" w:color="auto"/>
        <w:left w:val="none" w:sz="0" w:space="0" w:color="auto"/>
        <w:bottom w:val="none" w:sz="0" w:space="0" w:color="auto"/>
        <w:right w:val="none" w:sz="0" w:space="0" w:color="auto"/>
      </w:divBdr>
      <w:divsChild>
        <w:div w:id="181824594">
          <w:marLeft w:val="0"/>
          <w:marRight w:val="0"/>
          <w:marTop w:val="0"/>
          <w:marBottom w:val="0"/>
          <w:divBdr>
            <w:top w:val="none" w:sz="0" w:space="0" w:color="auto"/>
            <w:left w:val="none" w:sz="0" w:space="0" w:color="auto"/>
            <w:bottom w:val="none" w:sz="0" w:space="0" w:color="auto"/>
            <w:right w:val="none" w:sz="0" w:space="0" w:color="auto"/>
          </w:divBdr>
        </w:div>
      </w:divsChild>
    </w:div>
    <w:div w:id="522743163">
      <w:bodyDiv w:val="1"/>
      <w:marLeft w:val="0"/>
      <w:marRight w:val="0"/>
      <w:marTop w:val="0"/>
      <w:marBottom w:val="0"/>
      <w:divBdr>
        <w:top w:val="none" w:sz="0" w:space="0" w:color="auto"/>
        <w:left w:val="none" w:sz="0" w:space="0" w:color="auto"/>
        <w:bottom w:val="none" w:sz="0" w:space="0" w:color="auto"/>
        <w:right w:val="none" w:sz="0" w:space="0" w:color="auto"/>
      </w:divBdr>
      <w:divsChild>
        <w:div w:id="538706678">
          <w:marLeft w:val="0"/>
          <w:marRight w:val="0"/>
          <w:marTop w:val="0"/>
          <w:marBottom w:val="0"/>
          <w:divBdr>
            <w:top w:val="none" w:sz="0" w:space="0" w:color="auto"/>
            <w:left w:val="none" w:sz="0" w:space="0" w:color="auto"/>
            <w:bottom w:val="none" w:sz="0" w:space="0" w:color="auto"/>
            <w:right w:val="none" w:sz="0" w:space="0" w:color="auto"/>
          </w:divBdr>
        </w:div>
      </w:divsChild>
    </w:div>
    <w:div w:id="535436188">
      <w:bodyDiv w:val="1"/>
      <w:marLeft w:val="0"/>
      <w:marRight w:val="0"/>
      <w:marTop w:val="0"/>
      <w:marBottom w:val="0"/>
      <w:divBdr>
        <w:top w:val="none" w:sz="0" w:space="0" w:color="auto"/>
        <w:left w:val="none" w:sz="0" w:space="0" w:color="auto"/>
        <w:bottom w:val="none" w:sz="0" w:space="0" w:color="auto"/>
        <w:right w:val="none" w:sz="0" w:space="0" w:color="auto"/>
      </w:divBdr>
      <w:divsChild>
        <w:div w:id="49308776">
          <w:marLeft w:val="0"/>
          <w:marRight w:val="0"/>
          <w:marTop w:val="0"/>
          <w:marBottom w:val="0"/>
          <w:divBdr>
            <w:top w:val="none" w:sz="0" w:space="0" w:color="auto"/>
            <w:left w:val="none" w:sz="0" w:space="0" w:color="auto"/>
            <w:bottom w:val="none" w:sz="0" w:space="0" w:color="auto"/>
            <w:right w:val="none" w:sz="0" w:space="0" w:color="auto"/>
          </w:divBdr>
        </w:div>
      </w:divsChild>
    </w:div>
    <w:div w:id="541676938">
      <w:bodyDiv w:val="1"/>
      <w:marLeft w:val="0"/>
      <w:marRight w:val="0"/>
      <w:marTop w:val="0"/>
      <w:marBottom w:val="0"/>
      <w:divBdr>
        <w:top w:val="none" w:sz="0" w:space="0" w:color="auto"/>
        <w:left w:val="none" w:sz="0" w:space="0" w:color="auto"/>
        <w:bottom w:val="none" w:sz="0" w:space="0" w:color="auto"/>
        <w:right w:val="none" w:sz="0" w:space="0" w:color="auto"/>
      </w:divBdr>
    </w:div>
    <w:div w:id="554390072">
      <w:bodyDiv w:val="1"/>
      <w:marLeft w:val="0"/>
      <w:marRight w:val="0"/>
      <w:marTop w:val="0"/>
      <w:marBottom w:val="0"/>
      <w:divBdr>
        <w:top w:val="none" w:sz="0" w:space="0" w:color="auto"/>
        <w:left w:val="none" w:sz="0" w:space="0" w:color="auto"/>
        <w:bottom w:val="none" w:sz="0" w:space="0" w:color="auto"/>
        <w:right w:val="none" w:sz="0" w:space="0" w:color="auto"/>
      </w:divBdr>
    </w:div>
    <w:div w:id="587664281">
      <w:bodyDiv w:val="1"/>
      <w:marLeft w:val="0"/>
      <w:marRight w:val="0"/>
      <w:marTop w:val="0"/>
      <w:marBottom w:val="0"/>
      <w:divBdr>
        <w:top w:val="none" w:sz="0" w:space="0" w:color="auto"/>
        <w:left w:val="none" w:sz="0" w:space="0" w:color="auto"/>
        <w:bottom w:val="none" w:sz="0" w:space="0" w:color="auto"/>
        <w:right w:val="none" w:sz="0" w:space="0" w:color="auto"/>
      </w:divBdr>
      <w:divsChild>
        <w:div w:id="2015914920">
          <w:marLeft w:val="0"/>
          <w:marRight w:val="0"/>
          <w:marTop w:val="0"/>
          <w:marBottom w:val="0"/>
          <w:divBdr>
            <w:top w:val="none" w:sz="0" w:space="0" w:color="auto"/>
            <w:left w:val="none" w:sz="0" w:space="0" w:color="auto"/>
            <w:bottom w:val="none" w:sz="0" w:space="0" w:color="auto"/>
            <w:right w:val="none" w:sz="0" w:space="0" w:color="auto"/>
          </w:divBdr>
        </w:div>
      </w:divsChild>
    </w:div>
    <w:div w:id="598489743">
      <w:bodyDiv w:val="1"/>
      <w:marLeft w:val="0"/>
      <w:marRight w:val="0"/>
      <w:marTop w:val="0"/>
      <w:marBottom w:val="0"/>
      <w:divBdr>
        <w:top w:val="none" w:sz="0" w:space="0" w:color="auto"/>
        <w:left w:val="none" w:sz="0" w:space="0" w:color="auto"/>
        <w:bottom w:val="none" w:sz="0" w:space="0" w:color="auto"/>
        <w:right w:val="none" w:sz="0" w:space="0" w:color="auto"/>
      </w:divBdr>
      <w:divsChild>
        <w:div w:id="1012221307">
          <w:marLeft w:val="0"/>
          <w:marRight w:val="0"/>
          <w:marTop w:val="0"/>
          <w:marBottom w:val="0"/>
          <w:divBdr>
            <w:top w:val="none" w:sz="0" w:space="0" w:color="auto"/>
            <w:left w:val="none" w:sz="0" w:space="0" w:color="auto"/>
            <w:bottom w:val="none" w:sz="0" w:space="0" w:color="auto"/>
            <w:right w:val="none" w:sz="0" w:space="0" w:color="auto"/>
          </w:divBdr>
        </w:div>
      </w:divsChild>
    </w:div>
    <w:div w:id="621956130">
      <w:bodyDiv w:val="1"/>
      <w:marLeft w:val="0"/>
      <w:marRight w:val="0"/>
      <w:marTop w:val="0"/>
      <w:marBottom w:val="0"/>
      <w:divBdr>
        <w:top w:val="none" w:sz="0" w:space="0" w:color="auto"/>
        <w:left w:val="none" w:sz="0" w:space="0" w:color="auto"/>
        <w:bottom w:val="none" w:sz="0" w:space="0" w:color="auto"/>
        <w:right w:val="none" w:sz="0" w:space="0" w:color="auto"/>
      </w:divBdr>
      <w:divsChild>
        <w:div w:id="1658797935">
          <w:marLeft w:val="0"/>
          <w:marRight w:val="0"/>
          <w:marTop w:val="0"/>
          <w:marBottom w:val="0"/>
          <w:divBdr>
            <w:top w:val="none" w:sz="0" w:space="0" w:color="auto"/>
            <w:left w:val="none" w:sz="0" w:space="0" w:color="auto"/>
            <w:bottom w:val="none" w:sz="0" w:space="0" w:color="auto"/>
            <w:right w:val="none" w:sz="0" w:space="0" w:color="auto"/>
          </w:divBdr>
        </w:div>
      </w:divsChild>
    </w:div>
    <w:div w:id="626934917">
      <w:bodyDiv w:val="1"/>
      <w:marLeft w:val="0"/>
      <w:marRight w:val="0"/>
      <w:marTop w:val="0"/>
      <w:marBottom w:val="0"/>
      <w:divBdr>
        <w:top w:val="none" w:sz="0" w:space="0" w:color="auto"/>
        <w:left w:val="none" w:sz="0" w:space="0" w:color="auto"/>
        <w:bottom w:val="none" w:sz="0" w:space="0" w:color="auto"/>
        <w:right w:val="none" w:sz="0" w:space="0" w:color="auto"/>
      </w:divBdr>
    </w:div>
    <w:div w:id="636112535">
      <w:bodyDiv w:val="1"/>
      <w:marLeft w:val="0"/>
      <w:marRight w:val="0"/>
      <w:marTop w:val="0"/>
      <w:marBottom w:val="0"/>
      <w:divBdr>
        <w:top w:val="none" w:sz="0" w:space="0" w:color="auto"/>
        <w:left w:val="none" w:sz="0" w:space="0" w:color="auto"/>
        <w:bottom w:val="none" w:sz="0" w:space="0" w:color="auto"/>
        <w:right w:val="none" w:sz="0" w:space="0" w:color="auto"/>
      </w:divBdr>
    </w:div>
    <w:div w:id="656961773">
      <w:bodyDiv w:val="1"/>
      <w:marLeft w:val="0"/>
      <w:marRight w:val="0"/>
      <w:marTop w:val="0"/>
      <w:marBottom w:val="0"/>
      <w:divBdr>
        <w:top w:val="none" w:sz="0" w:space="0" w:color="auto"/>
        <w:left w:val="none" w:sz="0" w:space="0" w:color="auto"/>
        <w:bottom w:val="none" w:sz="0" w:space="0" w:color="auto"/>
        <w:right w:val="none" w:sz="0" w:space="0" w:color="auto"/>
      </w:divBdr>
    </w:div>
    <w:div w:id="665089815">
      <w:bodyDiv w:val="1"/>
      <w:marLeft w:val="0"/>
      <w:marRight w:val="0"/>
      <w:marTop w:val="0"/>
      <w:marBottom w:val="0"/>
      <w:divBdr>
        <w:top w:val="none" w:sz="0" w:space="0" w:color="auto"/>
        <w:left w:val="none" w:sz="0" w:space="0" w:color="auto"/>
        <w:bottom w:val="none" w:sz="0" w:space="0" w:color="auto"/>
        <w:right w:val="none" w:sz="0" w:space="0" w:color="auto"/>
      </w:divBdr>
      <w:divsChild>
        <w:div w:id="294456392">
          <w:marLeft w:val="0"/>
          <w:marRight w:val="0"/>
          <w:marTop w:val="0"/>
          <w:marBottom w:val="0"/>
          <w:divBdr>
            <w:top w:val="none" w:sz="0" w:space="0" w:color="auto"/>
            <w:left w:val="none" w:sz="0" w:space="0" w:color="auto"/>
            <w:bottom w:val="none" w:sz="0" w:space="0" w:color="auto"/>
            <w:right w:val="none" w:sz="0" w:space="0" w:color="auto"/>
          </w:divBdr>
        </w:div>
      </w:divsChild>
    </w:div>
    <w:div w:id="668102679">
      <w:bodyDiv w:val="1"/>
      <w:marLeft w:val="0"/>
      <w:marRight w:val="0"/>
      <w:marTop w:val="0"/>
      <w:marBottom w:val="0"/>
      <w:divBdr>
        <w:top w:val="none" w:sz="0" w:space="0" w:color="auto"/>
        <w:left w:val="none" w:sz="0" w:space="0" w:color="auto"/>
        <w:bottom w:val="none" w:sz="0" w:space="0" w:color="auto"/>
        <w:right w:val="none" w:sz="0" w:space="0" w:color="auto"/>
      </w:divBdr>
    </w:div>
    <w:div w:id="673342389">
      <w:bodyDiv w:val="1"/>
      <w:marLeft w:val="0"/>
      <w:marRight w:val="0"/>
      <w:marTop w:val="0"/>
      <w:marBottom w:val="0"/>
      <w:divBdr>
        <w:top w:val="none" w:sz="0" w:space="0" w:color="auto"/>
        <w:left w:val="none" w:sz="0" w:space="0" w:color="auto"/>
        <w:bottom w:val="none" w:sz="0" w:space="0" w:color="auto"/>
        <w:right w:val="none" w:sz="0" w:space="0" w:color="auto"/>
      </w:divBdr>
    </w:div>
    <w:div w:id="678894836">
      <w:bodyDiv w:val="1"/>
      <w:marLeft w:val="0"/>
      <w:marRight w:val="0"/>
      <w:marTop w:val="0"/>
      <w:marBottom w:val="0"/>
      <w:divBdr>
        <w:top w:val="none" w:sz="0" w:space="0" w:color="auto"/>
        <w:left w:val="none" w:sz="0" w:space="0" w:color="auto"/>
        <w:bottom w:val="none" w:sz="0" w:space="0" w:color="auto"/>
        <w:right w:val="none" w:sz="0" w:space="0" w:color="auto"/>
      </w:divBdr>
    </w:div>
    <w:div w:id="702442992">
      <w:bodyDiv w:val="1"/>
      <w:marLeft w:val="0"/>
      <w:marRight w:val="0"/>
      <w:marTop w:val="0"/>
      <w:marBottom w:val="0"/>
      <w:divBdr>
        <w:top w:val="none" w:sz="0" w:space="0" w:color="auto"/>
        <w:left w:val="none" w:sz="0" w:space="0" w:color="auto"/>
        <w:bottom w:val="none" w:sz="0" w:space="0" w:color="auto"/>
        <w:right w:val="none" w:sz="0" w:space="0" w:color="auto"/>
      </w:divBdr>
    </w:div>
    <w:div w:id="705834857">
      <w:bodyDiv w:val="1"/>
      <w:marLeft w:val="0"/>
      <w:marRight w:val="0"/>
      <w:marTop w:val="0"/>
      <w:marBottom w:val="0"/>
      <w:divBdr>
        <w:top w:val="none" w:sz="0" w:space="0" w:color="auto"/>
        <w:left w:val="none" w:sz="0" w:space="0" w:color="auto"/>
        <w:bottom w:val="none" w:sz="0" w:space="0" w:color="auto"/>
        <w:right w:val="none" w:sz="0" w:space="0" w:color="auto"/>
      </w:divBdr>
      <w:divsChild>
        <w:div w:id="262958836">
          <w:marLeft w:val="0"/>
          <w:marRight w:val="0"/>
          <w:marTop w:val="0"/>
          <w:marBottom w:val="0"/>
          <w:divBdr>
            <w:top w:val="none" w:sz="0" w:space="0" w:color="auto"/>
            <w:left w:val="none" w:sz="0" w:space="0" w:color="auto"/>
            <w:bottom w:val="none" w:sz="0" w:space="0" w:color="auto"/>
            <w:right w:val="none" w:sz="0" w:space="0" w:color="auto"/>
          </w:divBdr>
        </w:div>
      </w:divsChild>
    </w:div>
    <w:div w:id="710691388">
      <w:bodyDiv w:val="1"/>
      <w:marLeft w:val="0"/>
      <w:marRight w:val="0"/>
      <w:marTop w:val="0"/>
      <w:marBottom w:val="0"/>
      <w:divBdr>
        <w:top w:val="none" w:sz="0" w:space="0" w:color="auto"/>
        <w:left w:val="none" w:sz="0" w:space="0" w:color="auto"/>
        <w:bottom w:val="none" w:sz="0" w:space="0" w:color="auto"/>
        <w:right w:val="none" w:sz="0" w:space="0" w:color="auto"/>
      </w:divBdr>
      <w:divsChild>
        <w:div w:id="2035109097">
          <w:marLeft w:val="0"/>
          <w:marRight w:val="0"/>
          <w:marTop w:val="0"/>
          <w:marBottom w:val="0"/>
          <w:divBdr>
            <w:top w:val="none" w:sz="0" w:space="0" w:color="auto"/>
            <w:left w:val="none" w:sz="0" w:space="0" w:color="auto"/>
            <w:bottom w:val="none" w:sz="0" w:space="0" w:color="auto"/>
            <w:right w:val="none" w:sz="0" w:space="0" w:color="auto"/>
          </w:divBdr>
        </w:div>
      </w:divsChild>
    </w:div>
    <w:div w:id="716783280">
      <w:bodyDiv w:val="1"/>
      <w:marLeft w:val="0"/>
      <w:marRight w:val="0"/>
      <w:marTop w:val="0"/>
      <w:marBottom w:val="0"/>
      <w:divBdr>
        <w:top w:val="none" w:sz="0" w:space="0" w:color="auto"/>
        <w:left w:val="none" w:sz="0" w:space="0" w:color="auto"/>
        <w:bottom w:val="none" w:sz="0" w:space="0" w:color="auto"/>
        <w:right w:val="none" w:sz="0" w:space="0" w:color="auto"/>
      </w:divBdr>
      <w:divsChild>
        <w:div w:id="555624352">
          <w:marLeft w:val="0"/>
          <w:marRight w:val="0"/>
          <w:marTop w:val="0"/>
          <w:marBottom w:val="0"/>
          <w:divBdr>
            <w:top w:val="none" w:sz="0" w:space="0" w:color="auto"/>
            <w:left w:val="none" w:sz="0" w:space="0" w:color="auto"/>
            <w:bottom w:val="none" w:sz="0" w:space="0" w:color="auto"/>
            <w:right w:val="none" w:sz="0" w:space="0" w:color="auto"/>
          </w:divBdr>
        </w:div>
      </w:divsChild>
    </w:div>
    <w:div w:id="740562668">
      <w:bodyDiv w:val="1"/>
      <w:marLeft w:val="0"/>
      <w:marRight w:val="0"/>
      <w:marTop w:val="0"/>
      <w:marBottom w:val="0"/>
      <w:divBdr>
        <w:top w:val="none" w:sz="0" w:space="0" w:color="auto"/>
        <w:left w:val="none" w:sz="0" w:space="0" w:color="auto"/>
        <w:bottom w:val="none" w:sz="0" w:space="0" w:color="auto"/>
        <w:right w:val="none" w:sz="0" w:space="0" w:color="auto"/>
      </w:divBdr>
      <w:divsChild>
        <w:div w:id="702289722">
          <w:marLeft w:val="0"/>
          <w:marRight w:val="0"/>
          <w:marTop w:val="0"/>
          <w:marBottom w:val="0"/>
          <w:divBdr>
            <w:top w:val="none" w:sz="0" w:space="0" w:color="auto"/>
            <w:left w:val="none" w:sz="0" w:space="0" w:color="auto"/>
            <w:bottom w:val="none" w:sz="0" w:space="0" w:color="auto"/>
            <w:right w:val="none" w:sz="0" w:space="0" w:color="auto"/>
          </w:divBdr>
        </w:div>
      </w:divsChild>
    </w:div>
    <w:div w:id="747654879">
      <w:bodyDiv w:val="1"/>
      <w:marLeft w:val="0"/>
      <w:marRight w:val="0"/>
      <w:marTop w:val="0"/>
      <w:marBottom w:val="0"/>
      <w:divBdr>
        <w:top w:val="none" w:sz="0" w:space="0" w:color="auto"/>
        <w:left w:val="none" w:sz="0" w:space="0" w:color="auto"/>
        <w:bottom w:val="none" w:sz="0" w:space="0" w:color="auto"/>
        <w:right w:val="none" w:sz="0" w:space="0" w:color="auto"/>
      </w:divBdr>
    </w:div>
    <w:div w:id="763378248">
      <w:bodyDiv w:val="1"/>
      <w:marLeft w:val="0"/>
      <w:marRight w:val="0"/>
      <w:marTop w:val="0"/>
      <w:marBottom w:val="0"/>
      <w:divBdr>
        <w:top w:val="none" w:sz="0" w:space="0" w:color="auto"/>
        <w:left w:val="none" w:sz="0" w:space="0" w:color="auto"/>
        <w:bottom w:val="none" w:sz="0" w:space="0" w:color="auto"/>
        <w:right w:val="none" w:sz="0" w:space="0" w:color="auto"/>
      </w:divBdr>
    </w:div>
    <w:div w:id="790637236">
      <w:bodyDiv w:val="1"/>
      <w:marLeft w:val="0"/>
      <w:marRight w:val="0"/>
      <w:marTop w:val="0"/>
      <w:marBottom w:val="0"/>
      <w:divBdr>
        <w:top w:val="none" w:sz="0" w:space="0" w:color="auto"/>
        <w:left w:val="none" w:sz="0" w:space="0" w:color="auto"/>
        <w:bottom w:val="none" w:sz="0" w:space="0" w:color="auto"/>
        <w:right w:val="none" w:sz="0" w:space="0" w:color="auto"/>
      </w:divBdr>
      <w:divsChild>
        <w:div w:id="1566186416">
          <w:marLeft w:val="0"/>
          <w:marRight w:val="0"/>
          <w:marTop w:val="0"/>
          <w:marBottom w:val="0"/>
          <w:divBdr>
            <w:top w:val="none" w:sz="0" w:space="0" w:color="auto"/>
            <w:left w:val="none" w:sz="0" w:space="0" w:color="auto"/>
            <w:bottom w:val="none" w:sz="0" w:space="0" w:color="auto"/>
            <w:right w:val="none" w:sz="0" w:space="0" w:color="auto"/>
          </w:divBdr>
        </w:div>
      </w:divsChild>
    </w:div>
    <w:div w:id="823280923">
      <w:bodyDiv w:val="1"/>
      <w:marLeft w:val="0"/>
      <w:marRight w:val="0"/>
      <w:marTop w:val="0"/>
      <w:marBottom w:val="0"/>
      <w:divBdr>
        <w:top w:val="none" w:sz="0" w:space="0" w:color="auto"/>
        <w:left w:val="none" w:sz="0" w:space="0" w:color="auto"/>
        <w:bottom w:val="none" w:sz="0" w:space="0" w:color="auto"/>
        <w:right w:val="none" w:sz="0" w:space="0" w:color="auto"/>
      </w:divBdr>
      <w:divsChild>
        <w:div w:id="389379742">
          <w:marLeft w:val="0"/>
          <w:marRight w:val="0"/>
          <w:marTop w:val="0"/>
          <w:marBottom w:val="0"/>
          <w:divBdr>
            <w:top w:val="none" w:sz="0" w:space="0" w:color="auto"/>
            <w:left w:val="none" w:sz="0" w:space="0" w:color="auto"/>
            <w:bottom w:val="none" w:sz="0" w:space="0" w:color="auto"/>
            <w:right w:val="none" w:sz="0" w:space="0" w:color="auto"/>
          </w:divBdr>
        </w:div>
      </w:divsChild>
    </w:div>
    <w:div w:id="842820409">
      <w:bodyDiv w:val="1"/>
      <w:marLeft w:val="0"/>
      <w:marRight w:val="0"/>
      <w:marTop w:val="0"/>
      <w:marBottom w:val="0"/>
      <w:divBdr>
        <w:top w:val="none" w:sz="0" w:space="0" w:color="auto"/>
        <w:left w:val="none" w:sz="0" w:space="0" w:color="auto"/>
        <w:bottom w:val="none" w:sz="0" w:space="0" w:color="auto"/>
        <w:right w:val="none" w:sz="0" w:space="0" w:color="auto"/>
      </w:divBdr>
    </w:div>
    <w:div w:id="844128295">
      <w:bodyDiv w:val="1"/>
      <w:marLeft w:val="0"/>
      <w:marRight w:val="0"/>
      <w:marTop w:val="0"/>
      <w:marBottom w:val="0"/>
      <w:divBdr>
        <w:top w:val="none" w:sz="0" w:space="0" w:color="auto"/>
        <w:left w:val="none" w:sz="0" w:space="0" w:color="auto"/>
        <w:bottom w:val="none" w:sz="0" w:space="0" w:color="auto"/>
        <w:right w:val="none" w:sz="0" w:space="0" w:color="auto"/>
      </w:divBdr>
    </w:div>
    <w:div w:id="866793604">
      <w:bodyDiv w:val="1"/>
      <w:marLeft w:val="0"/>
      <w:marRight w:val="0"/>
      <w:marTop w:val="0"/>
      <w:marBottom w:val="0"/>
      <w:divBdr>
        <w:top w:val="none" w:sz="0" w:space="0" w:color="auto"/>
        <w:left w:val="none" w:sz="0" w:space="0" w:color="auto"/>
        <w:bottom w:val="none" w:sz="0" w:space="0" w:color="auto"/>
        <w:right w:val="none" w:sz="0" w:space="0" w:color="auto"/>
      </w:divBdr>
      <w:divsChild>
        <w:div w:id="306008328">
          <w:marLeft w:val="0"/>
          <w:marRight w:val="0"/>
          <w:marTop w:val="0"/>
          <w:marBottom w:val="0"/>
          <w:divBdr>
            <w:top w:val="none" w:sz="0" w:space="0" w:color="auto"/>
            <w:left w:val="none" w:sz="0" w:space="0" w:color="auto"/>
            <w:bottom w:val="none" w:sz="0" w:space="0" w:color="auto"/>
            <w:right w:val="none" w:sz="0" w:space="0" w:color="auto"/>
          </w:divBdr>
        </w:div>
      </w:divsChild>
    </w:div>
    <w:div w:id="867838394">
      <w:bodyDiv w:val="1"/>
      <w:marLeft w:val="0"/>
      <w:marRight w:val="0"/>
      <w:marTop w:val="0"/>
      <w:marBottom w:val="0"/>
      <w:divBdr>
        <w:top w:val="none" w:sz="0" w:space="0" w:color="auto"/>
        <w:left w:val="none" w:sz="0" w:space="0" w:color="auto"/>
        <w:bottom w:val="none" w:sz="0" w:space="0" w:color="auto"/>
        <w:right w:val="none" w:sz="0" w:space="0" w:color="auto"/>
      </w:divBdr>
      <w:divsChild>
        <w:div w:id="1590190208">
          <w:marLeft w:val="0"/>
          <w:marRight w:val="0"/>
          <w:marTop w:val="0"/>
          <w:marBottom w:val="0"/>
          <w:divBdr>
            <w:top w:val="none" w:sz="0" w:space="0" w:color="auto"/>
            <w:left w:val="none" w:sz="0" w:space="0" w:color="auto"/>
            <w:bottom w:val="none" w:sz="0" w:space="0" w:color="auto"/>
            <w:right w:val="none" w:sz="0" w:space="0" w:color="auto"/>
          </w:divBdr>
        </w:div>
      </w:divsChild>
    </w:div>
    <w:div w:id="868025448">
      <w:bodyDiv w:val="1"/>
      <w:marLeft w:val="0"/>
      <w:marRight w:val="0"/>
      <w:marTop w:val="0"/>
      <w:marBottom w:val="0"/>
      <w:divBdr>
        <w:top w:val="none" w:sz="0" w:space="0" w:color="auto"/>
        <w:left w:val="none" w:sz="0" w:space="0" w:color="auto"/>
        <w:bottom w:val="none" w:sz="0" w:space="0" w:color="auto"/>
        <w:right w:val="none" w:sz="0" w:space="0" w:color="auto"/>
      </w:divBdr>
    </w:div>
    <w:div w:id="888105299">
      <w:bodyDiv w:val="1"/>
      <w:marLeft w:val="0"/>
      <w:marRight w:val="0"/>
      <w:marTop w:val="0"/>
      <w:marBottom w:val="0"/>
      <w:divBdr>
        <w:top w:val="none" w:sz="0" w:space="0" w:color="auto"/>
        <w:left w:val="none" w:sz="0" w:space="0" w:color="auto"/>
        <w:bottom w:val="none" w:sz="0" w:space="0" w:color="auto"/>
        <w:right w:val="none" w:sz="0" w:space="0" w:color="auto"/>
      </w:divBdr>
    </w:div>
    <w:div w:id="894466559">
      <w:bodyDiv w:val="1"/>
      <w:marLeft w:val="0"/>
      <w:marRight w:val="0"/>
      <w:marTop w:val="0"/>
      <w:marBottom w:val="0"/>
      <w:divBdr>
        <w:top w:val="none" w:sz="0" w:space="0" w:color="auto"/>
        <w:left w:val="none" w:sz="0" w:space="0" w:color="auto"/>
        <w:bottom w:val="none" w:sz="0" w:space="0" w:color="auto"/>
        <w:right w:val="none" w:sz="0" w:space="0" w:color="auto"/>
      </w:divBdr>
    </w:div>
    <w:div w:id="899752982">
      <w:bodyDiv w:val="1"/>
      <w:marLeft w:val="0"/>
      <w:marRight w:val="0"/>
      <w:marTop w:val="0"/>
      <w:marBottom w:val="0"/>
      <w:divBdr>
        <w:top w:val="none" w:sz="0" w:space="0" w:color="auto"/>
        <w:left w:val="none" w:sz="0" w:space="0" w:color="auto"/>
        <w:bottom w:val="none" w:sz="0" w:space="0" w:color="auto"/>
        <w:right w:val="none" w:sz="0" w:space="0" w:color="auto"/>
      </w:divBdr>
      <w:divsChild>
        <w:div w:id="1173061492">
          <w:marLeft w:val="0"/>
          <w:marRight w:val="0"/>
          <w:marTop w:val="0"/>
          <w:marBottom w:val="0"/>
          <w:divBdr>
            <w:top w:val="none" w:sz="0" w:space="0" w:color="auto"/>
            <w:left w:val="none" w:sz="0" w:space="0" w:color="auto"/>
            <w:bottom w:val="none" w:sz="0" w:space="0" w:color="auto"/>
            <w:right w:val="none" w:sz="0" w:space="0" w:color="auto"/>
          </w:divBdr>
        </w:div>
      </w:divsChild>
    </w:div>
    <w:div w:id="910433015">
      <w:bodyDiv w:val="1"/>
      <w:marLeft w:val="0"/>
      <w:marRight w:val="0"/>
      <w:marTop w:val="0"/>
      <w:marBottom w:val="0"/>
      <w:divBdr>
        <w:top w:val="none" w:sz="0" w:space="0" w:color="auto"/>
        <w:left w:val="none" w:sz="0" w:space="0" w:color="auto"/>
        <w:bottom w:val="none" w:sz="0" w:space="0" w:color="auto"/>
        <w:right w:val="none" w:sz="0" w:space="0" w:color="auto"/>
      </w:divBdr>
    </w:div>
    <w:div w:id="911818104">
      <w:bodyDiv w:val="1"/>
      <w:marLeft w:val="0"/>
      <w:marRight w:val="0"/>
      <w:marTop w:val="0"/>
      <w:marBottom w:val="0"/>
      <w:divBdr>
        <w:top w:val="none" w:sz="0" w:space="0" w:color="auto"/>
        <w:left w:val="none" w:sz="0" w:space="0" w:color="auto"/>
        <w:bottom w:val="none" w:sz="0" w:space="0" w:color="auto"/>
        <w:right w:val="none" w:sz="0" w:space="0" w:color="auto"/>
      </w:divBdr>
      <w:divsChild>
        <w:div w:id="2116249151">
          <w:marLeft w:val="0"/>
          <w:marRight w:val="0"/>
          <w:marTop w:val="0"/>
          <w:marBottom w:val="0"/>
          <w:divBdr>
            <w:top w:val="none" w:sz="0" w:space="0" w:color="auto"/>
            <w:left w:val="none" w:sz="0" w:space="0" w:color="auto"/>
            <w:bottom w:val="none" w:sz="0" w:space="0" w:color="auto"/>
            <w:right w:val="none" w:sz="0" w:space="0" w:color="auto"/>
          </w:divBdr>
        </w:div>
      </w:divsChild>
    </w:div>
    <w:div w:id="917790794">
      <w:bodyDiv w:val="1"/>
      <w:marLeft w:val="0"/>
      <w:marRight w:val="0"/>
      <w:marTop w:val="0"/>
      <w:marBottom w:val="0"/>
      <w:divBdr>
        <w:top w:val="none" w:sz="0" w:space="0" w:color="auto"/>
        <w:left w:val="none" w:sz="0" w:space="0" w:color="auto"/>
        <w:bottom w:val="none" w:sz="0" w:space="0" w:color="auto"/>
        <w:right w:val="none" w:sz="0" w:space="0" w:color="auto"/>
      </w:divBdr>
    </w:div>
    <w:div w:id="932125652">
      <w:bodyDiv w:val="1"/>
      <w:marLeft w:val="0"/>
      <w:marRight w:val="0"/>
      <w:marTop w:val="0"/>
      <w:marBottom w:val="0"/>
      <w:divBdr>
        <w:top w:val="none" w:sz="0" w:space="0" w:color="auto"/>
        <w:left w:val="none" w:sz="0" w:space="0" w:color="auto"/>
        <w:bottom w:val="none" w:sz="0" w:space="0" w:color="auto"/>
        <w:right w:val="none" w:sz="0" w:space="0" w:color="auto"/>
      </w:divBdr>
      <w:divsChild>
        <w:div w:id="724835758">
          <w:marLeft w:val="0"/>
          <w:marRight w:val="0"/>
          <w:marTop w:val="0"/>
          <w:marBottom w:val="0"/>
          <w:divBdr>
            <w:top w:val="none" w:sz="0" w:space="0" w:color="auto"/>
            <w:left w:val="none" w:sz="0" w:space="0" w:color="auto"/>
            <w:bottom w:val="none" w:sz="0" w:space="0" w:color="auto"/>
            <w:right w:val="none" w:sz="0" w:space="0" w:color="auto"/>
          </w:divBdr>
        </w:div>
      </w:divsChild>
    </w:div>
    <w:div w:id="932472131">
      <w:bodyDiv w:val="1"/>
      <w:marLeft w:val="0"/>
      <w:marRight w:val="0"/>
      <w:marTop w:val="0"/>
      <w:marBottom w:val="0"/>
      <w:divBdr>
        <w:top w:val="none" w:sz="0" w:space="0" w:color="auto"/>
        <w:left w:val="none" w:sz="0" w:space="0" w:color="auto"/>
        <w:bottom w:val="none" w:sz="0" w:space="0" w:color="auto"/>
        <w:right w:val="none" w:sz="0" w:space="0" w:color="auto"/>
      </w:divBdr>
    </w:div>
    <w:div w:id="951741976">
      <w:bodyDiv w:val="1"/>
      <w:marLeft w:val="0"/>
      <w:marRight w:val="0"/>
      <w:marTop w:val="0"/>
      <w:marBottom w:val="0"/>
      <w:divBdr>
        <w:top w:val="none" w:sz="0" w:space="0" w:color="auto"/>
        <w:left w:val="none" w:sz="0" w:space="0" w:color="auto"/>
        <w:bottom w:val="none" w:sz="0" w:space="0" w:color="auto"/>
        <w:right w:val="none" w:sz="0" w:space="0" w:color="auto"/>
      </w:divBdr>
    </w:div>
    <w:div w:id="963776540">
      <w:bodyDiv w:val="1"/>
      <w:marLeft w:val="0"/>
      <w:marRight w:val="0"/>
      <w:marTop w:val="0"/>
      <w:marBottom w:val="0"/>
      <w:divBdr>
        <w:top w:val="none" w:sz="0" w:space="0" w:color="auto"/>
        <w:left w:val="none" w:sz="0" w:space="0" w:color="auto"/>
        <w:bottom w:val="none" w:sz="0" w:space="0" w:color="auto"/>
        <w:right w:val="none" w:sz="0" w:space="0" w:color="auto"/>
      </w:divBdr>
    </w:div>
    <w:div w:id="987171060">
      <w:bodyDiv w:val="1"/>
      <w:marLeft w:val="0"/>
      <w:marRight w:val="0"/>
      <w:marTop w:val="0"/>
      <w:marBottom w:val="0"/>
      <w:divBdr>
        <w:top w:val="none" w:sz="0" w:space="0" w:color="auto"/>
        <w:left w:val="none" w:sz="0" w:space="0" w:color="auto"/>
        <w:bottom w:val="none" w:sz="0" w:space="0" w:color="auto"/>
        <w:right w:val="none" w:sz="0" w:space="0" w:color="auto"/>
      </w:divBdr>
    </w:div>
    <w:div w:id="997801747">
      <w:bodyDiv w:val="1"/>
      <w:marLeft w:val="0"/>
      <w:marRight w:val="0"/>
      <w:marTop w:val="0"/>
      <w:marBottom w:val="0"/>
      <w:divBdr>
        <w:top w:val="none" w:sz="0" w:space="0" w:color="auto"/>
        <w:left w:val="none" w:sz="0" w:space="0" w:color="auto"/>
        <w:bottom w:val="none" w:sz="0" w:space="0" w:color="auto"/>
        <w:right w:val="none" w:sz="0" w:space="0" w:color="auto"/>
      </w:divBdr>
    </w:div>
    <w:div w:id="1016730839">
      <w:bodyDiv w:val="1"/>
      <w:marLeft w:val="0"/>
      <w:marRight w:val="0"/>
      <w:marTop w:val="0"/>
      <w:marBottom w:val="0"/>
      <w:divBdr>
        <w:top w:val="none" w:sz="0" w:space="0" w:color="auto"/>
        <w:left w:val="none" w:sz="0" w:space="0" w:color="auto"/>
        <w:bottom w:val="none" w:sz="0" w:space="0" w:color="auto"/>
        <w:right w:val="none" w:sz="0" w:space="0" w:color="auto"/>
      </w:divBdr>
      <w:divsChild>
        <w:div w:id="1716074735">
          <w:marLeft w:val="0"/>
          <w:marRight w:val="0"/>
          <w:marTop w:val="0"/>
          <w:marBottom w:val="0"/>
          <w:divBdr>
            <w:top w:val="none" w:sz="0" w:space="0" w:color="auto"/>
            <w:left w:val="none" w:sz="0" w:space="0" w:color="auto"/>
            <w:bottom w:val="none" w:sz="0" w:space="0" w:color="auto"/>
            <w:right w:val="none" w:sz="0" w:space="0" w:color="auto"/>
          </w:divBdr>
        </w:div>
      </w:divsChild>
    </w:div>
    <w:div w:id="1025598100">
      <w:bodyDiv w:val="1"/>
      <w:marLeft w:val="0"/>
      <w:marRight w:val="0"/>
      <w:marTop w:val="0"/>
      <w:marBottom w:val="0"/>
      <w:divBdr>
        <w:top w:val="none" w:sz="0" w:space="0" w:color="auto"/>
        <w:left w:val="none" w:sz="0" w:space="0" w:color="auto"/>
        <w:bottom w:val="none" w:sz="0" w:space="0" w:color="auto"/>
        <w:right w:val="none" w:sz="0" w:space="0" w:color="auto"/>
      </w:divBdr>
      <w:divsChild>
        <w:div w:id="1236279703">
          <w:marLeft w:val="0"/>
          <w:marRight w:val="0"/>
          <w:marTop w:val="0"/>
          <w:marBottom w:val="0"/>
          <w:divBdr>
            <w:top w:val="none" w:sz="0" w:space="0" w:color="auto"/>
            <w:left w:val="none" w:sz="0" w:space="0" w:color="auto"/>
            <w:bottom w:val="none" w:sz="0" w:space="0" w:color="auto"/>
            <w:right w:val="none" w:sz="0" w:space="0" w:color="auto"/>
          </w:divBdr>
        </w:div>
      </w:divsChild>
    </w:div>
    <w:div w:id="1042244401">
      <w:bodyDiv w:val="1"/>
      <w:marLeft w:val="0"/>
      <w:marRight w:val="0"/>
      <w:marTop w:val="0"/>
      <w:marBottom w:val="0"/>
      <w:divBdr>
        <w:top w:val="none" w:sz="0" w:space="0" w:color="auto"/>
        <w:left w:val="none" w:sz="0" w:space="0" w:color="auto"/>
        <w:bottom w:val="none" w:sz="0" w:space="0" w:color="auto"/>
        <w:right w:val="none" w:sz="0" w:space="0" w:color="auto"/>
      </w:divBdr>
    </w:div>
    <w:div w:id="1043678417">
      <w:bodyDiv w:val="1"/>
      <w:marLeft w:val="0"/>
      <w:marRight w:val="0"/>
      <w:marTop w:val="0"/>
      <w:marBottom w:val="0"/>
      <w:divBdr>
        <w:top w:val="none" w:sz="0" w:space="0" w:color="auto"/>
        <w:left w:val="none" w:sz="0" w:space="0" w:color="auto"/>
        <w:bottom w:val="none" w:sz="0" w:space="0" w:color="auto"/>
        <w:right w:val="none" w:sz="0" w:space="0" w:color="auto"/>
      </w:divBdr>
      <w:divsChild>
        <w:div w:id="1356618757">
          <w:marLeft w:val="0"/>
          <w:marRight w:val="0"/>
          <w:marTop w:val="0"/>
          <w:marBottom w:val="0"/>
          <w:divBdr>
            <w:top w:val="none" w:sz="0" w:space="0" w:color="auto"/>
            <w:left w:val="none" w:sz="0" w:space="0" w:color="auto"/>
            <w:bottom w:val="none" w:sz="0" w:space="0" w:color="auto"/>
            <w:right w:val="none" w:sz="0" w:space="0" w:color="auto"/>
          </w:divBdr>
        </w:div>
      </w:divsChild>
    </w:div>
    <w:div w:id="1044866326">
      <w:bodyDiv w:val="1"/>
      <w:marLeft w:val="0"/>
      <w:marRight w:val="0"/>
      <w:marTop w:val="0"/>
      <w:marBottom w:val="0"/>
      <w:divBdr>
        <w:top w:val="none" w:sz="0" w:space="0" w:color="auto"/>
        <w:left w:val="none" w:sz="0" w:space="0" w:color="auto"/>
        <w:bottom w:val="none" w:sz="0" w:space="0" w:color="auto"/>
        <w:right w:val="none" w:sz="0" w:space="0" w:color="auto"/>
      </w:divBdr>
      <w:divsChild>
        <w:div w:id="569928456">
          <w:marLeft w:val="0"/>
          <w:marRight w:val="0"/>
          <w:marTop w:val="0"/>
          <w:marBottom w:val="0"/>
          <w:divBdr>
            <w:top w:val="none" w:sz="0" w:space="0" w:color="auto"/>
            <w:left w:val="none" w:sz="0" w:space="0" w:color="auto"/>
            <w:bottom w:val="none" w:sz="0" w:space="0" w:color="auto"/>
            <w:right w:val="none" w:sz="0" w:space="0" w:color="auto"/>
          </w:divBdr>
        </w:div>
      </w:divsChild>
    </w:div>
    <w:div w:id="1046640760">
      <w:bodyDiv w:val="1"/>
      <w:marLeft w:val="0"/>
      <w:marRight w:val="0"/>
      <w:marTop w:val="0"/>
      <w:marBottom w:val="0"/>
      <w:divBdr>
        <w:top w:val="none" w:sz="0" w:space="0" w:color="auto"/>
        <w:left w:val="none" w:sz="0" w:space="0" w:color="auto"/>
        <w:bottom w:val="none" w:sz="0" w:space="0" w:color="auto"/>
        <w:right w:val="none" w:sz="0" w:space="0" w:color="auto"/>
      </w:divBdr>
      <w:divsChild>
        <w:div w:id="1333680843">
          <w:marLeft w:val="0"/>
          <w:marRight w:val="0"/>
          <w:marTop w:val="0"/>
          <w:marBottom w:val="0"/>
          <w:divBdr>
            <w:top w:val="none" w:sz="0" w:space="0" w:color="auto"/>
            <w:left w:val="none" w:sz="0" w:space="0" w:color="auto"/>
            <w:bottom w:val="none" w:sz="0" w:space="0" w:color="auto"/>
            <w:right w:val="none" w:sz="0" w:space="0" w:color="auto"/>
          </w:divBdr>
        </w:div>
      </w:divsChild>
    </w:div>
    <w:div w:id="1064646624">
      <w:bodyDiv w:val="1"/>
      <w:marLeft w:val="0"/>
      <w:marRight w:val="0"/>
      <w:marTop w:val="0"/>
      <w:marBottom w:val="0"/>
      <w:divBdr>
        <w:top w:val="none" w:sz="0" w:space="0" w:color="auto"/>
        <w:left w:val="none" w:sz="0" w:space="0" w:color="auto"/>
        <w:bottom w:val="none" w:sz="0" w:space="0" w:color="auto"/>
        <w:right w:val="none" w:sz="0" w:space="0" w:color="auto"/>
      </w:divBdr>
    </w:div>
    <w:div w:id="1067532391">
      <w:bodyDiv w:val="1"/>
      <w:marLeft w:val="0"/>
      <w:marRight w:val="0"/>
      <w:marTop w:val="0"/>
      <w:marBottom w:val="0"/>
      <w:divBdr>
        <w:top w:val="none" w:sz="0" w:space="0" w:color="auto"/>
        <w:left w:val="none" w:sz="0" w:space="0" w:color="auto"/>
        <w:bottom w:val="none" w:sz="0" w:space="0" w:color="auto"/>
        <w:right w:val="none" w:sz="0" w:space="0" w:color="auto"/>
      </w:divBdr>
      <w:divsChild>
        <w:div w:id="385418655">
          <w:marLeft w:val="0"/>
          <w:marRight w:val="0"/>
          <w:marTop w:val="0"/>
          <w:marBottom w:val="0"/>
          <w:divBdr>
            <w:top w:val="none" w:sz="0" w:space="0" w:color="auto"/>
            <w:left w:val="none" w:sz="0" w:space="0" w:color="auto"/>
            <w:bottom w:val="none" w:sz="0" w:space="0" w:color="auto"/>
            <w:right w:val="none" w:sz="0" w:space="0" w:color="auto"/>
          </w:divBdr>
        </w:div>
      </w:divsChild>
    </w:div>
    <w:div w:id="1076199204">
      <w:bodyDiv w:val="1"/>
      <w:marLeft w:val="0"/>
      <w:marRight w:val="0"/>
      <w:marTop w:val="0"/>
      <w:marBottom w:val="0"/>
      <w:divBdr>
        <w:top w:val="none" w:sz="0" w:space="0" w:color="auto"/>
        <w:left w:val="none" w:sz="0" w:space="0" w:color="auto"/>
        <w:bottom w:val="none" w:sz="0" w:space="0" w:color="auto"/>
        <w:right w:val="none" w:sz="0" w:space="0" w:color="auto"/>
      </w:divBdr>
      <w:divsChild>
        <w:div w:id="1984851077">
          <w:marLeft w:val="0"/>
          <w:marRight w:val="0"/>
          <w:marTop w:val="0"/>
          <w:marBottom w:val="0"/>
          <w:divBdr>
            <w:top w:val="none" w:sz="0" w:space="0" w:color="auto"/>
            <w:left w:val="none" w:sz="0" w:space="0" w:color="auto"/>
            <w:bottom w:val="none" w:sz="0" w:space="0" w:color="auto"/>
            <w:right w:val="none" w:sz="0" w:space="0" w:color="auto"/>
          </w:divBdr>
        </w:div>
      </w:divsChild>
    </w:div>
    <w:div w:id="1080178122">
      <w:bodyDiv w:val="1"/>
      <w:marLeft w:val="0"/>
      <w:marRight w:val="0"/>
      <w:marTop w:val="0"/>
      <w:marBottom w:val="0"/>
      <w:divBdr>
        <w:top w:val="none" w:sz="0" w:space="0" w:color="auto"/>
        <w:left w:val="none" w:sz="0" w:space="0" w:color="auto"/>
        <w:bottom w:val="none" w:sz="0" w:space="0" w:color="auto"/>
        <w:right w:val="none" w:sz="0" w:space="0" w:color="auto"/>
      </w:divBdr>
    </w:div>
    <w:div w:id="1081096648">
      <w:bodyDiv w:val="1"/>
      <w:marLeft w:val="0"/>
      <w:marRight w:val="0"/>
      <w:marTop w:val="0"/>
      <w:marBottom w:val="0"/>
      <w:divBdr>
        <w:top w:val="none" w:sz="0" w:space="0" w:color="auto"/>
        <w:left w:val="none" w:sz="0" w:space="0" w:color="auto"/>
        <w:bottom w:val="none" w:sz="0" w:space="0" w:color="auto"/>
        <w:right w:val="none" w:sz="0" w:space="0" w:color="auto"/>
      </w:divBdr>
    </w:div>
    <w:div w:id="1086072562">
      <w:bodyDiv w:val="1"/>
      <w:marLeft w:val="0"/>
      <w:marRight w:val="0"/>
      <w:marTop w:val="0"/>
      <w:marBottom w:val="0"/>
      <w:divBdr>
        <w:top w:val="none" w:sz="0" w:space="0" w:color="auto"/>
        <w:left w:val="none" w:sz="0" w:space="0" w:color="auto"/>
        <w:bottom w:val="none" w:sz="0" w:space="0" w:color="auto"/>
        <w:right w:val="none" w:sz="0" w:space="0" w:color="auto"/>
      </w:divBdr>
      <w:divsChild>
        <w:div w:id="538055563">
          <w:marLeft w:val="0"/>
          <w:marRight w:val="0"/>
          <w:marTop w:val="0"/>
          <w:marBottom w:val="0"/>
          <w:divBdr>
            <w:top w:val="none" w:sz="0" w:space="0" w:color="auto"/>
            <w:left w:val="none" w:sz="0" w:space="0" w:color="auto"/>
            <w:bottom w:val="none" w:sz="0" w:space="0" w:color="auto"/>
            <w:right w:val="none" w:sz="0" w:space="0" w:color="auto"/>
          </w:divBdr>
        </w:div>
      </w:divsChild>
    </w:div>
    <w:div w:id="1099985312">
      <w:bodyDiv w:val="1"/>
      <w:marLeft w:val="0"/>
      <w:marRight w:val="0"/>
      <w:marTop w:val="0"/>
      <w:marBottom w:val="0"/>
      <w:divBdr>
        <w:top w:val="none" w:sz="0" w:space="0" w:color="auto"/>
        <w:left w:val="none" w:sz="0" w:space="0" w:color="auto"/>
        <w:bottom w:val="none" w:sz="0" w:space="0" w:color="auto"/>
        <w:right w:val="none" w:sz="0" w:space="0" w:color="auto"/>
      </w:divBdr>
    </w:div>
    <w:div w:id="1109664606">
      <w:bodyDiv w:val="1"/>
      <w:marLeft w:val="0"/>
      <w:marRight w:val="0"/>
      <w:marTop w:val="0"/>
      <w:marBottom w:val="0"/>
      <w:divBdr>
        <w:top w:val="none" w:sz="0" w:space="0" w:color="auto"/>
        <w:left w:val="none" w:sz="0" w:space="0" w:color="auto"/>
        <w:bottom w:val="none" w:sz="0" w:space="0" w:color="auto"/>
        <w:right w:val="none" w:sz="0" w:space="0" w:color="auto"/>
      </w:divBdr>
    </w:div>
    <w:div w:id="1119179902">
      <w:bodyDiv w:val="1"/>
      <w:marLeft w:val="0"/>
      <w:marRight w:val="0"/>
      <w:marTop w:val="0"/>
      <w:marBottom w:val="0"/>
      <w:divBdr>
        <w:top w:val="none" w:sz="0" w:space="0" w:color="auto"/>
        <w:left w:val="none" w:sz="0" w:space="0" w:color="auto"/>
        <w:bottom w:val="none" w:sz="0" w:space="0" w:color="auto"/>
        <w:right w:val="none" w:sz="0" w:space="0" w:color="auto"/>
      </w:divBdr>
    </w:div>
    <w:div w:id="1122579801">
      <w:bodyDiv w:val="1"/>
      <w:marLeft w:val="0"/>
      <w:marRight w:val="0"/>
      <w:marTop w:val="0"/>
      <w:marBottom w:val="0"/>
      <w:divBdr>
        <w:top w:val="none" w:sz="0" w:space="0" w:color="auto"/>
        <w:left w:val="none" w:sz="0" w:space="0" w:color="auto"/>
        <w:bottom w:val="none" w:sz="0" w:space="0" w:color="auto"/>
        <w:right w:val="none" w:sz="0" w:space="0" w:color="auto"/>
      </w:divBdr>
    </w:div>
    <w:div w:id="1133016139">
      <w:bodyDiv w:val="1"/>
      <w:marLeft w:val="0"/>
      <w:marRight w:val="0"/>
      <w:marTop w:val="0"/>
      <w:marBottom w:val="0"/>
      <w:divBdr>
        <w:top w:val="none" w:sz="0" w:space="0" w:color="auto"/>
        <w:left w:val="none" w:sz="0" w:space="0" w:color="auto"/>
        <w:bottom w:val="none" w:sz="0" w:space="0" w:color="auto"/>
        <w:right w:val="none" w:sz="0" w:space="0" w:color="auto"/>
      </w:divBdr>
    </w:div>
    <w:div w:id="1136334255">
      <w:bodyDiv w:val="1"/>
      <w:marLeft w:val="0"/>
      <w:marRight w:val="0"/>
      <w:marTop w:val="0"/>
      <w:marBottom w:val="0"/>
      <w:divBdr>
        <w:top w:val="none" w:sz="0" w:space="0" w:color="auto"/>
        <w:left w:val="none" w:sz="0" w:space="0" w:color="auto"/>
        <w:bottom w:val="none" w:sz="0" w:space="0" w:color="auto"/>
        <w:right w:val="none" w:sz="0" w:space="0" w:color="auto"/>
      </w:divBdr>
      <w:divsChild>
        <w:div w:id="1310094279">
          <w:marLeft w:val="0"/>
          <w:marRight w:val="0"/>
          <w:marTop w:val="0"/>
          <w:marBottom w:val="0"/>
          <w:divBdr>
            <w:top w:val="none" w:sz="0" w:space="0" w:color="auto"/>
            <w:left w:val="none" w:sz="0" w:space="0" w:color="auto"/>
            <w:bottom w:val="none" w:sz="0" w:space="0" w:color="auto"/>
            <w:right w:val="none" w:sz="0" w:space="0" w:color="auto"/>
          </w:divBdr>
        </w:div>
      </w:divsChild>
    </w:div>
    <w:div w:id="1139883897">
      <w:bodyDiv w:val="1"/>
      <w:marLeft w:val="0"/>
      <w:marRight w:val="0"/>
      <w:marTop w:val="0"/>
      <w:marBottom w:val="0"/>
      <w:divBdr>
        <w:top w:val="none" w:sz="0" w:space="0" w:color="auto"/>
        <w:left w:val="none" w:sz="0" w:space="0" w:color="auto"/>
        <w:bottom w:val="none" w:sz="0" w:space="0" w:color="auto"/>
        <w:right w:val="none" w:sz="0" w:space="0" w:color="auto"/>
      </w:divBdr>
    </w:div>
    <w:div w:id="1142381587">
      <w:bodyDiv w:val="1"/>
      <w:marLeft w:val="0"/>
      <w:marRight w:val="0"/>
      <w:marTop w:val="0"/>
      <w:marBottom w:val="0"/>
      <w:divBdr>
        <w:top w:val="none" w:sz="0" w:space="0" w:color="auto"/>
        <w:left w:val="none" w:sz="0" w:space="0" w:color="auto"/>
        <w:bottom w:val="none" w:sz="0" w:space="0" w:color="auto"/>
        <w:right w:val="none" w:sz="0" w:space="0" w:color="auto"/>
      </w:divBdr>
    </w:div>
    <w:div w:id="1142694448">
      <w:bodyDiv w:val="1"/>
      <w:marLeft w:val="0"/>
      <w:marRight w:val="0"/>
      <w:marTop w:val="0"/>
      <w:marBottom w:val="0"/>
      <w:divBdr>
        <w:top w:val="none" w:sz="0" w:space="0" w:color="auto"/>
        <w:left w:val="none" w:sz="0" w:space="0" w:color="auto"/>
        <w:bottom w:val="none" w:sz="0" w:space="0" w:color="auto"/>
        <w:right w:val="none" w:sz="0" w:space="0" w:color="auto"/>
      </w:divBdr>
    </w:div>
    <w:div w:id="1174686156">
      <w:bodyDiv w:val="1"/>
      <w:marLeft w:val="0"/>
      <w:marRight w:val="0"/>
      <w:marTop w:val="0"/>
      <w:marBottom w:val="0"/>
      <w:divBdr>
        <w:top w:val="none" w:sz="0" w:space="0" w:color="auto"/>
        <w:left w:val="none" w:sz="0" w:space="0" w:color="auto"/>
        <w:bottom w:val="none" w:sz="0" w:space="0" w:color="auto"/>
        <w:right w:val="none" w:sz="0" w:space="0" w:color="auto"/>
      </w:divBdr>
      <w:divsChild>
        <w:div w:id="1862013228">
          <w:marLeft w:val="0"/>
          <w:marRight w:val="0"/>
          <w:marTop w:val="0"/>
          <w:marBottom w:val="0"/>
          <w:divBdr>
            <w:top w:val="none" w:sz="0" w:space="0" w:color="auto"/>
            <w:left w:val="none" w:sz="0" w:space="0" w:color="auto"/>
            <w:bottom w:val="none" w:sz="0" w:space="0" w:color="auto"/>
            <w:right w:val="none" w:sz="0" w:space="0" w:color="auto"/>
          </w:divBdr>
        </w:div>
      </w:divsChild>
    </w:div>
    <w:div w:id="1181823242">
      <w:bodyDiv w:val="1"/>
      <w:marLeft w:val="0"/>
      <w:marRight w:val="0"/>
      <w:marTop w:val="0"/>
      <w:marBottom w:val="0"/>
      <w:divBdr>
        <w:top w:val="none" w:sz="0" w:space="0" w:color="auto"/>
        <w:left w:val="none" w:sz="0" w:space="0" w:color="auto"/>
        <w:bottom w:val="none" w:sz="0" w:space="0" w:color="auto"/>
        <w:right w:val="none" w:sz="0" w:space="0" w:color="auto"/>
      </w:divBdr>
    </w:div>
    <w:div w:id="1184442344">
      <w:bodyDiv w:val="1"/>
      <w:marLeft w:val="0"/>
      <w:marRight w:val="0"/>
      <w:marTop w:val="0"/>
      <w:marBottom w:val="0"/>
      <w:divBdr>
        <w:top w:val="none" w:sz="0" w:space="0" w:color="auto"/>
        <w:left w:val="none" w:sz="0" w:space="0" w:color="auto"/>
        <w:bottom w:val="none" w:sz="0" w:space="0" w:color="auto"/>
        <w:right w:val="none" w:sz="0" w:space="0" w:color="auto"/>
      </w:divBdr>
      <w:divsChild>
        <w:div w:id="1415586783">
          <w:marLeft w:val="0"/>
          <w:marRight w:val="0"/>
          <w:marTop w:val="0"/>
          <w:marBottom w:val="0"/>
          <w:divBdr>
            <w:top w:val="none" w:sz="0" w:space="0" w:color="auto"/>
            <w:left w:val="none" w:sz="0" w:space="0" w:color="auto"/>
            <w:bottom w:val="none" w:sz="0" w:space="0" w:color="auto"/>
            <w:right w:val="none" w:sz="0" w:space="0" w:color="auto"/>
          </w:divBdr>
        </w:div>
      </w:divsChild>
    </w:div>
    <w:div w:id="1188789719">
      <w:bodyDiv w:val="1"/>
      <w:marLeft w:val="0"/>
      <w:marRight w:val="0"/>
      <w:marTop w:val="0"/>
      <w:marBottom w:val="0"/>
      <w:divBdr>
        <w:top w:val="none" w:sz="0" w:space="0" w:color="auto"/>
        <w:left w:val="none" w:sz="0" w:space="0" w:color="auto"/>
        <w:bottom w:val="none" w:sz="0" w:space="0" w:color="auto"/>
        <w:right w:val="none" w:sz="0" w:space="0" w:color="auto"/>
      </w:divBdr>
    </w:div>
    <w:div w:id="1191147826">
      <w:bodyDiv w:val="1"/>
      <w:marLeft w:val="0"/>
      <w:marRight w:val="0"/>
      <w:marTop w:val="0"/>
      <w:marBottom w:val="0"/>
      <w:divBdr>
        <w:top w:val="none" w:sz="0" w:space="0" w:color="auto"/>
        <w:left w:val="none" w:sz="0" w:space="0" w:color="auto"/>
        <w:bottom w:val="none" w:sz="0" w:space="0" w:color="auto"/>
        <w:right w:val="none" w:sz="0" w:space="0" w:color="auto"/>
      </w:divBdr>
      <w:divsChild>
        <w:div w:id="2056467131">
          <w:marLeft w:val="0"/>
          <w:marRight w:val="0"/>
          <w:marTop w:val="0"/>
          <w:marBottom w:val="0"/>
          <w:divBdr>
            <w:top w:val="none" w:sz="0" w:space="0" w:color="auto"/>
            <w:left w:val="none" w:sz="0" w:space="0" w:color="auto"/>
            <w:bottom w:val="none" w:sz="0" w:space="0" w:color="auto"/>
            <w:right w:val="none" w:sz="0" w:space="0" w:color="auto"/>
          </w:divBdr>
        </w:div>
      </w:divsChild>
    </w:div>
    <w:div w:id="1221097199">
      <w:bodyDiv w:val="1"/>
      <w:marLeft w:val="0"/>
      <w:marRight w:val="0"/>
      <w:marTop w:val="0"/>
      <w:marBottom w:val="0"/>
      <w:divBdr>
        <w:top w:val="none" w:sz="0" w:space="0" w:color="auto"/>
        <w:left w:val="none" w:sz="0" w:space="0" w:color="auto"/>
        <w:bottom w:val="none" w:sz="0" w:space="0" w:color="auto"/>
        <w:right w:val="none" w:sz="0" w:space="0" w:color="auto"/>
      </w:divBdr>
      <w:divsChild>
        <w:div w:id="977688484">
          <w:marLeft w:val="0"/>
          <w:marRight w:val="0"/>
          <w:marTop w:val="0"/>
          <w:marBottom w:val="0"/>
          <w:divBdr>
            <w:top w:val="none" w:sz="0" w:space="0" w:color="auto"/>
            <w:left w:val="none" w:sz="0" w:space="0" w:color="auto"/>
            <w:bottom w:val="none" w:sz="0" w:space="0" w:color="auto"/>
            <w:right w:val="none" w:sz="0" w:space="0" w:color="auto"/>
          </w:divBdr>
        </w:div>
      </w:divsChild>
    </w:div>
    <w:div w:id="1231574840">
      <w:bodyDiv w:val="1"/>
      <w:marLeft w:val="0"/>
      <w:marRight w:val="0"/>
      <w:marTop w:val="0"/>
      <w:marBottom w:val="0"/>
      <w:divBdr>
        <w:top w:val="none" w:sz="0" w:space="0" w:color="auto"/>
        <w:left w:val="none" w:sz="0" w:space="0" w:color="auto"/>
        <w:bottom w:val="none" w:sz="0" w:space="0" w:color="auto"/>
        <w:right w:val="none" w:sz="0" w:space="0" w:color="auto"/>
      </w:divBdr>
    </w:div>
    <w:div w:id="1240092010">
      <w:bodyDiv w:val="1"/>
      <w:marLeft w:val="0"/>
      <w:marRight w:val="0"/>
      <w:marTop w:val="0"/>
      <w:marBottom w:val="0"/>
      <w:divBdr>
        <w:top w:val="none" w:sz="0" w:space="0" w:color="auto"/>
        <w:left w:val="none" w:sz="0" w:space="0" w:color="auto"/>
        <w:bottom w:val="none" w:sz="0" w:space="0" w:color="auto"/>
        <w:right w:val="none" w:sz="0" w:space="0" w:color="auto"/>
      </w:divBdr>
      <w:divsChild>
        <w:div w:id="962269714">
          <w:marLeft w:val="0"/>
          <w:marRight w:val="0"/>
          <w:marTop w:val="0"/>
          <w:marBottom w:val="0"/>
          <w:divBdr>
            <w:top w:val="none" w:sz="0" w:space="0" w:color="auto"/>
            <w:left w:val="none" w:sz="0" w:space="0" w:color="auto"/>
            <w:bottom w:val="none" w:sz="0" w:space="0" w:color="auto"/>
            <w:right w:val="none" w:sz="0" w:space="0" w:color="auto"/>
          </w:divBdr>
        </w:div>
      </w:divsChild>
    </w:div>
    <w:div w:id="1277560167">
      <w:bodyDiv w:val="1"/>
      <w:marLeft w:val="0"/>
      <w:marRight w:val="0"/>
      <w:marTop w:val="0"/>
      <w:marBottom w:val="0"/>
      <w:divBdr>
        <w:top w:val="none" w:sz="0" w:space="0" w:color="auto"/>
        <w:left w:val="none" w:sz="0" w:space="0" w:color="auto"/>
        <w:bottom w:val="none" w:sz="0" w:space="0" w:color="auto"/>
        <w:right w:val="none" w:sz="0" w:space="0" w:color="auto"/>
      </w:divBdr>
      <w:divsChild>
        <w:div w:id="1945990504">
          <w:marLeft w:val="0"/>
          <w:marRight w:val="0"/>
          <w:marTop w:val="0"/>
          <w:marBottom w:val="0"/>
          <w:divBdr>
            <w:top w:val="none" w:sz="0" w:space="0" w:color="auto"/>
            <w:left w:val="none" w:sz="0" w:space="0" w:color="auto"/>
            <w:bottom w:val="none" w:sz="0" w:space="0" w:color="auto"/>
            <w:right w:val="none" w:sz="0" w:space="0" w:color="auto"/>
          </w:divBdr>
        </w:div>
      </w:divsChild>
    </w:div>
    <w:div w:id="1301769337">
      <w:bodyDiv w:val="1"/>
      <w:marLeft w:val="0"/>
      <w:marRight w:val="0"/>
      <w:marTop w:val="0"/>
      <w:marBottom w:val="0"/>
      <w:divBdr>
        <w:top w:val="none" w:sz="0" w:space="0" w:color="auto"/>
        <w:left w:val="none" w:sz="0" w:space="0" w:color="auto"/>
        <w:bottom w:val="none" w:sz="0" w:space="0" w:color="auto"/>
        <w:right w:val="none" w:sz="0" w:space="0" w:color="auto"/>
      </w:divBdr>
    </w:div>
    <w:div w:id="1321541423">
      <w:bodyDiv w:val="1"/>
      <w:marLeft w:val="0"/>
      <w:marRight w:val="0"/>
      <w:marTop w:val="0"/>
      <w:marBottom w:val="0"/>
      <w:divBdr>
        <w:top w:val="none" w:sz="0" w:space="0" w:color="auto"/>
        <w:left w:val="none" w:sz="0" w:space="0" w:color="auto"/>
        <w:bottom w:val="none" w:sz="0" w:space="0" w:color="auto"/>
        <w:right w:val="none" w:sz="0" w:space="0" w:color="auto"/>
      </w:divBdr>
    </w:div>
    <w:div w:id="1327394079">
      <w:bodyDiv w:val="1"/>
      <w:marLeft w:val="0"/>
      <w:marRight w:val="0"/>
      <w:marTop w:val="0"/>
      <w:marBottom w:val="0"/>
      <w:divBdr>
        <w:top w:val="none" w:sz="0" w:space="0" w:color="auto"/>
        <w:left w:val="none" w:sz="0" w:space="0" w:color="auto"/>
        <w:bottom w:val="none" w:sz="0" w:space="0" w:color="auto"/>
        <w:right w:val="none" w:sz="0" w:space="0" w:color="auto"/>
      </w:divBdr>
      <w:divsChild>
        <w:div w:id="2078089477">
          <w:marLeft w:val="0"/>
          <w:marRight w:val="0"/>
          <w:marTop w:val="0"/>
          <w:marBottom w:val="0"/>
          <w:divBdr>
            <w:top w:val="none" w:sz="0" w:space="0" w:color="auto"/>
            <w:left w:val="none" w:sz="0" w:space="0" w:color="auto"/>
            <w:bottom w:val="none" w:sz="0" w:space="0" w:color="auto"/>
            <w:right w:val="none" w:sz="0" w:space="0" w:color="auto"/>
          </w:divBdr>
        </w:div>
      </w:divsChild>
    </w:div>
    <w:div w:id="1341735406">
      <w:bodyDiv w:val="1"/>
      <w:marLeft w:val="0"/>
      <w:marRight w:val="0"/>
      <w:marTop w:val="0"/>
      <w:marBottom w:val="0"/>
      <w:divBdr>
        <w:top w:val="none" w:sz="0" w:space="0" w:color="auto"/>
        <w:left w:val="none" w:sz="0" w:space="0" w:color="auto"/>
        <w:bottom w:val="none" w:sz="0" w:space="0" w:color="auto"/>
        <w:right w:val="none" w:sz="0" w:space="0" w:color="auto"/>
      </w:divBdr>
    </w:div>
    <w:div w:id="1348023650">
      <w:bodyDiv w:val="1"/>
      <w:marLeft w:val="0"/>
      <w:marRight w:val="0"/>
      <w:marTop w:val="0"/>
      <w:marBottom w:val="0"/>
      <w:divBdr>
        <w:top w:val="none" w:sz="0" w:space="0" w:color="auto"/>
        <w:left w:val="none" w:sz="0" w:space="0" w:color="auto"/>
        <w:bottom w:val="none" w:sz="0" w:space="0" w:color="auto"/>
        <w:right w:val="none" w:sz="0" w:space="0" w:color="auto"/>
      </w:divBdr>
      <w:divsChild>
        <w:div w:id="1209882439">
          <w:marLeft w:val="0"/>
          <w:marRight w:val="0"/>
          <w:marTop w:val="0"/>
          <w:marBottom w:val="0"/>
          <w:divBdr>
            <w:top w:val="none" w:sz="0" w:space="0" w:color="auto"/>
            <w:left w:val="none" w:sz="0" w:space="0" w:color="auto"/>
            <w:bottom w:val="none" w:sz="0" w:space="0" w:color="auto"/>
            <w:right w:val="none" w:sz="0" w:space="0" w:color="auto"/>
          </w:divBdr>
        </w:div>
      </w:divsChild>
    </w:div>
    <w:div w:id="1372652631">
      <w:bodyDiv w:val="1"/>
      <w:marLeft w:val="0"/>
      <w:marRight w:val="0"/>
      <w:marTop w:val="0"/>
      <w:marBottom w:val="0"/>
      <w:divBdr>
        <w:top w:val="none" w:sz="0" w:space="0" w:color="auto"/>
        <w:left w:val="none" w:sz="0" w:space="0" w:color="auto"/>
        <w:bottom w:val="none" w:sz="0" w:space="0" w:color="auto"/>
        <w:right w:val="none" w:sz="0" w:space="0" w:color="auto"/>
      </w:divBdr>
      <w:divsChild>
        <w:div w:id="524751041">
          <w:marLeft w:val="0"/>
          <w:marRight w:val="0"/>
          <w:marTop w:val="0"/>
          <w:marBottom w:val="0"/>
          <w:divBdr>
            <w:top w:val="none" w:sz="0" w:space="0" w:color="auto"/>
            <w:left w:val="none" w:sz="0" w:space="0" w:color="auto"/>
            <w:bottom w:val="none" w:sz="0" w:space="0" w:color="auto"/>
            <w:right w:val="none" w:sz="0" w:space="0" w:color="auto"/>
          </w:divBdr>
        </w:div>
      </w:divsChild>
    </w:div>
    <w:div w:id="1373337774">
      <w:bodyDiv w:val="1"/>
      <w:marLeft w:val="0"/>
      <w:marRight w:val="0"/>
      <w:marTop w:val="0"/>
      <w:marBottom w:val="0"/>
      <w:divBdr>
        <w:top w:val="none" w:sz="0" w:space="0" w:color="auto"/>
        <w:left w:val="none" w:sz="0" w:space="0" w:color="auto"/>
        <w:bottom w:val="none" w:sz="0" w:space="0" w:color="auto"/>
        <w:right w:val="none" w:sz="0" w:space="0" w:color="auto"/>
      </w:divBdr>
      <w:divsChild>
        <w:div w:id="1339040566">
          <w:marLeft w:val="0"/>
          <w:marRight w:val="0"/>
          <w:marTop w:val="0"/>
          <w:marBottom w:val="0"/>
          <w:divBdr>
            <w:top w:val="none" w:sz="0" w:space="0" w:color="auto"/>
            <w:left w:val="none" w:sz="0" w:space="0" w:color="auto"/>
            <w:bottom w:val="none" w:sz="0" w:space="0" w:color="auto"/>
            <w:right w:val="none" w:sz="0" w:space="0" w:color="auto"/>
          </w:divBdr>
        </w:div>
      </w:divsChild>
    </w:div>
    <w:div w:id="1385182080">
      <w:bodyDiv w:val="1"/>
      <w:marLeft w:val="0"/>
      <w:marRight w:val="0"/>
      <w:marTop w:val="0"/>
      <w:marBottom w:val="0"/>
      <w:divBdr>
        <w:top w:val="none" w:sz="0" w:space="0" w:color="auto"/>
        <w:left w:val="none" w:sz="0" w:space="0" w:color="auto"/>
        <w:bottom w:val="none" w:sz="0" w:space="0" w:color="auto"/>
        <w:right w:val="none" w:sz="0" w:space="0" w:color="auto"/>
      </w:divBdr>
      <w:divsChild>
        <w:div w:id="1249774725">
          <w:marLeft w:val="0"/>
          <w:marRight w:val="0"/>
          <w:marTop w:val="0"/>
          <w:marBottom w:val="0"/>
          <w:divBdr>
            <w:top w:val="none" w:sz="0" w:space="0" w:color="auto"/>
            <w:left w:val="none" w:sz="0" w:space="0" w:color="auto"/>
            <w:bottom w:val="none" w:sz="0" w:space="0" w:color="auto"/>
            <w:right w:val="none" w:sz="0" w:space="0" w:color="auto"/>
          </w:divBdr>
        </w:div>
      </w:divsChild>
    </w:div>
    <w:div w:id="1405757194">
      <w:bodyDiv w:val="1"/>
      <w:marLeft w:val="0"/>
      <w:marRight w:val="0"/>
      <w:marTop w:val="0"/>
      <w:marBottom w:val="0"/>
      <w:divBdr>
        <w:top w:val="none" w:sz="0" w:space="0" w:color="auto"/>
        <w:left w:val="none" w:sz="0" w:space="0" w:color="auto"/>
        <w:bottom w:val="none" w:sz="0" w:space="0" w:color="auto"/>
        <w:right w:val="none" w:sz="0" w:space="0" w:color="auto"/>
      </w:divBdr>
    </w:div>
    <w:div w:id="1416439544">
      <w:bodyDiv w:val="1"/>
      <w:marLeft w:val="0"/>
      <w:marRight w:val="0"/>
      <w:marTop w:val="0"/>
      <w:marBottom w:val="0"/>
      <w:divBdr>
        <w:top w:val="none" w:sz="0" w:space="0" w:color="auto"/>
        <w:left w:val="none" w:sz="0" w:space="0" w:color="auto"/>
        <w:bottom w:val="none" w:sz="0" w:space="0" w:color="auto"/>
        <w:right w:val="none" w:sz="0" w:space="0" w:color="auto"/>
      </w:divBdr>
      <w:divsChild>
        <w:div w:id="40132754">
          <w:marLeft w:val="0"/>
          <w:marRight w:val="0"/>
          <w:marTop w:val="0"/>
          <w:marBottom w:val="0"/>
          <w:divBdr>
            <w:top w:val="none" w:sz="0" w:space="0" w:color="auto"/>
            <w:left w:val="none" w:sz="0" w:space="0" w:color="auto"/>
            <w:bottom w:val="none" w:sz="0" w:space="0" w:color="auto"/>
            <w:right w:val="none" w:sz="0" w:space="0" w:color="auto"/>
          </w:divBdr>
        </w:div>
      </w:divsChild>
    </w:div>
    <w:div w:id="1425954948">
      <w:bodyDiv w:val="1"/>
      <w:marLeft w:val="0"/>
      <w:marRight w:val="0"/>
      <w:marTop w:val="0"/>
      <w:marBottom w:val="0"/>
      <w:divBdr>
        <w:top w:val="none" w:sz="0" w:space="0" w:color="auto"/>
        <w:left w:val="none" w:sz="0" w:space="0" w:color="auto"/>
        <w:bottom w:val="none" w:sz="0" w:space="0" w:color="auto"/>
        <w:right w:val="none" w:sz="0" w:space="0" w:color="auto"/>
      </w:divBdr>
    </w:div>
    <w:div w:id="1444693933">
      <w:bodyDiv w:val="1"/>
      <w:marLeft w:val="0"/>
      <w:marRight w:val="0"/>
      <w:marTop w:val="0"/>
      <w:marBottom w:val="0"/>
      <w:divBdr>
        <w:top w:val="none" w:sz="0" w:space="0" w:color="auto"/>
        <w:left w:val="none" w:sz="0" w:space="0" w:color="auto"/>
        <w:bottom w:val="none" w:sz="0" w:space="0" w:color="auto"/>
        <w:right w:val="none" w:sz="0" w:space="0" w:color="auto"/>
      </w:divBdr>
    </w:div>
    <w:div w:id="1446457647">
      <w:bodyDiv w:val="1"/>
      <w:marLeft w:val="0"/>
      <w:marRight w:val="0"/>
      <w:marTop w:val="0"/>
      <w:marBottom w:val="0"/>
      <w:divBdr>
        <w:top w:val="none" w:sz="0" w:space="0" w:color="auto"/>
        <w:left w:val="none" w:sz="0" w:space="0" w:color="auto"/>
        <w:bottom w:val="none" w:sz="0" w:space="0" w:color="auto"/>
        <w:right w:val="none" w:sz="0" w:space="0" w:color="auto"/>
      </w:divBdr>
      <w:divsChild>
        <w:div w:id="492524418">
          <w:marLeft w:val="0"/>
          <w:marRight w:val="0"/>
          <w:marTop w:val="0"/>
          <w:marBottom w:val="0"/>
          <w:divBdr>
            <w:top w:val="none" w:sz="0" w:space="0" w:color="auto"/>
            <w:left w:val="none" w:sz="0" w:space="0" w:color="auto"/>
            <w:bottom w:val="none" w:sz="0" w:space="0" w:color="auto"/>
            <w:right w:val="none" w:sz="0" w:space="0" w:color="auto"/>
          </w:divBdr>
        </w:div>
      </w:divsChild>
    </w:div>
    <w:div w:id="1450008566">
      <w:bodyDiv w:val="1"/>
      <w:marLeft w:val="0"/>
      <w:marRight w:val="0"/>
      <w:marTop w:val="0"/>
      <w:marBottom w:val="0"/>
      <w:divBdr>
        <w:top w:val="none" w:sz="0" w:space="0" w:color="auto"/>
        <w:left w:val="none" w:sz="0" w:space="0" w:color="auto"/>
        <w:bottom w:val="none" w:sz="0" w:space="0" w:color="auto"/>
        <w:right w:val="none" w:sz="0" w:space="0" w:color="auto"/>
      </w:divBdr>
      <w:divsChild>
        <w:div w:id="878012072">
          <w:marLeft w:val="0"/>
          <w:marRight w:val="0"/>
          <w:marTop w:val="0"/>
          <w:marBottom w:val="0"/>
          <w:divBdr>
            <w:top w:val="none" w:sz="0" w:space="0" w:color="auto"/>
            <w:left w:val="none" w:sz="0" w:space="0" w:color="auto"/>
            <w:bottom w:val="none" w:sz="0" w:space="0" w:color="auto"/>
            <w:right w:val="none" w:sz="0" w:space="0" w:color="auto"/>
          </w:divBdr>
        </w:div>
      </w:divsChild>
    </w:div>
    <w:div w:id="1454596929">
      <w:bodyDiv w:val="1"/>
      <w:marLeft w:val="0"/>
      <w:marRight w:val="0"/>
      <w:marTop w:val="0"/>
      <w:marBottom w:val="0"/>
      <w:divBdr>
        <w:top w:val="none" w:sz="0" w:space="0" w:color="auto"/>
        <w:left w:val="none" w:sz="0" w:space="0" w:color="auto"/>
        <w:bottom w:val="none" w:sz="0" w:space="0" w:color="auto"/>
        <w:right w:val="none" w:sz="0" w:space="0" w:color="auto"/>
      </w:divBdr>
    </w:div>
    <w:div w:id="1461916915">
      <w:bodyDiv w:val="1"/>
      <w:marLeft w:val="0"/>
      <w:marRight w:val="0"/>
      <w:marTop w:val="0"/>
      <w:marBottom w:val="0"/>
      <w:divBdr>
        <w:top w:val="none" w:sz="0" w:space="0" w:color="auto"/>
        <w:left w:val="none" w:sz="0" w:space="0" w:color="auto"/>
        <w:bottom w:val="none" w:sz="0" w:space="0" w:color="auto"/>
        <w:right w:val="none" w:sz="0" w:space="0" w:color="auto"/>
      </w:divBdr>
    </w:div>
    <w:div w:id="1513454509">
      <w:bodyDiv w:val="1"/>
      <w:marLeft w:val="0"/>
      <w:marRight w:val="0"/>
      <w:marTop w:val="0"/>
      <w:marBottom w:val="0"/>
      <w:divBdr>
        <w:top w:val="none" w:sz="0" w:space="0" w:color="auto"/>
        <w:left w:val="none" w:sz="0" w:space="0" w:color="auto"/>
        <w:bottom w:val="none" w:sz="0" w:space="0" w:color="auto"/>
        <w:right w:val="none" w:sz="0" w:space="0" w:color="auto"/>
      </w:divBdr>
      <w:divsChild>
        <w:div w:id="2126460577">
          <w:marLeft w:val="0"/>
          <w:marRight w:val="0"/>
          <w:marTop w:val="0"/>
          <w:marBottom w:val="0"/>
          <w:divBdr>
            <w:top w:val="none" w:sz="0" w:space="0" w:color="auto"/>
            <w:left w:val="none" w:sz="0" w:space="0" w:color="auto"/>
            <w:bottom w:val="none" w:sz="0" w:space="0" w:color="auto"/>
            <w:right w:val="none" w:sz="0" w:space="0" w:color="auto"/>
          </w:divBdr>
        </w:div>
      </w:divsChild>
    </w:div>
    <w:div w:id="1537280650">
      <w:bodyDiv w:val="1"/>
      <w:marLeft w:val="0"/>
      <w:marRight w:val="0"/>
      <w:marTop w:val="0"/>
      <w:marBottom w:val="0"/>
      <w:divBdr>
        <w:top w:val="none" w:sz="0" w:space="0" w:color="auto"/>
        <w:left w:val="none" w:sz="0" w:space="0" w:color="auto"/>
        <w:bottom w:val="none" w:sz="0" w:space="0" w:color="auto"/>
        <w:right w:val="none" w:sz="0" w:space="0" w:color="auto"/>
      </w:divBdr>
    </w:div>
    <w:div w:id="1539003021">
      <w:bodyDiv w:val="1"/>
      <w:marLeft w:val="0"/>
      <w:marRight w:val="0"/>
      <w:marTop w:val="0"/>
      <w:marBottom w:val="0"/>
      <w:divBdr>
        <w:top w:val="none" w:sz="0" w:space="0" w:color="auto"/>
        <w:left w:val="none" w:sz="0" w:space="0" w:color="auto"/>
        <w:bottom w:val="none" w:sz="0" w:space="0" w:color="auto"/>
        <w:right w:val="none" w:sz="0" w:space="0" w:color="auto"/>
      </w:divBdr>
      <w:divsChild>
        <w:div w:id="1435321675">
          <w:marLeft w:val="0"/>
          <w:marRight w:val="0"/>
          <w:marTop w:val="0"/>
          <w:marBottom w:val="0"/>
          <w:divBdr>
            <w:top w:val="none" w:sz="0" w:space="0" w:color="auto"/>
            <w:left w:val="none" w:sz="0" w:space="0" w:color="auto"/>
            <w:bottom w:val="none" w:sz="0" w:space="0" w:color="auto"/>
            <w:right w:val="none" w:sz="0" w:space="0" w:color="auto"/>
          </w:divBdr>
        </w:div>
      </w:divsChild>
    </w:div>
    <w:div w:id="1575696791">
      <w:bodyDiv w:val="1"/>
      <w:marLeft w:val="0"/>
      <w:marRight w:val="0"/>
      <w:marTop w:val="0"/>
      <w:marBottom w:val="0"/>
      <w:divBdr>
        <w:top w:val="none" w:sz="0" w:space="0" w:color="auto"/>
        <w:left w:val="none" w:sz="0" w:space="0" w:color="auto"/>
        <w:bottom w:val="none" w:sz="0" w:space="0" w:color="auto"/>
        <w:right w:val="none" w:sz="0" w:space="0" w:color="auto"/>
      </w:divBdr>
      <w:divsChild>
        <w:div w:id="855534068">
          <w:marLeft w:val="0"/>
          <w:marRight w:val="0"/>
          <w:marTop w:val="0"/>
          <w:marBottom w:val="0"/>
          <w:divBdr>
            <w:top w:val="none" w:sz="0" w:space="0" w:color="auto"/>
            <w:left w:val="none" w:sz="0" w:space="0" w:color="auto"/>
            <w:bottom w:val="none" w:sz="0" w:space="0" w:color="auto"/>
            <w:right w:val="none" w:sz="0" w:space="0" w:color="auto"/>
          </w:divBdr>
        </w:div>
      </w:divsChild>
    </w:div>
    <w:div w:id="1585456839">
      <w:bodyDiv w:val="1"/>
      <w:marLeft w:val="0"/>
      <w:marRight w:val="0"/>
      <w:marTop w:val="0"/>
      <w:marBottom w:val="0"/>
      <w:divBdr>
        <w:top w:val="none" w:sz="0" w:space="0" w:color="auto"/>
        <w:left w:val="none" w:sz="0" w:space="0" w:color="auto"/>
        <w:bottom w:val="none" w:sz="0" w:space="0" w:color="auto"/>
        <w:right w:val="none" w:sz="0" w:space="0" w:color="auto"/>
      </w:divBdr>
    </w:div>
    <w:div w:id="1596668906">
      <w:bodyDiv w:val="1"/>
      <w:marLeft w:val="0"/>
      <w:marRight w:val="0"/>
      <w:marTop w:val="0"/>
      <w:marBottom w:val="0"/>
      <w:divBdr>
        <w:top w:val="none" w:sz="0" w:space="0" w:color="auto"/>
        <w:left w:val="none" w:sz="0" w:space="0" w:color="auto"/>
        <w:bottom w:val="none" w:sz="0" w:space="0" w:color="auto"/>
        <w:right w:val="none" w:sz="0" w:space="0" w:color="auto"/>
      </w:divBdr>
    </w:div>
    <w:div w:id="1648124654">
      <w:bodyDiv w:val="1"/>
      <w:marLeft w:val="0"/>
      <w:marRight w:val="0"/>
      <w:marTop w:val="0"/>
      <w:marBottom w:val="0"/>
      <w:divBdr>
        <w:top w:val="none" w:sz="0" w:space="0" w:color="auto"/>
        <w:left w:val="none" w:sz="0" w:space="0" w:color="auto"/>
        <w:bottom w:val="none" w:sz="0" w:space="0" w:color="auto"/>
        <w:right w:val="none" w:sz="0" w:space="0" w:color="auto"/>
      </w:divBdr>
    </w:div>
    <w:div w:id="1670908272">
      <w:bodyDiv w:val="1"/>
      <w:marLeft w:val="0"/>
      <w:marRight w:val="0"/>
      <w:marTop w:val="0"/>
      <w:marBottom w:val="0"/>
      <w:divBdr>
        <w:top w:val="none" w:sz="0" w:space="0" w:color="auto"/>
        <w:left w:val="none" w:sz="0" w:space="0" w:color="auto"/>
        <w:bottom w:val="none" w:sz="0" w:space="0" w:color="auto"/>
        <w:right w:val="none" w:sz="0" w:space="0" w:color="auto"/>
      </w:divBdr>
    </w:div>
    <w:div w:id="1690599393">
      <w:bodyDiv w:val="1"/>
      <w:marLeft w:val="0"/>
      <w:marRight w:val="0"/>
      <w:marTop w:val="0"/>
      <w:marBottom w:val="0"/>
      <w:divBdr>
        <w:top w:val="none" w:sz="0" w:space="0" w:color="auto"/>
        <w:left w:val="none" w:sz="0" w:space="0" w:color="auto"/>
        <w:bottom w:val="none" w:sz="0" w:space="0" w:color="auto"/>
        <w:right w:val="none" w:sz="0" w:space="0" w:color="auto"/>
      </w:divBdr>
    </w:div>
    <w:div w:id="1727990151">
      <w:bodyDiv w:val="1"/>
      <w:marLeft w:val="0"/>
      <w:marRight w:val="0"/>
      <w:marTop w:val="0"/>
      <w:marBottom w:val="0"/>
      <w:divBdr>
        <w:top w:val="none" w:sz="0" w:space="0" w:color="auto"/>
        <w:left w:val="none" w:sz="0" w:space="0" w:color="auto"/>
        <w:bottom w:val="none" w:sz="0" w:space="0" w:color="auto"/>
        <w:right w:val="none" w:sz="0" w:space="0" w:color="auto"/>
      </w:divBdr>
      <w:divsChild>
        <w:div w:id="2142573835">
          <w:marLeft w:val="0"/>
          <w:marRight w:val="0"/>
          <w:marTop w:val="0"/>
          <w:marBottom w:val="0"/>
          <w:divBdr>
            <w:top w:val="none" w:sz="0" w:space="0" w:color="auto"/>
            <w:left w:val="none" w:sz="0" w:space="0" w:color="auto"/>
            <w:bottom w:val="none" w:sz="0" w:space="0" w:color="auto"/>
            <w:right w:val="none" w:sz="0" w:space="0" w:color="auto"/>
          </w:divBdr>
        </w:div>
      </w:divsChild>
    </w:div>
    <w:div w:id="1742867090">
      <w:bodyDiv w:val="1"/>
      <w:marLeft w:val="0"/>
      <w:marRight w:val="0"/>
      <w:marTop w:val="0"/>
      <w:marBottom w:val="0"/>
      <w:divBdr>
        <w:top w:val="none" w:sz="0" w:space="0" w:color="auto"/>
        <w:left w:val="none" w:sz="0" w:space="0" w:color="auto"/>
        <w:bottom w:val="none" w:sz="0" w:space="0" w:color="auto"/>
        <w:right w:val="none" w:sz="0" w:space="0" w:color="auto"/>
      </w:divBdr>
    </w:div>
    <w:div w:id="1780024023">
      <w:bodyDiv w:val="1"/>
      <w:marLeft w:val="0"/>
      <w:marRight w:val="0"/>
      <w:marTop w:val="0"/>
      <w:marBottom w:val="0"/>
      <w:divBdr>
        <w:top w:val="none" w:sz="0" w:space="0" w:color="auto"/>
        <w:left w:val="none" w:sz="0" w:space="0" w:color="auto"/>
        <w:bottom w:val="none" w:sz="0" w:space="0" w:color="auto"/>
        <w:right w:val="none" w:sz="0" w:space="0" w:color="auto"/>
      </w:divBdr>
    </w:div>
    <w:div w:id="1803844848">
      <w:bodyDiv w:val="1"/>
      <w:marLeft w:val="0"/>
      <w:marRight w:val="0"/>
      <w:marTop w:val="0"/>
      <w:marBottom w:val="0"/>
      <w:divBdr>
        <w:top w:val="none" w:sz="0" w:space="0" w:color="auto"/>
        <w:left w:val="none" w:sz="0" w:space="0" w:color="auto"/>
        <w:bottom w:val="none" w:sz="0" w:space="0" w:color="auto"/>
        <w:right w:val="none" w:sz="0" w:space="0" w:color="auto"/>
      </w:divBdr>
    </w:div>
    <w:div w:id="1805268046">
      <w:bodyDiv w:val="1"/>
      <w:marLeft w:val="0"/>
      <w:marRight w:val="0"/>
      <w:marTop w:val="0"/>
      <w:marBottom w:val="0"/>
      <w:divBdr>
        <w:top w:val="none" w:sz="0" w:space="0" w:color="auto"/>
        <w:left w:val="none" w:sz="0" w:space="0" w:color="auto"/>
        <w:bottom w:val="none" w:sz="0" w:space="0" w:color="auto"/>
        <w:right w:val="none" w:sz="0" w:space="0" w:color="auto"/>
      </w:divBdr>
    </w:div>
    <w:div w:id="1816533462">
      <w:bodyDiv w:val="1"/>
      <w:marLeft w:val="0"/>
      <w:marRight w:val="0"/>
      <w:marTop w:val="0"/>
      <w:marBottom w:val="0"/>
      <w:divBdr>
        <w:top w:val="none" w:sz="0" w:space="0" w:color="auto"/>
        <w:left w:val="none" w:sz="0" w:space="0" w:color="auto"/>
        <w:bottom w:val="none" w:sz="0" w:space="0" w:color="auto"/>
        <w:right w:val="none" w:sz="0" w:space="0" w:color="auto"/>
      </w:divBdr>
    </w:div>
    <w:div w:id="1832255601">
      <w:bodyDiv w:val="1"/>
      <w:marLeft w:val="0"/>
      <w:marRight w:val="0"/>
      <w:marTop w:val="0"/>
      <w:marBottom w:val="0"/>
      <w:divBdr>
        <w:top w:val="none" w:sz="0" w:space="0" w:color="auto"/>
        <w:left w:val="none" w:sz="0" w:space="0" w:color="auto"/>
        <w:bottom w:val="none" w:sz="0" w:space="0" w:color="auto"/>
        <w:right w:val="none" w:sz="0" w:space="0" w:color="auto"/>
      </w:divBdr>
    </w:div>
    <w:div w:id="1839612290">
      <w:bodyDiv w:val="1"/>
      <w:marLeft w:val="0"/>
      <w:marRight w:val="0"/>
      <w:marTop w:val="0"/>
      <w:marBottom w:val="0"/>
      <w:divBdr>
        <w:top w:val="none" w:sz="0" w:space="0" w:color="auto"/>
        <w:left w:val="none" w:sz="0" w:space="0" w:color="auto"/>
        <w:bottom w:val="none" w:sz="0" w:space="0" w:color="auto"/>
        <w:right w:val="none" w:sz="0" w:space="0" w:color="auto"/>
      </w:divBdr>
    </w:div>
    <w:div w:id="1841774527">
      <w:bodyDiv w:val="1"/>
      <w:marLeft w:val="0"/>
      <w:marRight w:val="0"/>
      <w:marTop w:val="0"/>
      <w:marBottom w:val="0"/>
      <w:divBdr>
        <w:top w:val="none" w:sz="0" w:space="0" w:color="auto"/>
        <w:left w:val="none" w:sz="0" w:space="0" w:color="auto"/>
        <w:bottom w:val="none" w:sz="0" w:space="0" w:color="auto"/>
        <w:right w:val="none" w:sz="0" w:space="0" w:color="auto"/>
      </w:divBdr>
      <w:divsChild>
        <w:div w:id="544681880">
          <w:marLeft w:val="0"/>
          <w:marRight w:val="0"/>
          <w:marTop w:val="0"/>
          <w:marBottom w:val="0"/>
          <w:divBdr>
            <w:top w:val="none" w:sz="0" w:space="0" w:color="auto"/>
            <w:left w:val="none" w:sz="0" w:space="0" w:color="auto"/>
            <w:bottom w:val="none" w:sz="0" w:space="0" w:color="auto"/>
            <w:right w:val="none" w:sz="0" w:space="0" w:color="auto"/>
          </w:divBdr>
        </w:div>
      </w:divsChild>
    </w:div>
    <w:div w:id="1847089200">
      <w:bodyDiv w:val="1"/>
      <w:marLeft w:val="0"/>
      <w:marRight w:val="0"/>
      <w:marTop w:val="0"/>
      <w:marBottom w:val="0"/>
      <w:divBdr>
        <w:top w:val="none" w:sz="0" w:space="0" w:color="auto"/>
        <w:left w:val="none" w:sz="0" w:space="0" w:color="auto"/>
        <w:bottom w:val="none" w:sz="0" w:space="0" w:color="auto"/>
        <w:right w:val="none" w:sz="0" w:space="0" w:color="auto"/>
      </w:divBdr>
      <w:divsChild>
        <w:div w:id="72626155">
          <w:marLeft w:val="0"/>
          <w:marRight w:val="0"/>
          <w:marTop w:val="0"/>
          <w:marBottom w:val="0"/>
          <w:divBdr>
            <w:top w:val="none" w:sz="0" w:space="0" w:color="auto"/>
            <w:left w:val="none" w:sz="0" w:space="0" w:color="auto"/>
            <w:bottom w:val="none" w:sz="0" w:space="0" w:color="auto"/>
            <w:right w:val="none" w:sz="0" w:space="0" w:color="auto"/>
          </w:divBdr>
        </w:div>
      </w:divsChild>
    </w:div>
    <w:div w:id="1853646681">
      <w:bodyDiv w:val="1"/>
      <w:marLeft w:val="0"/>
      <w:marRight w:val="0"/>
      <w:marTop w:val="0"/>
      <w:marBottom w:val="0"/>
      <w:divBdr>
        <w:top w:val="none" w:sz="0" w:space="0" w:color="auto"/>
        <w:left w:val="none" w:sz="0" w:space="0" w:color="auto"/>
        <w:bottom w:val="none" w:sz="0" w:space="0" w:color="auto"/>
        <w:right w:val="none" w:sz="0" w:space="0" w:color="auto"/>
      </w:divBdr>
    </w:div>
    <w:div w:id="1862473081">
      <w:bodyDiv w:val="1"/>
      <w:marLeft w:val="0"/>
      <w:marRight w:val="0"/>
      <w:marTop w:val="0"/>
      <w:marBottom w:val="0"/>
      <w:divBdr>
        <w:top w:val="none" w:sz="0" w:space="0" w:color="auto"/>
        <w:left w:val="none" w:sz="0" w:space="0" w:color="auto"/>
        <w:bottom w:val="none" w:sz="0" w:space="0" w:color="auto"/>
        <w:right w:val="none" w:sz="0" w:space="0" w:color="auto"/>
      </w:divBdr>
    </w:div>
    <w:div w:id="1910726504">
      <w:bodyDiv w:val="1"/>
      <w:marLeft w:val="0"/>
      <w:marRight w:val="0"/>
      <w:marTop w:val="0"/>
      <w:marBottom w:val="0"/>
      <w:divBdr>
        <w:top w:val="none" w:sz="0" w:space="0" w:color="auto"/>
        <w:left w:val="none" w:sz="0" w:space="0" w:color="auto"/>
        <w:bottom w:val="none" w:sz="0" w:space="0" w:color="auto"/>
        <w:right w:val="none" w:sz="0" w:space="0" w:color="auto"/>
      </w:divBdr>
      <w:divsChild>
        <w:div w:id="783499395">
          <w:marLeft w:val="0"/>
          <w:marRight w:val="0"/>
          <w:marTop w:val="0"/>
          <w:marBottom w:val="0"/>
          <w:divBdr>
            <w:top w:val="none" w:sz="0" w:space="0" w:color="auto"/>
            <w:left w:val="none" w:sz="0" w:space="0" w:color="auto"/>
            <w:bottom w:val="none" w:sz="0" w:space="0" w:color="auto"/>
            <w:right w:val="none" w:sz="0" w:space="0" w:color="auto"/>
          </w:divBdr>
        </w:div>
      </w:divsChild>
    </w:div>
    <w:div w:id="1918513224">
      <w:bodyDiv w:val="1"/>
      <w:marLeft w:val="0"/>
      <w:marRight w:val="0"/>
      <w:marTop w:val="0"/>
      <w:marBottom w:val="0"/>
      <w:divBdr>
        <w:top w:val="none" w:sz="0" w:space="0" w:color="auto"/>
        <w:left w:val="none" w:sz="0" w:space="0" w:color="auto"/>
        <w:bottom w:val="none" w:sz="0" w:space="0" w:color="auto"/>
        <w:right w:val="none" w:sz="0" w:space="0" w:color="auto"/>
      </w:divBdr>
    </w:div>
    <w:div w:id="1924483345">
      <w:bodyDiv w:val="1"/>
      <w:marLeft w:val="0"/>
      <w:marRight w:val="0"/>
      <w:marTop w:val="0"/>
      <w:marBottom w:val="0"/>
      <w:divBdr>
        <w:top w:val="none" w:sz="0" w:space="0" w:color="auto"/>
        <w:left w:val="none" w:sz="0" w:space="0" w:color="auto"/>
        <w:bottom w:val="none" w:sz="0" w:space="0" w:color="auto"/>
        <w:right w:val="none" w:sz="0" w:space="0" w:color="auto"/>
      </w:divBdr>
    </w:div>
    <w:div w:id="1932811695">
      <w:bodyDiv w:val="1"/>
      <w:marLeft w:val="0"/>
      <w:marRight w:val="0"/>
      <w:marTop w:val="0"/>
      <w:marBottom w:val="0"/>
      <w:divBdr>
        <w:top w:val="none" w:sz="0" w:space="0" w:color="auto"/>
        <w:left w:val="none" w:sz="0" w:space="0" w:color="auto"/>
        <w:bottom w:val="none" w:sz="0" w:space="0" w:color="auto"/>
        <w:right w:val="none" w:sz="0" w:space="0" w:color="auto"/>
      </w:divBdr>
    </w:div>
    <w:div w:id="1953853410">
      <w:bodyDiv w:val="1"/>
      <w:marLeft w:val="0"/>
      <w:marRight w:val="0"/>
      <w:marTop w:val="0"/>
      <w:marBottom w:val="0"/>
      <w:divBdr>
        <w:top w:val="none" w:sz="0" w:space="0" w:color="auto"/>
        <w:left w:val="none" w:sz="0" w:space="0" w:color="auto"/>
        <w:bottom w:val="none" w:sz="0" w:space="0" w:color="auto"/>
        <w:right w:val="none" w:sz="0" w:space="0" w:color="auto"/>
      </w:divBdr>
    </w:div>
    <w:div w:id="1978297837">
      <w:bodyDiv w:val="1"/>
      <w:marLeft w:val="0"/>
      <w:marRight w:val="0"/>
      <w:marTop w:val="0"/>
      <w:marBottom w:val="0"/>
      <w:divBdr>
        <w:top w:val="none" w:sz="0" w:space="0" w:color="auto"/>
        <w:left w:val="none" w:sz="0" w:space="0" w:color="auto"/>
        <w:bottom w:val="none" w:sz="0" w:space="0" w:color="auto"/>
        <w:right w:val="none" w:sz="0" w:space="0" w:color="auto"/>
      </w:divBdr>
    </w:div>
    <w:div w:id="2027976421">
      <w:bodyDiv w:val="1"/>
      <w:marLeft w:val="0"/>
      <w:marRight w:val="0"/>
      <w:marTop w:val="0"/>
      <w:marBottom w:val="0"/>
      <w:divBdr>
        <w:top w:val="none" w:sz="0" w:space="0" w:color="auto"/>
        <w:left w:val="none" w:sz="0" w:space="0" w:color="auto"/>
        <w:bottom w:val="none" w:sz="0" w:space="0" w:color="auto"/>
        <w:right w:val="none" w:sz="0" w:space="0" w:color="auto"/>
      </w:divBdr>
    </w:div>
    <w:div w:id="2048413793">
      <w:bodyDiv w:val="1"/>
      <w:marLeft w:val="0"/>
      <w:marRight w:val="0"/>
      <w:marTop w:val="0"/>
      <w:marBottom w:val="0"/>
      <w:divBdr>
        <w:top w:val="none" w:sz="0" w:space="0" w:color="auto"/>
        <w:left w:val="none" w:sz="0" w:space="0" w:color="auto"/>
        <w:bottom w:val="none" w:sz="0" w:space="0" w:color="auto"/>
        <w:right w:val="none" w:sz="0" w:space="0" w:color="auto"/>
      </w:divBdr>
    </w:div>
    <w:div w:id="2049379266">
      <w:bodyDiv w:val="1"/>
      <w:marLeft w:val="0"/>
      <w:marRight w:val="0"/>
      <w:marTop w:val="0"/>
      <w:marBottom w:val="0"/>
      <w:divBdr>
        <w:top w:val="none" w:sz="0" w:space="0" w:color="auto"/>
        <w:left w:val="none" w:sz="0" w:space="0" w:color="auto"/>
        <w:bottom w:val="none" w:sz="0" w:space="0" w:color="auto"/>
        <w:right w:val="none" w:sz="0" w:space="0" w:color="auto"/>
      </w:divBdr>
      <w:divsChild>
        <w:div w:id="1941141439">
          <w:marLeft w:val="0"/>
          <w:marRight w:val="0"/>
          <w:marTop w:val="0"/>
          <w:marBottom w:val="0"/>
          <w:divBdr>
            <w:top w:val="none" w:sz="0" w:space="0" w:color="auto"/>
            <w:left w:val="none" w:sz="0" w:space="0" w:color="auto"/>
            <w:bottom w:val="none" w:sz="0" w:space="0" w:color="auto"/>
            <w:right w:val="none" w:sz="0" w:space="0" w:color="auto"/>
          </w:divBdr>
        </w:div>
      </w:divsChild>
    </w:div>
    <w:div w:id="2056804929">
      <w:bodyDiv w:val="1"/>
      <w:marLeft w:val="0"/>
      <w:marRight w:val="0"/>
      <w:marTop w:val="0"/>
      <w:marBottom w:val="0"/>
      <w:divBdr>
        <w:top w:val="none" w:sz="0" w:space="0" w:color="auto"/>
        <w:left w:val="none" w:sz="0" w:space="0" w:color="auto"/>
        <w:bottom w:val="none" w:sz="0" w:space="0" w:color="auto"/>
        <w:right w:val="none" w:sz="0" w:space="0" w:color="auto"/>
      </w:divBdr>
    </w:div>
    <w:div w:id="2057971318">
      <w:bodyDiv w:val="1"/>
      <w:marLeft w:val="0"/>
      <w:marRight w:val="0"/>
      <w:marTop w:val="0"/>
      <w:marBottom w:val="0"/>
      <w:divBdr>
        <w:top w:val="none" w:sz="0" w:space="0" w:color="auto"/>
        <w:left w:val="none" w:sz="0" w:space="0" w:color="auto"/>
        <w:bottom w:val="none" w:sz="0" w:space="0" w:color="auto"/>
        <w:right w:val="none" w:sz="0" w:space="0" w:color="auto"/>
      </w:divBdr>
    </w:div>
    <w:div w:id="2060933205">
      <w:bodyDiv w:val="1"/>
      <w:marLeft w:val="0"/>
      <w:marRight w:val="0"/>
      <w:marTop w:val="0"/>
      <w:marBottom w:val="0"/>
      <w:divBdr>
        <w:top w:val="none" w:sz="0" w:space="0" w:color="auto"/>
        <w:left w:val="none" w:sz="0" w:space="0" w:color="auto"/>
        <w:bottom w:val="none" w:sz="0" w:space="0" w:color="auto"/>
        <w:right w:val="none" w:sz="0" w:space="0" w:color="auto"/>
      </w:divBdr>
      <w:divsChild>
        <w:div w:id="73166739">
          <w:marLeft w:val="0"/>
          <w:marRight w:val="0"/>
          <w:marTop w:val="0"/>
          <w:marBottom w:val="0"/>
          <w:divBdr>
            <w:top w:val="none" w:sz="0" w:space="0" w:color="auto"/>
            <w:left w:val="none" w:sz="0" w:space="0" w:color="auto"/>
            <w:bottom w:val="none" w:sz="0" w:space="0" w:color="auto"/>
            <w:right w:val="none" w:sz="0" w:space="0" w:color="auto"/>
          </w:divBdr>
        </w:div>
      </w:divsChild>
    </w:div>
    <w:div w:id="2086830070">
      <w:bodyDiv w:val="1"/>
      <w:marLeft w:val="0"/>
      <w:marRight w:val="0"/>
      <w:marTop w:val="0"/>
      <w:marBottom w:val="0"/>
      <w:divBdr>
        <w:top w:val="none" w:sz="0" w:space="0" w:color="auto"/>
        <w:left w:val="none" w:sz="0" w:space="0" w:color="auto"/>
        <w:bottom w:val="none" w:sz="0" w:space="0" w:color="auto"/>
        <w:right w:val="none" w:sz="0" w:space="0" w:color="auto"/>
      </w:divBdr>
      <w:divsChild>
        <w:div w:id="1791898571">
          <w:marLeft w:val="0"/>
          <w:marRight w:val="0"/>
          <w:marTop w:val="0"/>
          <w:marBottom w:val="0"/>
          <w:divBdr>
            <w:top w:val="none" w:sz="0" w:space="0" w:color="auto"/>
            <w:left w:val="none" w:sz="0" w:space="0" w:color="auto"/>
            <w:bottom w:val="none" w:sz="0" w:space="0" w:color="auto"/>
            <w:right w:val="none" w:sz="0" w:space="0" w:color="auto"/>
          </w:divBdr>
        </w:div>
      </w:divsChild>
    </w:div>
    <w:div w:id="2096513939">
      <w:bodyDiv w:val="1"/>
      <w:marLeft w:val="0"/>
      <w:marRight w:val="0"/>
      <w:marTop w:val="0"/>
      <w:marBottom w:val="0"/>
      <w:divBdr>
        <w:top w:val="none" w:sz="0" w:space="0" w:color="auto"/>
        <w:left w:val="none" w:sz="0" w:space="0" w:color="auto"/>
        <w:bottom w:val="none" w:sz="0" w:space="0" w:color="auto"/>
        <w:right w:val="none" w:sz="0" w:space="0" w:color="auto"/>
      </w:divBdr>
    </w:div>
    <w:div w:id="2114354715">
      <w:bodyDiv w:val="1"/>
      <w:marLeft w:val="0"/>
      <w:marRight w:val="0"/>
      <w:marTop w:val="0"/>
      <w:marBottom w:val="0"/>
      <w:divBdr>
        <w:top w:val="none" w:sz="0" w:space="0" w:color="auto"/>
        <w:left w:val="none" w:sz="0" w:space="0" w:color="auto"/>
        <w:bottom w:val="none" w:sz="0" w:space="0" w:color="auto"/>
        <w:right w:val="none" w:sz="0" w:space="0" w:color="auto"/>
      </w:divBdr>
    </w:div>
    <w:div w:id="2132555915">
      <w:bodyDiv w:val="1"/>
      <w:marLeft w:val="0"/>
      <w:marRight w:val="0"/>
      <w:marTop w:val="0"/>
      <w:marBottom w:val="0"/>
      <w:divBdr>
        <w:top w:val="none" w:sz="0" w:space="0" w:color="auto"/>
        <w:left w:val="none" w:sz="0" w:space="0" w:color="auto"/>
        <w:bottom w:val="none" w:sz="0" w:space="0" w:color="auto"/>
        <w:right w:val="none" w:sz="0" w:space="0" w:color="auto"/>
      </w:divBdr>
      <w:divsChild>
        <w:div w:id="1576475309">
          <w:marLeft w:val="0"/>
          <w:marRight w:val="0"/>
          <w:marTop w:val="0"/>
          <w:marBottom w:val="0"/>
          <w:divBdr>
            <w:top w:val="none" w:sz="0" w:space="0" w:color="auto"/>
            <w:left w:val="none" w:sz="0" w:space="0" w:color="auto"/>
            <w:bottom w:val="none" w:sz="0" w:space="0" w:color="auto"/>
            <w:right w:val="none" w:sz="0" w:space="0" w:color="auto"/>
          </w:divBdr>
        </w:div>
      </w:divsChild>
    </w:div>
    <w:div w:id="2132750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confed.org/publications/state-integrated-care-systems-202324" TargetMode="External"/><Relationship Id="rId13" Type="http://schemas.openxmlformats.org/officeDocument/2006/relationships/hyperlink" Target="https://www.england.nhs.uk/midlands/2023/01/25/black-and-south-asian-people-in-the-west-midlands-urged-to-act-now-to-prevent-or-delay-type-2-diabetes/(Accessed" TargetMode="External"/><Relationship Id="rId3" Type="http://schemas.openxmlformats.org/officeDocument/2006/relationships/settings" Target="settings.xml"/><Relationship Id="rId7" Type="http://schemas.openxmlformats.org/officeDocument/2006/relationships/hyperlink" Target="https://pubmed.ncbi.nlm.nih.gov/35664052/" TargetMode="External"/><Relationship Id="rId12" Type="http://schemas.openxmlformats.org/officeDocument/2006/relationships/hyperlink" Target="https://www.england.nhs.uk/diabetes/treatment-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iabetes.org.uk/about-us/news-and-views/30-people-living-type-2-diabetes-england-are-undiagnosed-ons-analysis-show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diabetes.org.uk/about-diabetes/type-2-diabetes/diabetes-ethnicity" TargetMode="External"/><Relationship Id="rId4" Type="http://schemas.openxmlformats.org/officeDocument/2006/relationships/webSettings" Target="webSettings.xml"/><Relationship Id="rId9" Type="http://schemas.openxmlformats.org/officeDocument/2006/relationships/hyperlink" Target="https://www.desmond.nhs.uk" TargetMode="External"/><Relationship Id="rId14" Type="http://schemas.openxmlformats.org/officeDocument/2006/relationships/hyperlink" Target="https://www.ons.gov.uk/peoplepopulationandcommunity/healthandsocialcare/healthinequalities/bulletins/riskfactorsforprediabetesandundiagnosedtype2diabetesinengland/2013to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1611</TotalTime>
  <Pages>52</Pages>
  <Words>14989</Words>
  <Characters>85443</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 Touannah S.</dc:creator>
  <cp:keywords/>
  <dc:description/>
  <cp:lastModifiedBy>Perkins, Touannah S.</cp:lastModifiedBy>
  <cp:revision>379</cp:revision>
  <dcterms:created xsi:type="dcterms:W3CDTF">2026-01-31T21:24:00Z</dcterms:created>
  <dcterms:modified xsi:type="dcterms:W3CDTF">2026-03-31T00:01:00Z</dcterms:modified>
</cp:coreProperties>
</file>