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FF22D" w14:textId="71F3A617" w:rsidR="00A06744" w:rsidRDefault="00C126F6" w:rsidP="00C126F6">
      <w:pPr>
        <w:jc w:val="center"/>
        <w:rPr>
          <w:u w:val="single"/>
        </w:rPr>
      </w:pPr>
      <w:r>
        <w:rPr>
          <w:u w:val="single"/>
        </w:rPr>
        <w:t>Commentary on Dudo of Saint Quentin</w:t>
      </w:r>
    </w:p>
    <w:p w14:paraId="11EF01A3" w14:textId="77777777" w:rsidR="00C126F6" w:rsidRDefault="00C126F6" w:rsidP="00C126F6">
      <w:pPr>
        <w:jc w:val="center"/>
        <w:rPr>
          <w:u w:val="single"/>
        </w:rPr>
      </w:pPr>
    </w:p>
    <w:p w14:paraId="432A5111" w14:textId="61B5586E" w:rsidR="00C126F6" w:rsidRDefault="00C126F6" w:rsidP="00C126F6">
      <w:pPr>
        <w:rPr>
          <w:sz w:val="22"/>
          <w:szCs w:val="22"/>
        </w:rPr>
      </w:pPr>
      <w:r w:rsidRPr="00C126F6">
        <w:rPr>
          <w:sz w:val="22"/>
          <w:szCs w:val="22"/>
        </w:rPr>
        <w:t>This</w:t>
      </w:r>
      <w:r>
        <w:rPr>
          <w:sz w:val="22"/>
          <w:szCs w:val="22"/>
        </w:rPr>
        <w:t xml:space="preserve"> commentary will analyse an extract from chapter ten of Dudo of Saint Quentin’s </w:t>
      </w:r>
      <w:proofErr w:type="spellStart"/>
      <w:r>
        <w:rPr>
          <w:i/>
          <w:iCs/>
          <w:sz w:val="22"/>
          <w:szCs w:val="22"/>
        </w:rPr>
        <w:t>Gesta</w:t>
      </w:r>
      <w:proofErr w:type="spellEnd"/>
      <w:r>
        <w:rPr>
          <w:i/>
          <w:iCs/>
          <w:sz w:val="22"/>
          <w:szCs w:val="22"/>
        </w:rPr>
        <w:t xml:space="preserve"> </w:t>
      </w:r>
      <w:proofErr w:type="spellStart"/>
      <w:r>
        <w:rPr>
          <w:i/>
          <w:iCs/>
          <w:sz w:val="22"/>
          <w:szCs w:val="22"/>
        </w:rPr>
        <w:t>Normannorum</w:t>
      </w:r>
      <w:proofErr w:type="spellEnd"/>
      <w:r>
        <w:rPr>
          <w:sz w:val="22"/>
          <w:szCs w:val="22"/>
        </w:rPr>
        <w:t>. The extract explains how Rollo arrived to the land now known as Normandy and the town of Rouen.</w:t>
      </w:r>
      <w:r w:rsidR="00C408FC">
        <w:rPr>
          <w:rStyle w:val="FootnoteReference"/>
          <w:sz w:val="22"/>
          <w:szCs w:val="22"/>
        </w:rPr>
        <w:footnoteReference w:id="1"/>
      </w:r>
      <w:r>
        <w:rPr>
          <w:sz w:val="22"/>
          <w:szCs w:val="22"/>
        </w:rPr>
        <w:t xml:space="preserve"> It explains further about the people Rollo met in the town of Rouen and the condition the city was in when he arrived.</w:t>
      </w:r>
      <w:r w:rsidR="00C408FC">
        <w:rPr>
          <w:rStyle w:val="FootnoteReference"/>
          <w:sz w:val="22"/>
          <w:szCs w:val="22"/>
        </w:rPr>
        <w:footnoteReference w:id="2"/>
      </w:r>
      <w:r>
        <w:rPr>
          <w:sz w:val="22"/>
          <w:szCs w:val="22"/>
        </w:rPr>
        <w:t xml:space="preserve"> </w:t>
      </w:r>
    </w:p>
    <w:p w14:paraId="2BD28AF8" w14:textId="4368283E" w:rsidR="00C126F6" w:rsidRDefault="00C126F6" w:rsidP="00C126F6">
      <w:pPr>
        <w:rPr>
          <w:sz w:val="22"/>
          <w:szCs w:val="22"/>
        </w:rPr>
      </w:pPr>
      <w:r>
        <w:rPr>
          <w:sz w:val="22"/>
          <w:szCs w:val="22"/>
        </w:rPr>
        <w:t>The first sentence of the text says that the events took place in the year 876</w:t>
      </w:r>
      <w:r w:rsidR="00292474">
        <w:rPr>
          <w:sz w:val="22"/>
          <w:szCs w:val="22"/>
        </w:rPr>
        <w:t>.</w:t>
      </w:r>
      <w:r w:rsidR="008F5EAA">
        <w:rPr>
          <w:rStyle w:val="FootnoteReference"/>
          <w:sz w:val="22"/>
          <w:szCs w:val="22"/>
        </w:rPr>
        <w:footnoteReference w:id="3"/>
      </w:r>
      <w:r w:rsidR="00292474">
        <w:rPr>
          <w:sz w:val="22"/>
          <w:szCs w:val="22"/>
        </w:rPr>
        <w:t xml:space="preserve"> Although the date itself is not significant, Dudo adding a date to the text shows a form of legitimacy and a sense of truthfulness to it. </w:t>
      </w:r>
      <w:r w:rsidR="00746543">
        <w:rPr>
          <w:sz w:val="22"/>
          <w:szCs w:val="22"/>
        </w:rPr>
        <w:t>However, a</w:t>
      </w:r>
      <w:r w:rsidR="00746543">
        <w:rPr>
          <w:sz w:val="22"/>
          <w:szCs w:val="22"/>
        </w:rPr>
        <w:t>lthough the date given by Dudo of the arrival of Rollo to Normandy does give some legitimacy to the text, the date given is entirely wrong. The English Historical Review gives different estimations for Rollo’s arrival. An early estimation suggests that Rollo arrived between the years of 896 and 900.</w:t>
      </w:r>
      <w:r w:rsidR="00746543">
        <w:rPr>
          <w:rStyle w:val="FootnoteReference"/>
          <w:sz w:val="22"/>
          <w:szCs w:val="22"/>
        </w:rPr>
        <w:footnoteReference w:id="4"/>
      </w:r>
      <w:r w:rsidR="00746543">
        <w:rPr>
          <w:sz w:val="22"/>
          <w:szCs w:val="22"/>
        </w:rPr>
        <w:t xml:space="preserve"> Whereas, a later estimation suggests that Rollo did not arrive in Normandy until after 900.</w:t>
      </w:r>
      <w:r w:rsidR="00746543">
        <w:rPr>
          <w:rStyle w:val="FootnoteReference"/>
          <w:sz w:val="22"/>
          <w:szCs w:val="22"/>
        </w:rPr>
        <w:footnoteReference w:id="5"/>
      </w:r>
      <w:r w:rsidR="00746543">
        <w:rPr>
          <w:sz w:val="22"/>
          <w:szCs w:val="22"/>
        </w:rPr>
        <w:t xml:space="preserve"> This further proves the point that Dudo’s writing cannot be used as an accurate historical source. </w:t>
      </w:r>
    </w:p>
    <w:p w14:paraId="56E150AA" w14:textId="01667066" w:rsidR="00292474" w:rsidRDefault="00292474" w:rsidP="00C126F6">
      <w:pPr>
        <w:rPr>
          <w:sz w:val="22"/>
          <w:szCs w:val="22"/>
        </w:rPr>
      </w:pPr>
      <w:r>
        <w:rPr>
          <w:sz w:val="22"/>
          <w:szCs w:val="22"/>
        </w:rPr>
        <w:t>There are multiple hints in the text to Rollo wanting to settle the area near Rouen. The first hint that Rollo wants to settle is that the water in the river is described as ‘Crystal Clear’.</w:t>
      </w:r>
      <w:r w:rsidR="000C376A">
        <w:rPr>
          <w:rStyle w:val="FootnoteReference"/>
          <w:sz w:val="22"/>
          <w:szCs w:val="22"/>
        </w:rPr>
        <w:footnoteReference w:id="6"/>
      </w:r>
      <w:r>
        <w:rPr>
          <w:sz w:val="22"/>
          <w:szCs w:val="22"/>
        </w:rPr>
        <w:t xml:space="preserve"> Clear water gives the idea of purity. Furthermore, pure water would suggest fish in the river, giving a food source to Rollo and any other inhabitants of a settlement. The next hint that is given for settlement is the language used when</w:t>
      </w:r>
      <w:r w:rsidR="00B14C33">
        <w:rPr>
          <w:sz w:val="22"/>
          <w:szCs w:val="22"/>
        </w:rPr>
        <w:t xml:space="preserve"> Dudo describes the land around Rollo</w:t>
      </w:r>
      <w:r>
        <w:rPr>
          <w:sz w:val="22"/>
          <w:szCs w:val="22"/>
        </w:rPr>
        <w:t xml:space="preserve">. </w:t>
      </w:r>
      <w:r w:rsidR="00124391">
        <w:rPr>
          <w:sz w:val="22"/>
          <w:szCs w:val="22"/>
        </w:rPr>
        <w:t>The grass is described as ‘fragrant’, possibly signifying that the land by the river is fertile and arable; Allowing the land for the use of farming.</w:t>
      </w:r>
      <w:r w:rsidR="000C376A">
        <w:rPr>
          <w:rStyle w:val="FootnoteReference"/>
          <w:sz w:val="22"/>
          <w:szCs w:val="22"/>
        </w:rPr>
        <w:footnoteReference w:id="7"/>
      </w:r>
      <w:r w:rsidR="00124391">
        <w:rPr>
          <w:sz w:val="22"/>
          <w:szCs w:val="22"/>
        </w:rPr>
        <w:t xml:space="preserve"> This alone would likely give Rollo an incentive to settle. Another hint to a settlement is the banks of the river are described as </w:t>
      </w:r>
      <w:r w:rsidR="000C376A">
        <w:rPr>
          <w:sz w:val="22"/>
          <w:szCs w:val="22"/>
        </w:rPr>
        <w:t>‘</w:t>
      </w:r>
      <w:r w:rsidR="00124391">
        <w:rPr>
          <w:sz w:val="22"/>
          <w:szCs w:val="22"/>
        </w:rPr>
        <w:t>elevated</w:t>
      </w:r>
      <w:r w:rsidR="000C376A">
        <w:rPr>
          <w:sz w:val="22"/>
          <w:szCs w:val="22"/>
        </w:rPr>
        <w:t>’</w:t>
      </w:r>
      <w:r w:rsidR="00124391">
        <w:rPr>
          <w:sz w:val="22"/>
          <w:szCs w:val="22"/>
        </w:rPr>
        <w:t>.</w:t>
      </w:r>
      <w:r w:rsidR="000C376A">
        <w:rPr>
          <w:rStyle w:val="FootnoteReference"/>
          <w:sz w:val="22"/>
          <w:szCs w:val="22"/>
        </w:rPr>
        <w:footnoteReference w:id="8"/>
      </w:r>
      <w:r w:rsidR="00124391">
        <w:rPr>
          <w:sz w:val="22"/>
          <w:szCs w:val="22"/>
        </w:rPr>
        <w:t xml:space="preserve"> This gives the suggestion that the land will not flood when heavy rains come. This is very useful for any settlement as high </w:t>
      </w:r>
      <w:r w:rsidR="002C77D1">
        <w:rPr>
          <w:sz w:val="22"/>
          <w:szCs w:val="22"/>
        </w:rPr>
        <w:t xml:space="preserve">river </w:t>
      </w:r>
      <w:r w:rsidR="00124391">
        <w:rPr>
          <w:sz w:val="22"/>
          <w:szCs w:val="22"/>
        </w:rPr>
        <w:t>banks will stop a</w:t>
      </w:r>
      <w:r w:rsidR="000C376A">
        <w:rPr>
          <w:sz w:val="22"/>
          <w:szCs w:val="22"/>
        </w:rPr>
        <w:t xml:space="preserve"> </w:t>
      </w:r>
      <w:r w:rsidR="00124391">
        <w:rPr>
          <w:sz w:val="22"/>
          <w:szCs w:val="22"/>
        </w:rPr>
        <w:t xml:space="preserve">loss of life and protect crops if the water level rose. </w:t>
      </w:r>
      <w:r w:rsidR="007B39F9">
        <w:rPr>
          <w:sz w:val="22"/>
          <w:szCs w:val="22"/>
        </w:rPr>
        <w:t xml:space="preserve">The river is a further incentive to create a settlement as a river gives good access to the sea. This would allow for trade and for the flow of resources into the area. </w:t>
      </w:r>
    </w:p>
    <w:p w14:paraId="31E4AC05" w14:textId="37C1D76B" w:rsidR="007B39F9" w:rsidRDefault="007B39F9" w:rsidP="00C126F6">
      <w:pPr>
        <w:rPr>
          <w:sz w:val="22"/>
          <w:szCs w:val="22"/>
        </w:rPr>
      </w:pPr>
      <w:r>
        <w:rPr>
          <w:sz w:val="22"/>
          <w:szCs w:val="22"/>
        </w:rPr>
        <w:t>Further in the extract it is said that Rollo places a virgin,</w:t>
      </w:r>
      <w:r w:rsidR="00E866BF">
        <w:rPr>
          <w:sz w:val="22"/>
          <w:szCs w:val="22"/>
        </w:rPr>
        <w:t xml:space="preserve"> named</w:t>
      </w:r>
      <w:r>
        <w:rPr>
          <w:sz w:val="22"/>
          <w:szCs w:val="22"/>
        </w:rPr>
        <w:t xml:space="preserve"> </w:t>
      </w:r>
      <w:proofErr w:type="spellStart"/>
      <w:r>
        <w:rPr>
          <w:sz w:val="22"/>
          <w:szCs w:val="22"/>
        </w:rPr>
        <w:t>Hameltrude</w:t>
      </w:r>
      <w:proofErr w:type="spellEnd"/>
      <w:r>
        <w:rPr>
          <w:sz w:val="22"/>
          <w:szCs w:val="22"/>
        </w:rPr>
        <w:t xml:space="preserve">, on the altar of the Chapel of </w:t>
      </w:r>
      <w:r w:rsidR="00B822DF">
        <w:rPr>
          <w:sz w:val="22"/>
          <w:szCs w:val="22"/>
        </w:rPr>
        <w:t xml:space="preserve">Saint </w:t>
      </w:r>
      <w:r>
        <w:rPr>
          <w:sz w:val="22"/>
          <w:szCs w:val="22"/>
        </w:rPr>
        <w:t>Vedast.</w:t>
      </w:r>
      <w:r w:rsidR="002C77D1">
        <w:rPr>
          <w:rStyle w:val="FootnoteReference"/>
          <w:sz w:val="22"/>
          <w:szCs w:val="22"/>
        </w:rPr>
        <w:footnoteReference w:id="9"/>
      </w:r>
      <w:r>
        <w:rPr>
          <w:sz w:val="22"/>
          <w:szCs w:val="22"/>
        </w:rPr>
        <w:t xml:space="preserve"> Virginity further gives a sense of purity. Furthermore, the </w:t>
      </w:r>
      <w:r w:rsidR="00B822DF">
        <w:rPr>
          <w:sz w:val="22"/>
          <w:szCs w:val="22"/>
        </w:rPr>
        <w:t xml:space="preserve">Chapel of Saint Vedast is renamed to Saint </w:t>
      </w:r>
      <w:proofErr w:type="spellStart"/>
      <w:r w:rsidR="00B822DF">
        <w:rPr>
          <w:sz w:val="22"/>
          <w:szCs w:val="22"/>
        </w:rPr>
        <w:t>Hameltrude</w:t>
      </w:r>
      <w:proofErr w:type="spellEnd"/>
      <w:r w:rsidR="00B822DF">
        <w:rPr>
          <w:sz w:val="22"/>
          <w:szCs w:val="22"/>
        </w:rPr>
        <w:t>, giving more evidence that Rollo plans to settle.</w:t>
      </w:r>
      <w:r w:rsidR="002C77D1">
        <w:rPr>
          <w:rStyle w:val="FootnoteReference"/>
          <w:sz w:val="22"/>
          <w:szCs w:val="22"/>
        </w:rPr>
        <w:footnoteReference w:id="10"/>
      </w:r>
      <w:r w:rsidR="00B822DF">
        <w:rPr>
          <w:sz w:val="22"/>
          <w:szCs w:val="22"/>
        </w:rPr>
        <w:t xml:space="preserve"> </w:t>
      </w:r>
      <w:r w:rsidR="00B822DF">
        <w:rPr>
          <w:sz w:val="22"/>
          <w:szCs w:val="22"/>
        </w:rPr>
        <w:lastRenderedPageBreak/>
        <w:t>Placing the virgin on the altar and then renaming the Chapel not only gives the area a sense of purity but also shows permanence to any settlement and its settlers.</w:t>
      </w:r>
      <w:r w:rsidR="002C77D1">
        <w:rPr>
          <w:rStyle w:val="FootnoteReference"/>
          <w:sz w:val="22"/>
          <w:szCs w:val="22"/>
        </w:rPr>
        <w:footnoteReference w:id="11"/>
      </w:r>
      <w:r w:rsidR="00B822DF">
        <w:rPr>
          <w:sz w:val="22"/>
          <w:szCs w:val="22"/>
        </w:rPr>
        <w:t xml:space="preserve"> </w:t>
      </w:r>
    </w:p>
    <w:p w14:paraId="41535B8F" w14:textId="37F67325" w:rsidR="00E37FFA" w:rsidRDefault="00B822DF" w:rsidP="00C126F6">
      <w:pPr>
        <w:rPr>
          <w:sz w:val="22"/>
          <w:szCs w:val="22"/>
        </w:rPr>
      </w:pPr>
      <w:r>
        <w:rPr>
          <w:sz w:val="22"/>
          <w:szCs w:val="22"/>
        </w:rPr>
        <w:t xml:space="preserve">Dudo uses language in this extract to make Rollo and the Normans seem superior to the inhabitants of the </w:t>
      </w:r>
      <w:r w:rsidR="00A55C1F">
        <w:rPr>
          <w:sz w:val="22"/>
          <w:szCs w:val="22"/>
        </w:rPr>
        <w:t>land around. Dudo describes the inhabitants of the area which Rollo has landed on as poor, destitute, and dwellers.</w:t>
      </w:r>
      <w:r w:rsidR="002C77D1">
        <w:rPr>
          <w:rStyle w:val="FootnoteReference"/>
          <w:sz w:val="22"/>
          <w:szCs w:val="22"/>
        </w:rPr>
        <w:footnoteReference w:id="12"/>
      </w:r>
      <w:r w:rsidR="00A55C1F">
        <w:rPr>
          <w:sz w:val="22"/>
          <w:szCs w:val="22"/>
        </w:rPr>
        <w:t xml:space="preserve"> This depicts the inhabitants as inferior. The word ‘dweller’ specifically gives the inhabitants an animalistic characteristic about them.</w:t>
      </w:r>
      <w:r w:rsidR="002C77D1">
        <w:rPr>
          <w:rStyle w:val="FootnoteReference"/>
          <w:sz w:val="22"/>
          <w:szCs w:val="22"/>
        </w:rPr>
        <w:footnoteReference w:id="13"/>
      </w:r>
      <w:r w:rsidR="00A55C1F">
        <w:rPr>
          <w:sz w:val="22"/>
          <w:szCs w:val="22"/>
        </w:rPr>
        <w:t xml:space="preserve"> However, it should be noted that the word dweller could have been picked by the </w:t>
      </w:r>
      <w:r w:rsidR="00E37FFA">
        <w:rPr>
          <w:sz w:val="22"/>
          <w:szCs w:val="22"/>
        </w:rPr>
        <w:t>translator and editor of this text, rather than being used by Dudo himself. Dudo further depicts the inhabitants as ‘defenceless’</w:t>
      </w:r>
      <w:r w:rsidR="002C77D1">
        <w:rPr>
          <w:sz w:val="22"/>
          <w:szCs w:val="22"/>
        </w:rPr>
        <w:t>.</w:t>
      </w:r>
      <w:r w:rsidR="002C77D1">
        <w:rPr>
          <w:rStyle w:val="FootnoteReference"/>
          <w:sz w:val="22"/>
          <w:szCs w:val="22"/>
        </w:rPr>
        <w:footnoteReference w:id="14"/>
      </w:r>
      <w:r w:rsidR="00E37FFA">
        <w:rPr>
          <w:sz w:val="22"/>
          <w:szCs w:val="22"/>
        </w:rPr>
        <w:t xml:space="preserve"> This gives Rollo a heroic stance suggesting that he is their saviour. </w:t>
      </w:r>
    </w:p>
    <w:p w14:paraId="78370156" w14:textId="0D65E0A8" w:rsidR="005463C3" w:rsidRDefault="002236EA" w:rsidP="00C126F6">
      <w:pPr>
        <w:rPr>
          <w:sz w:val="22"/>
          <w:szCs w:val="22"/>
        </w:rPr>
      </w:pPr>
      <w:r>
        <w:rPr>
          <w:sz w:val="22"/>
          <w:szCs w:val="22"/>
        </w:rPr>
        <w:t xml:space="preserve">Dudo </w:t>
      </w:r>
      <w:r w:rsidR="000A3D5F">
        <w:rPr>
          <w:sz w:val="22"/>
          <w:szCs w:val="22"/>
        </w:rPr>
        <w:t>continues to</w:t>
      </w:r>
      <w:r>
        <w:rPr>
          <w:sz w:val="22"/>
          <w:szCs w:val="22"/>
        </w:rPr>
        <w:t xml:space="preserve"> use the language in the extract to exaggerate out of proportion the actions of Rollo and the Normans</w:t>
      </w:r>
      <w:r w:rsidR="00023DD2">
        <w:rPr>
          <w:sz w:val="22"/>
          <w:szCs w:val="22"/>
        </w:rPr>
        <w:t>, making them seem superior to the inhabitants of Rouen and the surrounding area</w:t>
      </w:r>
      <w:r>
        <w:rPr>
          <w:sz w:val="22"/>
          <w:szCs w:val="22"/>
        </w:rPr>
        <w:t xml:space="preserve">. This removes some legitimacy in his writing. </w:t>
      </w:r>
      <w:r w:rsidR="0028485E">
        <w:rPr>
          <w:sz w:val="22"/>
          <w:szCs w:val="22"/>
        </w:rPr>
        <w:t>The end of the extract shows the condition of the town of Rouen. It is depicted that the churches and monasteries are in ruins.</w:t>
      </w:r>
      <w:r w:rsidR="005F6FFF">
        <w:rPr>
          <w:rStyle w:val="FootnoteReference"/>
          <w:sz w:val="22"/>
          <w:szCs w:val="22"/>
        </w:rPr>
        <w:footnoteReference w:id="15"/>
      </w:r>
      <w:r w:rsidR="0028485E">
        <w:rPr>
          <w:sz w:val="22"/>
          <w:szCs w:val="22"/>
        </w:rPr>
        <w:t xml:space="preserve"> This depicts the inhabitants of Rouen as without religion. The depiction of the inhabitants as without any religion </w:t>
      </w:r>
      <w:r w:rsidR="00C23955">
        <w:rPr>
          <w:sz w:val="22"/>
          <w:szCs w:val="22"/>
        </w:rPr>
        <w:t>explains why Dudo shows the Normans to be superior and more civilised in this extract</w:t>
      </w:r>
      <w:r w:rsidR="002C77D1">
        <w:rPr>
          <w:sz w:val="22"/>
          <w:szCs w:val="22"/>
        </w:rPr>
        <w:t xml:space="preserve">, as religion </w:t>
      </w:r>
      <w:r w:rsidR="004D3DEF">
        <w:rPr>
          <w:sz w:val="22"/>
          <w:szCs w:val="22"/>
        </w:rPr>
        <w:t>seems to be</w:t>
      </w:r>
      <w:r w:rsidR="002C77D1">
        <w:rPr>
          <w:sz w:val="22"/>
          <w:szCs w:val="22"/>
        </w:rPr>
        <w:t xml:space="preserve"> used as form of civility in this context</w:t>
      </w:r>
      <w:r w:rsidR="00C23955">
        <w:rPr>
          <w:sz w:val="22"/>
          <w:szCs w:val="22"/>
        </w:rPr>
        <w:t xml:space="preserve">. </w:t>
      </w:r>
    </w:p>
    <w:p w14:paraId="267DA2A8" w14:textId="3AE6B9BD" w:rsidR="00C23955" w:rsidRDefault="002236EA" w:rsidP="00C126F6">
      <w:pPr>
        <w:rPr>
          <w:sz w:val="22"/>
          <w:szCs w:val="22"/>
        </w:rPr>
      </w:pPr>
      <w:r>
        <w:rPr>
          <w:sz w:val="22"/>
          <w:szCs w:val="22"/>
        </w:rPr>
        <w:t xml:space="preserve">Dudo’s exaggeration of Rollo in his writing shows how it cannot be used as a trusted historical source. </w:t>
      </w:r>
      <w:r w:rsidR="005463C3">
        <w:rPr>
          <w:sz w:val="22"/>
          <w:szCs w:val="22"/>
        </w:rPr>
        <w:t>In the English Historical Review this statement is proven as it says that Sir Henry Howorth concluded that no statement made by Dudo can be reli</w:t>
      </w:r>
      <w:r w:rsidR="002419EF">
        <w:rPr>
          <w:sz w:val="22"/>
          <w:szCs w:val="22"/>
        </w:rPr>
        <w:t>able</w:t>
      </w:r>
      <w:r w:rsidR="005463C3">
        <w:rPr>
          <w:sz w:val="22"/>
          <w:szCs w:val="22"/>
        </w:rPr>
        <w:t>.</w:t>
      </w:r>
      <w:r w:rsidR="00792E24">
        <w:rPr>
          <w:rStyle w:val="FootnoteReference"/>
          <w:sz w:val="22"/>
          <w:szCs w:val="22"/>
        </w:rPr>
        <w:footnoteReference w:id="16"/>
      </w:r>
      <w:r w:rsidR="005463C3">
        <w:rPr>
          <w:sz w:val="22"/>
          <w:szCs w:val="22"/>
        </w:rPr>
        <w:t xml:space="preserve"> However, it is not to say that Dudo’s exaggerations in his writing do not have some historical value, as it shows historians how the Normans wanted themselves depicted in writing. </w:t>
      </w:r>
    </w:p>
    <w:p w14:paraId="100E10D7" w14:textId="6CAABC1F" w:rsidR="008C0DE0" w:rsidRDefault="00D13FFB" w:rsidP="00C126F6">
      <w:pPr>
        <w:rPr>
          <w:sz w:val="22"/>
          <w:szCs w:val="22"/>
        </w:rPr>
      </w:pPr>
      <w:r>
        <w:rPr>
          <w:sz w:val="22"/>
          <w:szCs w:val="22"/>
        </w:rPr>
        <w:t>Rollo is more frequently described through Righteousness, rather than through strength</w:t>
      </w:r>
      <w:r w:rsidR="00D4578C">
        <w:rPr>
          <w:sz w:val="22"/>
          <w:szCs w:val="22"/>
        </w:rPr>
        <w:t xml:space="preserve"> in the extract</w:t>
      </w:r>
      <w:r>
        <w:rPr>
          <w:sz w:val="22"/>
          <w:szCs w:val="22"/>
        </w:rPr>
        <w:t xml:space="preserve">. </w:t>
      </w:r>
      <w:r w:rsidR="00361DD3">
        <w:rPr>
          <w:sz w:val="22"/>
          <w:szCs w:val="22"/>
        </w:rPr>
        <w:t xml:space="preserve">This is an intriguing detail as </w:t>
      </w:r>
      <w:r w:rsidR="00A8537F">
        <w:rPr>
          <w:sz w:val="22"/>
          <w:szCs w:val="22"/>
        </w:rPr>
        <w:t>the Normans</w:t>
      </w:r>
      <w:r w:rsidR="00361DD3">
        <w:rPr>
          <w:sz w:val="22"/>
          <w:szCs w:val="22"/>
        </w:rPr>
        <w:t xml:space="preserve"> are </w:t>
      </w:r>
      <w:r w:rsidR="00A8537F">
        <w:rPr>
          <w:sz w:val="22"/>
          <w:szCs w:val="22"/>
        </w:rPr>
        <w:t xml:space="preserve">depicted as strong and to be feared in other extracts of Dudo’s writing. </w:t>
      </w:r>
      <w:r w:rsidR="00A13F51">
        <w:rPr>
          <w:sz w:val="22"/>
          <w:szCs w:val="22"/>
        </w:rPr>
        <w:t>An example of Rollo’s righteousness is at the end of the extract where Dudo writes that Rollo gave Bishop Franco of Rouen a guarantee of safety to both himself and the people of Rouen.</w:t>
      </w:r>
      <w:r w:rsidR="0002656B">
        <w:rPr>
          <w:rStyle w:val="FootnoteReference"/>
          <w:sz w:val="22"/>
          <w:szCs w:val="22"/>
        </w:rPr>
        <w:footnoteReference w:id="17"/>
      </w:r>
      <w:r w:rsidR="00A13F51">
        <w:rPr>
          <w:sz w:val="22"/>
          <w:szCs w:val="22"/>
        </w:rPr>
        <w:t xml:space="preserve"> Comparatively, in Dudo’s </w:t>
      </w:r>
      <w:r w:rsidR="001346BB">
        <w:rPr>
          <w:sz w:val="22"/>
          <w:szCs w:val="22"/>
        </w:rPr>
        <w:t>Apostrophe</w:t>
      </w:r>
      <w:r w:rsidR="00A13F51">
        <w:rPr>
          <w:sz w:val="22"/>
          <w:szCs w:val="22"/>
        </w:rPr>
        <w:t xml:space="preserve"> there is a constant show of strength and force throughout the text. One example in the text </w:t>
      </w:r>
      <w:r w:rsidR="00381D1D">
        <w:rPr>
          <w:sz w:val="22"/>
          <w:szCs w:val="22"/>
        </w:rPr>
        <w:t>is where it states that the Franks will be destroyed in war and their population killed.</w:t>
      </w:r>
      <w:r w:rsidR="0002656B">
        <w:rPr>
          <w:rStyle w:val="FootnoteReference"/>
          <w:sz w:val="22"/>
          <w:szCs w:val="22"/>
        </w:rPr>
        <w:footnoteReference w:id="18"/>
      </w:r>
      <w:r w:rsidR="00381D1D">
        <w:rPr>
          <w:sz w:val="22"/>
          <w:szCs w:val="22"/>
        </w:rPr>
        <w:t xml:space="preserve"> Another show of strength and intimidation is the metaphor of wolves grazing in </w:t>
      </w:r>
      <w:r w:rsidR="0002656B">
        <w:rPr>
          <w:sz w:val="22"/>
          <w:szCs w:val="22"/>
        </w:rPr>
        <w:t>sheep’s</w:t>
      </w:r>
      <w:r w:rsidR="00381D1D">
        <w:rPr>
          <w:sz w:val="22"/>
          <w:szCs w:val="22"/>
        </w:rPr>
        <w:t xml:space="preserve"> fields.</w:t>
      </w:r>
      <w:r w:rsidR="0002656B">
        <w:rPr>
          <w:rStyle w:val="FootnoteReference"/>
          <w:sz w:val="22"/>
          <w:szCs w:val="22"/>
        </w:rPr>
        <w:footnoteReference w:id="19"/>
      </w:r>
      <w:r w:rsidR="00381D1D">
        <w:rPr>
          <w:sz w:val="22"/>
          <w:szCs w:val="22"/>
        </w:rPr>
        <w:t xml:space="preserve"> In this instance the Normans are being portrayed as the wolves and the Franks as the sheep; By allowing wolves to graze in a </w:t>
      </w:r>
      <w:r w:rsidR="0002656B">
        <w:rPr>
          <w:sz w:val="22"/>
          <w:szCs w:val="22"/>
        </w:rPr>
        <w:t>sheep’s</w:t>
      </w:r>
      <w:r w:rsidR="00381D1D">
        <w:rPr>
          <w:sz w:val="22"/>
          <w:szCs w:val="22"/>
        </w:rPr>
        <w:t xml:space="preserve"> field, it allows the wolves to prey on the sheep</w:t>
      </w:r>
      <w:r w:rsidR="0002656B">
        <w:rPr>
          <w:sz w:val="22"/>
          <w:szCs w:val="22"/>
        </w:rPr>
        <w:t>, suggesting the Normans intent to prey on and exploit the Franks</w:t>
      </w:r>
      <w:r w:rsidR="00381D1D">
        <w:rPr>
          <w:sz w:val="22"/>
          <w:szCs w:val="22"/>
        </w:rPr>
        <w:t xml:space="preserve">. </w:t>
      </w:r>
      <w:r w:rsidR="00A8537F">
        <w:rPr>
          <w:sz w:val="22"/>
          <w:szCs w:val="22"/>
        </w:rPr>
        <w:t>Compare back to the</w:t>
      </w:r>
      <w:r w:rsidR="00183AD3">
        <w:rPr>
          <w:sz w:val="22"/>
          <w:szCs w:val="22"/>
        </w:rPr>
        <w:t xml:space="preserve"> extract of chapter ten</w:t>
      </w:r>
      <w:r w:rsidR="00A8537F">
        <w:rPr>
          <w:sz w:val="22"/>
          <w:szCs w:val="22"/>
        </w:rPr>
        <w:t xml:space="preserve"> and throughout the extract, and specifically towards the end, Dudo depicts Rollo as pious, heroic, and self-righteous.</w:t>
      </w:r>
      <w:r w:rsidR="00E7010D">
        <w:rPr>
          <w:rStyle w:val="FootnoteReference"/>
          <w:sz w:val="22"/>
          <w:szCs w:val="22"/>
        </w:rPr>
        <w:footnoteReference w:id="20"/>
      </w:r>
      <w:r w:rsidR="00A8537F">
        <w:rPr>
          <w:sz w:val="22"/>
          <w:szCs w:val="22"/>
        </w:rPr>
        <w:t xml:space="preserve"> </w:t>
      </w:r>
    </w:p>
    <w:p w14:paraId="6C23654E" w14:textId="50194BC5" w:rsidR="00D13FFB" w:rsidRDefault="00A8537F" w:rsidP="00C126F6">
      <w:pPr>
        <w:rPr>
          <w:sz w:val="22"/>
          <w:szCs w:val="22"/>
        </w:rPr>
      </w:pPr>
      <w:r>
        <w:rPr>
          <w:sz w:val="22"/>
          <w:szCs w:val="22"/>
        </w:rPr>
        <w:lastRenderedPageBreak/>
        <w:t>A further description of Rollo as both pious and self-righteous is shown in the last sentence of the extract where it states that Rollo has visions.</w:t>
      </w:r>
      <w:r w:rsidR="00BD1AD3">
        <w:rPr>
          <w:rStyle w:val="FootnoteReference"/>
          <w:sz w:val="22"/>
          <w:szCs w:val="22"/>
        </w:rPr>
        <w:footnoteReference w:id="21"/>
      </w:r>
      <w:r>
        <w:rPr>
          <w:sz w:val="22"/>
          <w:szCs w:val="22"/>
        </w:rPr>
        <w:t xml:space="preserve"> It </w:t>
      </w:r>
      <w:r w:rsidR="00267884">
        <w:rPr>
          <w:sz w:val="22"/>
          <w:szCs w:val="22"/>
        </w:rPr>
        <w:t xml:space="preserve">can be </w:t>
      </w:r>
      <w:r>
        <w:rPr>
          <w:sz w:val="22"/>
          <w:szCs w:val="22"/>
        </w:rPr>
        <w:t xml:space="preserve">suggested that </w:t>
      </w:r>
      <w:r w:rsidR="00267884">
        <w:rPr>
          <w:sz w:val="22"/>
          <w:szCs w:val="22"/>
        </w:rPr>
        <w:t xml:space="preserve">these visions are from God, </w:t>
      </w:r>
      <w:r w:rsidR="006100A5">
        <w:rPr>
          <w:sz w:val="22"/>
          <w:szCs w:val="22"/>
        </w:rPr>
        <w:t>implying</w:t>
      </w:r>
      <w:r w:rsidR="00BD1AD3">
        <w:rPr>
          <w:sz w:val="22"/>
          <w:szCs w:val="22"/>
        </w:rPr>
        <w:t xml:space="preserve"> </w:t>
      </w:r>
      <w:r w:rsidR="003F0F95">
        <w:rPr>
          <w:sz w:val="22"/>
          <w:szCs w:val="22"/>
        </w:rPr>
        <w:t xml:space="preserve">that Rollo was chosen by God </w:t>
      </w:r>
      <w:r w:rsidR="0078204D">
        <w:rPr>
          <w:sz w:val="22"/>
          <w:szCs w:val="22"/>
        </w:rPr>
        <w:t>to perform his actions in Normandy.</w:t>
      </w:r>
      <w:r w:rsidR="009D7434">
        <w:rPr>
          <w:sz w:val="22"/>
          <w:szCs w:val="22"/>
        </w:rPr>
        <w:t xml:space="preserve"> </w:t>
      </w:r>
    </w:p>
    <w:p w14:paraId="2C7001D3" w14:textId="6FAEC279" w:rsidR="009D7434" w:rsidRDefault="008C0DE0" w:rsidP="00C126F6">
      <w:pPr>
        <w:rPr>
          <w:sz w:val="22"/>
          <w:szCs w:val="22"/>
        </w:rPr>
      </w:pPr>
      <w:r>
        <w:rPr>
          <w:sz w:val="22"/>
          <w:szCs w:val="22"/>
        </w:rPr>
        <w:t>Further piety can be suggested when Rollo examines the ruins of Rouen’s churches and monuments.</w:t>
      </w:r>
      <w:r w:rsidR="00F14A76">
        <w:rPr>
          <w:rStyle w:val="FootnoteReference"/>
          <w:sz w:val="22"/>
          <w:szCs w:val="22"/>
        </w:rPr>
        <w:footnoteReference w:id="22"/>
      </w:r>
      <w:r>
        <w:rPr>
          <w:sz w:val="22"/>
          <w:szCs w:val="22"/>
        </w:rPr>
        <w:t xml:space="preserve"> The people of Rouen are described as a ‘defenceless band’ after the description of the ruined churches.</w:t>
      </w:r>
      <w:r w:rsidR="00F14A76">
        <w:rPr>
          <w:rStyle w:val="FootnoteReference"/>
          <w:sz w:val="22"/>
          <w:szCs w:val="22"/>
        </w:rPr>
        <w:footnoteReference w:id="23"/>
      </w:r>
      <w:r>
        <w:rPr>
          <w:sz w:val="22"/>
          <w:szCs w:val="22"/>
        </w:rPr>
        <w:t xml:space="preserve"> Th</w:t>
      </w:r>
      <w:r w:rsidR="00041B83">
        <w:rPr>
          <w:sz w:val="22"/>
          <w:szCs w:val="22"/>
        </w:rPr>
        <w:t>e term ‘defenceless band’ being used after describing ruined churches and monuments suggests that the people of Rouen would not be defenceless if they converted to Christianity.</w:t>
      </w:r>
      <w:r w:rsidR="00F14A76">
        <w:rPr>
          <w:rStyle w:val="FootnoteReference"/>
          <w:sz w:val="22"/>
          <w:szCs w:val="22"/>
        </w:rPr>
        <w:footnoteReference w:id="24"/>
      </w:r>
      <w:r w:rsidR="00041B83">
        <w:rPr>
          <w:sz w:val="22"/>
          <w:szCs w:val="22"/>
        </w:rPr>
        <w:t xml:space="preserve"> This links to the previous point about a sentence later in the text explaining that Rollo has Godly visions.</w:t>
      </w:r>
      <w:r w:rsidR="00F14A76">
        <w:rPr>
          <w:rStyle w:val="FootnoteReference"/>
          <w:sz w:val="22"/>
          <w:szCs w:val="22"/>
        </w:rPr>
        <w:footnoteReference w:id="25"/>
      </w:r>
      <w:r w:rsidR="00041B83">
        <w:rPr>
          <w:sz w:val="22"/>
          <w:szCs w:val="22"/>
        </w:rPr>
        <w:t xml:space="preserve"> It suggests that the reason that Rollo came to Normandy was to convert the population to Christianity.</w:t>
      </w:r>
      <w:r w:rsidR="00495997">
        <w:rPr>
          <w:sz w:val="22"/>
          <w:szCs w:val="22"/>
        </w:rPr>
        <w:t xml:space="preserve"> </w:t>
      </w:r>
    </w:p>
    <w:p w14:paraId="073296C9" w14:textId="4D3984FE" w:rsidR="009B3FE6" w:rsidRDefault="00120BB1" w:rsidP="00C126F6">
      <w:pPr>
        <w:rPr>
          <w:sz w:val="22"/>
          <w:szCs w:val="22"/>
        </w:rPr>
      </w:pPr>
      <w:r>
        <w:rPr>
          <w:sz w:val="22"/>
          <w:szCs w:val="22"/>
        </w:rPr>
        <w:t>Lastly, Christianity is a recurring theme throughout the extract</w:t>
      </w:r>
      <w:r w:rsidR="00F14A76">
        <w:rPr>
          <w:sz w:val="22"/>
          <w:szCs w:val="22"/>
        </w:rPr>
        <w:t>. This is and interesting detail throughout the text, as</w:t>
      </w:r>
      <w:r w:rsidR="009A093B">
        <w:rPr>
          <w:sz w:val="22"/>
          <w:szCs w:val="22"/>
        </w:rPr>
        <w:t xml:space="preserve"> the Treaty of Saint Clair Sur </w:t>
      </w:r>
      <w:proofErr w:type="spellStart"/>
      <w:r w:rsidR="009A093B">
        <w:rPr>
          <w:sz w:val="22"/>
          <w:szCs w:val="22"/>
        </w:rPr>
        <w:t>Epte</w:t>
      </w:r>
      <w:proofErr w:type="spellEnd"/>
      <w:r w:rsidR="002D03BA">
        <w:rPr>
          <w:sz w:val="22"/>
          <w:szCs w:val="22"/>
        </w:rPr>
        <w:t xml:space="preserve"> shows</w:t>
      </w:r>
      <w:r w:rsidR="009A093B">
        <w:rPr>
          <w:sz w:val="22"/>
          <w:szCs w:val="22"/>
        </w:rPr>
        <w:t xml:space="preserve"> that Rollo and the Normans were not Christian at the time they landed in Normandy. In the terms of the treaty</w:t>
      </w:r>
      <w:r w:rsidR="000F3444">
        <w:rPr>
          <w:sz w:val="22"/>
          <w:szCs w:val="22"/>
        </w:rPr>
        <w:t xml:space="preserve"> between Rollo and Charles the Simple</w:t>
      </w:r>
      <w:r w:rsidR="009A093B">
        <w:rPr>
          <w:sz w:val="22"/>
          <w:szCs w:val="22"/>
        </w:rPr>
        <w:t>, Rollo and the Normans were given the land now known as Normandy, in exchange for Rollo and the Normans to be converted to Christianity.</w:t>
      </w:r>
      <w:r w:rsidR="00984391">
        <w:rPr>
          <w:rStyle w:val="FootnoteReference"/>
          <w:sz w:val="22"/>
          <w:szCs w:val="22"/>
        </w:rPr>
        <w:footnoteReference w:id="26"/>
      </w:r>
      <w:r w:rsidR="009A093B">
        <w:rPr>
          <w:sz w:val="22"/>
          <w:szCs w:val="22"/>
        </w:rPr>
        <w:t xml:space="preserve"> Christianity and piety being recurring themes </w:t>
      </w:r>
      <w:r w:rsidR="00294FDB">
        <w:rPr>
          <w:sz w:val="22"/>
          <w:szCs w:val="22"/>
        </w:rPr>
        <w:t>throughout</w:t>
      </w:r>
      <w:r w:rsidR="009A093B">
        <w:rPr>
          <w:sz w:val="22"/>
          <w:szCs w:val="22"/>
        </w:rPr>
        <w:t xml:space="preserve"> the extract show</w:t>
      </w:r>
      <w:r w:rsidR="001D44C1">
        <w:rPr>
          <w:sz w:val="22"/>
          <w:szCs w:val="22"/>
        </w:rPr>
        <w:t>s the image that the Normans wanted to be seen. It also furthers the idea that Dudo’s writing cannot be accurately used as a historical source.</w:t>
      </w:r>
    </w:p>
    <w:p w14:paraId="3BE5E59D" w14:textId="77777777" w:rsidR="009B3FE6" w:rsidRDefault="009B3FE6" w:rsidP="00C126F6">
      <w:pPr>
        <w:rPr>
          <w:sz w:val="22"/>
          <w:szCs w:val="22"/>
        </w:rPr>
      </w:pPr>
    </w:p>
    <w:p w14:paraId="7AB2AA7C" w14:textId="5BC69FC4" w:rsidR="009B3FE6" w:rsidRDefault="009B3FE6" w:rsidP="00C126F6">
      <w:pPr>
        <w:rPr>
          <w:sz w:val="22"/>
          <w:szCs w:val="22"/>
          <w:u w:val="single"/>
        </w:rPr>
      </w:pPr>
      <w:r>
        <w:rPr>
          <w:sz w:val="22"/>
          <w:szCs w:val="22"/>
          <w:u w:val="single"/>
        </w:rPr>
        <w:t xml:space="preserve">Bibliography </w:t>
      </w:r>
    </w:p>
    <w:p w14:paraId="1139B1AB" w14:textId="2C653E04" w:rsidR="009B3FE6" w:rsidRDefault="00193CC9" w:rsidP="009B3FE6">
      <w:pPr>
        <w:pStyle w:val="ListParagraph"/>
        <w:numPr>
          <w:ilvl w:val="0"/>
          <w:numId w:val="1"/>
        </w:numPr>
        <w:rPr>
          <w:sz w:val="22"/>
          <w:szCs w:val="22"/>
        </w:rPr>
      </w:pPr>
      <w:r>
        <w:rPr>
          <w:sz w:val="22"/>
          <w:szCs w:val="22"/>
        </w:rPr>
        <w:t xml:space="preserve">Douglas, D.C., ‘Rollo of Normandy’, </w:t>
      </w:r>
      <w:r>
        <w:rPr>
          <w:i/>
          <w:iCs/>
          <w:sz w:val="22"/>
          <w:szCs w:val="22"/>
        </w:rPr>
        <w:t>The English Historical Review</w:t>
      </w:r>
      <w:r>
        <w:rPr>
          <w:sz w:val="22"/>
          <w:szCs w:val="22"/>
        </w:rPr>
        <w:t>, Vol. 57, No. 228, (1942), pp. 417-436, &lt;</w:t>
      </w:r>
      <w:hyperlink r:id="rId11" w:history="1">
        <w:r w:rsidRPr="00051BB4">
          <w:rPr>
            <w:rStyle w:val="Hyperlink"/>
            <w:sz w:val="22"/>
            <w:szCs w:val="22"/>
          </w:rPr>
          <w:t>https://www.jstor.org/stable/554369</w:t>
        </w:r>
      </w:hyperlink>
      <w:r>
        <w:rPr>
          <w:sz w:val="22"/>
          <w:szCs w:val="22"/>
        </w:rPr>
        <w:t xml:space="preserve">&gt;, [Accessed: </w:t>
      </w:r>
      <w:r w:rsidR="00A95CF3">
        <w:rPr>
          <w:sz w:val="22"/>
          <w:szCs w:val="22"/>
        </w:rPr>
        <w:t>4</w:t>
      </w:r>
      <w:r w:rsidR="00D60D23" w:rsidRPr="00D60D23">
        <w:rPr>
          <w:sz w:val="22"/>
          <w:szCs w:val="22"/>
          <w:vertAlign w:val="superscript"/>
        </w:rPr>
        <w:t>th</w:t>
      </w:r>
      <w:r w:rsidR="00D60D23">
        <w:rPr>
          <w:sz w:val="22"/>
          <w:szCs w:val="22"/>
        </w:rPr>
        <w:t xml:space="preserve"> October 2026]</w:t>
      </w:r>
    </w:p>
    <w:p w14:paraId="412B05D5" w14:textId="318342E4" w:rsidR="001400CF" w:rsidRDefault="001400CF" w:rsidP="009B3FE6">
      <w:pPr>
        <w:pStyle w:val="ListParagraph"/>
        <w:numPr>
          <w:ilvl w:val="0"/>
          <w:numId w:val="1"/>
        </w:numPr>
        <w:rPr>
          <w:sz w:val="22"/>
          <w:szCs w:val="22"/>
        </w:rPr>
      </w:pPr>
      <w:r>
        <w:rPr>
          <w:sz w:val="22"/>
          <w:szCs w:val="22"/>
        </w:rPr>
        <w:t xml:space="preserve">Dudo of Saint Quentin, </w:t>
      </w:r>
      <w:proofErr w:type="spellStart"/>
      <w:r>
        <w:rPr>
          <w:i/>
          <w:iCs/>
          <w:sz w:val="22"/>
          <w:szCs w:val="22"/>
        </w:rPr>
        <w:t>Gesta</w:t>
      </w:r>
      <w:proofErr w:type="spellEnd"/>
      <w:r>
        <w:rPr>
          <w:i/>
          <w:iCs/>
          <w:sz w:val="22"/>
          <w:szCs w:val="22"/>
        </w:rPr>
        <w:t xml:space="preserve"> </w:t>
      </w:r>
      <w:proofErr w:type="spellStart"/>
      <w:r>
        <w:rPr>
          <w:i/>
          <w:iCs/>
          <w:sz w:val="22"/>
          <w:szCs w:val="22"/>
        </w:rPr>
        <w:t>Normanorum</w:t>
      </w:r>
      <w:proofErr w:type="spellEnd"/>
      <w:r>
        <w:rPr>
          <w:sz w:val="22"/>
          <w:szCs w:val="22"/>
        </w:rPr>
        <w:t>, ed. by Felice Lifshitz, &lt;</w:t>
      </w:r>
      <w:hyperlink r:id="rId12" w:history="1">
        <w:r w:rsidR="00066C36" w:rsidRPr="009C1674">
          <w:rPr>
            <w:rStyle w:val="Hyperlink"/>
            <w:sz w:val="22"/>
            <w:szCs w:val="22"/>
          </w:rPr>
          <w:t>https://sourcebooks.web.fordham.edu/source/dudu-stquentin-gesta-trans-lifshitz.asp</w:t>
        </w:r>
      </w:hyperlink>
      <w:r w:rsidR="00066C36">
        <w:rPr>
          <w:sz w:val="22"/>
          <w:szCs w:val="22"/>
        </w:rPr>
        <w:t>&gt;, [Accessed: 5</w:t>
      </w:r>
      <w:r w:rsidR="00066C36" w:rsidRPr="00066C36">
        <w:rPr>
          <w:sz w:val="22"/>
          <w:szCs w:val="22"/>
          <w:vertAlign w:val="superscript"/>
        </w:rPr>
        <w:t>th</w:t>
      </w:r>
      <w:r w:rsidR="00066C36">
        <w:rPr>
          <w:sz w:val="22"/>
          <w:szCs w:val="22"/>
        </w:rPr>
        <w:t xml:space="preserve"> October 2026]</w:t>
      </w:r>
    </w:p>
    <w:p w14:paraId="6B7D4949" w14:textId="40306F54" w:rsidR="00244AD3" w:rsidRPr="009B3FE6" w:rsidRDefault="00FB73A7" w:rsidP="009B3FE6">
      <w:pPr>
        <w:pStyle w:val="ListParagraph"/>
        <w:numPr>
          <w:ilvl w:val="0"/>
          <w:numId w:val="1"/>
        </w:numPr>
        <w:rPr>
          <w:sz w:val="22"/>
          <w:szCs w:val="22"/>
        </w:rPr>
      </w:pPr>
      <w:r>
        <w:rPr>
          <w:sz w:val="22"/>
          <w:szCs w:val="22"/>
        </w:rPr>
        <w:t xml:space="preserve">Hagger, Mark, ‘Confrontation and Unification: Approaches to the Political </w:t>
      </w:r>
      <w:r w:rsidR="00E45B40">
        <w:rPr>
          <w:sz w:val="22"/>
          <w:szCs w:val="22"/>
        </w:rPr>
        <w:t xml:space="preserve">History of Normandy, 911-1035’, </w:t>
      </w:r>
      <w:r w:rsidR="00E45B40">
        <w:rPr>
          <w:i/>
          <w:iCs/>
          <w:sz w:val="22"/>
          <w:szCs w:val="22"/>
        </w:rPr>
        <w:t>History Compass</w:t>
      </w:r>
      <w:r w:rsidR="00E45B40">
        <w:rPr>
          <w:sz w:val="22"/>
          <w:szCs w:val="22"/>
        </w:rPr>
        <w:t>, Vol. 11, No. 6, (2013), pp. 429-442, &lt;</w:t>
      </w:r>
      <w:hyperlink r:id="rId13" w:history="1">
        <w:r w:rsidR="00E45B40" w:rsidRPr="009C1674">
          <w:rPr>
            <w:rStyle w:val="Hyperlink"/>
            <w:sz w:val="22"/>
            <w:szCs w:val="22"/>
          </w:rPr>
          <w:t>https://compass-onlinelibrary-wiley-com.uwtsd.idm.oclc.org/doi/full/</w:t>
        </w:r>
        <w:r w:rsidR="00E45B40" w:rsidRPr="009C1674">
          <w:rPr>
            <w:rStyle w:val="Hyperlink"/>
            <w:sz w:val="22"/>
            <w:szCs w:val="22"/>
          </w:rPr>
          <w:t>1</w:t>
        </w:r>
        <w:r w:rsidR="00E45B40" w:rsidRPr="009C1674">
          <w:rPr>
            <w:rStyle w:val="Hyperlink"/>
            <w:sz w:val="22"/>
            <w:szCs w:val="22"/>
          </w:rPr>
          <w:t>0.1111/hic3.12064</w:t>
        </w:r>
      </w:hyperlink>
      <w:r w:rsidR="00E45B40">
        <w:rPr>
          <w:sz w:val="22"/>
          <w:szCs w:val="22"/>
        </w:rPr>
        <w:t>&gt; [Accessed: 5</w:t>
      </w:r>
      <w:r w:rsidR="00E45B40" w:rsidRPr="00E45B40">
        <w:rPr>
          <w:sz w:val="22"/>
          <w:szCs w:val="22"/>
          <w:vertAlign w:val="superscript"/>
        </w:rPr>
        <w:t>th</w:t>
      </w:r>
      <w:r w:rsidR="00E45B40">
        <w:rPr>
          <w:sz w:val="22"/>
          <w:szCs w:val="22"/>
        </w:rPr>
        <w:t xml:space="preserve"> October 2026]</w:t>
      </w:r>
    </w:p>
    <w:sectPr w:rsidR="00244AD3" w:rsidRPr="009B3F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E41FA" w14:textId="77777777" w:rsidR="005F270E" w:rsidRDefault="005F270E" w:rsidP="00792E24">
      <w:pPr>
        <w:spacing w:after="0" w:line="240" w:lineRule="auto"/>
      </w:pPr>
      <w:r>
        <w:separator/>
      </w:r>
    </w:p>
  </w:endnote>
  <w:endnote w:type="continuationSeparator" w:id="0">
    <w:p w14:paraId="02DDBC85" w14:textId="77777777" w:rsidR="005F270E" w:rsidRDefault="005F270E" w:rsidP="0079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85ED2" w14:textId="77777777" w:rsidR="005F270E" w:rsidRDefault="005F270E" w:rsidP="00792E24">
      <w:pPr>
        <w:spacing w:after="0" w:line="240" w:lineRule="auto"/>
      </w:pPr>
      <w:r>
        <w:separator/>
      </w:r>
    </w:p>
  </w:footnote>
  <w:footnote w:type="continuationSeparator" w:id="0">
    <w:p w14:paraId="6AC3EAD4" w14:textId="77777777" w:rsidR="005F270E" w:rsidRDefault="005F270E" w:rsidP="00792E24">
      <w:pPr>
        <w:spacing w:after="0" w:line="240" w:lineRule="auto"/>
      </w:pPr>
      <w:r>
        <w:continuationSeparator/>
      </w:r>
    </w:p>
  </w:footnote>
  <w:footnote w:id="1">
    <w:p w14:paraId="28E659DB" w14:textId="74D670E1" w:rsidR="00C408FC" w:rsidRDefault="00C408FC">
      <w:pPr>
        <w:pStyle w:val="FootnoteText"/>
      </w:pPr>
      <w:r>
        <w:rPr>
          <w:rStyle w:val="FootnoteReference"/>
        </w:rPr>
        <w:footnoteRef/>
      </w:r>
      <w:r>
        <w:t xml:space="preserve"> </w:t>
      </w:r>
      <w:r>
        <w:t xml:space="preserve">Dudo of Saint Quentin, </w:t>
      </w:r>
      <w:proofErr w:type="spellStart"/>
      <w:r>
        <w:rPr>
          <w:i/>
          <w:iCs/>
        </w:rPr>
        <w:t>Gesta</w:t>
      </w:r>
      <w:proofErr w:type="spellEnd"/>
      <w:r>
        <w:rPr>
          <w:i/>
          <w:iCs/>
        </w:rPr>
        <w:t xml:space="preserve"> </w:t>
      </w:r>
      <w:proofErr w:type="spellStart"/>
      <w:r>
        <w:rPr>
          <w:i/>
          <w:iCs/>
        </w:rPr>
        <w:t>Normannorum</w:t>
      </w:r>
      <w:proofErr w:type="spellEnd"/>
      <w:r>
        <w:t>, ed. by Felice Lifshitz, &lt;</w:t>
      </w:r>
      <w:hyperlink r:id="rId1" w:history="1">
        <w:r w:rsidRPr="009C1674">
          <w:rPr>
            <w:rStyle w:val="Hyperlink"/>
          </w:rPr>
          <w:t>https://sourcebooks.web.fordham.edu/source/dudu-stquentin-gesta-trans-lifshitz.asp</w:t>
        </w:r>
      </w:hyperlink>
      <w:r>
        <w:t>&gt;, [Accessed: 5</w:t>
      </w:r>
      <w:r w:rsidRPr="008F5EAA">
        <w:rPr>
          <w:vertAlign w:val="superscript"/>
        </w:rPr>
        <w:t>th</w:t>
      </w:r>
      <w:r>
        <w:t xml:space="preserve"> October 2026]</w:t>
      </w:r>
    </w:p>
  </w:footnote>
  <w:footnote w:id="2">
    <w:p w14:paraId="050E54FF" w14:textId="216B9ECF" w:rsidR="00C408FC" w:rsidRDefault="00C408FC">
      <w:pPr>
        <w:pStyle w:val="FootnoteText"/>
      </w:pPr>
      <w:r>
        <w:rPr>
          <w:rStyle w:val="FootnoteReference"/>
        </w:rPr>
        <w:footnoteRef/>
      </w:r>
      <w:r>
        <w:t xml:space="preserve"> </w:t>
      </w:r>
      <w:r>
        <w:t xml:space="preserve">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3">
    <w:p w14:paraId="7C0AB90A" w14:textId="2FC9D6F1" w:rsidR="008F5EAA" w:rsidRPr="008F5EAA" w:rsidRDefault="008F5EAA">
      <w:pPr>
        <w:pStyle w:val="FootnoteText"/>
      </w:pPr>
      <w:r>
        <w:rPr>
          <w:rStyle w:val="FootnoteReference"/>
        </w:rPr>
        <w:footnoteRef/>
      </w:r>
      <w:r>
        <w:t xml:space="preserve"> </w:t>
      </w:r>
      <w:r w:rsidR="00C408FC">
        <w:t xml:space="preserve">Ibid: Dudo of Saint Quentin, </w:t>
      </w:r>
      <w:proofErr w:type="spellStart"/>
      <w:r w:rsidR="00C408FC">
        <w:rPr>
          <w:i/>
          <w:iCs/>
        </w:rPr>
        <w:t>Gesta</w:t>
      </w:r>
      <w:proofErr w:type="spellEnd"/>
      <w:r w:rsidR="00C408FC">
        <w:rPr>
          <w:i/>
          <w:iCs/>
        </w:rPr>
        <w:t xml:space="preserve"> </w:t>
      </w:r>
      <w:proofErr w:type="spellStart"/>
      <w:r w:rsidR="00C408FC">
        <w:rPr>
          <w:i/>
          <w:iCs/>
        </w:rPr>
        <w:t>Normannorum</w:t>
      </w:r>
      <w:proofErr w:type="spellEnd"/>
    </w:p>
  </w:footnote>
  <w:footnote w:id="4">
    <w:p w14:paraId="67110509" w14:textId="4889684C" w:rsidR="00746543" w:rsidRDefault="00746543" w:rsidP="00746543">
      <w:pPr>
        <w:pStyle w:val="FootnoteText"/>
      </w:pPr>
      <w:r>
        <w:rPr>
          <w:rStyle w:val="FootnoteReference"/>
        </w:rPr>
        <w:footnoteRef/>
      </w:r>
      <w:r>
        <w:t xml:space="preserve"> </w:t>
      </w:r>
      <w:r>
        <w:t>D</w:t>
      </w:r>
      <w:r>
        <w:t xml:space="preserve">.C., Douglas, ‘Rollo of Normandy’, </w:t>
      </w:r>
      <w:r>
        <w:rPr>
          <w:i/>
          <w:iCs/>
        </w:rPr>
        <w:t>The English Historical Review</w:t>
      </w:r>
      <w:r>
        <w:t>, Vol. 57, No. 228, (1942), pp. 417-436, (p. 424), &lt;</w:t>
      </w:r>
      <w:hyperlink r:id="rId2" w:history="1">
        <w:r w:rsidRPr="00051BB4">
          <w:rPr>
            <w:rStyle w:val="Hyperlink"/>
          </w:rPr>
          <w:t>https://www.jstor.org/stable/554369</w:t>
        </w:r>
      </w:hyperlink>
      <w:r>
        <w:t>&gt;, [Accessed: 4</w:t>
      </w:r>
      <w:r w:rsidRPr="00DD38BA">
        <w:rPr>
          <w:vertAlign w:val="superscript"/>
        </w:rPr>
        <w:t>th</w:t>
      </w:r>
      <w:r>
        <w:t xml:space="preserve"> October 2026]</w:t>
      </w:r>
    </w:p>
  </w:footnote>
  <w:footnote w:id="5">
    <w:p w14:paraId="12FB2096" w14:textId="77777777" w:rsidR="00746543" w:rsidRDefault="00746543" w:rsidP="00746543">
      <w:pPr>
        <w:pStyle w:val="FootnoteText"/>
      </w:pPr>
      <w:r>
        <w:rPr>
          <w:rStyle w:val="FootnoteReference"/>
        </w:rPr>
        <w:footnoteRef/>
      </w:r>
      <w:r>
        <w:t xml:space="preserve"> Ibid: Douglas, ‘Rollo of Normandy’, p. 424</w:t>
      </w:r>
    </w:p>
  </w:footnote>
  <w:footnote w:id="6">
    <w:p w14:paraId="2617A5B3" w14:textId="4AC52545" w:rsidR="000C376A" w:rsidRP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7">
    <w:p w14:paraId="70E888D6" w14:textId="03A37F09" w:rsid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8">
    <w:p w14:paraId="262716D8" w14:textId="349BF030" w:rsidR="000C376A" w:rsidRDefault="000C376A">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9">
    <w:p w14:paraId="47B88164" w14:textId="66C1F8B0"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0">
    <w:p w14:paraId="386BCCA0" w14:textId="423889DA"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1">
    <w:p w14:paraId="2D34A015" w14:textId="3A9ADC6F"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2">
    <w:p w14:paraId="51F47C44" w14:textId="69A19CB5"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3">
    <w:p w14:paraId="0F6E9EB3" w14:textId="4769A509"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4">
    <w:p w14:paraId="04AC1368" w14:textId="088255B1" w:rsidR="002C77D1" w:rsidRDefault="002C77D1">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5">
    <w:p w14:paraId="2CD5D7D3" w14:textId="0A8EF706" w:rsidR="005F6FFF" w:rsidRDefault="005F6FFF">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6">
    <w:p w14:paraId="50A1829A" w14:textId="732D82E0" w:rsidR="00792E24" w:rsidRPr="00792E24" w:rsidRDefault="00792E24">
      <w:pPr>
        <w:pStyle w:val="FootnoteText"/>
      </w:pPr>
      <w:r>
        <w:rPr>
          <w:rStyle w:val="FootnoteReference"/>
        </w:rPr>
        <w:footnoteRef/>
      </w:r>
      <w:r>
        <w:t xml:space="preserve"> </w:t>
      </w:r>
      <w:r w:rsidR="00746543">
        <w:t>Ibid: Douglas, ‘Rollo of Normandy’, p. 424</w:t>
      </w:r>
    </w:p>
  </w:footnote>
  <w:footnote w:id="17">
    <w:p w14:paraId="1D67504B" w14:textId="3A4F22C4"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8">
    <w:p w14:paraId="4DB859F5" w14:textId="374944D2"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19">
    <w:p w14:paraId="49E3F3BB" w14:textId="5BE520BC" w:rsidR="0002656B" w:rsidRDefault="0002656B">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0">
    <w:p w14:paraId="3B2A5D31" w14:textId="01119593" w:rsidR="00E7010D" w:rsidRDefault="00E7010D">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1">
    <w:p w14:paraId="179693B4" w14:textId="1F6133B7" w:rsidR="00BD1AD3" w:rsidRDefault="00BD1AD3">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2">
    <w:p w14:paraId="7026FDCA" w14:textId="6D29E6E5"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3">
    <w:p w14:paraId="3D8D93E4" w14:textId="1AE0F839"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4">
    <w:p w14:paraId="5338950E" w14:textId="5A1B984E"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5">
    <w:p w14:paraId="1E678981" w14:textId="295121B2" w:rsidR="00F14A76" w:rsidRDefault="00F14A76">
      <w:pPr>
        <w:pStyle w:val="FootnoteText"/>
      </w:pPr>
      <w:r>
        <w:rPr>
          <w:rStyle w:val="FootnoteReference"/>
        </w:rPr>
        <w:footnoteRef/>
      </w:r>
      <w:r>
        <w:t xml:space="preserve"> Ibid: Dudo of Saint Quentin, </w:t>
      </w:r>
      <w:proofErr w:type="spellStart"/>
      <w:r>
        <w:rPr>
          <w:i/>
          <w:iCs/>
        </w:rPr>
        <w:t>Gesta</w:t>
      </w:r>
      <w:proofErr w:type="spellEnd"/>
      <w:r>
        <w:rPr>
          <w:i/>
          <w:iCs/>
        </w:rPr>
        <w:t xml:space="preserve"> </w:t>
      </w:r>
      <w:proofErr w:type="spellStart"/>
      <w:r>
        <w:rPr>
          <w:i/>
          <w:iCs/>
        </w:rPr>
        <w:t>Normannorum</w:t>
      </w:r>
      <w:proofErr w:type="spellEnd"/>
    </w:p>
  </w:footnote>
  <w:footnote w:id="26">
    <w:p w14:paraId="31A3F155" w14:textId="6B39FB38" w:rsidR="00984391" w:rsidRPr="00984391" w:rsidRDefault="00984391">
      <w:pPr>
        <w:pStyle w:val="FootnoteText"/>
      </w:pPr>
      <w:r>
        <w:rPr>
          <w:rStyle w:val="FootnoteReference"/>
        </w:rPr>
        <w:footnoteRef/>
      </w:r>
      <w:r>
        <w:t xml:space="preserve"> Mark, Hagger, ‘Confrontation and Unification: Approaches to the Political History of Normandy, 911-1035’, </w:t>
      </w:r>
      <w:r>
        <w:rPr>
          <w:i/>
          <w:iCs/>
        </w:rPr>
        <w:t>History Compass</w:t>
      </w:r>
      <w:r>
        <w:t xml:space="preserve">, Vol. 11, No. 6, (2013), pp. 429-442, </w:t>
      </w:r>
      <w:r w:rsidR="00DB1F27">
        <w:t>(</w:t>
      </w:r>
      <w:r>
        <w:t>p. 429</w:t>
      </w:r>
      <w:r w:rsidR="00DB1F27">
        <w:t>)</w:t>
      </w:r>
      <w:r>
        <w:t>, &lt;</w:t>
      </w:r>
      <w:hyperlink r:id="rId3" w:history="1">
        <w:r w:rsidRPr="009C1674">
          <w:rPr>
            <w:rStyle w:val="Hyperlink"/>
          </w:rPr>
          <w:t>https://compass-onlinelibrary-wiley-com.uwtsd.idm.oclc.org/doi/full/10.1111/hic3.12064</w:t>
        </w:r>
      </w:hyperlink>
      <w:r>
        <w:t>&gt;, [Accessed: 5</w:t>
      </w:r>
      <w:r w:rsidRPr="00984391">
        <w:rPr>
          <w:vertAlign w:val="superscript"/>
        </w:rPr>
        <w:t>th</w:t>
      </w:r>
      <w:r>
        <w:t xml:space="preserve"> October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838F5"/>
    <w:multiLevelType w:val="hybridMultilevel"/>
    <w:tmpl w:val="5204D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554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6F6"/>
    <w:rsid w:val="00023DD2"/>
    <w:rsid w:val="0002656B"/>
    <w:rsid w:val="00041B83"/>
    <w:rsid w:val="00051D9C"/>
    <w:rsid w:val="00066C36"/>
    <w:rsid w:val="000A3D5F"/>
    <w:rsid w:val="000B359A"/>
    <w:rsid w:val="000C376A"/>
    <w:rsid w:val="000F0AF9"/>
    <w:rsid w:val="000F3444"/>
    <w:rsid w:val="00114EDC"/>
    <w:rsid w:val="00120BB1"/>
    <w:rsid w:val="00124391"/>
    <w:rsid w:val="001346BB"/>
    <w:rsid w:val="001400CF"/>
    <w:rsid w:val="00183AD3"/>
    <w:rsid w:val="00193CC9"/>
    <w:rsid w:val="001D44C1"/>
    <w:rsid w:val="001D7B14"/>
    <w:rsid w:val="002236EA"/>
    <w:rsid w:val="002419EF"/>
    <w:rsid w:val="00244AD3"/>
    <w:rsid w:val="00267884"/>
    <w:rsid w:val="0028485E"/>
    <w:rsid w:val="00292474"/>
    <w:rsid w:val="00294FDB"/>
    <w:rsid w:val="002C77D1"/>
    <w:rsid w:val="002D03BA"/>
    <w:rsid w:val="00361DD3"/>
    <w:rsid w:val="00381D1D"/>
    <w:rsid w:val="003F0F95"/>
    <w:rsid w:val="00481606"/>
    <w:rsid w:val="00495997"/>
    <w:rsid w:val="00497E6B"/>
    <w:rsid w:val="004D3DEF"/>
    <w:rsid w:val="005414BC"/>
    <w:rsid w:val="005463C3"/>
    <w:rsid w:val="005C0FA2"/>
    <w:rsid w:val="005F270E"/>
    <w:rsid w:val="005F6FFF"/>
    <w:rsid w:val="006100A5"/>
    <w:rsid w:val="006A40C1"/>
    <w:rsid w:val="00746543"/>
    <w:rsid w:val="0078204D"/>
    <w:rsid w:val="00792E24"/>
    <w:rsid w:val="007B39F9"/>
    <w:rsid w:val="008214E8"/>
    <w:rsid w:val="00863981"/>
    <w:rsid w:val="008B5768"/>
    <w:rsid w:val="008C0DE0"/>
    <w:rsid w:val="008F5EAA"/>
    <w:rsid w:val="00945F01"/>
    <w:rsid w:val="00984391"/>
    <w:rsid w:val="009A093B"/>
    <w:rsid w:val="009B3FE6"/>
    <w:rsid w:val="009D7434"/>
    <w:rsid w:val="00A061A7"/>
    <w:rsid w:val="00A06744"/>
    <w:rsid w:val="00A13F51"/>
    <w:rsid w:val="00A55C1F"/>
    <w:rsid w:val="00A8537F"/>
    <w:rsid w:val="00A95CF3"/>
    <w:rsid w:val="00AE79A2"/>
    <w:rsid w:val="00AF154F"/>
    <w:rsid w:val="00B14C33"/>
    <w:rsid w:val="00B822DF"/>
    <w:rsid w:val="00BD1AD3"/>
    <w:rsid w:val="00C126F6"/>
    <w:rsid w:val="00C23955"/>
    <w:rsid w:val="00C408FC"/>
    <w:rsid w:val="00CB6065"/>
    <w:rsid w:val="00D13FFB"/>
    <w:rsid w:val="00D4578C"/>
    <w:rsid w:val="00D60D23"/>
    <w:rsid w:val="00DA4D36"/>
    <w:rsid w:val="00DB1F27"/>
    <w:rsid w:val="00DD38BA"/>
    <w:rsid w:val="00E37FFA"/>
    <w:rsid w:val="00E45B40"/>
    <w:rsid w:val="00E7010D"/>
    <w:rsid w:val="00E866BF"/>
    <w:rsid w:val="00F1450D"/>
    <w:rsid w:val="00F14A76"/>
    <w:rsid w:val="00F73A6C"/>
    <w:rsid w:val="00F979FA"/>
    <w:rsid w:val="00FB68E5"/>
    <w:rsid w:val="00FB73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27574"/>
  <w15:chartTrackingRefBased/>
  <w15:docId w15:val="{C6EC1E88-8729-4BE3-80B2-1E89AFC2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6F6"/>
    <w:rPr>
      <w:rFonts w:eastAsiaTheme="majorEastAsia" w:cstheme="majorBidi"/>
      <w:color w:val="272727" w:themeColor="text1" w:themeTint="D8"/>
    </w:rPr>
  </w:style>
  <w:style w:type="paragraph" w:styleId="Title">
    <w:name w:val="Title"/>
    <w:basedOn w:val="Normal"/>
    <w:next w:val="Normal"/>
    <w:link w:val="TitleChar"/>
    <w:uiPriority w:val="10"/>
    <w:qFormat/>
    <w:rsid w:val="00C12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6F6"/>
    <w:pPr>
      <w:spacing w:before="160"/>
      <w:jc w:val="center"/>
    </w:pPr>
    <w:rPr>
      <w:i/>
      <w:iCs/>
      <w:color w:val="404040" w:themeColor="text1" w:themeTint="BF"/>
    </w:rPr>
  </w:style>
  <w:style w:type="character" w:customStyle="1" w:styleId="QuoteChar">
    <w:name w:val="Quote Char"/>
    <w:basedOn w:val="DefaultParagraphFont"/>
    <w:link w:val="Quote"/>
    <w:uiPriority w:val="29"/>
    <w:rsid w:val="00C126F6"/>
    <w:rPr>
      <w:i/>
      <w:iCs/>
      <w:color w:val="404040" w:themeColor="text1" w:themeTint="BF"/>
    </w:rPr>
  </w:style>
  <w:style w:type="paragraph" w:styleId="ListParagraph">
    <w:name w:val="List Paragraph"/>
    <w:basedOn w:val="Normal"/>
    <w:uiPriority w:val="34"/>
    <w:qFormat/>
    <w:rsid w:val="00C126F6"/>
    <w:pPr>
      <w:ind w:left="720"/>
      <w:contextualSpacing/>
    </w:pPr>
  </w:style>
  <w:style w:type="character" w:styleId="IntenseEmphasis">
    <w:name w:val="Intense Emphasis"/>
    <w:basedOn w:val="DefaultParagraphFont"/>
    <w:uiPriority w:val="21"/>
    <w:qFormat/>
    <w:rsid w:val="00C126F6"/>
    <w:rPr>
      <w:i/>
      <w:iCs/>
      <w:color w:val="0F4761" w:themeColor="accent1" w:themeShade="BF"/>
    </w:rPr>
  </w:style>
  <w:style w:type="paragraph" w:styleId="IntenseQuote">
    <w:name w:val="Intense Quote"/>
    <w:basedOn w:val="Normal"/>
    <w:next w:val="Normal"/>
    <w:link w:val="IntenseQuoteChar"/>
    <w:uiPriority w:val="30"/>
    <w:qFormat/>
    <w:rsid w:val="00C12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6F6"/>
    <w:rPr>
      <w:i/>
      <w:iCs/>
      <w:color w:val="0F4761" w:themeColor="accent1" w:themeShade="BF"/>
    </w:rPr>
  </w:style>
  <w:style w:type="character" w:styleId="IntenseReference">
    <w:name w:val="Intense Reference"/>
    <w:basedOn w:val="DefaultParagraphFont"/>
    <w:uiPriority w:val="32"/>
    <w:qFormat/>
    <w:rsid w:val="00C126F6"/>
    <w:rPr>
      <w:b/>
      <w:bCs/>
      <w:smallCaps/>
      <w:color w:val="0F4761" w:themeColor="accent1" w:themeShade="BF"/>
      <w:spacing w:val="5"/>
    </w:rPr>
  </w:style>
  <w:style w:type="character" w:styleId="Hyperlink">
    <w:name w:val="Hyperlink"/>
    <w:basedOn w:val="DefaultParagraphFont"/>
    <w:uiPriority w:val="99"/>
    <w:unhideWhenUsed/>
    <w:rsid w:val="00193CC9"/>
    <w:rPr>
      <w:color w:val="467886" w:themeColor="hyperlink"/>
      <w:u w:val="single"/>
    </w:rPr>
  </w:style>
  <w:style w:type="character" w:styleId="UnresolvedMention">
    <w:name w:val="Unresolved Mention"/>
    <w:basedOn w:val="DefaultParagraphFont"/>
    <w:uiPriority w:val="99"/>
    <w:semiHidden/>
    <w:unhideWhenUsed/>
    <w:rsid w:val="00193CC9"/>
    <w:rPr>
      <w:color w:val="605E5C"/>
      <w:shd w:val="clear" w:color="auto" w:fill="E1DFDD"/>
    </w:rPr>
  </w:style>
  <w:style w:type="paragraph" w:styleId="FootnoteText">
    <w:name w:val="footnote text"/>
    <w:basedOn w:val="Normal"/>
    <w:link w:val="FootnoteTextChar"/>
    <w:uiPriority w:val="99"/>
    <w:semiHidden/>
    <w:unhideWhenUsed/>
    <w:rsid w:val="00792E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2E24"/>
    <w:rPr>
      <w:sz w:val="20"/>
      <w:szCs w:val="20"/>
    </w:rPr>
  </w:style>
  <w:style w:type="character" w:styleId="FootnoteReference">
    <w:name w:val="footnote reference"/>
    <w:basedOn w:val="DefaultParagraphFont"/>
    <w:uiPriority w:val="99"/>
    <w:semiHidden/>
    <w:unhideWhenUsed/>
    <w:rsid w:val="00792E24"/>
    <w:rPr>
      <w:vertAlign w:val="superscript"/>
    </w:rPr>
  </w:style>
  <w:style w:type="character" w:styleId="FollowedHyperlink">
    <w:name w:val="FollowedHyperlink"/>
    <w:basedOn w:val="DefaultParagraphFont"/>
    <w:uiPriority w:val="99"/>
    <w:semiHidden/>
    <w:unhideWhenUsed/>
    <w:rsid w:val="004816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pass-onlinelibrary-wiley-com.uwtsd.idm.oclc.org/doi/full/10.1111/hic3.1206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ourcebooks.web.fordham.edu/source/dudu-stquentin-gesta-trans-lifshitz.as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jstor.org/stable/55436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ompass-onlinelibrary-wiley-com.uwtsd.idm.oclc.org/doi/full/10.1111/hic3.12064" TargetMode="External"/><Relationship Id="rId2" Type="http://schemas.openxmlformats.org/officeDocument/2006/relationships/hyperlink" Target="https://www.jstor.org/stable/554369" TargetMode="External"/><Relationship Id="rId1" Type="http://schemas.openxmlformats.org/officeDocument/2006/relationships/hyperlink" Target="https://sourcebooks.web.fordham.edu/source/dudu-stquentin-gesta-trans-lifshitz.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9" ma:contentTypeDescription="Create a new document." ma:contentTypeScope="" ma:versionID="df918d0e3d99422c7560179e9ee538d3">
  <xsd:schema xmlns:xsd="http://www.w3.org/2001/XMLSchema" xmlns:xs="http://www.w3.org/2001/XMLSchema" xmlns:p="http://schemas.microsoft.com/office/2006/metadata/properties" xmlns:ns3="bf244c3e-e0b4-4871-bb4e-fd032a14544d" targetNamespace="http://schemas.microsoft.com/office/2006/metadata/properties" ma:root="true" ma:fieldsID="fab0541a7d5da20f510f26e3de2f949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F50BE-3442-41A3-86F4-59DB30C3DB7C}">
  <ds:schemaRefs>
    <ds:schemaRef ds:uri="http://schemas.openxmlformats.org/officeDocument/2006/bibliography"/>
  </ds:schemaRefs>
</ds:datastoreItem>
</file>

<file path=customXml/itemProps2.xml><?xml version="1.0" encoding="utf-8"?>
<ds:datastoreItem xmlns:ds="http://schemas.openxmlformats.org/officeDocument/2006/customXml" ds:itemID="{DC9BBDDB-C662-4C38-A2DB-D4137981CBCD}">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9A80FE86-128A-4065-A93F-653D63C00507}">
  <ds:schemaRefs>
    <ds:schemaRef ds:uri="http://schemas.microsoft.com/sharepoint/v3/contenttype/forms"/>
  </ds:schemaRefs>
</ds:datastoreItem>
</file>

<file path=customXml/itemProps4.xml><?xml version="1.0" encoding="utf-8"?>
<ds:datastoreItem xmlns:ds="http://schemas.openxmlformats.org/officeDocument/2006/customXml" ds:itemID="{D7E73390-B5F9-43F8-BBE0-FDA3A6FDD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1322</Words>
  <Characters>6651</Characters>
  <Application>Microsoft Office Word</Application>
  <DocSecurity>0</DocSecurity>
  <Lines>96</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 (2404622)</dc:creator>
  <cp:keywords/>
  <dc:description/>
  <cp:lastModifiedBy>Adam Cottrell (2404622)</cp:lastModifiedBy>
  <cp:revision>49</cp:revision>
  <dcterms:created xsi:type="dcterms:W3CDTF">2026-10-02T14:47:00Z</dcterms:created>
  <dcterms:modified xsi:type="dcterms:W3CDTF">2026-10-11T13:04:00Z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