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4B8EB" w14:textId="64B0B353" w:rsidR="00FF54CD" w:rsidRDefault="00FF54CD" w:rsidP="00CB39A9">
      <w:pPr>
        <w:spacing w:before="100" w:beforeAutospacing="1" w:after="100" w:afterAutospacing="1" w:line="240" w:lineRule="auto"/>
        <w:rPr>
          <w:rFonts w:ascii="Times New Roman" w:eastAsia="Times New Roman" w:hAnsi="Times New Roman" w:cs="Times New Roman"/>
          <w:szCs w:val="24"/>
          <w:lang w:val="en-US"/>
        </w:rPr>
      </w:pPr>
      <w:r>
        <w:rPr>
          <w:noProof/>
        </w:rPr>
        <w:drawing>
          <wp:inline distT="0" distB="0" distL="0" distR="0" wp14:anchorId="69DC5AF4" wp14:editId="459A40B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5EF951B" w14:textId="77777777" w:rsidR="00FF54CD" w:rsidRDefault="00FF54CD" w:rsidP="00CB39A9">
      <w:pPr>
        <w:spacing w:before="100" w:beforeAutospacing="1" w:after="100" w:afterAutospacing="1" w:line="240" w:lineRule="auto"/>
        <w:rPr>
          <w:rFonts w:ascii="Times New Roman" w:eastAsia="Times New Roman" w:hAnsi="Times New Roman" w:cs="Times New Roman"/>
          <w:szCs w:val="24"/>
          <w:lang w:val="en-US"/>
        </w:rPr>
      </w:pPr>
    </w:p>
    <w:p w14:paraId="6FAD625C" w14:textId="77777777" w:rsidR="00DB1FD5" w:rsidRPr="00607B58" w:rsidRDefault="00DB1FD5" w:rsidP="00DB1FD5"/>
    <w:p w14:paraId="69A34A00" w14:textId="77777777" w:rsidR="00DB1FD5" w:rsidRDefault="00DB1FD5" w:rsidP="00DB1FD5">
      <w:pPr>
        <w:spacing w:after="0" w:line="240" w:lineRule="auto"/>
        <w:rPr>
          <w:rFonts w:eastAsia="Times New Roman" w:cs="Arial"/>
          <w:b/>
          <w:bCs/>
          <w:sz w:val="32"/>
          <w:szCs w:val="32"/>
          <w:lang w:eastAsia="en-GB"/>
        </w:rPr>
      </w:pPr>
    </w:p>
    <w:p w14:paraId="385AC608" w14:textId="77777777" w:rsidR="00DB1FD5" w:rsidRPr="00913D44" w:rsidRDefault="00DB1FD5" w:rsidP="00DB1FD5">
      <w:pPr>
        <w:spacing w:after="0" w:line="240" w:lineRule="auto"/>
        <w:rPr>
          <w:rFonts w:eastAsia="Times New Roman" w:cs="Arial"/>
          <w:sz w:val="32"/>
          <w:szCs w:val="32"/>
          <w:lang w:eastAsia="en-GB"/>
        </w:rPr>
      </w:pPr>
      <w:r w:rsidRPr="00913D44">
        <w:rPr>
          <w:rFonts w:eastAsia="Times New Roman" w:cs="Arial"/>
          <w:b/>
          <w:bCs/>
          <w:sz w:val="32"/>
          <w:szCs w:val="32"/>
          <w:lang w:eastAsia="en-GB"/>
        </w:rPr>
        <w:t xml:space="preserve">Program Name:     </w:t>
      </w:r>
      <w:r w:rsidRPr="00913D44">
        <w:rPr>
          <w:rFonts w:eastAsia="Times New Roman" w:cs="Arial"/>
          <w:sz w:val="40"/>
          <w:szCs w:val="40"/>
          <w:lang w:eastAsia="en-GB"/>
        </w:rPr>
        <w:t xml:space="preserve"> </w:t>
      </w:r>
      <w:r w:rsidRPr="00913D44">
        <w:rPr>
          <w:rFonts w:eastAsia="Times New Roman" w:cs="Arial"/>
          <w:sz w:val="32"/>
          <w:szCs w:val="32"/>
          <w:lang w:eastAsia="en-GB"/>
        </w:rPr>
        <w:t>Master of Business Administration</w:t>
      </w:r>
    </w:p>
    <w:p w14:paraId="0D6BE731" w14:textId="77777777" w:rsidR="00DB1FD5" w:rsidRPr="00913D44" w:rsidRDefault="00DB1FD5" w:rsidP="00DB1FD5">
      <w:pPr>
        <w:spacing w:after="0" w:line="240" w:lineRule="auto"/>
        <w:rPr>
          <w:rFonts w:eastAsia="Times New Roman" w:cs="Arial"/>
          <w:sz w:val="40"/>
          <w:szCs w:val="40"/>
          <w:lang w:eastAsia="en-GB"/>
        </w:rPr>
      </w:pPr>
    </w:p>
    <w:p w14:paraId="7F9104CF" w14:textId="6E140153" w:rsidR="00DB1FD5" w:rsidRPr="00913D44" w:rsidRDefault="00DB1FD5" w:rsidP="00DB1FD5">
      <w:pPr>
        <w:spacing w:after="0" w:line="240" w:lineRule="auto"/>
        <w:rPr>
          <w:rFonts w:eastAsia="Times New Roman" w:cs="Arial"/>
          <w:sz w:val="32"/>
          <w:szCs w:val="32"/>
          <w:lang w:eastAsia="en-GB"/>
        </w:rPr>
      </w:pPr>
      <w:r w:rsidRPr="00913D44">
        <w:rPr>
          <w:rFonts w:eastAsia="Times New Roman" w:cs="Arial"/>
          <w:b/>
          <w:bCs/>
          <w:sz w:val="32"/>
          <w:szCs w:val="32"/>
          <w:lang w:eastAsia="en-GB"/>
        </w:rPr>
        <w:t>Module Code:</w:t>
      </w:r>
      <w:r w:rsidRPr="00913D44">
        <w:rPr>
          <w:rFonts w:eastAsia="Times New Roman" w:cs="Arial"/>
          <w:sz w:val="40"/>
          <w:szCs w:val="40"/>
          <w:lang w:eastAsia="en-GB"/>
        </w:rPr>
        <w:t xml:space="preserve">        </w:t>
      </w:r>
      <w:r w:rsidRPr="00913D44">
        <w:rPr>
          <w:rFonts w:eastAsia="Times New Roman" w:cs="Arial"/>
          <w:sz w:val="32"/>
          <w:szCs w:val="32"/>
          <w:lang w:eastAsia="en-GB"/>
        </w:rPr>
        <w:t>LCMB70</w:t>
      </w:r>
      <w:r>
        <w:rPr>
          <w:rFonts w:eastAsia="Times New Roman" w:cs="Arial"/>
          <w:sz w:val="32"/>
          <w:szCs w:val="32"/>
          <w:lang w:eastAsia="en-GB"/>
        </w:rPr>
        <w:t>03</w:t>
      </w:r>
    </w:p>
    <w:p w14:paraId="79727A5F" w14:textId="77777777" w:rsidR="00DB1FD5" w:rsidRPr="00913D44" w:rsidRDefault="00DB1FD5" w:rsidP="00DB1FD5">
      <w:pPr>
        <w:spacing w:after="0" w:line="240" w:lineRule="auto"/>
        <w:rPr>
          <w:rFonts w:eastAsia="Times New Roman" w:cs="Arial"/>
          <w:sz w:val="32"/>
          <w:szCs w:val="32"/>
          <w:lang w:eastAsia="en-GB"/>
        </w:rPr>
      </w:pPr>
    </w:p>
    <w:p w14:paraId="64C34A66" w14:textId="63CCEEEE" w:rsidR="00DB1FD5" w:rsidRPr="00913D44" w:rsidRDefault="00DB1FD5" w:rsidP="00DB1FD5">
      <w:pPr>
        <w:spacing w:after="0" w:line="240" w:lineRule="auto"/>
        <w:rPr>
          <w:rFonts w:eastAsia="Times New Roman" w:cs="Arial"/>
          <w:sz w:val="32"/>
          <w:szCs w:val="32"/>
          <w:lang w:eastAsia="en-GB"/>
        </w:rPr>
      </w:pPr>
      <w:r w:rsidRPr="00913D44">
        <w:rPr>
          <w:rFonts w:eastAsia="Times New Roman" w:cs="Arial"/>
          <w:b/>
          <w:bCs/>
          <w:sz w:val="32"/>
          <w:szCs w:val="32"/>
          <w:lang w:eastAsia="en-GB"/>
        </w:rPr>
        <w:t xml:space="preserve">Module:             </w:t>
      </w:r>
      <w:r w:rsidRPr="00913D44">
        <w:rPr>
          <w:rFonts w:eastAsia="Times New Roman" w:cs="Arial"/>
          <w:sz w:val="40"/>
          <w:szCs w:val="40"/>
          <w:lang w:eastAsia="en-GB"/>
        </w:rPr>
        <w:t xml:space="preserve">      </w:t>
      </w:r>
      <w:r>
        <w:rPr>
          <w:rFonts w:eastAsia="Times New Roman" w:cs="Arial"/>
          <w:sz w:val="32"/>
          <w:szCs w:val="32"/>
          <w:lang w:eastAsia="en-GB"/>
        </w:rPr>
        <w:t>Strategic Management</w:t>
      </w:r>
    </w:p>
    <w:p w14:paraId="330A051F" w14:textId="77777777" w:rsidR="00DB1FD5" w:rsidRPr="00913D44" w:rsidRDefault="00DB1FD5" w:rsidP="00DB1FD5">
      <w:pPr>
        <w:spacing w:after="0" w:line="240" w:lineRule="auto"/>
        <w:rPr>
          <w:rFonts w:eastAsia="Times New Roman" w:cs="Arial"/>
          <w:sz w:val="40"/>
          <w:szCs w:val="40"/>
          <w:lang w:eastAsia="en-GB"/>
        </w:rPr>
      </w:pPr>
    </w:p>
    <w:p w14:paraId="38FDB359" w14:textId="28000325" w:rsidR="00DB1FD5" w:rsidRPr="00913D44" w:rsidRDefault="00DB1FD5" w:rsidP="00DB1FD5">
      <w:pPr>
        <w:spacing w:after="0" w:line="240" w:lineRule="auto"/>
        <w:rPr>
          <w:rFonts w:eastAsia="Times New Roman" w:cs="Arial"/>
          <w:sz w:val="32"/>
          <w:szCs w:val="32"/>
          <w:lang w:eastAsia="en-GB"/>
        </w:rPr>
      </w:pPr>
      <w:r w:rsidRPr="00913D44">
        <w:rPr>
          <w:rFonts w:eastAsia="Times New Roman" w:cs="Arial"/>
          <w:b/>
          <w:bCs/>
          <w:sz w:val="32"/>
          <w:szCs w:val="32"/>
          <w:lang w:eastAsia="en-GB"/>
        </w:rPr>
        <w:t>Assignment Title:</w:t>
      </w:r>
      <w:r w:rsidRPr="00913D44">
        <w:rPr>
          <w:rFonts w:eastAsia="Times New Roman" w:cs="Arial"/>
          <w:sz w:val="32"/>
          <w:szCs w:val="32"/>
          <w:lang w:eastAsia="en-GB"/>
        </w:rPr>
        <w:t xml:space="preserve">    </w:t>
      </w:r>
      <w:r>
        <w:rPr>
          <w:rFonts w:eastAsia="Times New Roman" w:cs="Arial"/>
          <w:sz w:val="32"/>
          <w:szCs w:val="32"/>
          <w:lang w:eastAsia="en-GB"/>
        </w:rPr>
        <w:t>I</w:t>
      </w:r>
      <w:r>
        <w:rPr>
          <w:rFonts w:eastAsia="Times New Roman" w:cs="Arial"/>
          <w:sz w:val="32"/>
          <w:szCs w:val="32"/>
          <w:lang w:eastAsia="en-GB"/>
        </w:rPr>
        <w:t>ndividual Report</w:t>
      </w:r>
    </w:p>
    <w:p w14:paraId="77D62CAE" w14:textId="77777777" w:rsidR="00DB1FD5" w:rsidRPr="00913D44" w:rsidRDefault="00DB1FD5" w:rsidP="00DB1FD5">
      <w:pPr>
        <w:spacing w:after="0" w:line="240" w:lineRule="auto"/>
        <w:rPr>
          <w:rFonts w:eastAsia="Times New Roman" w:cs="Arial"/>
          <w:sz w:val="32"/>
          <w:szCs w:val="32"/>
          <w:lang w:eastAsia="en-GB"/>
        </w:rPr>
      </w:pPr>
    </w:p>
    <w:p w14:paraId="6E7CF6C2" w14:textId="4363F7EC" w:rsidR="00DB1FD5" w:rsidRPr="00913D44" w:rsidRDefault="00DB1FD5" w:rsidP="00DB1FD5">
      <w:pPr>
        <w:spacing w:after="0" w:line="240" w:lineRule="auto"/>
        <w:rPr>
          <w:rFonts w:eastAsia="Times New Roman" w:cs="Arial"/>
          <w:b/>
          <w:bCs/>
          <w:sz w:val="32"/>
          <w:szCs w:val="32"/>
          <w:lang w:eastAsia="en-GB"/>
        </w:rPr>
      </w:pPr>
      <w:r w:rsidRPr="00913D44">
        <w:rPr>
          <w:rFonts w:eastAsia="Times New Roman" w:cs="Arial"/>
          <w:b/>
          <w:bCs/>
          <w:sz w:val="32"/>
          <w:szCs w:val="32"/>
          <w:lang w:eastAsia="en-GB"/>
        </w:rPr>
        <w:t>Lecturer’s Name</w:t>
      </w:r>
      <w:r w:rsidRPr="00913D44">
        <w:rPr>
          <w:rFonts w:eastAsia="Times New Roman" w:cs="Arial"/>
          <w:sz w:val="32"/>
          <w:szCs w:val="32"/>
          <w:lang w:eastAsia="en-GB"/>
        </w:rPr>
        <w:t xml:space="preserve">:     </w:t>
      </w:r>
      <w:r>
        <w:rPr>
          <w:rFonts w:eastAsia="Times New Roman" w:cs="Arial"/>
          <w:sz w:val="32"/>
          <w:szCs w:val="32"/>
          <w:lang w:eastAsia="en-GB"/>
        </w:rPr>
        <w:t>Simon Chatterton</w:t>
      </w:r>
    </w:p>
    <w:p w14:paraId="4B1371E1" w14:textId="77777777" w:rsidR="00DB1FD5" w:rsidRPr="00913D44" w:rsidRDefault="00DB1FD5" w:rsidP="00DB1FD5">
      <w:pPr>
        <w:spacing w:after="0" w:line="240" w:lineRule="auto"/>
        <w:rPr>
          <w:rFonts w:eastAsia="Times New Roman" w:cs="Arial"/>
          <w:sz w:val="40"/>
          <w:szCs w:val="40"/>
          <w:lang w:eastAsia="en-GB"/>
        </w:rPr>
      </w:pPr>
    </w:p>
    <w:p w14:paraId="440492E3" w14:textId="77777777" w:rsidR="00DB1FD5" w:rsidRPr="00913D44" w:rsidRDefault="00DB1FD5" w:rsidP="00DB1FD5">
      <w:pPr>
        <w:spacing w:after="0" w:line="240" w:lineRule="auto"/>
        <w:rPr>
          <w:rFonts w:eastAsia="Times New Roman" w:cs="Arial"/>
          <w:b/>
          <w:bCs/>
          <w:sz w:val="32"/>
          <w:szCs w:val="32"/>
          <w:lang w:eastAsia="en-GB"/>
        </w:rPr>
      </w:pPr>
      <w:r w:rsidRPr="00913D44">
        <w:rPr>
          <w:rFonts w:eastAsia="Times New Roman" w:cs="Arial"/>
          <w:b/>
          <w:bCs/>
          <w:sz w:val="32"/>
          <w:szCs w:val="32"/>
          <w:lang w:eastAsia="en-GB"/>
        </w:rPr>
        <w:t xml:space="preserve">Student name:          </w:t>
      </w:r>
      <w:r w:rsidRPr="00913D44">
        <w:rPr>
          <w:rFonts w:eastAsia="Times New Roman" w:cs="Arial"/>
          <w:sz w:val="32"/>
          <w:szCs w:val="32"/>
          <w:lang w:eastAsia="en-GB"/>
        </w:rPr>
        <w:t>Nedyalko Radev</w:t>
      </w:r>
    </w:p>
    <w:p w14:paraId="7E83F99C" w14:textId="77777777" w:rsidR="00DB1FD5" w:rsidRPr="00913D44" w:rsidRDefault="00DB1FD5" w:rsidP="00DB1FD5">
      <w:pPr>
        <w:spacing w:after="0" w:line="240" w:lineRule="auto"/>
        <w:rPr>
          <w:rFonts w:eastAsia="Times New Roman" w:cs="Arial"/>
          <w:sz w:val="40"/>
          <w:szCs w:val="40"/>
          <w:lang w:eastAsia="en-GB"/>
        </w:rPr>
      </w:pPr>
    </w:p>
    <w:p w14:paraId="280BCC23" w14:textId="77777777" w:rsidR="00DB1FD5" w:rsidRPr="00913D44" w:rsidRDefault="00DB1FD5" w:rsidP="00DB1FD5">
      <w:pPr>
        <w:spacing w:after="0" w:line="240" w:lineRule="auto"/>
        <w:rPr>
          <w:rFonts w:eastAsia="Times New Roman" w:cs="Arial"/>
          <w:sz w:val="32"/>
          <w:szCs w:val="32"/>
          <w:lang w:eastAsia="en-GB"/>
        </w:rPr>
      </w:pPr>
      <w:r w:rsidRPr="00913D44">
        <w:rPr>
          <w:rFonts w:eastAsia="Times New Roman" w:cs="Arial"/>
          <w:b/>
          <w:bCs/>
          <w:sz w:val="32"/>
          <w:szCs w:val="32"/>
          <w:lang w:eastAsia="en-GB"/>
        </w:rPr>
        <w:t xml:space="preserve">Student Number: </w:t>
      </w:r>
      <w:r w:rsidRPr="00913D44">
        <w:rPr>
          <w:rFonts w:eastAsia="Times New Roman" w:cs="Arial"/>
          <w:sz w:val="32"/>
          <w:szCs w:val="32"/>
          <w:lang w:eastAsia="en-GB"/>
        </w:rPr>
        <w:t xml:space="preserve">      2128093</w:t>
      </w:r>
    </w:p>
    <w:p w14:paraId="67A314EF" w14:textId="77777777" w:rsidR="00DB1FD5" w:rsidRDefault="00DB1FD5" w:rsidP="00DB1FD5">
      <w:pPr>
        <w:spacing w:after="0" w:line="240" w:lineRule="auto"/>
        <w:outlineLvl w:val="0"/>
        <w:rPr>
          <w:rFonts w:eastAsia="Times New Roman" w:cs="Arial"/>
          <w:color w:val="2E74B5"/>
          <w:sz w:val="32"/>
          <w:szCs w:val="32"/>
          <w:lang w:eastAsia="en-GB"/>
        </w:rPr>
      </w:pPr>
    </w:p>
    <w:p w14:paraId="7B7D10C5" w14:textId="77777777" w:rsidR="00FF54CD" w:rsidRDefault="00FF54CD" w:rsidP="00CB39A9">
      <w:pPr>
        <w:spacing w:before="100" w:beforeAutospacing="1" w:after="100" w:afterAutospacing="1" w:line="240" w:lineRule="auto"/>
        <w:rPr>
          <w:rFonts w:ascii="Times New Roman" w:eastAsia="Times New Roman" w:hAnsi="Times New Roman" w:cs="Times New Roman"/>
          <w:szCs w:val="24"/>
          <w:lang w:val="en-US"/>
        </w:rPr>
      </w:pPr>
    </w:p>
    <w:p w14:paraId="756A58AF" w14:textId="77777777" w:rsidR="001C2B86" w:rsidRDefault="001C2B86" w:rsidP="00CB39A9">
      <w:pPr>
        <w:spacing w:before="100" w:beforeAutospacing="1" w:after="100" w:afterAutospacing="1" w:line="240" w:lineRule="auto"/>
        <w:rPr>
          <w:rFonts w:ascii="Times New Roman" w:eastAsia="Times New Roman" w:hAnsi="Times New Roman" w:cs="Times New Roman"/>
          <w:szCs w:val="24"/>
          <w:lang w:val="en-US"/>
        </w:rPr>
      </w:pPr>
    </w:p>
    <w:p w14:paraId="163E7653" w14:textId="77777777" w:rsidR="00B41CF3" w:rsidRDefault="00B41CF3" w:rsidP="00CB39A9">
      <w:pPr>
        <w:spacing w:before="100" w:beforeAutospacing="1" w:after="100" w:afterAutospacing="1" w:line="240" w:lineRule="auto"/>
        <w:rPr>
          <w:rFonts w:ascii="Times New Roman" w:eastAsia="Times New Roman" w:hAnsi="Times New Roman" w:cs="Times New Roman"/>
          <w:szCs w:val="24"/>
          <w:lang w:val="en-US"/>
        </w:rPr>
      </w:pPr>
    </w:p>
    <w:p w14:paraId="4FA0CCA1" w14:textId="77777777" w:rsidR="00B41CF3" w:rsidRDefault="00B41CF3" w:rsidP="00CB39A9">
      <w:pPr>
        <w:spacing w:before="100" w:beforeAutospacing="1" w:after="100" w:afterAutospacing="1" w:line="240" w:lineRule="auto"/>
        <w:rPr>
          <w:rFonts w:ascii="Times New Roman" w:eastAsia="Times New Roman" w:hAnsi="Times New Roman" w:cs="Times New Roman"/>
          <w:szCs w:val="24"/>
          <w:lang w:val="en-US"/>
        </w:rPr>
      </w:pPr>
    </w:p>
    <w:p w14:paraId="1B25A826" w14:textId="77777777" w:rsidR="00B41CF3" w:rsidRDefault="00B41CF3" w:rsidP="00CB39A9">
      <w:pPr>
        <w:spacing w:before="100" w:beforeAutospacing="1" w:after="100" w:afterAutospacing="1" w:line="240" w:lineRule="auto"/>
        <w:rPr>
          <w:rFonts w:ascii="Times New Roman" w:eastAsia="Times New Roman" w:hAnsi="Times New Roman" w:cs="Times New Roman"/>
          <w:szCs w:val="24"/>
          <w:lang w:val="en-US"/>
        </w:rPr>
      </w:pPr>
    </w:p>
    <w:p w14:paraId="27E2F938" w14:textId="77777777" w:rsidR="00DB1FD5" w:rsidRDefault="00DB1FD5" w:rsidP="00CB39A9">
      <w:pPr>
        <w:spacing w:before="100" w:beforeAutospacing="1" w:after="100" w:afterAutospacing="1" w:line="240" w:lineRule="auto"/>
        <w:rPr>
          <w:rFonts w:ascii="Times New Roman" w:eastAsia="Times New Roman" w:hAnsi="Times New Roman" w:cs="Times New Roman"/>
          <w:szCs w:val="24"/>
          <w:lang w:val="en-US"/>
        </w:rPr>
      </w:pPr>
    </w:p>
    <w:p w14:paraId="24B00E8D" w14:textId="77777777" w:rsidR="00B41CF3" w:rsidRDefault="00B41CF3" w:rsidP="00CB39A9">
      <w:pPr>
        <w:spacing w:before="100" w:beforeAutospacing="1" w:after="100" w:afterAutospacing="1" w:line="240" w:lineRule="auto"/>
        <w:rPr>
          <w:rFonts w:ascii="Times New Roman" w:eastAsia="Times New Roman" w:hAnsi="Times New Roman" w:cs="Times New Roman"/>
          <w:szCs w:val="24"/>
          <w:lang w:val="en-US"/>
        </w:rPr>
      </w:pPr>
    </w:p>
    <w:p w14:paraId="37945A07" w14:textId="77777777" w:rsidR="00B41CF3" w:rsidRDefault="00B41CF3" w:rsidP="00CB39A9">
      <w:pPr>
        <w:spacing w:before="100" w:beforeAutospacing="1" w:after="100" w:afterAutospacing="1" w:line="240" w:lineRule="auto"/>
        <w:rPr>
          <w:rFonts w:ascii="Times New Roman" w:eastAsia="Times New Roman" w:hAnsi="Times New Roman" w:cs="Times New Roman"/>
          <w:szCs w:val="24"/>
          <w:lang w:val="en-US"/>
        </w:rPr>
      </w:pPr>
    </w:p>
    <w:p w14:paraId="4C1F5CF8" w14:textId="77777777" w:rsidR="00B41CF3" w:rsidRDefault="00B41CF3" w:rsidP="00CB39A9">
      <w:pPr>
        <w:spacing w:before="100" w:beforeAutospacing="1" w:after="100" w:afterAutospacing="1" w:line="240" w:lineRule="auto"/>
        <w:rPr>
          <w:rFonts w:ascii="Times New Roman" w:eastAsia="Times New Roman" w:hAnsi="Times New Roman" w:cs="Times New Roman"/>
          <w:szCs w:val="24"/>
          <w:lang w:val="en-US"/>
        </w:rPr>
      </w:pPr>
    </w:p>
    <w:sdt>
      <w:sdtPr>
        <w:rPr>
          <w:rFonts w:asciiTheme="minorHAnsi" w:eastAsiaTheme="minorHAnsi" w:hAnsiTheme="minorHAnsi" w:cstheme="minorBidi"/>
          <w:color w:val="auto"/>
          <w:sz w:val="22"/>
          <w:szCs w:val="22"/>
          <w:lang w:val="en-GB"/>
        </w:rPr>
        <w:id w:val="-748190469"/>
        <w:docPartObj>
          <w:docPartGallery w:val="Table of Contents"/>
          <w:docPartUnique/>
        </w:docPartObj>
      </w:sdtPr>
      <w:sdtEndPr>
        <w:rPr>
          <w:rFonts w:ascii="Arial" w:hAnsi="Arial"/>
          <w:b/>
          <w:bCs/>
          <w:noProof/>
          <w:sz w:val="24"/>
        </w:rPr>
      </w:sdtEndPr>
      <w:sdtContent>
        <w:p w14:paraId="4A470036" w14:textId="609C5D4D" w:rsidR="00160DDD" w:rsidRDefault="00160DDD">
          <w:pPr>
            <w:pStyle w:val="TOCHeading"/>
          </w:pPr>
          <w:r>
            <w:t>Table of Contents</w:t>
          </w:r>
        </w:p>
        <w:p w14:paraId="612757B7" w14:textId="269D31F6" w:rsidR="0055709A" w:rsidRDefault="00160DD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5316298" w:history="1">
            <w:r w:rsidR="0055709A" w:rsidRPr="00172AAA">
              <w:rPr>
                <w:rStyle w:val="Hyperlink"/>
                <w:rFonts w:eastAsia="Times New Roman"/>
                <w:noProof/>
                <w:lang w:val="en-US"/>
              </w:rPr>
              <w:t>1. Introduction &amp; Context</w:t>
            </w:r>
            <w:r w:rsidR="0055709A">
              <w:rPr>
                <w:noProof/>
                <w:webHidden/>
              </w:rPr>
              <w:tab/>
            </w:r>
            <w:r w:rsidR="0055709A">
              <w:rPr>
                <w:noProof/>
                <w:webHidden/>
              </w:rPr>
              <w:fldChar w:fldCharType="begin"/>
            </w:r>
            <w:r w:rsidR="0055709A">
              <w:rPr>
                <w:noProof/>
                <w:webHidden/>
              </w:rPr>
              <w:instrText xml:space="preserve"> PAGEREF _Toc215316298 \h </w:instrText>
            </w:r>
            <w:r w:rsidR="0055709A">
              <w:rPr>
                <w:noProof/>
                <w:webHidden/>
              </w:rPr>
            </w:r>
            <w:r w:rsidR="0055709A">
              <w:rPr>
                <w:noProof/>
                <w:webHidden/>
              </w:rPr>
              <w:fldChar w:fldCharType="separate"/>
            </w:r>
            <w:r w:rsidR="0055709A">
              <w:rPr>
                <w:noProof/>
                <w:webHidden/>
              </w:rPr>
              <w:t>3</w:t>
            </w:r>
            <w:r w:rsidR="0055709A">
              <w:rPr>
                <w:noProof/>
                <w:webHidden/>
              </w:rPr>
              <w:fldChar w:fldCharType="end"/>
            </w:r>
          </w:hyperlink>
        </w:p>
        <w:p w14:paraId="3D5CF82C" w14:textId="4591545B"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299" w:history="1">
            <w:r w:rsidRPr="00172AAA">
              <w:rPr>
                <w:rStyle w:val="Hyperlink"/>
                <w:rFonts w:eastAsia="Times New Roman"/>
                <w:noProof/>
                <w:lang w:val="en-US"/>
              </w:rPr>
              <w:t>1.1 Background and contemporary strategic context</w:t>
            </w:r>
            <w:r>
              <w:rPr>
                <w:noProof/>
                <w:webHidden/>
              </w:rPr>
              <w:tab/>
            </w:r>
            <w:r>
              <w:rPr>
                <w:noProof/>
                <w:webHidden/>
              </w:rPr>
              <w:fldChar w:fldCharType="begin"/>
            </w:r>
            <w:r>
              <w:rPr>
                <w:noProof/>
                <w:webHidden/>
              </w:rPr>
              <w:instrText xml:space="preserve"> PAGEREF _Toc215316299 \h </w:instrText>
            </w:r>
            <w:r>
              <w:rPr>
                <w:noProof/>
                <w:webHidden/>
              </w:rPr>
            </w:r>
            <w:r>
              <w:rPr>
                <w:noProof/>
                <w:webHidden/>
              </w:rPr>
              <w:fldChar w:fldCharType="separate"/>
            </w:r>
            <w:r>
              <w:rPr>
                <w:noProof/>
                <w:webHidden/>
              </w:rPr>
              <w:t>3</w:t>
            </w:r>
            <w:r>
              <w:rPr>
                <w:noProof/>
                <w:webHidden/>
              </w:rPr>
              <w:fldChar w:fldCharType="end"/>
            </w:r>
          </w:hyperlink>
        </w:p>
        <w:p w14:paraId="32A99105" w14:textId="786C4830"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00" w:history="1">
            <w:r w:rsidRPr="00172AAA">
              <w:rPr>
                <w:rStyle w:val="Hyperlink"/>
                <w:rFonts w:eastAsia="Times New Roman"/>
                <w:noProof/>
                <w:lang w:val="en-US"/>
              </w:rPr>
              <w:t>1.2 Aim, scope and structure of the report</w:t>
            </w:r>
            <w:r>
              <w:rPr>
                <w:noProof/>
                <w:webHidden/>
              </w:rPr>
              <w:tab/>
            </w:r>
            <w:r>
              <w:rPr>
                <w:noProof/>
                <w:webHidden/>
              </w:rPr>
              <w:fldChar w:fldCharType="begin"/>
            </w:r>
            <w:r>
              <w:rPr>
                <w:noProof/>
                <w:webHidden/>
              </w:rPr>
              <w:instrText xml:space="preserve"> PAGEREF _Toc215316300 \h </w:instrText>
            </w:r>
            <w:r>
              <w:rPr>
                <w:noProof/>
                <w:webHidden/>
              </w:rPr>
            </w:r>
            <w:r>
              <w:rPr>
                <w:noProof/>
                <w:webHidden/>
              </w:rPr>
              <w:fldChar w:fldCharType="separate"/>
            </w:r>
            <w:r>
              <w:rPr>
                <w:noProof/>
                <w:webHidden/>
              </w:rPr>
              <w:t>3</w:t>
            </w:r>
            <w:r>
              <w:rPr>
                <w:noProof/>
                <w:webHidden/>
              </w:rPr>
              <w:fldChar w:fldCharType="end"/>
            </w:r>
          </w:hyperlink>
        </w:p>
        <w:p w14:paraId="2E2D28E9" w14:textId="27B13188" w:rsidR="0055709A" w:rsidRDefault="005570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316301" w:history="1">
            <w:r w:rsidRPr="00172AAA">
              <w:rPr>
                <w:rStyle w:val="Hyperlink"/>
                <w:noProof/>
                <w:lang w:val="en-US"/>
              </w:rPr>
              <w:t xml:space="preserve">2. </w:t>
            </w:r>
            <w:r w:rsidRPr="00172AAA">
              <w:rPr>
                <w:rStyle w:val="Hyperlink"/>
                <w:rFonts w:eastAsia="Times New Roman"/>
                <w:noProof/>
                <w:lang w:val="en-US"/>
              </w:rPr>
              <w:t>Organisation and target market selection</w:t>
            </w:r>
            <w:r>
              <w:rPr>
                <w:noProof/>
                <w:webHidden/>
              </w:rPr>
              <w:tab/>
            </w:r>
            <w:r>
              <w:rPr>
                <w:noProof/>
                <w:webHidden/>
              </w:rPr>
              <w:fldChar w:fldCharType="begin"/>
            </w:r>
            <w:r>
              <w:rPr>
                <w:noProof/>
                <w:webHidden/>
              </w:rPr>
              <w:instrText xml:space="preserve"> PAGEREF _Toc215316301 \h </w:instrText>
            </w:r>
            <w:r>
              <w:rPr>
                <w:noProof/>
                <w:webHidden/>
              </w:rPr>
            </w:r>
            <w:r>
              <w:rPr>
                <w:noProof/>
                <w:webHidden/>
              </w:rPr>
              <w:fldChar w:fldCharType="separate"/>
            </w:r>
            <w:r>
              <w:rPr>
                <w:noProof/>
                <w:webHidden/>
              </w:rPr>
              <w:t>4</w:t>
            </w:r>
            <w:r>
              <w:rPr>
                <w:noProof/>
                <w:webHidden/>
              </w:rPr>
              <w:fldChar w:fldCharType="end"/>
            </w:r>
          </w:hyperlink>
        </w:p>
        <w:p w14:paraId="1587400C" w14:textId="6E73B35A"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02" w:history="1">
            <w:r w:rsidRPr="00172AAA">
              <w:rPr>
                <w:rStyle w:val="Hyperlink"/>
                <w:rFonts w:eastAsia="Times New Roman"/>
                <w:noProof/>
                <w:lang w:val="en-US"/>
              </w:rPr>
              <w:t>2.1 Overview of Greggs plc</w:t>
            </w:r>
            <w:r>
              <w:rPr>
                <w:noProof/>
                <w:webHidden/>
              </w:rPr>
              <w:tab/>
            </w:r>
            <w:r>
              <w:rPr>
                <w:noProof/>
                <w:webHidden/>
              </w:rPr>
              <w:fldChar w:fldCharType="begin"/>
            </w:r>
            <w:r>
              <w:rPr>
                <w:noProof/>
                <w:webHidden/>
              </w:rPr>
              <w:instrText xml:space="preserve"> PAGEREF _Toc215316302 \h </w:instrText>
            </w:r>
            <w:r>
              <w:rPr>
                <w:noProof/>
                <w:webHidden/>
              </w:rPr>
            </w:r>
            <w:r>
              <w:rPr>
                <w:noProof/>
                <w:webHidden/>
              </w:rPr>
              <w:fldChar w:fldCharType="separate"/>
            </w:r>
            <w:r>
              <w:rPr>
                <w:noProof/>
                <w:webHidden/>
              </w:rPr>
              <w:t>4</w:t>
            </w:r>
            <w:r>
              <w:rPr>
                <w:noProof/>
                <w:webHidden/>
              </w:rPr>
              <w:fldChar w:fldCharType="end"/>
            </w:r>
          </w:hyperlink>
        </w:p>
        <w:p w14:paraId="00B0D831" w14:textId="0F244F1F"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03" w:history="1">
            <w:r w:rsidRPr="00172AAA">
              <w:rPr>
                <w:rStyle w:val="Hyperlink"/>
                <w:rFonts w:eastAsia="Times New Roman"/>
                <w:noProof/>
                <w:lang w:val="en-US"/>
              </w:rPr>
              <w:t>2.2 Dubai (UAE) has been selected as target market</w:t>
            </w:r>
            <w:r>
              <w:rPr>
                <w:noProof/>
                <w:webHidden/>
              </w:rPr>
              <w:tab/>
            </w:r>
            <w:r>
              <w:rPr>
                <w:noProof/>
                <w:webHidden/>
              </w:rPr>
              <w:fldChar w:fldCharType="begin"/>
            </w:r>
            <w:r>
              <w:rPr>
                <w:noProof/>
                <w:webHidden/>
              </w:rPr>
              <w:instrText xml:space="preserve"> PAGEREF _Toc215316303 \h </w:instrText>
            </w:r>
            <w:r>
              <w:rPr>
                <w:noProof/>
                <w:webHidden/>
              </w:rPr>
            </w:r>
            <w:r>
              <w:rPr>
                <w:noProof/>
                <w:webHidden/>
              </w:rPr>
              <w:fldChar w:fldCharType="separate"/>
            </w:r>
            <w:r>
              <w:rPr>
                <w:noProof/>
                <w:webHidden/>
              </w:rPr>
              <w:t>5</w:t>
            </w:r>
            <w:r>
              <w:rPr>
                <w:noProof/>
                <w:webHidden/>
              </w:rPr>
              <w:fldChar w:fldCharType="end"/>
            </w:r>
          </w:hyperlink>
        </w:p>
        <w:p w14:paraId="1B627C63" w14:textId="26AE7F95" w:rsidR="0055709A" w:rsidRDefault="005570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316304" w:history="1">
            <w:r w:rsidRPr="00172AAA">
              <w:rPr>
                <w:rStyle w:val="Hyperlink"/>
                <w:rFonts w:eastAsia="Times New Roman"/>
                <w:b/>
                <w:bCs/>
                <w:noProof/>
                <w:lang w:val="en-US"/>
              </w:rPr>
              <w:t>3. Comprehensive strategic analysis</w:t>
            </w:r>
            <w:r>
              <w:rPr>
                <w:noProof/>
                <w:webHidden/>
              </w:rPr>
              <w:tab/>
            </w:r>
            <w:r>
              <w:rPr>
                <w:noProof/>
                <w:webHidden/>
              </w:rPr>
              <w:fldChar w:fldCharType="begin"/>
            </w:r>
            <w:r>
              <w:rPr>
                <w:noProof/>
                <w:webHidden/>
              </w:rPr>
              <w:instrText xml:space="preserve"> PAGEREF _Toc215316304 \h </w:instrText>
            </w:r>
            <w:r>
              <w:rPr>
                <w:noProof/>
                <w:webHidden/>
              </w:rPr>
            </w:r>
            <w:r>
              <w:rPr>
                <w:noProof/>
                <w:webHidden/>
              </w:rPr>
              <w:fldChar w:fldCharType="separate"/>
            </w:r>
            <w:r>
              <w:rPr>
                <w:noProof/>
                <w:webHidden/>
              </w:rPr>
              <w:t>8</w:t>
            </w:r>
            <w:r>
              <w:rPr>
                <w:noProof/>
                <w:webHidden/>
              </w:rPr>
              <w:fldChar w:fldCharType="end"/>
            </w:r>
          </w:hyperlink>
        </w:p>
        <w:p w14:paraId="2C4A985E" w14:textId="22B4140B"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05" w:history="1">
            <w:r w:rsidRPr="00172AAA">
              <w:rPr>
                <w:rStyle w:val="Hyperlink"/>
                <w:rFonts w:eastAsia="Times New Roman"/>
                <w:noProof/>
                <w:lang w:val="en-US"/>
              </w:rPr>
              <w:t>3.1 Macro environment analysis of (UAE) Dubai F&amp;B market (PESTEL)</w:t>
            </w:r>
            <w:r>
              <w:rPr>
                <w:noProof/>
                <w:webHidden/>
              </w:rPr>
              <w:tab/>
            </w:r>
            <w:r>
              <w:rPr>
                <w:noProof/>
                <w:webHidden/>
              </w:rPr>
              <w:fldChar w:fldCharType="begin"/>
            </w:r>
            <w:r>
              <w:rPr>
                <w:noProof/>
                <w:webHidden/>
              </w:rPr>
              <w:instrText xml:space="preserve"> PAGEREF _Toc215316305 \h </w:instrText>
            </w:r>
            <w:r>
              <w:rPr>
                <w:noProof/>
                <w:webHidden/>
              </w:rPr>
            </w:r>
            <w:r>
              <w:rPr>
                <w:noProof/>
                <w:webHidden/>
              </w:rPr>
              <w:fldChar w:fldCharType="separate"/>
            </w:r>
            <w:r>
              <w:rPr>
                <w:noProof/>
                <w:webHidden/>
              </w:rPr>
              <w:t>8</w:t>
            </w:r>
            <w:r>
              <w:rPr>
                <w:noProof/>
                <w:webHidden/>
              </w:rPr>
              <w:fldChar w:fldCharType="end"/>
            </w:r>
          </w:hyperlink>
        </w:p>
        <w:p w14:paraId="44C4082E" w14:textId="33A98378"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06" w:history="1">
            <w:r w:rsidRPr="00172AAA">
              <w:rPr>
                <w:rStyle w:val="Hyperlink"/>
                <w:rFonts w:eastAsia="Times New Roman"/>
                <w:noProof/>
                <w:lang w:val="en-US"/>
              </w:rPr>
              <w:t>3.2 Industry and competitive analysis – Dubai quick-service / bakery / food-to-go market</w:t>
            </w:r>
            <w:r>
              <w:rPr>
                <w:noProof/>
                <w:webHidden/>
              </w:rPr>
              <w:tab/>
            </w:r>
            <w:r>
              <w:rPr>
                <w:noProof/>
                <w:webHidden/>
              </w:rPr>
              <w:fldChar w:fldCharType="begin"/>
            </w:r>
            <w:r>
              <w:rPr>
                <w:noProof/>
                <w:webHidden/>
              </w:rPr>
              <w:instrText xml:space="preserve"> PAGEREF _Toc215316306 \h </w:instrText>
            </w:r>
            <w:r>
              <w:rPr>
                <w:noProof/>
                <w:webHidden/>
              </w:rPr>
            </w:r>
            <w:r>
              <w:rPr>
                <w:noProof/>
                <w:webHidden/>
              </w:rPr>
              <w:fldChar w:fldCharType="separate"/>
            </w:r>
            <w:r>
              <w:rPr>
                <w:noProof/>
                <w:webHidden/>
              </w:rPr>
              <w:t>10</w:t>
            </w:r>
            <w:r>
              <w:rPr>
                <w:noProof/>
                <w:webHidden/>
              </w:rPr>
              <w:fldChar w:fldCharType="end"/>
            </w:r>
          </w:hyperlink>
        </w:p>
        <w:p w14:paraId="2F7AAD7B" w14:textId="78E95095"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07" w:history="1">
            <w:r w:rsidRPr="00172AAA">
              <w:rPr>
                <w:rStyle w:val="Hyperlink"/>
                <w:rFonts w:eastAsia="Times New Roman"/>
                <w:noProof/>
                <w:lang w:val="en-US"/>
              </w:rPr>
              <w:t>3.3 Greggs resources and capabilities internal analysis</w:t>
            </w:r>
            <w:r>
              <w:rPr>
                <w:noProof/>
                <w:webHidden/>
              </w:rPr>
              <w:tab/>
            </w:r>
            <w:r>
              <w:rPr>
                <w:noProof/>
                <w:webHidden/>
              </w:rPr>
              <w:fldChar w:fldCharType="begin"/>
            </w:r>
            <w:r>
              <w:rPr>
                <w:noProof/>
                <w:webHidden/>
              </w:rPr>
              <w:instrText xml:space="preserve"> PAGEREF _Toc215316307 \h </w:instrText>
            </w:r>
            <w:r>
              <w:rPr>
                <w:noProof/>
                <w:webHidden/>
              </w:rPr>
            </w:r>
            <w:r>
              <w:rPr>
                <w:noProof/>
                <w:webHidden/>
              </w:rPr>
              <w:fldChar w:fldCharType="separate"/>
            </w:r>
            <w:r>
              <w:rPr>
                <w:noProof/>
                <w:webHidden/>
              </w:rPr>
              <w:t>12</w:t>
            </w:r>
            <w:r>
              <w:rPr>
                <w:noProof/>
                <w:webHidden/>
              </w:rPr>
              <w:fldChar w:fldCharType="end"/>
            </w:r>
          </w:hyperlink>
        </w:p>
        <w:p w14:paraId="105E24E6" w14:textId="14FD1EC0"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08" w:history="1">
            <w:r w:rsidRPr="00172AAA">
              <w:rPr>
                <w:rStyle w:val="Hyperlink"/>
                <w:rFonts w:eastAsia="Times New Roman"/>
                <w:noProof/>
                <w:lang w:val="en-US"/>
              </w:rPr>
              <w:t>3.4 Synthesis: strategic issues that arise out of the analysis</w:t>
            </w:r>
            <w:r>
              <w:rPr>
                <w:noProof/>
                <w:webHidden/>
              </w:rPr>
              <w:tab/>
            </w:r>
            <w:r>
              <w:rPr>
                <w:noProof/>
                <w:webHidden/>
              </w:rPr>
              <w:fldChar w:fldCharType="begin"/>
            </w:r>
            <w:r>
              <w:rPr>
                <w:noProof/>
                <w:webHidden/>
              </w:rPr>
              <w:instrText xml:space="preserve"> PAGEREF _Toc215316308 \h </w:instrText>
            </w:r>
            <w:r>
              <w:rPr>
                <w:noProof/>
                <w:webHidden/>
              </w:rPr>
            </w:r>
            <w:r>
              <w:rPr>
                <w:noProof/>
                <w:webHidden/>
              </w:rPr>
              <w:fldChar w:fldCharType="separate"/>
            </w:r>
            <w:r>
              <w:rPr>
                <w:noProof/>
                <w:webHidden/>
              </w:rPr>
              <w:t>13</w:t>
            </w:r>
            <w:r>
              <w:rPr>
                <w:noProof/>
                <w:webHidden/>
              </w:rPr>
              <w:fldChar w:fldCharType="end"/>
            </w:r>
          </w:hyperlink>
        </w:p>
        <w:p w14:paraId="06BA3D89" w14:textId="5CB1693C" w:rsidR="0055709A" w:rsidRDefault="005570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316309" w:history="1">
            <w:r w:rsidRPr="00172AAA">
              <w:rPr>
                <w:rStyle w:val="Hyperlink"/>
                <w:b/>
                <w:bCs/>
                <w:noProof/>
                <w:lang w:val="en-US"/>
              </w:rPr>
              <w:t>4. Strategy Development and Formulation</w:t>
            </w:r>
            <w:r>
              <w:rPr>
                <w:noProof/>
                <w:webHidden/>
              </w:rPr>
              <w:tab/>
            </w:r>
            <w:r>
              <w:rPr>
                <w:noProof/>
                <w:webHidden/>
              </w:rPr>
              <w:fldChar w:fldCharType="begin"/>
            </w:r>
            <w:r>
              <w:rPr>
                <w:noProof/>
                <w:webHidden/>
              </w:rPr>
              <w:instrText xml:space="preserve"> PAGEREF _Toc215316309 \h </w:instrText>
            </w:r>
            <w:r>
              <w:rPr>
                <w:noProof/>
                <w:webHidden/>
              </w:rPr>
            </w:r>
            <w:r>
              <w:rPr>
                <w:noProof/>
                <w:webHidden/>
              </w:rPr>
              <w:fldChar w:fldCharType="separate"/>
            </w:r>
            <w:r>
              <w:rPr>
                <w:noProof/>
                <w:webHidden/>
              </w:rPr>
              <w:t>14</w:t>
            </w:r>
            <w:r>
              <w:rPr>
                <w:noProof/>
                <w:webHidden/>
              </w:rPr>
              <w:fldChar w:fldCharType="end"/>
            </w:r>
          </w:hyperlink>
        </w:p>
        <w:p w14:paraId="31D76A2A" w14:textId="482AF242"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10" w:history="1">
            <w:r w:rsidRPr="00172AAA">
              <w:rPr>
                <w:rStyle w:val="Hyperlink"/>
                <w:noProof/>
                <w:lang w:val="en-US"/>
              </w:rPr>
              <w:t>4.1 The development of strategic options</w:t>
            </w:r>
            <w:r>
              <w:rPr>
                <w:noProof/>
                <w:webHidden/>
              </w:rPr>
              <w:tab/>
            </w:r>
            <w:r>
              <w:rPr>
                <w:noProof/>
                <w:webHidden/>
              </w:rPr>
              <w:fldChar w:fldCharType="begin"/>
            </w:r>
            <w:r>
              <w:rPr>
                <w:noProof/>
                <w:webHidden/>
              </w:rPr>
              <w:instrText xml:space="preserve"> PAGEREF _Toc215316310 \h </w:instrText>
            </w:r>
            <w:r>
              <w:rPr>
                <w:noProof/>
                <w:webHidden/>
              </w:rPr>
            </w:r>
            <w:r>
              <w:rPr>
                <w:noProof/>
                <w:webHidden/>
              </w:rPr>
              <w:fldChar w:fldCharType="separate"/>
            </w:r>
            <w:r>
              <w:rPr>
                <w:noProof/>
                <w:webHidden/>
              </w:rPr>
              <w:t>14</w:t>
            </w:r>
            <w:r>
              <w:rPr>
                <w:noProof/>
                <w:webHidden/>
              </w:rPr>
              <w:fldChar w:fldCharType="end"/>
            </w:r>
          </w:hyperlink>
        </w:p>
        <w:p w14:paraId="3010AC58" w14:textId="3F82A73A"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11" w:history="1">
            <w:r w:rsidRPr="00172AAA">
              <w:rPr>
                <w:rStyle w:val="Hyperlink"/>
                <w:noProof/>
                <w:lang w:val="en-US"/>
              </w:rPr>
              <w:t>4.2 Dubai entry strategy recommendation</w:t>
            </w:r>
            <w:r>
              <w:rPr>
                <w:noProof/>
                <w:webHidden/>
              </w:rPr>
              <w:tab/>
            </w:r>
            <w:r>
              <w:rPr>
                <w:noProof/>
                <w:webHidden/>
              </w:rPr>
              <w:fldChar w:fldCharType="begin"/>
            </w:r>
            <w:r>
              <w:rPr>
                <w:noProof/>
                <w:webHidden/>
              </w:rPr>
              <w:instrText xml:space="preserve"> PAGEREF _Toc215316311 \h </w:instrText>
            </w:r>
            <w:r>
              <w:rPr>
                <w:noProof/>
                <w:webHidden/>
              </w:rPr>
            </w:r>
            <w:r>
              <w:rPr>
                <w:noProof/>
                <w:webHidden/>
              </w:rPr>
              <w:fldChar w:fldCharType="separate"/>
            </w:r>
            <w:r>
              <w:rPr>
                <w:noProof/>
                <w:webHidden/>
              </w:rPr>
              <w:t>15</w:t>
            </w:r>
            <w:r>
              <w:rPr>
                <w:noProof/>
                <w:webHidden/>
              </w:rPr>
              <w:fldChar w:fldCharType="end"/>
            </w:r>
          </w:hyperlink>
        </w:p>
        <w:p w14:paraId="0AB072B4" w14:textId="0F98A63E" w:rsidR="0055709A" w:rsidRDefault="005570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316312" w:history="1">
            <w:r w:rsidRPr="00172AAA">
              <w:rPr>
                <w:rStyle w:val="Hyperlink"/>
                <w:b/>
                <w:bCs/>
                <w:noProof/>
                <w:lang w:val="en-US"/>
              </w:rPr>
              <w:t>4.2.1 Partnership structure and mode of entry</w:t>
            </w:r>
            <w:r>
              <w:rPr>
                <w:noProof/>
                <w:webHidden/>
              </w:rPr>
              <w:tab/>
            </w:r>
            <w:r>
              <w:rPr>
                <w:noProof/>
                <w:webHidden/>
              </w:rPr>
              <w:fldChar w:fldCharType="begin"/>
            </w:r>
            <w:r>
              <w:rPr>
                <w:noProof/>
                <w:webHidden/>
              </w:rPr>
              <w:instrText xml:space="preserve"> PAGEREF _Toc215316312 \h </w:instrText>
            </w:r>
            <w:r>
              <w:rPr>
                <w:noProof/>
                <w:webHidden/>
              </w:rPr>
            </w:r>
            <w:r>
              <w:rPr>
                <w:noProof/>
                <w:webHidden/>
              </w:rPr>
              <w:fldChar w:fldCharType="separate"/>
            </w:r>
            <w:r>
              <w:rPr>
                <w:noProof/>
                <w:webHidden/>
              </w:rPr>
              <w:t>15</w:t>
            </w:r>
            <w:r>
              <w:rPr>
                <w:noProof/>
                <w:webHidden/>
              </w:rPr>
              <w:fldChar w:fldCharType="end"/>
            </w:r>
          </w:hyperlink>
        </w:p>
        <w:p w14:paraId="2E2D28DA" w14:textId="0373B32A" w:rsidR="0055709A" w:rsidRDefault="005570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316313" w:history="1">
            <w:r w:rsidRPr="00172AAA">
              <w:rPr>
                <w:rStyle w:val="Hyperlink"/>
                <w:b/>
                <w:bCs/>
                <w:noProof/>
                <w:lang w:val="en-US"/>
              </w:rPr>
              <w:t>4.2.2 Value proposition and market positioning</w:t>
            </w:r>
            <w:r>
              <w:rPr>
                <w:noProof/>
                <w:webHidden/>
              </w:rPr>
              <w:tab/>
            </w:r>
            <w:r>
              <w:rPr>
                <w:noProof/>
                <w:webHidden/>
              </w:rPr>
              <w:fldChar w:fldCharType="begin"/>
            </w:r>
            <w:r>
              <w:rPr>
                <w:noProof/>
                <w:webHidden/>
              </w:rPr>
              <w:instrText xml:space="preserve"> PAGEREF _Toc215316313 \h </w:instrText>
            </w:r>
            <w:r>
              <w:rPr>
                <w:noProof/>
                <w:webHidden/>
              </w:rPr>
            </w:r>
            <w:r>
              <w:rPr>
                <w:noProof/>
                <w:webHidden/>
              </w:rPr>
              <w:fldChar w:fldCharType="separate"/>
            </w:r>
            <w:r>
              <w:rPr>
                <w:noProof/>
                <w:webHidden/>
              </w:rPr>
              <w:t>16</w:t>
            </w:r>
            <w:r>
              <w:rPr>
                <w:noProof/>
                <w:webHidden/>
              </w:rPr>
              <w:fldChar w:fldCharType="end"/>
            </w:r>
          </w:hyperlink>
        </w:p>
        <w:p w14:paraId="1584F549" w14:textId="7093D109" w:rsidR="0055709A" w:rsidRDefault="0055709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316314" w:history="1">
            <w:r w:rsidRPr="00172AAA">
              <w:rPr>
                <w:rStyle w:val="Hyperlink"/>
                <w:b/>
                <w:bCs/>
                <w:noProof/>
                <w:lang w:val="en-US"/>
              </w:rPr>
              <w:t>4.2.3 Risk analysis and mitigation</w:t>
            </w:r>
            <w:r>
              <w:rPr>
                <w:noProof/>
                <w:webHidden/>
              </w:rPr>
              <w:tab/>
            </w:r>
            <w:r>
              <w:rPr>
                <w:noProof/>
                <w:webHidden/>
              </w:rPr>
              <w:fldChar w:fldCharType="begin"/>
            </w:r>
            <w:r>
              <w:rPr>
                <w:noProof/>
                <w:webHidden/>
              </w:rPr>
              <w:instrText xml:space="preserve"> PAGEREF _Toc215316314 \h </w:instrText>
            </w:r>
            <w:r>
              <w:rPr>
                <w:noProof/>
                <w:webHidden/>
              </w:rPr>
            </w:r>
            <w:r>
              <w:rPr>
                <w:noProof/>
                <w:webHidden/>
              </w:rPr>
              <w:fldChar w:fldCharType="separate"/>
            </w:r>
            <w:r>
              <w:rPr>
                <w:noProof/>
                <w:webHidden/>
              </w:rPr>
              <w:t>17</w:t>
            </w:r>
            <w:r>
              <w:rPr>
                <w:noProof/>
                <w:webHidden/>
              </w:rPr>
              <w:fldChar w:fldCharType="end"/>
            </w:r>
          </w:hyperlink>
        </w:p>
        <w:p w14:paraId="28C2ACF0" w14:textId="0338351B"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15" w:history="1">
            <w:r w:rsidRPr="00172AAA">
              <w:rPr>
                <w:rStyle w:val="Hyperlink"/>
                <w:noProof/>
                <w:lang w:val="en-US"/>
              </w:rPr>
              <w:t>4.3 Implications of the study on implementation and organisations.</w:t>
            </w:r>
            <w:r>
              <w:rPr>
                <w:noProof/>
                <w:webHidden/>
              </w:rPr>
              <w:tab/>
            </w:r>
            <w:r>
              <w:rPr>
                <w:noProof/>
                <w:webHidden/>
              </w:rPr>
              <w:fldChar w:fldCharType="begin"/>
            </w:r>
            <w:r>
              <w:rPr>
                <w:noProof/>
                <w:webHidden/>
              </w:rPr>
              <w:instrText xml:space="preserve"> PAGEREF _Toc215316315 \h </w:instrText>
            </w:r>
            <w:r>
              <w:rPr>
                <w:noProof/>
                <w:webHidden/>
              </w:rPr>
            </w:r>
            <w:r>
              <w:rPr>
                <w:noProof/>
                <w:webHidden/>
              </w:rPr>
              <w:fldChar w:fldCharType="separate"/>
            </w:r>
            <w:r>
              <w:rPr>
                <w:noProof/>
                <w:webHidden/>
              </w:rPr>
              <w:t>18</w:t>
            </w:r>
            <w:r>
              <w:rPr>
                <w:noProof/>
                <w:webHidden/>
              </w:rPr>
              <w:fldChar w:fldCharType="end"/>
            </w:r>
          </w:hyperlink>
        </w:p>
        <w:p w14:paraId="4F714E99" w14:textId="7F6D6F4F" w:rsidR="0055709A" w:rsidRDefault="005570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316316" w:history="1">
            <w:r w:rsidRPr="00172AAA">
              <w:rPr>
                <w:rStyle w:val="Hyperlink"/>
                <w:b/>
                <w:bCs/>
                <w:noProof/>
                <w:lang w:val="en-US"/>
              </w:rPr>
              <w:t>5. Performance ev</w:t>
            </w:r>
            <w:r w:rsidRPr="00172AAA">
              <w:rPr>
                <w:rStyle w:val="Hyperlink"/>
                <w:b/>
                <w:bCs/>
                <w:noProof/>
                <w:lang w:val="en-US"/>
              </w:rPr>
              <w:t>a</w:t>
            </w:r>
            <w:r w:rsidRPr="00172AAA">
              <w:rPr>
                <w:rStyle w:val="Hyperlink"/>
                <w:b/>
                <w:bCs/>
                <w:noProof/>
                <w:lang w:val="en-US"/>
              </w:rPr>
              <w:t>luation frame work</w:t>
            </w:r>
            <w:r>
              <w:rPr>
                <w:noProof/>
                <w:webHidden/>
              </w:rPr>
              <w:tab/>
            </w:r>
            <w:r>
              <w:rPr>
                <w:noProof/>
                <w:webHidden/>
              </w:rPr>
              <w:fldChar w:fldCharType="begin"/>
            </w:r>
            <w:r>
              <w:rPr>
                <w:noProof/>
                <w:webHidden/>
              </w:rPr>
              <w:instrText xml:space="preserve"> PAGEREF _Toc215316316 \h </w:instrText>
            </w:r>
            <w:r>
              <w:rPr>
                <w:noProof/>
                <w:webHidden/>
              </w:rPr>
            </w:r>
            <w:r>
              <w:rPr>
                <w:noProof/>
                <w:webHidden/>
              </w:rPr>
              <w:fldChar w:fldCharType="separate"/>
            </w:r>
            <w:r>
              <w:rPr>
                <w:noProof/>
                <w:webHidden/>
              </w:rPr>
              <w:t>19</w:t>
            </w:r>
            <w:r>
              <w:rPr>
                <w:noProof/>
                <w:webHidden/>
              </w:rPr>
              <w:fldChar w:fldCharType="end"/>
            </w:r>
          </w:hyperlink>
        </w:p>
        <w:p w14:paraId="48E13480" w14:textId="4B4B7B14"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17" w:history="1">
            <w:r w:rsidRPr="00172AAA">
              <w:rPr>
                <w:rStyle w:val="Hyperlink"/>
                <w:rFonts w:eastAsia="Times New Roman"/>
                <w:noProof/>
                <w:lang w:val="en-US"/>
              </w:rPr>
              <w:t>5.1 Choice of performance framework and critique</w:t>
            </w:r>
            <w:r>
              <w:rPr>
                <w:noProof/>
                <w:webHidden/>
              </w:rPr>
              <w:tab/>
            </w:r>
            <w:r>
              <w:rPr>
                <w:noProof/>
                <w:webHidden/>
              </w:rPr>
              <w:fldChar w:fldCharType="begin"/>
            </w:r>
            <w:r>
              <w:rPr>
                <w:noProof/>
                <w:webHidden/>
              </w:rPr>
              <w:instrText xml:space="preserve"> PAGEREF _Toc215316317 \h </w:instrText>
            </w:r>
            <w:r>
              <w:rPr>
                <w:noProof/>
                <w:webHidden/>
              </w:rPr>
            </w:r>
            <w:r>
              <w:rPr>
                <w:noProof/>
                <w:webHidden/>
              </w:rPr>
              <w:fldChar w:fldCharType="separate"/>
            </w:r>
            <w:r>
              <w:rPr>
                <w:noProof/>
                <w:webHidden/>
              </w:rPr>
              <w:t>19</w:t>
            </w:r>
            <w:r>
              <w:rPr>
                <w:noProof/>
                <w:webHidden/>
              </w:rPr>
              <w:fldChar w:fldCharType="end"/>
            </w:r>
          </w:hyperlink>
        </w:p>
        <w:p w14:paraId="02A7E214" w14:textId="64E4FEF5"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18" w:history="1">
            <w:r w:rsidRPr="00172AAA">
              <w:rPr>
                <w:rStyle w:val="Hyperlink"/>
                <w:noProof/>
                <w:lang w:val="en-US"/>
              </w:rPr>
              <w:t>5.2 Design of an expansion specific Balanced Scorecard</w:t>
            </w:r>
            <w:r>
              <w:rPr>
                <w:noProof/>
                <w:webHidden/>
              </w:rPr>
              <w:tab/>
            </w:r>
            <w:r>
              <w:rPr>
                <w:noProof/>
                <w:webHidden/>
              </w:rPr>
              <w:fldChar w:fldCharType="begin"/>
            </w:r>
            <w:r>
              <w:rPr>
                <w:noProof/>
                <w:webHidden/>
              </w:rPr>
              <w:instrText xml:space="preserve"> PAGEREF _Toc215316318 \h </w:instrText>
            </w:r>
            <w:r>
              <w:rPr>
                <w:noProof/>
                <w:webHidden/>
              </w:rPr>
            </w:r>
            <w:r>
              <w:rPr>
                <w:noProof/>
                <w:webHidden/>
              </w:rPr>
              <w:fldChar w:fldCharType="separate"/>
            </w:r>
            <w:r>
              <w:rPr>
                <w:noProof/>
                <w:webHidden/>
              </w:rPr>
              <w:t>19</w:t>
            </w:r>
            <w:r>
              <w:rPr>
                <w:noProof/>
                <w:webHidden/>
              </w:rPr>
              <w:fldChar w:fldCharType="end"/>
            </w:r>
          </w:hyperlink>
        </w:p>
        <w:p w14:paraId="7D98C8FE" w14:textId="21BD442F"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19" w:history="1">
            <w:r w:rsidRPr="00172AAA">
              <w:rPr>
                <w:rStyle w:val="Hyperlink"/>
                <w:noProof/>
                <w:lang w:val="en-US"/>
              </w:rPr>
              <w:t>5.3 Use, governance and limitations.</w:t>
            </w:r>
            <w:r>
              <w:rPr>
                <w:noProof/>
                <w:webHidden/>
              </w:rPr>
              <w:tab/>
            </w:r>
            <w:r>
              <w:rPr>
                <w:noProof/>
                <w:webHidden/>
              </w:rPr>
              <w:fldChar w:fldCharType="begin"/>
            </w:r>
            <w:r>
              <w:rPr>
                <w:noProof/>
                <w:webHidden/>
              </w:rPr>
              <w:instrText xml:space="preserve"> PAGEREF _Toc215316319 \h </w:instrText>
            </w:r>
            <w:r>
              <w:rPr>
                <w:noProof/>
                <w:webHidden/>
              </w:rPr>
            </w:r>
            <w:r>
              <w:rPr>
                <w:noProof/>
                <w:webHidden/>
              </w:rPr>
              <w:fldChar w:fldCharType="separate"/>
            </w:r>
            <w:r>
              <w:rPr>
                <w:noProof/>
                <w:webHidden/>
              </w:rPr>
              <w:t>21</w:t>
            </w:r>
            <w:r>
              <w:rPr>
                <w:noProof/>
                <w:webHidden/>
              </w:rPr>
              <w:fldChar w:fldCharType="end"/>
            </w:r>
          </w:hyperlink>
        </w:p>
        <w:p w14:paraId="6963AD29" w14:textId="586F4D6E" w:rsidR="0055709A" w:rsidRDefault="005570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316320" w:history="1">
            <w:r w:rsidRPr="00172AAA">
              <w:rPr>
                <w:rStyle w:val="Hyperlink"/>
                <w:b/>
                <w:bCs/>
                <w:noProof/>
                <w:lang w:val="en-US"/>
              </w:rPr>
              <w:t>6. Conclusion and reflection</w:t>
            </w:r>
            <w:r>
              <w:rPr>
                <w:noProof/>
                <w:webHidden/>
              </w:rPr>
              <w:tab/>
            </w:r>
            <w:r>
              <w:rPr>
                <w:noProof/>
                <w:webHidden/>
              </w:rPr>
              <w:fldChar w:fldCharType="begin"/>
            </w:r>
            <w:r>
              <w:rPr>
                <w:noProof/>
                <w:webHidden/>
              </w:rPr>
              <w:instrText xml:space="preserve"> PAGEREF _Toc215316320 \h </w:instrText>
            </w:r>
            <w:r>
              <w:rPr>
                <w:noProof/>
                <w:webHidden/>
              </w:rPr>
            </w:r>
            <w:r>
              <w:rPr>
                <w:noProof/>
                <w:webHidden/>
              </w:rPr>
              <w:fldChar w:fldCharType="separate"/>
            </w:r>
            <w:r>
              <w:rPr>
                <w:noProof/>
                <w:webHidden/>
              </w:rPr>
              <w:t>21</w:t>
            </w:r>
            <w:r>
              <w:rPr>
                <w:noProof/>
                <w:webHidden/>
              </w:rPr>
              <w:fldChar w:fldCharType="end"/>
            </w:r>
          </w:hyperlink>
        </w:p>
        <w:p w14:paraId="2FF6FC99" w14:textId="60EF7AA3"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21" w:history="1">
            <w:r w:rsidRPr="00172AAA">
              <w:rPr>
                <w:rStyle w:val="Hyperlink"/>
                <w:noProof/>
                <w:lang w:val="en-US"/>
              </w:rPr>
              <w:t>6.1 Overview of strategic case and recommendations</w:t>
            </w:r>
            <w:r>
              <w:rPr>
                <w:noProof/>
                <w:webHidden/>
              </w:rPr>
              <w:tab/>
            </w:r>
            <w:r>
              <w:rPr>
                <w:noProof/>
                <w:webHidden/>
              </w:rPr>
              <w:fldChar w:fldCharType="begin"/>
            </w:r>
            <w:r>
              <w:rPr>
                <w:noProof/>
                <w:webHidden/>
              </w:rPr>
              <w:instrText xml:space="preserve"> PAGEREF _Toc215316321 \h </w:instrText>
            </w:r>
            <w:r>
              <w:rPr>
                <w:noProof/>
                <w:webHidden/>
              </w:rPr>
            </w:r>
            <w:r>
              <w:rPr>
                <w:noProof/>
                <w:webHidden/>
              </w:rPr>
              <w:fldChar w:fldCharType="separate"/>
            </w:r>
            <w:r>
              <w:rPr>
                <w:noProof/>
                <w:webHidden/>
              </w:rPr>
              <w:t>21</w:t>
            </w:r>
            <w:r>
              <w:rPr>
                <w:noProof/>
                <w:webHidden/>
              </w:rPr>
              <w:fldChar w:fldCharType="end"/>
            </w:r>
          </w:hyperlink>
        </w:p>
        <w:p w14:paraId="31455957" w14:textId="740AC867" w:rsidR="0055709A" w:rsidRDefault="0055709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316322" w:history="1">
            <w:r w:rsidRPr="00172AAA">
              <w:rPr>
                <w:rStyle w:val="Hyperlink"/>
                <w:noProof/>
                <w:lang w:val="en-US"/>
              </w:rPr>
              <w:t>6.2 Critical reflection and limitations</w:t>
            </w:r>
            <w:r>
              <w:rPr>
                <w:noProof/>
                <w:webHidden/>
              </w:rPr>
              <w:tab/>
            </w:r>
            <w:r>
              <w:rPr>
                <w:noProof/>
                <w:webHidden/>
              </w:rPr>
              <w:fldChar w:fldCharType="begin"/>
            </w:r>
            <w:r>
              <w:rPr>
                <w:noProof/>
                <w:webHidden/>
              </w:rPr>
              <w:instrText xml:space="preserve"> PAGEREF _Toc215316322 \h </w:instrText>
            </w:r>
            <w:r>
              <w:rPr>
                <w:noProof/>
                <w:webHidden/>
              </w:rPr>
            </w:r>
            <w:r>
              <w:rPr>
                <w:noProof/>
                <w:webHidden/>
              </w:rPr>
              <w:fldChar w:fldCharType="separate"/>
            </w:r>
            <w:r>
              <w:rPr>
                <w:noProof/>
                <w:webHidden/>
              </w:rPr>
              <w:t>22</w:t>
            </w:r>
            <w:r>
              <w:rPr>
                <w:noProof/>
                <w:webHidden/>
              </w:rPr>
              <w:fldChar w:fldCharType="end"/>
            </w:r>
          </w:hyperlink>
        </w:p>
        <w:p w14:paraId="4C813DB0" w14:textId="77233FBB" w:rsidR="0055709A" w:rsidRDefault="0055709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316323" w:history="1">
            <w:r w:rsidRPr="00172AAA">
              <w:rPr>
                <w:rStyle w:val="Hyperlink"/>
                <w:b/>
                <w:bCs/>
                <w:noProof/>
              </w:rPr>
              <w:t>References</w:t>
            </w:r>
            <w:r>
              <w:rPr>
                <w:noProof/>
                <w:webHidden/>
              </w:rPr>
              <w:tab/>
            </w:r>
            <w:r>
              <w:rPr>
                <w:noProof/>
                <w:webHidden/>
              </w:rPr>
              <w:fldChar w:fldCharType="begin"/>
            </w:r>
            <w:r>
              <w:rPr>
                <w:noProof/>
                <w:webHidden/>
              </w:rPr>
              <w:instrText xml:space="preserve"> PAGEREF _Toc215316323 \h </w:instrText>
            </w:r>
            <w:r>
              <w:rPr>
                <w:noProof/>
                <w:webHidden/>
              </w:rPr>
            </w:r>
            <w:r>
              <w:rPr>
                <w:noProof/>
                <w:webHidden/>
              </w:rPr>
              <w:fldChar w:fldCharType="separate"/>
            </w:r>
            <w:r>
              <w:rPr>
                <w:noProof/>
                <w:webHidden/>
              </w:rPr>
              <w:t>23</w:t>
            </w:r>
            <w:r>
              <w:rPr>
                <w:noProof/>
                <w:webHidden/>
              </w:rPr>
              <w:fldChar w:fldCharType="end"/>
            </w:r>
          </w:hyperlink>
        </w:p>
        <w:p w14:paraId="20DFECF6" w14:textId="15287609" w:rsidR="00160DDD" w:rsidRDefault="00160DDD">
          <w:r>
            <w:rPr>
              <w:b/>
              <w:bCs/>
              <w:noProof/>
            </w:rPr>
            <w:lastRenderedPageBreak/>
            <w:fldChar w:fldCharType="end"/>
          </w:r>
        </w:p>
      </w:sdtContent>
    </w:sdt>
    <w:p w14:paraId="76424D8C" w14:textId="77777777" w:rsidR="00B41CF3" w:rsidRDefault="00B41CF3" w:rsidP="00CB39A9">
      <w:pPr>
        <w:spacing w:before="100" w:beforeAutospacing="1" w:after="100" w:afterAutospacing="1" w:line="240" w:lineRule="auto"/>
        <w:rPr>
          <w:rFonts w:ascii="Times New Roman" w:eastAsia="Times New Roman" w:hAnsi="Times New Roman" w:cs="Times New Roman"/>
          <w:szCs w:val="24"/>
          <w:lang w:val="en-US"/>
        </w:rPr>
      </w:pPr>
    </w:p>
    <w:p w14:paraId="49082C02" w14:textId="1E13DE76" w:rsidR="001C2B86" w:rsidRPr="006C7299" w:rsidRDefault="001C2B86" w:rsidP="006C7299">
      <w:pPr>
        <w:pStyle w:val="Heading1"/>
        <w:spacing w:line="480" w:lineRule="auto"/>
        <w:rPr>
          <w:rFonts w:eastAsia="Times New Roman"/>
          <w:sz w:val="32"/>
          <w:szCs w:val="32"/>
          <w:lang w:val="en-US"/>
        </w:rPr>
      </w:pPr>
      <w:bookmarkStart w:id="0" w:name="_Toc215316298"/>
      <w:r w:rsidRPr="006C7299">
        <w:rPr>
          <w:rFonts w:eastAsia="Times New Roman"/>
          <w:sz w:val="32"/>
          <w:szCs w:val="32"/>
          <w:lang w:val="en-US"/>
        </w:rPr>
        <w:t>1. Introduction &amp; Context</w:t>
      </w:r>
      <w:bookmarkEnd w:id="0"/>
      <w:r w:rsidRPr="006C7299">
        <w:rPr>
          <w:rFonts w:eastAsia="Times New Roman"/>
          <w:sz w:val="32"/>
          <w:szCs w:val="32"/>
          <w:lang w:val="en-US"/>
        </w:rPr>
        <w:t xml:space="preserve"> </w:t>
      </w:r>
    </w:p>
    <w:p w14:paraId="598D202B" w14:textId="12EF10F6" w:rsidR="001C2B86" w:rsidRPr="006C7299" w:rsidRDefault="00B55ED3" w:rsidP="006C7299">
      <w:pPr>
        <w:pStyle w:val="Heading2"/>
        <w:rPr>
          <w:rFonts w:eastAsia="Times New Roman"/>
          <w:sz w:val="28"/>
          <w:szCs w:val="28"/>
          <w:lang w:val="en-US"/>
        </w:rPr>
      </w:pPr>
      <w:bookmarkStart w:id="1" w:name="_Toc215316299"/>
      <w:r w:rsidRPr="006C7299">
        <w:rPr>
          <w:rFonts w:eastAsia="Times New Roman"/>
          <w:sz w:val="28"/>
          <w:szCs w:val="28"/>
          <w:lang w:val="en-US"/>
        </w:rPr>
        <w:t xml:space="preserve">1.1 </w:t>
      </w:r>
      <w:r w:rsidR="001C2B86" w:rsidRPr="006C7299">
        <w:rPr>
          <w:rFonts w:eastAsia="Times New Roman"/>
          <w:sz w:val="28"/>
          <w:szCs w:val="28"/>
          <w:lang w:val="en-US"/>
        </w:rPr>
        <w:t>Background and contemporary strategic context</w:t>
      </w:r>
      <w:bookmarkEnd w:id="1"/>
    </w:p>
    <w:p w14:paraId="1617EA7D" w14:textId="339C62D8" w:rsidR="001C2B86" w:rsidRPr="006C7299" w:rsidRDefault="001C2B86" w:rsidP="002A47E5">
      <w:pPr>
        <w:rPr>
          <w:lang w:val="en-US"/>
        </w:rPr>
      </w:pPr>
      <w:r w:rsidRPr="006C7299">
        <w:rPr>
          <w:lang w:val="en-US"/>
        </w:rPr>
        <w:t xml:space="preserve">The impact of the COVID-19 pandemic and pressures of the cost of living and rapid digitalisation have transformed global foodservice and quick-service restaurant (QSR) markets. Studies indicate long-term trends of move towards takeaway, delivery and drive-through services facilitated by mobile ordering as consumers give increased emphasis to convenience and decreased physical contact (Lee and Ham, 2021; McKinsey &amp; Company, 2025). Simultaneously, the health and sustainability issues have become the focus of the centre stage, forcing the operators to provide healthier choices, reduce wastes, and minimise carbon footprint (Lee and Ham, 2021; Maqbool et al., 2024). Such trends have become especially apparent in such cities as Dubai, where smartphone penetration, tourism and a high number of expatriates maintain a need to provide </w:t>
      </w:r>
      <w:r w:rsidR="002A47E5" w:rsidRPr="006C7299">
        <w:rPr>
          <w:lang w:val="en-US"/>
        </w:rPr>
        <w:t>digitally enabled</w:t>
      </w:r>
      <w:r w:rsidRPr="006C7299">
        <w:rPr>
          <w:lang w:val="en-US"/>
        </w:rPr>
        <w:t xml:space="preserve"> food-on-the-go options.</w:t>
      </w:r>
    </w:p>
    <w:p w14:paraId="38E929F2" w14:textId="786A60D7" w:rsidR="001C2B86" w:rsidRPr="006C7299" w:rsidRDefault="001C2B86" w:rsidP="006C7299">
      <w:pPr>
        <w:jc w:val="both"/>
        <w:rPr>
          <w:rFonts w:cs="Arial"/>
          <w:lang w:val="en-US"/>
        </w:rPr>
      </w:pPr>
      <w:r w:rsidRPr="006C7299">
        <w:rPr>
          <w:rFonts w:cs="Arial"/>
          <w:lang w:val="en-US"/>
        </w:rPr>
        <w:t>Greggs is operating directly in this changing environment. It has gone to become one of the most successful chains of food-on-the-go companies in the UK with a centralised manufacturing with a high-density retail estate. Its business concept revolves around low-cost, convenient, and all-day food and coffee. By 2024 Greggs has over 2,600 outlets and earned over 2 billion in turnover, and it is aiming to achieve a 5-year growth target of doubling its sales by 2026 (Greggs, 2023; Greggs, 2024). This growth will require strategic agility and dynamic capabilities such as the market seeking internationalisation beyond the UK base (Teece, 2007; Johanson and Vahlne, 2009).</w:t>
      </w:r>
    </w:p>
    <w:p w14:paraId="63FAF244" w14:textId="24121025" w:rsidR="001C2B86" w:rsidRPr="00C46594" w:rsidRDefault="001C2B86" w:rsidP="00C46594">
      <w:pPr>
        <w:pStyle w:val="Heading2"/>
        <w:rPr>
          <w:rFonts w:eastAsia="Times New Roman"/>
          <w:sz w:val="28"/>
          <w:szCs w:val="28"/>
          <w:lang w:val="en-US"/>
        </w:rPr>
      </w:pPr>
      <w:bookmarkStart w:id="2" w:name="_Toc215316300"/>
      <w:r w:rsidRPr="00C46594">
        <w:rPr>
          <w:rFonts w:eastAsia="Times New Roman"/>
          <w:sz w:val="28"/>
          <w:szCs w:val="28"/>
          <w:lang w:val="en-US"/>
        </w:rPr>
        <w:t>1.2 Aim, scope and structure of the report</w:t>
      </w:r>
      <w:bookmarkEnd w:id="2"/>
    </w:p>
    <w:p w14:paraId="2D2D143D" w14:textId="77777777" w:rsidR="001C2B86" w:rsidRPr="006C7299" w:rsidRDefault="001C2B86" w:rsidP="006C7299">
      <w:pPr>
        <w:jc w:val="both"/>
        <w:rPr>
          <w:rFonts w:cs="Arial"/>
          <w:lang w:val="en-US"/>
        </w:rPr>
      </w:pPr>
      <w:r w:rsidRPr="006C7299">
        <w:rPr>
          <w:rFonts w:cs="Arial"/>
          <w:lang w:val="en-US"/>
        </w:rPr>
        <w:t xml:space="preserve">The present report elaborates an evidence-based, critical organisational expansion plan when Greggs enters in Dubai in the United Arab Emirates. This analysis uses advanced strategic management frameworks to analyse the internal resources and capabilities of Greggs, the macro-environmental and competitive factors of the </w:t>
      </w:r>
      <w:r w:rsidRPr="006C7299">
        <w:rPr>
          <w:rFonts w:cs="Arial"/>
          <w:lang w:val="en-US"/>
        </w:rPr>
        <w:lastRenderedPageBreak/>
        <w:t>foodservice industry of Dubai and strategic options to enter the international market. Based on the current discussion of dynamic capabilities and internationalisation processes, the report is not only aimed at the recommendation of a market-seeking entry mode, but also at cogitating about the way Greggs may develop agility in coping with cross-border uncertainty (Teece, 2007; Johanson and Vahlne, 2009).</w:t>
      </w:r>
    </w:p>
    <w:p w14:paraId="5FB924C2" w14:textId="0B3530A8" w:rsidR="001C2B86" w:rsidRPr="006C7299" w:rsidRDefault="001C2B86" w:rsidP="006C7299">
      <w:pPr>
        <w:jc w:val="both"/>
        <w:rPr>
          <w:rFonts w:cs="Arial"/>
          <w:lang w:val="en-US"/>
        </w:rPr>
      </w:pPr>
      <w:r w:rsidRPr="006C7299">
        <w:rPr>
          <w:rFonts w:cs="Arial"/>
          <w:lang w:val="en-US"/>
        </w:rPr>
        <w:t>The target is narrowed deliberately to include the first five years of possible operations in Dubai and is predominantly physical Greggs-branded locations backed by digital ordering and third-party delivery deals. They assume that the UK-based core operations are still financially sound and can be organisationally strong enough to sustain a controlled, learning-intensive international growth (Greggs, 2024). Through this introduction, Section 2 will profile Greggs and reason why Dubai was chosen as the target market; Section 3 will develop and review alternative entry strategies; and ultimately, Section 5 will design a performance measurement framework to track the success and overall impact of the expansion with a combination of modern thinking on the Balanced Scorecard and sustainability-oriented measures.</w:t>
      </w:r>
    </w:p>
    <w:p w14:paraId="5694A964" w14:textId="3EE6FBD5" w:rsidR="008F082F" w:rsidRPr="005B20EC" w:rsidRDefault="005B20EC" w:rsidP="005B20EC">
      <w:pPr>
        <w:pStyle w:val="Heading1"/>
        <w:spacing w:line="480" w:lineRule="auto"/>
        <w:rPr>
          <w:rFonts w:eastAsia="Times New Roman"/>
          <w:sz w:val="32"/>
          <w:szCs w:val="32"/>
          <w:lang w:val="en-US"/>
        </w:rPr>
      </w:pPr>
      <w:bookmarkStart w:id="3" w:name="_Toc215316301"/>
      <w:r w:rsidRPr="005B20EC">
        <w:rPr>
          <w:sz w:val="32"/>
          <w:szCs w:val="32"/>
          <w:lang w:val="en-US"/>
        </w:rPr>
        <w:t xml:space="preserve">2. </w:t>
      </w:r>
      <w:r w:rsidR="008F082F" w:rsidRPr="005B20EC">
        <w:rPr>
          <w:rFonts w:eastAsia="Times New Roman"/>
          <w:sz w:val="32"/>
          <w:szCs w:val="32"/>
          <w:lang w:val="en-US"/>
        </w:rPr>
        <w:t>Organisation and target market selection</w:t>
      </w:r>
      <w:bookmarkEnd w:id="3"/>
    </w:p>
    <w:p w14:paraId="6B0FBE43" w14:textId="77777777" w:rsidR="001C2B86" w:rsidRPr="00241672" w:rsidRDefault="001C2B86" w:rsidP="00241672">
      <w:pPr>
        <w:pStyle w:val="Heading2"/>
        <w:rPr>
          <w:rFonts w:eastAsia="Times New Roman"/>
          <w:sz w:val="28"/>
          <w:szCs w:val="28"/>
          <w:lang w:val="en-US"/>
        </w:rPr>
      </w:pPr>
      <w:bookmarkStart w:id="4" w:name="_Toc215316302"/>
      <w:r w:rsidRPr="00241672">
        <w:rPr>
          <w:rFonts w:eastAsia="Times New Roman"/>
          <w:sz w:val="28"/>
          <w:szCs w:val="28"/>
          <w:lang w:val="en-US"/>
        </w:rPr>
        <w:t>2.1 Overview of Greggs plc</w:t>
      </w:r>
      <w:bookmarkEnd w:id="4"/>
    </w:p>
    <w:p w14:paraId="5602FB1D" w14:textId="77777777" w:rsidR="001C2B86" w:rsidRPr="006C7299" w:rsidRDefault="001C2B86" w:rsidP="006C7299">
      <w:pPr>
        <w:jc w:val="both"/>
        <w:rPr>
          <w:rFonts w:cs="Arial"/>
          <w:lang w:val="en-US"/>
        </w:rPr>
      </w:pPr>
      <w:r w:rsidRPr="006C7299">
        <w:rPr>
          <w:rFonts w:cs="Arial"/>
          <w:lang w:val="en-US"/>
        </w:rPr>
        <w:t>Greggs plc is a retractable UK-based food-on-the-go retailer that is based in Newcastle upon Tyne. It has a vertically integrated structure and is a producer of savoury bakery goods, sandwiches, snacks and beverages in company-owned factory plants and sells them via an internal chain of shop outlets. This structure enables a value-based positioning: with the help of the supply chain control and the lack of the complexity of the menu, Greggs will be able to provide a low cost, quick service and the high-quality across high-street, travelline and roadside locations (Greggs, 2023). The brand has redesigned over the last 10 years into a foodservice operator operating all day with a growing focus on breakfast and coffee and later trade.</w:t>
      </w:r>
    </w:p>
    <w:p w14:paraId="4B685B3B" w14:textId="77777777" w:rsidR="001C2B86" w:rsidRPr="006C7299" w:rsidRDefault="001C2B86" w:rsidP="006C7299">
      <w:pPr>
        <w:jc w:val="both"/>
        <w:rPr>
          <w:rFonts w:cs="Arial"/>
          <w:lang w:val="en-US"/>
        </w:rPr>
      </w:pPr>
      <w:r w:rsidRPr="006C7299">
        <w:rPr>
          <w:rFonts w:cs="Arial"/>
          <w:lang w:val="en-US"/>
        </w:rPr>
        <w:t xml:space="preserve">Greggs has provided stability in its growth with the cost-of-living squeeze in its domestic UK market. In 2024 the firm turned over slightly above £2.0 billion and operating profit of approximately £195 million and operated on about 2,600 outlets throughout the country (Greggs, 2024). The management is already in the middle of </w:t>
      </w:r>
      <w:r w:rsidRPr="006C7299">
        <w:rPr>
          <w:rFonts w:cs="Arial"/>
          <w:lang w:val="en-US"/>
        </w:rPr>
        <w:lastRenderedPageBreak/>
        <w:t>the five-year plan to increase sales at least two times by 2026 and in the longer perspective to grow the estate to at least three times greater than 3,000 shops (Greggs, 2023; Greggs, 2024). The strategy will be integrated with the establishment of stores in format under penetration, like retail parks, petrol forecourts and transport hubs, and the permanent expansion of next generation refits, more evening activity and increasingly significant input of digital ordering and delivery deals through aggregators such as Just Eat and Uber Eats.</w:t>
      </w:r>
    </w:p>
    <w:p w14:paraId="7D80BC26" w14:textId="0C967ACB" w:rsidR="001C2B86" w:rsidRPr="006C7299" w:rsidRDefault="001C2B86" w:rsidP="006C7299">
      <w:pPr>
        <w:jc w:val="both"/>
        <w:rPr>
          <w:rFonts w:cs="Arial"/>
          <w:lang w:val="en-US"/>
        </w:rPr>
      </w:pPr>
      <w:r w:rsidRPr="006C7299">
        <w:rPr>
          <w:rFonts w:cs="Arial"/>
          <w:lang w:val="en-US"/>
        </w:rPr>
        <w:t xml:space="preserve">These developments will be based on basic resources and strengths that will be at the centre of any global expansion. The key assets are good UK brand power, product development and recipes, efficient centralised production and logistics, and growing digital </w:t>
      </w:r>
      <w:r w:rsidR="002A47E5" w:rsidRPr="006C7299">
        <w:rPr>
          <w:rFonts w:cs="Arial"/>
          <w:lang w:val="en-US"/>
        </w:rPr>
        <w:t>Gregg’s</w:t>
      </w:r>
      <w:r w:rsidRPr="006C7299">
        <w:rPr>
          <w:rFonts w:cs="Arial"/>
          <w:lang w:val="en-US"/>
        </w:rPr>
        <w:t xml:space="preserve"> ecosystem of Greggs App and delivery aggregators (Greggs, 2023; Greggs, 2024). A highly domestic footprint however exposes Greggs to UK specific demand, wage and regulation shocks, and increases costs of inputs and the pressure of ESG demands on its low-cost model and the argument of disciplined diversification outside the UK (The Guardian, 2025; Financial Times, 2025). It is this combination of cost leadership, growth and concentration risk tensions that give a valuable strategic argument to examining a measured form of internationalisation in markets where </w:t>
      </w:r>
      <w:r w:rsidR="002A47E5" w:rsidRPr="006C7299">
        <w:rPr>
          <w:rFonts w:cs="Arial"/>
          <w:lang w:val="en-US"/>
        </w:rPr>
        <w:t>Gregg’s</w:t>
      </w:r>
      <w:r w:rsidRPr="006C7299">
        <w:rPr>
          <w:rFonts w:cs="Arial"/>
          <w:lang w:val="en-US"/>
        </w:rPr>
        <w:t xml:space="preserve"> formula can be replicated and replicated.</w:t>
      </w:r>
    </w:p>
    <w:p w14:paraId="4EBEF637" w14:textId="2D1DD0F8" w:rsidR="001C2B86" w:rsidRPr="006C7299" w:rsidRDefault="001C2B86" w:rsidP="00687DE2">
      <w:pPr>
        <w:pStyle w:val="Heading2"/>
        <w:rPr>
          <w:rFonts w:eastAsia="Times New Roman"/>
          <w:lang w:val="en-US"/>
        </w:rPr>
      </w:pPr>
      <w:bookmarkStart w:id="5" w:name="_Toc215316303"/>
      <w:r w:rsidRPr="00687DE2">
        <w:rPr>
          <w:rFonts w:eastAsia="Times New Roman"/>
          <w:sz w:val="28"/>
          <w:szCs w:val="28"/>
          <w:lang w:val="en-US"/>
        </w:rPr>
        <w:t>2.2 Dubai (UAE) has been selected as target market</w:t>
      </w:r>
      <w:bookmarkEnd w:id="5"/>
    </w:p>
    <w:p w14:paraId="0EF871ED" w14:textId="77777777" w:rsidR="001C2B86" w:rsidRPr="006C7299" w:rsidRDefault="001C2B86" w:rsidP="006C7299">
      <w:pPr>
        <w:jc w:val="both"/>
        <w:rPr>
          <w:rFonts w:cs="Arial"/>
          <w:lang w:val="en-US"/>
        </w:rPr>
      </w:pPr>
      <w:r w:rsidRPr="006C7299">
        <w:rPr>
          <w:rFonts w:cs="Arial"/>
          <w:lang w:val="en-US"/>
        </w:rPr>
        <w:t xml:space="preserve">Dubai has a mixture of both economic size, consumers dynamism and institutional backing of an international food-on-the-go company like Greggs. GDP of the emirate currently amounts to approximately AED 429 billion and over 90 per cent of the population is a foreigner, which is indicative of the city being open and globally interconnected (Economy of Dubai, 2024; USDA, 2024). In 2023, over 17 million international overnight visitors attested to the fact that Dubai is a significant tourism and business destination, and the numbers are bound to increase in 2024 (Dubai DET, 2024; Dubai DET, 2025). This combination of incomes, tourism and high concentration of expatriates workforce, places demand in the malls, transport hubs and office areas where time-strapped consumers turn to convenient and branded foodservice. According to the industry, the total UAE foodservice market is estimated to be approximately US8.5 billion in 2024 and is projected to be a strong one this decade </w:t>
      </w:r>
      <w:r w:rsidRPr="006C7299">
        <w:rPr>
          <w:rFonts w:cs="Arial"/>
          <w:lang w:val="en-US"/>
        </w:rPr>
        <w:lastRenderedPageBreak/>
        <w:t>with Dubai serving as a major entry point of imported food and beverage products (USDA, 2024; USDA, 2025).</w:t>
      </w:r>
    </w:p>
    <w:p w14:paraId="6C3751AF" w14:textId="77777777" w:rsidR="001C2B86" w:rsidRPr="006C7299" w:rsidRDefault="001C2B86" w:rsidP="006C7299">
      <w:pPr>
        <w:jc w:val="both"/>
        <w:rPr>
          <w:rFonts w:cs="Arial"/>
          <w:lang w:val="en-US"/>
        </w:rPr>
      </w:pPr>
      <w:r w:rsidRPr="006C7299">
        <w:rPr>
          <w:rFonts w:cs="Arial"/>
          <w:lang w:val="en-US"/>
        </w:rPr>
        <w:t>Strategically-fitwise, Dubai is more aligned with the food-on-the-go proposition of Greggs. The urban compactness of the city, air-conditioned shopping malls, public transport, and office and shopping construction favour high tenure grab-and-go. Long working hours, a large number of young professionals, and psychological levels of smart phone penetration that support high levels of the use of the delivery aggregators and digital ordering shape consumers behaviour (Restroworks, 2025; McKinsey and Company, 2024). Meanwhile, the market needs to change: halal compliance is mandatory, pork is forbidden, and the preferences of cuisine are an amalgamation of the Middle Eastern, South Asian, and Western influences. In the case of Greggs, it means taking advantage of its low-cost model of operations and product development as well as localising recipes and pricing and brand communication to achieve the local norms and expectations.</w:t>
      </w:r>
    </w:p>
    <w:p w14:paraId="2EA4B743" w14:textId="29F809A1" w:rsidR="00E40B77" w:rsidRDefault="001C2B86" w:rsidP="006C7299">
      <w:pPr>
        <w:jc w:val="both"/>
        <w:rPr>
          <w:rFonts w:cs="Arial"/>
          <w:lang w:val="en-US"/>
        </w:rPr>
      </w:pPr>
      <w:r w:rsidRPr="006C7299">
        <w:rPr>
          <w:rFonts w:cs="Arial"/>
          <w:lang w:val="en-US"/>
        </w:rPr>
        <w:t>Using the CAGE distance model, one can emphasise that in comparison with the UK, Dubai is an economically and geographically attractive country that integrates cultural and administrative distance, such as various legal frameworks, religious practises and labour regulations (Ghemawat, 2001). The UAE is also rated highly on business fundamentals and logistics performance compared to other disputes like Saudi Arabia and Qatar, and has a more cosmopolitan and tourism-oriented environment, as well as well-established avenues of foreign franchisors (Agility, 2024; Gulf Magazine, 2025). Despite the fact that psychic distance and liability of foreignness are still concrete, the business environment in English and the concentration of globally mobile customers enables Dubai to be a justifiable first GCC foothold and a pilot study of Greggs international expansion (Johanson and Vahlne, 2009).</w:t>
      </w:r>
    </w:p>
    <w:p w14:paraId="59B5069C" w14:textId="16169389" w:rsidR="00EC5C31" w:rsidRPr="00EC5C31" w:rsidRDefault="00EC5C31" w:rsidP="00EC5C31">
      <w:pPr>
        <w:rPr>
          <w:rFonts w:cs="Arial"/>
          <w:b/>
          <w:bCs/>
        </w:rPr>
      </w:pPr>
      <w:r w:rsidRPr="00EC5C31">
        <w:rPr>
          <w:rFonts w:cs="Arial"/>
          <w:b/>
          <w:bCs/>
        </w:rPr>
        <w:t xml:space="preserve">Table 2 </w:t>
      </w:r>
      <w:r>
        <w:rPr>
          <w:rFonts w:cs="Arial"/>
          <w:b/>
          <w:bCs/>
        </w:rPr>
        <w:t xml:space="preserve"> - </w:t>
      </w:r>
      <w:r w:rsidRPr="00EC5C31">
        <w:rPr>
          <w:rFonts w:cs="Arial"/>
          <w:b/>
          <w:bCs/>
        </w:rPr>
        <w:t xml:space="preserve">Market screening: Dubai vs Saudi vs Qatar </w:t>
      </w:r>
    </w:p>
    <w:tbl>
      <w:tblPr>
        <w:tblStyle w:val="GridTable5Dark-Accent1"/>
        <w:tblW w:w="0" w:type="auto"/>
        <w:tblLook w:val="04A0" w:firstRow="1" w:lastRow="0" w:firstColumn="1" w:lastColumn="0" w:noHBand="0" w:noVBand="1"/>
      </w:tblPr>
      <w:tblGrid>
        <w:gridCol w:w="2389"/>
        <w:gridCol w:w="1366"/>
        <w:gridCol w:w="2168"/>
        <w:gridCol w:w="1398"/>
        <w:gridCol w:w="1695"/>
      </w:tblGrid>
      <w:tr w:rsidR="00EC5C31" w14:paraId="65B47BF4" w14:textId="77777777" w:rsidTr="00EC5C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CB625F" w14:textId="77777777" w:rsidR="00EC5C31" w:rsidRPr="00EC5C31" w:rsidRDefault="00EC5C31">
            <w:pPr>
              <w:jc w:val="center"/>
              <w:rPr>
                <w:rFonts w:cs="Arial"/>
              </w:rPr>
            </w:pPr>
            <w:r w:rsidRPr="00EC5C31">
              <w:rPr>
                <w:rFonts w:cs="Arial"/>
              </w:rPr>
              <w:t>Criterion</w:t>
            </w:r>
          </w:p>
        </w:tc>
        <w:tc>
          <w:tcPr>
            <w:tcW w:w="0" w:type="auto"/>
            <w:hideMark/>
          </w:tcPr>
          <w:p w14:paraId="658985DD" w14:textId="77777777" w:rsidR="00EC5C31" w:rsidRPr="00EC5C31" w:rsidRDefault="00EC5C31">
            <w:pPr>
              <w:jc w:val="center"/>
              <w:cnfStyle w:val="100000000000" w:firstRow="1" w:lastRow="0" w:firstColumn="0" w:lastColumn="0" w:oddVBand="0" w:evenVBand="0" w:oddHBand="0" w:evenHBand="0" w:firstRowFirstColumn="0" w:firstRowLastColumn="0" w:lastRowFirstColumn="0" w:lastRowLastColumn="0"/>
              <w:rPr>
                <w:rFonts w:cs="Arial"/>
              </w:rPr>
            </w:pPr>
            <w:r w:rsidRPr="00EC5C31">
              <w:rPr>
                <w:rFonts w:cs="Arial"/>
              </w:rPr>
              <w:t>Dubai (UAE)</w:t>
            </w:r>
          </w:p>
        </w:tc>
        <w:tc>
          <w:tcPr>
            <w:tcW w:w="0" w:type="auto"/>
            <w:hideMark/>
          </w:tcPr>
          <w:p w14:paraId="67E167B1" w14:textId="77777777" w:rsidR="00EC5C31" w:rsidRPr="00EC5C31" w:rsidRDefault="00EC5C31">
            <w:pPr>
              <w:jc w:val="center"/>
              <w:cnfStyle w:val="100000000000" w:firstRow="1" w:lastRow="0" w:firstColumn="0" w:lastColumn="0" w:oddVBand="0" w:evenVBand="0" w:oddHBand="0" w:evenHBand="0" w:firstRowFirstColumn="0" w:firstRowLastColumn="0" w:lastRowFirstColumn="0" w:lastRowLastColumn="0"/>
              <w:rPr>
                <w:rFonts w:cs="Arial"/>
              </w:rPr>
            </w:pPr>
            <w:r w:rsidRPr="00EC5C31">
              <w:rPr>
                <w:rFonts w:cs="Arial"/>
              </w:rPr>
              <w:t>Riyadh/Jeddah (Saudi Arabia)</w:t>
            </w:r>
          </w:p>
        </w:tc>
        <w:tc>
          <w:tcPr>
            <w:tcW w:w="0" w:type="auto"/>
            <w:hideMark/>
          </w:tcPr>
          <w:p w14:paraId="4D53ED88" w14:textId="77777777" w:rsidR="00EC5C31" w:rsidRPr="00EC5C31" w:rsidRDefault="00EC5C31">
            <w:pPr>
              <w:jc w:val="center"/>
              <w:cnfStyle w:val="100000000000" w:firstRow="1" w:lastRow="0" w:firstColumn="0" w:lastColumn="0" w:oddVBand="0" w:evenVBand="0" w:oddHBand="0" w:evenHBand="0" w:firstRowFirstColumn="0" w:firstRowLastColumn="0" w:lastRowFirstColumn="0" w:lastRowLastColumn="0"/>
              <w:rPr>
                <w:rFonts w:cs="Arial"/>
              </w:rPr>
            </w:pPr>
            <w:r w:rsidRPr="00EC5C31">
              <w:rPr>
                <w:rFonts w:cs="Arial"/>
              </w:rPr>
              <w:t>Doha (Qatar)</w:t>
            </w:r>
          </w:p>
        </w:tc>
        <w:tc>
          <w:tcPr>
            <w:tcW w:w="0" w:type="auto"/>
            <w:hideMark/>
          </w:tcPr>
          <w:p w14:paraId="27CC5A64" w14:textId="77777777" w:rsidR="00EC5C31" w:rsidRPr="00EC5C31" w:rsidRDefault="00EC5C31">
            <w:pPr>
              <w:jc w:val="center"/>
              <w:cnfStyle w:val="100000000000" w:firstRow="1" w:lastRow="0" w:firstColumn="0" w:lastColumn="0" w:oddVBand="0" w:evenVBand="0" w:oddHBand="0" w:evenHBand="0" w:firstRowFirstColumn="0" w:firstRowLastColumn="0" w:lastRowFirstColumn="0" w:lastRowLastColumn="0"/>
              <w:rPr>
                <w:rFonts w:cs="Arial"/>
              </w:rPr>
            </w:pPr>
            <w:r w:rsidRPr="00EC5C31">
              <w:rPr>
                <w:rFonts w:cs="Arial"/>
              </w:rPr>
              <w:t>Comment / Implication for Greggs</w:t>
            </w:r>
          </w:p>
        </w:tc>
      </w:tr>
      <w:tr w:rsidR="00EC5C31" w14:paraId="6D380245" w14:textId="77777777" w:rsidTr="00EC5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04205F" w14:textId="77777777" w:rsidR="00EC5C31" w:rsidRDefault="00EC5C31">
            <w:pPr>
              <w:rPr>
                <w:b w:val="0"/>
                <w:bCs w:val="0"/>
              </w:rPr>
            </w:pPr>
            <w:r>
              <w:lastRenderedPageBreak/>
              <w:t>GDP per capita (approx.)</w:t>
            </w:r>
          </w:p>
        </w:tc>
        <w:tc>
          <w:tcPr>
            <w:tcW w:w="0" w:type="auto"/>
            <w:hideMark/>
          </w:tcPr>
          <w:p w14:paraId="315AC975" w14:textId="77777777" w:rsidR="00EC5C31" w:rsidRDefault="00EC5C31">
            <w:pPr>
              <w:cnfStyle w:val="000000100000" w:firstRow="0" w:lastRow="0" w:firstColumn="0" w:lastColumn="0" w:oddVBand="0" w:evenVBand="0" w:oddHBand="1" w:evenHBand="0" w:firstRowFirstColumn="0" w:firstRowLastColumn="0" w:lastRowFirstColumn="0" w:lastRowLastColumn="0"/>
            </w:pPr>
            <w:r>
              <w:t>Very high</w:t>
            </w:r>
          </w:p>
        </w:tc>
        <w:tc>
          <w:tcPr>
            <w:tcW w:w="0" w:type="auto"/>
            <w:hideMark/>
          </w:tcPr>
          <w:p w14:paraId="02EF6B65" w14:textId="77777777" w:rsidR="00EC5C31" w:rsidRDefault="00EC5C31">
            <w:pPr>
              <w:cnfStyle w:val="000000100000" w:firstRow="0" w:lastRow="0" w:firstColumn="0" w:lastColumn="0" w:oddVBand="0" w:evenVBand="0" w:oddHBand="1" w:evenHBand="0" w:firstRowFirstColumn="0" w:firstRowLastColumn="0" w:lastRowFirstColumn="0" w:lastRowLastColumn="0"/>
            </w:pPr>
            <w:r>
              <w:t>High</w:t>
            </w:r>
          </w:p>
        </w:tc>
        <w:tc>
          <w:tcPr>
            <w:tcW w:w="0" w:type="auto"/>
            <w:hideMark/>
          </w:tcPr>
          <w:p w14:paraId="35F7A5A8" w14:textId="77777777" w:rsidR="00EC5C31" w:rsidRDefault="00EC5C31">
            <w:pPr>
              <w:cnfStyle w:val="000000100000" w:firstRow="0" w:lastRow="0" w:firstColumn="0" w:lastColumn="0" w:oddVBand="0" w:evenVBand="0" w:oddHBand="1" w:evenHBand="0" w:firstRowFirstColumn="0" w:firstRowLastColumn="0" w:lastRowFirstColumn="0" w:lastRowLastColumn="0"/>
            </w:pPr>
            <w:r>
              <w:t>Very high</w:t>
            </w:r>
          </w:p>
        </w:tc>
        <w:tc>
          <w:tcPr>
            <w:tcW w:w="0" w:type="auto"/>
            <w:hideMark/>
          </w:tcPr>
          <w:p w14:paraId="789AFF10" w14:textId="77777777" w:rsidR="00EC5C31" w:rsidRDefault="00EC5C31">
            <w:pPr>
              <w:cnfStyle w:val="000000100000" w:firstRow="0" w:lastRow="0" w:firstColumn="0" w:lastColumn="0" w:oddVBand="0" w:evenVBand="0" w:oddHBand="1" w:evenHBand="0" w:firstRowFirstColumn="0" w:firstRowLastColumn="0" w:lastRowFirstColumn="0" w:lastRowLastColumn="0"/>
            </w:pPr>
            <w:r>
              <w:t>All three are affluent markets</w:t>
            </w:r>
          </w:p>
        </w:tc>
      </w:tr>
      <w:tr w:rsidR="00EC5C31" w14:paraId="466EB629" w14:textId="77777777" w:rsidTr="00EC5C31">
        <w:tc>
          <w:tcPr>
            <w:cnfStyle w:val="001000000000" w:firstRow="0" w:lastRow="0" w:firstColumn="1" w:lastColumn="0" w:oddVBand="0" w:evenVBand="0" w:oddHBand="0" w:evenHBand="0" w:firstRowFirstColumn="0" w:firstRowLastColumn="0" w:lastRowFirstColumn="0" w:lastRowLastColumn="0"/>
            <w:tcW w:w="0" w:type="auto"/>
            <w:hideMark/>
          </w:tcPr>
          <w:p w14:paraId="18BBFBD8" w14:textId="77777777" w:rsidR="00EC5C31" w:rsidRDefault="00EC5C31">
            <w:r>
              <w:t>Expatriate share of population</w:t>
            </w:r>
          </w:p>
        </w:tc>
        <w:tc>
          <w:tcPr>
            <w:tcW w:w="0" w:type="auto"/>
            <w:hideMark/>
          </w:tcPr>
          <w:p w14:paraId="7EB93ACC" w14:textId="77777777" w:rsidR="00EC5C31" w:rsidRDefault="00EC5C31">
            <w:pPr>
              <w:cnfStyle w:val="000000000000" w:firstRow="0" w:lastRow="0" w:firstColumn="0" w:lastColumn="0" w:oddVBand="0" w:evenVBand="0" w:oddHBand="0" w:evenHBand="0" w:firstRowFirstColumn="0" w:firstRowLastColumn="0" w:lastRowFirstColumn="0" w:lastRowLastColumn="0"/>
            </w:pPr>
            <w:r>
              <w:t>Very high (&gt;85%)</w:t>
            </w:r>
          </w:p>
        </w:tc>
        <w:tc>
          <w:tcPr>
            <w:tcW w:w="0" w:type="auto"/>
            <w:hideMark/>
          </w:tcPr>
          <w:p w14:paraId="2311A031" w14:textId="77777777" w:rsidR="00EC5C31" w:rsidRDefault="00EC5C31">
            <w:pPr>
              <w:cnfStyle w:val="000000000000" w:firstRow="0" w:lastRow="0" w:firstColumn="0" w:lastColumn="0" w:oddVBand="0" w:evenVBand="0" w:oddHBand="0" w:evenHBand="0" w:firstRowFirstColumn="0" w:firstRowLastColumn="0" w:lastRowFirstColumn="0" w:lastRowLastColumn="0"/>
            </w:pPr>
            <w:r>
              <w:t>Moderate</w:t>
            </w:r>
          </w:p>
        </w:tc>
        <w:tc>
          <w:tcPr>
            <w:tcW w:w="0" w:type="auto"/>
            <w:hideMark/>
          </w:tcPr>
          <w:p w14:paraId="763B49D8" w14:textId="77777777" w:rsidR="00EC5C31" w:rsidRDefault="00EC5C31">
            <w:pPr>
              <w:cnfStyle w:val="000000000000" w:firstRow="0" w:lastRow="0" w:firstColumn="0" w:lastColumn="0" w:oddVBand="0" w:evenVBand="0" w:oddHBand="0" w:evenHBand="0" w:firstRowFirstColumn="0" w:firstRowLastColumn="0" w:lastRowFirstColumn="0" w:lastRowLastColumn="0"/>
            </w:pPr>
            <w:r>
              <w:t>Very high</w:t>
            </w:r>
          </w:p>
        </w:tc>
        <w:tc>
          <w:tcPr>
            <w:tcW w:w="0" w:type="auto"/>
            <w:hideMark/>
          </w:tcPr>
          <w:p w14:paraId="5B8CDFB3" w14:textId="77777777" w:rsidR="00EC5C31" w:rsidRDefault="00EC5C31">
            <w:pPr>
              <w:cnfStyle w:val="000000000000" w:firstRow="0" w:lastRow="0" w:firstColumn="0" w:lastColumn="0" w:oddVBand="0" w:evenVBand="0" w:oddHBand="0" w:evenHBand="0" w:firstRowFirstColumn="0" w:firstRowLastColumn="0" w:lastRowFirstColumn="0" w:lastRowLastColumn="0"/>
            </w:pPr>
            <w:r>
              <w:t>Dubai/Doha more globally diverse</w:t>
            </w:r>
          </w:p>
        </w:tc>
      </w:tr>
      <w:tr w:rsidR="00EC5C31" w14:paraId="24ABA1E7" w14:textId="77777777" w:rsidTr="00EC5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4F1E76" w14:textId="77777777" w:rsidR="00EC5C31" w:rsidRDefault="00EC5C31">
            <w:r>
              <w:t>Tourism volume</w:t>
            </w:r>
          </w:p>
        </w:tc>
        <w:tc>
          <w:tcPr>
            <w:tcW w:w="0" w:type="auto"/>
            <w:hideMark/>
          </w:tcPr>
          <w:p w14:paraId="165046FF" w14:textId="77777777" w:rsidR="00EC5C31" w:rsidRDefault="00EC5C31">
            <w:pPr>
              <w:cnfStyle w:val="000000100000" w:firstRow="0" w:lastRow="0" w:firstColumn="0" w:lastColumn="0" w:oddVBand="0" w:evenVBand="0" w:oddHBand="1" w:evenHBand="0" w:firstRowFirstColumn="0" w:firstRowLastColumn="0" w:lastRowFirstColumn="0" w:lastRowLastColumn="0"/>
            </w:pPr>
            <w:r>
              <w:t>Very high (global hub city)</w:t>
            </w:r>
          </w:p>
        </w:tc>
        <w:tc>
          <w:tcPr>
            <w:tcW w:w="0" w:type="auto"/>
            <w:hideMark/>
          </w:tcPr>
          <w:p w14:paraId="20C06BF8" w14:textId="77777777" w:rsidR="00EC5C31" w:rsidRDefault="00EC5C31">
            <w:pPr>
              <w:cnfStyle w:val="000000100000" w:firstRow="0" w:lastRow="0" w:firstColumn="0" w:lastColumn="0" w:oddVBand="0" w:evenVBand="0" w:oddHBand="1" w:evenHBand="0" w:firstRowFirstColumn="0" w:firstRowLastColumn="0" w:lastRowFirstColumn="0" w:lastRowLastColumn="0"/>
            </w:pPr>
            <w:r>
              <w:t>Lower, more business/religious tourism</w:t>
            </w:r>
          </w:p>
        </w:tc>
        <w:tc>
          <w:tcPr>
            <w:tcW w:w="0" w:type="auto"/>
            <w:hideMark/>
          </w:tcPr>
          <w:p w14:paraId="10FADFF0" w14:textId="77777777" w:rsidR="00EC5C31" w:rsidRDefault="00EC5C31">
            <w:pPr>
              <w:cnfStyle w:val="000000100000" w:firstRow="0" w:lastRow="0" w:firstColumn="0" w:lastColumn="0" w:oddVBand="0" w:evenVBand="0" w:oddHBand="1" w:evenHBand="0" w:firstRowFirstColumn="0" w:firstRowLastColumn="0" w:lastRowFirstColumn="0" w:lastRowLastColumn="0"/>
            </w:pPr>
            <w:r>
              <w:t>Moderate</w:t>
            </w:r>
          </w:p>
        </w:tc>
        <w:tc>
          <w:tcPr>
            <w:tcW w:w="0" w:type="auto"/>
            <w:hideMark/>
          </w:tcPr>
          <w:p w14:paraId="036DC1AC" w14:textId="77777777" w:rsidR="00EC5C31" w:rsidRDefault="00EC5C31">
            <w:pPr>
              <w:cnfStyle w:val="000000100000" w:firstRow="0" w:lastRow="0" w:firstColumn="0" w:lastColumn="0" w:oddVBand="0" w:evenVBand="0" w:oddHBand="1" w:evenHBand="0" w:firstRowFirstColumn="0" w:firstRowLastColumn="0" w:lastRowFirstColumn="0" w:lastRowLastColumn="0"/>
            </w:pPr>
            <w:r>
              <w:t>Dubai offers strongest tourism-driven demand</w:t>
            </w:r>
          </w:p>
        </w:tc>
      </w:tr>
      <w:tr w:rsidR="00EC5C31" w14:paraId="52E31CB1" w14:textId="77777777" w:rsidTr="00EC5C31">
        <w:tc>
          <w:tcPr>
            <w:cnfStyle w:val="001000000000" w:firstRow="0" w:lastRow="0" w:firstColumn="1" w:lastColumn="0" w:oddVBand="0" w:evenVBand="0" w:oddHBand="0" w:evenHBand="0" w:firstRowFirstColumn="0" w:firstRowLastColumn="0" w:lastRowFirstColumn="0" w:lastRowLastColumn="0"/>
            <w:tcW w:w="0" w:type="auto"/>
            <w:hideMark/>
          </w:tcPr>
          <w:p w14:paraId="676EDA28" w14:textId="77777777" w:rsidR="00EC5C31" w:rsidRDefault="00EC5C31">
            <w:r>
              <w:t>Ease of doing business / FDI</w:t>
            </w:r>
          </w:p>
        </w:tc>
        <w:tc>
          <w:tcPr>
            <w:tcW w:w="0" w:type="auto"/>
            <w:hideMark/>
          </w:tcPr>
          <w:p w14:paraId="22B41610" w14:textId="77777777" w:rsidR="00EC5C31" w:rsidRDefault="00EC5C31">
            <w:pPr>
              <w:cnfStyle w:val="000000000000" w:firstRow="0" w:lastRow="0" w:firstColumn="0" w:lastColumn="0" w:oddVBand="0" w:evenVBand="0" w:oddHBand="0" w:evenHBand="0" w:firstRowFirstColumn="0" w:firstRowLastColumn="0" w:lastRowFirstColumn="0" w:lastRowLastColumn="0"/>
            </w:pPr>
            <w:r>
              <w:t>High</w:t>
            </w:r>
          </w:p>
        </w:tc>
        <w:tc>
          <w:tcPr>
            <w:tcW w:w="0" w:type="auto"/>
            <w:hideMark/>
          </w:tcPr>
          <w:p w14:paraId="71BF1C02" w14:textId="77777777" w:rsidR="00EC5C31" w:rsidRDefault="00EC5C31">
            <w:pPr>
              <w:cnfStyle w:val="000000000000" w:firstRow="0" w:lastRow="0" w:firstColumn="0" w:lastColumn="0" w:oddVBand="0" w:evenVBand="0" w:oddHBand="0" w:evenHBand="0" w:firstRowFirstColumn="0" w:firstRowLastColumn="0" w:lastRowFirstColumn="0" w:lastRowLastColumn="0"/>
            </w:pPr>
            <w:r>
              <w:t>Improving but more restrictive historically</w:t>
            </w:r>
          </w:p>
        </w:tc>
        <w:tc>
          <w:tcPr>
            <w:tcW w:w="0" w:type="auto"/>
            <w:hideMark/>
          </w:tcPr>
          <w:p w14:paraId="4BA25B68" w14:textId="77777777" w:rsidR="00EC5C31" w:rsidRDefault="00EC5C31">
            <w:pPr>
              <w:cnfStyle w:val="000000000000" w:firstRow="0" w:lastRow="0" w:firstColumn="0" w:lastColumn="0" w:oddVBand="0" w:evenVBand="0" w:oddHBand="0" w:evenHBand="0" w:firstRowFirstColumn="0" w:firstRowLastColumn="0" w:lastRowFirstColumn="0" w:lastRowLastColumn="0"/>
            </w:pPr>
            <w:r>
              <w:t>High</w:t>
            </w:r>
          </w:p>
        </w:tc>
        <w:tc>
          <w:tcPr>
            <w:tcW w:w="0" w:type="auto"/>
            <w:hideMark/>
          </w:tcPr>
          <w:p w14:paraId="2E99872A" w14:textId="77777777" w:rsidR="00EC5C31" w:rsidRDefault="00EC5C31">
            <w:pPr>
              <w:cnfStyle w:val="000000000000" w:firstRow="0" w:lastRow="0" w:firstColumn="0" w:lastColumn="0" w:oddVBand="0" w:evenVBand="0" w:oddHBand="0" w:evenHBand="0" w:firstRowFirstColumn="0" w:firstRowLastColumn="0" w:lastRowFirstColumn="0" w:lastRowLastColumn="0"/>
            </w:pPr>
            <w:r>
              <w:t>Dubai relatively open, franchise-friendly</w:t>
            </w:r>
          </w:p>
        </w:tc>
      </w:tr>
      <w:tr w:rsidR="00EC5C31" w14:paraId="32F78CDA" w14:textId="77777777" w:rsidTr="00EC5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D0823F" w14:textId="77777777" w:rsidR="00EC5C31" w:rsidRDefault="00EC5C31">
            <w:r>
              <w:t>Cultural/regulatory distance</w:t>
            </w:r>
          </w:p>
        </w:tc>
        <w:tc>
          <w:tcPr>
            <w:tcW w:w="0" w:type="auto"/>
            <w:hideMark/>
          </w:tcPr>
          <w:p w14:paraId="7321A3D1" w14:textId="77777777" w:rsidR="00EC5C31" w:rsidRDefault="00EC5C31">
            <w:pPr>
              <w:cnfStyle w:val="000000100000" w:firstRow="0" w:lastRow="0" w:firstColumn="0" w:lastColumn="0" w:oddVBand="0" w:evenVBand="0" w:oddHBand="1" w:evenHBand="0" w:firstRowFirstColumn="0" w:firstRowLastColumn="0" w:lastRowFirstColumn="0" w:lastRowLastColumn="0"/>
            </w:pPr>
            <w:r>
              <w:t>High but English widely used</w:t>
            </w:r>
          </w:p>
        </w:tc>
        <w:tc>
          <w:tcPr>
            <w:tcW w:w="0" w:type="auto"/>
            <w:hideMark/>
          </w:tcPr>
          <w:p w14:paraId="6C968FB8" w14:textId="77777777" w:rsidR="00EC5C31" w:rsidRDefault="00EC5C31">
            <w:pPr>
              <w:cnfStyle w:val="000000100000" w:firstRow="0" w:lastRow="0" w:firstColumn="0" w:lastColumn="0" w:oddVBand="0" w:evenVBand="0" w:oddHBand="1" w:evenHBand="0" w:firstRowFirstColumn="0" w:firstRowLastColumn="0" w:lastRowFirstColumn="0" w:lastRowLastColumn="0"/>
            </w:pPr>
            <w:r>
              <w:t>Higher, more conservative</w:t>
            </w:r>
          </w:p>
        </w:tc>
        <w:tc>
          <w:tcPr>
            <w:tcW w:w="0" w:type="auto"/>
            <w:hideMark/>
          </w:tcPr>
          <w:p w14:paraId="67147D5A" w14:textId="77777777" w:rsidR="00EC5C31" w:rsidRDefault="00EC5C31">
            <w:pPr>
              <w:cnfStyle w:val="000000100000" w:firstRow="0" w:lastRow="0" w:firstColumn="0" w:lastColumn="0" w:oddVBand="0" w:evenVBand="0" w:oddHBand="1" w:evenHBand="0" w:firstRowFirstColumn="0" w:firstRowLastColumn="0" w:lastRowFirstColumn="0" w:lastRowLastColumn="0"/>
            </w:pPr>
            <w:r>
              <w:t>High</w:t>
            </w:r>
          </w:p>
        </w:tc>
        <w:tc>
          <w:tcPr>
            <w:tcW w:w="0" w:type="auto"/>
            <w:hideMark/>
          </w:tcPr>
          <w:p w14:paraId="1819DB1C" w14:textId="77777777" w:rsidR="00EC5C31" w:rsidRDefault="00EC5C31">
            <w:pPr>
              <w:cnfStyle w:val="000000100000" w:firstRow="0" w:lastRow="0" w:firstColumn="0" w:lastColumn="0" w:oddVBand="0" w:evenVBand="0" w:oddHBand="1" w:evenHBand="0" w:firstRowFirstColumn="0" w:firstRowLastColumn="0" w:lastRowFirstColumn="0" w:lastRowLastColumn="0"/>
            </w:pPr>
            <w:r>
              <w:t>Dubai more cosmopolitan entry point</w:t>
            </w:r>
          </w:p>
        </w:tc>
      </w:tr>
      <w:tr w:rsidR="00EC5C31" w14:paraId="5077283C" w14:textId="77777777" w:rsidTr="00EC5C31">
        <w:tc>
          <w:tcPr>
            <w:cnfStyle w:val="001000000000" w:firstRow="0" w:lastRow="0" w:firstColumn="1" w:lastColumn="0" w:oddVBand="0" w:evenVBand="0" w:oddHBand="0" w:evenHBand="0" w:firstRowFirstColumn="0" w:firstRowLastColumn="0" w:lastRowFirstColumn="0" w:lastRowLastColumn="0"/>
            <w:tcW w:w="0" w:type="auto"/>
            <w:hideMark/>
          </w:tcPr>
          <w:p w14:paraId="5DE34C34" w14:textId="77777777" w:rsidR="00EC5C31" w:rsidRDefault="00EC5C31">
            <w:r>
              <w:t>Foodservice infrastructure</w:t>
            </w:r>
          </w:p>
        </w:tc>
        <w:tc>
          <w:tcPr>
            <w:tcW w:w="0" w:type="auto"/>
            <w:hideMark/>
          </w:tcPr>
          <w:p w14:paraId="73EF4BE4" w14:textId="77777777" w:rsidR="00EC5C31" w:rsidRDefault="00EC5C31">
            <w:pPr>
              <w:cnfStyle w:val="000000000000" w:firstRow="0" w:lastRow="0" w:firstColumn="0" w:lastColumn="0" w:oddVBand="0" w:evenVBand="0" w:oddHBand="0" w:evenHBand="0" w:firstRowFirstColumn="0" w:firstRowLastColumn="0" w:lastRowFirstColumn="0" w:lastRowLastColumn="0"/>
            </w:pPr>
            <w:r>
              <w:t>Highly developed malls &amp; chains</w:t>
            </w:r>
          </w:p>
        </w:tc>
        <w:tc>
          <w:tcPr>
            <w:tcW w:w="0" w:type="auto"/>
            <w:hideMark/>
          </w:tcPr>
          <w:p w14:paraId="3E3F6456" w14:textId="77777777" w:rsidR="00EC5C31" w:rsidRDefault="00EC5C31">
            <w:pPr>
              <w:cnfStyle w:val="000000000000" w:firstRow="0" w:lastRow="0" w:firstColumn="0" w:lastColumn="0" w:oddVBand="0" w:evenVBand="0" w:oddHBand="0" w:evenHBand="0" w:firstRowFirstColumn="0" w:firstRowLastColumn="0" w:lastRowFirstColumn="0" w:lastRowLastColumn="0"/>
            </w:pPr>
            <w:r>
              <w:t>Developed but concentrated</w:t>
            </w:r>
          </w:p>
        </w:tc>
        <w:tc>
          <w:tcPr>
            <w:tcW w:w="0" w:type="auto"/>
            <w:hideMark/>
          </w:tcPr>
          <w:p w14:paraId="20F9107C" w14:textId="77777777" w:rsidR="00EC5C31" w:rsidRDefault="00EC5C31">
            <w:pPr>
              <w:cnfStyle w:val="000000000000" w:firstRow="0" w:lastRow="0" w:firstColumn="0" w:lastColumn="0" w:oddVBand="0" w:evenVBand="0" w:oddHBand="0" w:evenHBand="0" w:firstRowFirstColumn="0" w:firstRowLastColumn="0" w:lastRowFirstColumn="0" w:lastRowLastColumn="0"/>
            </w:pPr>
            <w:r>
              <w:t>Developed but smaller scale</w:t>
            </w:r>
          </w:p>
        </w:tc>
        <w:tc>
          <w:tcPr>
            <w:tcW w:w="0" w:type="auto"/>
            <w:hideMark/>
          </w:tcPr>
          <w:p w14:paraId="0DFA2557" w14:textId="77777777" w:rsidR="00EC5C31" w:rsidRDefault="00EC5C31">
            <w:pPr>
              <w:cnfStyle w:val="000000000000" w:firstRow="0" w:lastRow="0" w:firstColumn="0" w:lastColumn="0" w:oddVBand="0" w:evenVBand="0" w:oddHBand="0" w:evenHBand="0" w:firstRowFirstColumn="0" w:firstRowLastColumn="0" w:lastRowFirstColumn="0" w:lastRowLastColumn="0"/>
            </w:pPr>
            <w:r>
              <w:t>Dubai best testbed for GCC format</w:t>
            </w:r>
          </w:p>
        </w:tc>
      </w:tr>
      <w:tr w:rsidR="00EC5C31" w14:paraId="0980EC1F" w14:textId="77777777" w:rsidTr="00EC5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4F7764" w14:textId="77777777" w:rsidR="00EC5C31" w:rsidRDefault="00EC5C31">
            <w:r>
              <w:t>Competitive intensity</w:t>
            </w:r>
          </w:p>
        </w:tc>
        <w:tc>
          <w:tcPr>
            <w:tcW w:w="0" w:type="auto"/>
            <w:hideMark/>
          </w:tcPr>
          <w:p w14:paraId="31A3F8E4" w14:textId="77777777" w:rsidR="00EC5C31" w:rsidRDefault="00EC5C31">
            <w:pPr>
              <w:cnfStyle w:val="000000100000" w:firstRow="0" w:lastRow="0" w:firstColumn="0" w:lastColumn="0" w:oddVBand="0" w:evenVBand="0" w:oddHBand="1" w:evenHBand="0" w:firstRowFirstColumn="0" w:firstRowLastColumn="0" w:lastRowFirstColumn="0" w:lastRowLastColumn="0"/>
            </w:pPr>
            <w:r>
              <w:t>Very high</w:t>
            </w:r>
          </w:p>
        </w:tc>
        <w:tc>
          <w:tcPr>
            <w:tcW w:w="0" w:type="auto"/>
            <w:hideMark/>
          </w:tcPr>
          <w:p w14:paraId="7A901A31" w14:textId="77777777" w:rsidR="00EC5C31" w:rsidRDefault="00EC5C31">
            <w:pPr>
              <w:cnfStyle w:val="000000100000" w:firstRow="0" w:lastRow="0" w:firstColumn="0" w:lastColumn="0" w:oddVBand="0" w:evenVBand="0" w:oddHBand="1" w:evenHBand="0" w:firstRowFirstColumn="0" w:firstRowLastColumn="0" w:lastRowFirstColumn="0" w:lastRowLastColumn="0"/>
            </w:pPr>
            <w:r>
              <w:t>High</w:t>
            </w:r>
          </w:p>
        </w:tc>
        <w:tc>
          <w:tcPr>
            <w:tcW w:w="0" w:type="auto"/>
            <w:hideMark/>
          </w:tcPr>
          <w:p w14:paraId="0549C211" w14:textId="77777777" w:rsidR="00EC5C31" w:rsidRDefault="00EC5C31">
            <w:pPr>
              <w:cnfStyle w:val="000000100000" w:firstRow="0" w:lastRow="0" w:firstColumn="0" w:lastColumn="0" w:oddVBand="0" w:evenVBand="0" w:oddHBand="1" w:evenHBand="0" w:firstRowFirstColumn="0" w:firstRowLastColumn="0" w:lastRowFirstColumn="0" w:lastRowLastColumn="0"/>
            </w:pPr>
            <w:r>
              <w:t>Moderate–high</w:t>
            </w:r>
          </w:p>
        </w:tc>
        <w:tc>
          <w:tcPr>
            <w:tcW w:w="0" w:type="auto"/>
            <w:hideMark/>
          </w:tcPr>
          <w:p w14:paraId="79A6A7D1" w14:textId="77777777" w:rsidR="00EC5C31" w:rsidRDefault="00EC5C31">
            <w:pPr>
              <w:cnfStyle w:val="000000100000" w:firstRow="0" w:lastRow="0" w:firstColumn="0" w:lastColumn="0" w:oddVBand="0" w:evenVBand="0" w:oddHBand="1" w:evenHBand="0" w:firstRowFirstColumn="0" w:firstRowLastColumn="0" w:lastRowFirstColumn="0" w:lastRowLastColumn="0"/>
            </w:pPr>
            <w:r>
              <w:t>Tough competition but proven QSR ecosystem</w:t>
            </w:r>
          </w:p>
        </w:tc>
      </w:tr>
      <w:tr w:rsidR="00EC5C31" w14:paraId="11D52D69" w14:textId="77777777" w:rsidTr="00EC5C31">
        <w:trPr>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31EF2A05" w14:textId="77777777" w:rsidR="00EC5C31" w:rsidRDefault="00EC5C31">
            <w:r>
              <w:t>Overall strategic attractiveness</w:t>
            </w:r>
          </w:p>
        </w:tc>
        <w:tc>
          <w:tcPr>
            <w:tcW w:w="0" w:type="auto"/>
            <w:hideMark/>
          </w:tcPr>
          <w:p w14:paraId="3F2BC39B" w14:textId="77777777" w:rsidR="00EC5C31" w:rsidRPr="00EC5C31" w:rsidRDefault="00EC5C31">
            <w:pPr>
              <w:cnfStyle w:val="000000000000" w:firstRow="0" w:lastRow="0" w:firstColumn="0" w:lastColumn="0" w:oddVBand="0" w:evenVBand="0" w:oddHBand="0" w:evenHBand="0" w:firstRowFirstColumn="0" w:firstRowLastColumn="0" w:lastRowFirstColumn="0" w:lastRowLastColumn="0"/>
              <w:rPr>
                <w:b/>
                <w:bCs/>
              </w:rPr>
            </w:pPr>
            <w:r w:rsidRPr="00EC5C31">
              <w:rPr>
                <w:rStyle w:val="Strong"/>
                <w:b w:val="0"/>
                <w:bCs w:val="0"/>
              </w:rPr>
              <w:t>High (selected)</w:t>
            </w:r>
          </w:p>
        </w:tc>
        <w:tc>
          <w:tcPr>
            <w:tcW w:w="0" w:type="auto"/>
            <w:hideMark/>
          </w:tcPr>
          <w:p w14:paraId="0CFBD738" w14:textId="77777777" w:rsidR="00EC5C31" w:rsidRDefault="00EC5C31">
            <w:pPr>
              <w:cnfStyle w:val="000000000000" w:firstRow="0" w:lastRow="0" w:firstColumn="0" w:lastColumn="0" w:oddVBand="0" w:evenVBand="0" w:oddHBand="0" w:evenHBand="0" w:firstRowFirstColumn="0" w:firstRowLastColumn="0" w:lastRowFirstColumn="0" w:lastRowLastColumn="0"/>
            </w:pPr>
            <w:r>
              <w:t>Medium–High</w:t>
            </w:r>
          </w:p>
        </w:tc>
        <w:tc>
          <w:tcPr>
            <w:tcW w:w="0" w:type="auto"/>
            <w:hideMark/>
          </w:tcPr>
          <w:p w14:paraId="347C44E1" w14:textId="77777777" w:rsidR="00EC5C31" w:rsidRDefault="00EC5C31">
            <w:pPr>
              <w:cnfStyle w:val="000000000000" w:firstRow="0" w:lastRow="0" w:firstColumn="0" w:lastColumn="0" w:oddVBand="0" w:evenVBand="0" w:oddHBand="0" w:evenHBand="0" w:firstRowFirstColumn="0" w:firstRowLastColumn="0" w:lastRowFirstColumn="0" w:lastRowLastColumn="0"/>
            </w:pPr>
            <w:r>
              <w:t>Medium–High</w:t>
            </w:r>
          </w:p>
        </w:tc>
        <w:tc>
          <w:tcPr>
            <w:tcW w:w="0" w:type="auto"/>
            <w:hideMark/>
          </w:tcPr>
          <w:p w14:paraId="1E6B34CC" w14:textId="77777777" w:rsidR="00EC5C31" w:rsidRDefault="00EC5C31">
            <w:pPr>
              <w:cnfStyle w:val="000000000000" w:firstRow="0" w:lastRow="0" w:firstColumn="0" w:lastColumn="0" w:oddVBand="0" w:evenVBand="0" w:oddHBand="0" w:evenHBand="0" w:firstRowFirstColumn="0" w:firstRowLastColumn="0" w:lastRowFirstColumn="0" w:lastRowLastColumn="0"/>
            </w:pPr>
            <w:r>
              <w:t>Dubai chosen as first GCC foothold</w:t>
            </w:r>
          </w:p>
        </w:tc>
      </w:tr>
    </w:tbl>
    <w:p w14:paraId="396B249E" w14:textId="77777777" w:rsidR="00EC5C31" w:rsidRPr="006C7299" w:rsidRDefault="00EC5C31" w:rsidP="006C7299">
      <w:pPr>
        <w:jc w:val="both"/>
        <w:rPr>
          <w:rFonts w:cs="Arial"/>
          <w:lang w:val="en-US"/>
        </w:rPr>
      </w:pPr>
    </w:p>
    <w:p w14:paraId="30C1F83C" w14:textId="77777777" w:rsidR="00E40B77" w:rsidRPr="004C13E3" w:rsidRDefault="00E40B77" w:rsidP="004C13E3">
      <w:pPr>
        <w:pStyle w:val="Heading1"/>
        <w:spacing w:line="480" w:lineRule="auto"/>
        <w:rPr>
          <w:rFonts w:eastAsia="Times New Roman"/>
          <w:b/>
          <w:bCs/>
          <w:sz w:val="32"/>
          <w:szCs w:val="32"/>
          <w:lang w:val="en-US"/>
        </w:rPr>
      </w:pPr>
      <w:bookmarkStart w:id="6" w:name="_Toc215316304"/>
      <w:r w:rsidRPr="004C13E3">
        <w:rPr>
          <w:rFonts w:eastAsia="Times New Roman"/>
          <w:b/>
          <w:bCs/>
          <w:sz w:val="32"/>
          <w:szCs w:val="32"/>
          <w:lang w:val="en-US"/>
        </w:rPr>
        <w:lastRenderedPageBreak/>
        <w:t>3. Comprehensive strategic analysis</w:t>
      </w:r>
      <w:bookmarkEnd w:id="6"/>
    </w:p>
    <w:p w14:paraId="3B898B20" w14:textId="35DB5104" w:rsidR="007D0DD9" w:rsidRPr="009A2EF5" w:rsidRDefault="007D0DD9" w:rsidP="004C13E3">
      <w:pPr>
        <w:pStyle w:val="Heading2"/>
        <w:rPr>
          <w:rFonts w:eastAsia="Times New Roman"/>
          <w:sz w:val="24"/>
          <w:szCs w:val="24"/>
          <w:lang w:val="en-US"/>
        </w:rPr>
      </w:pPr>
      <w:bookmarkStart w:id="7" w:name="_Toc215316305"/>
      <w:r w:rsidRPr="004C13E3">
        <w:rPr>
          <w:rFonts w:eastAsia="Times New Roman"/>
          <w:sz w:val="28"/>
          <w:szCs w:val="28"/>
          <w:lang w:val="en-US"/>
        </w:rPr>
        <w:t xml:space="preserve">3.1 Macro environment analysis of </w:t>
      </w:r>
      <w:r w:rsidR="00E40B77" w:rsidRPr="004C13E3">
        <w:rPr>
          <w:rFonts w:eastAsia="Times New Roman"/>
          <w:sz w:val="28"/>
          <w:szCs w:val="28"/>
          <w:lang w:val="en-US"/>
        </w:rPr>
        <w:t xml:space="preserve">(UAE) </w:t>
      </w:r>
      <w:r w:rsidRPr="004C13E3">
        <w:rPr>
          <w:rFonts w:eastAsia="Times New Roman"/>
          <w:sz w:val="28"/>
          <w:szCs w:val="28"/>
          <w:lang w:val="en-US"/>
        </w:rPr>
        <w:t>Dubai F&amp;B market (PESTEL)</w:t>
      </w:r>
      <w:bookmarkEnd w:id="7"/>
    </w:p>
    <w:p w14:paraId="26AB16AE" w14:textId="7125FFE7" w:rsidR="007D0DD9" w:rsidRPr="004C13E3" w:rsidRDefault="007D0DD9" w:rsidP="004C13E3">
      <w:pPr>
        <w:jc w:val="both"/>
        <w:rPr>
          <w:rFonts w:cs="Arial"/>
          <w:b/>
          <w:bCs/>
          <w:lang w:val="en-US"/>
        </w:rPr>
      </w:pPr>
      <w:r w:rsidRPr="004C13E3">
        <w:rPr>
          <w:rFonts w:cs="Arial"/>
          <w:b/>
          <w:bCs/>
          <w:lang w:val="en-US"/>
        </w:rPr>
        <w:t>Politic</w:t>
      </w:r>
      <w:r w:rsidR="009A2EF5" w:rsidRPr="004C13E3">
        <w:rPr>
          <w:rFonts w:cs="Arial"/>
          <w:b/>
          <w:bCs/>
          <w:lang w:val="en-US"/>
        </w:rPr>
        <w:t>al/</w:t>
      </w:r>
      <w:r w:rsidRPr="004C13E3">
        <w:rPr>
          <w:rFonts w:cs="Arial"/>
          <w:b/>
          <w:bCs/>
          <w:lang w:val="en-US"/>
        </w:rPr>
        <w:t>legal</w:t>
      </w:r>
    </w:p>
    <w:p w14:paraId="514CED6D" w14:textId="4243D29F" w:rsidR="007D0DD9" w:rsidRPr="004C13E3" w:rsidRDefault="007D0DD9" w:rsidP="004C13E3">
      <w:pPr>
        <w:jc w:val="both"/>
        <w:rPr>
          <w:rFonts w:cs="Arial"/>
          <w:lang w:val="en-US"/>
        </w:rPr>
      </w:pPr>
      <w:r w:rsidRPr="004C13E3">
        <w:rPr>
          <w:rFonts w:cs="Arial"/>
          <w:lang w:val="en-US"/>
        </w:rPr>
        <w:t>The UAE is a politically stable, pro-business federation that has a clearly defined policy of enticing FDI in non-oil sectors such as tourism and foodservice. In 2023, Dubai had a GDP of over AED 400 billion, the largest portion of which is non-oil production, which is supported by state investments in infrastructure and tourism (Economy of Dubai, 2024). Labelling, traceability and hygiene are also strictly regulated by Federal Law No. 10 of 2015 on Food Safety, and halal production and halal certification are controlled by national halal standards (e.g. UAE.S 2055-1, 2055-2) (UAE Government, 2015; MOIAT, 2024). In case of Greggs, this implies that entry can only be achieved through strong compliance systems, sourcing, which is halal-certified and a close partner with a local partner that is well informed.</w:t>
      </w:r>
    </w:p>
    <w:p w14:paraId="0F3D449E" w14:textId="77777777" w:rsidR="007D0DD9" w:rsidRPr="004C13E3" w:rsidRDefault="007D0DD9" w:rsidP="004C13E3">
      <w:pPr>
        <w:jc w:val="both"/>
        <w:rPr>
          <w:rFonts w:cs="Arial"/>
          <w:b/>
          <w:bCs/>
          <w:lang w:val="en-US"/>
        </w:rPr>
      </w:pPr>
      <w:r w:rsidRPr="004C13E3">
        <w:rPr>
          <w:rFonts w:cs="Arial"/>
          <w:b/>
          <w:bCs/>
          <w:lang w:val="en-US"/>
        </w:rPr>
        <w:t>Economic</w:t>
      </w:r>
    </w:p>
    <w:p w14:paraId="4EF60463" w14:textId="4ACD5507" w:rsidR="007D0DD9" w:rsidRPr="004C13E3" w:rsidRDefault="007D0DD9" w:rsidP="004C13E3">
      <w:pPr>
        <w:jc w:val="both"/>
        <w:rPr>
          <w:rFonts w:cs="Arial"/>
          <w:lang w:val="en-US"/>
        </w:rPr>
      </w:pPr>
      <w:r w:rsidRPr="004C13E3">
        <w:rPr>
          <w:rFonts w:cs="Arial"/>
          <w:lang w:val="en-US"/>
        </w:rPr>
        <w:t>Dubai is a mix of high purchases and a structurally high cost. The volume of passenger traffic at the Dubai International Airport in 2024 is 92.3 million; this figure depicts the magnitude of the transient demand of food-on-the-go (AP News, 2025). Prime mall rent has been increasing sharply, which makes the retail market based on landlords (ValuStrat, 2024), and the hospitality market is heavily dependent on migrant labour, the payment and working conditions of which are strongly controlled (Elsayed, 2024). The low-price, high-volume model applied by Greggs can only be successful when there are high sales densities in the sites and the cost of occupancy is negotiated through a partner who possesses leverage over the landlords; the price must remain the same when compared to the everyday value positioning but should respond to local willingness to pay.</w:t>
      </w:r>
    </w:p>
    <w:p w14:paraId="4F132B72" w14:textId="77777777" w:rsidR="007D0DD9" w:rsidRPr="00D03875" w:rsidRDefault="007D0DD9" w:rsidP="004C13E3">
      <w:pPr>
        <w:jc w:val="both"/>
        <w:rPr>
          <w:rFonts w:cs="Arial"/>
          <w:b/>
          <w:bCs/>
          <w:lang w:val="en-US"/>
        </w:rPr>
      </w:pPr>
      <w:r w:rsidRPr="00D03875">
        <w:rPr>
          <w:rFonts w:cs="Arial"/>
          <w:b/>
          <w:bCs/>
          <w:lang w:val="en-US"/>
        </w:rPr>
        <w:t>Socio-cultural</w:t>
      </w:r>
    </w:p>
    <w:p w14:paraId="3A0AF077" w14:textId="332A95CA" w:rsidR="007D0DD9" w:rsidRPr="004C13E3" w:rsidRDefault="007D0DD9" w:rsidP="004C13E3">
      <w:pPr>
        <w:jc w:val="both"/>
        <w:rPr>
          <w:rFonts w:cs="Arial"/>
          <w:lang w:val="en-US"/>
        </w:rPr>
      </w:pPr>
      <w:r w:rsidRPr="004C13E3">
        <w:rPr>
          <w:rFonts w:cs="Arial"/>
          <w:lang w:val="en-US"/>
        </w:rPr>
        <w:t xml:space="preserve">Over 8590 per cent of the population in Dubai is made up of expatriates and this results in the creation of an eclectic population that has a high eating-out culture and uses malls as a social centre. In 2023, the consumer-foodservice market amounted to more than US$18 billion, and the hotel, restaurant and institutional foodservice grew by the </w:t>
      </w:r>
      <w:r w:rsidRPr="004C13E3">
        <w:rPr>
          <w:rFonts w:cs="Arial"/>
          <w:lang w:val="en-US"/>
        </w:rPr>
        <w:lastRenderedPageBreak/>
        <w:t>double-digits (USDA, 2024). Islamic standards influence consumption: pork is forbidden, alcohol is strictly controlled and compliance with the Islamic requirements is regarded as normal. Salient factors also include family-oriented dining, long evening trading and sensitivity to Ramadan schedules. Greggs then needs to get rid of pork and reformulate dishes using halal ingredients, add vegetarian and regionally sensitive dishes, and design stores that were family and mixed-gender friendly.</w:t>
      </w:r>
    </w:p>
    <w:p w14:paraId="50B7D34E" w14:textId="77777777" w:rsidR="007D0DD9" w:rsidRPr="00D03875" w:rsidRDefault="007D0DD9" w:rsidP="004C13E3">
      <w:pPr>
        <w:jc w:val="both"/>
        <w:rPr>
          <w:rFonts w:cs="Arial"/>
          <w:b/>
          <w:bCs/>
          <w:lang w:val="en-US"/>
        </w:rPr>
      </w:pPr>
      <w:r w:rsidRPr="00D03875">
        <w:rPr>
          <w:rFonts w:cs="Arial"/>
          <w:b/>
          <w:bCs/>
          <w:lang w:val="en-US"/>
        </w:rPr>
        <w:t>Technological</w:t>
      </w:r>
    </w:p>
    <w:p w14:paraId="1D220B2D" w14:textId="462D16B7" w:rsidR="007D0DD9" w:rsidRPr="004C13E3" w:rsidRDefault="007D0DD9" w:rsidP="004C13E3">
      <w:pPr>
        <w:jc w:val="both"/>
        <w:rPr>
          <w:rFonts w:cs="Arial"/>
          <w:lang w:val="en-US"/>
        </w:rPr>
      </w:pPr>
      <w:r w:rsidRPr="004C13E3">
        <w:rPr>
          <w:rFonts w:cs="Arial"/>
          <w:lang w:val="en-US"/>
        </w:rPr>
        <w:t>The UAE has one of the most digitally connected markets in the world: over 99 per cent of people have access to the internet and outnumber the number of mobile connexions to the residents (DataReportal, 2024). Talabat, Deliveroo, Careem and Noon are the dominant food delivery companies that give restaurants incremental volume but take a commission and access customer information (Revly, 2025; Dal, 2025). This ecosystem aligns with Greggs digital capabilities (aggregator partnerships, app-based offers), but requires a well-integrated IT, rigorous management of commission economics and systematic utilisation of transactional information to optimise product mix and day part targeting.</w:t>
      </w:r>
    </w:p>
    <w:p w14:paraId="3E13771E" w14:textId="2490A17F" w:rsidR="007D0DD9" w:rsidRPr="00D03875" w:rsidRDefault="007D0DD9" w:rsidP="004C13E3">
      <w:pPr>
        <w:jc w:val="both"/>
        <w:rPr>
          <w:rFonts w:cs="Arial"/>
          <w:b/>
          <w:bCs/>
          <w:lang w:val="en-US"/>
        </w:rPr>
      </w:pPr>
      <w:r w:rsidRPr="00D03875">
        <w:rPr>
          <w:rFonts w:cs="Arial"/>
          <w:b/>
          <w:bCs/>
          <w:lang w:val="en-US"/>
        </w:rPr>
        <w:t>Environmental and regulatory</w:t>
      </w:r>
      <w:r w:rsidR="0050461E" w:rsidRPr="00D03875">
        <w:rPr>
          <w:rFonts w:cs="Arial"/>
          <w:b/>
          <w:bCs/>
          <w:lang w:val="en-US"/>
        </w:rPr>
        <w:t xml:space="preserve"> </w:t>
      </w:r>
    </w:p>
    <w:p w14:paraId="1F310F7A" w14:textId="61E6C017" w:rsidR="003A0019" w:rsidRPr="004C13E3" w:rsidRDefault="007D0DD9" w:rsidP="004C13E3">
      <w:pPr>
        <w:jc w:val="both"/>
        <w:rPr>
          <w:rFonts w:cs="Arial"/>
          <w:lang w:val="en-US"/>
        </w:rPr>
      </w:pPr>
      <w:r w:rsidRPr="004C13E3">
        <w:rPr>
          <w:rFonts w:cs="Arial"/>
          <w:lang w:val="en-US"/>
        </w:rPr>
        <w:t>The hot climate, high food-import dependence and the developing climate policy increase the operational and reputational risk in Dubai. The UAE is the food importer mostly, as well as, food security and waste minimisation were the priorities of the sustainability agenda mentioned earlier (US-UAE Business Council, 2024; Food Export USA, 2025). Food-waste monitoring and reduction is also a legal and ethical concern due to the introduction of new regulations concerning the climate factor and waste management (Alamirah, 2025; Green Planet Solutions, 2025). Greggs needs to invest in cold-chain and reliability, temperature control, shelf-life and recyclable packaging and demonstrate alignment with its corporate ESG commitments.</w:t>
      </w:r>
    </w:p>
    <w:p w14:paraId="33A698C1" w14:textId="5B905802" w:rsidR="007D0DD9" w:rsidRPr="004C13E3" w:rsidRDefault="007D0DD9" w:rsidP="004C13E3">
      <w:pPr>
        <w:jc w:val="both"/>
        <w:rPr>
          <w:rFonts w:cs="Arial"/>
          <w:b/>
          <w:bCs/>
          <w:lang w:val="en-US"/>
        </w:rPr>
      </w:pPr>
      <w:r w:rsidRPr="004C13E3">
        <w:rPr>
          <w:rFonts w:cs="Arial"/>
          <w:b/>
          <w:bCs/>
          <w:lang w:val="en-US"/>
        </w:rPr>
        <w:t>Reflexive analysis of PESTEL</w:t>
      </w:r>
    </w:p>
    <w:p w14:paraId="202E507D" w14:textId="2C0B3FCF" w:rsidR="007D0DD9" w:rsidRPr="004C13E3" w:rsidRDefault="007D0DD9" w:rsidP="004C13E3">
      <w:pPr>
        <w:jc w:val="both"/>
        <w:rPr>
          <w:rFonts w:cs="Arial"/>
          <w:lang w:val="en-US"/>
        </w:rPr>
      </w:pPr>
      <w:r w:rsidRPr="004C13E3">
        <w:rPr>
          <w:rFonts w:cs="Arial"/>
          <w:lang w:val="en-US"/>
        </w:rPr>
        <w:t xml:space="preserve">PESTEL is a helpful model to organise macro-environmental scanning (Jenson, 2012; Bou Hatoum et al., 2023) but provides only a one-dimensional and categorical perspective and has minimal advice on prioritisation or dynamism (Anderson, 2025). It consequently needs to be incorporated into scenario planning and development of </w:t>
      </w:r>
      <w:r w:rsidRPr="004C13E3">
        <w:rPr>
          <w:rFonts w:cs="Arial"/>
          <w:lang w:val="en-US"/>
        </w:rPr>
        <w:lastRenderedPageBreak/>
        <w:t>dynamic-capabilities, as opposed to being considered as a deterministic prediction instrument, to a fast-moving, policy-sensitive market like the Dubai F&amp;B (Teece, Pisano and Shuen, 1997).</w:t>
      </w:r>
    </w:p>
    <w:p w14:paraId="5E983C84" w14:textId="77777777" w:rsidR="00204424" w:rsidRPr="00D03875" w:rsidRDefault="00204424" w:rsidP="00D03875">
      <w:pPr>
        <w:pStyle w:val="Heading2"/>
        <w:rPr>
          <w:rFonts w:eastAsia="Times New Roman"/>
          <w:sz w:val="28"/>
          <w:szCs w:val="28"/>
          <w:lang w:val="en-US"/>
        </w:rPr>
      </w:pPr>
      <w:bookmarkStart w:id="8" w:name="_Toc215316306"/>
      <w:r w:rsidRPr="00D03875">
        <w:rPr>
          <w:rFonts w:eastAsia="Times New Roman"/>
          <w:sz w:val="28"/>
          <w:szCs w:val="28"/>
          <w:lang w:val="en-US"/>
        </w:rPr>
        <w:t>3.2 Industry and competitive analysis – Dubai quick-service / bakery / food-to-go market</w:t>
      </w:r>
      <w:bookmarkEnd w:id="8"/>
    </w:p>
    <w:p w14:paraId="3F09CBA3" w14:textId="477A6D8F" w:rsidR="007D0DD9" w:rsidRPr="004C13E3" w:rsidRDefault="00204424" w:rsidP="004C13E3">
      <w:pPr>
        <w:jc w:val="both"/>
        <w:rPr>
          <w:rFonts w:cs="Arial"/>
          <w:lang w:val="en-US"/>
        </w:rPr>
      </w:pPr>
      <w:r w:rsidRPr="004C13E3">
        <w:rPr>
          <w:rFonts w:cs="Arial"/>
          <w:lang w:val="en-US"/>
        </w:rPr>
        <w:t>Applying Porter’s Five Forces indicates a structurally attractive but highly contested industry for Greggs.</w:t>
      </w:r>
    </w:p>
    <w:p w14:paraId="75D60EE4" w14:textId="77777777" w:rsidR="007D0DD9" w:rsidRPr="00EA59EF" w:rsidRDefault="007D0DD9" w:rsidP="004C13E3">
      <w:pPr>
        <w:jc w:val="both"/>
        <w:rPr>
          <w:rFonts w:cs="Arial"/>
          <w:b/>
          <w:bCs/>
          <w:lang w:val="en-US"/>
        </w:rPr>
      </w:pPr>
      <w:r w:rsidRPr="00EA59EF">
        <w:rPr>
          <w:rFonts w:cs="Arial"/>
          <w:b/>
          <w:bCs/>
          <w:lang w:val="en-US"/>
        </w:rPr>
        <w:t>Threat of new entrants</w:t>
      </w:r>
    </w:p>
    <w:p w14:paraId="7C3E72F6" w14:textId="5CC03B34" w:rsidR="007D0DD9" w:rsidRPr="004C13E3" w:rsidRDefault="007D0DD9" w:rsidP="004C13E3">
      <w:pPr>
        <w:jc w:val="both"/>
        <w:rPr>
          <w:rFonts w:cs="Arial"/>
          <w:lang w:val="en-US"/>
        </w:rPr>
      </w:pPr>
      <w:r w:rsidRPr="004C13E3">
        <w:rPr>
          <w:rFonts w:cs="Arial"/>
          <w:lang w:val="en-US"/>
        </w:rPr>
        <w:t>The penetration of F&amp;B in Dubai is also typical, but access to the A-grade food-to-go is limited. Large malls and transit locations are managed by influential real estate companies that tend to prefer old brands that have the capacity to pay a premium base rent and turnover-driven elements (ValuStrat, 2024). The cost of fit-out in super-regional malls is great, and the food-safety, halal and labour regulations complexify the situation. These obstacles render entry of a capital-light engagement through a master-franchise association with an already existing Gulf retail or F&amp;B cluster more attractive than full ownership flagship shops during initial years.</w:t>
      </w:r>
    </w:p>
    <w:p w14:paraId="02CD41CE" w14:textId="5C1E3CD5" w:rsidR="007D0DD9" w:rsidRPr="00EA59EF" w:rsidRDefault="007D0DD9" w:rsidP="004C13E3">
      <w:pPr>
        <w:jc w:val="both"/>
        <w:rPr>
          <w:rFonts w:cs="Arial"/>
          <w:b/>
          <w:bCs/>
          <w:lang w:val="en-US"/>
        </w:rPr>
      </w:pPr>
      <w:r w:rsidRPr="00EA59EF">
        <w:rPr>
          <w:rFonts w:cs="Arial"/>
          <w:b/>
          <w:bCs/>
          <w:lang w:val="en-US"/>
        </w:rPr>
        <w:t>Supplier bargaining power</w:t>
      </w:r>
    </w:p>
    <w:p w14:paraId="2B9E6EAC" w14:textId="4F5075B3" w:rsidR="007D0DD9" w:rsidRPr="004C13E3" w:rsidRDefault="007D0DD9" w:rsidP="004C13E3">
      <w:pPr>
        <w:jc w:val="both"/>
        <w:rPr>
          <w:rFonts w:cs="Arial"/>
          <w:lang w:val="en-US"/>
        </w:rPr>
      </w:pPr>
      <w:r w:rsidRPr="004C13E3">
        <w:rPr>
          <w:rFonts w:cs="Arial"/>
          <w:lang w:val="en-US"/>
        </w:rPr>
        <w:t>Most of the agricultural and processed foods are imported into the UAE, and consumer-oriented imports are higher than US 16 billion in 2024 (USDA, 2025). On the one hand, rivalry between the global suppliers balances personal bargaining power; on the other hand, the operators can be affected by the volatility of commodity prices, changes in the foreign exchange rate and logistics crisis. Greggs will be relying on a combination of owned imported products and locally or regionally-derived products, probably through specialised distributors, in bakery and coffee. The power of suppliers will be based on the aggregation of volume by Greggs and its partner when they can multi-source or use Greggs as a benchmark on prices based on the UK purchasing competencies.</w:t>
      </w:r>
    </w:p>
    <w:p w14:paraId="78087C9F" w14:textId="77777777" w:rsidR="007D0DD9" w:rsidRPr="00EA59EF" w:rsidRDefault="007D0DD9" w:rsidP="004C13E3">
      <w:pPr>
        <w:jc w:val="both"/>
        <w:rPr>
          <w:rFonts w:cs="Arial"/>
          <w:b/>
          <w:bCs/>
          <w:lang w:val="en-US"/>
        </w:rPr>
      </w:pPr>
      <w:r w:rsidRPr="00EA59EF">
        <w:rPr>
          <w:rFonts w:cs="Arial"/>
          <w:b/>
          <w:bCs/>
          <w:lang w:val="en-US"/>
        </w:rPr>
        <w:t>Bargaining power of buyers</w:t>
      </w:r>
    </w:p>
    <w:p w14:paraId="7222FA9E" w14:textId="1EA23177" w:rsidR="007D0DD9" w:rsidRPr="004C13E3" w:rsidRDefault="007D0DD9" w:rsidP="004C13E3">
      <w:pPr>
        <w:jc w:val="both"/>
        <w:rPr>
          <w:rFonts w:cs="Arial"/>
          <w:lang w:val="en-US"/>
        </w:rPr>
      </w:pPr>
      <w:r w:rsidRPr="004C13E3">
        <w:rPr>
          <w:rFonts w:cs="Arial"/>
          <w:lang w:val="en-US"/>
        </w:rPr>
        <w:t xml:space="preserve">Dubai consumers have a wide range of options in terms of price, cuisine: multi-national QSR chains, domestic shawarma restaurants, international coffee chains, </w:t>
      </w:r>
      <w:r w:rsidRPr="004C13E3">
        <w:rPr>
          <w:rFonts w:cs="Arial"/>
          <w:lang w:val="en-US"/>
        </w:rPr>
        <w:lastRenderedPageBreak/>
        <w:t>independents and supermarket grab-and-go (Euromonitor, 2024). Purchasing power is enhanced because prices and offers are transparent, switching costs are insignificant, and aggregator applications are brought on board. Meanwhile, powerful brands like Starbucks, Costa and Tim Hortons have control over the groups in the cafe segment (Singh, 2025). Greggs will thus be dealing with price-sensitive customers who are brand conscious at the same time. Essential to not compete solely based on price will be a clear value proposition, which is affordability, familiarity, and halal-guaranteed comfort food to use on daily occasions with the help of a recurring quality and purposeful offers that are supported by online marketing.</w:t>
      </w:r>
    </w:p>
    <w:p w14:paraId="42F56D9E" w14:textId="77777777" w:rsidR="007D0DD9" w:rsidRPr="00EA59EF" w:rsidRDefault="007D0DD9" w:rsidP="004C13E3">
      <w:pPr>
        <w:jc w:val="both"/>
        <w:rPr>
          <w:rFonts w:cs="Arial"/>
          <w:b/>
          <w:bCs/>
          <w:lang w:val="en-US"/>
        </w:rPr>
      </w:pPr>
      <w:r w:rsidRPr="00EA59EF">
        <w:rPr>
          <w:rFonts w:cs="Arial"/>
          <w:b/>
          <w:bCs/>
          <w:lang w:val="en-US"/>
        </w:rPr>
        <w:t>Threat of substitutes</w:t>
      </w:r>
    </w:p>
    <w:p w14:paraId="7BB008E5" w14:textId="0A209288" w:rsidR="007D0DD9" w:rsidRPr="004C13E3" w:rsidRDefault="007D0DD9" w:rsidP="004C13E3">
      <w:pPr>
        <w:jc w:val="both"/>
        <w:rPr>
          <w:rFonts w:cs="Arial"/>
          <w:lang w:val="en-US"/>
        </w:rPr>
      </w:pPr>
      <w:r w:rsidRPr="004C13E3">
        <w:rPr>
          <w:rFonts w:cs="Arial"/>
          <w:lang w:val="en-US"/>
        </w:rPr>
        <w:t>The competition is substitutes such as the traditional bakery, shawarma stand, ethnic eateries (restaurant), supermarket ready-prepared lines, homemade cooking and cloud-kitchens. Numerous ones are fast, cheap and are near the places of residential and employment. The defence that Greggs has is its position in extremely high-footfall micro-locations (e.g. metro entrances, office corridors, mall atria) and providing a range of products which is neither complex nor slow but sufficiently differentiated by taste, dependability and perceived cleanliness.</w:t>
      </w:r>
    </w:p>
    <w:p w14:paraId="2B5242D6" w14:textId="0F109C89" w:rsidR="007D0DD9" w:rsidRPr="00EA59EF" w:rsidRDefault="007D0DD9" w:rsidP="004C13E3">
      <w:pPr>
        <w:jc w:val="both"/>
        <w:rPr>
          <w:rFonts w:cs="Arial"/>
          <w:b/>
          <w:bCs/>
          <w:lang w:val="en-US"/>
        </w:rPr>
      </w:pPr>
      <w:r w:rsidRPr="00EA59EF">
        <w:rPr>
          <w:rFonts w:cs="Arial"/>
          <w:b/>
          <w:bCs/>
          <w:lang w:val="en-US"/>
        </w:rPr>
        <w:t>Competition among the current rivals</w:t>
      </w:r>
    </w:p>
    <w:p w14:paraId="1FC92C45" w14:textId="407CADB3" w:rsidR="007D0DD9" w:rsidRPr="004C13E3" w:rsidRDefault="007D0DD9" w:rsidP="004C13E3">
      <w:pPr>
        <w:jc w:val="both"/>
        <w:rPr>
          <w:rFonts w:cs="Arial"/>
          <w:lang w:val="en-US"/>
        </w:rPr>
      </w:pPr>
      <w:r w:rsidRPr="004C13E3">
        <w:rPr>
          <w:rFonts w:cs="Arial"/>
          <w:lang w:val="en-US"/>
        </w:rPr>
        <w:t>Rivalry is intense. International chains (McDonalds, KFC, Subway, Starbucks, Costa, Tim Hortons) compete with regional franchises and local chains and can be deployed close to each other in shopping malls. The recent boycotts of some US-related brands have prompted operators like Americana to create more regionally oriented concepts, which added even more variety (Financial Times, 2025). The competitive level comes in form of promotions, reward programmes, menu design and store layout. It is proposed that in these markets, sustainable performance gradually relies on the local relevance, brand storey and experience aspects as opposed to price (Bruijl, 2018; Euromonitor, 2024). Greggs has no local equity to copy its format, it needs to localise menu and in-store experience to the expectations of Dubai.</w:t>
      </w:r>
    </w:p>
    <w:p w14:paraId="03B42604" w14:textId="0B51EF7E" w:rsidR="007D0DD9" w:rsidRPr="00EA59EF" w:rsidRDefault="007D0DD9" w:rsidP="004C13E3">
      <w:pPr>
        <w:jc w:val="both"/>
        <w:rPr>
          <w:rFonts w:cs="Arial"/>
          <w:b/>
          <w:bCs/>
          <w:lang w:val="en-US"/>
        </w:rPr>
      </w:pPr>
      <w:r w:rsidRPr="00EA59EF">
        <w:rPr>
          <w:rFonts w:cs="Arial"/>
          <w:b/>
          <w:bCs/>
          <w:lang w:val="en-US"/>
        </w:rPr>
        <w:t>Five Forces complementors and criticism</w:t>
      </w:r>
    </w:p>
    <w:p w14:paraId="2B3D0917" w14:textId="5517904F" w:rsidR="007D0DD9" w:rsidRPr="004C13E3" w:rsidRDefault="007D0DD9" w:rsidP="004C13E3">
      <w:pPr>
        <w:jc w:val="both"/>
        <w:rPr>
          <w:rFonts w:cs="Arial"/>
          <w:lang w:val="en-US"/>
        </w:rPr>
      </w:pPr>
      <w:r w:rsidRPr="004C13E3">
        <w:rPr>
          <w:rFonts w:cs="Arial"/>
          <w:lang w:val="en-US"/>
        </w:rPr>
        <w:t xml:space="preserve">Greggs would be integrated into a network of complementors: delivery platforms can increase reach but charge a markup and hold important customer data, mall landlords </w:t>
      </w:r>
      <w:r w:rsidRPr="004C13E3">
        <w:rPr>
          <w:rFonts w:cs="Arial"/>
          <w:lang w:val="en-US"/>
        </w:rPr>
        <w:lastRenderedPageBreak/>
        <w:t>and fuel-station operators have greater access to footfall, and value can also be added by payment platforms and workplace-catering aggregators. The traditional Five Forces analysis underestimates such collaborative relationships and takes industry boundaries as given. Researchers thus propose its incorporation with an ecosystem and capability outlook (Goyal, 2020; Isabelle et al., 2020; Pangarkar, 2024). Based on this, this report adopts Five Forces as a diagnostic base point, but the thinking becomes complemented with resource</w:t>
      </w:r>
      <w:r w:rsidR="00EA59EF">
        <w:rPr>
          <w:rFonts w:cs="Arial"/>
          <w:lang w:val="en-US"/>
        </w:rPr>
        <w:t xml:space="preserve"> </w:t>
      </w:r>
      <w:r w:rsidRPr="004C13E3">
        <w:rPr>
          <w:rFonts w:cs="Arial"/>
          <w:lang w:val="en-US"/>
        </w:rPr>
        <w:t>based and dynamic</w:t>
      </w:r>
      <w:r w:rsidR="00EA59EF">
        <w:rPr>
          <w:rFonts w:cs="Arial"/>
          <w:lang w:val="en-US"/>
        </w:rPr>
        <w:t xml:space="preserve"> </w:t>
      </w:r>
      <w:r w:rsidRPr="004C13E3">
        <w:rPr>
          <w:rFonts w:cs="Arial"/>
          <w:lang w:val="en-US"/>
        </w:rPr>
        <w:t>capabilities thinking when developing strategy</w:t>
      </w:r>
      <w:r w:rsidR="00EA59EF">
        <w:rPr>
          <w:rFonts w:cs="Arial"/>
          <w:lang w:val="en-US"/>
        </w:rPr>
        <w:t>.</w:t>
      </w:r>
    </w:p>
    <w:p w14:paraId="13B0EA29" w14:textId="0F33F998" w:rsidR="007D0DD9" w:rsidRPr="004C13E3" w:rsidRDefault="007D0DD9" w:rsidP="00C56FF0">
      <w:pPr>
        <w:pStyle w:val="Heading2"/>
        <w:rPr>
          <w:rFonts w:eastAsia="Times New Roman"/>
          <w:lang w:val="en-US"/>
        </w:rPr>
      </w:pPr>
      <w:bookmarkStart w:id="9" w:name="_Toc215316307"/>
      <w:r w:rsidRPr="00C56FF0">
        <w:rPr>
          <w:rFonts w:eastAsia="Times New Roman"/>
          <w:sz w:val="28"/>
          <w:szCs w:val="28"/>
          <w:lang w:val="en-US"/>
        </w:rPr>
        <w:t>3.3 Greggs resources and capabilities internal analysis</w:t>
      </w:r>
      <w:bookmarkEnd w:id="9"/>
    </w:p>
    <w:p w14:paraId="65FADCB1" w14:textId="26F6980C" w:rsidR="007D0DD9" w:rsidRPr="004C13E3" w:rsidRDefault="007D0DD9" w:rsidP="004C13E3">
      <w:pPr>
        <w:jc w:val="both"/>
        <w:rPr>
          <w:rFonts w:cs="Arial"/>
          <w:lang w:val="en-US"/>
        </w:rPr>
      </w:pPr>
      <w:r w:rsidRPr="004C13E3">
        <w:rPr>
          <w:rFonts w:cs="Arial"/>
          <w:lang w:val="en-US"/>
        </w:rPr>
        <w:t>Resource</w:t>
      </w:r>
      <w:r w:rsidR="00E14D14">
        <w:rPr>
          <w:rFonts w:cs="Arial"/>
          <w:lang w:val="en-US"/>
        </w:rPr>
        <w:t xml:space="preserve"> </w:t>
      </w:r>
      <w:r w:rsidRPr="004C13E3">
        <w:rPr>
          <w:rFonts w:cs="Arial"/>
          <w:lang w:val="en-US"/>
        </w:rPr>
        <w:t>Based View and VRIO model assume that sustained benefit comes because of valuable resources that are rare, imitative, and hard to duplicate and embedded within an organisation (Barney, 1991).</w:t>
      </w:r>
    </w:p>
    <w:p w14:paraId="3B842CEE" w14:textId="06665DBF" w:rsidR="007D0DD9" w:rsidRPr="004C13E3" w:rsidRDefault="007D0DD9" w:rsidP="004C13E3">
      <w:pPr>
        <w:jc w:val="both"/>
        <w:rPr>
          <w:rFonts w:cs="Arial"/>
          <w:lang w:val="en-US"/>
        </w:rPr>
      </w:pPr>
      <w:r w:rsidRPr="004C13E3">
        <w:rPr>
          <w:rFonts w:cs="Arial"/>
          <w:lang w:val="en-US"/>
        </w:rPr>
        <w:t>The Greggs brand in the UK has value but is relatively unknown in Dubai and does not provide much immediate benefit beyond the perception of a British high-street. Centralised manufacturing and logistics, standardised recipes, automated production and temperature controlled distribution, would be a good thing to have and it is comparatively unique, but will not readily be transplanted; a local or regional or regional halal-compliant hub will be needed. High volumes at low costs that can be delivered in small footprint is a core strength and must be transferable with localisation to local labour markets and multi-cultural employees. Such new digital features (loyalty application, click-and-collect, integration of aggregators) are useful but will require adaptation to the UAE platform ecosystem and data-privacy regime.</w:t>
      </w:r>
    </w:p>
    <w:p w14:paraId="5375F16D" w14:textId="59013313" w:rsidR="007D0DD9" w:rsidRDefault="007D0DD9" w:rsidP="004C13E3">
      <w:pPr>
        <w:jc w:val="both"/>
        <w:rPr>
          <w:rFonts w:cs="Arial"/>
          <w:lang w:val="en-US"/>
        </w:rPr>
      </w:pPr>
      <w:r w:rsidRPr="004C13E3">
        <w:rPr>
          <w:rFonts w:cs="Arial"/>
          <w:lang w:val="en-US"/>
        </w:rPr>
        <w:t>The thinking of dynamic capabilities informs about the necessity to feel, capture and re-pattern in changing environments (Teece, Pisano and Shuen, 1997; Teece, 2007). At Greggs, the sensing functions include pilots, local market research and granular sale data analysis; seizing involves speedy menu testing, testing formats (mall kiosks, roadside, dark kitchens) and testable pricing; reconfiguring implies construction of Gulf-fit supply chains, process adaptation to a franchised instead of company-owned model, and creation of governance mechanisms between a master and a franchisee.</w:t>
      </w:r>
    </w:p>
    <w:p w14:paraId="2834E19A" w14:textId="7AAF41B0" w:rsidR="001D3661" w:rsidRPr="001D3661" w:rsidRDefault="001D3661" w:rsidP="001D3661">
      <w:pPr>
        <w:rPr>
          <w:rFonts w:cs="Arial"/>
          <w:b/>
          <w:bCs/>
          <w:szCs w:val="24"/>
        </w:rPr>
      </w:pPr>
      <w:r w:rsidRPr="001D3661">
        <w:rPr>
          <w:rFonts w:cs="Arial"/>
          <w:b/>
          <w:bCs/>
          <w:szCs w:val="24"/>
        </w:rPr>
        <w:t>Table</w:t>
      </w:r>
      <w:r>
        <w:rPr>
          <w:rFonts w:cs="Arial"/>
          <w:b/>
          <w:bCs/>
          <w:szCs w:val="24"/>
        </w:rPr>
        <w:t>2:</w:t>
      </w:r>
      <w:r w:rsidRPr="001D3661">
        <w:rPr>
          <w:rFonts w:cs="Arial"/>
          <w:b/>
          <w:bCs/>
          <w:szCs w:val="24"/>
        </w:rPr>
        <w:t xml:space="preserve"> VRIO analysis for key resources</w:t>
      </w:r>
    </w:p>
    <w:tbl>
      <w:tblPr>
        <w:tblStyle w:val="GridTable5Dark-Accent1"/>
        <w:tblW w:w="0" w:type="auto"/>
        <w:tblLook w:val="04A0" w:firstRow="1" w:lastRow="0" w:firstColumn="1" w:lastColumn="0" w:noHBand="0" w:noVBand="1"/>
      </w:tblPr>
      <w:tblGrid>
        <w:gridCol w:w="1883"/>
        <w:gridCol w:w="1349"/>
        <w:gridCol w:w="1403"/>
        <w:gridCol w:w="1136"/>
        <w:gridCol w:w="1402"/>
        <w:gridCol w:w="1843"/>
      </w:tblGrid>
      <w:tr w:rsidR="001D3661" w14:paraId="32AF8AB8" w14:textId="77777777" w:rsidTr="001D36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BF8E17" w14:textId="77777777" w:rsidR="001D3661" w:rsidRPr="001D3661" w:rsidRDefault="001D3661" w:rsidP="001D3661">
            <w:pPr>
              <w:spacing w:line="276" w:lineRule="auto"/>
              <w:jc w:val="center"/>
              <w:rPr>
                <w:rFonts w:cs="Arial"/>
                <w:szCs w:val="24"/>
              </w:rPr>
            </w:pPr>
            <w:r w:rsidRPr="001D3661">
              <w:rPr>
                <w:rFonts w:cs="Arial"/>
                <w:szCs w:val="24"/>
              </w:rPr>
              <w:lastRenderedPageBreak/>
              <w:t>Resource / Capability</w:t>
            </w:r>
          </w:p>
        </w:tc>
        <w:tc>
          <w:tcPr>
            <w:tcW w:w="0" w:type="auto"/>
            <w:hideMark/>
          </w:tcPr>
          <w:p w14:paraId="42BAC439" w14:textId="77777777" w:rsidR="001D3661" w:rsidRPr="001D3661" w:rsidRDefault="001D3661" w:rsidP="001D3661">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szCs w:val="24"/>
              </w:rPr>
            </w:pPr>
            <w:r w:rsidRPr="001D3661">
              <w:rPr>
                <w:rFonts w:cs="Arial"/>
                <w:szCs w:val="24"/>
              </w:rPr>
              <w:t>Valuable?</w:t>
            </w:r>
          </w:p>
        </w:tc>
        <w:tc>
          <w:tcPr>
            <w:tcW w:w="0" w:type="auto"/>
            <w:hideMark/>
          </w:tcPr>
          <w:p w14:paraId="12069D92" w14:textId="77777777" w:rsidR="001D3661" w:rsidRPr="001D3661" w:rsidRDefault="001D3661" w:rsidP="001D3661">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szCs w:val="24"/>
              </w:rPr>
            </w:pPr>
            <w:r w:rsidRPr="001D3661">
              <w:rPr>
                <w:rFonts w:cs="Arial"/>
                <w:szCs w:val="24"/>
              </w:rPr>
              <w:t>Rare (in Dubai)?</w:t>
            </w:r>
          </w:p>
        </w:tc>
        <w:tc>
          <w:tcPr>
            <w:tcW w:w="0" w:type="auto"/>
            <w:hideMark/>
          </w:tcPr>
          <w:p w14:paraId="22D79BDE" w14:textId="77777777" w:rsidR="001D3661" w:rsidRPr="001D3661" w:rsidRDefault="001D3661" w:rsidP="001D3661">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szCs w:val="24"/>
              </w:rPr>
            </w:pPr>
            <w:r w:rsidRPr="001D3661">
              <w:rPr>
                <w:rFonts w:cs="Arial"/>
                <w:szCs w:val="24"/>
              </w:rPr>
              <w:t>Hard to imitate?</w:t>
            </w:r>
          </w:p>
        </w:tc>
        <w:tc>
          <w:tcPr>
            <w:tcW w:w="0" w:type="auto"/>
            <w:hideMark/>
          </w:tcPr>
          <w:p w14:paraId="44836578" w14:textId="77777777" w:rsidR="001D3661" w:rsidRPr="001D3661" w:rsidRDefault="001D3661" w:rsidP="001D3661">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szCs w:val="24"/>
              </w:rPr>
            </w:pPr>
            <w:r w:rsidRPr="001D3661">
              <w:rPr>
                <w:rFonts w:cs="Arial"/>
                <w:szCs w:val="24"/>
              </w:rPr>
              <w:t>Organised to capture value?</w:t>
            </w:r>
          </w:p>
        </w:tc>
        <w:tc>
          <w:tcPr>
            <w:tcW w:w="0" w:type="auto"/>
            <w:hideMark/>
          </w:tcPr>
          <w:p w14:paraId="7FD893EB" w14:textId="77777777" w:rsidR="001D3661" w:rsidRPr="001D3661" w:rsidRDefault="001D3661" w:rsidP="001D3661">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szCs w:val="24"/>
              </w:rPr>
            </w:pPr>
            <w:r w:rsidRPr="001D3661">
              <w:rPr>
                <w:rFonts w:cs="Arial"/>
                <w:szCs w:val="24"/>
              </w:rPr>
              <w:t>Dubai-specific Assessment</w:t>
            </w:r>
          </w:p>
        </w:tc>
      </w:tr>
      <w:tr w:rsidR="001D3661" w14:paraId="4BB70C4D" w14:textId="77777777" w:rsidTr="001D36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698180" w14:textId="77777777" w:rsidR="001D3661" w:rsidRPr="001D3661" w:rsidRDefault="001D3661" w:rsidP="001D3661">
            <w:pPr>
              <w:spacing w:line="276" w:lineRule="auto"/>
              <w:rPr>
                <w:rFonts w:cs="Arial"/>
                <w:b w:val="0"/>
                <w:bCs w:val="0"/>
              </w:rPr>
            </w:pPr>
            <w:r w:rsidRPr="001D3661">
              <w:rPr>
                <w:rFonts w:cs="Arial"/>
              </w:rPr>
              <w:t>UK brand equity</w:t>
            </w:r>
          </w:p>
        </w:tc>
        <w:tc>
          <w:tcPr>
            <w:tcW w:w="0" w:type="auto"/>
            <w:hideMark/>
          </w:tcPr>
          <w:p w14:paraId="5199B802"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Yes (UK)</w:t>
            </w:r>
          </w:p>
        </w:tc>
        <w:tc>
          <w:tcPr>
            <w:tcW w:w="0" w:type="auto"/>
            <w:hideMark/>
          </w:tcPr>
          <w:p w14:paraId="1134FA86"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No</w:t>
            </w:r>
          </w:p>
        </w:tc>
        <w:tc>
          <w:tcPr>
            <w:tcW w:w="0" w:type="auto"/>
            <w:hideMark/>
          </w:tcPr>
          <w:p w14:paraId="387B9955"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Medium</w:t>
            </w:r>
          </w:p>
        </w:tc>
        <w:tc>
          <w:tcPr>
            <w:tcW w:w="0" w:type="auto"/>
            <w:hideMark/>
          </w:tcPr>
          <w:p w14:paraId="78B6239F"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Yes (UK)</w:t>
            </w:r>
          </w:p>
        </w:tc>
        <w:tc>
          <w:tcPr>
            <w:tcW w:w="0" w:type="auto"/>
            <w:hideMark/>
          </w:tcPr>
          <w:p w14:paraId="7E81917B"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Unknown locally; requires investment to build awareness</w:t>
            </w:r>
          </w:p>
        </w:tc>
      </w:tr>
      <w:tr w:rsidR="001D3661" w14:paraId="5C6BA40C" w14:textId="77777777" w:rsidTr="001D3661">
        <w:tc>
          <w:tcPr>
            <w:cnfStyle w:val="001000000000" w:firstRow="0" w:lastRow="0" w:firstColumn="1" w:lastColumn="0" w:oddVBand="0" w:evenVBand="0" w:oddHBand="0" w:evenHBand="0" w:firstRowFirstColumn="0" w:firstRowLastColumn="0" w:lastRowFirstColumn="0" w:lastRowLastColumn="0"/>
            <w:tcW w:w="0" w:type="auto"/>
            <w:hideMark/>
          </w:tcPr>
          <w:p w14:paraId="485FC01C" w14:textId="77777777" w:rsidR="001D3661" w:rsidRPr="001D3661" w:rsidRDefault="001D3661" w:rsidP="001D3661">
            <w:pPr>
              <w:spacing w:line="276" w:lineRule="auto"/>
              <w:rPr>
                <w:rFonts w:cs="Arial"/>
              </w:rPr>
            </w:pPr>
            <w:r w:rsidRPr="001D3661">
              <w:rPr>
                <w:rFonts w:cs="Arial"/>
              </w:rPr>
              <w:t>Centralised manufacturing know-how</w:t>
            </w:r>
          </w:p>
        </w:tc>
        <w:tc>
          <w:tcPr>
            <w:tcW w:w="0" w:type="auto"/>
            <w:hideMark/>
          </w:tcPr>
          <w:p w14:paraId="1C59DFB8"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Yes</w:t>
            </w:r>
          </w:p>
        </w:tc>
        <w:tc>
          <w:tcPr>
            <w:tcW w:w="0" w:type="auto"/>
            <w:hideMark/>
          </w:tcPr>
          <w:p w14:paraId="3EE85EC0"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Yes</w:t>
            </w:r>
          </w:p>
        </w:tc>
        <w:tc>
          <w:tcPr>
            <w:tcW w:w="0" w:type="auto"/>
            <w:hideMark/>
          </w:tcPr>
          <w:p w14:paraId="7387BB79"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Yes</w:t>
            </w:r>
          </w:p>
        </w:tc>
        <w:tc>
          <w:tcPr>
            <w:tcW w:w="0" w:type="auto"/>
            <w:hideMark/>
          </w:tcPr>
          <w:p w14:paraId="392FF4FD"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Yes</w:t>
            </w:r>
          </w:p>
        </w:tc>
        <w:tc>
          <w:tcPr>
            <w:tcW w:w="0" w:type="auto"/>
            <w:hideMark/>
          </w:tcPr>
          <w:p w14:paraId="7FD65444"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Can inform local/regional production but must adapt to halal/regulation</w:t>
            </w:r>
          </w:p>
        </w:tc>
      </w:tr>
      <w:tr w:rsidR="001D3661" w14:paraId="79CE6BEC" w14:textId="77777777" w:rsidTr="001D36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813734" w14:textId="77777777" w:rsidR="001D3661" w:rsidRPr="001D3661" w:rsidRDefault="001D3661" w:rsidP="001D3661">
            <w:pPr>
              <w:spacing w:line="276" w:lineRule="auto"/>
              <w:rPr>
                <w:rFonts w:cs="Arial"/>
              </w:rPr>
            </w:pPr>
            <w:r w:rsidRPr="001D3661">
              <w:rPr>
                <w:rFonts w:cs="Arial"/>
              </w:rPr>
              <w:t>Low-cost, high-volume store operations</w:t>
            </w:r>
          </w:p>
        </w:tc>
        <w:tc>
          <w:tcPr>
            <w:tcW w:w="0" w:type="auto"/>
            <w:hideMark/>
          </w:tcPr>
          <w:p w14:paraId="002F8D60"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Yes</w:t>
            </w:r>
          </w:p>
        </w:tc>
        <w:tc>
          <w:tcPr>
            <w:tcW w:w="0" w:type="auto"/>
            <w:hideMark/>
          </w:tcPr>
          <w:p w14:paraId="3B4F5A4A"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Relatively yes</w:t>
            </w:r>
          </w:p>
        </w:tc>
        <w:tc>
          <w:tcPr>
            <w:tcW w:w="0" w:type="auto"/>
            <w:hideMark/>
          </w:tcPr>
          <w:p w14:paraId="6E47AE7C"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Medium</w:t>
            </w:r>
          </w:p>
        </w:tc>
        <w:tc>
          <w:tcPr>
            <w:tcW w:w="0" w:type="auto"/>
            <w:hideMark/>
          </w:tcPr>
          <w:p w14:paraId="4EFDBEF6"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Yes</w:t>
            </w:r>
          </w:p>
        </w:tc>
        <w:tc>
          <w:tcPr>
            <w:tcW w:w="0" w:type="auto"/>
            <w:hideMark/>
          </w:tcPr>
          <w:p w14:paraId="7793BD34"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Transferable but needs tailoring to Dubai labour &amp; rent structures</w:t>
            </w:r>
          </w:p>
        </w:tc>
      </w:tr>
      <w:tr w:rsidR="001D3661" w14:paraId="41371557" w14:textId="77777777" w:rsidTr="001D3661">
        <w:tc>
          <w:tcPr>
            <w:cnfStyle w:val="001000000000" w:firstRow="0" w:lastRow="0" w:firstColumn="1" w:lastColumn="0" w:oddVBand="0" w:evenVBand="0" w:oddHBand="0" w:evenHBand="0" w:firstRowFirstColumn="0" w:firstRowLastColumn="0" w:lastRowFirstColumn="0" w:lastRowLastColumn="0"/>
            <w:tcW w:w="0" w:type="auto"/>
            <w:hideMark/>
          </w:tcPr>
          <w:p w14:paraId="7F0F3CA2" w14:textId="77777777" w:rsidR="001D3661" w:rsidRPr="001D3661" w:rsidRDefault="001D3661" w:rsidP="001D3661">
            <w:pPr>
              <w:spacing w:line="276" w:lineRule="auto"/>
              <w:rPr>
                <w:rFonts w:cs="Arial"/>
              </w:rPr>
            </w:pPr>
            <w:r w:rsidRPr="001D3661">
              <w:rPr>
                <w:rFonts w:cs="Arial"/>
              </w:rPr>
              <w:t>Product development (bakery &amp; snacks)</w:t>
            </w:r>
          </w:p>
        </w:tc>
        <w:tc>
          <w:tcPr>
            <w:tcW w:w="0" w:type="auto"/>
            <w:hideMark/>
          </w:tcPr>
          <w:p w14:paraId="06961575"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Yes</w:t>
            </w:r>
          </w:p>
        </w:tc>
        <w:tc>
          <w:tcPr>
            <w:tcW w:w="0" w:type="auto"/>
            <w:hideMark/>
          </w:tcPr>
          <w:p w14:paraId="46C1CDB2"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Yes</w:t>
            </w:r>
          </w:p>
        </w:tc>
        <w:tc>
          <w:tcPr>
            <w:tcW w:w="0" w:type="auto"/>
            <w:hideMark/>
          </w:tcPr>
          <w:p w14:paraId="13FCF53E"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Medium</w:t>
            </w:r>
          </w:p>
        </w:tc>
        <w:tc>
          <w:tcPr>
            <w:tcW w:w="0" w:type="auto"/>
            <w:hideMark/>
          </w:tcPr>
          <w:p w14:paraId="6A58FB40"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Yes</w:t>
            </w:r>
          </w:p>
        </w:tc>
        <w:tc>
          <w:tcPr>
            <w:tcW w:w="0" w:type="auto"/>
            <w:hideMark/>
          </w:tcPr>
          <w:p w14:paraId="72ABBB23"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Basis for creating locally resonant but “Greggs-like” items</w:t>
            </w:r>
          </w:p>
        </w:tc>
      </w:tr>
      <w:tr w:rsidR="001D3661" w14:paraId="2F6356CD" w14:textId="77777777" w:rsidTr="001D36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3A8C89" w14:textId="77777777" w:rsidR="001D3661" w:rsidRPr="001D3661" w:rsidRDefault="001D3661" w:rsidP="001D3661">
            <w:pPr>
              <w:spacing w:line="276" w:lineRule="auto"/>
              <w:rPr>
                <w:rFonts w:cs="Arial"/>
              </w:rPr>
            </w:pPr>
            <w:r w:rsidRPr="001D3661">
              <w:rPr>
                <w:rFonts w:cs="Arial"/>
              </w:rPr>
              <w:t>Digital capabilities (app, aggregator links)</w:t>
            </w:r>
          </w:p>
        </w:tc>
        <w:tc>
          <w:tcPr>
            <w:tcW w:w="0" w:type="auto"/>
            <w:hideMark/>
          </w:tcPr>
          <w:p w14:paraId="562E4D1E"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Yes</w:t>
            </w:r>
          </w:p>
        </w:tc>
        <w:tc>
          <w:tcPr>
            <w:tcW w:w="0" w:type="auto"/>
            <w:hideMark/>
          </w:tcPr>
          <w:p w14:paraId="495160B9"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Moderately</w:t>
            </w:r>
          </w:p>
        </w:tc>
        <w:tc>
          <w:tcPr>
            <w:tcW w:w="0" w:type="auto"/>
            <w:hideMark/>
          </w:tcPr>
          <w:p w14:paraId="51F87777"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Medium</w:t>
            </w:r>
          </w:p>
        </w:tc>
        <w:tc>
          <w:tcPr>
            <w:tcW w:w="0" w:type="auto"/>
            <w:hideMark/>
          </w:tcPr>
          <w:p w14:paraId="440BFD67"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Emerging</w:t>
            </w:r>
          </w:p>
        </w:tc>
        <w:tc>
          <w:tcPr>
            <w:tcW w:w="0" w:type="auto"/>
            <w:hideMark/>
          </w:tcPr>
          <w:p w14:paraId="1B0524D9" w14:textId="77777777" w:rsidR="001D3661" w:rsidRDefault="001D3661" w:rsidP="001D3661">
            <w:pPr>
              <w:spacing w:line="276" w:lineRule="auto"/>
              <w:cnfStyle w:val="000000100000" w:firstRow="0" w:lastRow="0" w:firstColumn="0" w:lastColumn="0" w:oddVBand="0" w:evenVBand="0" w:oddHBand="1" w:evenHBand="0" w:firstRowFirstColumn="0" w:firstRowLastColumn="0" w:lastRowFirstColumn="0" w:lastRowLastColumn="0"/>
            </w:pPr>
            <w:r>
              <w:t>Must be reconfigured for UAE platform ecosystem</w:t>
            </w:r>
          </w:p>
        </w:tc>
      </w:tr>
      <w:tr w:rsidR="001D3661" w14:paraId="3CBA21DD" w14:textId="77777777" w:rsidTr="001D3661">
        <w:tc>
          <w:tcPr>
            <w:cnfStyle w:val="001000000000" w:firstRow="0" w:lastRow="0" w:firstColumn="1" w:lastColumn="0" w:oddVBand="0" w:evenVBand="0" w:oddHBand="0" w:evenHBand="0" w:firstRowFirstColumn="0" w:firstRowLastColumn="0" w:lastRowFirstColumn="0" w:lastRowLastColumn="0"/>
            <w:tcW w:w="0" w:type="auto"/>
            <w:hideMark/>
          </w:tcPr>
          <w:p w14:paraId="1105B245" w14:textId="77777777" w:rsidR="001D3661" w:rsidRPr="001D3661" w:rsidRDefault="001D3661" w:rsidP="001D3661">
            <w:pPr>
              <w:spacing w:line="276" w:lineRule="auto"/>
              <w:rPr>
                <w:rFonts w:cs="Arial"/>
              </w:rPr>
            </w:pPr>
            <w:r w:rsidRPr="001D3661">
              <w:rPr>
                <w:rFonts w:cs="Arial"/>
              </w:rPr>
              <w:t>Franchise management experience (UK)</w:t>
            </w:r>
          </w:p>
        </w:tc>
        <w:tc>
          <w:tcPr>
            <w:tcW w:w="0" w:type="auto"/>
            <w:hideMark/>
          </w:tcPr>
          <w:p w14:paraId="2294B299"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Yes</w:t>
            </w:r>
          </w:p>
        </w:tc>
        <w:tc>
          <w:tcPr>
            <w:tcW w:w="0" w:type="auto"/>
            <w:hideMark/>
          </w:tcPr>
          <w:p w14:paraId="3D944D88"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No</w:t>
            </w:r>
          </w:p>
        </w:tc>
        <w:tc>
          <w:tcPr>
            <w:tcW w:w="0" w:type="auto"/>
            <w:hideMark/>
          </w:tcPr>
          <w:p w14:paraId="7D6F2BDA"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Medium</w:t>
            </w:r>
          </w:p>
        </w:tc>
        <w:tc>
          <w:tcPr>
            <w:tcW w:w="0" w:type="auto"/>
            <w:hideMark/>
          </w:tcPr>
          <w:p w14:paraId="2CF2350B"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Growing</w:t>
            </w:r>
          </w:p>
        </w:tc>
        <w:tc>
          <w:tcPr>
            <w:tcW w:w="0" w:type="auto"/>
            <w:hideMark/>
          </w:tcPr>
          <w:p w14:paraId="62E9C1BC" w14:textId="77777777" w:rsidR="001D3661" w:rsidRDefault="001D3661" w:rsidP="001D3661">
            <w:pPr>
              <w:spacing w:line="276" w:lineRule="auto"/>
              <w:cnfStyle w:val="000000000000" w:firstRow="0" w:lastRow="0" w:firstColumn="0" w:lastColumn="0" w:oddVBand="0" w:evenVBand="0" w:oddHBand="0" w:evenHBand="0" w:firstRowFirstColumn="0" w:firstRowLastColumn="0" w:lastRowFirstColumn="0" w:lastRowLastColumn="0"/>
            </w:pPr>
            <w:r>
              <w:t>Crucial to scale; needs upgrading for international context</w:t>
            </w:r>
          </w:p>
        </w:tc>
      </w:tr>
    </w:tbl>
    <w:p w14:paraId="5A9E2D80" w14:textId="77777777" w:rsidR="001D3661" w:rsidRPr="004C13E3" w:rsidRDefault="001D3661" w:rsidP="004C13E3">
      <w:pPr>
        <w:jc w:val="both"/>
        <w:rPr>
          <w:rFonts w:cs="Arial"/>
          <w:lang w:val="en-US"/>
        </w:rPr>
      </w:pPr>
    </w:p>
    <w:p w14:paraId="361BA520" w14:textId="1E115086" w:rsidR="007D0DD9" w:rsidRPr="00FD5847" w:rsidRDefault="007D0DD9" w:rsidP="00FD5847">
      <w:pPr>
        <w:pStyle w:val="Heading2"/>
        <w:rPr>
          <w:rFonts w:eastAsia="Times New Roman"/>
          <w:sz w:val="28"/>
          <w:szCs w:val="28"/>
          <w:lang w:val="en-US"/>
        </w:rPr>
      </w:pPr>
      <w:bookmarkStart w:id="10" w:name="_Toc215316308"/>
      <w:r w:rsidRPr="00FD5847">
        <w:rPr>
          <w:rFonts w:eastAsia="Times New Roman"/>
          <w:sz w:val="28"/>
          <w:szCs w:val="28"/>
          <w:lang w:val="en-US"/>
        </w:rPr>
        <w:t>3.4 Synthesis: strategic issues that arise out of the analysis</w:t>
      </w:r>
      <w:bookmarkEnd w:id="10"/>
    </w:p>
    <w:p w14:paraId="721665F3" w14:textId="036F4DA5" w:rsidR="007D0DD9" w:rsidRPr="00A741B4" w:rsidRDefault="007D0DD9" w:rsidP="00A741B4">
      <w:pPr>
        <w:jc w:val="both"/>
        <w:rPr>
          <w:rFonts w:cs="Arial"/>
          <w:lang w:val="en-US"/>
        </w:rPr>
      </w:pPr>
      <w:r w:rsidRPr="004C13E3">
        <w:rPr>
          <w:rFonts w:cs="Arial"/>
          <w:lang w:val="en-US"/>
        </w:rPr>
        <w:t xml:space="preserve">There are four strategic issues that are interrelated. To begin with, Greggs should balance between its low-price, high-volume business model and high rents and landlord-oriented retail framework in Dubai, which suggests cautious selection of the </w:t>
      </w:r>
      <w:r w:rsidRPr="004C13E3">
        <w:rPr>
          <w:rFonts w:cs="Arial"/>
          <w:lang w:val="en-US"/>
        </w:rPr>
        <w:lastRenderedPageBreak/>
        <w:t>location and the agreement with an influential local alliance. Second, it has had to struggle with creation of brand awareness and relevance in an oversaturated, brand-sensitive market without its value positioning being watered down. Third, the company should develop a supply chain that is environmental and halal compliant that will meet the high standards of UAE food-safety and climate-related regulations without compromising on margins. Fourthly, Greggs will need to decide on entry mode and partner structure that strike a balance between control, risk-sharing and speed-of-learning, and development of dynamic capabilities to withstand changes in consumer tastes and regulatory environments in the Gulf.</w:t>
      </w:r>
    </w:p>
    <w:p w14:paraId="66575769" w14:textId="5C9D5E02" w:rsidR="00B60FBD" w:rsidRPr="00A741B4" w:rsidRDefault="00B60FBD" w:rsidP="00A741B4">
      <w:pPr>
        <w:pStyle w:val="Heading1"/>
        <w:spacing w:line="480" w:lineRule="auto"/>
        <w:rPr>
          <w:b/>
          <w:bCs/>
          <w:sz w:val="32"/>
          <w:szCs w:val="32"/>
          <w:lang w:val="en-US"/>
        </w:rPr>
      </w:pPr>
      <w:bookmarkStart w:id="11" w:name="_Toc215316309"/>
      <w:r w:rsidRPr="00A741B4">
        <w:rPr>
          <w:b/>
          <w:bCs/>
          <w:sz w:val="32"/>
          <w:szCs w:val="32"/>
          <w:lang w:val="en-US"/>
        </w:rPr>
        <w:t>4.</w:t>
      </w:r>
      <w:r w:rsidR="00961BC0" w:rsidRPr="00A741B4">
        <w:rPr>
          <w:b/>
          <w:bCs/>
          <w:sz w:val="32"/>
          <w:szCs w:val="32"/>
          <w:lang w:val="en-US"/>
        </w:rPr>
        <w:t xml:space="preserve"> Strategy Development and Formulation</w:t>
      </w:r>
      <w:bookmarkEnd w:id="11"/>
    </w:p>
    <w:p w14:paraId="3FC14D75" w14:textId="2ADD360D" w:rsidR="00B60FBD" w:rsidRPr="00A741B4" w:rsidRDefault="00A741B4" w:rsidP="00A741B4">
      <w:pPr>
        <w:pStyle w:val="Heading2"/>
        <w:rPr>
          <w:sz w:val="28"/>
          <w:szCs w:val="28"/>
          <w:lang w:val="en-US"/>
        </w:rPr>
      </w:pPr>
      <w:bookmarkStart w:id="12" w:name="_Toc215316310"/>
      <w:r w:rsidRPr="00A741B4">
        <w:rPr>
          <w:sz w:val="28"/>
          <w:szCs w:val="28"/>
          <w:lang w:val="en-US"/>
        </w:rPr>
        <w:t xml:space="preserve">4.1 </w:t>
      </w:r>
      <w:r w:rsidR="00B60FBD" w:rsidRPr="00A741B4">
        <w:rPr>
          <w:sz w:val="28"/>
          <w:szCs w:val="28"/>
          <w:lang w:val="en-US"/>
        </w:rPr>
        <w:t>The development of strategic options</w:t>
      </w:r>
      <w:bookmarkEnd w:id="12"/>
    </w:p>
    <w:p w14:paraId="75C55412" w14:textId="77777777" w:rsidR="00B60FBD" w:rsidRPr="00047DEE" w:rsidRDefault="00B60FBD" w:rsidP="00047DEE">
      <w:pPr>
        <w:jc w:val="both"/>
        <w:rPr>
          <w:rFonts w:cs="Arial"/>
          <w:lang w:val="en-US"/>
        </w:rPr>
      </w:pPr>
      <w:r w:rsidRPr="00047DEE">
        <w:rPr>
          <w:rFonts w:cs="Arial"/>
          <w:lang w:val="en-US"/>
        </w:rPr>
        <w:t>In the product-market matrix created by Ansoff, Greggs entering Dubai is a market development strategy: developed products and capabilities in a new geographical and cultural location (Ansoff, 1957; Competitors App, 2024). Three options of realistic entry come into being.</w:t>
      </w:r>
    </w:p>
    <w:p w14:paraId="2E373D30" w14:textId="29370AF1" w:rsidR="00B60FBD" w:rsidRPr="00047DEE" w:rsidRDefault="00047DEE" w:rsidP="00047DEE">
      <w:pPr>
        <w:jc w:val="both"/>
        <w:rPr>
          <w:rFonts w:cs="Arial"/>
          <w:b/>
          <w:bCs/>
          <w:lang w:val="en-US"/>
        </w:rPr>
      </w:pPr>
      <w:r>
        <w:rPr>
          <w:rFonts w:cs="Arial"/>
          <w:b/>
          <w:bCs/>
          <w:lang w:val="en-US"/>
        </w:rPr>
        <w:t>Option</w:t>
      </w:r>
      <w:r w:rsidR="00B60FBD" w:rsidRPr="00047DEE">
        <w:rPr>
          <w:rFonts w:cs="Arial"/>
          <w:b/>
          <w:bCs/>
          <w:lang w:val="en-US"/>
        </w:rPr>
        <w:t xml:space="preserve"> A </w:t>
      </w:r>
      <w:r>
        <w:rPr>
          <w:rFonts w:cs="Arial"/>
          <w:b/>
          <w:bCs/>
          <w:lang w:val="en-US"/>
        </w:rPr>
        <w:t xml:space="preserve">- </w:t>
      </w:r>
      <w:r w:rsidR="00B60FBD" w:rsidRPr="00047DEE">
        <w:rPr>
          <w:rFonts w:cs="Arial"/>
          <w:b/>
          <w:bCs/>
          <w:lang w:val="en-US"/>
        </w:rPr>
        <w:t>Flagship joint venture (JV) in luxury malls</w:t>
      </w:r>
    </w:p>
    <w:p w14:paraId="18331DA7" w14:textId="77777777" w:rsidR="00B60FBD" w:rsidRPr="00047DEE" w:rsidRDefault="00B60FBD" w:rsidP="00047DEE">
      <w:pPr>
        <w:jc w:val="both"/>
        <w:rPr>
          <w:rFonts w:cs="Arial"/>
          <w:lang w:val="en-US"/>
        </w:rPr>
      </w:pPr>
      <w:r w:rsidRPr="00047DEE">
        <w:rPr>
          <w:rFonts w:cs="Arial"/>
          <w:lang w:val="en-US"/>
        </w:rPr>
        <w:t>Greggs enters into an equity JV with one of the major gulf retail/real-estate firms to operate flagship stores in super-regional malls and major transit points. This maintains great brand, menu and operations control and adds to the exploitation of the partner access to prime sites and marketing. But it is capital intensive, places Greggs at the mercies of local legal and political risk and it will take long-term attention of the senior management (Dunning, 1988). This is a first international step that is a demanding one given that Greggs has a limited scalability due to its capital and bandwidth.</w:t>
      </w:r>
    </w:p>
    <w:p w14:paraId="7C054085" w14:textId="0CFA5BF0" w:rsidR="00B60FBD" w:rsidRPr="00047DEE" w:rsidRDefault="00047DEE" w:rsidP="00047DEE">
      <w:pPr>
        <w:jc w:val="both"/>
        <w:rPr>
          <w:rFonts w:cs="Arial"/>
          <w:b/>
          <w:bCs/>
          <w:lang w:val="en-US"/>
        </w:rPr>
      </w:pPr>
      <w:r>
        <w:rPr>
          <w:rFonts w:cs="Arial"/>
          <w:b/>
          <w:bCs/>
          <w:lang w:val="en-US"/>
        </w:rPr>
        <w:t>Option</w:t>
      </w:r>
      <w:r w:rsidR="00B60FBD" w:rsidRPr="00047DEE">
        <w:rPr>
          <w:rFonts w:cs="Arial"/>
          <w:b/>
          <w:bCs/>
          <w:lang w:val="en-US"/>
        </w:rPr>
        <w:t xml:space="preserve"> B - Master franchise with an already established F&amp;B operator</w:t>
      </w:r>
    </w:p>
    <w:p w14:paraId="708918A3" w14:textId="77777777" w:rsidR="00B60FBD" w:rsidRPr="00047DEE" w:rsidRDefault="00B60FBD" w:rsidP="00047DEE">
      <w:pPr>
        <w:jc w:val="both"/>
        <w:rPr>
          <w:rFonts w:cs="Arial"/>
          <w:lang w:val="en-US"/>
        </w:rPr>
      </w:pPr>
      <w:r w:rsidRPr="00047DEE">
        <w:rPr>
          <w:rFonts w:cs="Arial"/>
          <w:lang w:val="en-US"/>
        </w:rPr>
        <w:t xml:space="preserve">Greggs offers a master franchise to an experienced local F&amp;B company to build Greggs outlets in Dubai/the UAE on a small upfront payment and royalties (Fieldfisher, 2023; UNIDROIT, 2007). This is in keeping with the increasing franchise adoption of Greggs and conforms to the franchise-driven F&amp;B industry in the UAE (IG, 2024; Mondaq, 2023). The capital and operations risk are concentrated on the franchisee, </w:t>
      </w:r>
      <w:r w:rsidRPr="00047DEE">
        <w:rPr>
          <w:rFonts w:cs="Arial"/>
          <w:lang w:val="en-US"/>
        </w:rPr>
        <w:lastRenderedPageBreak/>
        <w:t>whereas Greggs is concerned with brand, product and system design. The literature has indicated that franchising can alleviate capital limitations and harmonise incentives through royalties and development fee (Combs and Ketchen, 1999; Combs et al., 2011; Merrilees, 2006; Alon, 2021). The trade-off is less direct control and possible lack of intervention in case the master franchisee is not performing well (Levitt, 2012).</w:t>
      </w:r>
    </w:p>
    <w:p w14:paraId="56831BD3" w14:textId="7EEDFE1C" w:rsidR="00B60FBD" w:rsidRPr="00047DEE" w:rsidRDefault="00B60FBD" w:rsidP="00047DEE">
      <w:pPr>
        <w:jc w:val="both"/>
        <w:rPr>
          <w:rFonts w:cs="Arial"/>
          <w:b/>
          <w:bCs/>
          <w:lang w:val="en-US"/>
        </w:rPr>
      </w:pPr>
      <w:r w:rsidRPr="00047DEE">
        <w:rPr>
          <w:rFonts w:cs="Arial"/>
          <w:b/>
          <w:bCs/>
          <w:lang w:val="en-US"/>
        </w:rPr>
        <w:t>Option C</w:t>
      </w:r>
      <w:r w:rsidR="00047DEE" w:rsidRPr="00047DEE">
        <w:rPr>
          <w:rFonts w:cs="Arial"/>
          <w:b/>
          <w:bCs/>
          <w:lang w:val="en-US"/>
        </w:rPr>
        <w:t xml:space="preserve"> - </w:t>
      </w:r>
      <w:r w:rsidRPr="00047DEE">
        <w:rPr>
          <w:rFonts w:cs="Arial"/>
          <w:b/>
          <w:bCs/>
          <w:lang w:val="en-US"/>
        </w:rPr>
        <w:t>Asset-light, digital</w:t>
      </w:r>
      <w:r w:rsidR="00047DEE" w:rsidRPr="00047DEE">
        <w:rPr>
          <w:rFonts w:cs="Arial"/>
          <w:b/>
          <w:bCs/>
          <w:lang w:val="en-US"/>
        </w:rPr>
        <w:t xml:space="preserve"> </w:t>
      </w:r>
      <w:r w:rsidRPr="00047DEE">
        <w:rPr>
          <w:rFonts w:cs="Arial"/>
          <w:b/>
          <w:bCs/>
          <w:lang w:val="en-US"/>
        </w:rPr>
        <w:t>led entry</w:t>
      </w:r>
    </w:p>
    <w:p w14:paraId="7ECF5C2B" w14:textId="5C1A98C7" w:rsidR="00B60FBD" w:rsidRPr="00047DEE" w:rsidRDefault="00B60FBD" w:rsidP="00047DEE">
      <w:pPr>
        <w:jc w:val="both"/>
        <w:rPr>
          <w:rFonts w:cs="Arial"/>
          <w:lang w:val="en-US"/>
        </w:rPr>
      </w:pPr>
      <w:r w:rsidRPr="00047DEE">
        <w:rPr>
          <w:rFonts w:cs="Arial"/>
          <w:lang w:val="en-US"/>
        </w:rPr>
        <w:t>This alternative focuses on a central kitchen and dark kitchens that are halal</w:t>
      </w:r>
      <w:r w:rsidR="00047DEE">
        <w:rPr>
          <w:rFonts w:cs="Arial"/>
          <w:lang w:val="en-US"/>
        </w:rPr>
        <w:t xml:space="preserve"> </w:t>
      </w:r>
      <w:r w:rsidRPr="00047DEE">
        <w:rPr>
          <w:rFonts w:cs="Arial"/>
          <w:lang w:val="en-US"/>
        </w:rPr>
        <w:t>certified and a small number of anchor stores, through which sales are primarily made by delivery services. It reduces high-rent exposure and allows quick experimentation at the expense of physical brand presence in a mall-focused culture and needs sophisticated data and partner management.</w:t>
      </w:r>
    </w:p>
    <w:p w14:paraId="1F47DEC7" w14:textId="33DDD1E0" w:rsidR="00B60FBD" w:rsidRPr="00047DEE" w:rsidRDefault="00B60FBD" w:rsidP="00047DEE">
      <w:pPr>
        <w:jc w:val="both"/>
        <w:rPr>
          <w:rFonts w:cs="Arial"/>
          <w:lang w:val="en-US"/>
        </w:rPr>
      </w:pPr>
      <w:r w:rsidRPr="00047DEE">
        <w:rPr>
          <w:rFonts w:cs="Arial"/>
          <w:lang w:val="en-US"/>
        </w:rPr>
        <w:t>In general, alternative B is the most compatible with the plural-form model of Greggs and the organisation Dubai F&amp;B (Combs and Ketchen, 2004; Rosado-Serrano, Paul and Dikova, 2018). Perhaps chosen items of the Option C (in particular, dark kitchens) can be incorporated into an incremental master-franchise path, which results in a hybrid approach that is moderately controlling, fast learning, and learning.</w:t>
      </w:r>
    </w:p>
    <w:p w14:paraId="233A48D8" w14:textId="3FAB90C6" w:rsidR="00B60FBD" w:rsidRPr="00047DEE" w:rsidRDefault="00B60FBD" w:rsidP="00047DEE">
      <w:pPr>
        <w:pStyle w:val="Heading2"/>
        <w:rPr>
          <w:sz w:val="28"/>
          <w:szCs w:val="28"/>
          <w:lang w:val="en-US"/>
        </w:rPr>
      </w:pPr>
      <w:bookmarkStart w:id="13" w:name="_Toc215316311"/>
      <w:r w:rsidRPr="00047DEE">
        <w:rPr>
          <w:sz w:val="28"/>
          <w:szCs w:val="28"/>
          <w:lang w:val="en-US"/>
        </w:rPr>
        <w:t>4.2 Dubai entry strategy recommendation</w:t>
      </w:r>
      <w:bookmarkEnd w:id="13"/>
    </w:p>
    <w:p w14:paraId="0E094410" w14:textId="72747318" w:rsidR="00B60FBD" w:rsidRPr="00047DEE" w:rsidRDefault="00B60FBD" w:rsidP="00487AA0">
      <w:pPr>
        <w:pStyle w:val="Heading3"/>
        <w:rPr>
          <w:b/>
          <w:bCs/>
          <w:sz w:val="24"/>
          <w:szCs w:val="24"/>
          <w:lang w:val="en-US"/>
        </w:rPr>
      </w:pPr>
      <w:bookmarkStart w:id="14" w:name="_Toc215316312"/>
      <w:r w:rsidRPr="00047DEE">
        <w:rPr>
          <w:b/>
          <w:bCs/>
          <w:sz w:val="24"/>
          <w:szCs w:val="24"/>
          <w:lang w:val="en-US"/>
        </w:rPr>
        <w:t>4.2.1 Partnership structure and mode of entry</w:t>
      </w:r>
      <w:bookmarkEnd w:id="14"/>
    </w:p>
    <w:p w14:paraId="1484D921" w14:textId="77777777" w:rsidR="00B60FBD" w:rsidRPr="00047DEE" w:rsidRDefault="00B60FBD" w:rsidP="00047DEE">
      <w:pPr>
        <w:jc w:val="both"/>
        <w:rPr>
          <w:rFonts w:cs="Arial"/>
          <w:lang w:val="en-US"/>
        </w:rPr>
      </w:pPr>
      <w:r w:rsidRPr="00047DEE">
        <w:rPr>
          <w:rFonts w:cs="Arial"/>
          <w:lang w:val="en-US"/>
        </w:rPr>
        <w:t>The suggested entry mode is a staged master franchise where large Gulf F&amp;B/retail group with an option to expand to UAE or GCC is considered, initially with a focus on Dubai. The rationale is given by the OLI paradigm by Dunning (Dunning, 1988):</w:t>
      </w:r>
    </w:p>
    <w:p w14:paraId="478A8D1F" w14:textId="77777777" w:rsidR="00B60FBD" w:rsidRPr="007165ED" w:rsidRDefault="00B60FBD" w:rsidP="007165ED">
      <w:pPr>
        <w:pStyle w:val="ListParagraph"/>
        <w:numPr>
          <w:ilvl w:val="0"/>
          <w:numId w:val="18"/>
        </w:numPr>
        <w:jc w:val="both"/>
        <w:rPr>
          <w:rFonts w:cs="Arial"/>
          <w:lang w:val="en-US"/>
        </w:rPr>
      </w:pPr>
      <w:r w:rsidRPr="007165ED">
        <w:rPr>
          <w:rFonts w:cs="Arial"/>
          <w:lang w:val="en-US"/>
        </w:rPr>
        <w:t>Ownership (O): Greggs can provide firm-specific benefits, brand, recipes, knowledge of production, low-cost operating routines and digital provisions, which are encoded in manuals, training and information technology templates.</w:t>
      </w:r>
    </w:p>
    <w:p w14:paraId="2954B8B4" w14:textId="77777777" w:rsidR="00B60FBD" w:rsidRPr="007165ED" w:rsidRDefault="00B60FBD" w:rsidP="007165ED">
      <w:pPr>
        <w:pStyle w:val="ListParagraph"/>
        <w:numPr>
          <w:ilvl w:val="0"/>
          <w:numId w:val="18"/>
        </w:numPr>
        <w:jc w:val="both"/>
        <w:rPr>
          <w:rFonts w:cs="Arial"/>
          <w:lang w:val="en-US"/>
        </w:rPr>
      </w:pPr>
      <w:r w:rsidRPr="007165ED">
        <w:rPr>
          <w:rFonts w:cs="Arial"/>
          <w:lang w:val="en-US"/>
        </w:rPr>
        <w:t>Location (L): Dubai has high demand based on high income and is tourism-driven with good retail infrastructure and high rents and cultural/regulatory distance therefore good, but risky, in terms of heavy wholly owned investment.</w:t>
      </w:r>
    </w:p>
    <w:p w14:paraId="323E8E15" w14:textId="7F901444" w:rsidR="00B60FBD" w:rsidRPr="007165ED" w:rsidRDefault="00B60FBD" w:rsidP="007165ED">
      <w:pPr>
        <w:pStyle w:val="ListParagraph"/>
        <w:numPr>
          <w:ilvl w:val="0"/>
          <w:numId w:val="18"/>
        </w:numPr>
        <w:jc w:val="both"/>
        <w:rPr>
          <w:rFonts w:cs="Arial"/>
          <w:lang w:val="en-US"/>
        </w:rPr>
      </w:pPr>
      <w:r w:rsidRPr="007165ED">
        <w:rPr>
          <w:rFonts w:cs="Arial"/>
          <w:lang w:val="en-US"/>
        </w:rPr>
        <w:t xml:space="preserve">Internalisation (I): The subsidiaries would maximise control at the cost of great capital and managerial burden. The Master franchise will enable Greggs to </w:t>
      </w:r>
      <w:r w:rsidRPr="007165ED">
        <w:rPr>
          <w:rFonts w:cs="Arial"/>
          <w:lang w:val="en-US"/>
        </w:rPr>
        <w:lastRenderedPageBreak/>
        <w:t>maintain brand and product control and externalise store investment and local HR/regulatory navigation.</w:t>
      </w:r>
    </w:p>
    <w:p w14:paraId="24DD9A6A" w14:textId="77777777" w:rsidR="00B60FBD" w:rsidRPr="00047DEE" w:rsidRDefault="00B60FBD" w:rsidP="00047DEE">
      <w:pPr>
        <w:jc w:val="both"/>
        <w:rPr>
          <w:rFonts w:cs="Arial"/>
          <w:lang w:val="en-US"/>
        </w:rPr>
      </w:pPr>
      <w:r w:rsidRPr="00047DEE">
        <w:rPr>
          <w:rFonts w:cs="Arial"/>
          <w:lang w:val="en-US"/>
        </w:rPr>
        <w:t>Master franchising is also very popular as a shortcut to globalisation in franchise-mature markets (Alon et al., 2003; Rosado-Serrano, Paul and Dikova, 2018), and the F&amp;B franchising is well developed in the UAE (Mondaq, 2023; Berry and Chadda, 2025).</w:t>
      </w:r>
    </w:p>
    <w:p w14:paraId="6479A5BA" w14:textId="21BDC1F2" w:rsidR="00B60FBD" w:rsidRPr="00047DEE" w:rsidRDefault="007165ED" w:rsidP="00047DEE">
      <w:pPr>
        <w:jc w:val="both"/>
        <w:rPr>
          <w:rFonts w:cs="Arial"/>
          <w:lang w:val="en-US"/>
        </w:rPr>
      </w:pPr>
      <w:r>
        <w:rPr>
          <w:rFonts w:cs="Arial"/>
          <w:lang w:val="en-US"/>
        </w:rPr>
        <w:t>Key</w:t>
      </w:r>
      <w:r w:rsidR="00B60FBD" w:rsidRPr="00047DEE">
        <w:rPr>
          <w:rFonts w:cs="Arial"/>
          <w:lang w:val="en-US"/>
        </w:rPr>
        <w:t xml:space="preserve"> aspects of governance and contract are:</w:t>
      </w:r>
    </w:p>
    <w:p w14:paraId="29D7CCE1" w14:textId="039E34B1" w:rsidR="00B60FBD" w:rsidRPr="007165ED" w:rsidRDefault="007165ED" w:rsidP="007165ED">
      <w:pPr>
        <w:pStyle w:val="ListParagraph"/>
        <w:numPr>
          <w:ilvl w:val="0"/>
          <w:numId w:val="19"/>
        </w:numPr>
        <w:jc w:val="both"/>
        <w:rPr>
          <w:rFonts w:cs="Arial"/>
          <w:lang w:val="en-US"/>
        </w:rPr>
      </w:pPr>
      <w:r w:rsidRPr="007165ED">
        <w:rPr>
          <w:rFonts w:cs="Arial"/>
          <w:lang w:val="en-US"/>
        </w:rPr>
        <w:t>A</w:t>
      </w:r>
      <w:r w:rsidR="00B60FBD" w:rsidRPr="007165ED">
        <w:rPr>
          <w:rFonts w:cs="Arial"/>
          <w:lang w:val="en-US"/>
        </w:rPr>
        <w:t xml:space="preserve"> schedule of development (e.g. 12 pilot stores in the first 2 years, followed by a set roll-out pipeline with claw-back rights in case of milestone failure);</w:t>
      </w:r>
    </w:p>
    <w:p w14:paraId="56DB9453" w14:textId="3A7B2CF7" w:rsidR="00B60FBD" w:rsidRPr="007165ED" w:rsidRDefault="007165ED" w:rsidP="007165ED">
      <w:pPr>
        <w:pStyle w:val="ListParagraph"/>
        <w:numPr>
          <w:ilvl w:val="0"/>
          <w:numId w:val="19"/>
        </w:numPr>
        <w:jc w:val="both"/>
        <w:rPr>
          <w:rFonts w:cs="Arial"/>
          <w:lang w:val="en-US"/>
        </w:rPr>
      </w:pPr>
      <w:r w:rsidRPr="007165ED">
        <w:rPr>
          <w:rFonts w:cs="Arial"/>
          <w:lang w:val="en-US"/>
        </w:rPr>
        <w:t>A</w:t>
      </w:r>
      <w:r w:rsidR="00B60FBD" w:rsidRPr="007165ED">
        <w:rPr>
          <w:rFonts w:cs="Arial"/>
          <w:lang w:val="en-US"/>
        </w:rPr>
        <w:t xml:space="preserve"> fee system comprising of an advance territory payment, royalty payments based on sales and required payments to a local marketing fund (UNIDROIT, 2007);</w:t>
      </w:r>
    </w:p>
    <w:p w14:paraId="40D62405" w14:textId="3B47D29C" w:rsidR="00B60FBD" w:rsidRPr="007165ED" w:rsidRDefault="007165ED" w:rsidP="007165ED">
      <w:pPr>
        <w:pStyle w:val="ListParagraph"/>
        <w:numPr>
          <w:ilvl w:val="0"/>
          <w:numId w:val="19"/>
        </w:numPr>
        <w:jc w:val="both"/>
        <w:rPr>
          <w:rFonts w:cs="Arial"/>
          <w:lang w:val="en-US"/>
        </w:rPr>
      </w:pPr>
      <w:r w:rsidRPr="007165ED">
        <w:rPr>
          <w:rFonts w:cs="Arial"/>
          <w:lang w:val="en-US"/>
        </w:rPr>
        <w:t>S</w:t>
      </w:r>
      <w:r w:rsidR="00B60FBD" w:rsidRPr="007165ED">
        <w:rPr>
          <w:rFonts w:cs="Arial"/>
          <w:lang w:val="en-US"/>
        </w:rPr>
        <w:t>pecific operational principles that encompassed halal and food-safety, product specifications, service procedures, store design and online interfaces, that are further cemented through training and auditing (Levitt, 2012; Franklin, 2021)</w:t>
      </w:r>
      <w:r w:rsidRPr="007165ED">
        <w:rPr>
          <w:rFonts w:cs="Arial"/>
          <w:lang w:val="en-US"/>
        </w:rPr>
        <w:t>.</w:t>
      </w:r>
    </w:p>
    <w:p w14:paraId="7230B4EC" w14:textId="23790679" w:rsidR="00B60FBD" w:rsidRPr="007165ED" w:rsidRDefault="007165ED" w:rsidP="007165ED">
      <w:pPr>
        <w:pStyle w:val="ListParagraph"/>
        <w:numPr>
          <w:ilvl w:val="0"/>
          <w:numId w:val="19"/>
        </w:numPr>
        <w:jc w:val="both"/>
        <w:rPr>
          <w:rFonts w:cs="Arial"/>
          <w:lang w:val="en-US"/>
        </w:rPr>
      </w:pPr>
      <w:r w:rsidRPr="007165ED">
        <w:rPr>
          <w:rFonts w:cs="Arial"/>
          <w:lang w:val="en-US"/>
        </w:rPr>
        <w:t>S</w:t>
      </w:r>
      <w:r w:rsidR="00B60FBD" w:rsidRPr="007165ED">
        <w:rPr>
          <w:rFonts w:cs="Arial"/>
          <w:lang w:val="en-US"/>
        </w:rPr>
        <w:t>trong data and reporting provisions to ensure Greggs is provided with prompt sales, mix and customer measurements (Teece, 2007);</w:t>
      </w:r>
    </w:p>
    <w:p w14:paraId="5199AB28" w14:textId="7F80BECB" w:rsidR="00B60FBD" w:rsidRPr="007165ED" w:rsidRDefault="007165ED" w:rsidP="007165ED">
      <w:pPr>
        <w:pStyle w:val="ListParagraph"/>
        <w:numPr>
          <w:ilvl w:val="0"/>
          <w:numId w:val="19"/>
        </w:numPr>
        <w:jc w:val="both"/>
        <w:rPr>
          <w:rFonts w:cs="Arial"/>
          <w:lang w:val="en-US"/>
        </w:rPr>
      </w:pPr>
      <w:r w:rsidRPr="007165ED">
        <w:rPr>
          <w:rFonts w:cs="Arial"/>
          <w:lang w:val="en-US"/>
        </w:rPr>
        <w:t>U</w:t>
      </w:r>
      <w:r w:rsidR="00B60FBD" w:rsidRPr="007165ED">
        <w:rPr>
          <w:rFonts w:cs="Arial"/>
          <w:lang w:val="en-US"/>
        </w:rPr>
        <w:t>nambiguous step-in and termination privileges to guard brand purity.</w:t>
      </w:r>
    </w:p>
    <w:p w14:paraId="5A31236B" w14:textId="17F7A76C" w:rsidR="00B60FBD" w:rsidRPr="00047DEE" w:rsidRDefault="00B60FBD" w:rsidP="00047DEE">
      <w:pPr>
        <w:jc w:val="both"/>
        <w:rPr>
          <w:rFonts w:cs="Arial"/>
          <w:lang w:val="en-US"/>
        </w:rPr>
      </w:pPr>
      <w:r w:rsidRPr="00047DEE">
        <w:rPr>
          <w:rFonts w:cs="Arial"/>
          <w:lang w:val="en-US"/>
        </w:rPr>
        <w:t>Firstly Greggs is supposed to co-design and closely assist the first pilot outlets, then overtime grant increasingly more autonomy as the local capabilities become more mature (Merrilees, 2006).</w:t>
      </w:r>
    </w:p>
    <w:p w14:paraId="2A28B18A" w14:textId="12DE8D90" w:rsidR="00B60FBD" w:rsidRPr="00487AA0" w:rsidRDefault="00B60FBD" w:rsidP="00487AA0">
      <w:pPr>
        <w:pStyle w:val="Heading3"/>
        <w:rPr>
          <w:b/>
          <w:bCs/>
          <w:sz w:val="24"/>
          <w:szCs w:val="24"/>
          <w:lang w:val="en-US"/>
        </w:rPr>
      </w:pPr>
      <w:bookmarkStart w:id="15" w:name="_Toc215316313"/>
      <w:r w:rsidRPr="00487AA0">
        <w:rPr>
          <w:b/>
          <w:bCs/>
          <w:sz w:val="24"/>
          <w:szCs w:val="24"/>
          <w:lang w:val="en-US"/>
        </w:rPr>
        <w:t>4.2.2 Value proposition and market positioning</w:t>
      </w:r>
      <w:bookmarkEnd w:id="15"/>
    </w:p>
    <w:p w14:paraId="762FC3A9" w14:textId="77777777" w:rsidR="00B60FBD" w:rsidRPr="00047DEE" w:rsidRDefault="00B60FBD" w:rsidP="00047DEE">
      <w:pPr>
        <w:jc w:val="both"/>
        <w:rPr>
          <w:rFonts w:cs="Arial"/>
          <w:lang w:val="en-US"/>
        </w:rPr>
      </w:pPr>
      <w:r w:rsidRPr="00047DEE">
        <w:rPr>
          <w:rFonts w:cs="Arial"/>
          <w:lang w:val="en-US"/>
        </w:rPr>
        <w:t>Greggs ought to position itself as a low end, fast, dependable, halal certified, mundane food-on-the-go, with a specific focus on expatriate employees and value conscious locals in malls, transit and office areas. The concept focuses on value and speed instead of long-dwell and has a clean, modern look compared to a premium cafe.</w:t>
      </w:r>
    </w:p>
    <w:p w14:paraId="21722401" w14:textId="77777777" w:rsidR="00B60FBD" w:rsidRPr="00047DEE" w:rsidRDefault="00B60FBD" w:rsidP="00047DEE">
      <w:pPr>
        <w:jc w:val="both"/>
        <w:rPr>
          <w:rFonts w:cs="Arial"/>
          <w:lang w:val="en-US"/>
        </w:rPr>
      </w:pPr>
      <w:r w:rsidRPr="00047DEE">
        <w:rPr>
          <w:rFonts w:cs="Arial"/>
          <w:lang w:val="en-US"/>
        </w:rPr>
        <w:t>The concept of differentiation is based on three pillars:</w:t>
      </w:r>
    </w:p>
    <w:p w14:paraId="32DC0CB6" w14:textId="5C478E3F" w:rsidR="00B60FBD" w:rsidRPr="009E2D0B" w:rsidRDefault="00B60FBD" w:rsidP="009E2D0B">
      <w:pPr>
        <w:pStyle w:val="ListParagraph"/>
        <w:numPr>
          <w:ilvl w:val="0"/>
          <w:numId w:val="21"/>
        </w:numPr>
        <w:jc w:val="both"/>
        <w:rPr>
          <w:rFonts w:cs="Arial"/>
          <w:lang w:val="en-US"/>
        </w:rPr>
      </w:pPr>
      <w:r w:rsidRPr="009E2D0B">
        <w:rPr>
          <w:rFonts w:cs="Arial"/>
          <w:lang w:val="en-US"/>
        </w:rPr>
        <w:t>Everyday value Everyday prices are below the standards of high-end cafes but higher than low-end street food, indicating the existence of hygiene or quality, and simple meal packages that promote the size of the basket.</w:t>
      </w:r>
    </w:p>
    <w:p w14:paraId="3EE06D7F" w14:textId="444F06B9" w:rsidR="00B60FBD" w:rsidRPr="009E2D0B" w:rsidRDefault="00B60FBD" w:rsidP="009E2D0B">
      <w:pPr>
        <w:pStyle w:val="ListParagraph"/>
        <w:numPr>
          <w:ilvl w:val="0"/>
          <w:numId w:val="21"/>
        </w:numPr>
        <w:jc w:val="both"/>
        <w:rPr>
          <w:rFonts w:cs="Arial"/>
          <w:lang w:val="en-US"/>
        </w:rPr>
      </w:pPr>
      <w:r w:rsidRPr="009E2D0B">
        <w:rPr>
          <w:rFonts w:cs="Arial"/>
          <w:lang w:val="en-US"/>
        </w:rPr>
        <w:lastRenderedPageBreak/>
        <w:t>Quick service and concentrated menu- limited variety of high volume SKUs that are quick to make and quick to get out.</w:t>
      </w:r>
    </w:p>
    <w:p w14:paraId="42D570A3" w14:textId="6F14C6F8" w:rsidR="00B60FBD" w:rsidRPr="009E2D0B" w:rsidRDefault="00B60FBD" w:rsidP="009E2D0B">
      <w:pPr>
        <w:pStyle w:val="ListParagraph"/>
        <w:numPr>
          <w:ilvl w:val="0"/>
          <w:numId w:val="21"/>
        </w:numPr>
        <w:jc w:val="both"/>
        <w:rPr>
          <w:rFonts w:cs="Arial"/>
          <w:lang w:val="en-US"/>
        </w:rPr>
      </w:pPr>
      <w:r w:rsidRPr="009E2D0B">
        <w:rPr>
          <w:rFonts w:cs="Arial"/>
          <w:lang w:val="en-US"/>
        </w:rPr>
        <w:t>All</w:t>
      </w:r>
      <w:r w:rsidR="00082CF9" w:rsidRPr="009E2D0B">
        <w:rPr>
          <w:rFonts w:cs="Arial"/>
          <w:lang w:val="en-US"/>
        </w:rPr>
        <w:t xml:space="preserve"> </w:t>
      </w:r>
      <w:r w:rsidRPr="009E2D0B">
        <w:rPr>
          <w:rFonts w:cs="Arial"/>
          <w:lang w:val="en-US"/>
        </w:rPr>
        <w:t>day relevance</w:t>
      </w:r>
      <w:r w:rsidR="00082CF9" w:rsidRPr="009E2D0B">
        <w:rPr>
          <w:rFonts w:cs="Arial"/>
          <w:lang w:val="en-US"/>
        </w:rPr>
        <w:t xml:space="preserve">, </w:t>
      </w:r>
      <w:r w:rsidRPr="009E2D0B">
        <w:rPr>
          <w:rFonts w:cs="Arial"/>
          <w:lang w:val="en-US"/>
        </w:rPr>
        <w:t>good breakfast and snack proposal among commuters and employees, and convenient lunch and less significant evening.</w:t>
      </w:r>
    </w:p>
    <w:p w14:paraId="114EEC58" w14:textId="77777777" w:rsidR="00B60FBD" w:rsidRPr="00047DEE" w:rsidRDefault="00B60FBD" w:rsidP="00047DEE">
      <w:pPr>
        <w:jc w:val="both"/>
        <w:rPr>
          <w:rFonts w:cs="Arial"/>
          <w:lang w:val="en-US"/>
        </w:rPr>
      </w:pPr>
      <w:r w:rsidRPr="00047DEE">
        <w:rPr>
          <w:rFonts w:cs="Arial"/>
          <w:lang w:val="en-US"/>
        </w:rPr>
        <w:t>The product approach should be between localisation and brand continuity. Pork products are eliminated; flagship products are re-designed using ingredients that are halal. Localised lines could consist of spiced chicken bakes, Za’atar- flavoured pastry, vegetarian samosa-style bakes and filled flatbreads with South Asian and Middle Eastern flavours. Brand identity can be attached to a halal version of the classic sausage roll, which is introduced as a Greggs classic reimagined in Dubai.</w:t>
      </w:r>
    </w:p>
    <w:p w14:paraId="3956B680" w14:textId="2B13A835" w:rsidR="00B60FBD" w:rsidRPr="00047DEE" w:rsidRDefault="00B60FBD" w:rsidP="00047DEE">
      <w:pPr>
        <w:jc w:val="both"/>
        <w:rPr>
          <w:rFonts w:cs="Arial"/>
          <w:lang w:val="en-US"/>
        </w:rPr>
      </w:pPr>
      <w:r w:rsidRPr="00047DEE">
        <w:rPr>
          <w:rFonts w:cs="Arial"/>
          <w:lang w:val="en-US"/>
        </w:rPr>
        <w:t>The channels and formats used should reflect the ecosystem of Dubai. Phase 1 mall kiosks and small stores in high-foot traffic malls, as well as roadside/petrol-station stores through the partner, should be targeted. Phase 2 Add transit-near units, small office-district outlet and selected dark kitchens to delivery-only areas. Since its inception, Greggs ought to be integrated with Talabat, Deliveroo, Careem and Noon, through in-app presence and promotions to encourage trial (Revly, 2025).</w:t>
      </w:r>
    </w:p>
    <w:p w14:paraId="4EA431E1" w14:textId="755EB73C" w:rsidR="00B60FBD" w:rsidRPr="009E2D0B" w:rsidRDefault="00B60FBD" w:rsidP="009E2D0B">
      <w:pPr>
        <w:pStyle w:val="Heading3"/>
        <w:rPr>
          <w:b/>
          <w:bCs/>
          <w:sz w:val="24"/>
          <w:szCs w:val="24"/>
          <w:lang w:val="en-US"/>
        </w:rPr>
      </w:pPr>
      <w:bookmarkStart w:id="16" w:name="_Toc215316314"/>
      <w:r w:rsidRPr="009E2D0B">
        <w:rPr>
          <w:b/>
          <w:bCs/>
          <w:sz w:val="24"/>
          <w:szCs w:val="24"/>
          <w:lang w:val="en-US"/>
        </w:rPr>
        <w:t>4.2.3 Risk analysis and mitigation</w:t>
      </w:r>
      <w:bookmarkEnd w:id="16"/>
    </w:p>
    <w:p w14:paraId="0C1A555D" w14:textId="77777777" w:rsidR="00B60FBD" w:rsidRPr="00047DEE" w:rsidRDefault="00B60FBD" w:rsidP="00047DEE">
      <w:pPr>
        <w:jc w:val="both"/>
        <w:rPr>
          <w:rFonts w:cs="Arial"/>
          <w:lang w:val="en-US"/>
        </w:rPr>
      </w:pPr>
      <w:r w:rsidRPr="00047DEE">
        <w:rPr>
          <w:rFonts w:cs="Arial"/>
          <w:lang w:val="en-US"/>
        </w:rPr>
        <w:t>The salient risk clusters are four:</w:t>
      </w:r>
    </w:p>
    <w:p w14:paraId="69499558" w14:textId="2E558910" w:rsidR="00B60FBD" w:rsidRPr="00047DEE" w:rsidRDefault="00B60FBD" w:rsidP="00047DEE">
      <w:pPr>
        <w:jc w:val="both"/>
        <w:rPr>
          <w:rFonts w:cs="Arial"/>
          <w:lang w:val="en-US"/>
        </w:rPr>
      </w:pPr>
      <w:r w:rsidRPr="00047DEE">
        <w:rPr>
          <w:rFonts w:cs="Arial"/>
          <w:lang w:val="en-US"/>
        </w:rPr>
        <w:t>1.</w:t>
      </w:r>
      <w:r w:rsidR="009E2D0B">
        <w:rPr>
          <w:rFonts w:cs="Arial"/>
          <w:lang w:val="en-US"/>
        </w:rPr>
        <w:t xml:space="preserve"> </w:t>
      </w:r>
      <w:r w:rsidRPr="00047DEE">
        <w:rPr>
          <w:rFonts w:cs="Arial"/>
          <w:lang w:val="en-US"/>
        </w:rPr>
        <w:t>Brand and implementation risk - Bad performance by franchisees may hurt Greggs image and limit their expansion to the region. Mitigation: strict partner selection; training; explicit KPIs; frequent audit; and step-in and termination rights that are contractually determined (Levitt, 2012).</w:t>
      </w:r>
    </w:p>
    <w:p w14:paraId="46F33286" w14:textId="71011038" w:rsidR="00B60FBD" w:rsidRPr="00047DEE" w:rsidRDefault="00B60FBD" w:rsidP="00047DEE">
      <w:pPr>
        <w:jc w:val="both"/>
        <w:rPr>
          <w:rFonts w:cs="Arial"/>
          <w:lang w:val="en-US"/>
        </w:rPr>
      </w:pPr>
      <w:r w:rsidRPr="00047DEE">
        <w:rPr>
          <w:rFonts w:cs="Arial"/>
          <w:lang w:val="en-US"/>
        </w:rPr>
        <w:t>2.</w:t>
      </w:r>
      <w:r w:rsidR="009E2D0B">
        <w:rPr>
          <w:rFonts w:cs="Arial"/>
          <w:lang w:val="en-US"/>
        </w:rPr>
        <w:t xml:space="preserve"> </w:t>
      </w:r>
      <w:r w:rsidRPr="00047DEE">
        <w:rPr>
          <w:rFonts w:cs="Arial"/>
          <w:lang w:val="en-US"/>
        </w:rPr>
        <w:t>Regulatory and political risk - The costs or feasibility might be affected by changes in labour, food-import, franchising or ESG regulations (Rosado-Serrano, Paul and Dikova, 2018). Mitigation: legal surveillance, business council and scenario planning.</w:t>
      </w:r>
    </w:p>
    <w:p w14:paraId="7AE62B8C" w14:textId="0CDB64DB" w:rsidR="00B60FBD" w:rsidRPr="00047DEE" w:rsidRDefault="00B60FBD" w:rsidP="00047DEE">
      <w:pPr>
        <w:jc w:val="both"/>
        <w:rPr>
          <w:rFonts w:cs="Arial"/>
          <w:lang w:val="en-US"/>
        </w:rPr>
      </w:pPr>
      <w:r w:rsidRPr="00047DEE">
        <w:rPr>
          <w:rFonts w:cs="Arial"/>
          <w:lang w:val="en-US"/>
        </w:rPr>
        <w:t>3.</w:t>
      </w:r>
      <w:r w:rsidR="009E2D0B">
        <w:rPr>
          <w:rFonts w:cs="Arial"/>
          <w:lang w:val="en-US"/>
        </w:rPr>
        <w:t xml:space="preserve"> </w:t>
      </w:r>
      <w:r w:rsidRPr="00047DEE">
        <w:rPr>
          <w:rFonts w:cs="Arial"/>
          <w:lang w:val="en-US"/>
        </w:rPr>
        <w:t>Economic and cost risk - FX volatility, rent increases and wage adjustments can destroy margins. Mitigation: negotiating rent based on turnover; format diversification (low-rent roadside and dark kitchens); menu engineering and pricing to safeguard margins.</w:t>
      </w:r>
    </w:p>
    <w:p w14:paraId="02B00E88" w14:textId="373EBDCB" w:rsidR="00B60FBD" w:rsidRPr="00047DEE" w:rsidRDefault="00B60FBD" w:rsidP="00047DEE">
      <w:pPr>
        <w:jc w:val="both"/>
        <w:rPr>
          <w:rFonts w:cs="Arial"/>
          <w:lang w:val="en-US"/>
        </w:rPr>
      </w:pPr>
      <w:r w:rsidRPr="00047DEE">
        <w:rPr>
          <w:rFonts w:cs="Arial"/>
          <w:lang w:val="en-US"/>
        </w:rPr>
        <w:lastRenderedPageBreak/>
        <w:t>4.</w:t>
      </w:r>
      <w:r w:rsidR="009E2D0B">
        <w:rPr>
          <w:rFonts w:cs="Arial"/>
          <w:lang w:val="en-US"/>
        </w:rPr>
        <w:t xml:space="preserve"> </w:t>
      </w:r>
      <w:r w:rsidRPr="00047DEE">
        <w:rPr>
          <w:rFonts w:cs="Arial"/>
          <w:lang w:val="en-US"/>
        </w:rPr>
        <w:t>Cultural and demand risk - The idea may not strike a chord or appear to be too local. Mitigation: co-creation alongside the local staff and customers; an in-market research-and-development kitchen; culturally sensitive communications; small advisory panel of Emirati and expatriate stakeholders. Pilot locations and analytics allow scale-up to be speedily iterated.</w:t>
      </w:r>
    </w:p>
    <w:p w14:paraId="372A31C7" w14:textId="77777777" w:rsidR="00B60FBD" w:rsidRPr="009E2D0B" w:rsidRDefault="00B60FBD" w:rsidP="009E2D0B">
      <w:pPr>
        <w:pStyle w:val="Heading2"/>
        <w:rPr>
          <w:sz w:val="28"/>
          <w:szCs w:val="28"/>
          <w:lang w:val="en-US"/>
        </w:rPr>
      </w:pPr>
      <w:bookmarkStart w:id="17" w:name="_Toc215316315"/>
      <w:r w:rsidRPr="009E2D0B">
        <w:rPr>
          <w:sz w:val="28"/>
          <w:szCs w:val="28"/>
          <w:lang w:val="en-US"/>
        </w:rPr>
        <w:t>4.3 Implications of the study on implementation and organisations.</w:t>
      </w:r>
      <w:bookmarkEnd w:id="17"/>
    </w:p>
    <w:p w14:paraId="68C465E0" w14:textId="4EAB1394" w:rsidR="00B60FBD" w:rsidRPr="009E2D0B" w:rsidRDefault="00B60FBD" w:rsidP="009E2D0B">
      <w:pPr>
        <w:jc w:val="both"/>
        <w:rPr>
          <w:rFonts w:cs="Arial"/>
          <w:b/>
          <w:bCs/>
          <w:lang w:val="en-US"/>
        </w:rPr>
      </w:pPr>
      <w:r w:rsidRPr="009E2D0B">
        <w:rPr>
          <w:rFonts w:cs="Arial"/>
          <w:b/>
          <w:bCs/>
          <w:lang w:val="en-US"/>
        </w:rPr>
        <w:t>Phase 1 ( Years 1- 2): partnership and concept pilot</w:t>
      </w:r>
    </w:p>
    <w:p w14:paraId="51853743" w14:textId="77777777" w:rsidR="00B60FBD" w:rsidRPr="00047DEE" w:rsidRDefault="00B60FBD" w:rsidP="00047DEE">
      <w:pPr>
        <w:jc w:val="both"/>
        <w:rPr>
          <w:rFonts w:cs="Arial"/>
          <w:lang w:val="en-US"/>
        </w:rPr>
      </w:pPr>
      <w:r w:rsidRPr="00047DEE">
        <w:rPr>
          <w:rFonts w:cs="Arial"/>
          <w:lang w:val="en-US"/>
        </w:rPr>
        <w:t>Greggs ought to introduce a modest international growth team at the HQ (franchising, supply chain, finance, brand). In this team, the choice of partners, due diligence and negotiating master-franchise, are supported by the UAE legal experts (Levitt, 2012; Berry and Chadda, 2025). It opens 12 pilot outlets with a small central kitchen together with the master franchisee in opposite high traffic locations. It is all about learning: menu localisation, price points, processes and digital integration. Section 5 is a concise KPI dashboard, which is checked on a regular basis and aligned to the Balanced Scorecard.</w:t>
      </w:r>
    </w:p>
    <w:p w14:paraId="7EA5ECF6" w14:textId="77777777" w:rsidR="00B60FBD" w:rsidRPr="009E2D0B" w:rsidRDefault="00B60FBD" w:rsidP="00047DEE">
      <w:pPr>
        <w:jc w:val="both"/>
        <w:rPr>
          <w:rFonts w:cs="Arial"/>
          <w:b/>
          <w:bCs/>
          <w:lang w:val="en-US"/>
        </w:rPr>
      </w:pPr>
      <w:r w:rsidRPr="009E2D0B">
        <w:rPr>
          <w:rFonts w:cs="Arial"/>
          <w:b/>
          <w:bCs/>
          <w:lang w:val="en-US"/>
        </w:rPr>
        <w:t>Phase 2 ( Years 3-5): disciplined scaling and dark-kitchen roll-out.</w:t>
      </w:r>
    </w:p>
    <w:p w14:paraId="3E80A196" w14:textId="77777777" w:rsidR="00B60FBD" w:rsidRPr="00047DEE" w:rsidRDefault="00B60FBD" w:rsidP="00047DEE">
      <w:pPr>
        <w:jc w:val="both"/>
        <w:rPr>
          <w:rFonts w:cs="Arial"/>
          <w:lang w:val="en-US"/>
        </w:rPr>
      </w:pPr>
      <w:r w:rsidRPr="00047DEE">
        <w:rPr>
          <w:rFonts w:cs="Arial"/>
          <w:lang w:val="en-US"/>
        </w:rPr>
        <w:t>In case pilots have already achieved certain prespecified thresholds (e.g. sales density, margins, NPS, compliance), the network will be extended to other mall and roadside stores and chosen dark kitchens. To help maintain brand and process integrity as the scale rises Greggs and its partner should institutionalise training-academies, field-operations-teams and scheduled audits based on royalties (Combs and Ketchen, 2004; Merrilees, 2006).</w:t>
      </w:r>
    </w:p>
    <w:p w14:paraId="235DC257" w14:textId="3FD6BAAE" w:rsidR="003009D9" w:rsidRPr="005B6523" w:rsidRDefault="00B60FBD" w:rsidP="005B6523">
      <w:pPr>
        <w:jc w:val="both"/>
        <w:rPr>
          <w:rFonts w:cs="Arial"/>
          <w:lang w:val="en-US"/>
        </w:rPr>
      </w:pPr>
      <w:r w:rsidRPr="00047DEE">
        <w:rPr>
          <w:rFonts w:cs="Arial"/>
          <w:lang w:val="en-US"/>
        </w:rPr>
        <w:t>Organisational-change-wise, Greggs will need to transition the majorly company-owned UK model to one that manages independent partners. The eight-step model by Kotter (1995) can also help: establishing a sense of urgency in regard to diversification, establishing a cross-functional guiding coalition, developing an international expansion vision and achieving initial victories through success in Dubai pilots. The Dubai lessons need to be institutionalised into an international playbook to be used in the future, enhancing dynamic capabilities of Greggs in sense, seize and reconfiguring opportunities in cross-border expansions (Teece, 2007).</w:t>
      </w:r>
    </w:p>
    <w:p w14:paraId="7382EB7E" w14:textId="4B822BDF" w:rsidR="003009D9" w:rsidRPr="005B6523" w:rsidRDefault="003009D9" w:rsidP="005B6523">
      <w:pPr>
        <w:pStyle w:val="Heading1"/>
        <w:spacing w:line="480" w:lineRule="auto"/>
        <w:rPr>
          <w:b/>
          <w:bCs/>
          <w:sz w:val="32"/>
          <w:szCs w:val="32"/>
          <w:lang w:val="en-US"/>
        </w:rPr>
      </w:pPr>
      <w:bookmarkStart w:id="18" w:name="_Toc215316316"/>
      <w:r w:rsidRPr="005B6523">
        <w:rPr>
          <w:b/>
          <w:bCs/>
          <w:sz w:val="32"/>
          <w:szCs w:val="32"/>
          <w:lang w:val="en-US"/>
        </w:rPr>
        <w:lastRenderedPageBreak/>
        <w:t>5. Performance evaluation frame work</w:t>
      </w:r>
      <w:bookmarkEnd w:id="18"/>
      <w:r w:rsidR="005B6523" w:rsidRPr="005B6523">
        <w:rPr>
          <w:b/>
          <w:bCs/>
          <w:sz w:val="32"/>
          <w:szCs w:val="32"/>
          <w:lang w:val="en-US"/>
        </w:rPr>
        <w:t xml:space="preserve"> </w:t>
      </w:r>
    </w:p>
    <w:p w14:paraId="7F4B8950" w14:textId="77777777" w:rsidR="00D85135" w:rsidRPr="005B6523" w:rsidRDefault="00D85135" w:rsidP="005B6523">
      <w:pPr>
        <w:pStyle w:val="Heading2"/>
        <w:rPr>
          <w:rFonts w:eastAsia="Times New Roman"/>
          <w:sz w:val="28"/>
          <w:szCs w:val="28"/>
          <w:lang w:val="en-US"/>
        </w:rPr>
      </w:pPr>
      <w:bookmarkStart w:id="19" w:name="_Toc215316317"/>
      <w:r w:rsidRPr="005B6523">
        <w:rPr>
          <w:rFonts w:eastAsia="Times New Roman"/>
          <w:sz w:val="28"/>
          <w:szCs w:val="28"/>
          <w:lang w:val="en-US"/>
        </w:rPr>
        <w:t>5.1 Choice of performance framework and critique</w:t>
      </w:r>
      <w:bookmarkEnd w:id="19"/>
    </w:p>
    <w:p w14:paraId="5CBC07EB" w14:textId="75E22252" w:rsidR="003009D9" w:rsidRPr="00BD56CB" w:rsidRDefault="003009D9" w:rsidP="00BD56CB">
      <w:pPr>
        <w:jc w:val="both"/>
        <w:rPr>
          <w:rFonts w:cs="Arial"/>
          <w:lang w:val="en-US"/>
        </w:rPr>
      </w:pPr>
      <w:r w:rsidRPr="00BD56CB">
        <w:rPr>
          <w:rFonts w:cs="Arial"/>
          <w:lang w:val="en-US"/>
        </w:rPr>
        <w:t>The Balanced Scorecard (BSC) will be implemented as the main performance model of Greggs expansion in Dubai with the direct incorporation of Triple Bottom Line (TBL) indicators. The BSC was firstly developed by Kaplan and Norton (1992) as a supplement to the conventional financial measures by taking a customer, internal-process, and learning-and-growth to the strategic objectives, thus, connecting day-to-day measures to the strategic goals. More recent reviews point out that a well-designed BSC can be an execution system instead of an execution reporting system, and is therefore appropriate to monitor a new international venture, where financial results will be slow to follow operational and market-building processes (Madsen, 2025).</w:t>
      </w:r>
    </w:p>
    <w:p w14:paraId="7864BAAC" w14:textId="2FEADD6F" w:rsidR="003009D9" w:rsidRPr="00BD56CB" w:rsidRDefault="003009D9" w:rsidP="00BD56CB">
      <w:pPr>
        <w:jc w:val="both"/>
        <w:rPr>
          <w:rFonts w:cs="Arial"/>
          <w:lang w:val="en-US"/>
        </w:rPr>
      </w:pPr>
      <w:r w:rsidRPr="00BD56CB">
        <w:rPr>
          <w:rFonts w:cs="Arial"/>
          <w:lang w:val="en-US"/>
        </w:rPr>
        <w:t>Consideration of TBL in BSC makes sure that Greggs expansion is measured not only in terms of profit but also social and environmental presence in the city of Dubai, as written in Elkington (1997) and Elkington (1998) view that people, planet and profit should be considered as inseparable measures of performance. However, critics also refer to the dangers of metric overload, lack of connexion with strategy, and the possibility of game playing indicators in case targets were not well thought through (Awadallah and Allam, 2015; Schneiderman, 1999). To cover these issues, the Dubai BSC puts emphasis on a limited number of leading and lagging indicators that can be directly related to the strategic goals of the expansion, and that both Greggs and the master franchisee own.</w:t>
      </w:r>
    </w:p>
    <w:p w14:paraId="4B5A4E59" w14:textId="603DA9BD" w:rsidR="003009D9" w:rsidRPr="00BD56CB" w:rsidRDefault="003009D9" w:rsidP="00BD56CB">
      <w:pPr>
        <w:pStyle w:val="Heading2"/>
        <w:rPr>
          <w:sz w:val="28"/>
          <w:szCs w:val="28"/>
          <w:lang w:val="en-US"/>
        </w:rPr>
      </w:pPr>
      <w:bookmarkStart w:id="20" w:name="_Toc215316318"/>
      <w:r w:rsidRPr="00BD56CB">
        <w:rPr>
          <w:sz w:val="28"/>
          <w:szCs w:val="28"/>
          <w:lang w:val="en-US"/>
        </w:rPr>
        <w:t>5.2 De</w:t>
      </w:r>
      <w:r w:rsidR="00A64C8A" w:rsidRPr="00BD56CB">
        <w:rPr>
          <w:sz w:val="28"/>
          <w:szCs w:val="28"/>
          <w:lang w:val="en-US"/>
        </w:rPr>
        <w:t>sign</w:t>
      </w:r>
      <w:r w:rsidRPr="00BD56CB">
        <w:rPr>
          <w:sz w:val="28"/>
          <w:szCs w:val="28"/>
          <w:lang w:val="en-US"/>
        </w:rPr>
        <w:t xml:space="preserve"> of an expansion specific Balanced Scorecard</w:t>
      </w:r>
      <w:bookmarkEnd w:id="20"/>
    </w:p>
    <w:p w14:paraId="627C7B88" w14:textId="77777777" w:rsidR="003009D9" w:rsidRPr="00BD56CB" w:rsidRDefault="003009D9" w:rsidP="00BD56CB">
      <w:pPr>
        <w:jc w:val="both"/>
        <w:rPr>
          <w:rFonts w:cs="Arial"/>
          <w:lang w:val="en-US"/>
        </w:rPr>
      </w:pPr>
      <w:r w:rsidRPr="00BD56CB">
        <w:rPr>
          <w:rFonts w:cs="Arial"/>
          <w:lang w:val="en-US"/>
        </w:rPr>
        <w:t>The recommended BSC of Greggs Dubai is designed with four perspectives, including: Financial, Customer/Market, Internal Processes, and Learning and Growth / ESG and TBL dimensions were incorporated throughout the perspectives. An elaborate table (Objective - Measure - Target - Data Source) would be available as Appendix A (Table A1); the major factors are listed below.</w:t>
      </w:r>
    </w:p>
    <w:p w14:paraId="5C9BEA05" w14:textId="7A43E42A" w:rsidR="003009D9" w:rsidRPr="00F02210" w:rsidRDefault="003009D9" w:rsidP="00BD56CB">
      <w:pPr>
        <w:jc w:val="both"/>
        <w:rPr>
          <w:rFonts w:cs="Arial"/>
          <w:b/>
          <w:bCs/>
          <w:lang w:val="en-US"/>
        </w:rPr>
      </w:pPr>
      <w:r w:rsidRPr="00F02210">
        <w:rPr>
          <w:rFonts w:cs="Arial"/>
          <w:b/>
          <w:bCs/>
          <w:lang w:val="en-US"/>
        </w:rPr>
        <w:t>Financial point of view</w:t>
      </w:r>
      <w:r w:rsidR="00F02210" w:rsidRPr="00F02210">
        <w:rPr>
          <w:rFonts w:cs="Arial"/>
          <w:b/>
          <w:bCs/>
          <w:lang w:val="en-US"/>
        </w:rPr>
        <w:t xml:space="preserve"> </w:t>
      </w:r>
      <w:r w:rsidRPr="00F02210">
        <w:rPr>
          <w:rFonts w:cs="Arial"/>
          <w:b/>
          <w:bCs/>
          <w:lang w:val="en-US"/>
        </w:rPr>
        <w:t>- profitable capital efficient growth</w:t>
      </w:r>
    </w:p>
    <w:p w14:paraId="646DA4F2" w14:textId="77777777" w:rsidR="003009D9" w:rsidRPr="00BD56CB" w:rsidRDefault="003009D9" w:rsidP="00BD56CB">
      <w:pPr>
        <w:jc w:val="both"/>
        <w:rPr>
          <w:rFonts w:cs="Arial"/>
          <w:lang w:val="en-US"/>
        </w:rPr>
      </w:pPr>
      <w:r w:rsidRPr="00BD56CB">
        <w:rPr>
          <w:rFonts w:cs="Arial"/>
          <w:lang w:val="en-US"/>
        </w:rPr>
        <w:lastRenderedPageBreak/>
        <w:t>The first five years is focused on attaining store level profitability and appealing rate of return on invested capital as it is used to finance the brand building. Key lagging indicators are revenue per store, EBITDA margin per store, payback period of initial fit-out, project NPV and ROIC of Dubai portfolio. The contribution of Dubai to the group revenue and profit offers a longer-term strategic relevancy measure. These indicators are in line with the shareholder bottom line of the (TBL).</w:t>
      </w:r>
    </w:p>
    <w:p w14:paraId="5D5DBDAA" w14:textId="40CC4435" w:rsidR="003009D9" w:rsidRPr="005F54BF" w:rsidRDefault="003009D9" w:rsidP="00BD56CB">
      <w:pPr>
        <w:jc w:val="both"/>
        <w:rPr>
          <w:rFonts w:cs="Arial"/>
          <w:b/>
          <w:bCs/>
          <w:lang w:val="en-US"/>
        </w:rPr>
      </w:pPr>
      <w:r w:rsidRPr="005F54BF">
        <w:rPr>
          <w:rFonts w:cs="Arial"/>
          <w:b/>
          <w:bCs/>
          <w:lang w:val="en-US"/>
        </w:rPr>
        <w:t>Customer/Market view</w:t>
      </w:r>
      <w:r w:rsidR="005F54BF" w:rsidRPr="005F54BF">
        <w:rPr>
          <w:rFonts w:cs="Arial"/>
          <w:b/>
          <w:bCs/>
          <w:lang w:val="en-US"/>
        </w:rPr>
        <w:t xml:space="preserve"> </w:t>
      </w:r>
      <w:r w:rsidRPr="005F54BF">
        <w:rPr>
          <w:rFonts w:cs="Arial"/>
          <w:b/>
          <w:bCs/>
          <w:lang w:val="en-US"/>
        </w:rPr>
        <w:t>- “Well known, recognised daily brand</w:t>
      </w:r>
      <w:r w:rsidR="005F54BF">
        <w:rPr>
          <w:rFonts w:cs="Arial"/>
          <w:b/>
          <w:bCs/>
          <w:lang w:val="en-US"/>
        </w:rPr>
        <w:t>”</w:t>
      </w:r>
    </w:p>
    <w:p w14:paraId="70421638" w14:textId="77777777" w:rsidR="003009D9" w:rsidRPr="00BD56CB" w:rsidRDefault="003009D9" w:rsidP="00BD56CB">
      <w:pPr>
        <w:jc w:val="both"/>
        <w:rPr>
          <w:rFonts w:cs="Arial"/>
          <w:lang w:val="en-US"/>
        </w:rPr>
      </w:pPr>
      <w:r w:rsidRPr="00BD56CB">
        <w:rPr>
          <w:rFonts w:cs="Arial"/>
          <w:lang w:val="en-US"/>
        </w:rPr>
        <w:t>In this case, it is brand awareness, trial and loyalty between target markets (expatriate workers, value-conscious locals, tourists). KPIs will be prompted and unprompted brand awareness in strategic districts, Net Promoter Score (NPS), repeat-visit rate, average transaction value, and the ratio of delivery and in-store sales. Brand awareness and NPS are leading indicators of the revenue growth in the future, whereas transaction value and channel mix are associated with profitability.</w:t>
      </w:r>
    </w:p>
    <w:p w14:paraId="325B5F07" w14:textId="2C973B57" w:rsidR="003009D9" w:rsidRPr="005F54BF" w:rsidRDefault="003009D9" w:rsidP="00BD56CB">
      <w:pPr>
        <w:jc w:val="both"/>
        <w:rPr>
          <w:rFonts w:cs="Arial"/>
          <w:b/>
          <w:bCs/>
          <w:lang w:val="en-US"/>
        </w:rPr>
      </w:pPr>
      <w:r w:rsidRPr="005F54BF">
        <w:rPr>
          <w:rFonts w:cs="Arial"/>
          <w:b/>
          <w:bCs/>
          <w:lang w:val="en-US"/>
        </w:rPr>
        <w:t>Internal</w:t>
      </w:r>
      <w:r w:rsidR="005F54BF" w:rsidRPr="005F54BF">
        <w:rPr>
          <w:rFonts w:cs="Arial"/>
          <w:b/>
          <w:bCs/>
          <w:lang w:val="en-US"/>
        </w:rPr>
        <w:t xml:space="preserve"> </w:t>
      </w:r>
      <w:r w:rsidRPr="005F54BF">
        <w:rPr>
          <w:rFonts w:cs="Arial"/>
          <w:b/>
          <w:bCs/>
          <w:lang w:val="en-US"/>
        </w:rPr>
        <w:t>process viewpoint -</w:t>
      </w:r>
      <w:r w:rsidR="005F54BF" w:rsidRPr="005F54BF">
        <w:rPr>
          <w:rFonts w:cs="Arial"/>
          <w:b/>
          <w:bCs/>
          <w:lang w:val="en-US"/>
        </w:rPr>
        <w:t xml:space="preserve"> </w:t>
      </w:r>
      <w:r w:rsidRPr="005F54BF">
        <w:rPr>
          <w:rFonts w:cs="Arial"/>
          <w:b/>
          <w:bCs/>
          <w:lang w:val="en-US"/>
        </w:rPr>
        <w:t>“Efficient, compiant, consistent actions</w:t>
      </w:r>
      <w:r w:rsidR="005F54BF">
        <w:rPr>
          <w:rFonts w:cs="Arial"/>
          <w:b/>
          <w:bCs/>
          <w:lang w:val="en-US"/>
        </w:rPr>
        <w:t>”</w:t>
      </w:r>
    </w:p>
    <w:p w14:paraId="76594C9B" w14:textId="77777777" w:rsidR="003009D9" w:rsidRPr="00BD56CB" w:rsidRDefault="003009D9" w:rsidP="00BD56CB">
      <w:pPr>
        <w:jc w:val="both"/>
        <w:rPr>
          <w:rFonts w:cs="Arial"/>
          <w:lang w:val="en-US"/>
        </w:rPr>
      </w:pPr>
      <w:r w:rsidRPr="00BD56CB">
        <w:rPr>
          <w:rFonts w:cs="Arial"/>
          <w:lang w:val="en-US"/>
        </w:rPr>
        <w:t>This view cheques on how the franchise system is able to deliver the promise of Greggs in a consistent and safe manner. Some of the KPIs are average order-fulfilment time, percentage of mandatory food-safety and halal audit on initial inspection, supply-chain lead time on major SKUs, percentage of products that are in fresh and temperature condition and the frequency of stock-out on top sellers. Most of them are leading indicators of the level of customer satisfaction and wastes and are directly related to the level of regulatory compliance in UAE.</w:t>
      </w:r>
    </w:p>
    <w:p w14:paraId="5ADCD7EF" w14:textId="6E8467A7" w:rsidR="003009D9" w:rsidRPr="005F54BF" w:rsidRDefault="003009D9" w:rsidP="00BD56CB">
      <w:pPr>
        <w:jc w:val="both"/>
        <w:rPr>
          <w:rFonts w:cs="Arial"/>
          <w:b/>
          <w:bCs/>
          <w:lang w:val="en-US"/>
        </w:rPr>
      </w:pPr>
      <w:r w:rsidRPr="005F54BF">
        <w:rPr>
          <w:rFonts w:cs="Arial"/>
          <w:b/>
          <w:bCs/>
          <w:lang w:val="en-US"/>
        </w:rPr>
        <w:t>Learning &amp; Growth / ESG outlook - “Creating sustainable influence and local capacity building</w:t>
      </w:r>
      <w:r w:rsidR="005F54BF">
        <w:rPr>
          <w:rFonts w:cs="Arial"/>
          <w:b/>
          <w:bCs/>
          <w:lang w:val="en-US"/>
        </w:rPr>
        <w:t>”</w:t>
      </w:r>
    </w:p>
    <w:p w14:paraId="01944C66" w14:textId="69CDBF12" w:rsidR="003009D9" w:rsidRPr="00BD56CB" w:rsidRDefault="003009D9" w:rsidP="00BD56CB">
      <w:pPr>
        <w:jc w:val="both"/>
        <w:rPr>
          <w:rFonts w:cs="Arial"/>
          <w:lang w:val="en-US"/>
        </w:rPr>
      </w:pPr>
      <w:r w:rsidRPr="00BD56CB">
        <w:rPr>
          <w:rFonts w:cs="Arial"/>
          <w:lang w:val="en-US"/>
        </w:rPr>
        <w:t>This approach combines human-capital and sustainability indicators. Some of the leading indicators are training hours per worker per annum, employee turnover rate, the percentage of local employees in management positions and the number of successful product launches in the Dubai market every year. The people and planet dimensions of TBL are operationalised as environmental and social metrics the amount of food wasted by each store, energy consumption per square metre, the share of recyclable or compostable packaging, and the number of direct jobs in Dubai. A strategy map must clearly articulate the causal relationships between capability-</w:t>
      </w:r>
      <w:r w:rsidRPr="00BD56CB">
        <w:rPr>
          <w:rFonts w:cs="Arial"/>
          <w:lang w:val="en-US"/>
        </w:rPr>
        <w:lastRenderedPageBreak/>
        <w:t>building, ESG performance and process excellence, customer outcomes and, finally, financial returns (Kaplan and Norton, 1996; Hu, 2017).</w:t>
      </w:r>
    </w:p>
    <w:p w14:paraId="31438BCB" w14:textId="77777777" w:rsidR="003009D9" w:rsidRPr="00BC0BD0" w:rsidRDefault="003009D9" w:rsidP="00BC0BD0">
      <w:pPr>
        <w:pStyle w:val="Heading2"/>
        <w:rPr>
          <w:sz w:val="28"/>
          <w:szCs w:val="28"/>
          <w:lang w:val="en-US"/>
        </w:rPr>
      </w:pPr>
      <w:bookmarkStart w:id="21" w:name="_Toc215316319"/>
      <w:r w:rsidRPr="00BC0BD0">
        <w:rPr>
          <w:sz w:val="28"/>
          <w:szCs w:val="28"/>
          <w:lang w:val="en-US"/>
        </w:rPr>
        <w:t>5.3 Use, governance and limitations.</w:t>
      </w:r>
      <w:bookmarkEnd w:id="21"/>
    </w:p>
    <w:p w14:paraId="0756C112" w14:textId="77777777" w:rsidR="003009D9" w:rsidRPr="00BD56CB" w:rsidRDefault="003009D9" w:rsidP="00BD56CB">
      <w:pPr>
        <w:jc w:val="both"/>
        <w:rPr>
          <w:rFonts w:cs="Arial"/>
          <w:lang w:val="en-US"/>
        </w:rPr>
      </w:pPr>
      <w:r w:rsidRPr="00BD56CB">
        <w:rPr>
          <w:rFonts w:cs="Arial"/>
          <w:lang w:val="en-US"/>
        </w:rPr>
        <w:t>Joint performance governance between Greggs and the master franchisee will be anchored on the BSC/TBL. An overview of the top and bottom KPIs will be presented to an operational steering committee in a concise dashboard format quarterly, and the more comprehensive annual strategy presentation will guide decisions on additional investment, rollout of menu changes and format. The focus on the operation and customer indicators will be made in the early years as the financial metrics will be delayed since the brand is being established. The literature on performance management cautions that the failure of BSC initiatives is high because of low quality of data, too many metrics and strategy mismatch (Awadallah and Allam, 2015; Schneiderman, 1999). Greggs, therefore, need to invest in efficient data systems, periodically eliminate the KPI set and be willing to revise actions as knowledge of the Dubai market continues to grow.</w:t>
      </w:r>
    </w:p>
    <w:p w14:paraId="263971BF" w14:textId="77777777" w:rsidR="003009D9" w:rsidRPr="00BC0BD0" w:rsidRDefault="003009D9" w:rsidP="00BC0BD0">
      <w:pPr>
        <w:pStyle w:val="Heading1"/>
        <w:rPr>
          <w:b/>
          <w:bCs/>
          <w:sz w:val="32"/>
          <w:szCs w:val="32"/>
          <w:lang w:val="en-US"/>
        </w:rPr>
      </w:pPr>
      <w:bookmarkStart w:id="22" w:name="_Toc215316320"/>
      <w:r w:rsidRPr="00BC0BD0">
        <w:rPr>
          <w:b/>
          <w:bCs/>
          <w:sz w:val="32"/>
          <w:szCs w:val="32"/>
          <w:lang w:val="en-US"/>
        </w:rPr>
        <w:t>6. Conclusion and reflection</w:t>
      </w:r>
      <w:bookmarkEnd w:id="22"/>
    </w:p>
    <w:p w14:paraId="04CD6FF0" w14:textId="7743740B" w:rsidR="003009D9" w:rsidRPr="00BC0BD0" w:rsidRDefault="003009D9" w:rsidP="00BC0BD0">
      <w:pPr>
        <w:pStyle w:val="Heading2"/>
        <w:rPr>
          <w:sz w:val="28"/>
          <w:szCs w:val="28"/>
          <w:lang w:val="en-US"/>
        </w:rPr>
      </w:pPr>
      <w:bookmarkStart w:id="23" w:name="_Toc215316321"/>
      <w:r w:rsidRPr="00BC0BD0">
        <w:rPr>
          <w:sz w:val="28"/>
          <w:szCs w:val="28"/>
          <w:lang w:val="en-US"/>
        </w:rPr>
        <w:t>6.1 Overview of strategic case and recommendations</w:t>
      </w:r>
      <w:bookmarkEnd w:id="23"/>
    </w:p>
    <w:p w14:paraId="584C0737" w14:textId="77777777" w:rsidR="003009D9" w:rsidRPr="00BD56CB" w:rsidRDefault="003009D9" w:rsidP="00BD56CB">
      <w:pPr>
        <w:jc w:val="both"/>
        <w:rPr>
          <w:rFonts w:cs="Arial"/>
          <w:lang w:val="en-US"/>
        </w:rPr>
      </w:pPr>
      <w:r w:rsidRPr="00BD56CB">
        <w:rPr>
          <w:rFonts w:cs="Arial"/>
          <w:lang w:val="en-US"/>
        </w:rPr>
        <w:t>This report has claimed that Dubai is an attractive but challenging initial move in the internationalisation process of Greggs. The emirate is both wealthy with high buying capacity, high employment of expatriates, high tourist flows and well developed retail facilities, and competitors are fierce with strict food-safety as well as halal policies, and occupancy costs are high. Dubai foodservice market is structurally appealing but operationally difficult, especially when an operator is low-priced, high-volume and PESTEL and industry analysis are applied.</w:t>
      </w:r>
    </w:p>
    <w:p w14:paraId="77BDB3F0" w14:textId="77777777" w:rsidR="003009D9" w:rsidRPr="00BD56CB" w:rsidRDefault="003009D9" w:rsidP="00BD56CB">
      <w:pPr>
        <w:jc w:val="both"/>
        <w:rPr>
          <w:rFonts w:cs="Arial"/>
          <w:lang w:val="en-US"/>
        </w:rPr>
      </w:pPr>
      <w:r w:rsidRPr="00BD56CB">
        <w:rPr>
          <w:rFonts w:cs="Arial"/>
          <w:lang w:val="en-US"/>
        </w:rPr>
        <w:t xml:space="preserve">It is on this basis that the proposed approach is a controlled master-franchise entry into a reputable Gulf F&amp;B/retail partner. This strategy will capitalise on the ownership benefits of Greggs; brand, recipes, operational experience and digital expertise and then capitalise on the location benefits of Dubai by a partner that has local knowledge of regulation, labour markets and real estate. An affordable, fast, halal everyday food- on- the- go and delivery business model based on high mall and roadside presence </w:t>
      </w:r>
      <w:r w:rsidRPr="00BD56CB">
        <w:rPr>
          <w:rFonts w:cs="Arial"/>
          <w:lang w:val="en-US"/>
        </w:rPr>
        <w:lastRenderedPageBreak/>
        <w:t>and backed by a delivery service focuses on the strategic concerns mentioned in Section 3: economic feasibility, brand building, halal- compliant supply and risk- mitigated growth.</w:t>
      </w:r>
    </w:p>
    <w:p w14:paraId="43ACF65F" w14:textId="77777777" w:rsidR="003009D9" w:rsidRPr="00BD56CB" w:rsidRDefault="003009D9" w:rsidP="00BD56CB">
      <w:pPr>
        <w:jc w:val="both"/>
        <w:rPr>
          <w:rFonts w:cs="Arial"/>
          <w:lang w:val="en-US"/>
        </w:rPr>
      </w:pPr>
      <w:r w:rsidRPr="00BD56CB">
        <w:rPr>
          <w:rFonts w:cs="Arial"/>
          <w:lang w:val="en-US"/>
        </w:rPr>
        <w:t>This strategy is operationalised in BSC/TBL-based performance framework which converts it into a set of financial, customer, process and learning/ESG measures so that Greggs and their franchisee can keep track of the progress, learn lessons throughout the pilot run and modify the expansion plan as needed.</w:t>
      </w:r>
    </w:p>
    <w:p w14:paraId="5D7481D6" w14:textId="36383CAD" w:rsidR="003009D9" w:rsidRPr="00BC0BD0" w:rsidRDefault="003009D9" w:rsidP="00BC0BD0">
      <w:pPr>
        <w:pStyle w:val="Heading2"/>
        <w:rPr>
          <w:sz w:val="28"/>
          <w:szCs w:val="28"/>
          <w:lang w:val="en-US"/>
        </w:rPr>
      </w:pPr>
      <w:bookmarkStart w:id="24" w:name="_Toc215316322"/>
      <w:r w:rsidRPr="00BC0BD0">
        <w:rPr>
          <w:sz w:val="28"/>
          <w:szCs w:val="28"/>
          <w:lang w:val="en-US"/>
        </w:rPr>
        <w:t>6.2 Critical reflection and limitations</w:t>
      </w:r>
      <w:bookmarkEnd w:id="24"/>
    </w:p>
    <w:p w14:paraId="59A5DB16" w14:textId="77777777" w:rsidR="003009D9" w:rsidRPr="00BD56CB" w:rsidRDefault="003009D9" w:rsidP="00BD56CB">
      <w:pPr>
        <w:jc w:val="both"/>
        <w:rPr>
          <w:rFonts w:cs="Arial"/>
          <w:lang w:val="en-US"/>
        </w:rPr>
      </w:pPr>
      <w:r w:rsidRPr="00BD56CB">
        <w:rPr>
          <w:rFonts w:cs="Arial"/>
          <w:lang w:val="en-US"/>
        </w:rPr>
        <w:t>Although the suggested plan is based on the developed theories of internationalisation, franchising, and performance management, some uncertainties still exist. The economics of the venture could change significantly due to retail rents, labour regulation, competitive responses and geopolitical developments in the Gulf; consumer preferences might also change and they are hard to predict ex ante. The key to Greggs long-term success will thus lie in its strategic agility or the capacity to feel the emergent trends, test them using pilots and dark kitchens, and restructure its supply chain, formats and partner relationship with them (Teece, 2007).</w:t>
      </w:r>
    </w:p>
    <w:p w14:paraId="01600605" w14:textId="0446EB78" w:rsidR="003009D9" w:rsidRPr="00BD56CB" w:rsidRDefault="003009D9" w:rsidP="00BD56CB">
      <w:pPr>
        <w:jc w:val="both"/>
        <w:rPr>
          <w:rFonts w:cs="Arial"/>
          <w:lang w:val="en-US"/>
        </w:rPr>
      </w:pPr>
      <w:r w:rsidRPr="00BD56CB">
        <w:rPr>
          <w:rFonts w:cs="Arial"/>
          <w:lang w:val="en-US"/>
        </w:rPr>
        <w:t>This report is analytically based on secondary data and does not involve intricate financial modelling and primary research of the consumers in Dubai which limits the accuracy of the forecasts. There are simplified assumptions about the behaviour of partners and stability of regulation. However, the analysis shows synthesis of both internal and external surroundings, critical assessment of strategic choices and express attention to implementation and performance appraisal.</w:t>
      </w:r>
    </w:p>
    <w:p w14:paraId="2CD4D789" w14:textId="77777777" w:rsidR="00B00085" w:rsidRDefault="00B00085" w:rsidP="003009D9">
      <w:pPr>
        <w:rPr>
          <w:lang w:val="en-US"/>
        </w:rPr>
      </w:pPr>
    </w:p>
    <w:p w14:paraId="2644F3A8" w14:textId="77777777" w:rsidR="00B00085" w:rsidRDefault="00B00085" w:rsidP="003009D9">
      <w:pPr>
        <w:rPr>
          <w:lang w:val="en-US"/>
        </w:rPr>
      </w:pPr>
    </w:p>
    <w:p w14:paraId="1FA9690E" w14:textId="77777777" w:rsidR="00074F6D" w:rsidRDefault="00074F6D" w:rsidP="003009D9">
      <w:pPr>
        <w:rPr>
          <w:lang w:val="en-US"/>
        </w:rPr>
      </w:pPr>
    </w:p>
    <w:p w14:paraId="6855A758" w14:textId="77777777" w:rsidR="00074F6D" w:rsidRDefault="00074F6D" w:rsidP="003009D9">
      <w:pPr>
        <w:rPr>
          <w:lang w:val="en-US"/>
        </w:rPr>
      </w:pPr>
    </w:p>
    <w:p w14:paraId="1359A5AA" w14:textId="77777777" w:rsidR="00074F6D" w:rsidRDefault="00074F6D" w:rsidP="003009D9">
      <w:pPr>
        <w:rPr>
          <w:lang w:val="en-US"/>
        </w:rPr>
      </w:pPr>
    </w:p>
    <w:p w14:paraId="1FF7DCE6" w14:textId="77777777" w:rsidR="00074F6D" w:rsidRDefault="00074F6D" w:rsidP="003009D9">
      <w:pPr>
        <w:rPr>
          <w:lang w:val="en-US"/>
        </w:rPr>
      </w:pPr>
    </w:p>
    <w:p w14:paraId="39ED394C" w14:textId="77777777" w:rsidR="00074F6D" w:rsidRDefault="00074F6D" w:rsidP="003009D9">
      <w:pPr>
        <w:rPr>
          <w:lang w:val="en-US"/>
        </w:rPr>
      </w:pPr>
    </w:p>
    <w:p w14:paraId="326AC1C8" w14:textId="77777777" w:rsidR="00074F6D" w:rsidRDefault="00074F6D" w:rsidP="003009D9">
      <w:pPr>
        <w:rPr>
          <w:lang w:val="en-US"/>
        </w:rPr>
      </w:pPr>
    </w:p>
    <w:p w14:paraId="35B38027" w14:textId="77777777" w:rsidR="00074F6D" w:rsidRDefault="00074F6D" w:rsidP="003009D9">
      <w:pPr>
        <w:rPr>
          <w:lang w:val="en-US"/>
        </w:rPr>
      </w:pPr>
    </w:p>
    <w:p w14:paraId="5A6F9815" w14:textId="77777777" w:rsidR="00B00085" w:rsidRDefault="00B00085" w:rsidP="003009D9">
      <w:pPr>
        <w:rPr>
          <w:lang w:val="en-US"/>
        </w:rPr>
      </w:pPr>
    </w:p>
    <w:bookmarkStart w:id="25" w:name="_Toc215316323" w:displacedByCustomXml="next"/>
    <w:sdt>
      <w:sdtPr>
        <w:rPr>
          <w:rFonts w:asciiTheme="minorHAnsi" w:eastAsiaTheme="minorHAnsi" w:hAnsiTheme="minorHAnsi" w:cstheme="minorBidi"/>
          <w:color w:val="auto"/>
          <w:sz w:val="22"/>
          <w:szCs w:val="22"/>
        </w:rPr>
        <w:id w:val="159509971"/>
        <w:docPartObj>
          <w:docPartGallery w:val="Bibliographies"/>
          <w:docPartUnique/>
        </w:docPartObj>
      </w:sdtPr>
      <w:sdtEndPr>
        <w:rPr>
          <w:rFonts w:ascii="Arial" w:hAnsi="Arial"/>
          <w:sz w:val="24"/>
        </w:rPr>
      </w:sdtEndPr>
      <w:sdtContent>
        <w:p w14:paraId="45BB9D07" w14:textId="39CE0449" w:rsidR="00914600" w:rsidRPr="00914600" w:rsidRDefault="00914600">
          <w:pPr>
            <w:pStyle w:val="Heading1"/>
            <w:rPr>
              <w:b/>
              <w:bCs/>
              <w:sz w:val="32"/>
              <w:szCs w:val="32"/>
            </w:rPr>
          </w:pPr>
          <w:r w:rsidRPr="00914600">
            <w:rPr>
              <w:b/>
              <w:bCs/>
              <w:sz w:val="32"/>
              <w:szCs w:val="32"/>
            </w:rPr>
            <w:t>References</w:t>
          </w:r>
          <w:bookmarkEnd w:id="25"/>
        </w:p>
        <w:sdt>
          <w:sdtPr>
            <w:id w:val="-573587230"/>
            <w:bibliography/>
          </w:sdtPr>
          <w:sdtContent>
            <w:p w14:paraId="097615CC" w14:textId="77777777" w:rsidR="00914600" w:rsidRDefault="00914600"/>
            <w:p w14:paraId="122ED967" w14:textId="3370A228"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Agility</w:t>
              </w:r>
              <w:r w:rsidRPr="00914600">
                <w:t xml:space="preserve"> (2024) </w:t>
              </w:r>
              <w:r w:rsidRPr="00914600">
                <w:rPr>
                  <w:rStyle w:val="Emphasis"/>
                  <w:rFonts w:eastAsiaTheme="majorEastAsia"/>
                </w:rPr>
                <w:t>2024 Emerging Markets Logistics Index</w:t>
              </w:r>
              <w:r w:rsidRPr="00914600">
                <w:t xml:space="preserve">. Agility Logistics. Available at: </w:t>
              </w:r>
              <w:hyperlink r:id="rId10" w:tgtFrame="_new" w:history="1">
                <w:r w:rsidRPr="00914600">
                  <w:rPr>
                    <w:rStyle w:val="Hyperlink"/>
                    <w:rFonts w:eastAsiaTheme="majorEastAsia"/>
                    <w:color w:val="auto"/>
                    <w:u w:val="none"/>
                  </w:rPr>
                  <w:t>https://www.agility.com</w:t>
                </w:r>
              </w:hyperlink>
              <w:r w:rsidRPr="00914600">
                <w:t xml:space="preserve"> </w:t>
              </w:r>
            </w:p>
            <w:p w14:paraId="2A56F0ED" w14:textId="0309AF14"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Alamirah, H.N.</w:t>
              </w:r>
              <w:r w:rsidRPr="00914600">
                <w:t xml:space="preserve"> (2025) ‘Addressing food waste in UAE hospitality: a path to sustainability’, </w:t>
              </w:r>
              <w:r w:rsidRPr="00914600">
                <w:rPr>
                  <w:rStyle w:val="Emphasis"/>
                  <w:rFonts w:eastAsiaTheme="majorEastAsia"/>
                </w:rPr>
                <w:t>Sustainable Hospitality and Tourism</w:t>
              </w:r>
              <w:r w:rsidRPr="00914600">
                <w:t xml:space="preserve">, in press. Available at: </w:t>
              </w:r>
              <w:hyperlink r:id="rId11" w:tgtFrame="_new" w:history="1">
                <w:r w:rsidRPr="00914600">
                  <w:rPr>
                    <w:rStyle w:val="Hyperlink"/>
                    <w:rFonts w:eastAsiaTheme="majorEastAsia"/>
                    <w:color w:val="auto"/>
                    <w:u w:val="none"/>
                  </w:rPr>
                  <w:t>https://www.sciencedirect.com</w:t>
                </w:r>
              </w:hyperlink>
              <w:r w:rsidRPr="00914600">
                <w:t xml:space="preserve"> </w:t>
              </w:r>
            </w:p>
            <w:p w14:paraId="646589E3" w14:textId="258E3DE0"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Alon, I.</w:t>
              </w:r>
              <w:r w:rsidRPr="00914600">
                <w:t xml:space="preserve"> (2021) ‘A systematic review of international franchising’, </w:t>
              </w:r>
              <w:r w:rsidRPr="00914600">
                <w:rPr>
                  <w:rStyle w:val="Emphasis"/>
                  <w:rFonts w:eastAsiaTheme="majorEastAsia"/>
                </w:rPr>
                <w:t>Multinational Business Review</w:t>
              </w:r>
              <w:r w:rsidRPr="00914600">
                <w:t xml:space="preserve">, 29(1), pp. 43–73. Available at: </w:t>
              </w:r>
              <w:hyperlink r:id="rId12" w:tgtFrame="_new" w:history="1">
                <w:r w:rsidRPr="00914600">
                  <w:rPr>
                    <w:rStyle w:val="Hyperlink"/>
                    <w:rFonts w:eastAsiaTheme="majorEastAsia"/>
                    <w:color w:val="auto"/>
                    <w:u w:val="none"/>
                  </w:rPr>
                  <w:t>https://www.emerald.com/insight/publication/issn/1525-383X</w:t>
                </w:r>
              </w:hyperlink>
              <w:r w:rsidRPr="00914600">
                <w:t xml:space="preserve"> </w:t>
              </w:r>
            </w:p>
            <w:p w14:paraId="2667C8D8"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Alon, I., Ni, L. and Wang, Y.</w:t>
              </w:r>
              <w:r w:rsidRPr="00914600">
                <w:t xml:space="preserve"> (2003) ‘Internationalization of franchising: a country-level examination’, </w:t>
              </w:r>
              <w:r w:rsidRPr="00914600">
                <w:rPr>
                  <w:rStyle w:val="Emphasis"/>
                  <w:rFonts w:eastAsiaTheme="majorEastAsia"/>
                </w:rPr>
                <w:t>Multinational Business Review</w:t>
              </w:r>
              <w:r w:rsidRPr="00914600">
                <w:t>, 11(1), pp. 1–23.</w:t>
              </w:r>
            </w:p>
            <w:p w14:paraId="7690D836" w14:textId="5CE8894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Anderson, P.</w:t>
              </w:r>
              <w:r w:rsidRPr="00914600">
                <w:t xml:space="preserve"> (2025) ‘The PESTEL framework and its variants for </w:t>
              </w:r>
              <w:proofErr w:type="spellStart"/>
              <w:r w:rsidRPr="00914600">
                <w:t>analysing</w:t>
              </w:r>
              <w:proofErr w:type="spellEnd"/>
              <w:r w:rsidRPr="00914600">
                <w:t xml:space="preserve"> the macro-environment’, </w:t>
              </w:r>
              <w:r w:rsidRPr="00914600">
                <w:rPr>
                  <w:rStyle w:val="Emphasis"/>
                  <w:rFonts w:eastAsiaTheme="majorEastAsia"/>
                </w:rPr>
                <w:t>SSRN Electronic Journal</w:t>
              </w:r>
              <w:r w:rsidRPr="00914600">
                <w:t xml:space="preserve">. Available at: </w:t>
              </w:r>
              <w:hyperlink r:id="rId13" w:tgtFrame="_new" w:history="1">
                <w:r w:rsidRPr="00914600">
                  <w:rPr>
                    <w:rStyle w:val="Hyperlink"/>
                    <w:rFonts w:eastAsiaTheme="majorEastAsia"/>
                    <w:color w:val="auto"/>
                    <w:u w:val="none"/>
                  </w:rPr>
                  <w:t>https://papers.ssrn.com/sol3/papers.cfm?abstract_id=5266562</w:t>
                </w:r>
              </w:hyperlink>
              <w:r w:rsidRPr="00914600">
                <w:t xml:space="preserve"> </w:t>
              </w:r>
            </w:p>
            <w:p w14:paraId="2DC39657"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Ansoff, H.I.</w:t>
              </w:r>
              <w:r w:rsidRPr="00914600">
                <w:t xml:space="preserve"> (1957) ‘Strategies for diversification’, </w:t>
              </w:r>
              <w:r w:rsidRPr="00914600">
                <w:rPr>
                  <w:rStyle w:val="Emphasis"/>
                  <w:rFonts w:eastAsiaTheme="majorEastAsia"/>
                </w:rPr>
                <w:t>Harvard Business Review</w:t>
              </w:r>
              <w:r w:rsidRPr="00914600">
                <w:t>, 35(5), pp. 113–124.</w:t>
              </w:r>
            </w:p>
            <w:p w14:paraId="436B51DC" w14:textId="5FE73D89"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AP News</w:t>
              </w:r>
              <w:r w:rsidRPr="00914600">
                <w:t xml:space="preserve"> (2025) ‘Dubai International Airport, busiest for world travel, sees record 92.3 million passengers in 2024’, </w:t>
              </w:r>
              <w:r w:rsidRPr="00914600">
                <w:rPr>
                  <w:rStyle w:val="Emphasis"/>
                  <w:rFonts w:eastAsiaTheme="majorEastAsia"/>
                </w:rPr>
                <w:t>Associated Press</w:t>
              </w:r>
              <w:r w:rsidRPr="00914600">
                <w:t xml:space="preserve">, 5 February. Available at: </w:t>
              </w:r>
              <w:hyperlink r:id="rId14" w:tgtFrame="_new" w:history="1">
                <w:r w:rsidRPr="00914600">
                  <w:rPr>
                    <w:rStyle w:val="Hyperlink"/>
                    <w:rFonts w:eastAsiaTheme="majorEastAsia"/>
                    <w:color w:val="auto"/>
                    <w:u w:val="none"/>
                  </w:rPr>
                  <w:t>https://apnews.com/article/ed5703a6ccd87ec7d3c06462b8a0ff83</w:t>
                </w:r>
              </w:hyperlink>
              <w:r w:rsidRPr="00914600">
                <w:t xml:space="preserve"> </w:t>
              </w:r>
            </w:p>
            <w:p w14:paraId="07303EFD" w14:textId="45309B51"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Awadallah, E.A. and Allam, A.</w:t>
              </w:r>
              <w:r w:rsidRPr="00914600">
                <w:t xml:space="preserve"> (2015) ‘A critique of the balanced scorecard as a performance measurement tool’, </w:t>
              </w:r>
              <w:r w:rsidRPr="00914600">
                <w:rPr>
                  <w:rStyle w:val="Emphasis"/>
                  <w:rFonts w:eastAsiaTheme="majorEastAsia"/>
                </w:rPr>
                <w:t>International Journal of Business and Social Science</w:t>
              </w:r>
              <w:r w:rsidRPr="00914600">
                <w:t xml:space="preserve">, 6(7), pp. 91–99. Available at: </w:t>
              </w:r>
              <w:hyperlink r:id="rId15" w:tgtFrame="_new" w:history="1">
                <w:r w:rsidRPr="00914600">
                  <w:rPr>
                    <w:rStyle w:val="Hyperlink"/>
                    <w:rFonts w:eastAsiaTheme="majorEastAsia"/>
                    <w:color w:val="auto"/>
                    <w:u w:val="none"/>
                  </w:rPr>
                  <w:t>https://ijbssnet.com/journals/Vol_6_No_7_July_2015/9.pdf</w:t>
                </w:r>
              </w:hyperlink>
              <w:r w:rsidRPr="00914600">
                <w:t xml:space="preserve"> </w:t>
              </w:r>
            </w:p>
            <w:p w14:paraId="60ED301F"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Barney, J.B.</w:t>
              </w:r>
              <w:r w:rsidRPr="00914600">
                <w:t xml:space="preserve"> (1991) ‘Firm resources and sustained competitive advantage’, </w:t>
              </w:r>
              <w:r w:rsidRPr="00914600">
                <w:rPr>
                  <w:rStyle w:val="Emphasis"/>
                  <w:rFonts w:eastAsiaTheme="majorEastAsia"/>
                </w:rPr>
                <w:t>Journal of Management</w:t>
              </w:r>
              <w:r w:rsidRPr="00914600">
                <w:t>, 17(1), pp. 99–120. DOI:10.1177/014920639101700108.</w:t>
              </w:r>
            </w:p>
            <w:p w14:paraId="065C08A8" w14:textId="74C35780"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Berry, J.B. and Chadda, R.</w:t>
              </w:r>
              <w:r w:rsidRPr="00914600">
                <w:t xml:space="preserve"> (2025) ‘Franchising your restaurant in the UAE’, </w:t>
              </w:r>
              <w:r w:rsidRPr="00914600">
                <w:rPr>
                  <w:rStyle w:val="Emphasis"/>
                  <w:rFonts w:eastAsiaTheme="majorEastAsia"/>
                </w:rPr>
                <w:t>Lexis Middle East Law Alert</w:t>
              </w:r>
              <w:r w:rsidRPr="00914600">
                <w:t xml:space="preserve">, 20 May. Available at: </w:t>
              </w:r>
              <w:hyperlink r:id="rId16" w:tgtFrame="_new" w:history="1">
                <w:r w:rsidRPr="00914600">
                  <w:rPr>
                    <w:rStyle w:val="Hyperlink"/>
                    <w:rFonts w:eastAsiaTheme="majorEastAsia"/>
                    <w:color w:val="auto"/>
                    <w:u w:val="none"/>
                  </w:rPr>
                  <w:t>https://www.lexismiddleeast.com/eJournal/2025-05-22_37</w:t>
                </w:r>
              </w:hyperlink>
              <w:r w:rsidRPr="00914600">
                <w:t xml:space="preserve"> </w:t>
              </w:r>
            </w:p>
            <w:p w14:paraId="13C4BE05"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Bou Hatoum, M., Tijani, M., Prieto, E. and Kara, S.</w:t>
              </w:r>
              <w:r w:rsidRPr="00914600">
                <w:t xml:space="preserve"> (2023) ‘Investigating PESTEL factors driving change in capital projects’, </w:t>
              </w:r>
              <w:r w:rsidRPr="00914600">
                <w:rPr>
                  <w:rStyle w:val="Emphasis"/>
                  <w:rFonts w:eastAsiaTheme="majorEastAsia"/>
                </w:rPr>
                <w:t>Frontiers in Built Environment</w:t>
              </w:r>
              <w:r w:rsidRPr="00914600">
                <w:t>, 9, 1207564. DOI:10.3389/fbuil.2023.1207564.</w:t>
              </w:r>
            </w:p>
            <w:p w14:paraId="7DBA8700"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lastRenderedPageBreak/>
                <w:t>Bruijl, D.G.H.T.</w:t>
              </w:r>
              <w:r w:rsidRPr="00914600">
                <w:t xml:space="preserve"> (2018) ‘The relevance of Porter’s five forces in today’s innovative and changing business environment’, </w:t>
              </w:r>
              <w:r w:rsidRPr="00914600">
                <w:rPr>
                  <w:rStyle w:val="Emphasis"/>
                  <w:rFonts w:eastAsiaTheme="majorEastAsia"/>
                </w:rPr>
                <w:t>SSRN Electronic Journal</w:t>
              </w:r>
              <w:r w:rsidRPr="00914600">
                <w:t>. DOI:10.2139/ssrn.3192207.</w:t>
              </w:r>
            </w:p>
            <w:p w14:paraId="77DA0C40" w14:textId="0500CAFB"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Cascade</w:t>
              </w:r>
              <w:r w:rsidRPr="00914600">
                <w:t xml:space="preserve"> (2023) ‘Leading and lagging indicators for your business’, </w:t>
              </w:r>
              <w:r w:rsidRPr="00914600">
                <w:rPr>
                  <w:rStyle w:val="Emphasis"/>
                  <w:rFonts w:eastAsiaTheme="majorEastAsia"/>
                </w:rPr>
                <w:t>Cascade Blog</w:t>
              </w:r>
              <w:r w:rsidRPr="00914600">
                <w:t xml:space="preserve">, 14 September. Available at: </w:t>
              </w:r>
              <w:hyperlink r:id="rId17" w:tgtFrame="_new" w:history="1">
                <w:r w:rsidRPr="00914600">
                  <w:rPr>
                    <w:rStyle w:val="Hyperlink"/>
                    <w:rFonts w:eastAsiaTheme="majorEastAsia"/>
                    <w:color w:val="auto"/>
                    <w:u w:val="none"/>
                  </w:rPr>
                  <w:t>https://www.cascade.app/blog/leading-and-lagging-kpis</w:t>
                </w:r>
              </w:hyperlink>
              <w:r w:rsidRPr="00914600">
                <w:t xml:space="preserve"> </w:t>
              </w:r>
            </w:p>
            <w:p w14:paraId="0314D9D5"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Combs, J.G. and Ketchen, D.J.</w:t>
              </w:r>
              <w:r w:rsidRPr="00914600">
                <w:t xml:space="preserve"> (1999) ‘Can capital scarcity help agency theory explain franchising? Revisiting the capital scarcity hypothesis’, </w:t>
              </w:r>
              <w:r w:rsidRPr="00914600">
                <w:rPr>
                  <w:rStyle w:val="Emphasis"/>
                  <w:rFonts w:eastAsiaTheme="majorEastAsia"/>
                </w:rPr>
                <w:t>Academy of Management Journal</w:t>
              </w:r>
              <w:r w:rsidRPr="00914600">
                <w:t>, 42(2), pp. 196–207. DOI:10.2307/257089.</w:t>
              </w:r>
            </w:p>
            <w:p w14:paraId="51F5671E"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Combs, J.G., Ketchen, D.J., Shook, C.L. and Short, J.C.</w:t>
              </w:r>
              <w:r w:rsidRPr="00914600">
                <w:t xml:space="preserve"> (2011) ‘Franchising research: major milestones, new directions, and its future within entrepreneurship’, </w:t>
              </w:r>
              <w:r w:rsidRPr="00914600">
                <w:rPr>
                  <w:rStyle w:val="Emphasis"/>
                  <w:rFonts w:eastAsiaTheme="majorEastAsia"/>
                </w:rPr>
                <w:t>Entrepreneurship Theory and Practice</w:t>
              </w:r>
              <w:r w:rsidRPr="00914600">
                <w:t>, 35(3), pp. 413–425. DOI:10.1111/j.1540-6520.2011.00443.x.</w:t>
              </w:r>
            </w:p>
            <w:p w14:paraId="4E81C038" w14:textId="0A77ADDE"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Competitors App</w:t>
              </w:r>
              <w:r w:rsidRPr="00914600">
                <w:t xml:space="preserve"> (2024) ‘Product Market Growth Matrix: what it is, strategies &amp; examples’. Available at: </w:t>
              </w:r>
              <w:hyperlink r:id="rId18" w:tgtFrame="_new" w:history="1">
                <w:r w:rsidRPr="00914600">
                  <w:rPr>
                    <w:rStyle w:val="Hyperlink"/>
                    <w:rFonts w:eastAsiaTheme="majorEastAsia"/>
                    <w:color w:val="auto"/>
                    <w:u w:val="none"/>
                  </w:rPr>
                  <w:t>https://competitors.app/product-market-growth-matrix/</w:t>
                </w:r>
              </w:hyperlink>
              <w:r w:rsidRPr="00914600">
                <w:t xml:space="preserve"> </w:t>
              </w:r>
            </w:p>
            <w:p w14:paraId="62B7F869" w14:textId="2C55D758"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Dal, M.</w:t>
              </w:r>
              <w:r w:rsidRPr="00914600">
                <w:t xml:space="preserve"> (2025) ‘UAE food delivery market: Talabat, Careem, Deliveroo and Noon compared’, </w:t>
              </w:r>
              <w:r w:rsidRPr="00914600">
                <w:rPr>
                  <w:rStyle w:val="Emphasis"/>
                  <w:rFonts w:eastAsiaTheme="majorEastAsia"/>
                </w:rPr>
                <w:t>LinkedIn Pulse</w:t>
              </w:r>
              <w:r w:rsidRPr="00914600">
                <w:t xml:space="preserve">, 10 September. Available at: </w:t>
              </w:r>
              <w:hyperlink r:id="rId19" w:tgtFrame="_new" w:history="1">
                <w:r w:rsidRPr="00914600">
                  <w:rPr>
                    <w:rStyle w:val="Hyperlink"/>
                    <w:rFonts w:eastAsiaTheme="majorEastAsia"/>
                    <w:color w:val="auto"/>
                    <w:u w:val="none"/>
                  </w:rPr>
                  <w:t>https://www.linkedin.com</w:t>
                </w:r>
              </w:hyperlink>
              <w:r w:rsidRPr="00914600">
                <w:t xml:space="preserve"> </w:t>
              </w:r>
            </w:p>
            <w:p w14:paraId="46C1CCB4" w14:textId="74331F8F"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DataReportal</w:t>
              </w:r>
              <w:r w:rsidRPr="00914600">
                <w:t xml:space="preserve"> (2024) </w:t>
              </w:r>
              <w:r w:rsidRPr="00914600">
                <w:rPr>
                  <w:rStyle w:val="Emphasis"/>
                  <w:rFonts w:eastAsiaTheme="majorEastAsia"/>
                </w:rPr>
                <w:t>Digital 2024: United Arab Emirates</w:t>
              </w:r>
              <w:r w:rsidRPr="00914600">
                <w:t xml:space="preserve">. Available at: </w:t>
              </w:r>
              <w:hyperlink r:id="rId20" w:tgtFrame="_new" w:history="1">
                <w:r w:rsidRPr="00914600">
                  <w:rPr>
                    <w:rStyle w:val="Hyperlink"/>
                    <w:rFonts w:eastAsiaTheme="majorEastAsia"/>
                    <w:color w:val="auto"/>
                    <w:u w:val="none"/>
                  </w:rPr>
                  <w:t>https://datareportal.com/reports/digital-2024-united-arab-emirates</w:t>
                </w:r>
              </w:hyperlink>
              <w:r w:rsidRPr="00914600">
                <w:t xml:space="preserve"> </w:t>
              </w:r>
            </w:p>
            <w:p w14:paraId="13D6F933" w14:textId="684EB3EC"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Dubai Department of Economy and Tourism (Dubai DET)</w:t>
              </w:r>
              <w:r w:rsidRPr="00914600">
                <w:t xml:space="preserve"> (2024) </w:t>
              </w:r>
              <w:r w:rsidRPr="00914600">
                <w:rPr>
                  <w:rStyle w:val="Emphasis"/>
                  <w:rFonts w:eastAsiaTheme="majorEastAsia"/>
                </w:rPr>
                <w:t>Tourism Performance Report January–December 2023</w:t>
              </w:r>
              <w:r w:rsidRPr="00914600">
                <w:t xml:space="preserve">. Dubai DET. Available at: </w:t>
              </w:r>
              <w:hyperlink r:id="rId21" w:tgtFrame="_new" w:history="1">
                <w:r w:rsidRPr="00914600">
                  <w:rPr>
                    <w:rStyle w:val="Hyperlink"/>
                    <w:rFonts w:eastAsiaTheme="majorEastAsia"/>
                    <w:color w:val="auto"/>
                    <w:u w:val="none"/>
                  </w:rPr>
                  <w:t>https://www.dubaidet.gov.ae</w:t>
                </w:r>
              </w:hyperlink>
              <w:r w:rsidRPr="00914600">
                <w:t xml:space="preserve"> </w:t>
              </w:r>
            </w:p>
            <w:p w14:paraId="3922CAE8" w14:textId="2E59520E"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Dubai Department of Economy and Tourism (Dubai DET)</w:t>
              </w:r>
              <w:r w:rsidRPr="00914600">
                <w:t xml:space="preserve"> (2025) </w:t>
              </w:r>
              <w:r w:rsidRPr="00914600">
                <w:rPr>
                  <w:rStyle w:val="Emphasis"/>
                  <w:rFonts w:eastAsiaTheme="majorEastAsia"/>
                </w:rPr>
                <w:t>Tourism Performance Report January–December 2024</w:t>
              </w:r>
              <w:r w:rsidRPr="00914600">
                <w:t xml:space="preserve">. Dubai DET. Available at: </w:t>
              </w:r>
              <w:hyperlink r:id="rId22" w:tgtFrame="_new" w:history="1">
                <w:r w:rsidRPr="00914600">
                  <w:rPr>
                    <w:rStyle w:val="Hyperlink"/>
                    <w:rFonts w:eastAsiaTheme="majorEastAsia"/>
                    <w:color w:val="auto"/>
                    <w:u w:val="none"/>
                  </w:rPr>
                  <w:t>https://www.dubaidet.gov.ae</w:t>
                </w:r>
              </w:hyperlink>
              <w:r w:rsidRPr="00914600">
                <w:t xml:space="preserve"> </w:t>
              </w:r>
            </w:p>
            <w:p w14:paraId="06CEF4A9"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Dunning, J.H.</w:t>
              </w:r>
              <w:r w:rsidRPr="00914600">
                <w:t xml:space="preserve"> (1988) ‘The eclectic paradigm of international production: a restatement and some possible extensions’, </w:t>
              </w:r>
              <w:r w:rsidRPr="00914600">
                <w:rPr>
                  <w:rStyle w:val="Emphasis"/>
                  <w:rFonts w:eastAsiaTheme="majorEastAsia"/>
                </w:rPr>
                <w:t>Journal of International Business Studies</w:t>
              </w:r>
              <w:r w:rsidRPr="00914600">
                <w:t>, 19(1), pp. 1–31. DOI:10.1057/palgrave.jibs.8490372.</w:t>
              </w:r>
            </w:p>
            <w:p w14:paraId="4C8CAAB8" w14:textId="33ADBD73"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Economy of Dubai</w:t>
              </w:r>
              <w:r w:rsidRPr="00914600">
                <w:t xml:space="preserve"> (2024) </w:t>
              </w:r>
              <w:r w:rsidRPr="00914600">
                <w:rPr>
                  <w:rStyle w:val="Emphasis"/>
                  <w:rFonts w:eastAsiaTheme="majorEastAsia"/>
                </w:rPr>
                <w:t>Economy of Dubai</w:t>
              </w:r>
              <w:r w:rsidRPr="00914600">
                <w:t xml:space="preserve">. Wikipedia. Available at: </w:t>
              </w:r>
              <w:hyperlink r:id="rId23" w:tgtFrame="_new" w:history="1">
                <w:r w:rsidRPr="00914600">
                  <w:rPr>
                    <w:rStyle w:val="Hyperlink"/>
                    <w:rFonts w:eastAsiaTheme="majorEastAsia"/>
                    <w:color w:val="auto"/>
                    <w:u w:val="none"/>
                  </w:rPr>
                  <w:t>https://en.wikipedia.org/wiki/Economy_of_Dubai</w:t>
                </w:r>
              </w:hyperlink>
              <w:r w:rsidRPr="00914600">
                <w:t xml:space="preserve"> </w:t>
              </w:r>
            </w:p>
            <w:p w14:paraId="4B7E3EF1"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Elkington, J.</w:t>
              </w:r>
              <w:r w:rsidRPr="00914600">
                <w:t xml:space="preserve"> (1997) </w:t>
              </w:r>
              <w:r w:rsidRPr="00914600">
                <w:rPr>
                  <w:rStyle w:val="Emphasis"/>
                  <w:rFonts w:eastAsiaTheme="majorEastAsia"/>
                </w:rPr>
                <w:t>Cannibals with Forks: The Triple Bottom Line of 21st Century Business</w:t>
              </w:r>
              <w:r w:rsidRPr="00914600">
                <w:t>. Oxford: Capstone.</w:t>
              </w:r>
            </w:p>
            <w:p w14:paraId="4541852F"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Elkington, J.</w:t>
              </w:r>
              <w:r w:rsidRPr="00914600">
                <w:t xml:space="preserve"> (1998) ‘Partnerships from “Cannibals with Forks”: The triple bottom line of 21st-century business’, </w:t>
              </w:r>
              <w:r w:rsidRPr="00914600">
                <w:rPr>
                  <w:rStyle w:val="Emphasis"/>
                  <w:rFonts w:eastAsiaTheme="majorEastAsia"/>
                </w:rPr>
                <w:t>Environmental Quality Management</w:t>
              </w:r>
              <w:r w:rsidRPr="00914600">
                <w:t>, 8(1), pp. 37–51. DOI:10.1002/tqem.3310080106.</w:t>
              </w:r>
            </w:p>
            <w:p w14:paraId="7D9F298C" w14:textId="2B49C0DE"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Elsayed, M.</w:t>
              </w:r>
              <w:r w:rsidRPr="00914600">
                <w:t xml:space="preserve"> (2024) </w:t>
              </w:r>
              <w:r w:rsidRPr="00914600">
                <w:rPr>
                  <w:rStyle w:val="Emphasis"/>
                  <w:rFonts w:eastAsiaTheme="majorEastAsia"/>
                </w:rPr>
                <w:t>The United Arab Emirates’ labour market: an overview</w:t>
              </w:r>
              <w:r w:rsidRPr="00914600">
                <w:t xml:space="preserve">. London: LSE Middle East Centre. Available at: </w:t>
              </w:r>
              <w:hyperlink r:id="rId24" w:tgtFrame="_new" w:history="1">
                <w:r w:rsidRPr="00914600">
                  <w:rPr>
                    <w:rStyle w:val="Hyperlink"/>
                    <w:rFonts w:eastAsiaTheme="majorEastAsia"/>
                    <w:color w:val="auto"/>
                    <w:u w:val="none"/>
                  </w:rPr>
                  <w:t>https://eprints.lse.ac.uk/124359/</w:t>
                </w:r>
              </w:hyperlink>
              <w:r w:rsidRPr="00914600">
                <w:t xml:space="preserve"> </w:t>
              </w:r>
            </w:p>
            <w:p w14:paraId="5E09D904" w14:textId="4778C131"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Euromonitor International</w:t>
              </w:r>
              <w:r w:rsidRPr="00914600">
                <w:t xml:space="preserve"> (2024) </w:t>
              </w:r>
              <w:r w:rsidRPr="00914600">
                <w:rPr>
                  <w:rStyle w:val="Emphasis"/>
                  <w:rFonts w:eastAsiaTheme="majorEastAsia"/>
                </w:rPr>
                <w:t>Consumer Foodservice in the United Arab Emirates</w:t>
              </w:r>
              <w:r w:rsidRPr="00914600">
                <w:t xml:space="preserve">. London: Euromonitor. Available at: </w:t>
              </w:r>
              <w:hyperlink r:id="rId25" w:tgtFrame="_new" w:history="1">
                <w:r w:rsidRPr="00914600">
                  <w:rPr>
                    <w:rStyle w:val="Hyperlink"/>
                    <w:rFonts w:eastAsiaTheme="majorEastAsia"/>
                    <w:color w:val="auto"/>
                    <w:u w:val="none"/>
                  </w:rPr>
                  <w:t>https://www.euromonitor.com</w:t>
                </w:r>
              </w:hyperlink>
              <w:r w:rsidRPr="00914600">
                <w:t xml:space="preserve"> </w:t>
              </w:r>
            </w:p>
            <w:p w14:paraId="3AD763B7" w14:textId="7E9845A5"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Fieldfisher</w:t>
              </w:r>
              <w:r w:rsidRPr="00914600">
                <w:t xml:space="preserve"> (2023) ‘International franchising: key structures for expansion’, </w:t>
              </w:r>
              <w:r w:rsidRPr="00914600">
                <w:rPr>
                  <w:rStyle w:val="Emphasis"/>
                  <w:rFonts w:eastAsiaTheme="majorEastAsia"/>
                </w:rPr>
                <w:t>Fieldfisher Franchise and Commercial Law Blog</w:t>
              </w:r>
              <w:r w:rsidRPr="00914600">
                <w:t xml:space="preserve">, 19 September. Available at: </w:t>
              </w:r>
              <w:hyperlink r:id="rId26" w:tgtFrame="_new" w:history="1">
                <w:r w:rsidRPr="00914600">
                  <w:rPr>
                    <w:rStyle w:val="Hyperlink"/>
                    <w:rFonts w:eastAsiaTheme="majorEastAsia"/>
                    <w:color w:val="auto"/>
                    <w:u w:val="none"/>
                  </w:rPr>
                  <w:t>https://www.fieldfisher.com</w:t>
                </w:r>
              </w:hyperlink>
              <w:r w:rsidRPr="00914600">
                <w:t xml:space="preserve"> </w:t>
              </w:r>
            </w:p>
            <w:p w14:paraId="74194795" w14:textId="32B4CAC5"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Financial Times</w:t>
              </w:r>
              <w:r w:rsidRPr="00914600">
                <w:t xml:space="preserve"> (2025a) ‘A million sausage rolls a day: has Britain hit peak Greggs?’, </w:t>
              </w:r>
              <w:r w:rsidRPr="00914600">
                <w:rPr>
                  <w:rStyle w:val="Emphasis"/>
                  <w:rFonts w:eastAsiaTheme="majorEastAsia"/>
                </w:rPr>
                <w:t>Financial Times</w:t>
              </w:r>
              <w:r w:rsidRPr="00914600">
                <w:t xml:space="preserve">, 29 July. Available at: </w:t>
              </w:r>
              <w:hyperlink r:id="rId27" w:tgtFrame="_new" w:history="1">
                <w:r w:rsidRPr="00914600">
                  <w:rPr>
                    <w:rStyle w:val="Hyperlink"/>
                    <w:rFonts w:eastAsiaTheme="majorEastAsia"/>
                    <w:color w:val="auto"/>
                    <w:u w:val="none"/>
                  </w:rPr>
                  <w:t>https://www.ft.com</w:t>
                </w:r>
              </w:hyperlink>
              <w:r w:rsidRPr="00914600">
                <w:t xml:space="preserve"> </w:t>
              </w:r>
            </w:p>
            <w:p w14:paraId="08DC12BF" w14:textId="5CD3BCE9"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lastRenderedPageBreak/>
                <w:t>Financial Times</w:t>
              </w:r>
              <w:r w:rsidRPr="00914600">
                <w:t xml:space="preserve"> (2025b) ‘Middle East KFC operator Americana to diversify into local brands after Gaza boycott’, </w:t>
              </w:r>
              <w:r w:rsidRPr="00914600">
                <w:rPr>
                  <w:rStyle w:val="Emphasis"/>
                  <w:rFonts w:eastAsiaTheme="majorEastAsia"/>
                </w:rPr>
                <w:t>Financial Times</w:t>
              </w:r>
              <w:r w:rsidRPr="00914600">
                <w:t xml:space="preserve">, 18 August. Available at: </w:t>
              </w:r>
              <w:hyperlink r:id="rId28" w:tgtFrame="_new" w:history="1">
                <w:r w:rsidRPr="00914600">
                  <w:rPr>
                    <w:rStyle w:val="Hyperlink"/>
                    <w:rFonts w:eastAsiaTheme="majorEastAsia"/>
                    <w:color w:val="auto"/>
                    <w:u w:val="none"/>
                  </w:rPr>
                  <w:t>https://www.ft.com</w:t>
                </w:r>
              </w:hyperlink>
              <w:r w:rsidRPr="00914600">
                <w:t xml:space="preserve"> </w:t>
              </w:r>
            </w:p>
            <w:p w14:paraId="7DC7E759" w14:textId="42030C36"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Food Export USA</w:t>
              </w:r>
              <w:r w:rsidRPr="00914600">
                <w:t xml:space="preserve"> (2025) </w:t>
              </w:r>
              <w:r w:rsidRPr="00914600">
                <w:rPr>
                  <w:rStyle w:val="Emphasis"/>
                  <w:rFonts w:eastAsiaTheme="majorEastAsia"/>
                </w:rPr>
                <w:t>United Arab Emirates Country Profile</w:t>
              </w:r>
              <w:r w:rsidRPr="00914600">
                <w:t xml:space="preserve">. Food Export USA. Available at: </w:t>
              </w:r>
              <w:hyperlink r:id="rId29" w:tgtFrame="_new" w:history="1">
                <w:r w:rsidRPr="00914600">
                  <w:rPr>
                    <w:rStyle w:val="Hyperlink"/>
                    <w:rFonts w:eastAsiaTheme="majorEastAsia"/>
                    <w:color w:val="auto"/>
                    <w:u w:val="none"/>
                  </w:rPr>
                  <w:t>https://www.foodexport.org</w:t>
                </w:r>
              </w:hyperlink>
              <w:r w:rsidRPr="00914600">
                <w:t xml:space="preserve"> </w:t>
              </w:r>
            </w:p>
            <w:p w14:paraId="790349D9" w14:textId="09F85E18"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Franklin, T.</w:t>
              </w:r>
              <w:r w:rsidRPr="00914600">
                <w:t xml:space="preserve"> (2021) ‘How to succeed as an F&amp;B franchise’, </w:t>
              </w:r>
              <w:r w:rsidRPr="00914600">
                <w:rPr>
                  <w:rStyle w:val="Emphasis"/>
                  <w:rFonts w:eastAsiaTheme="majorEastAsia"/>
                </w:rPr>
                <w:t>Dubai World Trade Centre – Industry Insights</w:t>
              </w:r>
              <w:r w:rsidRPr="00914600">
                <w:t xml:space="preserve">, 10 November. Available at: </w:t>
              </w:r>
              <w:hyperlink r:id="rId30" w:tgtFrame="_new" w:history="1">
                <w:r w:rsidRPr="00914600">
                  <w:rPr>
                    <w:rStyle w:val="Hyperlink"/>
                    <w:rFonts w:eastAsiaTheme="majorEastAsia"/>
                    <w:color w:val="auto"/>
                    <w:u w:val="none"/>
                  </w:rPr>
                  <w:t>https://www.dwtc.com</w:t>
                </w:r>
              </w:hyperlink>
              <w:r w:rsidRPr="00914600">
                <w:t xml:space="preserve"> </w:t>
              </w:r>
            </w:p>
            <w:p w14:paraId="0E35083D"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Ghemawat, P.</w:t>
              </w:r>
              <w:r w:rsidRPr="00914600">
                <w:t xml:space="preserve"> (2001) ‘Distance still matters: the hard reality of global expansion’, </w:t>
              </w:r>
              <w:r w:rsidRPr="00914600">
                <w:rPr>
                  <w:rStyle w:val="Emphasis"/>
                  <w:rFonts w:eastAsiaTheme="majorEastAsia"/>
                </w:rPr>
                <w:t>Harvard Business Review</w:t>
              </w:r>
              <w:r w:rsidRPr="00914600">
                <w:t>, 79(8), pp. 137–147.</w:t>
              </w:r>
            </w:p>
            <w:p w14:paraId="2389D01F"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Goyal, A.</w:t>
              </w:r>
              <w:r w:rsidRPr="00914600">
                <w:t xml:space="preserve"> (2020) ‘A critical analysis of Porter’s 5 forces model of competitive advantage’, </w:t>
              </w:r>
              <w:r w:rsidRPr="00914600">
                <w:rPr>
                  <w:rStyle w:val="Emphasis"/>
                  <w:rFonts w:eastAsiaTheme="majorEastAsia"/>
                </w:rPr>
                <w:t>Journal of Emerging Technologies and Innovative Research</w:t>
              </w:r>
              <w:r w:rsidRPr="00914600">
                <w:t>, 7(7), pp. 149–152. DOI:10.1729/Journal.25126.</w:t>
              </w:r>
            </w:p>
            <w:p w14:paraId="7902056F" w14:textId="183E7678"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Green Planet Solutions</w:t>
              </w:r>
              <w:r w:rsidRPr="00914600">
                <w:t xml:space="preserve"> (2025) ‘UAE municipal waste rules 2025: what every food business must do now’, </w:t>
              </w:r>
              <w:r w:rsidRPr="00914600">
                <w:rPr>
                  <w:rStyle w:val="Emphasis"/>
                  <w:rFonts w:eastAsiaTheme="majorEastAsia"/>
                </w:rPr>
                <w:t>Green Planet Solutions Blog</w:t>
              </w:r>
              <w:r w:rsidRPr="00914600">
                <w:t xml:space="preserve">, 19 November. Available at: </w:t>
              </w:r>
              <w:hyperlink r:id="rId31" w:tgtFrame="_new" w:history="1">
                <w:r w:rsidRPr="00914600">
                  <w:rPr>
                    <w:rStyle w:val="Hyperlink"/>
                    <w:rFonts w:eastAsiaTheme="majorEastAsia"/>
                    <w:color w:val="auto"/>
                    <w:u w:val="none"/>
                  </w:rPr>
                  <w:t>https://thegreenplanetsolutions.com</w:t>
                </w:r>
              </w:hyperlink>
              <w:r w:rsidRPr="00914600">
                <w:t xml:space="preserve"> </w:t>
              </w:r>
            </w:p>
            <w:p w14:paraId="5D975ACC" w14:textId="2F5392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Greggs plc</w:t>
              </w:r>
              <w:r w:rsidRPr="00914600">
                <w:t xml:space="preserve"> (2023) </w:t>
              </w:r>
              <w:r w:rsidRPr="00914600">
                <w:rPr>
                  <w:rStyle w:val="Emphasis"/>
                  <w:rFonts w:eastAsiaTheme="majorEastAsia"/>
                </w:rPr>
                <w:t>Annual Report and Accounts 2023</w:t>
              </w:r>
              <w:r w:rsidRPr="00914600">
                <w:t xml:space="preserve">. Newcastle upon Tyne: Greggs plc. Available at: </w:t>
              </w:r>
              <w:hyperlink r:id="rId32" w:tgtFrame="_new" w:history="1">
                <w:r w:rsidRPr="00914600">
                  <w:rPr>
                    <w:rStyle w:val="Hyperlink"/>
                    <w:rFonts w:eastAsiaTheme="majorEastAsia"/>
                    <w:color w:val="auto"/>
                    <w:u w:val="none"/>
                  </w:rPr>
                  <w:t>https://a.storyblok.com/f/162306/x/6191f7066b/greggs-annual-report-and-accounts-2023.pdf</w:t>
                </w:r>
              </w:hyperlink>
              <w:r w:rsidRPr="00914600">
                <w:t xml:space="preserve"> </w:t>
              </w:r>
            </w:p>
            <w:p w14:paraId="12833E78" w14:textId="3426B3E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Greggs plc</w:t>
              </w:r>
              <w:r w:rsidRPr="00914600">
                <w:t xml:space="preserve"> (2024a) </w:t>
              </w:r>
              <w:r w:rsidRPr="00914600">
                <w:rPr>
                  <w:rStyle w:val="Emphasis"/>
                  <w:rFonts w:eastAsiaTheme="majorEastAsia"/>
                </w:rPr>
                <w:t>Annual Report and Accounts 2024</w:t>
              </w:r>
              <w:r w:rsidRPr="00914600">
                <w:t xml:space="preserve">. Newcastle upon Tyne: Greggs plc. Available at: </w:t>
              </w:r>
              <w:hyperlink r:id="rId33" w:tgtFrame="_new" w:history="1">
                <w:r w:rsidRPr="00914600">
                  <w:rPr>
                    <w:rStyle w:val="Hyperlink"/>
                    <w:rFonts w:eastAsiaTheme="majorEastAsia"/>
                    <w:color w:val="auto"/>
                    <w:u w:val="none"/>
                  </w:rPr>
                  <w:t>https://data.fca.org.uk/artefacts/NSM/Portal/NI-000118042/NI-000118042.pdf</w:t>
                </w:r>
              </w:hyperlink>
              <w:r w:rsidRPr="00914600">
                <w:t xml:space="preserve"> </w:t>
              </w:r>
            </w:p>
            <w:p w14:paraId="50004CD2" w14:textId="4BD06222"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Greggs plc</w:t>
              </w:r>
              <w:r w:rsidRPr="00914600">
                <w:t xml:space="preserve"> (2024b) ‘Our strategy’, </w:t>
              </w:r>
              <w:r w:rsidRPr="00914600">
                <w:rPr>
                  <w:rStyle w:val="Emphasis"/>
                  <w:rFonts w:eastAsiaTheme="majorEastAsia"/>
                </w:rPr>
                <w:t>Greggs corporate website</w:t>
              </w:r>
              <w:r w:rsidRPr="00914600">
                <w:t xml:space="preserve">. Available at: </w:t>
              </w:r>
              <w:hyperlink r:id="rId34" w:tgtFrame="_new" w:history="1">
                <w:r w:rsidRPr="00914600">
                  <w:rPr>
                    <w:rStyle w:val="Hyperlink"/>
                    <w:rFonts w:eastAsiaTheme="majorEastAsia"/>
                    <w:color w:val="auto"/>
                    <w:u w:val="none"/>
                  </w:rPr>
                  <w:t>https://corporate.greggs.co.uk/about-us/our-strategy</w:t>
                </w:r>
              </w:hyperlink>
              <w:r w:rsidRPr="00914600">
                <w:t xml:space="preserve"> </w:t>
              </w:r>
            </w:p>
            <w:p w14:paraId="368FFC37" w14:textId="14519B8E"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Human Rights Watch (HRW)</w:t>
              </w:r>
              <w:r w:rsidRPr="00914600">
                <w:t xml:space="preserve"> (2025) ‘Gulf states: protect workers from extreme heat’, </w:t>
              </w:r>
              <w:r w:rsidRPr="00914600">
                <w:rPr>
                  <w:rStyle w:val="Emphasis"/>
                  <w:rFonts w:eastAsiaTheme="majorEastAsia"/>
                </w:rPr>
                <w:t>Human Rights Watch</w:t>
              </w:r>
              <w:r w:rsidRPr="00914600">
                <w:t xml:space="preserve">, 1 June. Available at: </w:t>
              </w:r>
              <w:hyperlink r:id="rId35" w:tgtFrame="_new" w:history="1">
                <w:r w:rsidRPr="00914600">
                  <w:rPr>
                    <w:rStyle w:val="Hyperlink"/>
                    <w:rFonts w:eastAsiaTheme="majorEastAsia"/>
                    <w:color w:val="auto"/>
                    <w:u w:val="none"/>
                  </w:rPr>
                  <w:t>https://www.hrw.org/news/2025/06/01/gulf-states-protect-workers-extreme-heat</w:t>
                </w:r>
              </w:hyperlink>
              <w:r w:rsidRPr="00914600">
                <w:t xml:space="preserve"> </w:t>
              </w:r>
            </w:p>
            <w:p w14:paraId="4CCBA159"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Hu, B.</w:t>
              </w:r>
              <w:r w:rsidRPr="00914600">
                <w:t xml:space="preserve"> (2017) ‘Strategy map concepts in a balanced scorecard cockpit for decision support’, </w:t>
              </w:r>
              <w:r w:rsidRPr="00914600">
                <w:rPr>
                  <w:rStyle w:val="Emphasis"/>
                  <w:rFonts w:eastAsiaTheme="majorEastAsia"/>
                </w:rPr>
                <w:t>European Journal of Operational Research</w:t>
              </w:r>
              <w:r w:rsidRPr="00914600">
                <w:t>, 258(2), pp. 606–614. DOI:10.1016/j.ejor.2016.09.051.</w:t>
              </w:r>
            </w:p>
            <w:p w14:paraId="3AF9A53B" w14:textId="19C94AF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IG</w:t>
              </w:r>
              <w:r w:rsidRPr="00914600">
                <w:t xml:space="preserve"> (2024) ‘Greggs sets its sights on more expansion’, </w:t>
              </w:r>
              <w:r w:rsidRPr="00914600">
                <w:rPr>
                  <w:rStyle w:val="Emphasis"/>
                  <w:rFonts w:eastAsiaTheme="majorEastAsia"/>
                </w:rPr>
                <w:t>IG International</w:t>
              </w:r>
              <w:r w:rsidRPr="00914600">
                <w:t xml:space="preserve">, 4 March. Available at: </w:t>
              </w:r>
              <w:hyperlink r:id="rId36" w:tgtFrame="_new" w:history="1">
                <w:r w:rsidRPr="00914600">
                  <w:rPr>
                    <w:rStyle w:val="Hyperlink"/>
                    <w:rFonts w:eastAsiaTheme="majorEastAsia"/>
                    <w:color w:val="auto"/>
                    <w:u w:val="none"/>
                  </w:rPr>
                  <w:t>https://www.ig.com</w:t>
                </w:r>
              </w:hyperlink>
              <w:r w:rsidRPr="00914600">
                <w:t xml:space="preserve"> </w:t>
              </w:r>
            </w:p>
            <w:p w14:paraId="1644905E"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Isabelle, D., Horak, K., McKinnon, S. and Palumbo, C.</w:t>
              </w:r>
              <w:r w:rsidRPr="00914600">
                <w:t xml:space="preserve"> (2020) ‘Is Porter’s Five Forces framework still relevant? A study of the capital/labour intensity continuum via mining and IT industries’, </w:t>
              </w:r>
              <w:r w:rsidRPr="00914600">
                <w:rPr>
                  <w:rStyle w:val="Emphasis"/>
                  <w:rFonts w:eastAsiaTheme="majorEastAsia"/>
                </w:rPr>
                <w:t>Technology Innovation Management Review</w:t>
              </w:r>
              <w:r w:rsidRPr="00914600">
                <w:t>, 10(6), pp. 28–41. DOI:10.22215/timreview/1366.</w:t>
              </w:r>
            </w:p>
            <w:p w14:paraId="5F632802" w14:textId="5A4D97EE"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Jenson, R.M.</w:t>
              </w:r>
              <w:r w:rsidRPr="00914600">
                <w:t xml:space="preserve"> (2012) ‘Using PESTEL to evaluate the macro-environment and outline strategies for competitive advantage’, </w:t>
              </w:r>
              <w:r w:rsidRPr="00914600">
                <w:rPr>
                  <w:rStyle w:val="Emphasis"/>
                  <w:rFonts w:eastAsiaTheme="majorEastAsia"/>
                </w:rPr>
                <w:t>Engineering and Technology Management Student Projects</w:t>
              </w:r>
              <w:r w:rsidRPr="00914600">
                <w:t xml:space="preserve">, Paper 541. Available at: </w:t>
              </w:r>
              <w:hyperlink r:id="rId37" w:tgtFrame="_new" w:history="1">
                <w:r w:rsidRPr="00914600">
                  <w:rPr>
                    <w:rStyle w:val="Hyperlink"/>
                    <w:rFonts w:eastAsiaTheme="majorEastAsia"/>
                    <w:color w:val="auto"/>
                    <w:u w:val="none"/>
                  </w:rPr>
                  <w:t>https://pdxscholar.library.pdx.edu/etm_studentprojects/541</w:t>
                </w:r>
              </w:hyperlink>
              <w:r w:rsidRPr="00914600">
                <w:t xml:space="preserve"> </w:t>
              </w:r>
            </w:p>
            <w:p w14:paraId="7A02C7F7"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Johanson, J. and Vahlne, J-E.</w:t>
              </w:r>
              <w:r w:rsidRPr="00914600">
                <w:t xml:space="preserve"> (2009) ‘The Uppsala internationalization process model revisited: from liability of foreignness to liability of outsidership’, </w:t>
              </w:r>
              <w:r w:rsidRPr="00914600">
                <w:rPr>
                  <w:rStyle w:val="Emphasis"/>
                  <w:rFonts w:eastAsiaTheme="majorEastAsia"/>
                </w:rPr>
                <w:t>Journal of International Business Studies</w:t>
              </w:r>
              <w:r w:rsidRPr="00914600">
                <w:t>, 40(9), pp. 1411–1431. DOI:10.1057/jibs.2009.24.</w:t>
              </w:r>
            </w:p>
            <w:p w14:paraId="57BE3681" w14:textId="6DCA7A1F"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lastRenderedPageBreak/>
                <w:t>Kaplan, R.S. and Norton, D.P.</w:t>
              </w:r>
              <w:r w:rsidRPr="00914600">
                <w:t xml:space="preserve"> (1992) ‘The balanced scorecard: measures that drive performance’, </w:t>
              </w:r>
              <w:r w:rsidRPr="00914600">
                <w:rPr>
                  <w:rStyle w:val="Emphasis"/>
                  <w:rFonts w:eastAsiaTheme="majorEastAsia"/>
                </w:rPr>
                <w:t>Harvard Business Review</w:t>
              </w:r>
              <w:r w:rsidRPr="00914600">
                <w:t xml:space="preserve">, 70(1), pp. 71–79. Available at: </w:t>
              </w:r>
              <w:hyperlink r:id="rId38" w:tgtFrame="_new" w:history="1">
                <w:r w:rsidRPr="00914600">
                  <w:rPr>
                    <w:rStyle w:val="Hyperlink"/>
                    <w:rFonts w:eastAsiaTheme="majorEastAsia"/>
                    <w:color w:val="auto"/>
                    <w:u w:val="none"/>
                  </w:rPr>
                  <w:t>https://hbr.org/1992/01/the-balanced-scorecard-measures-that-drive-performance-2</w:t>
                </w:r>
              </w:hyperlink>
              <w:r w:rsidRPr="00914600">
                <w:t xml:space="preserve"> </w:t>
              </w:r>
            </w:p>
            <w:p w14:paraId="373DE2BB"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Kaplan, R.S. and Norton, D.P.</w:t>
              </w:r>
              <w:r w:rsidRPr="00914600">
                <w:t xml:space="preserve"> (1996) </w:t>
              </w:r>
              <w:r w:rsidRPr="00914600">
                <w:rPr>
                  <w:rStyle w:val="Emphasis"/>
                  <w:rFonts w:eastAsiaTheme="majorEastAsia"/>
                </w:rPr>
                <w:t>The Balanced Scorecard: Translating Strategy into Action</w:t>
              </w:r>
              <w:r w:rsidRPr="00914600">
                <w:t>. Boston, MA: Harvard Business School Press.</w:t>
              </w:r>
            </w:p>
            <w:p w14:paraId="5C30010A" w14:textId="0BBBF059"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Kotter, J.P.</w:t>
              </w:r>
              <w:r w:rsidRPr="00914600">
                <w:t xml:space="preserve"> (1995) ‘Leading change: why transformation efforts fail’, </w:t>
              </w:r>
              <w:r w:rsidRPr="00914600">
                <w:rPr>
                  <w:rStyle w:val="Emphasis"/>
                  <w:rFonts w:eastAsiaTheme="majorEastAsia"/>
                </w:rPr>
                <w:t>Harvard Business Review</w:t>
              </w:r>
              <w:r w:rsidRPr="00914600">
                <w:t xml:space="preserve">, 73(2), pp. 59–67. Available at: </w:t>
              </w:r>
              <w:hyperlink r:id="rId39" w:tgtFrame="_new" w:history="1">
                <w:r w:rsidRPr="00914600">
                  <w:rPr>
                    <w:rStyle w:val="Hyperlink"/>
                    <w:rFonts w:eastAsiaTheme="majorEastAsia"/>
                    <w:color w:val="auto"/>
                    <w:u w:val="none"/>
                  </w:rPr>
                  <w:t>https://hbr.org/1995/05/leading-change-why-transformation-efforts-fail-2</w:t>
                </w:r>
              </w:hyperlink>
              <w:r w:rsidRPr="00914600">
                <w:t xml:space="preserve"> </w:t>
              </w:r>
            </w:p>
            <w:p w14:paraId="38A4C60F"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Lee, S. and Ham, S.</w:t>
              </w:r>
              <w:r w:rsidRPr="00914600">
                <w:t xml:space="preserve"> (2021) ‘Food service industry in the era of COVID-19: trends and research implications’, </w:t>
              </w:r>
              <w:r w:rsidRPr="00914600">
                <w:rPr>
                  <w:rStyle w:val="Emphasis"/>
                  <w:rFonts w:eastAsiaTheme="majorEastAsia"/>
                </w:rPr>
                <w:t>Nutrition Research and Practice</w:t>
              </w:r>
              <w:r w:rsidRPr="00914600">
                <w:t>, 15(S1), pp. S22–S31. DOI:10.4162/nrp.2021.15.S1.S22.</w:t>
              </w:r>
            </w:p>
            <w:p w14:paraId="244EF6BB" w14:textId="44004E30"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Levitt, N.E.</w:t>
              </w:r>
              <w:r w:rsidRPr="00914600">
                <w:t xml:space="preserve"> (2012) ‘Controlling your international franchise network: the impossible dream?’, </w:t>
              </w:r>
              <w:r w:rsidRPr="00914600">
                <w:rPr>
                  <w:rStyle w:val="Emphasis"/>
                  <w:rFonts w:eastAsiaTheme="majorEastAsia"/>
                </w:rPr>
                <w:t>International Journal of Franchising Law</w:t>
              </w:r>
              <w:r w:rsidRPr="00914600">
                <w:t xml:space="preserve">, 10(2), pp. 3–24. Available at: </w:t>
              </w:r>
              <w:hyperlink r:id="rId40" w:tgtFrame="_new" w:history="1">
                <w:r w:rsidRPr="00914600">
                  <w:rPr>
                    <w:rStyle w:val="Hyperlink"/>
                    <w:rFonts w:eastAsiaTheme="majorEastAsia"/>
                    <w:color w:val="auto"/>
                    <w:u w:val="none"/>
                  </w:rPr>
                  <w:t>https://www.dickinson-wright.com</w:t>
                </w:r>
              </w:hyperlink>
              <w:r w:rsidRPr="00914600">
                <w:t xml:space="preserve"> </w:t>
              </w:r>
            </w:p>
            <w:p w14:paraId="045C3024"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Madsen, D.Ø.</w:t>
              </w:r>
              <w:r w:rsidRPr="00914600">
                <w:t xml:space="preserve"> (2025) ‘Balanced scorecard: history, implementation, and impact’, </w:t>
              </w:r>
              <w:r w:rsidRPr="00914600">
                <w:rPr>
                  <w:rStyle w:val="Emphasis"/>
                  <w:rFonts w:eastAsiaTheme="majorEastAsia"/>
                </w:rPr>
                <w:t>Encyclopedia</w:t>
              </w:r>
              <w:r w:rsidRPr="00914600">
                <w:t>, 5(1), 39. DOI:10.3390/encyclopedia5010039.</w:t>
              </w:r>
            </w:p>
            <w:p w14:paraId="5FAF7E23"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Maqbool, M.E., Imran, H., Khan, S., Ali, F. and Maqbool, A.</w:t>
              </w:r>
              <w:r w:rsidRPr="00914600">
                <w:t xml:space="preserve"> (2024) ‘Global impact of COVID-19 on food safety and sustainability: a comprehensive review’, </w:t>
              </w:r>
              <w:proofErr w:type="spellStart"/>
              <w:r w:rsidRPr="00914600">
                <w:rPr>
                  <w:rStyle w:val="Emphasis"/>
                  <w:rFonts w:eastAsiaTheme="majorEastAsia"/>
                </w:rPr>
                <w:t>Heliyon</w:t>
              </w:r>
              <w:proofErr w:type="spellEnd"/>
              <w:r w:rsidRPr="00914600">
                <w:t>, 10(15), e35154. DOI:10.1016/j.heliyon.2024.e35154.</w:t>
              </w:r>
            </w:p>
            <w:p w14:paraId="6A86F33B" w14:textId="5AC468B1"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McKinsey &amp; Company</w:t>
              </w:r>
              <w:r w:rsidRPr="00914600">
                <w:t xml:space="preserve"> (2024) </w:t>
              </w:r>
              <w:r w:rsidRPr="00914600">
                <w:rPr>
                  <w:rStyle w:val="Emphasis"/>
                  <w:rFonts w:eastAsiaTheme="majorEastAsia"/>
                </w:rPr>
                <w:t>The future of foodservice: delivering next-generation growth</w:t>
              </w:r>
              <w:r w:rsidRPr="00914600">
                <w:t xml:space="preserve">. McKinsey &amp; Company. Available at: </w:t>
              </w:r>
              <w:hyperlink r:id="rId41" w:tgtFrame="_new" w:history="1">
                <w:r w:rsidRPr="00914600">
                  <w:rPr>
                    <w:rStyle w:val="Hyperlink"/>
                    <w:rFonts w:eastAsiaTheme="majorEastAsia"/>
                    <w:color w:val="auto"/>
                    <w:u w:val="none"/>
                  </w:rPr>
                  <w:t>https://www.mckinsey.com</w:t>
                </w:r>
              </w:hyperlink>
              <w:r w:rsidRPr="00914600">
                <w:t xml:space="preserve"> </w:t>
              </w:r>
            </w:p>
            <w:p w14:paraId="562E1B90" w14:textId="3BF145AA"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McKinsey &amp; Company</w:t>
              </w:r>
              <w:r w:rsidRPr="00914600">
                <w:t xml:space="preserve"> (2025) </w:t>
              </w:r>
              <w:r w:rsidRPr="00914600">
                <w:rPr>
                  <w:rStyle w:val="Emphasis"/>
                  <w:rFonts w:eastAsiaTheme="majorEastAsia"/>
                </w:rPr>
                <w:t>The state of food delivery 2025</w:t>
              </w:r>
              <w:r w:rsidRPr="00914600">
                <w:t xml:space="preserve">. McKinsey &amp; Company. Available at: </w:t>
              </w:r>
              <w:hyperlink r:id="rId42" w:tgtFrame="_new" w:history="1">
                <w:r w:rsidRPr="00914600">
                  <w:rPr>
                    <w:rStyle w:val="Hyperlink"/>
                    <w:rFonts w:eastAsiaTheme="majorEastAsia"/>
                    <w:color w:val="auto"/>
                    <w:u w:val="none"/>
                  </w:rPr>
                  <w:t>https://www.mckinsey.com</w:t>
                </w:r>
              </w:hyperlink>
              <w:r w:rsidRPr="00914600">
                <w:t xml:space="preserve"> </w:t>
              </w:r>
            </w:p>
            <w:p w14:paraId="41E44A30"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Merrilees, B.</w:t>
              </w:r>
              <w:r w:rsidRPr="00914600">
                <w:t xml:space="preserve"> (2006) ‘International franchising: success factors in front-end and ongoing operations’, </w:t>
              </w:r>
              <w:r w:rsidRPr="00914600">
                <w:rPr>
                  <w:rStyle w:val="Emphasis"/>
                  <w:rFonts w:eastAsiaTheme="majorEastAsia"/>
                </w:rPr>
                <w:t>Asia Pacific Journal of Marketing and Logistics</w:t>
              </w:r>
              <w:r w:rsidRPr="00914600">
                <w:t>, 18(2), pp. 81–97.</w:t>
              </w:r>
            </w:p>
            <w:p w14:paraId="6DFEFC56" w14:textId="320A4BCC"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Ministry of Climate Change and Environment (MOCCAE)</w:t>
              </w:r>
              <w:r w:rsidRPr="00914600">
                <w:t xml:space="preserve"> (n.d.) ‘Food safety’, </w:t>
              </w:r>
              <w:r w:rsidRPr="00914600">
                <w:rPr>
                  <w:rStyle w:val="Emphasis"/>
                  <w:rFonts w:eastAsiaTheme="majorEastAsia"/>
                </w:rPr>
                <w:t>MOCCAE Knowledge Hub</w:t>
              </w:r>
              <w:r w:rsidRPr="00914600">
                <w:t xml:space="preserve">. Available at: </w:t>
              </w:r>
              <w:hyperlink r:id="rId43" w:tgtFrame="_new" w:history="1">
                <w:r w:rsidRPr="00914600">
                  <w:rPr>
                    <w:rStyle w:val="Hyperlink"/>
                    <w:rFonts w:eastAsiaTheme="majorEastAsia"/>
                    <w:color w:val="auto"/>
                    <w:u w:val="none"/>
                  </w:rPr>
                  <w:t>https://www.moccae.gov.ae/en/knowledge/food-safety</w:t>
                </w:r>
              </w:hyperlink>
              <w:r w:rsidRPr="00914600">
                <w:t xml:space="preserve"> </w:t>
              </w:r>
            </w:p>
            <w:p w14:paraId="6A235478" w14:textId="500A9E0F"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Ministry of Industry and Advanced Technology (MOIAT)</w:t>
              </w:r>
              <w:r w:rsidRPr="00914600">
                <w:t xml:space="preserve"> (2024) </w:t>
              </w:r>
              <w:r w:rsidRPr="00914600">
                <w:rPr>
                  <w:rStyle w:val="Emphasis"/>
                  <w:rFonts w:eastAsiaTheme="majorEastAsia"/>
                </w:rPr>
                <w:t>Halal products: standards and national halal mark</w:t>
              </w:r>
              <w:r w:rsidRPr="00914600">
                <w:t xml:space="preserve">. Available at: </w:t>
              </w:r>
              <w:hyperlink r:id="rId44" w:tgtFrame="_new" w:history="1">
                <w:r w:rsidRPr="00914600">
                  <w:rPr>
                    <w:rStyle w:val="Hyperlink"/>
                    <w:rFonts w:eastAsiaTheme="majorEastAsia"/>
                    <w:color w:val="auto"/>
                    <w:u w:val="none"/>
                  </w:rPr>
                  <w:t>https://moiat.gov.ae/en/programs/halal</w:t>
                </w:r>
              </w:hyperlink>
              <w:r w:rsidRPr="00914600">
                <w:t xml:space="preserve"> </w:t>
              </w:r>
            </w:p>
            <w:p w14:paraId="686C68B7" w14:textId="425E9432"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Mondaq</w:t>
              </w:r>
              <w:r w:rsidRPr="00914600">
                <w:t xml:space="preserve"> (2023) ‘Franchising comparative guide – United Arab Emirates’, </w:t>
              </w:r>
              <w:r w:rsidRPr="00914600">
                <w:rPr>
                  <w:rStyle w:val="Emphasis"/>
                  <w:rFonts w:eastAsiaTheme="majorEastAsia"/>
                </w:rPr>
                <w:t>Mondaq</w:t>
              </w:r>
              <w:r w:rsidRPr="00914600">
                <w:t xml:space="preserve">, 20 November. Available at: </w:t>
              </w:r>
              <w:hyperlink r:id="rId45" w:tgtFrame="_new" w:history="1">
                <w:r w:rsidRPr="00914600">
                  <w:rPr>
                    <w:rStyle w:val="Hyperlink"/>
                    <w:rFonts w:eastAsiaTheme="majorEastAsia"/>
                    <w:color w:val="auto"/>
                    <w:u w:val="none"/>
                  </w:rPr>
                  <w:t>https://www.mondaq.com</w:t>
                </w:r>
              </w:hyperlink>
              <w:r w:rsidRPr="00914600">
                <w:t xml:space="preserve"> </w:t>
              </w:r>
            </w:p>
            <w:p w14:paraId="21FA2E9E"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Pangarkar, N.</w:t>
              </w:r>
              <w:r w:rsidRPr="00914600">
                <w:t xml:space="preserve"> (2024) ‘Using Porter’s five forces analysis to drive strategy’, </w:t>
              </w:r>
              <w:r w:rsidRPr="00914600">
                <w:rPr>
                  <w:rStyle w:val="Emphasis"/>
                  <w:rFonts w:eastAsiaTheme="majorEastAsia"/>
                </w:rPr>
                <w:t>Journal of Organizational Excellence</w:t>
              </w:r>
              <w:r w:rsidRPr="00914600">
                <w:t>, 43(1), pp. 61–74. DOI:10.1002/joe.22250.</w:t>
              </w:r>
            </w:p>
            <w:p w14:paraId="15DB19B9" w14:textId="41680779"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Restroworks</w:t>
              </w:r>
              <w:r w:rsidRPr="00914600">
                <w:t xml:space="preserve"> (2025) ‘UAE restaurant industry statistics and trends 2025’, </w:t>
              </w:r>
              <w:r w:rsidRPr="00914600">
                <w:rPr>
                  <w:rStyle w:val="Emphasis"/>
                  <w:rFonts w:eastAsiaTheme="majorEastAsia"/>
                </w:rPr>
                <w:t>Restroworks Insights</w:t>
              </w:r>
              <w:r w:rsidRPr="00914600">
                <w:t xml:space="preserve">. Available at: </w:t>
              </w:r>
              <w:hyperlink r:id="rId46" w:tgtFrame="_new" w:history="1">
                <w:r w:rsidRPr="00914600">
                  <w:rPr>
                    <w:rStyle w:val="Hyperlink"/>
                    <w:rFonts w:eastAsiaTheme="majorEastAsia"/>
                    <w:color w:val="auto"/>
                    <w:u w:val="none"/>
                  </w:rPr>
                  <w:t>https://restroworks.com</w:t>
                </w:r>
              </w:hyperlink>
              <w:r w:rsidRPr="00914600">
                <w:t xml:space="preserve"> </w:t>
              </w:r>
            </w:p>
            <w:p w14:paraId="11769C23" w14:textId="4EF38778"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Revly</w:t>
              </w:r>
              <w:r w:rsidRPr="00914600">
                <w:t xml:space="preserve"> (2025) ‘Marketing on Talabat vs Deliveroo vs Careem vs Noon in the UAE’, </w:t>
              </w:r>
              <w:r w:rsidRPr="00914600">
                <w:rPr>
                  <w:rStyle w:val="Emphasis"/>
                  <w:rFonts w:eastAsiaTheme="majorEastAsia"/>
                </w:rPr>
                <w:t>Revly Blog</w:t>
              </w:r>
              <w:r w:rsidRPr="00914600">
                <w:t xml:space="preserve">, 16 June. Available at: </w:t>
              </w:r>
              <w:hyperlink r:id="rId47" w:tgtFrame="_new" w:history="1">
                <w:r w:rsidRPr="00914600">
                  <w:rPr>
                    <w:rStyle w:val="Hyperlink"/>
                    <w:rFonts w:eastAsiaTheme="majorEastAsia"/>
                    <w:color w:val="auto"/>
                    <w:u w:val="none"/>
                  </w:rPr>
                  <w:t>https://www.gorevly.com</w:t>
                </w:r>
              </w:hyperlink>
              <w:r w:rsidRPr="00914600">
                <w:t xml:space="preserve"> </w:t>
              </w:r>
            </w:p>
            <w:p w14:paraId="0E509A99" w14:textId="6FA0F09D"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Rosado-Serrano, A., Paul, J. and Dikova, D.</w:t>
              </w:r>
              <w:r w:rsidRPr="00914600">
                <w:t xml:space="preserve"> (2018) ‘International franchising: a literature review and research agenda’, </w:t>
              </w:r>
              <w:r w:rsidRPr="00914600">
                <w:rPr>
                  <w:rStyle w:val="Emphasis"/>
                  <w:rFonts w:eastAsiaTheme="majorEastAsia"/>
                </w:rPr>
                <w:t>Journal of Business Research</w:t>
              </w:r>
              <w:r w:rsidRPr="00914600">
                <w:t xml:space="preserve">, 85, pp. 238–257. Available at: </w:t>
              </w:r>
              <w:hyperlink r:id="rId48" w:tgtFrame="_new" w:history="1">
                <w:r w:rsidRPr="00914600">
                  <w:rPr>
                    <w:rStyle w:val="Hyperlink"/>
                    <w:rFonts w:eastAsiaTheme="majorEastAsia"/>
                    <w:color w:val="auto"/>
                    <w:u w:val="none"/>
                  </w:rPr>
                  <w:t>https://justinpaul.uprrp.edu</w:t>
                </w:r>
              </w:hyperlink>
              <w:r w:rsidRPr="00914600">
                <w:t xml:space="preserve"> </w:t>
              </w:r>
            </w:p>
            <w:p w14:paraId="454795AE" w14:textId="0C3BB811"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lastRenderedPageBreak/>
                <w:t>Schneiderman, A.M.</w:t>
              </w:r>
              <w:r w:rsidRPr="00914600">
                <w:t xml:space="preserve"> (1999) ‘Why balanced scorecards fail’, </w:t>
              </w:r>
              <w:r w:rsidRPr="00914600">
                <w:rPr>
                  <w:rStyle w:val="Emphasis"/>
                  <w:rFonts w:eastAsiaTheme="majorEastAsia"/>
                </w:rPr>
                <w:t>Journal of Strategic Performance Measurement</w:t>
              </w:r>
              <w:r w:rsidRPr="00914600">
                <w:t xml:space="preserve">, January (Special edition), pp. 6–11. Available at: </w:t>
              </w:r>
              <w:hyperlink r:id="rId49" w:tgtFrame="_new" w:history="1">
                <w:r w:rsidRPr="00914600">
                  <w:rPr>
                    <w:rStyle w:val="Hyperlink"/>
                    <w:rFonts w:eastAsiaTheme="majorEastAsia"/>
                    <w:color w:val="auto"/>
                    <w:u w:val="none"/>
                  </w:rPr>
                  <w:t>https://www.schneiderman.com/AMS_publications/Why%20BSCs%20Fail/fail.doc</w:t>
                </w:r>
              </w:hyperlink>
              <w:r w:rsidRPr="00914600">
                <w:t xml:space="preserve"> </w:t>
              </w:r>
            </w:p>
            <w:p w14:paraId="66461398" w14:textId="6A110F8F"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Singh, K.</w:t>
              </w:r>
              <w:r w:rsidRPr="00914600">
                <w:t xml:space="preserve"> (2025) ‘UAE café and coffee chain market outlook to 2027’, </w:t>
              </w:r>
              <w:r w:rsidRPr="00914600">
                <w:rPr>
                  <w:rStyle w:val="Emphasis"/>
                  <w:rFonts w:eastAsiaTheme="majorEastAsia"/>
                </w:rPr>
                <w:t>LinkedIn Pulse</w:t>
              </w:r>
              <w:r w:rsidRPr="00914600">
                <w:t xml:space="preserve">, 15 July. Available at: </w:t>
              </w:r>
              <w:hyperlink r:id="rId50" w:tgtFrame="_new" w:history="1">
                <w:r w:rsidRPr="00914600">
                  <w:rPr>
                    <w:rStyle w:val="Hyperlink"/>
                    <w:rFonts w:eastAsiaTheme="majorEastAsia"/>
                    <w:color w:val="auto"/>
                    <w:u w:val="none"/>
                  </w:rPr>
                  <w:t>https://www.linkedin.com</w:t>
                </w:r>
              </w:hyperlink>
              <w:r w:rsidRPr="00914600">
                <w:t xml:space="preserve"> </w:t>
              </w:r>
            </w:p>
            <w:p w14:paraId="296A90D3"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Teece, D.J.</w:t>
              </w:r>
              <w:r w:rsidRPr="00914600">
                <w:t xml:space="preserve"> (2007) ‘Explicating dynamic capabilities: the nature and microfoundations of (sustainable) enterprise performance’, </w:t>
              </w:r>
              <w:r w:rsidRPr="00914600">
                <w:rPr>
                  <w:rStyle w:val="Emphasis"/>
                  <w:rFonts w:eastAsiaTheme="majorEastAsia"/>
                </w:rPr>
                <w:t>Strategic Management Journal</w:t>
              </w:r>
              <w:r w:rsidRPr="00914600">
                <w:t>, 28(13), pp. 1319–1350. DOI:10.1002/smj.640.</w:t>
              </w:r>
            </w:p>
            <w:p w14:paraId="7842C9FD" w14:textId="7777777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Teece, D.J., Pisano, G. and Shuen, A.</w:t>
              </w:r>
              <w:r w:rsidRPr="00914600">
                <w:t xml:space="preserve"> (1997) ‘Dynamic capabilities and strategic management’, </w:t>
              </w:r>
              <w:r w:rsidRPr="00914600">
                <w:rPr>
                  <w:rStyle w:val="Emphasis"/>
                  <w:rFonts w:eastAsiaTheme="majorEastAsia"/>
                </w:rPr>
                <w:t>Strategic Management Journal</w:t>
              </w:r>
              <w:r w:rsidRPr="00914600">
                <w:t>, 18(7), pp. 509–533. DOI:10.1002/(SICI)1097-0266(199708)18:7&lt;509::AID-SMJ882&gt;3.0.CO;2-Z.</w:t>
              </w:r>
            </w:p>
            <w:p w14:paraId="354BD8DC" w14:textId="2B8EC14F"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The Guardian</w:t>
              </w:r>
              <w:r w:rsidRPr="00914600">
                <w:t xml:space="preserve"> (2025) ‘UK has not hit “peak Greggs”, says CEO, as sales slow in heatwave’, </w:t>
              </w:r>
              <w:r w:rsidRPr="00914600">
                <w:rPr>
                  <w:rStyle w:val="Emphasis"/>
                  <w:rFonts w:eastAsiaTheme="majorEastAsia"/>
                </w:rPr>
                <w:t>The Guardian</w:t>
              </w:r>
              <w:r w:rsidRPr="00914600">
                <w:t xml:space="preserve">, 29 July. Available at: </w:t>
              </w:r>
              <w:hyperlink r:id="rId51" w:tgtFrame="_new" w:history="1">
                <w:r w:rsidRPr="00914600">
                  <w:rPr>
                    <w:rStyle w:val="Hyperlink"/>
                    <w:rFonts w:eastAsiaTheme="majorEastAsia"/>
                    <w:color w:val="auto"/>
                    <w:u w:val="none"/>
                  </w:rPr>
                  <w:t>https://www.theguardian.com</w:t>
                </w:r>
              </w:hyperlink>
              <w:r w:rsidRPr="00914600">
                <w:t xml:space="preserve"> </w:t>
              </w:r>
            </w:p>
            <w:p w14:paraId="39CB43C4" w14:textId="1E9ABDCE"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UAE Government</w:t>
              </w:r>
              <w:r w:rsidRPr="00914600">
                <w:t xml:space="preserve"> (2015) </w:t>
              </w:r>
              <w:r w:rsidRPr="00914600">
                <w:rPr>
                  <w:rStyle w:val="Emphasis"/>
                  <w:rFonts w:eastAsiaTheme="majorEastAsia"/>
                </w:rPr>
                <w:t>Federal Law No. 10 of 2015 on Food Safety</w:t>
              </w:r>
              <w:r w:rsidRPr="00914600">
                <w:t xml:space="preserve">. Abu Dhabi: UAE Government. Available at: </w:t>
              </w:r>
              <w:hyperlink r:id="rId52" w:tgtFrame="_new" w:history="1">
                <w:r w:rsidRPr="00914600">
                  <w:rPr>
                    <w:rStyle w:val="Hyperlink"/>
                    <w:rFonts w:eastAsiaTheme="majorEastAsia"/>
                    <w:color w:val="auto"/>
                    <w:u w:val="none"/>
                  </w:rPr>
                  <w:t>https://moccae.gov.ae</w:t>
                </w:r>
              </w:hyperlink>
              <w:r w:rsidRPr="00914600">
                <w:t xml:space="preserve"> </w:t>
              </w:r>
            </w:p>
            <w:p w14:paraId="45F399DC" w14:textId="317053F7"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UNIDROIT</w:t>
              </w:r>
              <w:r w:rsidRPr="00914600">
                <w:t xml:space="preserve"> (2007) </w:t>
              </w:r>
              <w:r w:rsidRPr="00914600">
                <w:rPr>
                  <w:rStyle w:val="Emphasis"/>
                  <w:rFonts w:eastAsiaTheme="majorEastAsia"/>
                </w:rPr>
                <w:t>Guide to International Master Franchise Arrangements</w:t>
              </w:r>
              <w:r w:rsidRPr="00914600">
                <w:t xml:space="preserve">. Rome: International Institute for the Unification of Private Law. Available at: </w:t>
              </w:r>
              <w:hyperlink r:id="rId53" w:tgtFrame="_new" w:history="1">
                <w:r w:rsidRPr="00914600">
                  <w:rPr>
                    <w:rStyle w:val="Hyperlink"/>
                    <w:rFonts w:eastAsiaTheme="majorEastAsia"/>
                    <w:color w:val="auto"/>
                    <w:u w:val="none"/>
                  </w:rPr>
                  <w:t>https://www.unidroit.org</w:t>
                </w:r>
              </w:hyperlink>
              <w:r w:rsidRPr="00914600">
                <w:t xml:space="preserve"> </w:t>
              </w:r>
            </w:p>
            <w:p w14:paraId="2D6256BA" w14:textId="3D51F330"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US-UAE Business Council</w:t>
              </w:r>
              <w:r w:rsidRPr="00914600">
                <w:t xml:space="preserve"> (2024) </w:t>
              </w:r>
              <w:r w:rsidRPr="00914600">
                <w:rPr>
                  <w:rStyle w:val="Emphasis"/>
                  <w:rFonts w:eastAsiaTheme="majorEastAsia"/>
                </w:rPr>
                <w:t>The UAE’s Food Security Vision: Innovation, Investment, and Partnerships</w:t>
              </w:r>
              <w:r w:rsidRPr="00914600">
                <w:t xml:space="preserve">. Washington DC: US-UAE Business Council. Available at: </w:t>
              </w:r>
              <w:hyperlink r:id="rId54" w:tgtFrame="_new" w:history="1">
                <w:r w:rsidRPr="00914600">
                  <w:rPr>
                    <w:rStyle w:val="Hyperlink"/>
                    <w:rFonts w:eastAsiaTheme="majorEastAsia"/>
                    <w:color w:val="auto"/>
                    <w:u w:val="none"/>
                  </w:rPr>
                  <w:t>https://usuaebusiness.org</w:t>
                </w:r>
              </w:hyperlink>
              <w:r w:rsidRPr="00914600">
                <w:t xml:space="preserve"> </w:t>
              </w:r>
            </w:p>
            <w:p w14:paraId="30A5F430" w14:textId="0BEB44B8"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United States Department of Agriculture (USDA)</w:t>
              </w:r>
              <w:r w:rsidRPr="00914600">
                <w:t xml:space="preserve"> (2024) </w:t>
              </w:r>
              <w:r w:rsidRPr="00914600">
                <w:rPr>
                  <w:rStyle w:val="Emphasis"/>
                  <w:rFonts w:eastAsiaTheme="majorEastAsia"/>
                </w:rPr>
                <w:t>Food Service – Hotel Restaurant Institutional Annual: United Arab Emirates</w:t>
              </w:r>
              <w:r w:rsidRPr="00914600">
                <w:t xml:space="preserve"> (GAIN Report No. TC2024-0012). Washington DC: Foreign Agricultural Service, USDA. Available at: </w:t>
              </w:r>
              <w:hyperlink r:id="rId55" w:tgtFrame="_new" w:history="1">
                <w:r w:rsidRPr="00914600">
                  <w:rPr>
                    <w:rStyle w:val="Hyperlink"/>
                    <w:rFonts w:eastAsiaTheme="majorEastAsia"/>
                    <w:color w:val="auto"/>
                    <w:u w:val="none"/>
                  </w:rPr>
                  <w:t>https://apps.fas.usda.gov</w:t>
                </w:r>
              </w:hyperlink>
              <w:r w:rsidRPr="00914600">
                <w:t xml:space="preserve"> </w:t>
              </w:r>
            </w:p>
            <w:p w14:paraId="6995AE60" w14:textId="6F4E336C"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United States Department of Agriculture (USDA)</w:t>
              </w:r>
              <w:r w:rsidRPr="00914600">
                <w:t xml:space="preserve"> (2025) </w:t>
              </w:r>
              <w:r w:rsidRPr="00914600">
                <w:rPr>
                  <w:rStyle w:val="Emphasis"/>
                  <w:rFonts w:eastAsiaTheme="majorEastAsia"/>
                </w:rPr>
                <w:t>Exporter Guide Annual: United Arab Emirates</w:t>
              </w:r>
              <w:r w:rsidRPr="00914600">
                <w:t xml:space="preserve"> (GAIN Report No. TC2025-0005). Washington DC: Foreign Agricultural Service, USDA. Available at: </w:t>
              </w:r>
              <w:hyperlink r:id="rId56" w:tgtFrame="_new" w:history="1">
                <w:r w:rsidRPr="00914600">
                  <w:rPr>
                    <w:rStyle w:val="Hyperlink"/>
                    <w:rFonts w:eastAsiaTheme="majorEastAsia"/>
                    <w:color w:val="auto"/>
                    <w:u w:val="none"/>
                  </w:rPr>
                  <w:t>https://apps.fas.usda.gov</w:t>
                </w:r>
              </w:hyperlink>
              <w:r w:rsidRPr="00914600">
                <w:t xml:space="preserve"> </w:t>
              </w:r>
            </w:p>
            <w:p w14:paraId="2E4F8A05" w14:textId="2617AA60"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ValuStrat</w:t>
              </w:r>
              <w:r w:rsidRPr="00914600">
                <w:t xml:space="preserve"> (2024) ‘Retail rents rise at Dubai malls due to lack of supply’, </w:t>
              </w:r>
              <w:r w:rsidRPr="00914600">
                <w:rPr>
                  <w:rStyle w:val="Emphasis"/>
                  <w:rFonts w:eastAsiaTheme="majorEastAsia"/>
                </w:rPr>
                <w:t>ValuStrat Insights</w:t>
              </w:r>
              <w:r w:rsidRPr="00914600">
                <w:t xml:space="preserve">, 6 November. Available at: </w:t>
              </w:r>
              <w:hyperlink r:id="rId57" w:tgtFrame="_new" w:history="1">
                <w:r w:rsidRPr="00914600">
                  <w:rPr>
                    <w:rStyle w:val="Hyperlink"/>
                    <w:rFonts w:eastAsiaTheme="majorEastAsia"/>
                    <w:color w:val="auto"/>
                    <w:u w:val="none"/>
                  </w:rPr>
                  <w:t>https://valustrat.com</w:t>
                </w:r>
              </w:hyperlink>
              <w:r w:rsidRPr="00914600">
                <w:t xml:space="preserve"> </w:t>
              </w:r>
            </w:p>
            <w:p w14:paraId="3C6E9FEF" w14:textId="74EFED54" w:rsidR="00914600" w:rsidRPr="00914600" w:rsidRDefault="00914600" w:rsidP="00914600">
              <w:pPr>
                <w:pStyle w:val="NormalWeb"/>
                <w:numPr>
                  <w:ilvl w:val="0"/>
                  <w:numId w:val="22"/>
                </w:numPr>
                <w:spacing w:line="276" w:lineRule="auto"/>
              </w:pPr>
              <w:r w:rsidRPr="00914600">
                <w:rPr>
                  <w:rStyle w:val="Strong"/>
                  <w:rFonts w:eastAsiaTheme="majorEastAsia"/>
                  <w:b w:val="0"/>
                  <w:bCs w:val="0"/>
                </w:rPr>
                <w:t>Watts, S.</w:t>
              </w:r>
              <w:r w:rsidRPr="00914600">
                <w:t xml:space="preserve"> (2024) ‘Leading vs lagging indicators: what’s the difference?’, </w:t>
              </w:r>
              <w:r w:rsidRPr="00914600">
                <w:rPr>
                  <w:rStyle w:val="Emphasis"/>
                  <w:rFonts w:eastAsiaTheme="majorEastAsia"/>
                </w:rPr>
                <w:t>BMC Blog</w:t>
              </w:r>
              <w:r w:rsidRPr="00914600">
                <w:t xml:space="preserve">, 20 August. Available at: </w:t>
              </w:r>
              <w:hyperlink r:id="rId58" w:tgtFrame="_new" w:history="1">
                <w:r w:rsidRPr="00914600">
                  <w:rPr>
                    <w:rStyle w:val="Hyperlink"/>
                    <w:rFonts w:eastAsiaTheme="majorEastAsia"/>
                    <w:color w:val="auto"/>
                    <w:u w:val="none"/>
                  </w:rPr>
                  <w:t>https://www.bmc.com/blogs/leading-vs-lagging-indicators/</w:t>
                </w:r>
              </w:hyperlink>
              <w:r w:rsidRPr="00914600">
                <w:t xml:space="preserve"> </w:t>
              </w:r>
            </w:p>
            <w:p w14:paraId="4983E4F7" w14:textId="1CF1F5F9" w:rsidR="00914600" w:rsidRDefault="00000000"/>
          </w:sdtContent>
        </w:sdt>
      </w:sdtContent>
    </w:sdt>
    <w:p w14:paraId="30A756FF" w14:textId="77777777" w:rsidR="00BC0BD0" w:rsidRDefault="00BC0BD0" w:rsidP="003009D9">
      <w:pPr>
        <w:rPr>
          <w:lang w:val="en-US"/>
        </w:rPr>
      </w:pPr>
    </w:p>
    <w:p w14:paraId="76FB265D" w14:textId="77777777" w:rsidR="00BC0BD0" w:rsidRDefault="00BC0BD0" w:rsidP="003009D9">
      <w:pPr>
        <w:rPr>
          <w:lang w:val="en-US"/>
        </w:rPr>
      </w:pPr>
    </w:p>
    <w:p w14:paraId="1FDAA306" w14:textId="77777777" w:rsidR="00B00085" w:rsidRPr="00CB39A9" w:rsidRDefault="00B00085" w:rsidP="003009D9">
      <w:pPr>
        <w:rPr>
          <w:lang w:val="en-US"/>
        </w:rPr>
      </w:pPr>
    </w:p>
    <w:sectPr w:rsidR="00B00085" w:rsidRPr="00CB39A9">
      <w:footerReference w:type="default" r:id="rId5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0D6C0" w14:textId="77777777" w:rsidR="007F60E8" w:rsidRDefault="007F60E8" w:rsidP="006A47A1">
      <w:pPr>
        <w:spacing w:after="0" w:line="240" w:lineRule="auto"/>
      </w:pPr>
      <w:r>
        <w:separator/>
      </w:r>
    </w:p>
  </w:endnote>
  <w:endnote w:type="continuationSeparator" w:id="0">
    <w:p w14:paraId="2B39AC78" w14:textId="77777777" w:rsidR="007F60E8" w:rsidRDefault="007F60E8" w:rsidP="006A4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6911378"/>
      <w:docPartObj>
        <w:docPartGallery w:val="Page Numbers (Bottom of Page)"/>
        <w:docPartUnique/>
      </w:docPartObj>
    </w:sdtPr>
    <w:sdtContent>
      <w:p w14:paraId="7AA88AB5" w14:textId="20B8A784" w:rsidR="0055709A" w:rsidRDefault="0055709A">
        <w:pPr>
          <w:pStyle w:val="Footer"/>
          <w:jc w:val="right"/>
        </w:pPr>
        <w:r>
          <w:fldChar w:fldCharType="begin"/>
        </w:r>
        <w:r>
          <w:instrText>PAGE   \* MERGEFORMAT</w:instrText>
        </w:r>
        <w:r>
          <w:fldChar w:fldCharType="separate"/>
        </w:r>
        <w:r>
          <w:t>2</w:t>
        </w:r>
        <w:r>
          <w:fldChar w:fldCharType="end"/>
        </w:r>
      </w:p>
    </w:sdtContent>
  </w:sdt>
  <w:p w14:paraId="61E5CA59" w14:textId="77777777" w:rsidR="0055709A" w:rsidRDefault="00557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4810C" w14:textId="77777777" w:rsidR="007F60E8" w:rsidRDefault="007F60E8" w:rsidP="006A47A1">
      <w:pPr>
        <w:spacing w:after="0" w:line="240" w:lineRule="auto"/>
      </w:pPr>
      <w:r>
        <w:separator/>
      </w:r>
    </w:p>
  </w:footnote>
  <w:footnote w:type="continuationSeparator" w:id="0">
    <w:p w14:paraId="134EADF6" w14:textId="77777777" w:rsidR="007F60E8" w:rsidRDefault="007F60E8" w:rsidP="006A47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207FF"/>
    <w:multiLevelType w:val="multilevel"/>
    <w:tmpl w:val="C180E4EC"/>
    <w:lvl w:ilvl="0">
      <w:start w:val="1"/>
      <w:numFmt w:val="bullet"/>
      <w:lvlText w:val=""/>
      <w:lvlJc w:val="left"/>
      <w:pPr>
        <w:tabs>
          <w:tab w:val="num" w:pos="2520"/>
        </w:tabs>
        <w:ind w:left="2520" w:hanging="360"/>
      </w:pPr>
      <w:rPr>
        <w:rFonts w:ascii="Symbol" w:hAnsi="Symbol" w:hint="default"/>
        <w:sz w:val="20"/>
      </w:rPr>
    </w:lvl>
    <w:lvl w:ilvl="1" w:tentative="1">
      <w:start w:val="1"/>
      <w:numFmt w:val="bullet"/>
      <w:lvlText w:val="o"/>
      <w:lvlJc w:val="left"/>
      <w:pPr>
        <w:tabs>
          <w:tab w:val="num" w:pos="3240"/>
        </w:tabs>
        <w:ind w:left="3240" w:hanging="360"/>
      </w:pPr>
      <w:rPr>
        <w:rFonts w:ascii="Courier New" w:hAnsi="Courier New" w:hint="default"/>
        <w:sz w:val="20"/>
      </w:rPr>
    </w:lvl>
    <w:lvl w:ilvl="2" w:tentative="1">
      <w:start w:val="1"/>
      <w:numFmt w:val="bullet"/>
      <w:lvlText w:val=""/>
      <w:lvlJc w:val="left"/>
      <w:pPr>
        <w:tabs>
          <w:tab w:val="num" w:pos="3960"/>
        </w:tabs>
        <w:ind w:left="3960" w:hanging="360"/>
      </w:pPr>
      <w:rPr>
        <w:rFonts w:ascii="Wingdings" w:hAnsi="Wingdings" w:hint="default"/>
        <w:sz w:val="20"/>
      </w:rPr>
    </w:lvl>
    <w:lvl w:ilvl="3" w:tentative="1">
      <w:start w:val="1"/>
      <w:numFmt w:val="bullet"/>
      <w:lvlText w:val=""/>
      <w:lvlJc w:val="left"/>
      <w:pPr>
        <w:tabs>
          <w:tab w:val="num" w:pos="4680"/>
        </w:tabs>
        <w:ind w:left="4680" w:hanging="360"/>
      </w:pPr>
      <w:rPr>
        <w:rFonts w:ascii="Wingdings" w:hAnsi="Wingdings" w:hint="default"/>
        <w:sz w:val="20"/>
      </w:rPr>
    </w:lvl>
    <w:lvl w:ilvl="4" w:tentative="1">
      <w:start w:val="1"/>
      <w:numFmt w:val="bullet"/>
      <w:lvlText w:val=""/>
      <w:lvlJc w:val="left"/>
      <w:pPr>
        <w:tabs>
          <w:tab w:val="num" w:pos="5400"/>
        </w:tabs>
        <w:ind w:left="5400" w:hanging="360"/>
      </w:pPr>
      <w:rPr>
        <w:rFonts w:ascii="Wingdings" w:hAnsi="Wingdings" w:hint="default"/>
        <w:sz w:val="20"/>
      </w:rPr>
    </w:lvl>
    <w:lvl w:ilvl="5" w:tentative="1">
      <w:start w:val="1"/>
      <w:numFmt w:val="bullet"/>
      <w:lvlText w:val=""/>
      <w:lvlJc w:val="left"/>
      <w:pPr>
        <w:tabs>
          <w:tab w:val="num" w:pos="6120"/>
        </w:tabs>
        <w:ind w:left="6120" w:hanging="360"/>
      </w:pPr>
      <w:rPr>
        <w:rFonts w:ascii="Wingdings" w:hAnsi="Wingdings" w:hint="default"/>
        <w:sz w:val="20"/>
      </w:rPr>
    </w:lvl>
    <w:lvl w:ilvl="6" w:tentative="1">
      <w:start w:val="1"/>
      <w:numFmt w:val="bullet"/>
      <w:lvlText w:val=""/>
      <w:lvlJc w:val="left"/>
      <w:pPr>
        <w:tabs>
          <w:tab w:val="num" w:pos="6840"/>
        </w:tabs>
        <w:ind w:left="6840" w:hanging="360"/>
      </w:pPr>
      <w:rPr>
        <w:rFonts w:ascii="Wingdings" w:hAnsi="Wingdings" w:hint="default"/>
        <w:sz w:val="20"/>
      </w:rPr>
    </w:lvl>
    <w:lvl w:ilvl="7" w:tentative="1">
      <w:start w:val="1"/>
      <w:numFmt w:val="bullet"/>
      <w:lvlText w:val=""/>
      <w:lvlJc w:val="left"/>
      <w:pPr>
        <w:tabs>
          <w:tab w:val="num" w:pos="7560"/>
        </w:tabs>
        <w:ind w:left="7560" w:hanging="360"/>
      </w:pPr>
      <w:rPr>
        <w:rFonts w:ascii="Wingdings" w:hAnsi="Wingdings" w:hint="default"/>
        <w:sz w:val="20"/>
      </w:rPr>
    </w:lvl>
    <w:lvl w:ilvl="8" w:tentative="1">
      <w:start w:val="1"/>
      <w:numFmt w:val="bullet"/>
      <w:lvlText w:val=""/>
      <w:lvlJc w:val="left"/>
      <w:pPr>
        <w:tabs>
          <w:tab w:val="num" w:pos="8280"/>
        </w:tabs>
        <w:ind w:left="8280" w:hanging="360"/>
      </w:pPr>
      <w:rPr>
        <w:rFonts w:ascii="Wingdings" w:hAnsi="Wingdings" w:hint="default"/>
        <w:sz w:val="20"/>
      </w:rPr>
    </w:lvl>
  </w:abstractNum>
  <w:abstractNum w:abstractNumId="1" w15:restartNumberingAfterBreak="0">
    <w:nsid w:val="0454288A"/>
    <w:multiLevelType w:val="hybridMultilevel"/>
    <w:tmpl w:val="87508E60"/>
    <w:lvl w:ilvl="0" w:tplc="A16E99A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83D3AA4"/>
    <w:multiLevelType w:val="multilevel"/>
    <w:tmpl w:val="CC78A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15878"/>
    <w:multiLevelType w:val="hybridMultilevel"/>
    <w:tmpl w:val="84B20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540838"/>
    <w:multiLevelType w:val="multilevel"/>
    <w:tmpl w:val="D482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4C3A86"/>
    <w:multiLevelType w:val="multilevel"/>
    <w:tmpl w:val="B818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B07EC6"/>
    <w:multiLevelType w:val="hybridMultilevel"/>
    <w:tmpl w:val="742C3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4D70D7"/>
    <w:multiLevelType w:val="hybridMultilevel"/>
    <w:tmpl w:val="894CA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096B9F"/>
    <w:multiLevelType w:val="multilevel"/>
    <w:tmpl w:val="12DCE2D2"/>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46BA0A1D"/>
    <w:multiLevelType w:val="multilevel"/>
    <w:tmpl w:val="514E8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477EE7"/>
    <w:multiLevelType w:val="multilevel"/>
    <w:tmpl w:val="547C6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29511A"/>
    <w:multiLevelType w:val="multilevel"/>
    <w:tmpl w:val="1E8C2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B46635"/>
    <w:multiLevelType w:val="multilevel"/>
    <w:tmpl w:val="7D4A0E18"/>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5CAA4077"/>
    <w:multiLevelType w:val="multilevel"/>
    <w:tmpl w:val="AE16F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CD3919"/>
    <w:multiLevelType w:val="hybridMultilevel"/>
    <w:tmpl w:val="47F0292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62650525"/>
    <w:multiLevelType w:val="multilevel"/>
    <w:tmpl w:val="2F44D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D5A5D60"/>
    <w:multiLevelType w:val="multilevel"/>
    <w:tmpl w:val="1040B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EE1FA7"/>
    <w:multiLevelType w:val="multilevel"/>
    <w:tmpl w:val="DDEAF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953CF3"/>
    <w:multiLevelType w:val="hybridMultilevel"/>
    <w:tmpl w:val="3D68126E"/>
    <w:lvl w:ilvl="0" w:tplc="0409000F">
      <w:start w:val="2"/>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79DA76ED"/>
    <w:multiLevelType w:val="multilevel"/>
    <w:tmpl w:val="76B0D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AFA12C4"/>
    <w:multiLevelType w:val="multilevel"/>
    <w:tmpl w:val="2C94A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D0C7D38"/>
    <w:multiLevelType w:val="multilevel"/>
    <w:tmpl w:val="4B94E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253869">
    <w:abstractNumId w:val="12"/>
  </w:num>
  <w:num w:numId="2" w16cid:durableId="2050303065">
    <w:abstractNumId w:val="11"/>
  </w:num>
  <w:num w:numId="3" w16cid:durableId="73015567">
    <w:abstractNumId w:val="4"/>
  </w:num>
  <w:num w:numId="4" w16cid:durableId="44499323">
    <w:abstractNumId w:val="17"/>
  </w:num>
  <w:num w:numId="5" w16cid:durableId="1908684548">
    <w:abstractNumId w:val="19"/>
  </w:num>
  <w:num w:numId="6" w16cid:durableId="25719121">
    <w:abstractNumId w:val="16"/>
  </w:num>
  <w:num w:numId="7" w16cid:durableId="2013021253">
    <w:abstractNumId w:val="0"/>
  </w:num>
  <w:num w:numId="8" w16cid:durableId="343367151">
    <w:abstractNumId w:val="9"/>
  </w:num>
  <w:num w:numId="9" w16cid:durableId="1799447618">
    <w:abstractNumId w:val="13"/>
  </w:num>
  <w:num w:numId="10" w16cid:durableId="1201550989">
    <w:abstractNumId w:val="2"/>
  </w:num>
  <w:num w:numId="11" w16cid:durableId="437263694">
    <w:abstractNumId w:val="20"/>
  </w:num>
  <w:num w:numId="12" w16cid:durableId="344287153">
    <w:abstractNumId w:val="8"/>
  </w:num>
  <w:num w:numId="13" w16cid:durableId="1268389276">
    <w:abstractNumId w:val="5"/>
  </w:num>
  <w:num w:numId="14" w16cid:durableId="989333670">
    <w:abstractNumId w:val="10"/>
  </w:num>
  <w:num w:numId="15" w16cid:durableId="1777210644">
    <w:abstractNumId w:val="21"/>
  </w:num>
  <w:num w:numId="16" w16cid:durableId="55709114">
    <w:abstractNumId w:val="15"/>
  </w:num>
  <w:num w:numId="17" w16cid:durableId="1520311708">
    <w:abstractNumId w:val="18"/>
  </w:num>
  <w:num w:numId="18" w16cid:durableId="1612471369">
    <w:abstractNumId w:val="6"/>
  </w:num>
  <w:num w:numId="19" w16cid:durableId="1683168991">
    <w:abstractNumId w:val="3"/>
  </w:num>
  <w:num w:numId="20" w16cid:durableId="764959738">
    <w:abstractNumId w:val="14"/>
  </w:num>
  <w:num w:numId="21" w16cid:durableId="1305818200">
    <w:abstractNumId w:val="1"/>
  </w:num>
  <w:num w:numId="22" w16cid:durableId="15794347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9A9"/>
    <w:rsid w:val="0001419B"/>
    <w:rsid w:val="00047DEE"/>
    <w:rsid w:val="00074F6D"/>
    <w:rsid w:val="00082CF9"/>
    <w:rsid w:val="00116AC7"/>
    <w:rsid w:val="00143801"/>
    <w:rsid w:val="00160DDD"/>
    <w:rsid w:val="001C2B86"/>
    <w:rsid w:val="001D3661"/>
    <w:rsid w:val="00204424"/>
    <w:rsid w:val="002070ED"/>
    <w:rsid w:val="00241672"/>
    <w:rsid w:val="002A47E5"/>
    <w:rsid w:val="003009D9"/>
    <w:rsid w:val="00321118"/>
    <w:rsid w:val="00383950"/>
    <w:rsid w:val="003A0019"/>
    <w:rsid w:val="003D5029"/>
    <w:rsid w:val="003F27AA"/>
    <w:rsid w:val="004358DC"/>
    <w:rsid w:val="00452273"/>
    <w:rsid w:val="00487AA0"/>
    <w:rsid w:val="004C13E3"/>
    <w:rsid w:val="004C20C5"/>
    <w:rsid w:val="0050461E"/>
    <w:rsid w:val="0055709A"/>
    <w:rsid w:val="00587706"/>
    <w:rsid w:val="005B20EC"/>
    <w:rsid w:val="005B6523"/>
    <w:rsid w:val="005E2F13"/>
    <w:rsid w:val="005F54BF"/>
    <w:rsid w:val="0060244D"/>
    <w:rsid w:val="00650272"/>
    <w:rsid w:val="00687DE2"/>
    <w:rsid w:val="006A47A1"/>
    <w:rsid w:val="006C7299"/>
    <w:rsid w:val="006D1FE8"/>
    <w:rsid w:val="006F5EAA"/>
    <w:rsid w:val="007165ED"/>
    <w:rsid w:val="00725778"/>
    <w:rsid w:val="00757151"/>
    <w:rsid w:val="007C382A"/>
    <w:rsid w:val="007D0DD9"/>
    <w:rsid w:val="007E0803"/>
    <w:rsid w:val="007E1DD7"/>
    <w:rsid w:val="007F60E8"/>
    <w:rsid w:val="00890DC8"/>
    <w:rsid w:val="008C0DDF"/>
    <w:rsid w:val="008F082F"/>
    <w:rsid w:val="00914600"/>
    <w:rsid w:val="00961BC0"/>
    <w:rsid w:val="009656F3"/>
    <w:rsid w:val="009868D2"/>
    <w:rsid w:val="009A2EF5"/>
    <w:rsid w:val="009A3627"/>
    <w:rsid w:val="009A6830"/>
    <w:rsid w:val="009E2D0B"/>
    <w:rsid w:val="00A33A86"/>
    <w:rsid w:val="00A64C8A"/>
    <w:rsid w:val="00A741B4"/>
    <w:rsid w:val="00AA0B6A"/>
    <w:rsid w:val="00B00085"/>
    <w:rsid w:val="00B41CF3"/>
    <w:rsid w:val="00B55ED3"/>
    <w:rsid w:val="00B60FBD"/>
    <w:rsid w:val="00B6143F"/>
    <w:rsid w:val="00BC0BD0"/>
    <w:rsid w:val="00BD56CB"/>
    <w:rsid w:val="00C46594"/>
    <w:rsid w:val="00C56FF0"/>
    <w:rsid w:val="00C64C27"/>
    <w:rsid w:val="00C74215"/>
    <w:rsid w:val="00CB39A9"/>
    <w:rsid w:val="00CF7EA9"/>
    <w:rsid w:val="00D03875"/>
    <w:rsid w:val="00D65ADD"/>
    <w:rsid w:val="00D72A84"/>
    <w:rsid w:val="00D85135"/>
    <w:rsid w:val="00D86137"/>
    <w:rsid w:val="00D91911"/>
    <w:rsid w:val="00DB1FD5"/>
    <w:rsid w:val="00DF33EE"/>
    <w:rsid w:val="00DF69D3"/>
    <w:rsid w:val="00E03628"/>
    <w:rsid w:val="00E14D14"/>
    <w:rsid w:val="00E40B77"/>
    <w:rsid w:val="00E42565"/>
    <w:rsid w:val="00E77598"/>
    <w:rsid w:val="00EA59EF"/>
    <w:rsid w:val="00EC5C31"/>
    <w:rsid w:val="00EC7DB0"/>
    <w:rsid w:val="00F02210"/>
    <w:rsid w:val="00F259EB"/>
    <w:rsid w:val="00F7459D"/>
    <w:rsid w:val="00F93380"/>
    <w:rsid w:val="00FD5847"/>
    <w:rsid w:val="00FE0A98"/>
    <w:rsid w:val="00FF1FCE"/>
    <w:rsid w:val="00FF5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2AE5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7E5"/>
    <w:pPr>
      <w:spacing w:line="360" w:lineRule="auto"/>
    </w:pPr>
    <w:rPr>
      <w:rFonts w:ascii="Arial" w:hAnsi="Arial"/>
      <w:sz w:val="24"/>
    </w:rPr>
  </w:style>
  <w:style w:type="paragraph" w:styleId="Heading1">
    <w:name w:val="heading 1"/>
    <w:basedOn w:val="Normal"/>
    <w:next w:val="Normal"/>
    <w:link w:val="Heading1Char"/>
    <w:uiPriority w:val="9"/>
    <w:qFormat/>
    <w:rsid w:val="00CB39A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CB39A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CB39A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CB39A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unhideWhenUsed/>
    <w:qFormat/>
    <w:rsid w:val="00CB39A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B39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9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9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9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9A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CB39A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CB39A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rsid w:val="00CB39A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rsid w:val="00CB39A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B39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9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9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9A9"/>
    <w:rPr>
      <w:rFonts w:eastAsiaTheme="majorEastAsia" w:cstheme="majorBidi"/>
      <w:color w:val="272727" w:themeColor="text1" w:themeTint="D8"/>
    </w:rPr>
  </w:style>
  <w:style w:type="paragraph" w:styleId="Title">
    <w:name w:val="Title"/>
    <w:basedOn w:val="Normal"/>
    <w:next w:val="Normal"/>
    <w:link w:val="TitleChar"/>
    <w:uiPriority w:val="10"/>
    <w:qFormat/>
    <w:rsid w:val="00CB39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9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9A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9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9A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B39A9"/>
    <w:rPr>
      <w:i/>
      <w:iCs/>
      <w:color w:val="404040" w:themeColor="text1" w:themeTint="BF"/>
    </w:rPr>
  </w:style>
  <w:style w:type="paragraph" w:styleId="ListParagraph">
    <w:name w:val="List Paragraph"/>
    <w:basedOn w:val="Normal"/>
    <w:uiPriority w:val="34"/>
    <w:qFormat/>
    <w:rsid w:val="00CB39A9"/>
    <w:pPr>
      <w:ind w:left="720"/>
      <w:contextualSpacing/>
    </w:pPr>
  </w:style>
  <w:style w:type="character" w:styleId="IntenseEmphasis">
    <w:name w:val="Intense Emphasis"/>
    <w:basedOn w:val="DefaultParagraphFont"/>
    <w:uiPriority w:val="21"/>
    <w:qFormat/>
    <w:rsid w:val="00CB39A9"/>
    <w:rPr>
      <w:i/>
      <w:iCs/>
      <w:color w:val="365F91" w:themeColor="accent1" w:themeShade="BF"/>
    </w:rPr>
  </w:style>
  <w:style w:type="paragraph" w:styleId="IntenseQuote">
    <w:name w:val="Intense Quote"/>
    <w:basedOn w:val="Normal"/>
    <w:next w:val="Normal"/>
    <w:link w:val="IntenseQuoteChar"/>
    <w:uiPriority w:val="30"/>
    <w:qFormat/>
    <w:rsid w:val="00CB39A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B39A9"/>
    <w:rPr>
      <w:i/>
      <w:iCs/>
      <w:color w:val="365F91" w:themeColor="accent1" w:themeShade="BF"/>
    </w:rPr>
  </w:style>
  <w:style w:type="character" w:styleId="IntenseReference">
    <w:name w:val="Intense Reference"/>
    <w:basedOn w:val="DefaultParagraphFont"/>
    <w:uiPriority w:val="32"/>
    <w:qFormat/>
    <w:rsid w:val="00CB39A9"/>
    <w:rPr>
      <w:b/>
      <w:bCs/>
      <w:smallCaps/>
      <w:color w:val="365F91" w:themeColor="accent1" w:themeShade="BF"/>
      <w:spacing w:val="5"/>
    </w:rPr>
  </w:style>
  <w:style w:type="character" w:styleId="Emphasis">
    <w:name w:val="Emphasis"/>
    <w:basedOn w:val="DefaultParagraphFont"/>
    <w:uiPriority w:val="20"/>
    <w:qFormat/>
    <w:rsid w:val="00CB39A9"/>
    <w:rPr>
      <w:i/>
      <w:iCs/>
    </w:rPr>
  </w:style>
  <w:style w:type="paragraph" w:styleId="NormalWeb">
    <w:name w:val="Normal (Web)"/>
    <w:basedOn w:val="Normal"/>
    <w:uiPriority w:val="99"/>
    <w:semiHidden/>
    <w:unhideWhenUsed/>
    <w:rsid w:val="00CB39A9"/>
    <w:pPr>
      <w:spacing w:before="100" w:beforeAutospacing="1" w:after="100" w:afterAutospacing="1" w:line="240" w:lineRule="auto"/>
    </w:pPr>
    <w:rPr>
      <w:rFonts w:ascii="Times New Roman" w:eastAsia="Times New Roman" w:hAnsi="Times New Roman" w:cs="Times New Roman"/>
      <w:szCs w:val="24"/>
      <w:lang w:val="en-US"/>
    </w:rPr>
  </w:style>
  <w:style w:type="character" w:styleId="Strong">
    <w:name w:val="Strong"/>
    <w:basedOn w:val="DefaultParagraphFont"/>
    <w:uiPriority w:val="22"/>
    <w:qFormat/>
    <w:rsid w:val="00CB39A9"/>
    <w:rPr>
      <w:b/>
      <w:bCs/>
    </w:rPr>
  </w:style>
  <w:style w:type="character" w:styleId="Hyperlink">
    <w:name w:val="Hyperlink"/>
    <w:basedOn w:val="DefaultParagraphFont"/>
    <w:uiPriority w:val="99"/>
    <w:unhideWhenUsed/>
    <w:rsid w:val="00CB39A9"/>
    <w:rPr>
      <w:color w:val="0000FF"/>
      <w:u w:val="single"/>
    </w:rPr>
  </w:style>
  <w:style w:type="character" w:customStyle="1" w:styleId="ms-1">
    <w:name w:val="ms-1"/>
    <w:basedOn w:val="DefaultParagraphFont"/>
    <w:rsid w:val="00CB39A9"/>
  </w:style>
  <w:style w:type="character" w:customStyle="1" w:styleId="max-w-15ch">
    <w:name w:val="max-w-[15ch]"/>
    <w:basedOn w:val="DefaultParagraphFont"/>
    <w:rsid w:val="00CB39A9"/>
  </w:style>
  <w:style w:type="character" w:customStyle="1" w:styleId="-me-1">
    <w:name w:val="-me-1"/>
    <w:basedOn w:val="DefaultParagraphFont"/>
    <w:rsid w:val="00CB39A9"/>
  </w:style>
  <w:style w:type="paragraph" w:styleId="TOCHeading">
    <w:name w:val="TOC Heading"/>
    <w:basedOn w:val="Heading1"/>
    <w:next w:val="Normal"/>
    <w:uiPriority w:val="39"/>
    <w:unhideWhenUsed/>
    <w:qFormat/>
    <w:rsid w:val="00160DDD"/>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160DDD"/>
    <w:pPr>
      <w:spacing w:after="100"/>
      <w:ind w:left="220"/>
    </w:pPr>
  </w:style>
  <w:style w:type="paragraph" w:styleId="TOC1">
    <w:name w:val="toc 1"/>
    <w:basedOn w:val="Normal"/>
    <w:next w:val="Normal"/>
    <w:autoRedefine/>
    <w:uiPriority w:val="39"/>
    <w:unhideWhenUsed/>
    <w:rsid w:val="00160DDD"/>
    <w:pPr>
      <w:spacing w:after="100"/>
    </w:pPr>
  </w:style>
  <w:style w:type="paragraph" w:styleId="TOC3">
    <w:name w:val="toc 3"/>
    <w:basedOn w:val="Normal"/>
    <w:next w:val="Normal"/>
    <w:autoRedefine/>
    <w:uiPriority w:val="39"/>
    <w:unhideWhenUsed/>
    <w:rsid w:val="00160DDD"/>
    <w:pPr>
      <w:spacing w:after="100"/>
      <w:ind w:left="440"/>
    </w:pPr>
  </w:style>
  <w:style w:type="table" w:styleId="PlainTable1">
    <w:name w:val="Plain Table 1"/>
    <w:basedOn w:val="TableNormal"/>
    <w:uiPriority w:val="41"/>
    <w:rsid w:val="00EC5C3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1">
    <w:name w:val="Grid Table 5 Dark Accent 1"/>
    <w:basedOn w:val="TableNormal"/>
    <w:uiPriority w:val="50"/>
    <w:rsid w:val="00EC5C3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Header">
    <w:name w:val="header"/>
    <w:basedOn w:val="Normal"/>
    <w:link w:val="HeaderChar"/>
    <w:uiPriority w:val="99"/>
    <w:unhideWhenUsed/>
    <w:rsid w:val="006A47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7A1"/>
  </w:style>
  <w:style w:type="paragraph" w:styleId="Footer">
    <w:name w:val="footer"/>
    <w:basedOn w:val="Normal"/>
    <w:link w:val="FooterChar"/>
    <w:uiPriority w:val="99"/>
    <w:unhideWhenUsed/>
    <w:rsid w:val="006A4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7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5266562&amp;utm_source=chatgpt.com" TargetMode="External"/><Relationship Id="rId18" Type="http://schemas.openxmlformats.org/officeDocument/2006/relationships/hyperlink" Target="https://competitors.app/product-market-growth-matrix/?utm_source=chatgpt.com" TargetMode="External"/><Relationship Id="rId26" Type="http://schemas.openxmlformats.org/officeDocument/2006/relationships/hyperlink" Target="https://www.fieldfisher.com" TargetMode="External"/><Relationship Id="rId39" Type="http://schemas.openxmlformats.org/officeDocument/2006/relationships/hyperlink" Target="https://hbr.org/1995/05/leading-change-why-transformation-efforts-fail-2?utm_source=chatgpt.com" TargetMode="External"/><Relationship Id="rId21" Type="http://schemas.openxmlformats.org/officeDocument/2006/relationships/hyperlink" Target="https://www.dubaidet.gov.ae" TargetMode="External"/><Relationship Id="rId34" Type="http://schemas.openxmlformats.org/officeDocument/2006/relationships/hyperlink" Target="https://corporate.greggs.co.uk/about-us/our-strategy?utm_source=chatgpt.com" TargetMode="External"/><Relationship Id="rId42" Type="http://schemas.openxmlformats.org/officeDocument/2006/relationships/hyperlink" Target="https://www.mckinsey.com" TargetMode="External"/><Relationship Id="rId47" Type="http://schemas.openxmlformats.org/officeDocument/2006/relationships/hyperlink" Target="https://www.gorevly.com" TargetMode="External"/><Relationship Id="rId50" Type="http://schemas.openxmlformats.org/officeDocument/2006/relationships/hyperlink" Target="https://www.linkedin.com" TargetMode="External"/><Relationship Id="rId55" Type="http://schemas.openxmlformats.org/officeDocument/2006/relationships/hyperlink" Target="https://apps.fas.usda.gov"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exismiddleeast.com/eJournal/2025-05-22_37?utm_source=chatgpt.com" TargetMode="External"/><Relationship Id="rId29" Type="http://schemas.openxmlformats.org/officeDocument/2006/relationships/hyperlink" Target="https://www.foodexport.org" TargetMode="External"/><Relationship Id="rId11" Type="http://schemas.openxmlformats.org/officeDocument/2006/relationships/hyperlink" Target="https://www.sciencedirect.com" TargetMode="External"/><Relationship Id="rId24" Type="http://schemas.openxmlformats.org/officeDocument/2006/relationships/hyperlink" Target="https://eprints.lse.ac.uk/124359/" TargetMode="External"/><Relationship Id="rId32" Type="http://schemas.openxmlformats.org/officeDocument/2006/relationships/hyperlink" Target="https://a.storyblok.com/f/162306/x/6191f7066b/greggs-annual-report-and-accounts-2023.pdf?utm_source=chatgpt.com" TargetMode="External"/><Relationship Id="rId37" Type="http://schemas.openxmlformats.org/officeDocument/2006/relationships/hyperlink" Target="https://pdxscholar.library.pdx.edu/etm_studentprojects/541?utm_source=chatgpt.com" TargetMode="External"/><Relationship Id="rId40" Type="http://schemas.openxmlformats.org/officeDocument/2006/relationships/hyperlink" Target="https://www.dickinson-wright.com" TargetMode="External"/><Relationship Id="rId45" Type="http://schemas.openxmlformats.org/officeDocument/2006/relationships/hyperlink" Target="https://www.mondaq.com" TargetMode="External"/><Relationship Id="rId53" Type="http://schemas.openxmlformats.org/officeDocument/2006/relationships/hyperlink" Target="https://www.unidroit.org" TargetMode="External"/><Relationship Id="rId58" Type="http://schemas.openxmlformats.org/officeDocument/2006/relationships/hyperlink" Target="https://www.bmc.com/blogs/leading-vs-lagging-indicators/?utm_source=chatgpt.com"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linkedin.com" TargetMode="External"/><Relationship Id="rId14" Type="http://schemas.openxmlformats.org/officeDocument/2006/relationships/hyperlink" Target="https://apnews.com/article/ed5703a6ccd87ec7d3c06462b8a0ff83?utm_source=chatgpt.com" TargetMode="External"/><Relationship Id="rId22" Type="http://schemas.openxmlformats.org/officeDocument/2006/relationships/hyperlink" Target="https://www.dubaidet.gov.ae" TargetMode="External"/><Relationship Id="rId27" Type="http://schemas.openxmlformats.org/officeDocument/2006/relationships/hyperlink" Target="https://www.ft.com" TargetMode="External"/><Relationship Id="rId30" Type="http://schemas.openxmlformats.org/officeDocument/2006/relationships/hyperlink" Target="https://www.dwtc.com" TargetMode="External"/><Relationship Id="rId35" Type="http://schemas.openxmlformats.org/officeDocument/2006/relationships/hyperlink" Target="https://www.hrw.org/news/2025/06/01/gulf-states-protect-workers-extreme-heat?utm_source=chatgpt.com" TargetMode="External"/><Relationship Id="rId43" Type="http://schemas.openxmlformats.org/officeDocument/2006/relationships/hyperlink" Target="https://www.moccae.gov.ae/en/knowledge/food-safety?utm_source=chatgpt.com" TargetMode="External"/><Relationship Id="rId48" Type="http://schemas.openxmlformats.org/officeDocument/2006/relationships/hyperlink" Target="https://justinpaul.uprrp.edu" TargetMode="External"/><Relationship Id="rId56" Type="http://schemas.openxmlformats.org/officeDocument/2006/relationships/hyperlink" Target="https://apps.fas.usda.gov" TargetMode="External"/><Relationship Id="rId8" Type="http://schemas.openxmlformats.org/officeDocument/2006/relationships/image" Target="media/image1.png"/><Relationship Id="rId51" Type="http://schemas.openxmlformats.org/officeDocument/2006/relationships/hyperlink" Target="https://www.theguardian.com" TargetMode="External"/><Relationship Id="rId3" Type="http://schemas.openxmlformats.org/officeDocument/2006/relationships/styles" Target="styles.xml"/><Relationship Id="rId12" Type="http://schemas.openxmlformats.org/officeDocument/2006/relationships/hyperlink" Target="https://www.emerald.com/insight/publication/issn/1525-383X" TargetMode="External"/><Relationship Id="rId17" Type="http://schemas.openxmlformats.org/officeDocument/2006/relationships/hyperlink" Target="https://www.cascade.app/blog/leading-and-lagging-kpis?utm_source=chatgpt.com" TargetMode="External"/><Relationship Id="rId25" Type="http://schemas.openxmlformats.org/officeDocument/2006/relationships/hyperlink" Target="https://www.euromonitor.com" TargetMode="External"/><Relationship Id="rId33" Type="http://schemas.openxmlformats.org/officeDocument/2006/relationships/hyperlink" Target="https://data.fca.org.uk/artefacts/NSM/Portal/NI-000118042/NI-000118042.pdf?utm_source=chatgpt.com" TargetMode="External"/><Relationship Id="rId38" Type="http://schemas.openxmlformats.org/officeDocument/2006/relationships/hyperlink" Target="https://hbr.org/1992/01/the-balanced-scorecard-measures-that-drive-performance-2?utm_source=chatgpt.com" TargetMode="External"/><Relationship Id="rId46" Type="http://schemas.openxmlformats.org/officeDocument/2006/relationships/hyperlink" Target="https://restroworks.com" TargetMode="External"/><Relationship Id="rId59" Type="http://schemas.openxmlformats.org/officeDocument/2006/relationships/footer" Target="footer1.xml"/><Relationship Id="rId20" Type="http://schemas.openxmlformats.org/officeDocument/2006/relationships/hyperlink" Target="https://datareportal.com/reports/digital-2024-united-arab-emirates?utm_source=chatgpt.com" TargetMode="External"/><Relationship Id="rId41" Type="http://schemas.openxmlformats.org/officeDocument/2006/relationships/hyperlink" Target="https://www.mckinsey.com" TargetMode="External"/><Relationship Id="rId54" Type="http://schemas.openxmlformats.org/officeDocument/2006/relationships/hyperlink" Target="https://usuaebusiness.or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ijbssnet.com/journals/Vol_6_No_7_July_2015/9.pdf?utm_source=chatgpt.com" TargetMode="External"/><Relationship Id="rId23" Type="http://schemas.openxmlformats.org/officeDocument/2006/relationships/hyperlink" Target="https://en.wikipedia.org/wiki/Economy_of_Dubai?utm_source=chatgpt.com" TargetMode="External"/><Relationship Id="rId28" Type="http://schemas.openxmlformats.org/officeDocument/2006/relationships/hyperlink" Target="https://www.ft.com" TargetMode="External"/><Relationship Id="rId36" Type="http://schemas.openxmlformats.org/officeDocument/2006/relationships/hyperlink" Target="https://www.ig.com" TargetMode="External"/><Relationship Id="rId49" Type="http://schemas.openxmlformats.org/officeDocument/2006/relationships/hyperlink" Target="https://www.schneiderman.com/AMS_publications/Why%20BSCs%20Fail/fail.doc?utm_source=chatgpt.com" TargetMode="External"/><Relationship Id="rId57" Type="http://schemas.openxmlformats.org/officeDocument/2006/relationships/hyperlink" Target="https://valustrat.com" TargetMode="External"/><Relationship Id="rId10" Type="http://schemas.openxmlformats.org/officeDocument/2006/relationships/hyperlink" Target="https://www.agility.com" TargetMode="External"/><Relationship Id="rId31" Type="http://schemas.openxmlformats.org/officeDocument/2006/relationships/hyperlink" Target="https://thegreenplanetsolutions.com" TargetMode="External"/><Relationship Id="rId44" Type="http://schemas.openxmlformats.org/officeDocument/2006/relationships/hyperlink" Target="https://moiat.gov.ae/en/programs/halal?utm_source=chatgpt.com" TargetMode="External"/><Relationship Id="rId52" Type="http://schemas.openxmlformats.org/officeDocument/2006/relationships/hyperlink" Target="https://moccae.gov.ae"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E5EE6F-87BE-44D6-932A-F2B28D3BD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9104</Words>
  <Characters>51893</Characters>
  <Application>Microsoft Office Word</Application>
  <DocSecurity>0</DocSecurity>
  <Lines>432</Lines>
  <Paragraphs>121</Paragraphs>
  <ScaleCrop>false</ScaleCrop>
  <Company/>
  <LinksUpToDate>false</LinksUpToDate>
  <CharactersWithSpaces>60876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2025-11-29T13:46:00Z</dcterms:created>
  <dcterms:modified xsi:type="dcterms:W3CDTF">2025-11-29T13:46:00Z</dcterms:modified>
</cp:coreProperties>
</file>