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D5969" w:rsidP="00DD5969" w:rsidRDefault="00DD5969" w14:paraId="01382298" w14:textId="77777777">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rsidRPr="0066224E" w:rsidR="00DD5969" w:rsidP="00DD5969" w:rsidRDefault="00DD5969" w14:paraId="6193D1EC" w14:textId="77777777">
      <w:pPr>
        <w:spacing w:before="212"/>
        <w:jc w:val="center"/>
        <w:rPr>
          <w:rFonts w:ascii="Arial"/>
          <w:b/>
          <w:sz w:val="36"/>
          <w:szCs w:val="36"/>
        </w:rPr>
      </w:pPr>
    </w:p>
    <w:p w:rsidR="00DD5969" w:rsidP="00DD5969" w:rsidRDefault="00DD5969" w14:paraId="5B9AE89A" w14:textId="77777777">
      <w:pPr>
        <w:spacing w:before="212"/>
        <w:rPr>
          <w:rFonts w:ascii="Arial"/>
          <w:b/>
          <w:sz w:val="56"/>
        </w:rPr>
      </w:pPr>
    </w:p>
    <w:p w:rsidRPr="0000375B" w:rsidR="00DD5969" w:rsidP="01D8BAF7" w:rsidRDefault="00DD5969" w14:paraId="7EE9271E" w14:textId="05BD761E">
      <w:pPr>
        <w:spacing w:before="212"/>
        <w:rPr>
          <w:rFonts w:ascii="Arial"/>
          <w:b w:val="1"/>
          <w:bCs w:val="1"/>
          <w:sz w:val="48"/>
          <w:szCs w:val="48"/>
          <w:lang w:val="fr-FR"/>
        </w:rPr>
      </w:pPr>
      <w:r w:rsidRPr="3B2BE825" w:rsidR="00DD5969">
        <w:rPr>
          <w:rFonts w:ascii="Arial"/>
          <w:b w:val="1"/>
          <w:bCs w:val="1"/>
          <w:sz w:val="48"/>
          <w:szCs w:val="48"/>
          <w:lang w:val="fr-FR"/>
        </w:rPr>
        <w:t xml:space="preserve">MODULE </w:t>
      </w:r>
      <w:r w:rsidRPr="3B2BE825" w:rsidR="00DD5969">
        <w:rPr>
          <w:rFonts w:ascii="Arial"/>
          <w:b w:val="1"/>
          <w:bCs w:val="1"/>
          <w:sz w:val="48"/>
          <w:szCs w:val="48"/>
          <w:lang w:val="fr-FR"/>
        </w:rPr>
        <w:t>CODE:</w:t>
      </w:r>
      <w:r w:rsidRPr="3B2BE825" w:rsidR="7C482447">
        <w:rPr>
          <w:rFonts w:ascii="Arial"/>
          <w:b w:val="1"/>
          <w:bCs w:val="1"/>
          <w:sz w:val="48"/>
          <w:szCs w:val="48"/>
          <w:lang w:val="fr-FR"/>
        </w:rPr>
        <w:t xml:space="preserve"> </w:t>
      </w:r>
      <w:r w:rsidRPr="3B2BE825" w:rsidR="0000375B">
        <w:rPr>
          <w:rFonts w:ascii="Arial"/>
          <w:b w:val="1"/>
          <w:bCs w:val="1"/>
          <w:sz w:val="48"/>
          <w:szCs w:val="48"/>
          <w:lang w:val="fr-FR"/>
        </w:rPr>
        <w:t>EC</w:t>
      </w:r>
      <w:r w:rsidRPr="3B2BE825" w:rsidR="0000375B">
        <w:rPr>
          <w:rFonts w:ascii="Arial"/>
          <w:b w:val="1"/>
          <w:bCs w:val="1"/>
          <w:sz w:val="48"/>
          <w:szCs w:val="48"/>
          <w:lang w:val="fr-FR"/>
        </w:rPr>
        <w:t>AD</w:t>
      </w:r>
      <w:r w:rsidRPr="3B2BE825" w:rsidR="004B09BF">
        <w:rPr>
          <w:rFonts w:ascii="Arial"/>
          <w:b w:val="1"/>
          <w:bCs w:val="1"/>
          <w:sz w:val="48"/>
          <w:szCs w:val="48"/>
          <w:lang w:val="fr-FR"/>
        </w:rPr>
        <w:t>501</w:t>
      </w:r>
      <w:r w:rsidRPr="3B2BE825" w:rsidR="57D5DC80">
        <w:rPr>
          <w:rFonts w:ascii="Arial"/>
          <w:b w:val="1"/>
          <w:bCs w:val="1"/>
          <w:sz w:val="48"/>
          <w:szCs w:val="48"/>
          <w:lang w:val="fr-FR"/>
        </w:rPr>
        <w:t>4</w:t>
      </w:r>
    </w:p>
    <w:p w:rsidRPr="0000375B" w:rsidR="00347EA1" w:rsidP="00DD5969" w:rsidRDefault="00347EA1" w14:paraId="5051A2D5" w14:textId="77777777">
      <w:pPr>
        <w:spacing w:before="212"/>
        <w:rPr>
          <w:rFonts w:ascii="Arial"/>
          <w:b/>
          <w:sz w:val="48"/>
          <w:szCs w:val="48"/>
          <w:lang w:val="fr-FR"/>
        </w:rPr>
      </w:pPr>
    </w:p>
    <w:p w:rsidRPr="00DD5969" w:rsidR="00DD5969" w:rsidP="01D8BAF7" w:rsidRDefault="00DD5969" w14:paraId="7681432B" w14:textId="308D0871">
      <w:pPr>
        <w:spacing w:before="3"/>
        <w:rPr>
          <w:rFonts w:ascii="Arial"/>
          <w:b w:val="1"/>
          <w:bCs w:val="1"/>
          <w:sz w:val="48"/>
          <w:szCs w:val="48"/>
        </w:rPr>
      </w:pPr>
      <w:r w:rsidRPr="01D8BAF7" w:rsidR="00DD5969">
        <w:rPr>
          <w:rFonts w:ascii="Arial"/>
          <w:b w:val="1"/>
          <w:bCs w:val="1"/>
          <w:sz w:val="48"/>
          <w:szCs w:val="48"/>
        </w:rPr>
        <w:t>STUDENT NAME:</w:t>
      </w:r>
      <w:r w:rsidRPr="01D8BAF7" w:rsidR="43BDCCBD">
        <w:rPr>
          <w:rFonts w:ascii="Arial"/>
          <w:b w:val="1"/>
          <w:bCs w:val="1"/>
          <w:sz w:val="48"/>
          <w:szCs w:val="48"/>
        </w:rPr>
        <w:t xml:space="preserve"> Kelsey Pratt</w:t>
      </w:r>
    </w:p>
    <w:p w:rsidRPr="00DD5969" w:rsidR="00DD5969" w:rsidP="00DD5969" w:rsidRDefault="00DD5969" w14:paraId="0D16D138" w14:textId="77777777">
      <w:pPr>
        <w:spacing w:before="3"/>
        <w:rPr>
          <w:rFonts w:ascii="Arial"/>
          <w:b/>
          <w:sz w:val="48"/>
          <w:szCs w:val="48"/>
        </w:rPr>
      </w:pPr>
    </w:p>
    <w:p w:rsidRPr="00DD5969" w:rsidR="00DD5969" w:rsidP="01D8BAF7" w:rsidRDefault="00DD5969" w14:paraId="18107AFF" w14:textId="3D45990B">
      <w:pPr>
        <w:spacing w:before="3"/>
        <w:rPr>
          <w:rFonts w:ascii="Arial"/>
          <w:b w:val="1"/>
          <w:bCs w:val="1"/>
          <w:sz w:val="48"/>
          <w:szCs w:val="48"/>
        </w:rPr>
      </w:pPr>
      <w:r w:rsidRPr="1EFE63D5" w:rsidR="00DD5969">
        <w:rPr>
          <w:rFonts w:ascii="Arial"/>
          <w:b w:val="1"/>
          <w:bCs w:val="1"/>
          <w:sz w:val="48"/>
          <w:szCs w:val="48"/>
        </w:rPr>
        <w:t xml:space="preserve">STUDENT </w:t>
      </w:r>
      <w:r w:rsidRPr="1EFE63D5" w:rsidR="007203C3">
        <w:rPr>
          <w:rFonts w:ascii="Arial"/>
          <w:b w:val="1"/>
          <w:bCs w:val="1"/>
          <w:sz w:val="48"/>
          <w:szCs w:val="48"/>
        </w:rPr>
        <w:t>NUMBER</w:t>
      </w:r>
      <w:r w:rsidRPr="1EFE63D5" w:rsidR="00DD5969">
        <w:rPr>
          <w:rFonts w:ascii="Arial"/>
          <w:b w:val="1"/>
          <w:bCs w:val="1"/>
          <w:sz w:val="48"/>
          <w:szCs w:val="48"/>
        </w:rPr>
        <w:t>:</w:t>
      </w:r>
      <w:r w:rsidRPr="1EFE63D5" w:rsidR="04D87DE6">
        <w:rPr>
          <w:rFonts w:ascii="Arial"/>
          <w:b w:val="1"/>
          <w:bCs w:val="1"/>
          <w:sz w:val="48"/>
          <w:szCs w:val="48"/>
        </w:rPr>
        <w:t xml:space="preserve"> 2300873</w:t>
      </w:r>
    </w:p>
    <w:p w:rsidR="1EFE63D5" w:rsidP="1EFE63D5" w:rsidRDefault="1EFE63D5" w14:paraId="393F07B0" w14:textId="64F87297">
      <w:pPr>
        <w:spacing w:before="3"/>
        <w:rPr>
          <w:rFonts w:ascii="Arial"/>
          <w:b w:val="1"/>
          <w:bCs w:val="1"/>
          <w:sz w:val="48"/>
          <w:szCs w:val="48"/>
        </w:rPr>
      </w:pPr>
    </w:p>
    <w:p w:rsidR="74A3D37D" w:rsidP="1EFE63D5" w:rsidRDefault="74A3D37D" w14:paraId="32609C2F" w14:textId="48CC2636">
      <w:pPr>
        <w:spacing w:before="3"/>
        <w:rPr>
          <w:rFonts w:ascii="Arial"/>
          <w:b w:val="1"/>
          <w:bCs w:val="1"/>
          <w:sz w:val="48"/>
          <w:szCs w:val="48"/>
        </w:rPr>
      </w:pPr>
      <w:r w:rsidRPr="1EFE63D5" w:rsidR="74A3D37D">
        <w:rPr>
          <w:rFonts w:ascii="Arial"/>
          <w:b w:val="1"/>
          <w:bCs w:val="1"/>
          <w:sz w:val="48"/>
          <w:szCs w:val="48"/>
        </w:rPr>
        <w:t>WORD COUNT: 29</w:t>
      </w:r>
      <w:r w:rsidRPr="1EFE63D5" w:rsidR="383ECA29">
        <w:rPr>
          <w:rFonts w:ascii="Arial"/>
          <w:b w:val="1"/>
          <w:bCs w:val="1"/>
          <w:sz w:val="48"/>
          <w:szCs w:val="48"/>
        </w:rPr>
        <w:t>63</w:t>
      </w:r>
    </w:p>
    <w:p w:rsidR="00DD5969" w:rsidP="00347EA1" w:rsidRDefault="00DD5969" w14:paraId="4FD52B0A" w14:textId="77777777">
      <w:pPr>
        <w:rPr>
          <w:rFonts w:ascii="Arial"/>
          <w:b/>
          <w:sz w:val="47"/>
        </w:rPr>
      </w:pPr>
    </w:p>
    <w:p w:rsidRPr="00192D3C" w:rsidR="00DD5969" w:rsidP="00DD5969" w:rsidRDefault="00DD5969" w14:paraId="33AC1703" w14:textId="77777777">
      <w:pPr>
        <w:ind w:left="100"/>
        <w:jc w:val="center"/>
        <w:rPr>
          <w:rFonts w:ascii="Arial"/>
          <w:b/>
          <w:sz w:val="47"/>
        </w:rPr>
      </w:pPr>
    </w:p>
    <w:p w:rsidR="00DD5969" w:rsidP="00DD5969" w:rsidRDefault="00DD5969" w14:paraId="274DD003" w14:textId="77777777">
      <w:pPr>
        <w:ind w:left="100"/>
        <w:rPr>
          <w:rFonts w:ascii="Arial"/>
          <w:b/>
          <w:sz w:val="47"/>
        </w:rPr>
      </w:pPr>
    </w:p>
    <w:p w:rsidR="00347EA1" w:rsidP="00DD5969" w:rsidRDefault="00347EA1" w14:paraId="467BE871" w14:textId="77777777">
      <w:pPr>
        <w:ind w:left="100"/>
        <w:rPr>
          <w:rFonts w:ascii="Arial"/>
          <w:b/>
          <w:sz w:val="47"/>
        </w:rPr>
      </w:pPr>
    </w:p>
    <w:p w:rsidR="00DD5969" w:rsidP="00DD5969" w:rsidRDefault="00DD5969" w14:paraId="69F83F2B" w14:textId="77777777">
      <w:pPr>
        <w:jc w:val="center"/>
        <w:rPr>
          <w:rFonts w:ascii="Arial"/>
          <w:b/>
          <w:sz w:val="40"/>
        </w:rPr>
      </w:pPr>
    </w:p>
    <w:p w:rsidR="0000375B" w:rsidP="00DD5969" w:rsidRDefault="0000375B" w14:paraId="3A56DF45" w14:textId="77777777">
      <w:pPr>
        <w:jc w:val="center"/>
        <w:rPr>
          <w:rFonts w:ascii="Arial"/>
          <w:b/>
          <w:sz w:val="40"/>
        </w:rPr>
      </w:pPr>
    </w:p>
    <w:p w:rsidRPr="00192D3C" w:rsidR="0000375B" w:rsidP="00DD5969" w:rsidRDefault="0000375B" w14:paraId="35E77934" w14:textId="77777777">
      <w:pPr>
        <w:jc w:val="center"/>
        <w:rPr>
          <w:rFonts w:ascii="Arial"/>
          <w:b/>
          <w:sz w:val="40"/>
        </w:rPr>
      </w:pPr>
    </w:p>
    <w:p w:rsidRPr="00E243A8" w:rsidR="00B103B9" w:rsidP="00DD5969" w:rsidRDefault="00B103B9" w14:paraId="4C9C9B74" w14:textId="32AE2462">
      <w:pPr>
        <w:rPr>
          <w:b/>
          <w:bCs/>
          <w:sz w:val="32"/>
          <w:szCs w:val="32"/>
          <w:u w:val="single"/>
        </w:rPr>
      </w:pPr>
      <w:r w:rsidRPr="00E243A8">
        <w:rPr>
          <w:b/>
          <w:bCs/>
          <w:sz w:val="32"/>
          <w:szCs w:val="32"/>
          <w:u w:val="single"/>
        </w:rPr>
        <w:lastRenderedPageBreak/>
        <w:t>AI Acknowledgement</w:t>
      </w:r>
    </w:p>
    <w:p w:rsidR="00B103B9" w:rsidP="00DD5969" w:rsidRDefault="00B103B9" w14:paraId="5A38292B" w14:textId="77777777"/>
    <w:p w:rsidRPr="00DD5969" w:rsidR="00DD5969" w:rsidP="00DD5969" w:rsidRDefault="00DD5969" w14:paraId="44C358F6" w14:textId="2E867795">
      <w:r w:rsidR="00DD5969">
        <w:rPr/>
        <w:t xml:space="preserve">I acknowledge the use of </w:t>
      </w:r>
      <w:r w:rsidR="41CF2465">
        <w:rPr/>
        <w:t>ChatGPT,</w:t>
      </w:r>
      <w:r w:rsidR="7DBCEB5B">
        <w:rPr/>
        <w:t xml:space="preserve"> https://chatgpt.com/ </w:t>
      </w:r>
      <w:r w:rsidR="00DD5969">
        <w:rPr/>
        <w:t xml:space="preserve">on </w:t>
      </w:r>
      <w:r w:rsidR="7ECD25D3">
        <w:rPr/>
        <w:t>3</w:t>
      </w:r>
      <w:r w:rsidRPr="1EFE63D5" w:rsidR="7ECD25D3">
        <w:rPr>
          <w:vertAlign w:val="superscript"/>
        </w:rPr>
        <w:t>rd</w:t>
      </w:r>
      <w:r w:rsidR="00DD5969">
        <w:rPr/>
        <w:t xml:space="preserve"> </w:t>
      </w:r>
      <w:r w:rsidR="7ECD25D3">
        <w:rPr/>
        <w:t xml:space="preserve">April 2025 </w:t>
      </w:r>
      <w:r w:rsidR="00DD5969">
        <w:rPr/>
        <w:t xml:space="preserve">to </w:t>
      </w:r>
      <w:r w:rsidR="58A34239">
        <w:rPr/>
        <w:t>help conclude my essay</w:t>
      </w:r>
      <w:r w:rsidR="00DD5969">
        <w:rPr/>
        <w:t xml:space="preserve">. I used the prompt(s): </w:t>
      </w:r>
      <w:proofErr w:type="spellStart"/>
      <w:proofErr w:type="spellEnd"/>
    </w:p>
    <w:p w:rsidRPr="00DD5969" w:rsidR="00DD5969" w:rsidP="00DD5969" w:rsidRDefault="00DD5969" w14:paraId="15389F66" w14:textId="21A7ADB0">
      <w:r w:rsidR="00DD5969">
        <w:rPr/>
        <w:t xml:space="preserve">1. </w:t>
      </w:r>
      <w:r w:rsidR="53A08D9B">
        <w:rPr/>
        <w:t xml:space="preserve">Conclude </w:t>
      </w:r>
      <w:r w:rsidR="53A08D9B">
        <w:rPr/>
        <w:t>the main</w:t>
      </w:r>
      <w:r w:rsidR="53A08D9B">
        <w:rPr/>
        <w:t xml:space="preserve"> points to this assignment.</w:t>
      </w:r>
    </w:p>
    <w:p w:rsidRPr="00DD5969" w:rsidR="00DD5969" w:rsidP="00DD5969" w:rsidRDefault="00DD5969" w14:paraId="3847D137" w14:textId="7A3A8E95">
      <w:r w:rsidR="00DD5969">
        <w:rPr/>
        <w:t xml:space="preserve">2. </w:t>
      </w:r>
      <w:r w:rsidR="473606B9">
        <w:rPr/>
        <w:t>Can you provide sources which show the benefits and limitations of using questionnaires and interviews?</w:t>
      </w:r>
    </w:p>
    <w:p w:rsidRPr="00DD5969" w:rsidR="00DD5969" w:rsidP="00DD5969" w:rsidRDefault="00DD5969" w14:paraId="35F2F4DA" w14:textId="66A9AFAC">
      <w:r w:rsidR="00DD5969">
        <w:rPr/>
        <w:t xml:space="preserve">3. </w:t>
      </w:r>
      <w:r w:rsidR="304C017B">
        <w:rPr/>
        <w:t>How can I address these limitations?</w:t>
      </w:r>
    </w:p>
    <w:p w:rsidR="00E243A8" w:rsidP="00DD5969" w:rsidRDefault="00DD5969" w14:paraId="4008D193" w14:textId="77777777">
      <w:r w:rsidRPr="00DD5969">
        <w:t xml:space="preserve">I confirm that I have not presented any AI generated text as my own work. </w:t>
      </w:r>
    </w:p>
    <w:p w:rsidR="00DD5969" w:rsidP="00DD5969" w:rsidRDefault="00DD5969" w14:paraId="44A8291C" w14:textId="080D3142">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rsidR="00E10797" w:rsidP="1EFE63D5" w:rsidRDefault="00E10797" w14:paraId="061710D3" w14:textId="4AD326FE">
      <w:pPr>
        <w:pStyle w:val="Normal"/>
      </w:pPr>
    </w:p>
    <w:p w:rsidR="0000375B" w:rsidP="1EFE63D5" w:rsidRDefault="0000375B" w14:paraId="02511CD8" w14:textId="24339FB2">
      <w:pPr>
        <w:pStyle w:val="Normal"/>
        <w:rPr>
          <w:sz w:val="16"/>
          <w:szCs w:val="16"/>
        </w:rPr>
      </w:pPr>
    </w:p>
    <w:p w:rsidR="0000375B" w:rsidRDefault="0000375B" w14:paraId="44120BD6" w14:textId="77777777">
      <w:pPr>
        <w:rPr>
          <w:sz w:val="16"/>
          <w:szCs w:val="16"/>
        </w:rPr>
      </w:pPr>
    </w:p>
    <w:p w:rsidR="0000375B" w:rsidRDefault="0000375B" w14:paraId="1EB16707" w14:textId="77777777">
      <w:pPr>
        <w:rPr>
          <w:sz w:val="16"/>
          <w:szCs w:val="16"/>
        </w:rPr>
      </w:pPr>
    </w:p>
    <w:p w:rsidR="0000375B" w:rsidRDefault="0000375B" w14:paraId="66DB19BA" w14:textId="77777777">
      <w:pPr>
        <w:rPr>
          <w:sz w:val="16"/>
          <w:szCs w:val="16"/>
        </w:rPr>
      </w:pPr>
    </w:p>
    <w:p w:rsidR="0000375B" w:rsidRDefault="0000375B" w14:paraId="2F521E63" w14:textId="77777777">
      <w:pPr>
        <w:rPr>
          <w:sz w:val="16"/>
          <w:szCs w:val="16"/>
        </w:rPr>
      </w:pPr>
    </w:p>
    <w:p w:rsidR="0000375B" w:rsidRDefault="0000375B" w14:paraId="36D1742B" w14:textId="77777777">
      <w:pPr>
        <w:rPr>
          <w:sz w:val="16"/>
          <w:szCs w:val="16"/>
        </w:rPr>
      </w:pPr>
    </w:p>
    <w:p w:rsidR="0000375B" w:rsidRDefault="0000375B" w14:paraId="5154171D" w14:textId="77777777">
      <w:pPr>
        <w:rPr>
          <w:b/>
          <w:bCs/>
        </w:rPr>
      </w:pPr>
      <w:r w:rsidRPr="0000375B">
        <w:rPr>
          <w:b/>
          <w:bCs/>
        </w:rPr>
        <w:t>Targets from my previous assignment</w:t>
      </w:r>
    </w:p>
    <w:p w:rsidR="0000375B" w:rsidRDefault="0000375B" w14:paraId="17A7A376" w14:textId="77777777">
      <w:pPr>
        <w:rPr>
          <w:b/>
          <w:bCs/>
        </w:rPr>
      </w:pPr>
    </w:p>
    <w:tbl>
      <w:tblPr>
        <w:tblStyle w:val="GridTabl"/>
        <w:tblW w:w="0" w:type="auto"/>
        <w:tblLook w:val="04A0" w:firstRow="1" w:lastRow="0" w:firstColumn="1" w:lastColumn="0" w:noHBand="0" w:noVBand="1"/>
      </w:tblPr>
      <w:tblGrid>
        <w:gridCol w:w="4508"/>
        <w:gridCol w:w="4508"/>
      </w:tblGrid>
      <w:tr w:rsidR="0000375B" w:rsidTr="1EFE63D5" w14:paraId="551E84E1" w14:textId="77777777">
        <w:tc>
          <w:tcPr>
            <w:tcW w:w="4508" w:type="dxa"/>
            <w:tcMar/>
          </w:tcPr>
          <w:p w:rsidRPr="0000375B" w:rsidR="0000375B" w:rsidP="00DD5969" w:rsidRDefault="0000375B" w14:paraId="672FF086" w14:textId="43AD916B">
            <w:pPr>
              <w:rPr>
                <w:b w:val="1"/>
                <w:bCs w:val="1"/>
              </w:rPr>
            </w:pPr>
            <w:r w:rsidRPr="3E98D615" w:rsidR="0000375B">
              <w:rPr>
                <w:b w:val="1"/>
                <w:bCs w:val="1"/>
              </w:rPr>
              <w:t>Target</w:t>
            </w:r>
            <w:r w:rsidRPr="3E98D615" w:rsidR="04FFD8B4">
              <w:rPr>
                <w:b w:val="1"/>
                <w:bCs w:val="1"/>
              </w:rPr>
              <w:t>s (From ECAD4010)</w:t>
            </w:r>
          </w:p>
        </w:tc>
        <w:tc>
          <w:tcPr>
            <w:tcW w:w="4508" w:type="dxa"/>
            <w:tcMar/>
          </w:tcPr>
          <w:p w:rsidRPr="0000375B" w:rsidR="0000375B" w:rsidP="3E98D615" w:rsidRDefault="0000375B" w14:paraId="352B31B4" w14:textId="3C8264E3">
            <w:pPr>
              <w:rPr>
                <w:b w:val="1"/>
                <w:bCs w:val="1"/>
                <w:sz w:val="24"/>
                <w:szCs w:val="24"/>
              </w:rPr>
            </w:pPr>
            <w:r w:rsidRPr="3E98D615" w:rsidR="0000375B">
              <w:rPr>
                <w:b w:val="1"/>
                <w:bCs w:val="1"/>
                <w:sz w:val="24"/>
                <w:szCs w:val="24"/>
              </w:rPr>
              <w:t>How I have addressed it in this work</w:t>
            </w:r>
          </w:p>
        </w:tc>
      </w:tr>
      <w:tr w:rsidR="0000375B" w:rsidTr="1EFE63D5" w14:paraId="0DC71ABF" w14:textId="77777777">
        <w:tc>
          <w:tcPr>
            <w:tcW w:w="4508" w:type="dxa"/>
            <w:tcMar/>
          </w:tcPr>
          <w:p w:rsidR="0000375B" w:rsidP="3E98D615" w:rsidRDefault="0000375B" w14:paraId="52EB84A3" w14:textId="77777777">
            <w:pPr>
              <w:rPr>
                <w:rFonts w:ascii="Aptos" w:hAnsi="Aptos" w:eastAsia="Aptos" w:cs="Aptos" w:asciiTheme="minorAscii" w:hAnsiTheme="minorAscii" w:eastAsiaTheme="minorAscii" w:cstheme="minorAscii"/>
                <w:color w:val="auto"/>
                <w:sz w:val="24"/>
                <w:szCs w:val="24"/>
              </w:rPr>
            </w:pPr>
          </w:p>
          <w:p w:rsidR="0000375B" w:rsidP="3E98D615" w:rsidRDefault="0000375B" w14:paraId="0EDC9850" w14:textId="30F92210">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E98D615" w:rsidR="30201F7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Aim to read more widely. This will allow you to link your ideas to appropriate Lit.</w:t>
            </w:r>
          </w:p>
        </w:tc>
        <w:tc>
          <w:tcPr>
            <w:tcW w:w="4508" w:type="dxa"/>
            <w:tcMar/>
          </w:tcPr>
          <w:p w:rsidR="0000375B" w:rsidP="3E98D615" w:rsidRDefault="0000375B" w14:paraId="3FCBF01B" w14:textId="69448566">
            <w:pPr>
              <w:rPr>
                <w:sz w:val="24"/>
                <w:szCs w:val="24"/>
              </w:rPr>
            </w:pPr>
            <w:r w:rsidRPr="1EFE63D5" w:rsidR="05F30FD9">
              <w:rPr>
                <w:sz w:val="24"/>
                <w:szCs w:val="24"/>
              </w:rPr>
              <w:t>I have tried to read more widely using journals as a main type of resource to ensure reliability.</w:t>
            </w:r>
          </w:p>
        </w:tc>
      </w:tr>
      <w:tr w:rsidR="0000375B" w:rsidTr="1EFE63D5" w14:paraId="2411A5A2" w14:textId="77777777">
        <w:tc>
          <w:tcPr>
            <w:tcW w:w="4508" w:type="dxa"/>
            <w:tcMar/>
          </w:tcPr>
          <w:p w:rsidR="0000375B" w:rsidP="3E98D615" w:rsidRDefault="0000375B" w14:paraId="4A120529" w14:textId="77777777">
            <w:pPr>
              <w:rPr>
                <w:rFonts w:ascii="Aptos" w:hAnsi="Aptos" w:eastAsia="Aptos" w:cs="Aptos" w:asciiTheme="minorAscii" w:hAnsiTheme="minorAscii" w:eastAsiaTheme="minorAscii" w:cstheme="minorAscii"/>
                <w:color w:val="auto"/>
                <w:sz w:val="24"/>
                <w:szCs w:val="24"/>
              </w:rPr>
            </w:pPr>
          </w:p>
          <w:p w:rsidR="0000375B" w:rsidP="3E98D615" w:rsidRDefault="0000375B" w14:paraId="2A59CA2F" w14:textId="7CF667BF">
            <w:pPr>
              <w:pStyle w:val="Normal"/>
              <w:rPr>
                <w:rFonts w:ascii="Aptos" w:hAnsi="Aptos" w:eastAsia="Aptos" w:cs="Aptos" w:asciiTheme="minorAscii" w:hAnsiTheme="minorAscii" w:eastAsiaTheme="minorAscii" w:cstheme="minorAscii"/>
                <w:color w:val="auto"/>
                <w:sz w:val="24"/>
                <w:szCs w:val="24"/>
              </w:rPr>
            </w:pPr>
            <w:r w:rsidRPr="3E98D615" w:rsidR="30201F7C">
              <w:rPr>
                <w:rFonts w:ascii="Aptos" w:hAnsi="Aptos" w:eastAsia="Aptos" w:cs="Aptos" w:asciiTheme="minorAscii" w:hAnsiTheme="minorAscii" w:eastAsiaTheme="minorAscii" w:cstheme="minorAscii"/>
                <w:color w:val="auto"/>
                <w:sz w:val="24"/>
                <w:szCs w:val="24"/>
              </w:rPr>
              <w:t>Proofread all written expression with care.</w:t>
            </w:r>
          </w:p>
        </w:tc>
        <w:tc>
          <w:tcPr>
            <w:tcW w:w="4508" w:type="dxa"/>
            <w:tcMar/>
          </w:tcPr>
          <w:p w:rsidR="0000375B" w:rsidP="3E98D615" w:rsidRDefault="0000375B" w14:paraId="51AE3AC6" w14:textId="45A33EEA">
            <w:pPr>
              <w:rPr>
                <w:sz w:val="24"/>
                <w:szCs w:val="24"/>
              </w:rPr>
            </w:pPr>
            <w:r w:rsidRPr="1EFE63D5" w:rsidR="5613E9B0">
              <w:rPr>
                <w:sz w:val="24"/>
                <w:szCs w:val="24"/>
              </w:rPr>
              <w:t>I have made sure to read over work to ensure the assignment flows and is correct.</w:t>
            </w:r>
          </w:p>
        </w:tc>
      </w:tr>
      <w:tr w:rsidR="0000375B" w:rsidTr="1EFE63D5" w14:paraId="7E9C0FF5" w14:textId="77777777">
        <w:tc>
          <w:tcPr>
            <w:tcW w:w="4508" w:type="dxa"/>
            <w:tcMar/>
          </w:tcPr>
          <w:p w:rsidR="0000375B" w:rsidP="3E98D615" w:rsidRDefault="0000375B" w14:paraId="31E1404E" w14:textId="77777777">
            <w:pPr>
              <w:rPr>
                <w:rFonts w:ascii="Aptos" w:hAnsi="Aptos" w:eastAsia="Aptos" w:cs="Aptos" w:asciiTheme="minorAscii" w:hAnsiTheme="minorAscii" w:eastAsiaTheme="minorAscii" w:cstheme="minorAscii"/>
                <w:color w:val="auto"/>
                <w:sz w:val="24"/>
                <w:szCs w:val="24"/>
              </w:rPr>
            </w:pPr>
          </w:p>
          <w:p w:rsidR="0000375B" w:rsidP="3E98D615" w:rsidRDefault="0000375B" w14:paraId="49C39DFD" w14:textId="3CB109E5">
            <w:pPr>
              <w:rPr>
                <w:rFonts w:ascii="Aptos" w:hAnsi="Aptos" w:eastAsia="Aptos" w:cs="Aptos" w:asciiTheme="minorAscii" w:hAnsiTheme="minorAscii" w:eastAsiaTheme="minorAscii" w:cstheme="minorAscii"/>
                <w:color w:val="auto"/>
                <w:sz w:val="24"/>
                <w:szCs w:val="24"/>
              </w:rPr>
            </w:pPr>
            <w:r w:rsidRPr="1EFE63D5" w:rsidR="4A90C98E">
              <w:rPr>
                <w:rFonts w:ascii="Aptos" w:hAnsi="Aptos" w:eastAsia="Aptos" w:cs="Aptos" w:asciiTheme="minorAscii" w:hAnsiTheme="minorAscii" w:eastAsiaTheme="minorAscii" w:cstheme="minorAscii"/>
                <w:color w:val="auto"/>
                <w:sz w:val="24"/>
                <w:szCs w:val="24"/>
              </w:rPr>
              <w:t>When perspectives from the Lit</w:t>
            </w:r>
            <w:r w:rsidRPr="1EFE63D5" w:rsidR="40D240A5">
              <w:rPr>
                <w:rFonts w:ascii="Aptos" w:hAnsi="Aptos" w:eastAsia="Aptos" w:cs="Aptos" w:asciiTheme="minorAscii" w:hAnsiTheme="minorAscii" w:eastAsiaTheme="minorAscii" w:cstheme="minorAscii"/>
                <w:color w:val="auto"/>
                <w:sz w:val="24"/>
                <w:szCs w:val="24"/>
              </w:rPr>
              <w:t xml:space="preserve"> </w:t>
            </w:r>
            <w:r w:rsidRPr="1EFE63D5" w:rsidR="4A90C98E">
              <w:rPr>
                <w:rFonts w:ascii="Aptos" w:hAnsi="Aptos" w:eastAsia="Aptos" w:cs="Aptos" w:asciiTheme="minorAscii" w:hAnsiTheme="minorAscii" w:eastAsiaTheme="minorAscii" w:cstheme="minorAscii"/>
                <w:color w:val="auto"/>
                <w:sz w:val="24"/>
                <w:szCs w:val="24"/>
              </w:rPr>
              <w:t xml:space="preserve">are juxtaposed, </w:t>
            </w:r>
            <w:r w:rsidRPr="1EFE63D5" w:rsidR="4A90C98E">
              <w:rPr>
                <w:rFonts w:ascii="Aptos" w:hAnsi="Aptos" w:eastAsia="Aptos" w:cs="Aptos" w:asciiTheme="minorAscii" w:hAnsiTheme="minorAscii" w:eastAsiaTheme="minorAscii" w:cstheme="minorAscii"/>
                <w:color w:val="auto"/>
                <w:sz w:val="24"/>
                <w:szCs w:val="24"/>
              </w:rPr>
              <w:t>it's</w:t>
            </w:r>
            <w:r w:rsidRPr="1EFE63D5" w:rsidR="4A90C98E">
              <w:rPr>
                <w:rFonts w:ascii="Aptos" w:hAnsi="Aptos" w:eastAsia="Aptos" w:cs="Aptos" w:asciiTheme="minorAscii" w:hAnsiTheme="minorAscii" w:eastAsiaTheme="minorAscii" w:cstheme="minorAscii"/>
                <w:color w:val="auto"/>
                <w:sz w:val="24"/>
                <w:szCs w:val="24"/>
              </w:rPr>
              <w:t xml:space="preserve"> important to explain how those ideas relate.</w:t>
            </w:r>
          </w:p>
          <w:p w:rsidR="0000375B" w:rsidP="3E98D615" w:rsidRDefault="0000375B" w14:paraId="540BFA50" w14:textId="77777777">
            <w:pPr>
              <w:rPr>
                <w:rFonts w:ascii="Aptos" w:hAnsi="Aptos" w:eastAsia="Aptos" w:cs="Aptos" w:asciiTheme="minorAscii" w:hAnsiTheme="minorAscii" w:eastAsiaTheme="minorAscii" w:cstheme="minorAscii"/>
                <w:color w:val="auto"/>
                <w:sz w:val="24"/>
                <w:szCs w:val="24"/>
              </w:rPr>
            </w:pPr>
          </w:p>
        </w:tc>
        <w:tc>
          <w:tcPr>
            <w:tcW w:w="4508" w:type="dxa"/>
            <w:tcMar/>
          </w:tcPr>
          <w:p w:rsidR="0000375B" w:rsidP="3E98D615" w:rsidRDefault="0000375B" w14:paraId="6A8EAD52" w14:textId="545E4376">
            <w:pPr>
              <w:rPr>
                <w:sz w:val="24"/>
                <w:szCs w:val="24"/>
              </w:rPr>
            </w:pPr>
            <w:r w:rsidRPr="1EFE63D5" w:rsidR="37175D22">
              <w:rPr>
                <w:sz w:val="24"/>
                <w:szCs w:val="24"/>
              </w:rPr>
              <w:t xml:space="preserve">I have tried to link literature through common themes and </w:t>
            </w:r>
            <w:r w:rsidRPr="1EFE63D5" w:rsidR="1D389B61">
              <w:rPr>
                <w:sz w:val="24"/>
                <w:szCs w:val="24"/>
              </w:rPr>
              <w:t>illustrate how people have different perceptions of ideas.</w:t>
            </w:r>
          </w:p>
        </w:tc>
      </w:tr>
    </w:tbl>
    <w:p w:rsidR="000C541C" w:rsidP="00DD5969" w:rsidRDefault="000C541C" w14:paraId="7F589502" w14:textId="77777777">
      <w:pPr>
        <w:rPr>
          <w:sz w:val="16"/>
          <w:szCs w:val="16"/>
        </w:rPr>
      </w:pPr>
    </w:p>
    <w:p w:rsidR="000C541C" w:rsidP="00DD5969" w:rsidRDefault="000C541C" w14:paraId="5144E418" w14:textId="77777777">
      <w:pPr>
        <w:rPr>
          <w:sz w:val="16"/>
          <w:szCs w:val="16"/>
        </w:rPr>
      </w:pPr>
    </w:p>
    <w:p w:rsidR="0000375B" w:rsidRDefault="0000375B" w14:paraId="2AE1CF9A" w14:textId="7090E061">
      <w:pPr>
        <w:rPr>
          <w:sz w:val="16"/>
          <w:szCs w:val="16"/>
        </w:rPr>
      </w:pPr>
      <w:r w:rsidRPr="01D8BAF7">
        <w:rPr>
          <w:sz w:val="16"/>
          <w:szCs w:val="16"/>
        </w:rPr>
        <w:br w:type="page"/>
      </w:r>
    </w:p>
    <w:p w:rsidR="6B5BCF23" w:rsidP="01D8BAF7" w:rsidRDefault="6B5BCF23" w14:paraId="707922BE" w14:textId="45D4F438">
      <w:pPr>
        <w:rPr>
          <w:rFonts w:ascii="Arial" w:hAnsi="Arial" w:cs="Arial"/>
          <w:b w:val="1"/>
          <w:bCs w:val="1"/>
        </w:rPr>
      </w:pPr>
      <w:r w:rsidRPr="01D8BAF7" w:rsidR="6B5BCF23">
        <w:rPr>
          <w:rFonts w:ascii="Arial" w:hAnsi="Arial" w:cs="Arial"/>
          <w:b w:val="1"/>
          <w:bCs w:val="1"/>
        </w:rPr>
        <w:t xml:space="preserve">Design and conduct small-scale research </w:t>
      </w:r>
      <w:r w:rsidRPr="01D8BAF7" w:rsidR="6B5BCF23">
        <w:rPr>
          <w:rFonts w:ascii="Arial" w:hAnsi="Arial" w:cs="Arial"/>
          <w:b w:val="1"/>
          <w:bCs w:val="1"/>
        </w:rPr>
        <w:t>study and</w:t>
      </w:r>
      <w:r w:rsidRPr="01D8BAF7" w:rsidR="6B5BCF23">
        <w:rPr>
          <w:rFonts w:ascii="Arial" w:hAnsi="Arial" w:cs="Arial"/>
          <w:b w:val="1"/>
          <w:bCs w:val="1"/>
        </w:rPr>
        <w:t xml:space="preserve"> critically evaluate the impact of chosen research tools and data/findings on your professional practice.</w:t>
      </w:r>
    </w:p>
    <w:p w:rsidR="01D8BAF7" w:rsidP="01D8BAF7" w:rsidRDefault="01D8BAF7" w14:paraId="15060298" w14:textId="6A79D335">
      <w:pPr>
        <w:pStyle w:val="Normal"/>
        <w:rPr>
          <w:rFonts w:ascii="Arial" w:hAnsi="Arial" w:cs="Arial"/>
          <w:b w:val="1"/>
          <w:bCs w:val="1"/>
        </w:rPr>
      </w:pPr>
    </w:p>
    <w:p w:rsidR="01D8BAF7" w:rsidP="01D8BAF7" w:rsidRDefault="01D8BAF7" w14:paraId="096BD18E" w14:textId="378DD345">
      <w:pPr>
        <w:rPr>
          <w:rFonts w:ascii="Arial" w:hAnsi="Arial" w:cs="Arial"/>
          <w:b w:val="1"/>
          <w:bCs w:val="1"/>
        </w:rPr>
      </w:pPr>
      <w:r w:rsidRPr="3E98D615" w:rsidR="630C844A">
        <w:rPr>
          <w:rFonts w:ascii="Arial" w:hAnsi="Arial" w:cs="Arial"/>
          <w:b w:val="1"/>
          <w:bCs w:val="1"/>
        </w:rPr>
        <w:t>How do Year 6 children perceive the role of success criteria and learning intentions in understanding and tracking their own progress?</w:t>
      </w:r>
    </w:p>
    <w:p w:rsidR="0000375B" w:rsidP="0000375B" w:rsidRDefault="0000375B" w14:paraId="6C6F16C6" w14:textId="77777777">
      <w:pPr>
        <w:rPr>
          <w:b w:val="1"/>
          <w:bCs w:val="1"/>
        </w:rPr>
      </w:pPr>
    </w:p>
    <w:p w:rsidR="698BC07C" w:rsidP="1EFE63D5" w:rsidRDefault="698BC07C" w14:paraId="0F616071" w14:textId="00B7E7EE">
      <w:pPr>
        <w:spacing w:line="360" w:lineRule="auto"/>
        <w:rPr>
          <w:b w:val="1"/>
          <w:bCs w:val="1"/>
          <w:u w:val="single"/>
        </w:rPr>
      </w:pPr>
      <w:r w:rsidRPr="1EFE63D5" w:rsidR="698BC07C">
        <w:rPr>
          <w:b w:val="1"/>
          <w:bCs w:val="1"/>
          <w:u w:val="single"/>
        </w:rPr>
        <w:t xml:space="preserve">Introduction </w:t>
      </w:r>
    </w:p>
    <w:p w:rsidR="698BC07C" w:rsidP="1EFE63D5" w:rsidRDefault="698BC07C" w14:paraId="6C1904F7" w14:textId="5ED13C48">
      <w:pPr>
        <w:pStyle w:val="Normal"/>
        <w:spacing w:line="360" w:lineRule="auto"/>
        <w:rPr>
          <w:b w:val="0"/>
          <w:bCs w:val="0"/>
        </w:rPr>
      </w:pPr>
      <w:r w:rsidR="698BC07C">
        <w:rPr>
          <w:b w:val="0"/>
          <w:bCs w:val="0"/>
        </w:rPr>
        <w:t xml:space="preserve">This research project examines primary pupils' perspectives on Assessment for Learning (AFL), focusing on one aspect of AFL. (Wiliam, 2011, p.3) suggests that Assessment for Learning (Formative Assessment) should assess a learner's progression and improve individual learning outcomes. He </w:t>
      </w:r>
      <w:r w:rsidR="698BC07C">
        <w:rPr>
          <w:b w:val="0"/>
          <w:bCs w:val="0"/>
        </w:rPr>
        <w:t>states</w:t>
      </w:r>
      <w:r w:rsidR="698BC07C">
        <w:rPr>
          <w:b w:val="0"/>
          <w:bCs w:val="0"/>
        </w:rPr>
        <w:t xml:space="preserve"> that the pupils should be productively motivated to progress using AFL rather than assessing using the traditional approach, such as tests. Saucier, D.A., Renken, N.D. and Schiffer, A.A. (2022</w:t>
      </w:r>
      <w:r w:rsidR="698BC07C">
        <w:rPr>
          <w:b w:val="0"/>
          <w:bCs w:val="0"/>
        </w:rPr>
        <w:t>)..</w:t>
      </w:r>
      <w:r w:rsidR="698BC07C">
        <w:rPr>
          <w:b w:val="0"/>
          <w:bCs w:val="0"/>
        </w:rPr>
        <w:t xml:space="preserve"> AFL is embedded within the pedagogical principles of the Curriculum for Wales. The importance of AFL in education is </w:t>
      </w:r>
      <w:r w:rsidR="698BC07C">
        <w:rPr>
          <w:b w:val="0"/>
          <w:bCs w:val="0"/>
        </w:rPr>
        <w:t>evident</w:t>
      </w:r>
      <w:r w:rsidR="698BC07C">
        <w:rPr>
          <w:b w:val="0"/>
          <w:bCs w:val="0"/>
        </w:rPr>
        <w:t xml:space="preserve"> in the seventh of the twelve principles, </w:t>
      </w:r>
      <w:r w:rsidR="698BC07C">
        <w:rPr>
          <w:b w:val="0"/>
          <w:bCs w:val="0"/>
        </w:rPr>
        <w:t>stating</w:t>
      </w:r>
      <w:r w:rsidR="698BC07C">
        <w:rPr>
          <w:b w:val="0"/>
          <w:bCs w:val="0"/>
        </w:rPr>
        <w:t xml:space="preserve"> Assessment for Learning should be employed in all learning experiences (Gov. Wales, 2023)</w:t>
      </w:r>
      <w:r w:rsidR="698BC07C">
        <w:rPr>
          <w:b w:val="0"/>
          <w:bCs w:val="0"/>
        </w:rPr>
        <w:t xml:space="preserve">.  </w:t>
      </w:r>
    </w:p>
    <w:p w:rsidR="698BC07C" w:rsidP="1EFE63D5" w:rsidRDefault="698BC07C" w14:paraId="30B39BB9" w14:textId="02E9046C">
      <w:pPr>
        <w:pStyle w:val="Normal"/>
        <w:spacing w:line="360" w:lineRule="auto"/>
        <w:rPr>
          <w:b w:val="0"/>
          <w:bCs w:val="0"/>
        </w:rPr>
      </w:pPr>
      <w:r w:rsidR="698BC07C">
        <w:rPr>
          <w:b w:val="0"/>
          <w:bCs w:val="0"/>
        </w:rPr>
        <w:t xml:space="preserve">The rationale for this assignment explores whether a particular element of AFL is </w:t>
      </w:r>
      <w:r w:rsidR="698BC07C">
        <w:rPr>
          <w:b w:val="0"/>
          <w:bCs w:val="0"/>
        </w:rPr>
        <w:t>a valuable asset</w:t>
      </w:r>
      <w:r w:rsidR="698BC07C">
        <w:rPr>
          <w:b w:val="0"/>
          <w:bCs w:val="0"/>
        </w:rPr>
        <w:t xml:space="preserve"> in the classroom that can aid the progression of pupil learning. This study aims to understand better how pupils in a year six class understand and implement success criteria and learning </w:t>
      </w:r>
      <w:r w:rsidR="698BC07C">
        <w:rPr>
          <w:b w:val="0"/>
          <w:bCs w:val="0"/>
        </w:rPr>
        <w:t>objectives</w:t>
      </w:r>
      <w:r w:rsidR="698BC07C">
        <w:rPr>
          <w:b w:val="0"/>
          <w:bCs w:val="0"/>
        </w:rPr>
        <w:t xml:space="preserve"> in their work. The research question 'How do Year 6 children perceive the role of success criteria and learning intentions in understanding and tracking their progress?' underpins the study's intentions and aims. The research was conducted in a rural location in South Wales with a pupil population of 210. The research was conducted on 24 of these pupils with their participation. The school will be called 'School X' throughout the study to ensure anonymity. </w:t>
      </w:r>
    </w:p>
    <w:p w:rsidR="698BC07C" w:rsidP="1EFE63D5" w:rsidRDefault="698BC07C" w14:paraId="5B239A71" w14:textId="5DDB4424">
      <w:pPr>
        <w:pStyle w:val="Normal"/>
        <w:spacing w:line="360" w:lineRule="auto"/>
        <w:rPr>
          <w:b w:val="1"/>
          <w:bCs w:val="1"/>
          <w:u w:val="single"/>
        </w:rPr>
      </w:pPr>
      <w:r w:rsidRPr="1EFE63D5" w:rsidR="698BC07C">
        <w:rPr>
          <w:b w:val="1"/>
          <w:bCs w:val="1"/>
          <w:u w:val="single"/>
        </w:rPr>
        <w:t xml:space="preserve">Literature Review </w:t>
      </w:r>
    </w:p>
    <w:p w:rsidR="698BC07C" w:rsidP="1EFE63D5" w:rsidRDefault="698BC07C" w14:paraId="14D29B02" w14:textId="2F9046AC">
      <w:pPr>
        <w:pStyle w:val="Normal"/>
        <w:spacing w:line="360" w:lineRule="auto"/>
        <w:rPr>
          <w:b w:val="0"/>
          <w:bCs w:val="0"/>
        </w:rPr>
      </w:pPr>
      <w:r w:rsidR="698BC07C">
        <w:rPr>
          <w:b w:val="0"/>
          <w:bCs w:val="0"/>
        </w:rPr>
        <w:t>This study considers the impact of using success criteria and learning intentions and how it affects a child's understanding of the task and the child's progression. According to Hattie (2015), the foundation of using success criteria and learning intentions allows children to have the same understanding as the teacher of what is going on in the classroom and what they will be learning from it. Hattie states that success criteria and learning intentions should be what the children will be learning to develop rather than what they will be asked to do</w:t>
      </w:r>
      <w:r w:rsidR="698BC07C">
        <w:rPr>
          <w:b w:val="0"/>
          <w:bCs w:val="0"/>
        </w:rPr>
        <w:t xml:space="preserve">.  </w:t>
      </w:r>
      <w:r w:rsidR="698BC07C">
        <w:rPr>
          <w:b w:val="0"/>
          <w:bCs w:val="0"/>
        </w:rPr>
        <w:t xml:space="preserve">Wiliam (2011) emphasises the importance of success criteria and learning intentions within his five key formative assessment strategies framework. The first strategy, Clarifying, Sharing, and Understanding Learning Intentions and Success Criteria, highlights the role of explicit learning goals in student progress. Wiliam references a study in which pupils were provided with success criteria alongside a learning outcome. This approach enabled them to form deeper connections with their understanding and apply it to their work. Using the success criteria for self-evaluation, students gained a clearer sense of what their teacher expected. The studies found that lower-achieving students engaged with the success criteria effectively. This helped them recognise what constituted a substantial work and apply that understanding to their learning, </w:t>
      </w:r>
      <w:r w:rsidR="698BC07C">
        <w:rPr>
          <w:b w:val="0"/>
          <w:bCs w:val="0"/>
        </w:rPr>
        <w:t>ultimately leading</w:t>
      </w:r>
      <w:r w:rsidR="698BC07C">
        <w:rPr>
          <w:b w:val="0"/>
          <w:bCs w:val="0"/>
        </w:rPr>
        <w:t xml:space="preserve"> to significant improvements (The Main Idea, 2013). Vygotsky's Zone of Proximal Development can be linked to the AFL strategy of success criteria and learning intentions. The Zone of Proximal Development, developed by Vygotsky in 1978, describes the gap between what a child can achieve independently and what they can </w:t>
      </w:r>
      <w:r w:rsidR="698BC07C">
        <w:rPr>
          <w:b w:val="0"/>
          <w:bCs w:val="0"/>
        </w:rPr>
        <w:t>accomplish</w:t>
      </w:r>
      <w:r w:rsidR="698BC07C">
        <w:rPr>
          <w:b w:val="0"/>
          <w:bCs w:val="0"/>
        </w:rPr>
        <w:t xml:space="preserve"> with </w:t>
      </w:r>
      <w:r w:rsidR="698BC07C">
        <w:rPr>
          <w:b w:val="0"/>
          <w:bCs w:val="0"/>
        </w:rPr>
        <w:t>assistance</w:t>
      </w:r>
      <w:r w:rsidR="698BC07C">
        <w:rPr>
          <w:b w:val="0"/>
          <w:bCs w:val="0"/>
        </w:rPr>
        <w:t xml:space="preserve"> (Gauvain, 2020). Vygotsky believed that children </w:t>
      </w:r>
      <w:r w:rsidR="698BC07C">
        <w:rPr>
          <w:b w:val="0"/>
          <w:bCs w:val="0"/>
        </w:rPr>
        <w:t>acquire</w:t>
      </w:r>
      <w:r w:rsidR="698BC07C">
        <w:rPr>
          <w:b w:val="0"/>
          <w:bCs w:val="0"/>
        </w:rPr>
        <w:t xml:space="preserve"> cognitive skills through interaction with a 'More Knowledgeable Other' (MKO). The MKO is someone with a higher level of ability or deeper understanding than the learner in relation to the lesson or task at hand. This MKO could be a teacher or even a peer in the classroom. Success criteria and learning outcomes, when provided by an MKO, offer learners the opportunity to deepen their understanding of the task and advance in their learning. When success criteria and learning outcomes are used within a sociocultural context, they create opportunities for social interaction, such as discussions with more capable peers, which can </w:t>
      </w:r>
      <w:r w:rsidR="698BC07C">
        <w:rPr>
          <w:b w:val="0"/>
          <w:bCs w:val="0"/>
        </w:rPr>
        <w:t>ultimately enhance</w:t>
      </w:r>
      <w:r w:rsidR="698BC07C">
        <w:rPr>
          <w:b w:val="0"/>
          <w:bCs w:val="0"/>
        </w:rPr>
        <w:t xml:space="preserve"> the learner's comprehension of the task (Mcleod, 2025). Although success criteria and learning outcomes can be considered a valuable tool of AFL in the classroom, it is also important to consider the limitations and how to amend them. </w:t>
      </w:r>
      <w:r w:rsidR="698BC07C">
        <w:rPr>
          <w:b w:val="0"/>
          <w:bCs w:val="0"/>
        </w:rPr>
        <w:t>Grafwallner</w:t>
      </w:r>
      <w:r w:rsidR="698BC07C">
        <w:rPr>
          <w:b w:val="0"/>
          <w:bCs w:val="0"/>
        </w:rPr>
        <w:t xml:space="preserve"> expresses through her experience of working alongside educators that they often misinterpret the use of a learning outcome and success criteria. She mentions how teachers will often use the learning outcome as a description of the task the pupils will be doing rather than using it to explain the skills of doing said task. </w:t>
      </w:r>
      <w:r w:rsidR="698BC07C">
        <w:rPr>
          <w:b w:val="0"/>
          <w:bCs w:val="0"/>
        </w:rPr>
        <w:t>Grafwallner</w:t>
      </w:r>
      <w:r w:rsidR="698BC07C">
        <w:rPr>
          <w:b w:val="0"/>
          <w:bCs w:val="0"/>
        </w:rPr>
        <w:t xml:space="preserve"> believes that a learning outcome goes beyond the activity and should be able to cover different tasks rather than be tailored to one task. She offers that the learning outcome should be designed first, followed by the success criteria, ensuring that the skills are mentioned throughout. Only then should the task be constructed. She </w:t>
      </w:r>
      <w:r w:rsidR="698BC07C">
        <w:rPr>
          <w:b w:val="0"/>
          <w:bCs w:val="0"/>
        </w:rPr>
        <w:t>states</w:t>
      </w:r>
      <w:r w:rsidR="698BC07C">
        <w:rPr>
          <w:b w:val="0"/>
          <w:bCs w:val="0"/>
        </w:rPr>
        <w:t xml:space="preserve"> the importance that the learning outcome and the success criteria should be able to be applied to all areas of learning and experiences (</w:t>
      </w:r>
      <w:r w:rsidR="698BC07C">
        <w:rPr>
          <w:b w:val="0"/>
          <w:bCs w:val="0"/>
        </w:rPr>
        <w:t>Grafwallner</w:t>
      </w:r>
      <w:r w:rsidR="698BC07C">
        <w:rPr>
          <w:b w:val="0"/>
          <w:bCs w:val="0"/>
        </w:rPr>
        <w:t xml:space="preserve">, 2019). A recent Estyn study suggests that staff members of a primary school within South Wales focussed on developing their knowledge of success criteria and learning outcomes to construct purposeful success criteria and consider what was needed to achieve learning outcomes. The impact this had was that the children gained a higher development of assessment skills, which allowed for their learning to progress. The use of the success criteria and learning outcomes also opened opportunities for the children to progress in their self and peer assessment, which developed their independence (Estyn, 2024). </w:t>
      </w:r>
    </w:p>
    <w:p w:rsidR="698BC07C" w:rsidP="1EFE63D5" w:rsidRDefault="698BC07C" w14:paraId="0285E2B3" w14:textId="3200DAF9">
      <w:pPr>
        <w:pStyle w:val="Normal"/>
        <w:spacing w:line="360" w:lineRule="auto"/>
        <w:rPr>
          <w:b w:val="1"/>
          <w:bCs w:val="1"/>
          <w:u w:val="single"/>
        </w:rPr>
      </w:pPr>
      <w:r w:rsidRPr="1EFE63D5" w:rsidR="698BC07C">
        <w:rPr>
          <w:b w:val="1"/>
          <w:bCs w:val="1"/>
          <w:u w:val="single"/>
        </w:rPr>
        <w:t xml:space="preserve">Methodology </w:t>
      </w:r>
    </w:p>
    <w:p w:rsidR="698BC07C" w:rsidP="1EFE63D5" w:rsidRDefault="698BC07C" w14:paraId="67CE6996" w14:textId="78C26F82">
      <w:pPr>
        <w:pStyle w:val="Normal"/>
        <w:spacing w:line="360" w:lineRule="auto"/>
        <w:rPr>
          <w:b w:val="0"/>
          <w:bCs w:val="0"/>
        </w:rPr>
      </w:pPr>
      <w:r w:rsidR="698BC07C">
        <w:rPr>
          <w:b w:val="0"/>
          <w:bCs w:val="0"/>
        </w:rPr>
        <w:t xml:space="preserve">Ethics was a crucial element of this study, where British Educational Research Association (BERA) guidelines were embedded throughout. In the beginning, before any research was carried out, an ethics form (see Appendix 4) was created as well as a blanket consent form and information letter (see Appendix 5) was made and provided for the headteacher to sign to acquire their "voluntary informed consent" (BERA, 2024, p13) ensuring that their consent was gathered at the onset of the research study. It was made </w:t>
      </w:r>
      <w:r w:rsidR="698BC07C">
        <w:rPr>
          <w:b w:val="0"/>
          <w:bCs w:val="0"/>
        </w:rPr>
        <w:t>evident</w:t>
      </w:r>
      <w:r w:rsidR="698BC07C">
        <w:rPr>
          <w:b w:val="0"/>
          <w:bCs w:val="0"/>
        </w:rPr>
        <w:t xml:space="preserve"> that participants could dismiss themselves from the study without reason, and no implications would follow (BERA, 2024, p31). In compliance with the General Data Protection Act (UK Government, 2018) and the University of Wales Trinity Saint David Research Ethics &amp; Integrity Code of Practice (2020), all participants were made aware that any data provided would be anonymous and confidential. The risks of this study were heavily considered, which is </w:t>
      </w:r>
      <w:r w:rsidR="698BC07C">
        <w:rPr>
          <w:b w:val="0"/>
          <w:bCs w:val="0"/>
        </w:rPr>
        <w:t>evidenced</w:t>
      </w:r>
      <w:r w:rsidR="698BC07C">
        <w:rPr>
          <w:b w:val="0"/>
          <w:bCs w:val="0"/>
        </w:rPr>
        <w:t xml:space="preserve"> in the ethics form (appendix 4) as documented of importance in the General Data Protection Act (UK, Government, 2018). Assent was gathered from the pupils in school X to ensure anonymity. This aligns with the ethical considerations of Lewis (2002) documented in (Macdonald, 2023, p258). </w:t>
      </w:r>
    </w:p>
    <w:p w:rsidR="698BC07C" w:rsidP="1EFE63D5" w:rsidRDefault="698BC07C" w14:paraId="4DE7F03E" w14:textId="5E11D28C">
      <w:pPr>
        <w:pStyle w:val="Normal"/>
        <w:spacing w:line="360" w:lineRule="auto"/>
        <w:rPr>
          <w:b w:val="0"/>
          <w:bCs w:val="0"/>
        </w:rPr>
      </w:pPr>
      <w:r w:rsidR="698BC07C">
        <w:rPr>
          <w:b w:val="0"/>
          <w:bCs w:val="0"/>
        </w:rPr>
        <w:t xml:space="preserve">On the morning of the research study, the pupil questionnaire (see Appendix 6) was dispensed to all pupils in the class through an online QR code accessible to them through their Chromebooks. The aim for the research day was to accumulate quantitative data through the questionnaires and then follow that with a group interview of four children to express their thoughts and feedback, which allowed for qualitative data. The use of interviews interlinks with the United Nations Convention, Rights of a Child (UNCRC), where, in article 13, children have the right to "freedom of expression", as well as article 12, where adults should "respect the views of a child" This is evident throughout the research task as all children were made aware their views would have no negative consequences and were free to say what they wanted (UNICEF, 2022).  </w:t>
      </w:r>
    </w:p>
    <w:p w:rsidR="698BC07C" w:rsidP="1EFE63D5" w:rsidRDefault="698BC07C" w14:paraId="5ACEED33" w14:textId="476706D0">
      <w:pPr>
        <w:pStyle w:val="Normal"/>
        <w:spacing w:line="360" w:lineRule="auto"/>
        <w:rPr>
          <w:b w:val="0"/>
          <w:bCs w:val="0"/>
        </w:rPr>
      </w:pPr>
      <w:r w:rsidR="698BC07C">
        <w:rPr>
          <w:b w:val="0"/>
          <w:bCs w:val="0"/>
        </w:rPr>
        <w:t>In this research study, interviewing was used as a research tool. An interview is a qualitative research method that gathers data through asking questions. It typically involves at least two people, one of which is the interviewer who asks the questions. Interviews can vary in structure, with several types to choose from. Structured interviews follow a set of prearranged questions asked in a specific order. Unstructured interviews, on the other hand, are more conversational and flexible. Semi-structured interviews combine elements of both, offering some guidance while allowing for more open-ended responses (George, 2022)</w:t>
      </w:r>
      <w:r w:rsidR="698BC07C">
        <w:rPr>
          <w:b w:val="0"/>
          <w:bCs w:val="0"/>
        </w:rPr>
        <w:t xml:space="preserve">.  </w:t>
      </w:r>
    </w:p>
    <w:p w:rsidR="698BC07C" w:rsidP="1EFE63D5" w:rsidRDefault="698BC07C" w14:paraId="16D6AAEC" w14:textId="598FD0DB">
      <w:pPr>
        <w:pStyle w:val="Normal"/>
        <w:spacing w:line="360" w:lineRule="auto"/>
        <w:rPr>
          <w:b w:val="0"/>
          <w:bCs w:val="0"/>
        </w:rPr>
      </w:pPr>
      <w:r w:rsidR="698BC07C">
        <w:rPr>
          <w:b w:val="0"/>
          <w:bCs w:val="0"/>
        </w:rPr>
        <w:t xml:space="preserve">The type of interview used in this research task is a semi-structured interview (see Appendix 1). Using interviews as a research tool allows researchers to gather qualitative data that can provide rich and detailed data. Through interviews, researchers can delve deeper into the thoughts and opinions of the interviewees and </w:t>
      </w:r>
      <w:r w:rsidR="698BC07C">
        <w:rPr>
          <w:b w:val="0"/>
          <w:bCs w:val="0"/>
        </w:rPr>
        <w:t>have the opportunity to</w:t>
      </w:r>
      <w:r w:rsidR="698BC07C">
        <w:rPr>
          <w:b w:val="0"/>
          <w:bCs w:val="0"/>
        </w:rPr>
        <w:t xml:space="preserve"> ask them to elaborate on their opinions. This also corresponds with the flexibility of using interviews. Interviewers </w:t>
      </w:r>
      <w:r w:rsidR="698BC07C">
        <w:rPr>
          <w:b w:val="0"/>
          <w:bCs w:val="0"/>
        </w:rPr>
        <w:t>are able to</w:t>
      </w:r>
      <w:r w:rsidR="698BC07C">
        <w:rPr>
          <w:b w:val="0"/>
          <w:bCs w:val="0"/>
        </w:rPr>
        <w:t xml:space="preserve"> adapt their approach to questioning based on new data provided to them during the interview Hilary (2024)</w:t>
      </w:r>
      <w:r w:rsidR="698BC07C">
        <w:rPr>
          <w:b w:val="0"/>
          <w:bCs w:val="0"/>
        </w:rPr>
        <w:t xml:space="preserve">.  </w:t>
      </w:r>
      <w:r w:rsidR="698BC07C">
        <w:rPr>
          <w:b w:val="0"/>
          <w:bCs w:val="0"/>
        </w:rPr>
        <w:t>Interviews provide a beneficial approach to body language. A person can reveal hidden information based on non-verbal cues, and this is easily identifiable in interviews (</w:t>
      </w:r>
      <w:r w:rsidR="698BC07C">
        <w:rPr>
          <w:b w:val="0"/>
          <w:bCs w:val="0"/>
        </w:rPr>
        <w:t>Kakilla</w:t>
      </w:r>
      <w:r w:rsidR="698BC07C">
        <w:rPr>
          <w:b w:val="0"/>
          <w:bCs w:val="0"/>
        </w:rPr>
        <w:t xml:space="preserve">, 2021). </w:t>
      </w:r>
    </w:p>
    <w:p w:rsidR="698BC07C" w:rsidP="1EFE63D5" w:rsidRDefault="698BC07C" w14:paraId="441A3526" w14:textId="38FB7465">
      <w:pPr>
        <w:pStyle w:val="Normal"/>
        <w:spacing w:line="360" w:lineRule="auto"/>
        <w:rPr>
          <w:b w:val="0"/>
          <w:bCs w:val="0"/>
        </w:rPr>
      </w:pPr>
      <w:r w:rsidR="698BC07C">
        <w:rPr>
          <w:b w:val="0"/>
          <w:bCs w:val="0"/>
        </w:rPr>
        <w:t xml:space="preserve">On the other hand, semi-structured interviews can have limitations, including validity. If the interviewer strays from the questions too much, the discussion can deviate from the focus questions, which </w:t>
      </w:r>
      <w:r w:rsidR="698BC07C">
        <w:rPr>
          <w:b w:val="0"/>
          <w:bCs w:val="0"/>
        </w:rPr>
        <w:t>ultimately can</w:t>
      </w:r>
      <w:r w:rsidR="698BC07C">
        <w:rPr>
          <w:b w:val="0"/>
          <w:bCs w:val="0"/>
        </w:rPr>
        <w:t xml:space="preserve"> cause a challenge when compared to other interviews. There is also an increased risk of unintentional bias. With a semi-structured interview being improvised, the researcher may display bias when questioning, which can accumulate biased answers. It is important for the researcher to have focus questions to ensure the focus of the interview is met and to ensure they are asking questions without an underlying hue of bias (Boswell, 2025)</w:t>
      </w:r>
      <w:r w:rsidR="698BC07C">
        <w:rPr>
          <w:b w:val="0"/>
          <w:bCs w:val="0"/>
        </w:rPr>
        <w:t xml:space="preserve">.  </w:t>
      </w:r>
    </w:p>
    <w:p w:rsidR="698BC07C" w:rsidP="1EFE63D5" w:rsidRDefault="698BC07C" w14:paraId="00BBF00E" w14:textId="551D1E08">
      <w:pPr>
        <w:pStyle w:val="Normal"/>
        <w:spacing w:line="360" w:lineRule="auto"/>
        <w:rPr>
          <w:b w:val="0"/>
          <w:bCs w:val="0"/>
        </w:rPr>
      </w:pPr>
      <w:r w:rsidR="698BC07C">
        <w:rPr>
          <w:b w:val="0"/>
          <w:bCs w:val="0"/>
        </w:rPr>
        <w:t xml:space="preserve">Another research tool used in this research study was questionnaires (see Appendix 6). A questionnaire is a list of questions used to gather data from respondents based on their thoughts and opinions on a particular theme. Questionnaires can collect qualitative and quantitative data, depending on the questioning methods. For example, a (yes/no) question will accumulate quantitative data, </w:t>
      </w:r>
      <w:r w:rsidR="698BC07C">
        <w:rPr>
          <w:b w:val="0"/>
          <w:bCs w:val="0"/>
        </w:rPr>
        <w:t>whereas</w:t>
      </w:r>
      <w:r w:rsidR="698BC07C">
        <w:rPr>
          <w:b w:val="0"/>
          <w:bCs w:val="0"/>
        </w:rPr>
        <w:t xml:space="preserve"> an open-ended question like 'How do you feel about success criteria?' provides qualitative data (Bhandari, 2022)</w:t>
      </w:r>
      <w:r w:rsidR="698BC07C">
        <w:rPr>
          <w:b w:val="0"/>
          <w:bCs w:val="0"/>
        </w:rPr>
        <w:t xml:space="preserve">.  </w:t>
      </w:r>
    </w:p>
    <w:p w:rsidR="698BC07C" w:rsidP="1EFE63D5" w:rsidRDefault="698BC07C" w14:paraId="4A7C64C3" w14:textId="53DEDA32">
      <w:pPr>
        <w:pStyle w:val="Normal"/>
        <w:spacing w:line="360" w:lineRule="auto"/>
        <w:rPr>
          <w:b w:val="0"/>
          <w:bCs w:val="0"/>
        </w:rPr>
      </w:pPr>
      <w:r w:rsidR="698BC07C">
        <w:rPr>
          <w:b w:val="0"/>
          <w:bCs w:val="0"/>
        </w:rPr>
        <w:t xml:space="preserve">The questionnaires for this research study were distributed through an online QR code for the participants to scan using a Chromebook. The use of questionnaires proves its benefits by acting as a quick and efficient method of gathering data from a large group of participants in a short amount of time. Questionnaires allow for extensive data collection of a diverse sample, which can provide a broader representation of the larger population. Which </w:t>
      </w:r>
      <w:r w:rsidR="698BC07C">
        <w:rPr>
          <w:b w:val="0"/>
          <w:bCs w:val="0"/>
        </w:rPr>
        <w:t>ultimately strengthens</w:t>
      </w:r>
      <w:r w:rsidR="698BC07C">
        <w:rPr>
          <w:b w:val="0"/>
          <w:bCs w:val="0"/>
        </w:rPr>
        <w:t xml:space="preserve"> the generalizability and the validity of the data (Lindemann, 2023). Positivist researchers favour quantitative data collection such as questionnaires because they believe data collected from questionnaires can be interpreted into numerical data and represented in graphs and charts, which are easier to read. They believe that reading the data through graphs and charts is an efficient way to code and </w:t>
      </w:r>
      <w:r w:rsidR="698BC07C">
        <w:rPr>
          <w:b w:val="0"/>
          <w:bCs w:val="0"/>
        </w:rPr>
        <w:t>identify</w:t>
      </w:r>
      <w:r w:rsidR="698BC07C">
        <w:rPr>
          <w:b w:val="0"/>
          <w:bCs w:val="0"/>
        </w:rPr>
        <w:t xml:space="preserve"> trends and patterns in a study (Thomspon, 2020)</w:t>
      </w:r>
      <w:r w:rsidR="698BC07C">
        <w:rPr>
          <w:b w:val="0"/>
          <w:bCs w:val="0"/>
        </w:rPr>
        <w:t xml:space="preserve">.  </w:t>
      </w:r>
    </w:p>
    <w:p w:rsidR="698BC07C" w:rsidP="1EFE63D5" w:rsidRDefault="698BC07C" w14:paraId="4BE73EB6" w14:textId="550A6CE5">
      <w:pPr>
        <w:pStyle w:val="Normal"/>
        <w:spacing w:line="360" w:lineRule="auto"/>
        <w:rPr>
          <w:b w:val="0"/>
          <w:bCs w:val="0"/>
        </w:rPr>
      </w:pPr>
      <w:r w:rsidR="698BC07C">
        <w:rPr>
          <w:b w:val="0"/>
          <w:bCs w:val="0"/>
        </w:rPr>
        <w:t xml:space="preserve">Although questionnaires can be beneficial, Jain (2023) reviews the limitations of their use that need to be considered. She </w:t>
      </w:r>
      <w:r w:rsidR="698BC07C">
        <w:rPr>
          <w:b w:val="0"/>
          <w:bCs w:val="0"/>
        </w:rPr>
        <w:t>states</w:t>
      </w:r>
      <w:r w:rsidR="698BC07C">
        <w:rPr>
          <w:b w:val="0"/>
          <w:bCs w:val="0"/>
        </w:rPr>
        <w:t xml:space="preserve"> that researchers often administer questionnaires remotely rather than in face-to-face settings. Consequently, respondents who require clarification lack immediate opportunities to seek </w:t>
      </w:r>
      <w:r w:rsidR="698BC07C">
        <w:rPr>
          <w:b w:val="0"/>
          <w:bCs w:val="0"/>
        </w:rPr>
        <w:t>assistance</w:t>
      </w:r>
      <w:r w:rsidR="698BC07C">
        <w:rPr>
          <w:b w:val="0"/>
          <w:bCs w:val="0"/>
        </w:rPr>
        <w:t xml:space="preserve">. This limitation increases the risk of misinterpretation, potentially resulting in responses that do not accurately reflect participants' perspectives or experiences. </w:t>
      </w:r>
    </w:p>
    <w:p w:rsidR="698BC07C" w:rsidP="1EFE63D5" w:rsidRDefault="698BC07C" w14:paraId="61E3D549" w14:textId="4D0AB751">
      <w:pPr>
        <w:pStyle w:val="Normal"/>
        <w:spacing w:line="360" w:lineRule="auto"/>
        <w:rPr>
          <w:b w:val="0"/>
          <w:bCs w:val="0"/>
        </w:rPr>
      </w:pPr>
      <w:r w:rsidR="698BC07C">
        <w:rPr>
          <w:b w:val="0"/>
          <w:bCs w:val="0"/>
        </w:rPr>
        <w:t>However, from an interpretivism perspective, data from a questionnaire lacks validity and does not give the participants the whole idea of what is being studied (</w:t>
      </w:r>
      <w:r w:rsidR="698BC07C">
        <w:rPr>
          <w:b w:val="0"/>
          <w:bCs w:val="0"/>
        </w:rPr>
        <w:t>Getrevising</w:t>
      </w:r>
      <w:r w:rsidR="698BC07C">
        <w:rPr>
          <w:b w:val="0"/>
          <w:bCs w:val="0"/>
        </w:rPr>
        <w:t xml:space="preserve">, 2020). According to interpretivists, individuals are different and complex which means they can read the same questions but can interpret them in </w:t>
      </w:r>
      <w:r w:rsidR="698BC07C">
        <w:rPr>
          <w:b w:val="0"/>
          <w:bCs w:val="0"/>
        </w:rPr>
        <w:t>different ways</w:t>
      </w:r>
      <w:r w:rsidR="698BC07C">
        <w:rPr>
          <w:b w:val="0"/>
          <w:bCs w:val="0"/>
        </w:rPr>
        <w:t>. This creates a limit on validation as the data collected might not actually be what the respondent believes however it reflects what they interpreted (</w:t>
      </w:r>
      <w:r w:rsidR="698BC07C">
        <w:rPr>
          <w:b w:val="0"/>
          <w:bCs w:val="0"/>
        </w:rPr>
        <w:t>ReviseSociology</w:t>
      </w:r>
      <w:r w:rsidR="698BC07C">
        <w:rPr>
          <w:b w:val="0"/>
          <w:bCs w:val="0"/>
        </w:rPr>
        <w:t xml:space="preserve">, 2025). </w:t>
      </w:r>
    </w:p>
    <w:p w:rsidR="698BC07C" w:rsidP="1EFE63D5" w:rsidRDefault="698BC07C" w14:paraId="64D6565E" w14:textId="1369DD7F">
      <w:pPr>
        <w:pStyle w:val="Normal"/>
        <w:spacing w:line="360" w:lineRule="auto"/>
        <w:rPr>
          <w:b w:val="1"/>
          <w:bCs w:val="1"/>
          <w:u w:val="single"/>
        </w:rPr>
      </w:pPr>
      <w:r w:rsidRPr="1EFE63D5" w:rsidR="698BC07C">
        <w:rPr>
          <w:b w:val="1"/>
          <w:bCs w:val="1"/>
          <w:u w:val="single"/>
        </w:rPr>
        <w:t xml:space="preserve">Discussion and Findings </w:t>
      </w:r>
    </w:p>
    <w:p w:rsidR="698BC07C" w:rsidP="1EFE63D5" w:rsidRDefault="698BC07C" w14:paraId="4B9332EE" w14:textId="743E6156">
      <w:pPr>
        <w:pStyle w:val="Normal"/>
        <w:spacing w:line="360" w:lineRule="auto"/>
        <w:rPr>
          <w:b w:val="0"/>
          <w:bCs w:val="0"/>
        </w:rPr>
      </w:pPr>
      <w:r w:rsidR="698BC07C">
        <w:rPr>
          <w:b w:val="0"/>
          <w:bCs w:val="0"/>
        </w:rPr>
        <w:t xml:space="preserve">Interviews and questionnaires were used to gather qualitative and quantitative data for this research study. The data gathered provides context towards the research question, 'How do year 6 children perceive the role of success criteria and learning intentions in understanding and tracking their progress?'. According to the data provided from the questionnaire, 100% of pupils </w:t>
      </w:r>
      <w:r w:rsidR="698BC07C">
        <w:rPr>
          <w:b w:val="0"/>
          <w:bCs w:val="0"/>
        </w:rPr>
        <w:t>stated</w:t>
      </w:r>
      <w:r w:rsidR="698BC07C">
        <w:rPr>
          <w:b w:val="0"/>
          <w:bCs w:val="0"/>
        </w:rPr>
        <w:t xml:space="preserve"> that they find learning intentions useful (see Appendix 7, question 2). The data can be supported by a similar study McDaid, Chrichton, (2016), who found that pupils were able to </w:t>
      </w:r>
      <w:r w:rsidR="698BC07C">
        <w:rPr>
          <w:b w:val="0"/>
          <w:bCs w:val="0"/>
        </w:rPr>
        <w:t>identify</w:t>
      </w:r>
      <w:r w:rsidR="698BC07C">
        <w:rPr>
          <w:b w:val="0"/>
          <w:bCs w:val="0"/>
        </w:rPr>
        <w:t xml:space="preserve"> the reasoning behind the use of learning intentions and declared they provide purpose to what they are doing in that lesson. The pupils mentioned how learning intentions were used in their school to provide clarity and understanding of the task at hand. It is </w:t>
      </w:r>
      <w:r w:rsidR="698BC07C">
        <w:rPr>
          <w:b w:val="0"/>
          <w:bCs w:val="0"/>
        </w:rPr>
        <w:t>evident</w:t>
      </w:r>
      <w:r w:rsidR="698BC07C">
        <w:rPr>
          <w:b w:val="0"/>
          <w:bCs w:val="0"/>
        </w:rPr>
        <w:t xml:space="preserve"> in the questionnaire that when asked, 'How often do you use the learning intention to help you?' (see Appendix 7 question 4), 36% of pupils said sometimes, 32% </w:t>
      </w:r>
      <w:r w:rsidR="698BC07C">
        <w:rPr>
          <w:b w:val="0"/>
          <w:bCs w:val="0"/>
        </w:rPr>
        <w:t>stated</w:t>
      </w:r>
      <w:r w:rsidR="698BC07C">
        <w:rPr>
          <w:b w:val="0"/>
          <w:bCs w:val="0"/>
        </w:rPr>
        <w:t xml:space="preserve"> always, 18% said often, and 14% said never. This data could suggest that although pupils find the learning intention to be helpful in providing clarity, it may have a limitation with how often children engage with it. Although 100% said they found learning intentions in the </w:t>
      </w:r>
      <w:r w:rsidR="698BC07C">
        <w:rPr>
          <w:b w:val="0"/>
          <w:bCs w:val="0"/>
        </w:rPr>
        <w:t>previous</w:t>
      </w:r>
      <w:r w:rsidR="698BC07C">
        <w:rPr>
          <w:b w:val="0"/>
          <w:bCs w:val="0"/>
        </w:rPr>
        <w:t xml:space="preserve"> question, 14% of the pupils said they never engaged with it to aid with their task. Wiliam (2018) substantiates that children will often be told to write a learning intention down in their book and </w:t>
      </w:r>
      <w:r w:rsidR="698BC07C">
        <w:rPr>
          <w:b w:val="0"/>
          <w:bCs w:val="0"/>
        </w:rPr>
        <w:t>consequently</w:t>
      </w:r>
      <w:r w:rsidR="698BC07C">
        <w:rPr>
          <w:b w:val="0"/>
          <w:bCs w:val="0"/>
        </w:rPr>
        <w:t xml:space="preserve"> ignore it as opposed to engaging. Although 86% of pupils said they knew what a learning intention is (see Appendix 7, question 1), it appears as though they do not engage with it after it is written down. Question 5 in the questionnaire (see appendix 7, question 5) reinforces that </w:t>
      </w:r>
      <w:r w:rsidR="698BC07C">
        <w:rPr>
          <w:b w:val="0"/>
          <w:bCs w:val="0"/>
        </w:rPr>
        <w:t>the majority of</w:t>
      </w:r>
      <w:r w:rsidR="698BC07C">
        <w:rPr>
          <w:b w:val="0"/>
          <w:bCs w:val="0"/>
        </w:rPr>
        <w:t xml:space="preserve"> pupils only look at the learning intention at the beginning of the lesson. 59% said they looked at the beginning of the lesson, </w:t>
      </w:r>
      <w:r w:rsidR="698BC07C">
        <w:rPr>
          <w:b w:val="0"/>
          <w:bCs w:val="0"/>
        </w:rPr>
        <w:t>whereas</w:t>
      </w:r>
      <w:r w:rsidR="698BC07C">
        <w:rPr>
          <w:b w:val="0"/>
          <w:bCs w:val="0"/>
        </w:rPr>
        <w:t xml:space="preserve"> only 32% </w:t>
      </w:r>
      <w:r w:rsidR="698BC07C">
        <w:rPr>
          <w:b w:val="0"/>
          <w:bCs w:val="0"/>
        </w:rPr>
        <w:t>stated</w:t>
      </w:r>
      <w:r w:rsidR="698BC07C">
        <w:rPr>
          <w:b w:val="0"/>
          <w:bCs w:val="0"/>
        </w:rPr>
        <w:t xml:space="preserve"> they use it whilst working. This reflects the weakness of learning intentions. To ensure that children engage with the learning intentions, actively involving pupils in the discussion of learning intentions will increase engagement. </w:t>
      </w:r>
      <w:r w:rsidR="698BC07C">
        <w:rPr>
          <w:b w:val="0"/>
          <w:bCs w:val="0"/>
        </w:rPr>
        <w:t>Klapwijk</w:t>
      </w:r>
      <w:r w:rsidR="698BC07C">
        <w:rPr>
          <w:b w:val="0"/>
          <w:bCs w:val="0"/>
        </w:rPr>
        <w:t xml:space="preserve">, Van Den Burg (2020) found that pupils who were actively engaged with clarifying and understanding learning intentions led to improved thinking skills and a better understanding of how to achieve success in the areas of learning. </w:t>
      </w:r>
    </w:p>
    <w:p w:rsidR="698BC07C" w:rsidP="1EFE63D5" w:rsidRDefault="698BC07C" w14:paraId="72B9B18A" w14:textId="243EFF30">
      <w:pPr>
        <w:pStyle w:val="Normal"/>
        <w:spacing w:line="360" w:lineRule="auto"/>
        <w:rPr>
          <w:b w:val="0"/>
          <w:bCs w:val="0"/>
        </w:rPr>
      </w:pPr>
      <w:r w:rsidR="698BC07C">
        <w:rPr>
          <w:b w:val="0"/>
          <w:bCs w:val="0"/>
        </w:rPr>
        <w:t xml:space="preserve">The qualitative data gathered from the interview </w:t>
      </w:r>
      <w:r w:rsidR="698BC07C">
        <w:rPr>
          <w:b w:val="0"/>
          <w:bCs w:val="0"/>
        </w:rPr>
        <w:t>provided</w:t>
      </w:r>
      <w:r w:rsidR="698BC07C">
        <w:rPr>
          <w:b w:val="0"/>
          <w:bCs w:val="0"/>
        </w:rPr>
        <w:t xml:space="preserve"> more profound insight into the </w:t>
      </w:r>
      <w:r w:rsidR="698BC07C">
        <w:rPr>
          <w:b w:val="0"/>
          <w:bCs w:val="0"/>
        </w:rPr>
        <w:t>perceptions</w:t>
      </w:r>
      <w:r w:rsidR="698BC07C">
        <w:rPr>
          <w:b w:val="0"/>
          <w:bCs w:val="0"/>
        </w:rPr>
        <w:t xml:space="preserve"> of pupils' thoughts on success criteria and learning intentions. When asked what they think learning intentions are, pupil A said it was a "lesson objective." this statement provided some understanding towards the meaning of a learning intention; however, it shows a lack of elaboration. When asked, "How do they help you?" pupil C responded, "If you finish your work, then you know you have achieved your L.O." Snow (2021) stated that while children are familiar with using learning intentions and success criteria in the classroom to benefit their understanding. The pupils' understanding of learning intentions may vary as they can interpret it in </w:t>
      </w:r>
      <w:r w:rsidR="698BC07C">
        <w:rPr>
          <w:b w:val="0"/>
          <w:bCs w:val="0"/>
        </w:rPr>
        <w:t>different ways</w:t>
      </w:r>
      <w:r w:rsidR="698BC07C">
        <w:rPr>
          <w:b w:val="0"/>
          <w:bCs w:val="0"/>
        </w:rPr>
        <w:t xml:space="preserve">. Wiliam, D. (2006) highlights that clearly defining and communicating learning intentions and success criteria is a key aspect of Assessment for Learning. He argues that when students are aware of the learning goals and understand what is expected of them, they are more likely to engage effectively with the material and achieve the intended learning outcomes. When questioned about how being given the success criteria </w:t>
      </w:r>
      <w:r w:rsidR="698BC07C">
        <w:rPr>
          <w:b w:val="0"/>
          <w:bCs w:val="0"/>
        </w:rPr>
        <w:t>impacts</w:t>
      </w:r>
      <w:r w:rsidR="698BC07C">
        <w:rPr>
          <w:b w:val="0"/>
          <w:bCs w:val="0"/>
        </w:rPr>
        <w:t xml:space="preserve"> your learning, the pupils responded fondly. Pupil A said, 'It gives me an idea of what I'm doing.' and pupil C agreed, saying, 'Yeah, yeah'. This suggests how the pupils were familiar with the purpose of success criteria as a strategy for assessment for learning. Mcmillan and Hearn (2008) studied children's </w:t>
      </w:r>
      <w:r w:rsidR="698BC07C">
        <w:rPr>
          <w:b w:val="0"/>
          <w:bCs w:val="0"/>
        </w:rPr>
        <w:t>perceptions</w:t>
      </w:r>
      <w:r w:rsidR="698BC07C">
        <w:rPr>
          <w:b w:val="0"/>
          <w:bCs w:val="0"/>
        </w:rPr>
        <w:t xml:space="preserve"> of success and their relation to academic achievement. The study found that pupils' </w:t>
      </w:r>
      <w:r w:rsidR="698BC07C">
        <w:rPr>
          <w:b w:val="0"/>
          <w:bCs w:val="0"/>
        </w:rPr>
        <w:t>perceptions</w:t>
      </w:r>
      <w:r w:rsidR="698BC07C">
        <w:rPr>
          <w:b w:val="0"/>
          <w:bCs w:val="0"/>
        </w:rPr>
        <w:t xml:space="preserve"> of success altered, which </w:t>
      </w:r>
      <w:r w:rsidR="698BC07C">
        <w:rPr>
          <w:b w:val="0"/>
          <w:bCs w:val="0"/>
        </w:rPr>
        <w:t>impacted</w:t>
      </w:r>
      <w:r w:rsidR="698BC07C">
        <w:rPr>
          <w:b w:val="0"/>
          <w:bCs w:val="0"/>
        </w:rPr>
        <w:t xml:space="preserve"> their motivation and academic performance. The study emphasised the need to align success criteria with students' individual interpretations of success to improve engagement and academic outcomes. </w:t>
      </w:r>
    </w:p>
    <w:p w:rsidR="698BC07C" w:rsidP="1EFE63D5" w:rsidRDefault="698BC07C" w14:paraId="011E8010" w14:textId="2C2DC3D2">
      <w:pPr>
        <w:pStyle w:val="Normal"/>
        <w:spacing w:line="360" w:lineRule="auto"/>
        <w:rPr>
          <w:b w:val="0"/>
          <w:bCs w:val="0"/>
        </w:rPr>
      </w:pPr>
      <w:r w:rsidR="698BC07C">
        <w:rPr>
          <w:b w:val="0"/>
          <w:bCs w:val="0"/>
        </w:rPr>
        <w:t xml:space="preserve">Both research tools gathered similar data </w:t>
      </w:r>
      <w:r w:rsidR="698BC07C">
        <w:rPr>
          <w:b w:val="0"/>
          <w:bCs w:val="0"/>
        </w:rPr>
        <w:t>in regards to</w:t>
      </w:r>
      <w:r w:rsidR="698BC07C">
        <w:rPr>
          <w:b w:val="0"/>
          <w:bCs w:val="0"/>
        </w:rPr>
        <w:t xml:space="preserve"> the children's understanding of what learning intentions and success criteria are and found they had beneficial elements towards understanding their progress of learning. Upon reflection, the use of questionnaires was beneficial in collecting quantitative and provided the best outcome for generalisation and sampling. Generalisation is considered a vital element when conducting research studies as it allows the data to be reflected upon the more significant population (Beck, Polit, 2010). Through both research methods, the data suggests children acknowledge success criteria and learning intentions; however, they </w:t>
      </w:r>
      <w:r w:rsidR="698BC07C">
        <w:rPr>
          <w:b w:val="0"/>
          <w:bCs w:val="0"/>
        </w:rPr>
        <w:t>fail to</w:t>
      </w:r>
      <w:r w:rsidR="698BC07C">
        <w:rPr>
          <w:b w:val="0"/>
          <w:bCs w:val="0"/>
        </w:rPr>
        <w:t xml:space="preserve"> engage in a deeper context to progress further their understanding and clarity, which limits their opportunities to progress in the learning experience fully. As reviewed by Wiliam (2011) he </w:t>
      </w:r>
      <w:r w:rsidR="698BC07C">
        <w:rPr>
          <w:b w:val="0"/>
          <w:bCs w:val="0"/>
        </w:rPr>
        <w:t>stated</w:t>
      </w:r>
      <w:r w:rsidR="698BC07C">
        <w:rPr>
          <w:b w:val="0"/>
          <w:bCs w:val="0"/>
        </w:rPr>
        <w:t xml:space="preserve"> the importance of embedding success criteria and learning intentions to encourage pupil progress to self-assess their own work, which will provide opportunities to delve deeper into the purpose of learning intentions and success criteria and how to use them to their full potential. </w:t>
      </w:r>
    </w:p>
    <w:p w:rsidR="698BC07C" w:rsidP="1EFE63D5" w:rsidRDefault="698BC07C" w14:paraId="334E32E2" w14:textId="76729505">
      <w:pPr>
        <w:pStyle w:val="Normal"/>
        <w:spacing w:line="360" w:lineRule="auto"/>
        <w:rPr>
          <w:b w:val="0"/>
          <w:bCs w:val="0"/>
        </w:rPr>
      </w:pPr>
      <w:r w:rsidR="698BC07C">
        <w:rPr>
          <w:b w:val="0"/>
          <w:bCs w:val="0"/>
        </w:rPr>
        <w:t xml:space="preserve"> </w:t>
      </w:r>
    </w:p>
    <w:p w:rsidR="1EFE63D5" w:rsidP="1EFE63D5" w:rsidRDefault="1EFE63D5" w14:paraId="0BD48277" w14:textId="6DB187BB">
      <w:pPr>
        <w:pStyle w:val="Normal"/>
        <w:spacing w:line="360" w:lineRule="auto"/>
        <w:rPr>
          <w:b w:val="0"/>
          <w:bCs w:val="0"/>
        </w:rPr>
      </w:pPr>
    </w:p>
    <w:p w:rsidR="698BC07C" w:rsidP="1EFE63D5" w:rsidRDefault="698BC07C" w14:paraId="7C5D9B05" w14:textId="7290E8AD">
      <w:pPr>
        <w:pStyle w:val="Normal"/>
        <w:spacing w:line="360" w:lineRule="auto"/>
        <w:rPr>
          <w:b w:val="1"/>
          <w:bCs w:val="1"/>
          <w:u w:val="single"/>
        </w:rPr>
      </w:pPr>
      <w:r w:rsidRPr="1EFE63D5" w:rsidR="698BC07C">
        <w:rPr>
          <w:b w:val="1"/>
          <w:bCs w:val="1"/>
          <w:u w:val="single"/>
        </w:rPr>
        <w:t xml:space="preserve">Conclusion </w:t>
      </w:r>
    </w:p>
    <w:p w:rsidR="698BC07C" w:rsidP="1EFE63D5" w:rsidRDefault="698BC07C" w14:paraId="5B7FF263" w14:textId="3B62EB84">
      <w:pPr>
        <w:pStyle w:val="Normal"/>
        <w:spacing w:line="360" w:lineRule="auto"/>
        <w:rPr>
          <w:b w:val="0"/>
          <w:bCs w:val="0"/>
        </w:rPr>
      </w:pPr>
      <w:r w:rsidR="698BC07C">
        <w:rPr>
          <w:b w:val="0"/>
          <w:bCs w:val="0"/>
        </w:rPr>
        <w:t xml:space="preserve">In conclusion, this research study's aim was to answer the research question, 'How do year 6 children perceive the role of success criteria and learning intentions in understanding and tracking their progress?' The data collected shows that children perceive success criteria and learning intentions as a slightly beneficial element to understanding and tracking their academic progress. The participants of the questionnaire and the interviews displayed how they found success criteria and learning intentions applicable but did not engage with them for them to become purposeful in their assessment. Hattie (2015) agrees that </w:t>
      </w:r>
      <w:r w:rsidR="698BC07C">
        <w:rPr>
          <w:b w:val="0"/>
          <w:bCs w:val="0"/>
        </w:rPr>
        <w:t>in order for</w:t>
      </w:r>
      <w:r w:rsidR="698BC07C">
        <w:rPr>
          <w:b w:val="0"/>
          <w:bCs w:val="0"/>
        </w:rPr>
        <w:t xml:space="preserve"> success criteria and learning intentions to be used purposefully, the children must have a clear understanding of what they are and how this will </w:t>
      </w:r>
      <w:r w:rsidR="698BC07C">
        <w:rPr>
          <w:b w:val="0"/>
          <w:bCs w:val="0"/>
        </w:rPr>
        <w:t>impact</w:t>
      </w:r>
      <w:r w:rsidR="698BC07C">
        <w:rPr>
          <w:b w:val="0"/>
          <w:bCs w:val="0"/>
        </w:rPr>
        <w:t xml:space="preserve"> their work. Snow (2021) elaborates that without the discussion of these learning intentions and success criteria with a 'More Knowledgeable Other (MKO)' (Gauvain, 2020), the children will not fully understand. Snow states that children should not just be given the tools; a teacher must engage with active participation in the AFL strategies for deep understanding and excellent academic performance. Throughout this study, professional development has been developed; the use of success criteria and learning intentions can be beneficial when used as a strategy for assessment; however, they must be used purposefully and engaged with </w:t>
      </w:r>
      <w:r w:rsidR="698BC07C">
        <w:rPr>
          <w:b w:val="0"/>
          <w:bCs w:val="0"/>
        </w:rPr>
        <w:t>in order to</w:t>
      </w:r>
      <w:r w:rsidR="698BC07C">
        <w:rPr>
          <w:b w:val="0"/>
          <w:bCs w:val="0"/>
        </w:rPr>
        <w:t xml:space="preserve"> provide academic performance (</w:t>
      </w:r>
      <w:r w:rsidR="698BC07C">
        <w:rPr>
          <w:b w:val="0"/>
          <w:bCs w:val="0"/>
        </w:rPr>
        <w:t>Grafwallner</w:t>
      </w:r>
      <w:r w:rsidR="698BC07C">
        <w:rPr>
          <w:b w:val="0"/>
          <w:bCs w:val="0"/>
        </w:rPr>
        <w:t xml:space="preserve">, 2020). This will be </w:t>
      </w:r>
      <w:r w:rsidR="698BC07C">
        <w:rPr>
          <w:b w:val="0"/>
          <w:bCs w:val="0"/>
        </w:rPr>
        <w:t>forwarded</w:t>
      </w:r>
      <w:r w:rsidR="698BC07C">
        <w:rPr>
          <w:b w:val="0"/>
          <w:bCs w:val="0"/>
        </w:rPr>
        <w:t xml:space="preserve"> on to PTE3 when designing </w:t>
      </w:r>
      <w:r w:rsidR="698BC07C">
        <w:rPr>
          <w:b w:val="0"/>
          <w:bCs w:val="0"/>
        </w:rPr>
        <w:t>optimal</w:t>
      </w:r>
      <w:r w:rsidR="698BC07C">
        <w:rPr>
          <w:b w:val="0"/>
          <w:bCs w:val="0"/>
        </w:rPr>
        <w:t xml:space="preserve"> experiences for future lessons.</w:t>
      </w:r>
    </w:p>
    <w:p w:rsidR="1EFE63D5" w:rsidP="1EFE63D5" w:rsidRDefault="1EFE63D5" w14:paraId="35933665" w14:textId="49845733">
      <w:pPr>
        <w:pStyle w:val="Normal"/>
        <w:spacing w:line="360" w:lineRule="auto"/>
        <w:rPr>
          <w:b w:val="0"/>
          <w:bCs w:val="0"/>
        </w:rPr>
      </w:pPr>
    </w:p>
    <w:p w:rsidR="1EFE63D5" w:rsidP="1EFE63D5" w:rsidRDefault="1EFE63D5" w14:paraId="0B2ED213" w14:textId="486B82CB">
      <w:pPr>
        <w:pStyle w:val="Normal"/>
        <w:spacing w:line="360" w:lineRule="auto"/>
        <w:rPr>
          <w:b w:val="0"/>
          <w:bCs w:val="0"/>
        </w:rPr>
      </w:pPr>
    </w:p>
    <w:p w:rsidR="1EFE63D5" w:rsidP="1EFE63D5" w:rsidRDefault="1EFE63D5" w14:paraId="3F36D708" w14:textId="11AF33FF">
      <w:pPr>
        <w:pStyle w:val="Normal"/>
        <w:spacing w:line="360" w:lineRule="auto"/>
        <w:rPr>
          <w:b w:val="0"/>
          <w:bCs w:val="0"/>
        </w:rPr>
      </w:pPr>
    </w:p>
    <w:p w:rsidR="1EFE63D5" w:rsidP="1EFE63D5" w:rsidRDefault="1EFE63D5" w14:paraId="0EABE2AF" w14:textId="08B9AD14">
      <w:pPr>
        <w:pStyle w:val="Normal"/>
        <w:spacing w:line="360" w:lineRule="auto"/>
        <w:rPr>
          <w:b w:val="0"/>
          <w:bCs w:val="0"/>
        </w:rPr>
      </w:pPr>
    </w:p>
    <w:p w:rsidR="1EFE63D5" w:rsidP="1EFE63D5" w:rsidRDefault="1EFE63D5" w14:paraId="65391EAB" w14:textId="32B0B312">
      <w:pPr>
        <w:pStyle w:val="Normal"/>
        <w:spacing w:line="360" w:lineRule="auto"/>
        <w:rPr>
          <w:b w:val="0"/>
          <w:bCs w:val="0"/>
        </w:rPr>
      </w:pPr>
    </w:p>
    <w:p w:rsidR="1EFE63D5" w:rsidP="1EFE63D5" w:rsidRDefault="1EFE63D5" w14:paraId="44667A19" w14:textId="71BA051C">
      <w:pPr>
        <w:pStyle w:val="Normal"/>
        <w:spacing w:line="360" w:lineRule="auto"/>
        <w:rPr>
          <w:b w:val="0"/>
          <w:bCs w:val="0"/>
        </w:rPr>
      </w:pPr>
    </w:p>
    <w:p w:rsidR="1EFE63D5" w:rsidP="1EFE63D5" w:rsidRDefault="1EFE63D5" w14:paraId="467ACF32" w14:textId="16B08AA4">
      <w:pPr>
        <w:pStyle w:val="Normal"/>
        <w:spacing w:line="360" w:lineRule="auto"/>
        <w:rPr>
          <w:b w:val="0"/>
          <w:bCs w:val="0"/>
        </w:rPr>
      </w:pPr>
    </w:p>
    <w:p w:rsidR="1EFE63D5" w:rsidP="1EFE63D5" w:rsidRDefault="1EFE63D5" w14:paraId="2E0A838E" w14:textId="11C54D79">
      <w:pPr>
        <w:pStyle w:val="Normal"/>
        <w:spacing w:line="360" w:lineRule="auto"/>
        <w:rPr>
          <w:b w:val="0"/>
          <w:bCs w:val="0"/>
        </w:rPr>
      </w:pPr>
    </w:p>
    <w:p w:rsidR="1EFE63D5" w:rsidP="1EFE63D5" w:rsidRDefault="1EFE63D5" w14:paraId="04E1D410" w14:textId="706EE9B6">
      <w:pPr>
        <w:pStyle w:val="Normal"/>
        <w:spacing w:line="360" w:lineRule="auto"/>
        <w:rPr>
          <w:b w:val="0"/>
          <w:bCs w:val="0"/>
        </w:rPr>
      </w:pPr>
    </w:p>
    <w:p w:rsidR="76E74A0F" w:rsidP="1EFE63D5" w:rsidRDefault="76E74A0F" w14:paraId="47219D31" w14:textId="5E6D20D0">
      <w:pPr>
        <w:pStyle w:val="Normal"/>
        <w:spacing w:line="360" w:lineRule="auto"/>
        <w:rPr>
          <w:b w:val="1"/>
          <w:bCs w:val="1"/>
          <w:sz w:val="40"/>
          <w:szCs w:val="40"/>
          <w:u w:val="single"/>
        </w:rPr>
      </w:pPr>
      <w:r w:rsidRPr="1EFE63D5" w:rsidR="76E74A0F">
        <w:rPr>
          <w:b w:val="1"/>
          <w:bCs w:val="1"/>
          <w:sz w:val="40"/>
          <w:szCs w:val="40"/>
          <w:u w:val="single"/>
        </w:rPr>
        <w:t>Reference list</w:t>
      </w:r>
    </w:p>
    <w:p w:rsidR="52E0C7C1" w:rsidP="1EFE63D5" w:rsidRDefault="52E0C7C1" w14:paraId="703023B3" w14:textId="3073F937">
      <w:pPr>
        <w:spacing w:before="240" w:beforeAutospacing="off" w:after="240" w:afterAutospacing="off"/>
      </w:pPr>
      <w:r w:rsidRPr="1EFE63D5" w:rsidR="52E0C7C1">
        <w:rPr>
          <w:rFonts w:ascii="Aptos" w:hAnsi="Aptos" w:eastAsia="Aptos" w:cs="Aptos"/>
          <w:noProof w:val="0"/>
          <w:sz w:val="24"/>
          <w:szCs w:val="24"/>
          <w:lang w:val="en-GB"/>
        </w:rPr>
        <w:t xml:space="preserve">Bhandari, P. (2022) Questionnaire Design | Methods, Question Types &amp; Examples. Available at: </w:t>
      </w:r>
      <w:hyperlink r:id="R3ad5303d5ea44024">
        <w:r w:rsidRPr="1EFE63D5" w:rsidR="52E0C7C1">
          <w:rPr>
            <w:rStyle w:val="Hyperlink"/>
            <w:rFonts w:ascii="Aptos" w:hAnsi="Aptos" w:eastAsia="Aptos" w:cs="Aptos"/>
            <w:noProof w:val="0"/>
            <w:sz w:val="24"/>
            <w:szCs w:val="24"/>
            <w:lang w:val="en-GB"/>
          </w:rPr>
          <w:t>https://www.scribbr.co.uk/research-methods/questionnaire-design/</w:t>
        </w:r>
      </w:hyperlink>
      <w:r w:rsidRPr="1EFE63D5" w:rsidR="52E0C7C1">
        <w:rPr>
          <w:rFonts w:ascii="Aptos" w:hAnsi="Aptos" w:eastAsia="Aptos" w:cs="Aptos"/>
          <w:noProof w:val="0"/>
          <w:sz w:val="24"/>
          <w:szCs w:val="24"/>
          <w:lang w:val="en-GB"/>
        </w:rPr>
        <w:t xml:space="preserve"> (Accessed: 31 March 2025)</w:t>
      </w:r>
    </w:p>
    <w:p w:rsidR="52E0C7C1" w:rsidP="1EFE63D5" w:rsidRDefault="52E0C7C1" w14:paraId="279E622C" w14:textId="6CC14A96">
      <w:pPr>
        <w:spacing w:before="240" w:beforeAutospacing="off" w:after="240" w:afterAutospacing="off"/>
      </w:pPr>
      <w:r w:rsidRPr="1EFE63D5" w:rsidR="52E0C7C1">
        <w:rPr>
          <w:rFonts w:ascii="Aptos" w:hAnsi="Aptos" w:eastAsia="Aptos" w:cs="Aptos"/>
          <w:noProof w:val="0"/>
          <w:sz w:val="24"/>
          <w:szCs w:val="24"/>
          <w:lang w:val="en-GB"/>
        </w:rPr>
        <w:t xml:space="preserve">Boswell, A. (2025) Semi-structured interviews. Available at: </w:t>
      </w:r>
      <w:hyperlink w:anchor="advantages-and-disadvantages-of-semi-structured-interviews" r:id="Rac2d5026e33b4ecb">
        <w:r w:rsidRPr="1EFE63D5" w:rsidR="52E0C7C1">
          <w:rPr>
            <w:rStyle w:val="Hyperlink"/>
            <w:rFonts w:ascii="Aptos" w:hAnsi="Aptos" w:eastAsia="Aptos" w:cs="Aptos"/>
            <w:noProof w:val="0"/>
            <w:sz w:val="24"/>
            <w:szCs w:val="24"/>
            <w:lang w:val="en-GB"/>
          </w:rPr>
          <w:t>https://www.lyssna.com/blog/semi-structured-interviews/#advantages-and-disadvantages-of-semi-structured-interviews</w:t>
        </w:r>
      </w:hyperlink>
      <w:r w:rsidRPr="1EFE63D5" w:rsidR="52E0C7C1">
        <w:rPr>
          <w:rFonts w:ascii="Aptos" w:hAnsi="Aptos" w:eastAsia="Aptos" w:cs="Aptos"/>
          <w:noProof w:val="0"/>
          <w:sz w:val="24"/>
          <w:szCs w:val="24"/>
          <w:lang w:val="en-GB"/>
        </w:rPr>
        <w:t xml:space="preserve"> (Accessed: 31 March 2025)</w:t>
      </w:r>
    </w:p>
    <w:p w:rsidR="52E0C7C1" w:rsidP="1EFE63D5" w:rsidRDefault="52E0C7C1" w14:paraId="568843DB" w14:textId="6C06F685">
      <w:pPr>
        <w:spacing w:before="240" w:beforeAutospacing="off" w:after="240" w:afterAutospacing="off"/>
      </w:pPr>
      <w:r w:rsidRPr="1EFE63D5" w:rsidR="52E0C7C1">
        <w:rPr>
          <w:rFonts w:ascii="Aptos" w:hAnsi="Aptos" w:eastAsia="Aptos" w:cs="Aptos"/>
          <w:noProof w:val="0"/>
          <w:sz w:val="24"/>
          <w:szCs w:val="24"/>
          <w:lang w:val="en-GB"/>
        </w:rPr>
        <w:t xml:space="preserve">British Educational Research Association [BERA]. (2024). Ethical Guidelines for Educational Research (5th ed.). </w:t>
      </w:r>
      <w:hyperlink r:id="R2afe15d1b54b4174">
        <w:r w:rsidRPr="1EFE63D5" w:rsidR="52E0C7C1">
          <w:rPr>
            <w:rStyle w:val="Hyperlink"/>
            <w:rFonts w:ascii="Aptos" w:hAnsi="Aptos" w:eastAsia="Aptos" w:cs="Aptos"/>
            <w:noProof w:val="0"/>
            <w:sz w:val="24"/>
            <w:szCs w:val="24"/>
            <w:lang w:val="en-GB"/>
          </w:rPr>
          <w:t>www.bera.ac.uk/publication/ethicalguidelines-for-educational-research-2024</w:t>
        </w:r>
      </w:hyperlink>
      <w:r w:rsidRPr="1EFE63D5" w:rsidR="52E0C7C1">
        <w:rPr>
          <w:rFonts w:ascii="Aptos" w:hAnsi="Aptos" w:eastAsia="Aptos" w:cs="Aptos"/>
          <w:noProof w:val="0"/>
          <w:sz w:val="24"/>
          <w:szCs w:val="24"/>
          <w:lang w:val="en-GB"/>
        </w:rPr>
        <w:t xml:space="preserve"> (Accessed: 31 March 2025)</w:t>
      </w:r>
    </w:p>
    <w:p w:rsidR="52E0C7C1" w:rsidP="1EFE63D5" w:rsidRDefault="52E0C7C1" w14:paraId="238CE1AA" w14:textId="1959E3F0">
      <w:pPr>
        <w:spacing w:before="240" w:beforeAutospacing="off" w:after="240" w:afterAutospacing="off"/>
      </w:pPr>
      <w:r w:rsidRPr="1EFE63D5" w:rsidR="52E0C7C1">
        <w:rPr>
          <w:rFonts w:ascii="Aptos" w:hAnsi="Aptos" w:eastAsia="Aptos" w:cs="Aptos"/>
          <w:noProof w:val="0"/>
          <w:sz w:val="24"/>
          <w:szCs w:val="24"/>
          <w:lang w:val="en-GB"/>
        </w:rPr>
        <w:t xml:space="preserve">Estyn (2024) Using effective assessment strategies to improve pupils’ engagement, outcomes, and understanding of how they learn. Available at: </w:t>
      </w:r>
      <w:hyperlink r:id="Rc3f41fe9673d4220">
        <w:r w:rsidRPr="1EFE63D5" w:rsidR="52E0C7C1">
          <w:rPr>
            <w:rStyle w:val="Hyperlink"/>
            <w:rFonts w:ascii="Aptos" w:hAnsi="Aptos" w:eastAsia="Aptos" w:cs="Aptos"/>
            <w:noProof w:val="0"/>
            <w:sz w:val="24"/>
            <w:szCs w:val="24"/>
            <w:lang w:val="en-GB"/>
          </w:rPr>
          <w:t>https://estyn.gov.wales/improvement-resources/using-effective-assessment-strategies-to-improve-pupils-engagement-outcomes-and-understanding-of-how-they-learn/</w:t>
        </w:r>
      </w:hyperlink>
      <w:r w:rsidRPr="1EFE63D5" w:rsidR="52E0C7C1">
        <w:rPr>
          <w:rFonts w:ascii="Aptos" w:hAnsi="Aptos" w:eastAsia="Aptos" w:cs="Aptos"/>
          <w:noProof w:val="0"/>
          <w:sz w:val="24"/>
          <w:szCs w:val="24"/>
          <w:lang w:val="en-GB"/>
        </w:rPr>
        <w:t xml:space="preserve"> (Accessed: 31 March 2025)</w:t>
      </w:r>
    </w:p>
    <w:p w:rsidR="52E0C7C1" w:rsidP="1EFE63D5" w:rsidRDefault="52E0C7C1" w14:paraId="1AC13EA9" w14:textId="630C4C04">
      <w:pPr>
        <w:spacing w:before="240" w:beforeAutospacing="off" w:after="240" w:afterAutospacing="off"/>
      </w:pPr>
      <w:r w:rsidRPr="1EFE63D5" w:rsidR="52E0C7C1">
        <w:rPr>
          <w:rFonts w:ascii="Aptos" w:hAnsi="Aptos" w:eastAsia="Aptos" w:cs="Aptos"/>
          <w:noProof w:val="0"/>
          <w:sz w:val="24"/>
          <w:szCs w:val="24"/>
          <w:lang w:val="en-GB"/>
        </w:rPr>
        <w:t xml:space="preserve">George, A. (2022) Types of Interviews in Research | Guide &amp; Examples. Available at: </w:t>
      </w:r>
      <w:hyperlink r:id="Rd1cfb4561c7e458c">
        <w:r w:rsidRPr="1EFE63D5" w:rsidR="52E0C7C1">
          <w:rPr>
            <w:rStyle w:val="Hyperlink"/>
            <w:rFonts w:ascii="Aptos" w:hAnsi="Aptos" w:eastAsia="Aptos" w:cs="Aptos"/>
            <w:noProof w:val="0"/>
            <w:sz w:val="24"/>
            <w:szCs w:val="24"/>
            <w:lang w:val="en-GB"/>
          </w:rPr>
          <w:t>https://www.scribbr.co.uk/research-methods/types-of-interviews/</w:t>
        </w:r>
      </w:hyperlink>
      <w:r w:rsidRPr="1EFE63D5" w:rsidR="52E0C7C1">
        <w:rPr>
          <w:rFonts w:ascii="Aptos" w:hAnsi="Aptos" w:eastAsia="Aptos" w:cs="Aptos"/>
          <w:noProof w:val="0"/>
          <w:sz w:val="24"/>
          <w:szCs w:val="24"/>
          <w:lang w:val="en-GB"/>
        </w:rPr>
        <w:t xml:space="preserve"> (Accessed: 31 March 2025)</w:t>
      </w:r>
    </w:p>
    <w:p w:rsidR="52E0C7C1" w:rsidP="1EFE63D5" w:rsidRDefault="52E0C7C1" w14:paraId="01D29ED4" w14:textId="5CB3DC8D">
      <w:pPr>
        <w:spacing w:before="240" w:beforeAutospacing="off" w:after="240" w:afterAutospacing="off"/>
      </w:pPr>
      <w:r w:rsidRPr="1EFE63D5" w:rsidR="52E0C7C1">
        <w:rPr>
          <w:rFonts w:ascii="Aptos" w:hAnsi="Aptos" w:eastAsia="Aptos" w:cs="Aptos"/>
          <w:noProof w:val="0"/>
          <w:sz w:val="24"/>
          <w:szCs w:val="24"/>
          <w:lang w:val="en-GB"/>
        </w:rPr>
        <w:t>Gauvain, M. (2020) Vygotsky's Sociocultural Theory, in Tremblay, R. E., Boivin, M. and Peters, R. D. (eds.) Encyclopaedia of Infant and Early Childhood Development (Second Edition). Amsterdam: Elsevier, pp. 446-454. doi: 10.1016/B978-0-12-809324-5.23569-4.</w:t>
      </w:r>
    </w:p>
    <w:p w:rsidR="52E0C7C1" w:rsidP="1EFE63D5" w:rsidRDefault="52E0C7C1" w14:paraId="1858A97E" w14:textId="13C04521">
      <w:pPr>
        <w:spacing w:before="240" w:beforeAutospacing="off" w:after="240" w:afterAutospacing="off"/>
      </w:pPr>
      <w:r w:rsidRPr="1EFE63D5" w:rsidR="52E0C7C1">
        <w:rPr>
          <w:rFonts w:ascii="Aptos" w:hAnsi="Aptos" w:eastAsia="Aptos" w:cs="Aptos"/>
          <w:noProof w:val="0"/>
          <w:sz w:val="24"/>
          <w:szCs w:val="24"/>
          <w:lang w:val="en-GB"/>
        </w:rPr>
        <w:t xml:space="preserve">Grafwallner, S. (2019) Learning Intentions and Success Criteria: A Framework for Lesson Planning. Available at: </w:t>
      </w:r>
      <w:hyperlink r:id="R528be72c43b94f87">
        <w:r w:rsidRPr="1EFE63D5" w:rsidR="52E0C7C1">
          <w:rPr>
            <w:rStyle w:val="Hyperlink"/>
            <w:rFonts w:ascii="Aptos" w:hAnsi="Aptos" w:eastAsia="Aptos" w:cs="Aptos"/>
            <w:noProof w:val="0"/>
            <w:sz w:val="24"/>
            <w:szCs w:val="24"/>
            <w:lang w:val="en-GB"/>
          </w:rPr>
          <w:t>https://www.edutopia.org/article/framework-lesson-planning</w:t>
        </w:r>
      </w:hyperlink>
      <w:r w:rsidRPr="1EFE63D5" w:rsidR="52E0C7C1">
        <w:rPr>
          <w:rFonts w:ascii="Aptos" w:hAnsi="Aptos" w:eastAsia="Aptos" w:cs="Aptos"/>
          <w:noProof w:val="0"/>
          <w:sz w:val="24"/>
          <w:szCs w:val="24"/>
          <w:lang w:val="en-GB"/>
        </w:rPr>
        <w:t>? (Accessed: 31 March 2025)</w:t>
      </w:r>
    </w:p>
    <w:p w:rsidR="52E0C7C1" w:rsidP="1EFE63D5" w:rsidRDefault="52E0C7C1" w14:paraId="0F31BA29" w14:textId="38B52772">
      <w:pPr>
        <w:spacing w:before="240" w:beforeAutospacing="off" w:after="240" w:afterAutospacing="off"/>
      </w:pPr>
      <w:r w:rsidRPr="1EFE63D5" w:rsidR="52E0C7C1">
        <w:rPr>
          <w:rFonts w:ascii="Aptos" w:hAnsi="Aptos" w:eastAsia="Aptos" w:cs="Aptos"/>
          <w:noProof w:val="0"/>
          <w:sz w:val="24"/>
          <w:szCs w:val="24"/>
          <w:lang w:val="en-GB"/>
        </w:rPr>
        <w:t xml:space="preserve">Hattie, J. (2015) John Hattie Learning Intentions and Success Criteria. February 15. Available at: </w:t>
      </w:r>
      <w:hyperlink r:id="R006c05a6db984b63">
        <w:r w:rsidRPr="1EFE63D5" w:rsidR="52E0C7C1">
          <w:rPr>
            <w:rStyle w:val="Hyperlink"/>
            <w:rFonts w:ascii="Aptos" w:hAnsi="Aptos" w:eastAsia="Aptos" w:cs="Aptos"/>
            <w:noProof w:val="0"/>
            <w:sz w:val="24"/>
            <w:szCs w:val="24"/>
            <w:lang w:val="en-GB"/>
          </w:rPr>
          <w:t>https://www.youtube.com/watch?v=OGyvDvOegXE</w:t>
        </w:r>
      </w:hyperlink>
      <w:r w:rsidRPr="1EFE63D5" w:rsidR="52E0C7C1">
        <w:rPr>
          <w:rFonts w:ascii="Aptos" w:hAnsi="Aptos" w:eastAsia="Aptos" w:cs="Aptos"/>
          <w:noProof w:val="0"/>
          <w:sz w:val="24"/>
          <w:szCs w:val="24"/>
          <w:lang w:val="en-GB"/>
        </w:rPr>
        <w:t xml:space="preserve"> (Accessed: 30 March 2025)</w:t>
      </w:r>
    </w:p>
    <w:p w:rsidR="52E0C7C1" w:rsidP="1EFE63D5" w:rsidRDefault="52E0C7C1" w14:paraId="1E162DEA" w14:textId="1B9C679B">
      <w:pPr>
        <w:spacing w:before="240" w:beforeAutospacing="off" w:after="240" w:afterAutospacing="off"/>
      </w:pPr>
      <w:r w:rsidRPr="1EFE63D5" w:rsidR="52E0C7C1">
        <w:rPr>
          <w:rFonts w:ascii="Aptos" w:hAnsi="Aptos" w:eastAsia="Aptos" w:cs="Aptos"/>
          <w:noProof w:val="0"/>
          <w:sz w:val="24"/>
          <w:szCs w:val="24"/>
          <w:lang w:val="en-GB"/>
        </w:rPr>
        <w:t xml:space="preserve">Hilary, R. (2024) Advantages and Disadvantages of Using Qualitative Research Methodology. Available at: </w:t>
      </w:r>
      <w:hyperlink r:id="R137d391af7804749">
        <w:r w:rsidRPr="1EFE63D5" w:rsidR="52E0C7C1">
          <w:rPr>
            <w:rStyle w:val="Hyperlink"/>
            <w:rFonts w:ascii="Aptos" w:hAnsi="Aptos" w:eastAsia="Aptos" w:cs="Aptos"/>
            <w:noProof w:val="0"/>
            <w:sz w:val="24"/>
            <w:szCs w:val="24"/>
            <w:lang w:val="en-GB"/>
          </w:rPr>
          <w:t>https://techbullion.com/advantages-and-disadvantages-of-using-qualitative-research-methodology/</w:t>
        </w:r>
      </w:hyperlink>
      <w:r w:rsidRPr="1EFE63D5" w:rsidR="52E0C7C1">
        <w:rPr>
          <w:rFonts w:ascii="Aptos" w:hAnsi="Aptos" w:eastAsia="Aptos" w:cs="Aptos"/>
          <w:noProof w:val="0"/>
          <w:sz w:val="24"/>
          <w:szCs w:val="24"/>
          <w:lang w:val="en-GB"/>
        </w:rPr>
        <w:t xml:space="preserve"> (Accessed: 31 March 2025)</w:t>
      </w:r>
    </w:p>
    <w:p w:rsidR="52E0C7C1" w:rsidP="1EFE63D5" w:rsidRDefault="52E0C7C1" w14:paraId="0666F0B1" w14:textId="09525B8C">
      <w:pPr>
        <w:spacing w:before="240" w:beforeAutospacing="off" w:after="240" w:afterAutospacing="off"/>
      </w:pPr>
      <w:r w:rsidRPr="1EFE63D5" w:rsidR="52E0C7C1">
        <w:rPr>
          <w:rFonts w:ascii="Aptos" w:hAnsi="Aptos" w:eastAsia="Aptos" w:cs="Aptos"/>
          <w:noProof w:val="0"/>
          <w:sz w:val="24"/>
          <w:szCs w:val="24"/>
          <w:lang w:val="en-GB"/>
        </w:rPr>
        <w:t xml:space="preserve">Jain, S. (2023) Advantages and Disadvantages of Questionnaires. Available at: </w:t>
      </w:r>
      <w:hyperlink r:id="R3838eed6e01547c2">
        <w:r w:rsidRPr="1EFE63D5" w:rsidR="52E0C7C1">
          <w:rPr>
            <w:rStyle w:val="Hyperlink"/>
            <w:rFonts w:ascii="Aptos" w:hAnsi="Aptos" w:eastAsia="Aptos" w:cs="Aptos"/>
            <w:noProof w:val="0"/>
            <w:sz w:val="24"/>
            <w:szCs w:val="24"/>
            <w:lang w:val="en-GB"/>
          </w:rPr>
          <w:t>https://www.educba.com/advantages-and-disadvantages-of-questionnaires/</w:t>
        </w:r>
      </w:hyperlink>
      <w:r w:rsidRPr="1EFE63D5" w:rsidR="52E0C7C1">
        <w:rPr>
          <w:rFonts w:ascii="Aptos" w:hAnsi="Aptos" w:eastAsia="Aptos" w:cs="Aptos"/>
          <w:noProof w:val="0"/>
          <w:sz w:val="24"/>
          <w:szCs w:val="24"/>
          <w:lang w:val="en-GB"/>
        </w:rPr>
        <w:t xml:space="preserve"> (Accessed: 31 March 2025)</w:t>
      </w:r>
    </w:p>
    <w:p w:rsidR="52E0C7C1" w:rsidP="1EFE63D5" w:rsidRDefault="52E0C7C1" w14:paraId="5D6822BA" w14:textId="026EBAF6">
      <w:pPr>
        <w:spacing w:before="240" w:beforeAutospacing="off" w:after="240" w:afterAutospacing="off"/>
      </w:pPr>
      <w:r w:rsidRPr="1EFE63D5" w:rsidR="52E0C7C1">
        <w:rPr>
          <w:rFonts w:ascii="Aptos" w:hAnsi="Aptos" w:eastAsia="Aptos" w:cs="Aptos"/>
          <w:noProof w:val="0"/>
          <w:sz w:val="24"/>
          <w:szCs w:val="24"/>
          <w:lang w:val="en-GB"/>
        </w:rPr>
        <w:t xml:space="preserve">Kakilla, C. (2021) Strengths and Weaknesses of Semi-Structured Interviews in Qualitative Research: A Critical Essay. Preprints. Available at: </w:t>
      </w:r>
      <w:hyperlink r:id="R408f558dab6c42f1">
        <w:r w:rsidRPr="1EFE63D5" w:rsidR="52E0C7C1">
          <w:rPr>
            <w:rStyle w:val="Hyperlink"/>
            <w:rFonts w:ascii="Aptos" w:hAnsi="Aptos" w:eastAsia="Aptos" w:cs="Aptos"/>
            <w:noProof w:val="0"/>
            <w:sz w:val="24"/>
            <w:szCs w:val="24"/>
            <w:lang w:val="en-GB"/>
          </w:rPr>
          <w:t>https://doi.org/10.20944/preprints202106.0491.v1</w:t>
        </w:r>
      </w:hyperlink>
      <w:r w:rsidRPr="1EFE63D5" w:rsidR="52E0C7C1">
        <w:rPr>
          <w:rFonts w:ascii="Aptos" w:hAnsi="Aptos" w:eastAsia="Aptos" w:cs="Aptos"/>
          <w:noProof w:val="0"/>
          <w:sz w:val="24"/>
          <w:szCs w:val="24"/>
          <w:lang w:val="en-GB"/>
        </w:rPr>
        <w:t xml:space="preserve"> (Accessed: 31 March 2025)</w:t>
      </w:r>
    </w:p>
    <w:p w:rsidR="52E0C7C1" w:rsidP="1EFE63D5" w:rsidRDefault="52E0C7C1" w14:paraId="13DE6597" w14:textId="0033304C">
      <w:pPr>
        <w:spacing w:before="240" w:beforeAutospacing="off" w:after="240" w:afterAutospacing="off"/>
      </w:pPr>
      <w:r w:rsidRPr="1EFE63D5" w:rsidR="52E0C7C1">
        <w:rPr>
          <w:rFonts w:ascii="Aptos" w:hAnsi="Aptos" w:eastAsia="Aptos" w:cs="Aptos"/>
          <w:noProof w:val="0"/>
          <w:sz w:val="24"/>
          <w:szCs w:val="24"/>
          <w:lang w:val="en-GB"/>
        </w:rPr>
        <w:t xml:space="preserve">Klapwijk, R. and van den Burg, N. (2020) 'Involving students in sharing and clarifying learning intentions related to 21st-century skills in primary design and technology education', Design and Technology Education: An International Journal, 25(3), pp. 8–34. ISSN: 1360-1431. Available at: </w:t>
      </w:r>
      <w:hyperlink r:id="R5f4bd20f567b48de">
        <w:r w:rsidRPr="1EFE63D5" w:rsidR="52E0C7C1">
          <w:rPr>
            <w:rStyle w:val="Hyperlink"/>
            <w:rFonts w:ascii="Aptos" w:hAnsi="Aptos" w:eastAsia="Aptos" w:cs="Aptos"/>
            <w:noProof w:val="0"/>
            <w:sz w:val="24"/>
            <w:szCs w:val="24"/>
            <w:lang w:val="en-GB"/>
          </w:rPr>
          <w:t>https://openjournals.ljmu.ac.uk/DesignTechnologyEducation/article/view/1291</w:t>
        </w:r>
      </w:hyperlink>
      <w:r w:rsidRPr="1EFE63D5" w:rsidR="52E0C7C1">
        <w:rPr>
          <w:rFonts w:ascii="Aptos" w:hAnsi="Aptos" w:eastAsia="Aptos" w:cs="Aptos"/>
          <w:noProof w:val="0"/>
          <w:sz w:val="24"/>
          <w:szCs w:val="24"/>
          <w:lang w:val="en-GB"/>
        </w:rPr>
        <w:t xml:space="preserve"> (Accessed: 3 April 2025)</w:t>
      </w:r>
    </w:p>
    <w:p w:rsidR="52E0C7C1" w:rsidP="1EFE63D5" w:rsidRDefault="52E0C7C1" w14:paraId="2924CBCD" w14:textId="6AEB2ED2">
      <w:pPr>
        <w:spacing w:before="240" w:beforeAutospacing="off" w:after="240" w:afterAutospacing="off"/>
      </w:pPr>
      <w:r w:rsidRPr="1EFE63D5" w:rsidR="52E0C7C1">
        <w:rPr>
          <w:rFonts w:ascii="Aptos" w:hAnsi="Aptos" w:eastAsia="Aptos" w:cs="Aptos"/>
          <w:noProof w:val="0"/>
          <w:sz w:val="24"/>
          <w:szCs w:val="24"/>
          <w:lang w:val="en-GB"/>
        </w:rPr>
        <w:t xml:space="preserve">Lindemann, S. (2023) 12 advantages and disadvantages of questionnaires. Available at: </w:t>
      </w:r>
      <w:hyperlink r:id="Rd003a42c13c54248">
        <w:r w:rsidRPr="1EFE63D5" w:rsidR="52E0C7C1">
          <w:rPr>
            <w:rStyle w:val="Hyperlink"/>
            <w:rFonts w:ascii="Aptos" w:hAnsi="Aptos" w:eastAsia="Aptos" w:cs="Aptos"/>
            <w:noProof w:val="0"/>
            <w:sz w:val="24"/>
            <w:szCs w:val="24"/>
            <w:lang w:val="en-GB"/>
          </w:rPr>
          <w:t>https://pointerpro.com/blog/questionnaire-pros-and-cons/</w:t>
        </w:r>
      </w:hyperlink>
      <w:r w:rsidRPr="1EFE63D5" w:rsidR="52E0C7C1">
        <w:rPr>
          <w:rFonts w:ascii="Aptos" w:hAnsi="Aptos" w:eastAsia="Aptos" w:cs="Aptos"/>
          <w:noProof w:val="0"/>
          <w:sz w:val="24"/>
          <w:szCs w:val="24"/>
          <w:lang w:val="en-GB"/>
        </w:rPr>
        <w:t xml:space="preserve"> (Accessed: 31 March 2025)</w:t>
      </w:r>
    </w:p>
    <w:p w:rsidR="52E0C7C1" w:rsidP="1EFE63D5" w:rsidRDefault="52E0C7C1" w14:paraId="357FBE20" w14:textId="1D238E3E">
      <w:pPr>
        <w:spacing w:before="240" w:beforeAutospacing="off" w:after="240" w:afterAutospacing="off"/>
      </w:pPr>
      <w:r w:rsidRPr="1EFE63D5" w:rsidR="52E0C7C1">
        <w:rPr>
          <w:rFonts w:ascii="Aptos" w:hAnsi="Aptos" w:eastAsia="Aptos" w:cs="Aptos"/>
          <w:noProof w:val="0"/>
          <w:sz w:val="24"/>
          <w:szCs w:val="24"/>
          <w:lang w:val="en-GB"/>
        </w:rPr>
        <w:t xml:space="preserve">MacDonald, A. (2013) Researching Ethics in Young Children. Available at: </w:t>
      </w:r>
      <w:hyperlink r:id="Rc5071f198b394847">
        <w:r w:rsidRPr="1EFE63D5" w:rsidR="52E0C7C1">
          <w:rPr>
            <w:rStyle w:val="Hyperlink"/>
            <w:rFonts w:ascii="Aptos" w:hAnsi="Aptos" w:eastAsia="Aptos" w:cs="Aptos"/>
            <w:noProof w:val="0"/>
            <w:sz w:val="24"/>
            <w:szCs w:val="24"/>
            <w:lang w:val="en-GB"/>
          </w:rPr>
          <w:t>https://www.wwwords.co.uk/CIEC</w:t>
        </w:r>
      </w:hyperlink>
      <w:r w:rsidRPr="1EFE63D5" w:rsidR="52E0C7C1">
        <w:rPr>
          <w:rFonts w:ascii="Aptos" w:hAnsi="Aptos" w:eastAsia="Aptos" w:cs="Aptos"/>
          <w:noProof w:val="0"/>
          <w:sz w:val="24"/>
          <w:szCs w:val="24"/>
          <w:lang w:val="en-GB"/>
        </w:rPr>
        <w:t xml:space="preserve"> (Accessed: 31 March 2025)</w:t>
      </w:r>
    </w:p>
    <w:p w:rsidR="52E0C7C1" w:rsidP="1EFE63D5" w:rsidRDefault="52E0C7C1" w14:paraId="6A1CA6E4" w14:textId="300B0FD3">
      <w:pPr>
        <w:spacing w:before="240" w:beforeAutospacing="off" w:after="240" w:afterAutospacing="off"/>
      </w:pPr>
      <w:r w:rsidRPr="1EFE63D5" w:rsidR="52E0C7C1">
        <w:rPr>
          <w:rFonts w:ascii="Aptos" w:hAnsi="Aptos" w:eastAsia="Aptos" w:cs="Aptos"/>
          <w:noProof w:val="0"/>
          <w:sz w:val="24"/>
          <w:szCs w:val="24"/>
          <w:lang w:val="en-GB"/>
        </w:rPr>
        <w:t xml:space="preserve">McDaid, A. and Crichton, H. (2016) 'Learning intentions and success criteria: learners' and teachers' views', The Curriculum Journal, 27(2). Available at: </w:t>
      </w:r>
      <w:hyperlink r:id="R622af64a46e1463d">
        <w:r w:rsidRPr="1EFE63D5" w:rsidR="52E0C7C1">
          <w:rPr>
            <w:rStyle w:val="Hyperlink"/>
            <w:rFonts w:ascii="Aptos" w:hAnsi="Aptos" w:eastAsia="Aptos" w:cs="Aptos"/>
            <w:noProof w:val="0"/>
            <w:sz w:val="24"/>
            <w:szCs w:val="24"/>
            <w:lang w:val="en-GB"/>
          </w:rPr>
          <w:t>https://doi.org/10.1080/09585176.2015.1103278</w:t>
        </w:r>
      </w:hyperlink>
      <w:r w:rsidRPr="1EFE63D5" w:rsidR="52E0C7C1">
        <w:rPr>
          <w:rFonts w:ascii="Aptos" w:hAnsi="Aptos" w:eastAsia="Aptos" w:cs="Aptos"/>
          <w:noProof w:val="0"/>
          <w:sz w:val="24"/>
          <w:szCs w:val="24"/>
          <w:lang w:val="en-GB"/>
        </w:rPr>
        <w:t xml:space="preserve"> (Accessed: 3 April 2025)</w:t>
      </w:r>
    </w:p>
    <w:p w:rsidR="52E0C7C1" w:rsidP="1EFE63D5" w:rsidRDefault="52E0C7C1" w14:paraId="786CBAC3" w14:textId="147776CD">
      <w:pPr>
        <w:spacing w:before="240" w:beforeAutospacing="off" w:after="240" w:afterAutospacing="off"/>
      </w:pPr>
      <w:r w:rsidRPr="1EFE63D5" w:rsidR="52E0C7C1">
        <w:rPr>
          <w:rFonts w:ascii="Aptos" w:hAnsi="Aptos" w:eastAsia="Aptos" w:cs="Aptos"/>
          <w:noProof w:val="0"/>
          <w:sz w:val="24"/>
          <w:szCs w:val="24"/>
          <w:lang w:val="en-GB"/>
        </w:rPr>
        <w:t xml:space="preserve">McMillan, J. H., &amp; Hearn, J. (2008). 'Student Self-Assessment: The Key to Stronger Student Motivation and Higher Achievement'. Educational Horizons, 87(1), 40–49. </w:t>
      </w:r>
      <w:hyperlink r:id="R4b0ff20374b54411">
        <w:r w:rsidRPr="1EFE63D5" w:rsidR="52E0C7C1">
          <w:rPr>
            <w:rStyle w:val="Hyperlink"/>
            <w:rFonts w:ascii="Aptos" w:hAnsi="Aptos" w:eastAsia="Aptos" w:cs="Aptos"/>
            <w:noProof w:val="0"/>
            <w:sz w:val="24"/>
            <w:szCs w:val="24"/>
            <w:lang w:val="en-GB"/>
          </w:rPr>
          <w:t>http://www.jstor.org/stable/42923742</w:t>
        </w:r>
      </w:hyperlink>
      <w:r w:rsidRPr="1EFE63D5" w:rsidR="52E0C7C1">
        <w:rPr>
          <w:rFonts w:ascii="Aptos" w:hAnsi="Aptos" w:eastAsia="Aptos" w:cs="Aptos"/>
          <w:noProof w:val="0"/>
          <w:sz w:val="24"/>
          <w:szCs w:val="24"/>
          <w:lang w:val="en-GB"/>
        </w:rPr>
        <w:t xml:space="preserve"> (Accessed: 3 April 2025)</w:t>
      </w:r>
    </w:p>
    <w:p w:rsidR="52E0C7C1" w:rsidP="1EFE63D5" w:rsidRDefault="52E0C7C1" w14:paraId="0B9C5EB5" w14:textId="025FE0DB">
      <w:pPr>
        <w:spacing w:before="240" w:beforeAutospacing="off" w:after="240" w:afterAutospacing="off"/>
      </w:pPr>
      <w:r w:rsidRPr="1EFE63D5" w:rsidR="52E0C7C1">
        <w:rPr>
          <w:rFonts w:ascii="Aptos" w:hAnsi="Aptos" w:eastAsia="Aptos" w:cs="Aptos"/>
          <w:noProof w:val="0"/>
          <w:sz w:val="24"/>
          <w:szCs w:val="24"/>
          <w:lang w:val="en-GB"/>
        </w:rPr>
        <w:t xml:space="preserve">Mcleod, S. (2025) Vygotsky's Sociocultural Theory. Available at: </w:t>
      </w:r>
      <w:hyperlink r:id="R974c42e2ebb742f2">
        <w:r w:rsidRPr="1EFE63D5" w:rsidR="52E0C7C1">
          <w:rPr>
            <w:rStyle w:val="Hyperlink"/>
            <w:rFonts w:ascii="Aptos" w:hAnsi="Aptos" w:eastAsia="Aptos" w:cs="Aptos"/>
            <w:noProof w:val="0"/>
            <w:sz w:val="24"/>
            <w:szCs w:val="24"/>
            <w:lang w:val="en-GB"/>
          </w:rPr>
          <w:t>https://www.simplypsychology.org/vygotsky.html</w:t>
        </w:r>
      </w:hyperlink>
      <w:r w:rsidRPr="1EFE63D5" w:rsidR="52E0C7C1">
        <w:rPr>
          <w:rFonts w:ascii="Aptos" w:hAnsi="Aptos" w:eastAsia="Aptos" w:cs="Aptos"/>
          <w:noProof w:val="0"/>
          <w:sz w:val="24"/>
          <w:szCs w:val="24"/>
          <w:lang w:val="en-GB"/>
        </w:rPr>
        <w:t xml:space="preserve"> (Accessed: 31 March 2025)</w:t>
      </w:r>
    </w:p>
    <w:p w:rsidR="52E0C7C1" w:rsidP="1EFE63D5" w:rsidRDefault="52E0C7C1" w14:paraId="5CFE2D1D" w14:textId="242E05B1">
      <w:pPr>
        <w:spacing w:before="240" w:beforeAutospacing="off" w:after="240" w:afterAutospacing="off"/>
      </w:pPr>
      <w:r w:rsidRPr="1EFE63D5" w:rsidR="52E0C7C1">
        <w:rPr>
          <w:rFonts w:ascii="Aptos" w:hAnsi="Aptos" w:eastAsia="Aptos" w:cs="Aptos"/>
          <w:noProof w:val="0"/>
          <w:sz w:val="24"/>
          <w:szCs w:val="24"/>
          <w:lang w:val="en-GB"/>
        </w:rPr>
        <w:t xml:space="preserve">Polit, D.F. and Beck, C.T. (2010) 'Generalization in quantitative and qualitative research: Myths and strategies', International Journal of Nursing Studies, 47(11), pp. 1451–1458. Available at: </w:t>
      </w:r>
      <w:hyperlink r:id="R9c4aaa9b65f34659">
        <w:r w:rsidRPr="1EFE63D5" w:rsidR="52E0C7C1">
          <w:rPr>
            <w:rStyle w:val="Hyperlink"/>
            <w:rFonts w:ascii="Aptos" w:hAnsi="Aptos" w:eastAsia="Aptos" w:cs="Aptos"/>
            <w:noProof w:val="0"/>
            <w:sz w:val="24"/>
            <w:szCs w:val="24"/>
            <w:lang w:val="en-GB"/>
          </w:rPr>
          <w:t>https://doi.org/10.1016/j.ijnurstu.2010.06.004</w:t>
        </w:r>
      </w:hyperlink>
      <w:r w:rsidRPr="1EFE63D5" w:rsidR="52E0C7C1">
        <w:rPr>
          <w:rFonts w:ascii="Aptos" w:hAnsi="Aptos" w:eastAsia="Aptos" w:cs="Aptos"/>
          <w:noProof w:val="0"/>
          <w:sz w:val="24"/>
          <w:szCs w:val="24"/>
          <w:lang w:val="en-GB"/>
        </w:rPr>
        <w:t xml:space="preserve"> (Accessed: 3 April 2025)</w:t>
      </w:r>
    </w:p>
    <w:p w:rsidR="52E0C7C1" w:rsidP="1EFE63D5" w:rsidRDefault="52E0C7C1" w14:paraId="6CD2CDA1" w14:textId="623AA7BF">
      <w:pPr>
        <w:spacing w:before="240" w:beforeAutospacing="off" w:after="240" w:afterAutospacing="off"/>
      </w:pPr>
      <w:r w:rsidRPr="1EFE63D5" w:rsidR="52E0C7C1">
        <w:rPr>
          <w:rFonts w:ascii="Aptos" w:hAnsi="Aptos" w:eastAsia="Aptos" w:cs="Aptos"/>
          <w:noProof w:val="0"/>
          <w:sz w:val="24"/>
          <w:szCs w:val="24"/>
          <w:lang w:val="en-GB"/>
        </w:rPr>
        <w:t xml:space="preserve">ReviseSociology (2025) Positivism and Interpretivism. Available at: </w:t>
      </w:r>
      <w:hyperlink r:id="R39146ed2b0bb4759">
        <w:r w:rsidRPr="1EFE63D5" w:rsidR="52E0C7C1">
          <w:rPr>
            <w:rStyle w:val="Hyperlink"/>
            <w:rFonts w:ascii="Aptos" w:hAnsi="Aptos" w:eastAsia="Aptos" w:cs="Aptos"/>
            <w:noProof w:val="0"/>
            <w:sz w:val="24"/>
            <w:szCs w:val="24"/>
            <w:lang w:val="en-GB"/>
          </w:rPr>
          <w:t>https://revisesociology.com/2015/05/18/positivism-interpretivism-sociology/</w:t>
        </w:r>
      </w:hyperlink>
      <w:r w:rsidRPr="1EFE63D5" w:rsidR="52E0C7C1">
        <w:rPr>
          <w:rFonts w:ascii="Aptos" w:hAnsi="Aptos" w:eastAsia="Aptos" w:cs="Aptos"/>
          <w:noProof w:val="0"/>
          <w:sz w:val="24"/>
          <w:szCs w:val="24"/>
          <w:lang w:val="en-GB"/>
        </w:rPr>
        <w:t xml:space="preserve"> (Accessed: 31 March 2025)</w:t>
      </w:r>
    </w:p>
    <w:p w:rsidR="52E0C7C1" w:rsidP="1EFE63D5" w:rsidRDefault="52E0C7C1" w14:paraId="35B60A82" w14:textId="129054DA">
      <w:pPr>
        <w:spacing w:before="240" w:beforeAutospacing="off" w:after="240" w:afterAutospacing="off"/>
      </w:pPr>
      <w:r w:rsidRPr="1EFE63D5" w:rsidR="52E0C7C1">
        <w:rPr>
          <w:rFonts w:ascii="Aptos" w:hAnsi="Aptos" w:eastAsia="Aptos" w:cs="Aptos"/>
          <w:noProof w:val="0"/>
          <w:sz w:val="24"/>
          <w:szCs w:val="24"/>
          <w:lang w:val="en-GB"/>
        </w:rPr>
        <w:t xml:space="preserve">Saucier, D.A., Renken, N.D. and Schiffer, A.A. (2022) 'Five reasons to stop giving exams in class', Faculty Focus, 18 February. Available at: </w:t>
      </w:r>
      <w:hyperlink r:id="R3644a441520d4c45">
        <w:r w:rsidRPr="1EFE63D5" w:rsidR="52E0C7C1">
          <w:rPr>
            <w:rStyle w:val="Hyperlink"/>
            <w:rFonts w:ascii="Aptos" w:hAnsi="Aptos" w:eastAsia="Aptos" w:cs="Aptos"/>
            <w:noProof w:val="0"/>
            <w:sz w:val="24"/>
            <w:szCs w:val="24"/>
            <w:lang w:val="en-GB"/>
          </w:rPr>
          <w:t>https://www.facultyfocus.com/articles/educational-assessment/five-reasons-to-stop-giving-exams-in-class/</w:t>
        </w:r>
      </w:hyperlink>
      <w:r w:rsidRPr="1EFE63D5" w:rsidR="52E0C7C1">
        <w:rPr>
          <w:rFonts w:ascii="Aptos" w:hAnsi="Aptos" w:eastAsia="Aptos" w:cs="Aptos"/>
          <w:noProof w:val="0"/>
          <w:sz w:val="24"/>
          <w:szCs w:val="24"/>
          <w:lang w:val="en-GB"/>
        </w:rPr>
        <w:t xml:space="preserve"> (Accessed: 26 March 2025).</w:t>
      </w:r>
    </w:p>
    <w:p w:rsidR="52E0C7C1" w:rsidP="1EFE63D5" w:rsidRDefault="52E0C7C1" w14:paraId="5B69F793" w14:textId="3C539596">
      <w:pPr>
        <w:spacing w:before="240" w:beforeAutospacing="off" w:after="240" w:afterAutospacing="off"/>
      </w:pPr>
      <w:r w:rsidRPr="1EFE63D5" w:rsidR="52E0C7C1">
        <w:rPr>
          <w:rFonts w:ascii="Aptos" w:hAnsi="Aptos" w:eastAsia="Aptos" w:cs="Aptos"/>
          <w:noProof w:val="0"/>
          <w:sz w:val="24"/>
          <w:szCs w:val="24"/>
          <w:lang w:val="en-GB"/>
        </w:rPr>
        <w:t xml:space="preserve">Snow, H. (2022) 'A recipe for success? Pupils’ perspectives on Learning Intentions and Success Criteria', Journal of Trainee Teacher Educational Research, Volume 13, pp. 079-102. </w:t>
      </w:r>
      <w:hyperlink r:id="R8e9b949964d84fa6">
        <w:r w:rsidRPr="1EFE63D5" w:rsidR="52E0C7C1">
          <w:rPr>
            <w:rStyle w:val="Hyperlink"/>
            <w:rFonts w:ascii="Aptos" w:hAnsi="Aptos" w:eastAsia="Aptos" w:cs="Aptos"/>
            <w:noProof w:val="0"/>
            <w:sz w:val="24"/>
            <w:szCs w:val="24"/>
            <w:lang w:val="en-GB"/>
          </w:rPr>
          <w:t>https://doi.org/10.17863</w:t>
        </w:r>
      </w:hyperlink>
      <w:r w:rsidRPr="1EFE63D5" w:rsidR="52E0C7C1">
        <w:rPr>
          <w:rFonts w:ascii="Aptos" w:hAnsi="Aptos" w:eastAsia="Aptos" w:cs="Aptos"/>
          <w:noProof w:val="0"/>
          <w:sz w:val="24"/>
          <w:szCs w:val="24"/>
          <w:lang w:val="en-GB"/>
        </w:rPr>
        <w:t xml:space="preserve"> (Accessed: 3 April 2025)</w:t>
      </w:r>
    </w:p>
    <w:p w:rsidR="52E0C7C1" w:rsidP="1EFE63D5" w:rsidRDefault="52E0C7C1" w14:paraId="45C39E78" w14:textId="04E58C5E">
      <w:pPr>
        <w:spacing w:before="240" w:beforeAutospacing="off" w:after="240" w:afterAutospacing="off"/>
      </w:pPr>
      <w:r w:rsidRPr="1EFE63D5" w:rsidR="52E0C7C1">
        <w:rPr>
          <w:rFonts w:ascii="Aptos" w:hAnsi="Aptos" w:eastAsia="Aptos" w:cs="Aptos"/>
          <w:noProof w:val="0"/>
          <w:sz w:val="24"/>
          <w:szCs w:val="24"/>
          <w:lang w:val="en-GB"/>
        </w:rPr>
        <w:t xml:space="preserve">The Main Idea (2013) </w:t>
      </w:r>
      <w:r w:rsidRPr="1EFE63D5" w:rsidR="52E0C7C1">
        <w:rPr>
          <w:rFonts w:ascii="Aptos" w:hAnsi="Aptos" w:eastAsia="Aptos" w:cs="Aptos"/>
          <w:i w:val="1"/>
          <w:iCs w:val="1"/>
          <w:noProof w:val="0"/>
          <w:sz w:val="24"/>
          <w:szCs w:val="24"/>
          <w:lang w:val="en-GB"/>
        </w:rPr>
        <w:t>Embedded formative assessment – Summary of Dylan Wiliam’s book</w:t>
      </w:r>
      <w:r w:rsidRPr="1EFE63D5" w:rsidR="52E0C7C1">
        <w:rPr>
          <w:rFonts w:ascii="Aptos" w:hAnsi="Aptos" w:eastAsia="Aptos" w:cs="Aptos"/>
          <w:noProof w:val="0"/>
          <w:sz w:val="24"/>
          <w:szCs w:val="24"/>
          <w:lang w:val="en-GB"/>
        </w:rPr>
        <w:t xml:space="preserve">. Available at: </w:t>
      </w:r>
      <w:hyperlink r:id="R284cc7a49fad4e38">
        <w:r w:rsidRPr="1EFE63D5" w:rsidR="52E0C7C1">
          <w:rPr>
            <w:rStyle w:val="Hyperlink"/>
            <w:rFonts w:ascii="Aptos" w:hAnsi="Aptos" w:eastAsia="Aptos" w:cs="Aptos"/>
            <w:noProof w:val="0"/>
            <w:sz w:val="24"/>
            <w:szCs w:val="24"/>
            <w:lang w:val="en-GB"/>
          </w:rPr>
          <w:t>https://cloudfront-s3.solutiontree.com/pdfs/Reproducibles_EFA/The-Main-Idea-Embedded-Formative-Assessment-March-2013.pdf</w:t>
        </w:r>
      </w:hyperlink>
      <w:r w:rsidRPr="1EFE63D5" w:rsidR="52E0C7C1">
        <w:rPr>
          <w:rFonts w:ascii="Aptos" w:hAnsi="Aptos" w:eastAsia="Aptos" w:cs="Aptos"/>
          <w:noProof w:val="0"/>
          <w:sz w:val="24"/>
          <w:szCs w:val="24"/>
          <w:lang w:val="en-GB"/>
        </w:rPr>
        <w:t>? (Accessed: 31 March 2025)</w:t>
      </w:r>
    </w:p>
    <w:p w:rsidR="52E0C7C1" w:rsidP="1EFE63D5" w:rsidRDefault="52E0C7C1" w14:paraId="23ECA242" w14:textId="1B9B68F8">
      <w:pPr>
        <w:spacing w:before="240" w:beforeAutospacing="off" w:after="240" w:afterAutospacing="off"/>
      </w:pPr>
      <w:r w:rsidRPr="1EFE63D5" w:rsidR="52E0C7C1">
        <w:rPr>
          <w:rFonts w:ascii="Aptos" w:hAnsi="Aptos" w:eastAsia="Aptos" w:cs="Aptos"/>
          <w:noProof w:val="0"/>
          <w:sz w:val="24"/>
          <w:szCs w:val="24"/>
          <w:lang w:val="en-GB"/>
        </w:rPr>
        <w:t xml:space="preserve">Thompson, K. (2020) 'Outline and explain two reasons why Positivists generally prefer to use quantitative methods (10)'. Available at: </w:t>
      </w:r>
      <w:hyperlink r:id="Rd5bfa6cb258b423f">
        <w:r w:rsidRPr="1EFE63D5" w:rsidR="52E0C7C1">
          <w:rPr>
            <w:rStyle w:val="Hyperlink"/>
            <w:rFonts w:ascii="Aptos" w:hAnsi="Aptos" w:eastAsia="Aptos" w:cs="Aptos"/>
            <w:noProof w:val="0"/>
            <w:sz w:val="24"/>
            <w:szCs w:val="24"/>
            <w:lang w:val="en-GB"/>
          </w:rPr>
          <w:t>https://revisesociology.com/2017/04/02/oultline-why-positivists-use-quantitative-methods-10/</w:t>
        </w:r>
      </w:hyperlink>
      <w:r w:rsidRPr="1EFE63D5" w:rsidR="52E0C7C1">
        <w:rPr>
          <w:rFonts w:ascii="Aptos" w:hAnsi="Aptos" w:eastAsia="Aptos" w:cs="Aptos"/>
          <w:noProof w:val="0"/>
          <w:sz w:val="24"/>
          <w:szCs w:val="24"/>
          <w:lang w:val="en-GB"/>
        </w:rPr>
        <w:t xml:space="preserve"> (Accessed: 31 March 2025)</w:t>
      </w:r>
    </w:p>
    <w:p w:rsidR="52E0C7C1" w:rsidP="1EFE63D5" w:rsidRDefault="52E0C7C1" w14:paraId="72231180" w14:textId="4B358E75">
      <w:pPr>
        <w:spacing w:before="240" w:beforeAutospacing="off" w:after="240" w:afterAutospacing="off"/>
      </w:pPr>
      <w:r w:rsidRPr="1EFE63D5" w:rsidR="52E0C7C1">
        <w:rPr>
          <w:rFonts w:ascii="Aptos" w:hAnsi="Aptos" w:eastAsia="Aptos" w:cs="Aptos"/>
          <w:noProof w:val="0"/>
          <w:sz w:val="24"/>
          <w:szCs w:val="24"/>
          <w:lang w:val="en-GB"/>
        </w:rPr>
        <w:t xml:space="preserve">UK Government (2018) Data Protection Act 2018. Available at: </w:t>
      </w:r>
      <w:hyperlink r:id="R747460ab79574c90">
        <w:r w:rsidRPr="1EFE63D5" w:rsidR="52E0C7C1">
          <w:rPr>
            <w:rStyle w:val="Hyperlink"/>
            <w:rFonts w:ascii="Aptos" w:hAnsi="Aptos" w:eastAsia="Aptos" w:cs="Aptos"/>
            <w:noProof w:val="0"/>
            <w:sz w:val="24"/>
            <w:szCs w:val="24"/>
            <w:lang w:val="en-GB"/>
          </w:rPr>
          <w:t>https://www.legislation.gov.uk/ukpga/2018/12/pdfs/ukpga_20180012_en.pdf</w:t>
        </w:r>
      </w:hyperlink>
      <w:r w:rsidRPr="1EFE63D5" w:rsidR="52E0C7C1">
        <w:rPr>
          <w:rFonts w:ascii="Aptos" w:hAnsi="Aptos" w:eastAsia="Aptos" w:cs="Aptos"/>
          <w:noProof w:val="0"/>
          <w:sz w:val="24"/>
          <w:szCs w:val="24"/>
          <w:lang w:val="en-GB"/>
        </w:rPr>
        <w:t xml:space="preserve"> (Accessed: 31 March 2025)</w:t>
      </w:r>
    </w:p>
    <w:p w:rsidR="52E0C7C1" w:rsidP="1EFE63D5" w:rsidRDefault="52E0C7C1" w14:paraId="221C88F3" w14:textId="51EA64B9">
      <w:pPr>
        <w:spacing w:before="240" w:beforeAutospacing="off" w:after="240" w:afterAutospacing="off"/>
        <w:rPr>
          <w:rFonts w:ascii="Aptos" w:hAnsi="Aptos" w:eastAsia="Aptos" w:cs="Aptos"/>
          <w:noProof w:val="0"/>
          <w:sz w:val="24"/>
          <w:szCs w:val="24"/>
          <w:lang w:val="en-GB"/>
        </w:rPr>
      </w:pPr>
      <w:r w:rsidRPr="1EFE63D5" w:rsidR="52E0C7C1">
        <w:rPr>
          <w:rFonts w:ascii="Aptos" w:hAnsi="Aptos" w:eastAsia="Aptos" w:cs="Aptos"/>
          <w:noProof w:val="0"/>
          <w:sz w:val="24"/>
          <w:szCs w:val="24"/>
          <w:lang w:val="en-GB"/>
        </w:rPr>
        <w:t xml:space="preserve">UNICEF (2022) How we protect Children's rights with the UN Convention on the Rights of the Child. Available at: </w:t>
      </w:r>
      <w:hyperlink r:id="Rc5cdfb470ce64975">
        <w:r w:rsidRPr="1EFE63D5" w:rsidR="52E0C7C1">
          <w:rPr>
            <w:rStyle w:val="Hyperlink"/>
            <w:rFonts w:ascii="Aptos" w:hAnsi="Aptos" w:eastAsia="Aptos" w:cs="Aptos"/>
            <w:noProof w:val="0"/>
            <w:sz w:val="24"/>
            <w:szCs w:val="24"/>
            <w:lang w:val="en-GB"/>
          </w:rPr>
          <w:t>https://www.unicef.org.uk/what-we-do/un-convention-child-rights/</w:t>
        </w:r>
      </w:hyperlink>
      <w:r w:rsidRPr="1EFE63D5" w:rsidR="52E0C7C1">
        <w:rPr>
          <w:rFonts w:ascii="Aptos" w:hAnsi="Aptos" w:eastAsia="Aptos" w:cs="Aptos"/>
          <w:noProof w:val="0"/>
          <w:sz w:val="24"/>
          <w:szCs w:val="24"/>
          <w:lang w:val="en-GB"/>
        </w:rPr>
        <w:t xml:space="preserve"> </w:t>
      </w:r>
    </w:p>
    <w:p w:rsidR="52E0C7C1" w:rsidP="1EFE63D5" w:rsidRDefault="52E0C7C1" w14:paraId="23786381" w14:textId="732BBF20">
      <w:pPr>
        <w:spacing w:before="240" w:beforeAutospacing="off" w:after="240" w:afterAutospacing="off"/>
      </w:pPr>
      <w:r w:rsidRPr="1EFE63D5" w:rsidR="52E0C7C1">
        <w:rPr>
          <w:rFonts w:ascii="Aptos" w:hAnsi="Aptos" w:eastAsia="Aptos" w:cs="Aptos"/>
          <w:noProof w:val="0"/>
          <w:sz w:val="24"/>
          <w:szCs w:val="24"/>
          <w:lang w:val="en-GB"/>
        </w:rPr>
        <w:t>Wiliam, D. (2011) 'What is Assessment for Learning?' Studies in Educational Evaluation, 37(1), pp. 3-14. DOI: 2011.03.001</w:t>
      </w:r>
    </w:p>
    <w:p w:rsidR="52E0C7C1" w:rsidP="1EFE63D5" w:rsidRDefault="52E0C7C1" w14:paraId="7550FA29" w14:textId="79CCE396">
      <w:pPr>
        <w:spacing w:before="240" w:beforeAutospacing="off" w:after="240" w:afterAutospacing="off"/>
      </w:pPr>
      <w:r w:rsidRPr="1EFE63D5" w:rsidR="52E0C7C1">
        <w:rPr>
          <w:rFonts w:ascii="Aptos" w:hAnsi="Aptos" w:eastAsia="Aptos" w:cs="Aptos"/>
          <w:noProof w:val="0"/>
          <w:sz w:val="24"/>
          <w:szCs w:val="24"/>
          <w:lang w:val="en-GB"/>
        </w:rPr>
        <w:t xml:space="preserve">Wiliam, D. (2018) Strategy 1: Clarifying, Sharing, and Understanding Learning Intentions [YouTube video]. LSI: Learning Sciences International. Available at: </w:t>
      </w:r>
      <w:hyperlink r:id="R5722163a1af84844">
        <w:r w:rsidRPr="1EFE63D5" w:rsidR="52E0C7C1">
          <w:rPr>
            <w:rStyle w:val="Hyperlink"/>
            <w:rFonts w:ascii="Aptos" w:hAnsi="Aptos" w:eastAsia="Aptos" w:cs="Aptos"/>
            <w:noProof w:val="0"/>
            <w:sz w:val="24"/>
            <w:szCs w:val="24"/>
            <w:lang w:val="en-GB"/>
          </w:rPr>
          <w:t>https://www.youtube.com/watch?v=fC29IyqPVr0</w:t>
        </w:r>
      </w:hyperlink>
      <w:r w:rsidRPr="1EFE63D5" w:rsidR="52E0C7C1">
        <w:rPr>
          <w:rFonts w:ascii="Aptos" w:hAnsi="Aptos" w:eastAsia="Aptos" w:cs="Aptos"/>
          <w:noProof w:val="0"/>
          <w:sz w:val="24"/>
          <w:szCs w:val="24"/>
          <w:lang w:val="en-GB"/>
        </w:rPr>
        <w:t xml:space="preserve"> (Accessed: 3 April 2025)</w:t>
      </w:r>
    </w:p>
    <w:p w:rsidR="52E0C7C1" w:rsidP="1EFE63D5" w:rsidRDefault="52E0C7C1" w14:paraId="4842E2D5" w14:textId="56F8C621">
      <w:pPr>
        <w:spacing w:before="240" w:beforeAutospacing="off" w:after="240" w:afterAutospacing="off"/>
      </w:pPr>
      <w:r w:rsidRPr="1EFE63D5" w:rsidR="52E0C7C1">
        <w:rPr>
          <w:rFonts w:ascii="Aptos" w:hAnsi="Aptos" w:eastAsia="Aptos" w:cs="Aptos"/>
          <w:noProof w:val="0"/>
          <w:sz w:val="24"/>
          <w:szCs w:val="24"/>
          <w:lang w:val="en-GB"/>
        </w:rPr>
        <w:t xml:space="preserve">Welsh Government (2023) Pedagogy, Curriculum for Wales. Available at: </w:t>
      </w:r>
      <w:hyperlink r:id="R1126badfee0e4104">
        <w:r w:rsidRPr="1EFE63D5" w:rsidR="52E0C7C1">
          <w:rPr>
            <w:rStyle w:val="Hyperlink"/>
            <w:rFonts w:ascii="Aptos" w:hAnsi="Aptos" w:eastAsia="Aptos" w:cs="Aptos"/>
            <w:noProof w:val="0"/>
            <w:sz w:val="24"/>
            <w:szCs w:val="24"/>
            <w:lang w:val="en-GB"/>
          </w:rPr>
          <w:t>https://hwb.gov.wales/curriculum-for-wales/designing-your-curriculum/pedagogy</w:t>
        </w:r>
      </w:hyperlink>
      <w:r w:rsidRPr="1EFE63D5" w:rsidR="52E0C7C1">
        <w:rPr>
          <w:rFonts w:ascii="Aptos" w:hAnsi="Aptos" w:eastAsia="Aptos" w:cs="Aptos"/>
          <w:noProof w:val="0"/>
          <w:sz w:val="24"/>
          <w:szCs w:val="24"/>
          <w:lang w:val="en-GB"/>
        </w:rPr>
        <w:t xml:space="preserve"> (Accessed: 26 March 2025)</w:t>
      </w:r>
    </w:p>
    <w:p w:rsidR="1EFE63D5" w:rsidP="1EFE63D5" w:rsidRDefault="1EFE63D5" w14:paraId="1528D868" w14:textId="2BE15876">
      <w:pPr>
        <w:pStyle w:val="Normal"/>
        <w:spacing w:line="360" w:lineRule="auto"/>
        <w:rPr>
          <w:b w:val="0"/>
          <w:bCs w:val="0"/>
          <w:i w:val="0"/>
          <w:iCs w:val="0"/>
          <w:sz w:val="24"/>
          <w:szCs w:val="24"/>
          <w:u w:val="none"/>
        </w:rPr>
      </w:pPr>
    </w:p>
    <w:sectPr w:rsidRPr="00B103B9" w:rsidR="0000375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YNkWnBi0saH+EB" int2:id="ILQeaYMa">
      <int2:state int2:type="AugLoop_Text_Critique" int2:value="Rejected"/>
    </int2:textHash>
    <int2:textHash int2:hashCode="N/1no6CP7cIhZ+" int2:id="UwteGllB">
      <int2:state int2:type="AugLoop_Text_Critique" int2:value="Rejected"/>
    </int2:textHash>
    <int2:textHash int2:hashCode="uP3t0X35feHM5G" int2:id="N7uW3vrH">
      <int2:state int2:type="AugLoop_Text_Critique" int2:value="Rejected"/>
    </int2:textHash>
    <int2:textHash int2:hashCode="c6YqtB7DKBySPz" int2:id="Wk4197Dt">
      <int2:state int2:type="AugLoop_Text_Critique" int2:value="Rejected"/>
    </int2:textHash>
    <int2:textHash int2:hashCode="1PKqPGnhX3WpXv" int2:id="EGfLId5r">
      <int2:state int2:type="AugLoop_Text_Critique" int2:value="Rejected"/>
    </int2:textHash>
    <int2:textHash int2:hashCode="asvYi7Y2WvbAr6" int2:id="TPT5Hrbo">
      <int2:state int2:type="AugLoop_Text_Critique" int2:value="Rejected"/>
    </int2:textHash>
    <int2:textHash int2:hashCode="vqQP060gQjZ5dK" int2:id="xV9ovdU0">
      <int2:state int2:type="AugLoop_Text_Critique" int2:value="Rejected"/>
    </int2:textHash>
    <int2:textHash int2:hashCode="gXNjWLFkUQOugy" int2:id="p9WiL2Ht">
      <int2:state int2:type="AugLoop_Text_Critique" int2:value="Rejected"/>
    </int2:textHash>
    <int2:textHash int2:hashCode="Y0UROiFW+KpmX2" int2:id="1u5Hjci7">
      <int2:state int2:type="AugLoop_Text_Critique" int2:value="Rejected"/>
    </int2:textHash>
    <int2:bookmark int2:bookmarkName="_Int_KFsZFlxm" int2:invalidationBookmarkName="" int2:hashCode="e0dMsLOcF3PXGS" int2:id="JRMS62Ax">
      <int2:state int2:type="AugLoop_Text_Critique" int2:value="Rejected"/>
    </int2:bookmark>
    <int2:bookmark int2:bookmarkName="_Int_UPc6WeFW" int2:invalidationBookmarkName="" int2:hashCode="a2Elz8dU03M6CK" int2:id="a6egq7nx">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9113B"/>
    <w:rsid w:val="000A2E17"/>
    <w:rsid w:val="000A470F"/>
    <w:rsid w:val="000C144A"/>
    <w:rsid w:val="000C541C"/>
    <w:rsid w:val="000C68CB"/>
    <w:rsid w:val="000D5B34"/>
    <w:rsid w:val="0010406A"/>
    <w:rsid w:val="001118FB"/>
    <w:rsid w:val="00115538"/>
    <w:rsid w:val="00135DD1"/>
    <w:rsid w:val="001819DF"/>
    <w:rsid w:val="001B086C"/>
    <w:rsid w:val="001C6E70"/>
    <w:rsid w:val="00262DC1"/>
    <w:rsid w:val="002C05B1"/>
    <w:rsid w:val="002F243A"/>
    <w:rsid w:val="00301906"/>
    <w:rsid w:val="00302BB1"/>
    <w:rsid w:val="003341DF"/>
    <w:rsid w:val="00347EA1"/>
    <w:rsid w:val="00382546"/>
    <w:rsid w:val="003A709B"/>
    <w:rsid w:val="003D223A"/>
    <w:rsid w:val="00417AB6"/>
    <w:rsid w:val="004B09BF"/>
    <w:rsid w:val="004D474C"/>
    <w:rsid w:val="004F0018"/>
    <w:rsid w:val="00536CFB"/>
    <w:rsid w:val="00543F5E"/>
    <w:rsid w:val="00584970"/>
    <w:rsid w:val="005B783A"/>
    <w:rsid w:val="005F42D0"/>
    <w:rsid w:val="005F7C42"/>
    <w:rsid w:val="0062310A"/>
    <w:rsid w:val="00664B16"/>
    <w:rsid w:val="006B52C3"/>
    <w:rsid w:val="007203C3"/>
    <w:rsid w:val="00733756"/>
    <w:rsid w:val="007352C0"/>
    <w:rsid w:val="00743752"/>
    <w:rsid w:val="007B3E76"/>
    <w:rsid w:val="007D3AE1"/>
    <w:rsid w:val="007E01E0"/>
    <w:rsid w:val="00803155"/>
    <w:rsid w:val="00840BEE"/>
    <w:rsid w:val="00851EDB"/>
    <w:rsid w:val="00898611"/>
    <w:rsid w:val="008F1086"/>
    <w:rsid w:val="009060A0"/>
    <w:rsid w:val="0091355A"/>
    <w:rsid w:val="00917008"/>
    <w:rsid w:val="00935B8D"/>
    <w:rsid w:val="009B164A"/>
    <w:rsid w:val="00A23D6E"/>
    <w:rsid w:val="00AD7313"/>
    <w:rsid w:val="00AE2AA9"/>
    <w:rsid w:val="00AE3307"/>
    <w:rsid w:val="00B028A8"/>
    <w:rsid w:val="00B103B9"/>
    <w:rsid w:val="00B51B61"/>
    <w:rsid w:val="00B724BB"/>
    <w:rsid w:val="00BE03A9"/>
    <w:rsid w:val="00BE2A35"/>
    <w:rsid w:val="00BE3554"/>
    <w:rsid w:val="00C129B8"/>
    <w:rsid w:val="00C24461"/>
    <w:rsid w:val="00C2550A"/>
    <w:rsid w:val="00C4699D"/>
    <w:rsid w:val="00CF32AC"/>
    <w:rsid w:val="00D24ADF"/>
    <w:rsid w:val="00D26517"/>
    <w:rsid w:val="00DC55F3"/>
    <w:rsid w:val="00DD5969"/>
    <w:rsid w:val="00E10797"/>
    <w:rsid w:val="00E243A8"/>
    <w:rsid w:val="00E6747C"/>
    <w:rsid w:val="00EA0B9A"/>
    <w:rsid w:val="00EA15D1"/>
    <w:rsid w:val="00EA6220"/>
    <w:rsid w:val="00EC1771"/>
    <w:rsid w:val="00F8089C"/>
    <w:rsid w:val="01078AD8"/>
    <w:rsid w:val="01917AC3"/>
    <w:rsid w:val="01D8BAF7"/>
    <w:rsid w:val="01F05BA9"/>
    <w:rsid w:val="01FB5CA2"/>
    <w:rsid w:val="02514292"/>
    <w:rsid w:val="026487ED"/>
    <w:rsid w:val="02A400A4"/>
    <w:rsid w:val="03903FD6"/>
    <w:rsid w:val="03A4B762"/>
    <w:rsid w:val="03A56CF6"/>
    <w:rsid w:val="03E28D1E"/>
    <w:rsid w:val="03F37172"/>
    <w:rsid w:val="03F90CFC"/>
    <w:rsid w:val="03FA2794"/>
    <w:rsid w:val="0459B69B"/>
    <w:rsid w:val="048FB323"/>
    <w:rsid w:val="04CF7EC6"/>
    <w:rsid w:val="04D87DE6"/>
    <w:rsid w:val="04FB118D"/>
    <w:rsid w:val="04FFD8B4"/>
    <w:rsid w:val="052C672E"/>
    <w:rsid w:val="053619CF"/>
    <w:rsid w:val="054FD603"/>
    <w:rsid w:val="057996C4"/>
    <w:rsid w:val="05D50375"/>
    <w:rsid w:val="05F30FD9"/>
    <w:rsid w:val="06438FFF"/>
    <w:rsid w:val="06696DA9"/>
    <w:rsid w:val="069194F4"/>
    <w:rsid w:val="06C09802"/>
    <w:rsid w:val="0747E080"/>
    <w:rsid w:val="076C304E"/>
    <w:rsid w:val="07E13A60"/>
    <w:rsid w:val="07F2D33B"/>
    <w:rsid w:val="07FF2AC0"/>
    <w:rsid w:val="080B0BA2"/>
    <w:rsid w:val="0835C412"/>
    <w:rsid w:val="084DFED5"/>
    <w:rsid w:val="0868E32D"/>
    <w:rsid w:val="089359B2"/>
    <w:rsid w:val="0933A30B"/>
    <w:rsid w:val="093F119D"/>
    <w:rsid w:val="094574FC"/>
    <w:rsid w:val="09611570"/>
    <w:rsid w:val="0979F0A5"/>
    <w:rsid w:val="09AE641B"/>
    <w:rsid w:val="09BDD325"/>
    <w:rsid w:val="0A916F43"/>
    <w:rsid w:val="0AA6B2CE"/>
    <w:rsid w:val="0AB400F0"/>
    <w:rsid w:val="0AD1F026"/>
    <w:rsid w:val="0B01A9DE"/>
    <w:rsid w:val="0B0CC87D"/>
    <w:rsid w:val="0B188AE6"/>
    <w:rsid w:val="0B89A3E3"/>
    <w:rsid w:val="0B8A3F08"/>
    <w:rsid w:val="0C07B7CD"/>
    <w:rsid w:val="0C0CEC2E"/>
    <w:rsid w:val="0C20FA98"/>
    <w:rsid w:val="0C3A6342"/>
    <w:rsid w:val="0C4DEBB6"/>
    <w:rsid w:val="0C64776B"/>
    <w:rsid w:val="0D10A58A"/>
    <w:rsid w:val="0D185E24"/>
    <w:rsid w:val="0D2570CE"/>
    <w:rsid w:val="0D3D8681"/>
    <w:rsid w:val="0D96AFDE"/>
    <w:rsid w:val="0DFE6CF8"/>
    <w:rsid w:val="0E49A327"/>
    <w:rsid w:val="0E92EAF7"/>
    <w:rsid w:val="0EEA2A95"/>
    <w:rsid w:val="0F917507"/>
    <w:rsid w:val="0FDDBEE9"/>
    <w:rsid w:val="105B3052"/>
    <w:rsid w:val="10606B0C"/>
    <w:rsid w:val="1064FA2F"/>
    <w:rsid w:val="106B6FC0"/>
    <w:rsid w:val="10B07D12"/>
    <w:rsid w:val="10BD2AF4"/>
    <w:rsid w:val="10CA0086"/>
    <w:rsid w:val="11024D00"/>
    <w:rsid w:val="11174F9E"/>
    <w:rsid w:val="1189C582"/>
    <w:rsid w:val="123467CC"/>
    <w:rsid w:val="124526F3"/>
    <w:rsid w:val="124B7C9C"/>
    <w:rsid w:val="1260A162"/>
    <w:rsid w:val="12C85FA5"/>
    <w:rsid w:val="13654C09"/>
    <w:rsid w:val="139AC72B"/>
    <w:rsid w:val="13C968F2"/>
    <w:rsid w:val="13CF134A"/>
    <w:rsid w:val="13EF2544"/>
    <w:rsid w:val="1462F196"/>
    <w:rsid w:val="1480798A"/>
    <w:rsid w:val="14ABAD01"/>
    <w:rsid w:val="14E91FCC"/>
    <w:rsid w:val="14F57E65"/>
    <w:rsid w:val="14F72C66"/>
    <w:rsid w:val="14FAF948"/>
    <w:rsid w:val="1566C38A"/>
    <w:rsid w:val="15835014"/>
    <w:rsid w:val="15881022"/>
    <w:rsid w:val="15BE9252"/>
    <w:rsid w:val="15C0A5C2"/>
    <w:rsid w:val="1623AD36"/>
    <w:rsid w:val="16592E89"/>
    <w:rsid w:val="16CF6A07"/>
    <w:rsid w:val="16E4D385"/>
    <w:rsid w:val="16E9BEE1"/>
    <w:rsid w:val="171A61A5"/>
    <w:rsid w:val="17792130"/>
    <w:rsid w:val="17CD7C93"/>
    <w:rsid w:val="1816C5A7"/>
    <w:rsid w:val="188517E6"/>
    <w:rsid w:val="188C3F1B"/>
    <w:rsid w:val="188CE9C8"/>
    <w:rsid w:val="18D2FE1A"/>
    <w:rsid w:val="18ED9D25"/>
    <w:rsid w:val="19D2D4A9"/>
    <w:rsid w:val="1A11010D"/>
    <w:rsid w:val="1A18E400"/>
    <w:rsid w:val="1A7E2467"/>
    <w:rsid w:val="1A9444BF"/>
    <w:rsid w:val="1B3CD714"/>
    <w:rsid w:val="1B5B6C54"/>
    <w:rsid w:val="1B6DD4F2"/>
    <w:rsid w:val="1B8DF06B"/>
    <w:rsid w:val="1BC58AD2"/>
    <w:rsid w:val="1BDA7E21"/>
    <w:rsid w:val="1C5475E6"/>
    <w:rsid w:val="1CCBAA2B"/>
    <w:rsid w:val="1CF13A25"/>
    <w:rsid w:val="1CF90E6A"/>
    <w:rsid w:val="1D389B61"/>
    <w:rsid w:val="1D51C262"/>
    <w:rsid w:val="1D5C5B7A"/>
    <w:rsid w:val="1DB689F2"/>
    <w:rsid w:val="1DCB3858"/>
    <w:rsid w:val="1E1513A9"/>
    <w:rsid w:val="1E79FE77"/>
    <w:rsid w:val="1E978C9A"/>
    <w:rsid w:val="1EA59D3D"/>
    <w:rsid w:val="1EFE63D5"/>
    <w:rsid w:val="1F3B30C2"/>
    <w:rsid w:val="1F64C75A"/>
    <w:rsid w:val="1F669E5B"/>
    <w:rsid w:val="1FB1F30C"/>
    <w:rsid w:val="1FB90022"/>
    <w:rsid w:val="1FD223EB"/>
    <w:rsid w:val="205EADA5"/>
    <w:rsid w:val="2151D2FC"/>
    <w:rsid w:val="21897FD1"/>
    <w:rsid w:val="2208A40F"/>
    <w:rsid w:val="222F2A13"/>
    <w:rsid w:val="2262A1AC"/>
    <w:rsid w:val="229E0D1A"/>
    <w:rsid w:val="22BA5B68"/>
    <w:rsid w:val="22D83DC1"/>
    <w:rsid w:val="24001875"/>
    <w:rsid w:val="24299552"/>
    <w:rsid w:val="242A35A2"/>
    <w:rsid w:val="24C1DEFE"/>
    <w:rsid w:val="2509F3F8"/>
    <w:rsid w:val="2522E5C1"/>
    <w:rsid w:val="260F6296"/>
    <w:rsid w:val="262FCDDC"/>
    <w:rsid w:val="264F784D"/>
    <w:rsid w:val="2651D9BA"/>
    <w:rsid w:val="2681735B"/>
    <w:rsid w:val="26AE7D42"/>
    <w:rsid w:val="26C03615"/>
    <w:rsid w:val="2748AE6B"/>
    <w:rsid w:val="277BAE7C"/>
    <w:rsid w:val="27C038CB"/>
    <w:rsid w:val="27F0900C"/>
    <w:rsid w:val="2801992B"/>
    <w:rsid w:val="2887DC65"/>
    <w:rsid w:val="28988CFB"/>
    <w:rsid w:val="28ABB4F7"/>
    <w:rsid w:val="28B35460"/>
    <w:rsid w:val="28BA114C"/>
    <w:rsid w:val="2915B9B8"/>
    <w:rsid w:val="292A9BAC"/>
    <w:rsid w:val="292C8AEB"/>
    <w:rsid w:val="29580582"/>
    <w:rsid w:val="297DDA44"/>
    <w:rsid w:val="29A2EF75"/>
    <w:rsid w:val="29B7E104"/>
    <w:rsid w:val="29D11ED9"/>
    <w:rsid w:val="29DFCE51"/>
    <w:rsid w:val="2A078E2D"/>
    <w:rsid w:val="2A6D5ADE"/>
    <w:rsid w:val="2AA865A7"/>
    <w:rsid w:val="2B0B8E8B"/>
    <w:rsid w:val="2B5E6D36"/>
    <w:rsid w:val="2C3DF2D5"/>
    <w:rsid w:val="2C4315FC"/>
    <w:rsid w:val="2C4E534D"/>
    <w:rsid w:val="2C68C0EB"/>
    <w:rsid w:val="2C7445FB"/>
    <w:rsid w:val="2C7CDD86"/>
    <w:rsid w:val="2CA00F4D"/>
    <w:rsid w:val="2CCDCA98"/>
    <w:rsid w:val="2D322CA1"/>
    <w:rsid w:val="2DD18064"/>
    <w:rsid w:val="2DF47AB9"/>
    <w:rsid w:val="2E0DE199"/>
    <w:rsid w:val="2E490775"/>
    <w:rsid w:val="2E77ED6D"/>
    <w:rsid w:val="2E91768A"/>
    <w:rsid w:val="2E99AF94"/>
    <w:rsid w:val="2EAB6757"/>
    <w:rsid w:val="2ED71654"/>
    <w:rsid w:val="2EFE7116"/>
    <w:rsid w:val="2F6436A7"/>
    <w:rsid w:val="2F645F93"/>
    <w:rsid w:val="2FA334E3"/>
    <w:rsid w:val="2FDE54C2"/>
    <w:rsid w:val="2FE36CD1"/>
    <w:rsid w:val="300BE980"/>
    <w:rsid w:val="30201F7C"/>
    <w:rsid w:val="30205F82"/>
    <w:rsid w:val="302EEFBB"/>
    <w:rsid w:val="3033B56E"/>
    <w:rsid w:val="304C017B"/>
    <w:rsid w:val="305171AF"/>
    <w:rsid w:val="30579994"/>
    <w:rsid w:val="30D2802E"/>
    <w:rsid w:val="31622016"/>
    <w:rsid w:val="31671252"/>
    <w:rsid w:val="31A72F0F"/>
    <w:rsid w:val="31AE99B0"/>
    <w:rsid w:val="31C7B81A"/>
    <w:rsid w:val="31FA5854"/>
    <w:rsid w:val="3218F95B"/>
    <w:rsid w:val="3232D4E7"/>
    <w:rsid w:val="3258F64A"/>
    <w:rsid w:val="32707CA5"/>
    <w:rsid w:val="3287E2C7"/>
    <w:rsid w:val="329DDF64"/>
    <w:rsid w:val="32BD5F3A"/>
    <w:rsid w:val="3308E835"/>
    <w:rsid w:val="3338AD60"/>
    <w:rsid w:val="3398F9BF"/>
    <w:rsid w:val="33B76D92"/>
    <w:rsid w:val="34088359"/>
    <w:rsid w:val="344D1650"/>
    <w:rsid w:val="349B6FAF"/>
    <w:rsid w:val="34B439B2"/>
    <w:rsid w:val="34BC75BB"/>
    <w:rsid w:val="35681A58"/>
    <w:rsid w:val="3569EA14"/>
    <w:rsid w:val="359D24A8"/>
    <w:rsid w:val="35A43E53"/>
    <w:rsid w:val="35B45F38"/>
    <w:rsid w:val="35BEA7EE"/>
    <w:rsid w:val="36105EBD"/>
    <w:rsid w:val="36272EF3"/>
    <w:rsid w:val="362DF68B"/>
    <w:rsid w:val="3637FC91"/>
    <w:rsid w:val="3641427A"/>
    <w:rsid w:val="3649E4CC"/>
    <w:rsid w:val="364C861D"/>
    <w:rsid w:val="36793678"/>
    <w:rsid w:val="36E3CE6B"/>
    <w:rsid w:val="37175D22"/>
    <w:rsid w:val="374BDEBD"/>
    <w:rsid w:val="375C7C84"/>
    <w:rsid w:val="375FB1FD"/>
    <w:rsid w:val="3774021D"/>
    <w:rsid w:val="37DF92CC"/>
    <w:rsid w:val="37E225D8"/>
    <w:rsid w:val="380131D2"/>
    <w:rsid w:val="383ECA29"/>
    <w:rsid w:val="386EA351"/>
    <w:rsid w:val="3888BD64"/>
    <w:rsid w:val="38EE54E2"/>
    <w:rsid w:val="38FDC745"/>
    <w:rsid w:val="394BA87C"/>
    <w:rsid w:val="399F6037"/>
    <w:rsid w:val="39A24C11"/>
    <w:rsid w:val="39D914B2"/>
    <w:rsid w:val="39DCB043"/>
    <w:rsid w:val="3A0D486A"/>
    <w:rsid w:val="3A648A74"/>
    <w:rsid w:val="3A67C989"/>
    <w:rsid w:val="3A89BF10"/>
    <w:rsid w:val="3AD30DB9"/>
    <w:rsid w:val="3AD9BB25"/>
    <w:rsid w:val="3B2BE825"/>
    <w:rsid w:val="3B5048B3"/>
    <w:rsid w:val="3B5BCE62"/>
    <w:rsid w:val="3B7C694A"/>
    <w:rsid w:val="3BD2351A"/>
    <w:rsid w:val="3C4ECCDB"/>
    <w:rsid w:val="3C6BE573"/>
    <w:rsid w:val="3C76AD20"/>
    <w:rsid w:val="3CC0A5D3"/>
    <w:rsid w:val="3D6CE2D1"/>
    <w:rsid w:val="3D73A057"/>
    <w:rsid w:val="3DAD4728"/>
    <w:rsid w:val="3DC3AFA8"/>
    <w:rsid w:val="3DDDF575"/>
    <w:rsid w:val="3E16CFEC"/>
    <w:rsid w:val="3E51D513"/>
    <w:rsid w:val="3E53892F"/>
    <w:rsid w:val="3E6D170A"/>
    <w:rsid w:val="3E98D615"/>
    <w:rsid w:val="3EA23D5C"/>
    <w:rsid w:val="3EDD7154"/>
    <w:rsid w:val="3F294C19"/>
    <w:rsid w:val="3F717EF4"/>
    <w:rsid w:val="3FBD0A52"/>
    <w:rsid w:val="3FF73A80"/>
    <w:rsid w:val="3FF88054"/>
    <w:rsid w:val="3FFBA042"/>
    <w:rsid w:val="3FFF4E43"/>
    <w:rsid w:val="4050A389"/>
    <w:rsid w:val="40D240A5"/>
    <w:rsid w:val="40F21A62"/>
    <w:rsid w:val="40F5A469"/>
    <w:rsid w:val="41116194"/>
    <w:rsid w:val="4192CD51"/>
    <w:rsid w:val="41CB8BDD"/>
    <w:rsid w:val="41CF2465"/>
    <w:rsid w:val="420B7F7D"/>
    <w:rsid w:val="42B75A5B"/>
    <w:rsid w:val="42BA1924"/>
    <w:rsid w:val="42DD89B0"/>
    <w:rsid w:val="4349CB61"/>
    <w:rsid w:val="435D5C9D"/>
    <w:rsid w:val="4381CFF0"/>
    <w:rsid w:val="43A64ADE"/>
    <w:rsid w:val="43BDCCBD"/>
    <w:rsid w:val="44017EB5"/>
    <w:rsid w:val="444D159E"/>
    <w:rsid w:val="445F65C3"/>
    <w:rsid w:val="4466CD99"/>
    <w:rsid w:val="44776AE3"/>
    <w:rsid w:val="449EBED3"/>
    <w:rsid w:val="44EB2F10"/>
    <w:rsid w:val="44FEFE0E"/>
    <w:rsid w:val="45718909"/>
    <w:rsid w:val="461BF6B9"/>
    <w:rsid w:val="4649C26F"/>
    <w:rsid w:val="464D381B"/>
    <w:rsid w:val="46723807"/>
    <w:rsid w:val="46A89CE3"/>
    <w:rsid w:val="46F989A5"/>
    <w:rsid w:val="473606B9"/>
    <w:rsid w:val="476D8726"/>
    <w:rsid w:val="47B2537B"/>
    <w:rsid w:val="47F8FC4A"/>
    <w:rsid w:val="483B3573"/>
    <w:rsid w:val="48B38B58"/>
    <w:rsid w:val="48B6FAFB"/>
    <w:rsid w:val="48C85432"/>
    <w:rsid w:val="48E6963A"/>
    <w:rsid w:val="492C2FEF"/>
    <w:rsid w:val="49333E66"/>
    <w:rsid w:val="4952D83F"/>
    <w:rsid w:val="4953F843"/>
    <w:rsid w:val="49D91BF9"/>
    <w:rsid w:val="49E0D32B"/>
    <w:rsid w:val="4A1D375B"/>
    <w:rsid w:val="4A35C20C"/>
    <w:rsid w:val="4A713732"/>
    <w:rsid w:val="4A77239C"/>
    <w:rsid w:val="4A8AEB82"/>
    <w:rsid w:val="4A90C98E"/>
    <w:rsid w:val="4ABB4D35"/>
    <w:rsid w:val="4AC4D056"/>
    <w:rsid w:val="4AE7A0ED"/>
    <w:rsid w:val="4AFDA923"/>
    <w:rsid w:val="4B150532"/>
    <w:rsid w:val="4B329E7C"/>
    <w:rsid w:val="4B5273C0"/>
    <w:rsid w:val="4B922035"/>
    <w:rsid w:val="4BC24C6C"/>
    <w:rsid w:val="4BDA1BBD"/>
    <w:rsid w:val="4C176F10"/>
    <w:rsid w:val="4C5DB402"/>
    <w:rsid w:val="4C7449E9"/>
    <w:rsid w:val="4CBAA936"/>
    <w:rsid w:val="4CD0B8F3"/>
    <w:rsid w:val="4D2A213A"/>
    <w:rsid w:val="4D420392"/>
    <w:rsid w:val="4D532633"/>
    <w:rsid w:val="4D60E604"/>
    <w:rsid w:val="4D6E4B4E"/>
    <w:rsid w:val="4DE168D9"/>
    <w:rsid w:val="4DE9BCF8"/>
    <w:rsid w:val="4E1201BD"/>
    <w:rsid w:val="4EBB3EE3"/>
    <w:rsid w:val="4EE270C9"/>
    <w:rsid w:val="4F4E9732"/>
    <w:rsid w:val="4F7386F0"/>
    <w:rsid w:val="4FA9B930"/>
    <w:rsid w:val="4FB6F00F"/>
    <w:rsid w:val="4FBBEB35"/>
    <w:rsid w:val="4FBD5A19"/>
    <w:rsid w:val="4FCAFA15"/>
    <w:rsid w:val="4FE51286"/>
    <w:rsid w:val="500A0367"/>
    <w:rsid w:val="5013405B"/>
    <w:rsid w:val="5024405E"/>
    <w:rsid w:val="52508DEA"/>
    <w:rsid w:val="52707A85"/>
    <w:rsid w:val="528B6F5B"/>
    <w:rsid w:val="52C0BD37"/>
    <w:rsid w:val="52C5EC14"/>
    <w:rsid w:val="52CB2416"/>
    <w:rsid w:val="52D4CD20"/>
    <w:rsid w:val="52D8C2EB"/>
    <w:rsid w:val="52E0C7C1"/>
    <w:rsid w:val="533F58CD"/>
    <w:rsid w:val="534A1431"/>
    <w:rsid w:val="534CD7F1"/>
    <w:rsid w:val="53510C63"/>
    <w:rsid w:val="53605EAE"/>
    <w:rsid w:val="53788C31"/>
    <w:rsid w:val="53A08D9B"/>
    <w:rsid w:val="53C44488"/>
    <w:rsid w:val="53CBD8AF"/>
    <w:rsid w:val="540CEA1A"/>
    <w:rsid w:val="54266930"/>
    <w:rsid w:val="546F2828"/>
    <w:rsid w:val="54786C05"/>
    <w:rsid w:val="54A7BA73"/>
    <w:rsid w:val="551152BE"/>
    <w:rsid w:val="5526C4EC"/>
    <w:rsid w:val="5545296E"/>
    <w:rsid w:val="554625A1"/>
    <w:rsid w:val="5559F489"/>
    <w:rsid w:val="55BD3080"/>
    <w:rsid w:val="55D0C852"/>
    <w:rsid w:val="55D55B15"/>
    <w:rsid w:val="55D6C0B6"/>
    <w:rsid w:val="55F34300"/>
    <w:rsid w:val="55FD4D68"/>
    <w:rsid w:val="5613E9B0"/>
    <w:rsid w:val="5650F031"/>
    <w:rsid w:val="566F18C4"/>
    <w:rsid w:val="567341BE"/>
    <w:rsid w:val="570FEA16"/>
    <w:rsid w:val="57817669"/>
    <w:rsid w:val="57A27B99"/>
    <w:rsid w:val="57B0129A"/>
    <w:rsid w:val="57C76DA8"/>
    <w:rsid w:val="57D5DC80"/>
    <w:rsid w:val="580E8FF8"/>
    <w:rsid w:val="58426F2A"/>
    <w:rsid w:val="58868D36"/>
    <w:rsid w:val="58A34239"/>
    <w:rsid w:val="591C9662"/>
    <w:rsid w:val="5990B6A7"/>
    <w:rsid w:val="59D29839"/>
    <w:rsid w:val="5B37CD9B"/>
    <w:rsid w:val="5B43BC65"/>
    <w:rsid w:val="5B573316"/>
    <w:rsid w:val="5B6C6874"/>
    <w:rsid w:val="5B7E2E4A"/>
    <w:rsid w:val="5B8C1767"/>
    <w:rsid w:val="5B9DF5C3"/>
    <w:rsid w:val="5BA9DE17"/>
    <w:rsid w:val="5BC0B118"/>
    <w:rsid w:val="5BF6E0AF"/>
    <w:rsid w:val="5C15754F"/>
    <w:rsid w:val="5C52DED4"/>
    <w:rsid w:val="5CE015E4"/>
    <w:rsid w:val="5D35FAAA"/>
    <w:rsid w:val="5D59E3BF"/>
    <w:rsid w:val="5D6854CC"/>
    <w:rsid w:val="5D714C00"/>
    <w:rsid w:val="5D811BF8"/>
    <w:rsid w:val="5DF5CCCC"/>
    <w:rsid w:val="5E1B3D69"/>
    <w:rsid w:val="5E1CB9DF"/>
    <w:rsid w:val="5E2AA62B"/>
    <w:rsid w:val="5E34A15E"/>
    <w:rsid w:val="5E532254"/>
    <w:rsid w:val="5E78EA77"/>
    <w:rsid w:val="5E9BE3D0"/>
    <w:rsid w:val="5E9C7524"/>
    <w:rsid w:val="5EB9383B"/>
    <w:rsid w:val="5EDAA1A0"/>
    <w:rsid w:val="5F2B2194"/>
    <w:rsid w:val="5F68DE16"/>
    <w:rsid w:val="5FB6645D"/>
    <w:rsid w:val="5FF20CFF"/>
    <w:rsid w:val="60193D56"/>
    <w:rsid w:val="6046B475"/>
    <w:rsid w:val="605223A2"/>
    <w:rsid w:val="605522AB"/>
    <w:rsid w:val="60C02CDA"/>
    <w:rsid w:val="61414163"/>
    <w:rsid w:val="614B024C"/>
    <w:rsid w:val="6164632D"/>
    <w:rsid w:val="619D3DBB"/>
    <w:rsid w:val="61C63839"/>
    <w:rsid w:val="621B2C84"/>
    <w:rsid w:val="62653750"/>
    <w:rsid w:val="626B2BAC"/>
    <w:rsid w:val="62832931"/>
    <w:rsid w:val="62AA137C"/>
    <w:rsid w:val="62B4E7C3"/>
    <w:rsid w:val="630C844A"/>
    <w:rsid w:val="63687077"/>
    <w:rsid w:val="637AEFED"/>
    <w:rsid w:val="63B09CF1"/>
    <w:rsid w:val="63B934B4"/>
    <w:rsid w:val="63BA6366"/>
    <w:rsid w:val="63DEFEBD"/>
    <w:rsid w:val="645587B0"/>
    <w:rsid w:val="64A945BB"/>
    <w:rsid w:val="652F8E74"/>
    <w:rsid w:val="65934792"/>
    <w:rsid w:val="65C71672"/>
    <w:rsid w:val="66302C4A"/>
    <w:rsid w:val="663F2FAF"/>
    <w:rsid w:val="664773EE"/>
    <w:rsid w:val="66564206"/>
    <w:rsid w:val="6664DC45"/>
    <w:rsid w:val="66CBB04D"/>
    <w:rsid w:val="670F6824"/>
    <w:rsid w:val="672360A3"/>
    <w:rsid w:val="67CCBD83"/>
    <w:rsid w:val="67E9D65E"/>
    <w:rsid w:val="682400AF"/>
    <w:rsid w:val="687A9013"/>
    <w:rsid w:val="6883831B"/>
    <w:rsid w:val="68A20E1C"/>
    <w:rsid w:val="68D01FFB"/>
    <w:rsid w:val="68FB07B4"/>
    <w:rsid w:val="691C3780"/>
    <w:rsid w:val="698BC07C"/>
    <w:rsid w:val="69CE61BC"/>
    <w:rsid w:val="69D67CD3"/>
    <w:rsid w:val="6A1C33F0"/>
    <w:rsid w:val="6A6A0C72"/>
    <w:rsid w:val="6A91F281"/>
    <w:rsid w:val="6B5BCF23"/>
    <w:rsid w:val="6BF28D23"/>
    <w:rsid w:val="6BFCDEC5"/>
    <w:rsid w:val="6C50A0A6"/>
    <w:rsid w:val="6C7C5811"/>
    <w:rsid w:val="6CF11EB5"/>
    <w:rsid w:val="6CF93D49"/>
    <w:rsid w:val="6D082833"/>
    <w:rsid w:val="6D325AED"/>
    <w:rsid w:val="6D623FDD"/>
    <w:rsid w:val="6D8C8FE1"/>
    <w:rsid w:val="6DA9669C"/>
    <w:rsid w:val="6DDC9D62"/>
    <w:rsid w:val="6E49FC2D"/>
    <w:rsid w:val="6E57A102"/>
    <w:rsid w:val="6E6C428C"/>
    <w:rsid w:val="6E6C9242"/>
    <w:rsid w:val="6E72B6C2"/>
    <w:rsid w:val="6E81D281"/>
    <w:rsid w:val="6EB30521"/>
    <w:rsid w:val="6ECE5128"/>
    <w:rsid w:val="6F1FF6FB"/>
    <w:rsid w:val="6F259046"/>
    <w:rsid w:val="6F380A59"/>
    <w:rsid w:val="6F8AE13D"/>
    <w:rsid w:val="6FADB48E"/>
    <w:rsid w:val="7023BABC"/>
    <w:rsid w:val="70732B40"/>
    <w:rsid w:val="707B6D77"/>
    <w:rsid w:val="709CE97B"/>
    <w:rsid w:val="70AA5BB2"/>
    <w:rsid w:val="70B172FC"/>
    <w:rsid w:val="70B5F9A8"/>
    <w:rsid w:val="71174B07"/>
    <w:rsid w:val="717EBA0B"/>
    <w:rsid w:val="71A046BA"/>
    <w:rsid w:val="71AEED89"/>
    <w:rsid w:val="71DA071D"/>
    <w:rsid w:val="71DBE069"/>
    <w:rsid w:val="71DE3C6D"/>
    <w:rsid w:val="71E5E3A1"/>
    <w:rsid w:val="723A1D0A"/>
    <w:rsid w:val="729B2AE3"/>
    <w:rsid w:val="72DD5C28"/>
    <w:rsid w:val="72F8DD45"/>
    <w:rsid w:val="732E2953"/>
    <w:rsid w:val="73314827"/>
    <w:rsid w:val="7343FC5E"/>
    <w:rsid w:val="735EFD5F"/>
    <w:rsid w:val="73BAEBCF"/>
    <w:rsid w:val="73E5C641"/>
    <w:rsid w:val="745EF083"/>
    <w:rsid w:val="748A0121"/>
    <w:rsid w:val="74A3D37D"/>
    <w:rsid w:val="74DF298E"/>
    <w:rsid w:val="74E91C89"/>
    <w:rsid w:val="751AFD47"/>
    <w:rsid w:val="7538112F"/>
    <w:rsid w:val="75A3E9C3"/>
    <w:rsid w:val="75AF15D1"/>
    <w:rsid w:val="75FF1CC1"/>
    <w:rsid w:val="76232254"/>
    <w:rsid w:val="76E74A0F"/>
    <w:rsid w:val="7711581F"/>
    <w:rsid w:val="77949101"/>
    <w:rsid w:val="7799EDC2"/>
    <w:rsid w:val="77B3F634"/>
    <w:rsid w:val="77B9756D"/>
    <w:rsid w:val="77D20095"/>
    <w:rsid w:val="77D3BA7C"/>
    <w:rsid w:val="77E9E9C9"/>
    <w:rsid w:val="77ED6D68"/>
    <w:rsid w:val="781E3E01"/>
    <w:rsid w:val="786C78BD"/>
    <w:rsid w:val="78E50327"/>
    <w:rsid w:val="7932E986"/>
    <w:rsid w:val="79794ADD"/>
    <w:rsid w:val="79FC9F5E"/>
    <w:rsid w:val="7A4FE70B"/>
    <w:rsid w:val="7A6D7157"/>
    <w:rsid w:val="7AB5CB57"/>
    <w:rsid w:val="7ABB4944"/>
    <w:rsid w:val="7B589A11"/>
    <w:rsid w:val="7B864277"/>
    <w:rsid w:val="7BAFED97"/>
    <w:rsid w:val="7BE9B535"/>
    <w:rsid w:val="7C3BAF8C"/>
    <w:rsid w:val="7C4109CB"/>
    <w:rsid w:val="7C482447"/>
    <w:rsid w:val="7C528B11"/>
    <w:rsid w:val="7C86C93C"/>
    <w:rsid w:val="7CB43454"/>
    <w:rsid w:val="7CCA9BCC"/>
    <w:rsid w:val="7CE3E325"/>
    <w:rsid w:val="7D1F6B16"/>
    <w:rsid w:val="7D215090"/>
    <w:rsid w:val="7D3DD565"/>
    <w:rsid w:val="7D4F5D13"/>
    <w:rsid w:val="7D55D659"/>
    <w:rsid w:val="7D8ED8A9"/>
    <w:rsid w:val="7DBCEB5B"/>
    <w:rsid w:val="7DE80395"/>
    <w:rsid w:val="7DECF6A6"/>
    <w:rsid w:val="7E00E56C"/>
    <w:rsid w:val="7EBF62B4"/>
    <w:rsid w:val="7ECD25D3"/>
    <w:rsid w:val="7ED66377"/>
    <w:rsid w:val="7EE412E4"/>
    <w:rsid w:val="7EFE9E4A"/>
    <w:rsid w:val="7F878535"/>
    <w:rsid w:val="7FD5D7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Pennawd1">
    <w:name w:val="heading 1"/>
    <w:basedOn w:val="Normal"/>
    <w:next w:val="Normal"/>
    <w:link w:val="Pennawd1Nod"/>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Pennawd2">
    <w:name w:val="heading 2"/>
    <w:basedOn w:val="Normal"/>
    <w:next w:val="Normal"/>
    <w:link w:val="Pennawd2Nod"/>
    <w:uiPriority w:val="9"/>
    <w:semiHidden/>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Pennawd3">
    <w:name w:val="heading 3"/>
    <w:basedOn w:val="Normal"/>
    <w:next w:val="Normal"/>
    <w:link w:val="Pennawd3Nod"/>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Pennawd4">
    <w:name w:val="heading 4"/>
    <w:basedOn w:val="Normal"/>
    <w:next w:val="Normal"/>
    <w:link w:val="Pennawd4Nod"/>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Pennawd5">
    <w:name w:val="heading 5"/>
    <w:basedOn w:val="Normal"/>
    <w:next w:val="Normal"/>
    <w:link w:val="Pennawd5Nod"/>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Pennawd6">
    <w:name w:val="heading 6"/>
    <w:basedOn w:val="Normal"/>
    <w:next w:val="Normal"/>
    <w:link w:val="Pennawd6Nod"/>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FfontParagraffDdiofyn" w:default="1">
    <w:name w:val="Default Paragraph Font"/>
    <w:uiPriority w:val="1"/>
    <w:semiHidden/>
    <w:unhideWhenUsed/>
  </w:style>
  <w:style w:type="table" w:styleId="TablNormal" w:default="1">
    <w:name w:val="Normal Table"/>
    <w:uiPriority w:val="99"/>
    <w:semiHidden/>
    <w:unhideWhenUsed/>
    <w:tblPr>
      <w:tblInd w:w="0" w:type="dxa"/>
      <w:tblCellMar>
        <w:top w:w="0" w:type="dxa"/>
        <w:left w:w="108" w:type="dxa"/>
        <w:bottom w:w="0" w:type="dxa"/>
        <w:right w:w="108" w:type="dxa"/>
      </w:tblCellMar>
    </w:tblPr>
  </w:style>
  <w:style w:type="numbering" w:styleId="DimRhestr" w:default="1">
    <w:name w:val="No List"/>
    <w:uiPriority w:val="99"/>
    <w:semiHidden/>
    <w:unhideWhenUsed/>
  </w:style>
  <w:style w:type="character" w:styleId="Pennawd1Nod" w:customStyle="1">
    <w:name w:val="Pennawd 1 Nod"/>
    <w:basedOn w:val="FfontParagraffDdiofyn"/>
    <w:link w:val="Pennawd1"/>
    <w:uiPriority w:val="9"/>
    <w:rsid w:val="000C68CB"/>
    <w:rPr>
      <w:rFonts w:asciiTheme="majorHAnsi" w:hAnsiTheme="majorHAnsi" w:eastAsiaTheme="majorEastAsia" w:cstheme="majorBidi"/>
      <w:color w:val="0F4761" w:themeColor="accent1" w:themeShade="BF"/>
      <w:sz w:val="40"/>
      <w:szCs w:val="40"/>
    </w:rPr>
  </w:style>
  <w:style w:type="character" w:styleId="Pennawd2Nod" w:customStyle="1">
    <w:name w:val="Pennawd 2 Nod"/>
    <w:basedOn w:val="FfontParagraffDdiofyn"/>
    <w:link w:val="Pennawd2"/>
    <w:uiPriority w:val="9"/>
    <w:semiHidden/>
    <w:rsid w:val="000C68CB"/>
    <w:rPr>
      <w:rFonts w:asciiTheme="majorHAnsi" w:hAnsiTheme="majorHAnsi" w:eastAsiaTheme="majorEastAsia" w:cstheme="majorBidi"/>
      <w:color w:val="0F4761" w:themeColor="accent1" w:themeShade="BF"/>
      <w:sz w:val="32"/>
      <w:szCs w:val="32"/>
    </w:rPr>
  </w:style>
  <w:style w:type="character" w:styleId="Pennawd3Nod" w:customStyle="1">
    <w:name w:val="Pennawd 3 Nod"/>
    <w:basedOn w:val="FfontParagraffDdiofyn"/>
    <w:link w:val="Pennawd3"/>
    <w:uiPriority w:val="9"/>
    <w:semiHidden/>
    <w:rsid w:val="000C68CB"/>
    <w:rPr>
      <w:rFonts w:eastAsiaTheme="majorEastAsia" w:cstheme="majorBidi"/>
      <w:color w:val="0F4761" w:themeColor="accent1" w:themeShade="BF"/>
      <w:sz w:val="28"/>
      <w:szCs w:val="28"/>
    </w:rPr>
  </w:style>
  <w:style w:type="character" w:styleId="Pennawd4Nod" w:customStyle="1">
    <w:name w:val="Pennawd 4 Nod"/>
    <w:basedOn w:val="FfontParagraffDdiofyn"/>
    <w:link w:val="Pennawd4"/>
    <w:uiPriority w:val="9"/>
    <w:semiHidden/>
    <w:rsid w:val="000C68CB"/>
    <w:rPr>
      <w:rFonts w:eastAsiaTheme="majorEastAsia" w:cstheme="majorBidi"/>
      <w:i/>
      <w:iCs/>
      <w:color w:val="0F4761" w:themeColor="accent1" w:themeShade="BF"/>
    </w:rPr>
  </w:style>
  <w:style w:type="character" w:styleId="Pennawd5Nod" w:customStyle="1">
    <w:name w:val="Pennawd 5 Nod"/>
    <w:basedOn w:val="FfontParagraffDdiofyn"/>
    <w:link w:val="Pennawd5"/>
    <w:uiPriority w:val="9"/>
    <w:semiHidden/>
    <w:rsid w:val="000C68CB"/>
    <w:rPr>
      <w:rFonts w:eastAsiaTheme="majorEastAsia" w:cstheme="majorBidi"/>
      <w:color w:val="0F4761" w:themeColor="accent1" w:themeShade="BF"/>
    </w:rPr>
  </w:style>
  <w:style w:type="character" w:styleId="Pennawd6Nod" w:customStyle="1">
    <w:name w:val="Pennawd 6 Nod"/>
    <w:basedOn w:val="FfontParagraffDdiofyn"/>
    <w:link w:val="Pennawd6"/>
    <w:uiPriority w:val="9"/>
    <w:semiHidden/>
    <w:rsid w:val="000C68CB"/>
    <w:rPr>
      <w:rFonts w:eastAsiaTheme="majorEastAsia" w:cstheme="majorBidi"/>
      <w:i/>
      <w:iCs/>
      <w:color w:val="595959" w:themeColor="text1" w:themeTint="A6"/>
    </w:rPr>
  </w:style>
  <w:style w:type="character" w:styleId="Pennawd7Nod" w:customStyle="1">
    <w:name w:val="Pennawd 7 Nod"/>
    <w:basedOn w:val="FfontParagraffDdiofyn"/>
    <w:link w:val="Pennawd7"/>
    <w:uiPriority w:val="9"/>
    <w:semiHidden/>
    <w:rsid w:val="000C68CB"/>
    <w:rPr>
      <w:rFonts w:eastAsiaTheme="majorEastAsia" w:cstheme="majorBidi"/>
      <w:color w:val="595959" w:themeColor="text1" w:themeTint="A6"/>
    </w:rPr>
  </w:style>
  <w:style w:type="character" w:styleId="Pennawd8Nod" w:customStyle="1">
    <w:name w:val="Pennawd 8 Nod"/>
    <w:basedOn w:val="FfontParagraffDdiofyn"/>
    <w:link w:val="Pennawd8"/>
    <w:uiPriority w:val="9"/>
    <w:semiHidden/>
    <w:rsid w:val="000C68CB"/>
    <w:rPr>
      <w:rFonts w:eastAsiaTheme="majorEastAsia" w:cstheme="majorBidi"/>
      <w:i/>
      <w:iCs/>
      <w:color w:val="272727" w:themeColor="text1" w:themeTint="D8"/>
    </w:rPr>
  </w:style>
  <w:style w:type="character" w:styleId="Pennawd9Nod" w:customStyle="1">
    <w:name w:val="Pennawd 9 Nod"/>
    <w:basedOn w:val="FfontParagraffDdiofyn"/>
    <w:link w:val="Pennawd9"/>
    <w:uiPriority w:val="9"/>
    <w:semiHidden/>
    <w:rsid w:val="000C68CB"/>
    <w:rPr>
      <w:rFonts w:eastAsiaTheme="majorEastAsia" w:cstheme="majorBidi"/>
      <w:color w:val="272727" w:themeColor="text1" w:themeTint="D8"/>
    </w:rPr>
  </w:style>
  <w:style w:type="paragraph" w:styleId="Teitl">
    <w:name w:val="Title"/>
    <w:basedOn w:val="Normal"/>
    <w:next w:val="Normal"/>
    <w:link w:val="TeitlNod"/>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eitlNod" w:customStyle="1">
    <w:name w:val="Teitl Nod"/>
    <w:basedOn w:val="FfontParagraffDdiofyn"/>
    <w:link w:val="Teitl"/>
    <w:uiPriority w:val="10"/>
    <w:rsid w:val="000C68CB"/>
    <w:rPr>
      <w:rFonts w:asciiTheme="majorHAnsi" w:hAnsiTheme="majorHAnsi" w:eastAsiaTheme="majorEastAsia" w:cstheme="majorBidi"/>
      <w:spacing w:val="-10"/>
      <w:kern w:val="28"/>
      <w:sz w:val="56"/>
      <w:szCs w:val="56"/>
    </w:rPr>
  </w:style>
  <w:style w:type="paragraph" w:styleId="Isdeitl">
    <w:name w:val="Subtitle"/>
    <w:basedOn w:val="Normal"/>
    <w:next w:val="Normal"/>
    <w:link w:val="IsdeitlNod"/>
    <w:uiPriority w:val="11"/>
    <w:qFormat/>
    <w:rsid w:val="000C68CB"/>
    <w:pPr>
      <w:numPr>
        <w:ilvl w:val="1"/>
      </w:numPr>
    </w:pPr>
    <w:rPr>
      <w:rFonts w:eastAsiaTheme="majorEastAsia" w:cstheme="majorBidi"/>
      <w:color w:val="595959" w:themeColor="text1" w:themeTint="A6"/>
      <w:spacing w:val="15"/>
      <w:sz w:val="28"/>
      <w:szCs w:val="28"/>
    </w:rPr>
  </w:style>
  <w:style w:type="character" w:styleId="IsdeitlNod" w:customStyle="1">
    <w:name w:val="Isdeitl Nod"/>
    <w:basedOn w:val="FfontParagraffDdiofyn"/>
    <w:link w:val="Isdeitl"/>
    <w:uiPriority w:val="11"/>
    <w:rsid w:val="000C68CB"/>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0C68CB"/>
    <w:pPr>
      <w:spacing w:before="160"/>
      <w:jc w:val="center"/>
    </w:pPr>
    <w:rPr>
      <w:i/>
      <w:iCs/>
      <w:color w:val="404040" w:themeColor="text1" w:themeTint="BF"/>
    </w:rPr>
  </w:style>
  <w:style w:type="character" w:styleId="DyfyniadNod" w:customStyle="1">
    <w:name w:val="Dyfyniad Nod"/>
    <w:basedOn w:val="FfontParagraffDdiofyn"/>
    <w:link w:val="Dyfyniad"/>
    <w:uiPriority w:val="29"/>
    <w:rsid w:val="000C68CB"/>
    <w:rPr>
      <w:i/>
      <w:iCs/>
      <w:color w:val="404040" w:themeColor="text1" w:themeTint="BF"/>
    </w:rPr>
  </w:style>
  <w:style w:type="paragraph" w:styleId="ParagraffRhestr">
    <w:name w:val="List Paragraph"/>
    <w:basedOn w:val="Normal"/>
    <w:uiPriority w:val="34"/>
    <w:qFormat/>
    <w:rsid w:val="000C68CB"/>
    <w:pPr>
      <w:ind w:left="720"/>
      <w:contextualSpacing/>
    </w:pPr>
  </w:style>
  <w:style w:type="character" w:styleId="PwyslaisDdwys">
    <w:name w:val="Intense Emphasis"/>
    <w:basedOn w:val="FfontParagraffDdiofyn"/>
    <w:uiPriority w:val="21"/>
    <w:qFormat/>
    <w:rsid w:val="000C68CB"/>
    <w:rPr>
      <w:i/>
      <w:iCs/>
      <w:color w:val="0F4761" w:themeColor="accent1" w:themeShade="BF"/>
    </w:rPr>
  </w:style>
  <w:style w:type="paragraph" w:styleId="DyfyniadDwys">
    <w:name w:val="Intense Quote"/>
    <w:basedOn w:val="Normal"/>
    <w:next w:val="Normal"/>
    <w:link w:val="DyfyniadDwysNod"/>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DyfyniadDwysNod" w:customStyle="1">
    <w:name w:val="Dyfyniad Dwys Nod"/>
    <w:basedOn w:val="FfontParagraffDdiofyn"/>
    <w:link w:val="DyfyniadDwys"/>
    <w:uiPriority w:val="30"/>
    <w:rsid w:val="000C68CB"/>
    <w:rPr>
      <w:i/>
      <w:iCs/>
      <w:color w:val="0F4761" w:themeColor="accent1" w:themeShade="BF"/>
    </w:rPr>
  </w:style>
  <w:style w:type="character" w:styleId="CyfeirnodDwys">
    <w:name w:val="Intense Reference"/>
    <w:basedOn w:val="FfontParagraffDdiofyn"/>
    <w:uiPriority w:val="32"/>
    <w:qFormat/>
    <w:rsid w:val="000C68CB"/>
    <w:rPr>
      <w:b/>
      <w:bCs/>
      <w:smallCaps/>
      <w:color w:val="0F4761" w:themeColor="accent1" w:themeShade="BF"/>
      <w:spacing w:val="5"/>
    </w:rPr>
  </w:style>
  <w:style w:type="table" w:styleId="GridTabl">
    <w:name w:val="Table Grid"/>
    <w:basedOn w:val="TablNormal"/>
    <w:uiPriority w:val="39"/>
    <w:rsid w:val="0000375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FfontParagraffDdiofyn"/>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 Type="http://schemas.microsoft.com/office/2020/10/relationships/intelligence" Target="intelligence2.xml" Id="R6c9df19d613d4d05" /><Relationship Type="http://schemas.openxmlformats.org/officeDocument/2006/relationships/hyperlink" Target="https://www.scribbr.co.uk/research-methods/questionnaire-design/" TargetMode="External" Id="R3ad5303d5ea44024" /><Relationship Type="http://schemas.openxmlformats.org/officeDocument/2006/relationships/hyperlink" Target="https://www.lyssna.com/blog/semi-structured-interviews/" TargetMode="External" Id="Rac2d5026e33b4ecb" /><Relationship Type="http://schemas.openxmlformats.org/officeDocument/2006/relationships/hyperlink" Target="http://www.bera.ac.uk/publication/ethicalguidelines-for-educational-research-2024" TargetMode="External" Id="R2afe15d1b54b4174" /><Relationship Type="http://schemas.openxmlformats.org/officeDocument/2006/relationships/hyperlink" Target="https://estyn.gov.wales/improvement-resources/using-effective-assessment-strategies-to-improve-pupils-engagement-outcomes-and-understanding-of-how-they-learn/" TargetMode="External" Id="Rc3f41fe9673d4220" /><Relationship Type="http://schemas.openxmlformats.org/officeDocument/2006/relationships/hyperlink" Target="https://www.scribbr.co.uk/research-methods/types-of-interviews/" TargetMode="External" Id="Rd1cfb4561c7e458c" /><Relationship Type="http://schemas.openxmlformats.org/officeDocument/2006/relationships/hyperlink" Target="https://www.edutopia.org/article/framework-lesson-planning" TargetMode="External" Id="R528be72c43b94f87" /><Relationship Type="http://schemas.openxmlformats.org/officeDocument/2006/relationships/hyperlink" Target="https://www.youtube.com/watch?v=OGyvDvOegXE" TargetMode="External" Id="R006c05a6db984b63" /><Relationship Type="http://schemas.openxmlformats.org/officeDocument/2006/relationships/hyperlink" Target="https://techbullion.com/advantages-and-disadvantages-of-using-qualitative-research-methodology/" TargetMode="External" Id="R137d391af7804749" /><Relationship Type="http://schemas.openxmlformats.org/officeDocument/2006/relationships/hyperlink" Target="https://www.educba.com/advantages-and-disadvantages-of-questionnaires/" TargetMode="External" Id="R3838eed6e01547c2" /><Relationship Type="http://schemas.openxmlformats.org/officeDocument/2006/relationships/hyperlink" Target="https://doi.org/10.20944/preprints202106.0491.v1" TargetMode="External" Id="R408f558dab6c42f1" /><Relationship Type="http://schemas.openxmlformats.org/officeDocument/2006/relationships/hyperlink" Target="https://openjournals.ljmu.ac.uk/DesignTechnologyEducation/article/view/1291" TargetMode="External" Id="R5f4bd20f567b48de" /><Relationship Type="http://schemas.openxmlformats.org/officeDocument/2006/relationships/hyperlink" Target="https://pointerpro.com/blog/questionnaire-pros-and-cons/" TargetMode="External" Id="Rd003a42c13c54248" /><Relationship Type="http://schemas.openxmlformats.org/officeDocument/2006/relationships/hyperlink" Target="https://www.wwwords.co.uk/CIEC" TargetMode="External" Id="Rc5071f198b394847" /><Relationship Type="http://schemas.openxmlformats.org/officeDocument/2006/relationships/hyperlink" Target="https://doi.org/10.1080/09585176.2015.1103278" TargetMode="External" Id="R622af64a46e1463d" /><Relationship Type="http://schemas.openxmlformats.org/officeDocument/2006/relationships/hyperlink" Target="http://www.jstor.org/stable/42923742" TargetMode="External" Id="R4b0ff20374b54411" /><Relationship Type="http://schemas.openxmlformats.org/officeDocument/2006/relationships/hyperlink" Target="https://www.simplypsychology.org/vygotsky.html" TargetMode="External" Id="R974c42e2ebb742f2" /><Relationship Type="http://schemas.openxmlformats.org/officeDocument/2006/relationships/hyperlink" Target="https://doi.org/10.1016/j.ijnurstu.2010.06.004" TargetMode="External" Id="R9c4aaa9b65f34659" /><Relationship Type="http://schemas.openxmlformats.org/officeDocument/2006/relationships/hyperlink" Target="https://revisesociology.com/2015/05/18/positivism-interpretivism-sociology/" TargetMode="External" Id="R39146ed2b0bb4759" /><Relationship Type="http://schemas.openxmlformats.org/officeDocument/2006/relationships/hyperlink" Target="https://www.facultyfocus.com/articles/educational-assessment/five-reasons-to-stop-giving-exams-in-class/" TargetMode="External" Id="R3644a441520d4c45" /><Relationship Type="http://schemas.openxmlformats.org/officeDocument/2006/relationships/hyperlink" Target="https://doi.org/10.17863" TargetMode="External" Id="R8e9b949964d84fa6" /><Relationship Type="http://schemas.openxmlformats.org/officeDocument/2006/relationships/hyperlink" Target="https://cloudfront-s3.solutiontree.com/pdfs/Reproducibles_EFA/The-Main-Idea-Embedded-Formative-Assessment-March-2013.pdf" TargetMode="External" Id="R284cc7a49fad4e38" /><Relationship Type="http://schemas.openxmlformats.org/officeDocument/2006/relationships/hyperlink" Target="https://revisesociology.com/2017/04/02/oultline-why-positivists-use-quantitative-methods-10/" TargetMode="External" Id="Rd5bfa6cb258b423f" /><Relationship Type="http://schemas.openxmlformats.org/officeDocument/2006/relationships/hyperlink" Target="https://www.legislation.gov.uk/ukpga/2018/12/pdfs/ukpga_20180012_en.pdf" TargetMode="External" Id="R747460ab79574c90" /><Relationship Type="http://schemas.openxmlformats.org/officeDocument/2006/relationships/hyperlink" Target="https://www.unicef.org.uk/what-we-do/un-convention-child-rights/" TargetMode="External" Id="Rc5cdfb470ce64975" /><Relationship Type="http://schemas.openxmlformats.org/officeDocument/2006/relationships/hyperlink" Target="https://www.youtube.com/watch?v=fC29IyqPVr0" TargetMode="External" Id="R5722163a1af84844" /><Relationship Type="http://schemas.openxmlformats.org/officeDocument/2006/relationships/hyperlink" Target="https://hwb.gov.wales/curriculum-for-wales/designing-your-curriculum/pedagogy" TargetMode="External" Id="R1126badfee0e41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Kelsey Pratt (2300873)</lastModifiedBy>
  <revision>8</revision>
  <dcterms:created xsi:type="dcterms:W3CDTF">2025-01-29T15:59:00.0000000Z</dcterms:created>
  <dcterms:modified xsi:type="dcterms:W3CDTF">2025-04-03T13:58:42.7588686Z</dcterms:modified>
</coreProperties>
</file>