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02C75" w14:textId="0F1B7855" w:rsidR="006A1427" w:rsidRPr="006A1427" w:rsidRDefault="00245B74" w:rsidP="000D7B33">
      <w:pPr>
        <w:spacing w:after="160" w:line="360" w:lineRule="auto"/>
        <w:jc w:val="center"/>
        <w:rPr>
          <w:rFonts w:eastAsiaTheme="minorHAnsi"/>
          <w:kern w:val="2"/>
          <w:lang w:val="en-GB" w:eastAsia="en-US"/>
          <w14:ligatures w14:val="standardContextual"/>
        </w:rPr>
      </w:pPr>
      <w:r w:rsidRPr="000D7B33">
        <w:rPr>
          <w:rFonts w:eastAsia="Vidaloka"/>
          <w:b/>
          <w:bCs/>
          <w:color w:val="000000" w:themeColor="dark1"/>
          <w:kern w:val="2"/>
          <w:sz w:val="60"/>
          <w:szCs w:val="60"/>
          <w:lang w:val="en-US" w:eastAsia="en-US"/>
          <w14:ligatures w14:val="standardContextual"/>
        </w:rPr>
        <w:t>Planning and Delivering an International Meeting/Event</w:t>
      </w:r>
    </w:p>
    <w:p w14:paraId="61863AC0" w14:textId="77777777" w:rsidR="006A1427" w:rsidRPr="006A1427" w:rsidRDefault="006A1427" w:rsidP="000D7B33">
      <w:pPr>
        <w:spacing w:after="160" w:line="360" w:lineRule="auto"/>
        <w:jc w:val="center"/>
        <w:rPr>
          <w:rFonts w:eastAsiaTheme="minorHAnsi"/>
          <w:kern w:val="2"/>
          <w:lang w:val="en-GB" w:eastAsia="en-US"/>
          <w14:ligatures w14:val="standardContextual"/>
        </w:rPr>
      </w:pPr>
    </w:p>
    <w:p w14:paraId="52A89BD8" w14:textId="77777777" w:rsidR="006A1427" w:rsidRPr="006A1427" w:rsidRDefault="006A1427" w:rsidP="000D7B33">
      <w:pPr>
        <w:spacing w:after="160" w:line="360" w:lineRule="auto"/>
        <w:rPr>
          <w:rFonts w:eastAsiaTheme="minorHAnsi"/>
          <w:kern w:val="2"/>
          <w:lang w:val="en-GB" w:eastAsia="en-US"/>
          <w14:ligatures w14:val="standardContextual"/>
        </w:rPr>
      </w:pPr>
    </w:p>
    <w:p w14:paraId="296F959F" w14:textId="77777777" w:rsidR="006A1427" w:rsidRPr="006A1427" w:rsidRDefault="006A1427" w:rsidP="000D7B33">
      <w:pPr>
        <w:spacing w:after="160" w:line="360" w:lineRule="auto"/>
        <w:rPr>
          <w:rFonts w:eastAsiaTheme="minorHAnsi"/>
          <w:kern w:val="2"/>
          <w:lang w:val="en-GB" w:eastAsia="en-US"/>
          <w14:ligatures w14:val="standardContextual"/>
        </w:rPr>
      </w:pPr>
    </w:p>
    <w:p w14:paraId="38CBBAAC" w14:textId="77777777" w:rsidR="006A1427" w:rsidRPr="006A1427" w:rsidRDefault="006A1427" w:rsidP="000D7B33">
      <w:pPr>
        <w:spacing w:after="160" w:line="360" w:lineRule="auto"/>
        <w:rPr>
          <w:rFonts w:eastAsiaTheme="minorHAnsi"/>
          <w:kern w:val="2"/>
          <w:lang w:val="en-GB" w:eastAsia="en-US"/>
          <w14:ligatures w14:val="standardContextual"/>
        </w:rPr>
      </w:pPr>
    </w:p>
    <w:p w14:paraId="7AC51E04" w14:textId="77777777" w:rsidR="006A1427" w:rsidRPr="006A1427" w:rsidRDefault="006A1427" w:rsidP="000D7B33">
      <w:pPr>
        <w:spacing w:after="160" w:line="360" w:lineRule="auto"/>
        <w:rPr>
          <w:rFonts w:eastAsiaTheme="minorHAnsi"/>
          <w:kern w:val="2"/>
          <w:lang w:val="en-GB" w:eastAsia="en-US"/>
          <w14:ligatures w14:val="standardContextual"/>
        </w:rPr>
      </w:pPr>
    </w:p>
    <w:p w14:paraId="771D6EDE" w14:textId="77777777" w:rsidR="006A1427" w:rsidRPr="006A1427" w:rsidRDefault="006A1427" w:rsidP="000D7B33">
      <w:pPr>
        <w:spacing w:after="160" w:line="360" w:lineRule="auto"/>
        <w:rPr>
          <w:rFonts w:eastAsiaTheme="minorHAnsi"/>
          <w:kern w:val="2"/>
          <w:lang w:val="en-GB" w:eastAsia="en-US"/>
          <w14:ligatures w14:val="standardContextual"/>
        </w:rPr>
      </w:pPr>
    </w:p>
    <w:p w14:paraId="3F333EBF" w14:textId="77777777" w:rsidR="006A1427" w:rsidRPr="006A1427" w:rsidRDefault="006A1427" w:rsidP="000D7B33">
      <w:pPr>
        <w:spacing w:after="160" w:line="360" w:lineRule="auto"/>
        <w:rPr>
          <w:rFonts w:eastAsiaTheme="minorHAnsi"/>
          <w:kern w:val="2"/>
          <w:lang w:val="en-GB" w:eastAsia="en-US"/>
          <w14:ligatures w14:val="standardContextual"/>
        </w:rPr>
      </w:pPr>
    </w:p>
    <w:p w14:paraId="2BFB0838" w14:textId="77777777" w:rsidR="006A1427" w:rsidRPr="006A1427" w:rsidRDefault="006A1427" w:rsidP="000D7B33">
      <w:pPr>
        <w:spacing w:line="360" w:lineRule="auto"/>
        <w:rPr>
          <w:rFonts w:eastAsia="Montserrat"/>
          <w:b/>
          <w:bCs/>
          <w:color w:val="000000" w:themeColor="dark1"/>
          <w:sz w:val="32"/>
          <w:szCs w:val="32"/>
          <w:lang w:val="en-US" w:eastAsia="en-GB"/>
        </w:rPr>
      </w:pPr>
      <w:r w:rsidRPr="006A1427">
        <w:rPr>
          <w:rFonts w:eastAsia="Montserrat"/>
          <w:b/>
          <w:bCs/>
          <w:color w:val="000000" w:themeColor="dark1"/>
          <w:sz w:val="32"/>
          <w:szCs w:val="32"/>
          <w:lang w:val="en-US" w:eastAsia="en-GB"/>
        </w:rPr>
        <w:t>Student Name: Rica Chivu</w:t>
      </w:r>
    </w:p>
    <w:p w14:paraId="58771639" w14:textId="77777777" w:rsidR="006A1427" w:rsidRPr="006A1427" w:rsidRDefault="006A1427" w:rsidP="000D7B33">
      <w:pPr>
        <w:spacing w:line="360" w:lineRule="auto"/>
        <w:rPr>
          <w:rFonts w:eastAsia="Times New Roman"/>
          <w:sz w:val="24"/>
          <w:szCs w:val="24"/>
          <w:lang w:val="en-GB" w:eastAsia="en-GB"/>
        </w:rPr>
      </w:pPr>
    </w:p>
    <w:p w14:paraId="6B9C664A" w14:textId="77777777" w:rsidR="006A1427" w:rsidRPr="006A1427" w:rsidRDefault="006A1427" w:rsidP="000D7B33">
      <w:pPr>
        <w:spacing w:line="360" w:lineRule="auto"/>
        <w:rPr>
          <w:rFonts w:eastAsia="Montserrat"/>
          <w:b/>
          <w:bCs/>
          <w:color w:val="000000" w:themeColor="dark1"/>
          <w:sz w:val="32"/>
          <w:szCs w:val="32"/>
          <w:lang w:val="en-US" w:eastAsia="en-GB"/>
        </w:rPr>
      </w:pPr>
      <w:r w:rsidRPr="006A1427">
        <w:rPr>
          <w:rFonts w:eastAsia="Montserrat"/>
          <w:b/>
          <w:bCs/>
          <w:color w:val="000000" w:themeColor="dark1"/>
          <w:sz w:val="32"/>
          <w:szCs w:val="32"/>
          <w:lang w:val="en-US" w:eastAsia="en-GB"/>
        </w:rPr>
        <w:t>Student ID: 2132458</w:t>
      </w:r>
    </w:p>
    <w:p w14:paraId="6A0D2010" w14:textId="77777777" w:rsidR="006A1427" w:rsidRPr="006A1427" w:rsidRDefault="006A1427" w:rsidP="000D7B33">
      <w:pPr>
        <w:spacing w:line="360" w:lineRule="auto"/>
        <w:rPr>
          <w:rFonts w:eastAsia="Montserrat"/>
          <w:b/>
          <w:bCs/>
          <w:color w:val="000000" w:themeColor="dark1"/>
          <w:sz w:val="32"/>
          <w:szCs w:val="32"/>
          <w:lang w:val="en-US" w:eastAsia="en-GB"/>
        </w:rPr>
      </w:pPr>
    </w:p>
    <w:p w14:paraId="1493F755" w14:textId="55B78245" w:rsidR="006A1427" w:rsidRPr="006A1427" w:rsidRDefault="006A1427" w:rsidP="000D7B33">
      <w:pPr>
        <w:spacing w:line="360" w:lineRule="auto"/>
        <w:rPr>
          <w:rFonts w:eastAsia="Montserrat"/>
          <w:b/>
          <w:bCs/>
          <w:color w:val="000000" w:themeColor="dark1"/>
          <w:sz w:val="32"/>
          <w:szCs w:val="32"/>
          <w:lang w:val="en-US" w:eastAsia="en-GB"/>
        </w:rPr>
      </w:pPr>
      <w:r w:rsidRPr="006A1427">
        <w:rPr>
          <w:rFonts w:eastAsia="Montserrat"/>
          <w:b/>
          <w:bCs/>
          <w:color w:val="000000" w:themeColor="dark1"/>
          <w:sz w:val="32"/>
          <w:szCs w:val="32"/>
          <w:lang w:val="en-US" w:eastAsia="en-GB"/>
        </w:rPr>
        <w:t>Module Title: International Meetings Management</w:t>
      </w:r>
    </w:p>
    <w:p w14:paraId="0B84327A" w14:textId="77777777" w:rsidR="006A1427" w:rsidRPr="006A1427" w:rsidRDefault="006A1427" w:rsidP="000D7B33">
      <w:pPr>
        <w:spacing w:line="360" w:lineRule="auto"/>
        <w:rPr>
          <w:rFonts w:eastAsia="Montserrat"/>
          <w:b/>
          <w:bCs/>
          <w:color w:val="000000" w:themeColor="dark1"/>
          <w:sz w:val="32"/>
          <w:szCs w:val="32"/>
          <w:lang w:val="en-US" w:eastAsia="en-GB"/>
        </w:rPr>
      </w:pPr>
    </w:p>
    <w:p w14:paraId="69912771" w14:textId="77777777" w:rsidR="006A1427" w:rsidRPr="006A1427" w:rsidRDefault="006A1427" w:rsidP="000D7B33">
      <w:pPr>
        <w:spacing w:line="360" w:lineRule="auto"/>
        <w:rPr>
          <w:rFonts w:eastAsia="Montserrat"/>
          <w:b/>
          <w:bCs/>
          <w:color w:val="000000" w:themeColor="dark1"/>
          <w:sz w:val="32"/>
          <w:szCs w:val="32"/>
          <w:lang w:val="en-US" w:eastAsia="en-GB"/>
        </w:rPr>
      </w:pPr>
      <w:r w:rsidRPr="006A1427">
        <w:rPr>
          <w:rFonts w:eastAsia="Montserrat"/>
          <w:b/>
          <w:bCs/>
          <w:color w:val="000000" w:themeColor="dark1"/>
          <w:sz w:val="32"/>
          <w:szCs w:val="32"/>
          <w:lang w:val="en-US" w:eastAsia="en-GB"/>
        </w:rPr>
        <w:t>Module Code: BMIH6007</w:t>
      </w:r>
    </w:p>
    <w:p w14:paraId="00A311F1" w14:textId="77777777" w:rsidR="006A1427" w:rsidRPr="006A1427" w:rsidRDefault="006A1427" w:rsidP="000D7B33">
      <w:pPr>
        <w:spacing w:line="360" w:lineRule="auto"/>
        <w:rPr>
          <w:rFonts w:eastAsia="Montserrat"/>
          <w:b/>
          <w:bCs/>
          <w:color w:val="000000" w:themeColor="dark1"/>
          <w:sz w:val="32"/>
          <w:szCs w:val="32"/>
          <w:lang w:val="en-US" w:eastAsia="en-GB"/>
        </w:rPr>
      </w:pPr>
    </w:p>
    <w:p w14:paraId="0AF3EFA5" w14:textId="77777777" w:rsidR="006A1427" w:rsidRPr="006A1427" w:rsidRDefault="006A1427" w:rsidP="000D7B33">
      <w:pPr>
        <w:spacing w:line="360" w:lineRule="auto"/>
        <w:rPr>
          <w:rFonts w:eastAsia="Montserrat"/>
          <w:b/>
          <w:bCs/>
          <w:color w:val="000000" w:themeColor="dark1"/>
          <w:sz w:val="32"/>
          <w:szCs w:val="32"/>
          <w:lang w:val="en-US" w:eastAsia="en-GB"/>
        </w:rPr>
      </w:pPr>
      <w:r w:rsidRPr="006A1427">
        <w:rPr>
          <w:rFonts w:eastAsia="Montserrat"/>
          <w:b/>
          <w:bCs/>
          <w:color w:val="000000" w:themeColor="dark1"/>
          <w:sz w:val="32"/>
          <w:szCs w:val="32"/>
          <w:lang w:val="en-US" w:eastAsia="en-GB"/>
        </w:rPr>
        <w:t>Lecturer Name: Kathryn Flynn</w:t>
      </w:r>
    </w:p>
    <w:p w14:paraId="6B5D0A9D" w14:textId="77777777" w:rsidR="00F7340A" w:rsidRPr="000D7B33" w:rsidRDefault="00F7340A" w:rsidP="000D7B33">
      <w:pPr>
        <w:spacing w:line="360" w:lineRule="auto"/>
        <w:jc w:val="center"/>
        <w:rPr>
          <w:sz w:val="32"/>
          <w:szCs w:val="32"/>
        </w:rPr>
      </w:pPr>
    </w:p>
    <w:p w14:paraId="6B6D1D79" w14:textId="77777777" w:rsidR="00F7340A" w:rsidRPr="000D7B33" w:rsidRDefault="00F7340A" w:rsidP="000D7B33">
      <w:pPr>
        <w:spacing w:line="360" w:lineRule="auto"/>
        <w:jc w:val="center"/>
        <w:rPr>
          <w:sz w:val="32"/>
          <w:szCs w:val="32"/>
        </w:rPr>
      </w:pPr>
    </w:p>
    <w:p w14:paraId="5AFDE5CC" w14:textId="6DB323A4" w:rsidR="002065CE" w:rsidRDefault="002065CE" w:rsidP="00F7340A">
      <w:pPr>
        <w:rPr>
          <w:rFonts w:ascii="Times New Roman" w:hAnsi="Times New Roman" w:cs="Times New Roman"/>
          <w:b/>
          <w:sz w:val="24"/>
          <w:szCs w:val="24"/>
        </w:rPr>
      </w:pPr>
    </w:p>
    <w:p w14:paraId="2A9FFF41" w14:textId="77777777" w:rsidR="004953EC" w:rsidRDefault="004953EC" w:rsidP="00F7340A">
      <w:pPr>
        <w:rPr>
          <w:rFonts w:ascii="Times New Roman" w:hAnsi="Times New Roman" w:cs="Times New Roman"/>
          <w:b/>
          <w:sz w:val="24"/>
          <w:szCs w:val="24"/>
        </w:rPr>
      </w:pPr>
    </w:p>
    <w:p w14:paraId="7453ABAD" w14:textId="77777777" w:rsidR="00FC1FFD" w:rsidRDefault="00FC1FFD" w:rsidP="00F7340A">
      <w:pPr>
        <w:rPr>
          <w:rFonts w:ascii="Times New Roman" w:hAnsi="Times New Roman" w:cs="Times New Roman"/>
          <w:b/>
          <w:sz w:val="24"/>
          <w:szCs w:val="24"/>
        </w:rPr>
      </w:pPr>
    </w:p>
    <w:p w14:paraId="20D3B187" w14:textId="77777777" w:rsidR="004953EC" w:rsidRDefault="004953EC" w:rsidP="00F7340A">
      <w:pPr>
        <w:rPr>
          <w:rFonts w:ascii="Times New Roman" w:hAnsi="Times New Roman" w:cs="Times New Roman"/>
          <w:b/>
          <w:sz w:val="24"/>
          <w:szCs w:val="24"/>
        </w:rPr>
      </w:pPr>
    </w:p>
    <w:sdt>
      <w:sdtPr>
        <w:rPr>
          <w:rFonts w:ascii="Times New Roman" w:eastAsia="Arial" w:hAnsi="Times New Roman" w:cs="Times New Roman"/>
          <w:color w:val="auto"/>
          <w:sz w:val="24"/>
          <w:szCs w:val="24"/>
          <w:lang w:val="en-IN"/>
        </w:rPr>
        <w:id w:val="-713417477"/>
        <w:docPartObj>
          <w:docPartGallery w:val="Table of Contents"/>
          <w:docPartUnique/>
        </w:docPartObj>
      </w:sdtPr>
      <w:sdtEndPr>
        <w:rPr>
          <w:b/>
          <w:bCs/>
          <w:noProof/>
        </w:rPr>
      </w:sdtEndPr>
      <w:sdtContent>
        <w:p w14:paraId="24D1BE65" w14:textId="77777777" w:rsidR="004953EC" w:rsidRPr="00222CBE" w:rsidRDefault="004953EC" w:rsidP="004953EC">
          <w:pPr>
            <w:pStyle w:val="TOCHeading"/>
            <w:spacing w:line="360" w:lineRule="auto"/>
            <w:jc w:val="both"/>
            <w:rPr>
              <w:rFonts w:ascii="Times New Roman" w:hAnsi="Times New Roman" w:cs="Times New Roman"/>
              <w:color w:val="auto"/>
              <w:sz w:val="24"/>
              <w:szCs w:val="24"/>
            </w:rPr>
          </w:pPr>
          <w:r w:rsidRPr="00222CBE">
            <w:rPr>
              <w:rFonts w:ascii="Times New Roman" w:hAnsi="Times New Roman" w:cs="Times New Roman"/>
              <w:color w:val="auto"/>
              <w:sz w:val="24"/>
              <w:szCs w:val="24"/>
            </w:rPr>
            <w:t>Table of Contents</w:t>
          </w:r>
        </w:p>
        <w:p w14:paraId="1D81F798" w14:textId="77777777" w:rsidR="004953EC" w:rsidRPr="00FC7294" w:rsidRDefault="004953EC" w:rsidP="004953EC">
          <w:pPr>
            <w:pStyle w:val="TOC1"/>
            <w:tabs>
              <w:tab w:val="right" w:leader="dot" w:pos="9019"/>
            </w:tabs>
            <w:spacing w:line="360" w:lineRule="auto"/>
            <w:jc w:val="both"/>
            <w:rPr>
              <w:rFonts w:ascii="Times New Roman" w:hAnsi="Times New Roman" w:cs="Times New Roman"/>
              <w:noProof/>
              <w:sz w:val="24"/>
              <w:szCs w:val="24"/>
            </w:rPr>
          </w:pPr>
          <w:r w:rsidRPr="00FC7294">
            <w:rPr>
              <w:rFonts w:ascii="Times New Roman" w:hAnsi="Times New Roman" w:cs="Times New Roman"/>
              <w:sz w:val="24"/>
              <w:szCs w:val="24"/>
            </w:rPr>
            <w:fldChar w:fldCharType="begin"/>
          </w:r>
          <w:r w:rsidRPr="00FC7294">
            <w:rPr>
              <w:rFonts w:ascii="Times New Roman" w:hAnsi="Times New Roman" w:cs="Times New Roman"/>
              <w:sz w:val="24"/>
              <w:szCs w:val="24"/>
            </w:rPr>
            <w:instrText xml:space="preserve"> TOC \o "1-3" \h \z \u </w:instrText>
          </w:r>
          <w:r w:rsidRPr="00FC7294">
            <w:rPr>
              <w:rFonts w:ascii="Times New Roman" w:hAnsi="Times New Roman" w:cs="Times New Roman"/>
              <w:sz w:val="24"/>
              <w:szCs w:val="24"/>
            </w:rPr>
            <w:fldChar w:fldCharType="separate"/>
          </w:r>
          <w:hyperlink w:anchor="_Toc165309426" w:history="1">
            <w:r w:rsidRPr="00FC7294">
              <w:rPr>
                <w:rStyle w:val="Hyperlink"/>
                <w:rFonts w:ascii="Times New Roman" w:hAnsi="Times New Roman" w:cs="Times New Roman"/>
                <w:noProof/>
                <w:sz w:val="24"/>
                <w:szCs w:val="24"/>
              </w:rPr>
              <w:t>1. Introduction</w:t>
            </w:r>
            <w:r w:rsidRPr="00FC7294">
              <w:rPr>
                <w:rFonts w:ascii="Times New Roman" w:hAnsi="Times New Roman" w:cs="Times New Roman"/>
                <w:noProof/>
                <w:webHidden/>
                <w:sz w:val="24"/>
                <w:szCs w:val="24"/>
              </w:rPr>
              <w:tab/>
            </w:r>
            <w:r w:rsidRPr="00FC7294">
              <w:rPr>
                <w:rFonts w:ascii="Times New Roman" w:hAnsi="Times New Roman" w:cs="Times New Roman"/>
                <w:noProof/>
                <w:webHidden/>
                <w:sz w:val="24"/>
                <w:szCs w:val="24"/>
              </w:rPr>
              <w:fldChar w:fldCharType="begin"/>
            </w:r>
            <w:r w:rsidRPr="00FC7294">
              <w:rPr>
                <w:rFonts w:ascii="Times New Roman" w:hAnsi="Times New Roman" w:cs="Times New Roman"/>
                <w:noProof/>
                <w:webHidden/>
                <w:sz w:val="24"/>
                <w:szCs w:val="24"/>
              </w:rPr>
              <w:instrText xml:space="preserve"> PAGEREF _Toc165309426 \h </w:instrText>
            </w:r>
            <w:r w:rsidRPr="00FC7294">
              <w:rPr>
                <w:rFonts w:ascii="Times New Roman" w:hAnsi="Times New Roman" w:cs="Times New Roman"/>
                <w:noProof/>
                <w:webHidden/>
                <w:sz w:val="24"/>
                <w:szCs w:val="24"/>
              </w:rPr>
            </w:r>
            <w:r w:rsidRPr="00FC7294">
              <w:rPr>
                <w:rFonts w:ascii="Times New Roman" w:hAnsi="Times New Roman" w:cs="Times New Roman"/>
                <w:noProof/>
                <w:webHidden/>
                <w:sz w:val="24"/>
                <w:szCs w:val="24"/>
              </w:rPr>
              <w:fldChar w:fldCharType="separate"/>
            </w:r>
            <w:r w:rsidRPr="00FC7294">
              <w:rPr>
                <w:rFonts w:ascii="Times New Roman" w:hAnsi="Times New Roman" w:cs="Times New Roman"/>
                <w:noProof/>
                <w:webHidden/>
                <w:sz w:val="24"/>
                <w:szCs w:val="24"/>
              </w:rPr>
              <w:t>3</w:t>
            </w:r>
            <w:r w:rsidRPr="00FC7294">
              <w:rPr>
                <w:rFonts w:ascii="Times New Roman" w:hAnsi="Times New Roman" w:cs="Times New Roman"/>
                <w:noProof/>
                <w:webHidden/>
                <w:sz w:val="24"/>
                <w:szCs w:val="24"/>
              </w:rPr>
              <w:fldChar w:fldCharType="end"/>
            </w:r>
          </w:hyperlink>
        </w:p>
        <w:p w14:paraId="1E043FF6"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27" w:history="1">
            <w:r w:rsidR="004953EC" w:rsidRPr="00FC7294">
              <w:rPr>
                <w:rStyle w:val="Hyperlink"/>
                <w:rFonts w:ascii="Times New Roman" w:hAnsi="Times New Roman" w:cs="Times New Roman"/>
                <w:noProof/>
                <w:sz w:val="24"/>
                <w:szCs w:val="24"/>
              </w:rPr>
              <w:t>2. The Event Cycle</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_Toc165309427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3</w:t>
            </w:r>
            <w:r w:rsidR="004953EC" w:rsidRPr="00FC7294">
              <w:rPr>
                <w:rFonts w:ascii="Times New Roman" w:hAnsi="Times New Roman" w:cs="Times New Roman"/>
                <w:noProof/>
                <w:webHidden/>
                <w:sz w:val="24"/>
                <w:szCs w:val="24"/>
              </w:rPr>
              <w:fldChar w:fldCharType="end"/>
            </w:r>
          </w:hyperlink>
        </w:p>
        <w:p w14:paraId="24168D9F"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28" w:history="1">
            <w:r w:rsidR="004953EC" w:rsidRPr="00FC7294">
              <w:rPr>
                <w:rStyle w:val="Hyperlink"/>
                <w:rFonts w:ascii="Times New Roman" w:hAnsi="Times New Roman" w:cs="Times New Roman"/>
                <w:noProof/>
                <w:sz w:val="24"/>
                <w:szCs w:val="24"/>
              </w:rPr>
              <w:t>3. Event Concept</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_Toc165309428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4</w:t>
            </w:r>
            <w:r w:rsidR="004953EC" w:rsidRPr="00FC7294">
              <w:rPr>
                <w:rFonts w:ascii="Times New Roman" w:hAnsi="Times New Roman" w:cs="Times New Roman"/>
                <w:noProof/>
                <w:webHidden/>
                <w:sz w:val="24"/>
                <w:szCs w:val="24"/>
              </w:rPr>
              <w:fldChar w:fldCharType="end"/>
            </w:r>
          </w:hyperlink>
        </w:p>
        <w:p w14:paraId="1043CAA8"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29" w:history="1">
            <w:r w:rsidR="004953EC" w:rsidRPr="00FC7294">
              <w:rPr>
                <w:rStyle w:val="Hyperlink"/>
                <w:rFonts w:ascii="Times New Roman" w:hAnsi="Times New Roman" w:cs="Times New Roman"/>
                <w:noProof/>
                <w:sz w:val="24"/>
                <w:szCs w:val="24"/>
              </w:rPr>
              <w:t>4. Aim and Objectives of the Event</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_Toc165309429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6</w:t>
            </w:r>
            <w:r w:rsidR="004953EC" w:rsidRPr="00FC7294">
              <w:rPr>
                <w:rFonts w:ascii="Times New Roman" w:hAnsi="Times New Roman" w:cs="Times New Roman"/>
                <w:noProof/>
                <w:webHidden/>
                <w:sz w:val="24"/>
                <w:szCs w:val="24"/>
              </w:rPr>
              <w:fldChar w:fldCharType="end"/>
            </w:r>
          </w:hyperlink>
        </w:p>
        <w:p w14:paraId="13C243DC"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30" w:history="1">
            <w:r w:rsidR="004953EC" w:rsidRPr="00FC7294">
              <w:rPr>
                <w:rStyle w:val="Hyperlink"/>
                <w:rFonts w:ascii="Times New Roman" w:hAnsi="Times New Roman" w:cs="Times New Roman"/>
                <w:noProof/>
                <w:sz w:val="24"/>
                <w:szCs w:val="24"/>
              </w:rPr>
              <w:t>5. Event Budget</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_Toc165309430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7</w:t>
            </w:r>
            <w:r w:rsidR="004953EC" w:rsidRPr="00FC7294">
              <w:rPr>
                <w:rFonts w:ascii="Times New Roman" w:hAnsi="Times New Roman" w:cs="Times New Roman"/>
                <w:noProof/>
                <w:webHidden/>
                <w:sz w:val="24"/>
                <w:szCs w:val="24"/>
              </w:rPr>
              <w:fldChar w:fldCharType="end"/>
            </w:r>
          </w:hyperlink>
        </w:p>
        <w:p w14:paraId="1EB20493"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31" w:history="1">
            <w:r w:rsidR="004953EC" w:rsidRPr="00FC7294">
              <w:rPr>
                <w:rStyle w:val="Hyperlink"/>
                <w:rFonts w:ascii="Times New Roman" w:hAnsi="Times New Roman" w:cs="Times New Roman"/>
                <w:noProof/>
                <w:sz w:val="24"/>
                <w:szCs w:val="24"/>
              </w:rPr>
              <w:t>6. Industry Trends / Issues / Impacts Using SWOT and PESTLE Analysis</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_Toc165309431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8</w:t>
            </w:r>
            <w:r w:rsidR="004953EC" w:rsidRPr="00FC7294">
              <w:rPr>
                <w:rFonts w:ascii="Times New Roman" w:hAnsi="Times New Roman" w:cs="Times New Roman"/>
                <w:noProof/>
                <w:webHidden/>
                <w:sz w:val="24"/>
                <w:szCs w:val="24"/>
              </w:rPr>
              <w:fldChar w:fldCharType="end"/>
            </w:r>
          </w:hyperlink>
        </w:p>
        <w:p w14:paraId="2E6630FA" w14:textId="77777777" w:rsidR="004953EC" w:rsidRPr="00FC7294" w:rsidRDefault="00004135" w:rsidP="004953EC">
          <w:pPr>
            <w:pStyle w:val="TOC2"/>
            <w:tabs>
              <w:tab w:val="right" w:leader="dot" w:pos="9019"/>
            </w:tabs>
            <w:spacing w:line="360" w:lineRule="auto"/>
            <w:jc w:val="both"/>
            <w:rPr>
              <w:rFonts w:ascii="Times New Roman" w:hAnsi="Times New Roman" w:cs="Times New Roman"/>
              <w:noProof/>
              <w:sz w:val="24"/>
              <w:szCs w:val="24"/>
            </w:rPr>
          </w:pPr>
          <w:hyperlink w:anchor="_Toc165309432" w:history="1">
            <w:r w:rsidR="004953EC" w:rsidRPr="00FC7294">
              <w:rPr>
                <w:rStyle w:val="Hyperlink"/>
                <w:rFonts w:ascii="Times New Roman" w:hAnsi="Times New Roman" w:cs="Times New Roman"/>
                <w:noProof/>
                <w:sz w:val="24"/>
                <w:szCs w:val="24"/>
              </w:rPr>
              <w:t>6.1 PESTLE Analysis</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_Toc165309432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8</w:t>
            </w:r>
            <w:r w:rsidR="004953EC" w:rsidRPr="00FC7294">
              <w:rPr>
                <w:rFonts w:ascii="Times New Roman" w:hAnsi="Times New Roman" w:cs="Times New Roman"/>
                <w:noProof/>
                <w:webHidden/>
                <w:sz w:val="24"/>
                <w:szCs w:val="24"/>
              </w:rPr>
              <w:fldChar w:fldCharType="end"/>
            </w:r>
          </w:hyperlink>
        </w:p>
        <w:p w14:paraId="2171BBCB" w14:textId="77777777" w:rsidR="004953EC" w:rsidRPr="00FC7294" w:rsidRDefault="00004135" w:rsidP="004953EC">
          <w:pPr>
            <w:pStyle w:val="TOC2"/>
            <w:tabs>
              <w:tab w:val="right" w:leader="dot" w:pos="9019"/>
            </w:tabs>
            <w:spacing w:line="360" w:lineRule="auto"/>
            <w:jc w:val="both"/>
            <w:rPr>
              <w:rFonts w:ascii="Times New Roman" w:hAnsi="Times New Roman" w:cs="Times New Roman"/>
              <w:noProof/>
              <w:sz w:val="24"/>
              <w:szCs w:val="24"/>
            </w:rPr>
          </w:pPr>
          <w:hyperlink w:anchor="_Toc165309433" w:history="1">
            <w:r w:rsidR="004953EC" w:rsidRPr="00FC7294">
              <w:rPr>
                <w:rStyle w:val="Hyperlink"/>
                <w:rFonts w:ascii="Times New Roman" w:hAnsi="Times New Roman" w:cs="Times New Roman"/>
                <w:noProof/>
                <w:sz w:val="24"/>
                <w:szCs w:val="24"/>
              </w:rPr>
              <w:t>6.2 SWOT Analysis</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_Toc165309433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10</w:t>
            </w:r>
            <w:r w:rsidR="004953EC" w:rsidRPr="00FC7294">
              <w:rPr>
                <w:rFonts w:ascii="Times New Roman" w:hAnsi="Times New Roman" w:cs="Times New Roman"/>
                <w:noProof/>
                <w:webHidden/>
                <w:sz w:val="24"/>
                <w:szCs w:val="24"/>
              </w:rPr>
              <w:fldChar w:fldCharType="end"/>
            </w:r>
          </w:hyperlink>
        </w:p>
        <w:p w14:paraId="233E0D7A"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34" w:history="1">
            <w:r w:rsidR="004953EC" w:rsidRPr="00FC7294">
              <w:rPr>
                <w:rStyle w:val="Hyperlink"/>
                <w:rFonts w:ascii="Times New Roman" w:hAnsi="Times New Roman" w:cs="Times New Roman"/>
                <w:noProof/>
                <w:sz w:val="24"/>
                <w:szCs w:val="24"/>
              </w:rPr>
              <w:t>7. Cultural and Situational Considerations</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_Toc165309434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11</w:t>
            </w:r>
            <w:r w:rsidR="004953EC" w:rsidRPr="00FC7294">
              <w:rPr>
                <w:rFonts w:ascii="Times New Roman" w:hAnsi="Times New Roman" w:cs="Times New Roman"/>
                <w:noProof/>
                <w:webHidden/>
                <w:sz w:val="24"/>
                <w:szCs w:val="24"/>
              </w:rPr>
              <w:fldChar w:fldCharType="end"/>
            </w:r>
          </w:hyperlink>
        </w:p>
        <w:p w14:paraId="1E97B3AD"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35" w:history="1">
            <w:r w:rsidR="004953EC" w:rsidRPr="00FC7294">
              <w:rPr>
                <w:rStyle w:val="Hyperlink"/>
                <w:rFonts w:ascii="Times New Roman" w:hAnsi="Times New Roman" w:cs="Times New Roman"/>
                <w:noProof/>
                <w:sz w:val="24"/>
                <w:szCs w:val="24"/>
              </w:rPr>
              <w:t>8. Conclusion</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_Toc165309435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12</w:t>
            </w:r>
            <w:r w:rsidR="004953EC" w:rsidRPr="00FC7294">
              <w:rPr>
                <w:rFonts w:ascii="Times New Roman" w:hAnsi="Times New Roman" w:cs="Times New Roman"/>
                <w:noProof/>
                <w:webHidden/>
                <w:sz w:val="24"/>
                <w:szCs w:val="24"/>
              </w:rPr>
              <w:fldChar w:fldCharType="end"/>
            </w:r>
          </w:hyperlink>
        </w:p>
        <w:p w14:paraId="3CD4A9B9" w14:textId="77777777" w:rsidR="004953EC" w:rsidRPr="00FC7294" w:rsidRDefault="00004135" w:rsidP="004953EC">
          <w:pPr>
            <w:pStyle w:val="TOC1"/>
            <w:tabs>
              <w:tab w:val="right" w:leader="dot" w:pos="9019"/>
            </w:tabs>
            <w:spacing w:line="360" w:lineRule="auto"/>
            <w:jc w:val="both"/>
            <w:rPr>
              <w:rFonts w:ascii="Times New Roman" w:hAnsi="Times New Roman" w:cs="Times New Roman"/>
              <w:noProof/>
              <w:sz w:val="24"/>
              <w:szCs w:val="24"/>
            </w:rPr>
          </w:pPr>
          <w:hyperlink w:anchor="_Toc165309436" w:history="1">
            <w:r w:rsidR="004953EC" w:rsidRPr="00FC7294">
              <w:rPr>
                <w:rStyle w:val="Hyperlink"/>
                <w:rFonts w:ascii="Times New Roman" w:hAnsi="Times New Roman" w:cs="Times New Roman"/>
                <w:noProof/>
                <w:sz w:val="24"/>
                <w:szCs w:val="24"/>
              </w:rPr>
              <w:t>References</w:t>
            </w:r>
            <w:r w:rsidR="004953EC" w:rsidRPr="00FC7294">
              <w:rPr>
                <w:rFonts w:ascii="Times New Roman" w:hAnsi="Times New Roman" w:cs="Times New Roman"/>
                <w:noProof/>
                <w:webHidden/>
                <w:sz w:val="24"/>
                <w:szCs w:val="24"/>
              </w:rPr>
              <w:tab/>
            </w:r>
            <w:r w:rsidR="004953EC" w:rsidRPr="00FC7294">
              <w:rPr>
                <w:rFonts w:ascii="Times New Roman" w:hAnsi="Times New Roman" w:cs="Times New Roman"/>
                <w:noProof/>
                <w:webHidden/>
                <w:sz w:val="24"/>
                <w:szCs w:val="24"/>
              </w:rPr>
              <w:fldChar w:fldCharType="begin"/>
            </w:r>
            <w:r w:rsidR="004953EC" w:rsidRPr="00FC7294">
              <w:rPr>
                <w:rFonts w:ascii="Times New Roman" w:hAnsi="Times New Roman" w:cs="Times New Roman"/>
                <w:noProof/>
                <w:webHidden/>
                <w:sz w:val="24"/>
                <w:szCs w:val="24"/>
              </w:rPr>
              <w:instrText xml:space="preserve"> PAGEREF _Toc165309436 \h </w:instrText>
            </w:r>
            <w:r w:rsidR="004953EC" w:rsidRPr="00FC7294">
              <w:rPr>
                <w:rFonts w:ascii="Times New Roman" w:hAnsi="Times New Roman" w:cs="Times New Roman"/>
                <w:noProof/>
                <w:webHidden/>
                <w:sz w:val="24"/>
                <w:szCs w:val="24"/>
              </w:rPr>
            </w:r>
            <w:r w:rsidR="004953EC" w:rsidRPr="00FC7294">
              <w:rPr>
                <w:rFonts w:ascii="Times New Roman" w:hAnsi="Times New Roman" w:cs="Times New Roman"/>
                <w:noProof/>
                <w:webHidden/>
                <w:sz w:val="24"/>
                <w:szCs w:val="24"/>
              </w:rPr>
              <w:fldChar w:fldCharType="separate"/>
            </w:r>
            <w:r w:rsidR="004953EC" w:rsidRPr="00FC7294">
              <w:rPr>
                <w:rFonts w:ascii="Times New Roman" w:hAnsi="Times New Roman" w:cs="Times New Roman"/>
                <w:noProof/>
                <w:webHidden/>
                <w:sz w:val="24"/>
                <w:szCs w:val="24"/>
              </w:rPr>
              <w:t>13</w:t>
            </w:r>
            <w:r w:rsidR="004953EC" w:rsidRPr="00FC7294">
              <w:rPr>
                <w:rFonts w:ascii="Times New Roman" w:hAnsi="Times New Roman" w:cs="Times New Roman"/>
                <w:noProof/>
                <w:webHidden/>
                <w:sz w:val="24"/>
                <w:szCs w:val="24"/>
              </w:rPr>
              <w:fldChar w:fldCharType="end"/>
            </w:r>
          </w:hyperlink>
        </w:p>
        <w:p w14:paraId="457FE8B0" w14:textId="77777777" w:rsidR="004953EC" w:rsidRPr="00FC7294" w:rsidRDefault="004953EC" w:rsidP="004953EC">
          <w:pPr>
            <w:spacing w:line="360" w:lineRule="auto"/>
            <w:jc w:val="both"/>
            <w:rPr>
              <w:rFonts w:ascii="Times New Roman" w:hAnsi="Times New Roman" w:cs="Times New Roman"/>
              <w:sz w:val="24"/>
              <w:szCs w:val="24"/>
            </w:rPr>
          </w:pPr>
          <w:r w:rsidRPr="00FC7294">
            <w:rPr>
              <w:rFonts w:ascii="Times New Roman" w:hAnsi="Times New Roman" w:cs="Times New Roman"/>
              <w:bCs/>
              <w:noProof/>
              <w:sz w:val="24"/>
              <w:szCs w:val="24"/>
            </w:rPr>
            <w:fldChar w:fldCharType="end"/>
          </w:r>
        </w:p>
      </w:sdtContent>
    </w:sdt>
    <w:p w14:paraId="28BA4EF8" w14:textId="591BFB05" w:rsidR="006C4A97" w:rsidRPr="004C3A9C" w:rsidRDefault="004953EC" w:rsidP="004C3A9C">
      <w:pPr>
        <w:pStyle w:val="ListParagraph"/>
        <w:numPr>
          <w:ilvl w:val="0"/>
          <w:numId w:val="4"/>
        </w:numPr>
        <w:spacing w:line="360" w:lineRule="auto"/>
        <w:jc w:val="both"/>
        <w:rPr>
          <w:sz w:val="24"/>
          <w:szCs w:val="24"/>
        </w:rPr>
      </w:pPr>
      <w:r w:rsidRPr="004C3A9C">
        <w:rPr>
          <w:rFonts w:ascii="Times New Roman" w:hAnsi="Times New Roman" w:cs="Times New Roman"/>
          <w:sz w:val="24"/>
          <w:szCs w:val="24"/>
        </w:rPr>
        <w:br w:type="page"/>
      </w:r>
      <w:bookmarkStart w:id="0" w:name="_Toc165309426"/>
      <w:r w:rsidR="006C4A97" w:rsidRPr="004C3A9C">
        <w:rPr>
          <w:sz w:val="24"/>
          <w:szCs w:val="24"/>
        </w:rPr>
        <w:lastRenderedPageBreak/>
        <w:t>Introduction</w:t>
      </w:r>
      <w:bookmarkEnd w:id="0"/>
      <w:r w:rsidR="006C4A97" w:rsidRPr="004C3A9C">
        <w:rPr>
          <w:sz w:val="24"/>
          <w:szCs w:val="24"/>
        </w:rPr>
        <w:t xml:space="preserve">  </w:t>
      </w:r>
    </w:p>
    <w:p w14:paraId="12942A00" w14:textId="77777777" w:rsidR="004C3A9C" w:rsidRPr="004C3A9C" w:rsidRDefault="004C3A9C" w:rsidP="004C3A9C">
      <w:pPr>
        <w:spacing w:line="360" w:lineRule="auto"/>
        <w:ind w:left="360"/>
        <w:jc w:val="both"/>
        <w:rPr>
          <w:rFonts w:ascii="Times New Roman" w:eastAsia="Times New Roman" w:hAnsi="Times New Roman" w:cs="Times New Roman"/>
          <w:b/>
          <w:sz w:val="24"/>
          <w:szCs w:val="24"/>
        </w:rPr>
      </w:pPr>
    </w:p>
    <w:p w14:paraId="5AC20ACC" w14:textId="61E297FC" w:rsidR="00A62868" w:rsidRDefault="006C4A97" w:rsidP="00A62868">
      <w:pPr>
        <w:spacing w:line="360" w:lineRule="auto"/>
        <w:jc w:val="both"/>
        <w:rPr>
          <w:rFonts w:eastAsia="Times New Roman"/>
          <w:sz w:val="24"/>
          <w:szCs w:val="24"/>
        </w:rPr>
      </w:pPr>
      <w:bookmarkStart w:id="1" w:name="_rq6h2gp3my0k" w:colFirst="0" w:colLast="0"/>
      <w:bookmarkStart w:id="2" w:name="_Toc165309427"/>
      <w:bookmarkEnd w:id="1"/>
      <w:r w:rsidRPr="006C4A97">
        <w:rPr>
          <w:rFonts w:eastAsia="Times New Roman"/>
          <w:sz w:val="24"/>
          <w:szCs w:val="24"/>
        </w:rPr>
        <w:t>The report will be about an event named Future</w:t>
      </w:r>
      <w:r w:rsidR="00E92272">
        <w:rPr>
          <w:rFonts w:eastAsia="Times New Roman"/>
          <w:sz w:val="24"/>
          <w:szCs w:val="24"/>
        </w:rPr>
        <w:t xml:space="preserve"> </w:t>
      </w:r>
      <w:r w:rsidRPr="006C4A97">
        <w:rPr>
          <w:rFonts w:eastAsia="Times New Roman"/>
          <w:sz w:val="24"/>
          <w:szCs w:val="24"/>
        </w:rPr>
        <w:t>Stay: Hospitality Innovation Showcase at The Royal National Hotel UK. The present investigation might go deeper into the social context and wider instances which establish the method of inquiry, with an emphasis on implications and effects. This paper might look at the conception, execution, and learning of The Royal National Hotel UK's Future</w:t>
      </w:r>
      <w:r w:rsidR="004C3A9C">
        <w:rPr>
          <w:rFonts w:eastAsia="Times New Roman"/>
          <w:sz w:val="24"/>
          <w:szCs w:val="24"/>
        </w:rPr>
        <w:t xml:space="preserve"> </w:t>
      </w:r>
      <w:r w:rsidRPr="006C4A97">
        <w:rPr>
          <w:rFonts w:eastAsia="Times New Roman"/>
          <w:sz w:val="24"/>
          <w:szCs w:val="24"/>
        </w:rPr>
        <w:t>Stay: Hospitality Innovation Showcase. It will assess the funds available as well as explain the event's idea, goals and plans. The research investigation will focus on industry trends, problems, and factors that affect actions and occurrences. It will capture guests' curiosity concerning significant settings and social features, boosting their engagement and concentration, as well as supplying important data for shoppers and organisers of the event.</w:t>
      </w:r>
    </w:p>
    <w:p w14:paraId="6719037D" w14:textId="77777777" w:rsidR="00A62868" w:rsidRDefault="00A62868" w:rsidP="00A62868">
      <w:pPr>
        <w:spacing w:line="360" w:lineRule="auto"/>
        <w:jc w:val="both"/>
        <w:rPr>
          <w:rFonts w:eastAsia="Times New Roman"/>
          <w:sz w:val="24"/>
          <w:szCs w:val="24"/>
        </w:rPr>
      </w:pPr>
    </w:p>
    <w:p w14:paraId="1B63F448" w14:textId="1C4D37CD" w:rsidR="006C4A97" w:rsidRDefault="009E26E6" w:rsidP="00A62868">
      <w:pPr>
        <w:spacing w:line="360" w:lineRule="auto"/>
        <w:jc w:val="both"/>
        <w:rPr>
          <w:sz w:val="24"/>
          <w:szCs w:val="24"/>
        </w:rPr>
      </w:pPr>
      <w:r>
        <w:rPr>
          <w:sz w:val="24"/>
          <w:szCs w:val="24"/>
        </w:rPr>
        <w:t xml:space="preserve">  </w:t>
      </w:r>
      <w:r w:rsidR="006C4A97" w:rsidRPr="006C4A97">
        <w:rPr>
          <w:sz w:val="24"/>
          <w:szCs w:val="24"/>
        </w:rPr>
        <w:t>2. The Event Cycle</w:t>
      </w:r>
      <w:bookmarkEnd w:id="2"/>
      <w:r w:rsidR="006C4A97" w:rsidRPr="006C4A97">
        <w:rPr>
          <w:sz w:val="24"/>
          <w:szCs w:val="24"/>
        </w:rPr>
        <w:t xml:space="preserve"> </w:t>
      </w:r>
    </w:p>
    <w:p w14:paraId="446DC73A" w14:textId="77777777" w:rsidR="00B8076F" w:rsidRPr="00A62868" w:rsidRDefault="00B8076F" w:rsidP="00B8076F">
      <w:pPr>
        <w:spacing w:line="360" w:lineRule="auto"/>
        <w:jc w:val="both"/>
        <w:rPr>
          <w:rFonts w:eastAsia="Times New Roman"/>
          <w:sz w:val="24"/>
          <w:szCs w:val="24"/>
        </w:rPr>
      </w:pPr>
    </w:p>
    <w:p w14:paraId="649F33EA" w14:textId="01B27DD4" w:rsidR="006C4A97" w:rsidRPr="00B8076F" w:rsidRDefault="006C4A97" w:rsidP="00B8076F">
      <w:pPr>
        <w:widowControl w:val="0"/>
        <w:spacing w:after="200" w:line="360" w:lineRule="auto"/>
        <w:ind w:right="203"/>
        <w:jc w:val="both"/>
        <w:rPr>
          <w:rStyle w:val="css-x5hiaf"/>
          <w:sz w:val="24"/>
          <w:szCs w:val="24"/>
          <w:shd w:val="clear" w:color="auto" w:fill="FFFFFF"/>
        </w:rPr>
      </w:pPr>
      <w:r w:rsidRPr="006C4A97">
        <w:rPr>
          <w:rStyle w:val="css-0"/>
          <w:sz w:val="24"/>
          <w:szCs w:val="24"/>
          <w:shd w:val="clear" w:color="auto" w:fill="FFFFFF"/>
        </w:rPr>
        <w:t>A </w:t>
      </w:r>
      <w:r w:rsidRPr="006C4A97">
        <w:rPr>
          <w:rStyle w:val="css-rh820s"/>
          <w:sz w:val="24"/>
          <w:szCs w:val="24"/>
          <w:shd w:val="clear" w:color="auto" w:fill="FFFFFF"/>
        </w:rPr>
        <w:t>company's </w:t>
      </w:r>
      <w:r w:rsidRPr="006C4A97">
        <w:rPr>
          <w:rStyle w:val="css-0"/>
          <w:sz w:val="24"/>
          <w:szCs w:val="24"/>
          <w:shd w:val="clear" w:color="auto" w:fill="FFFFFF"/>
        </w:rPr>
        <w:t>cycle </w:t>
      </w:r>
      <w:r w:rsidR="00580C52">
        <w:rPr>
          <w:rStyle w:val="css-0"/>
          <w:sz w:val="24"/>
          <w:szCs w:val="24"/>
          <w:shd w:val="clear" w:color="auto" w:fill="FFFFFF"/>
        </w:rPr>
        <w:t>is a collection</w:t>
      </w:r>
      <w:r w:rsidRPr="006C4A97">
        <w:rPr>
          <w:rStyle w:val="css-x5hiaf"/>
          <w:sz w:val="24"/>
          <w:szCs w:val="24"/>
          <w:shd w:val="clear" w:color="auto" w:fill="FFFFFF"/>
        </w:rPr>
        <w:t xml:space="preserve"> </w:t>
      </w:r>
      <w:r w:rsidR="00580C52">
        <w:rPr>
          <w:rStyle w:val="css-x5hiaf"/>
          <w:sz w:val="24"/>
          <w:szCs w:val="24"/>
          <w:shd w:val="clear" w:color="auto" w:fill="FFFFFF"/>
        </w:rPr>
        <w:t>of planning steps</w:t>
      </w:r>
      <w:r w:rsidR="0017075E">
        <w:rPr>
          <w:rStyle w:val="css-x5hiaf"/>
          <w:sz w:val="24"/>
          <w:szCs w:val="24"/>
          <w:shd w:val="clear" w:color="auto" w:fill="FFFFFF"/>
        </w:rPr>
        <w:t xml:space="preserve"> that include many different </w:t>
      </w:r>
      <w:r w:rsidR="004C3A9C">
        <w:rPr>
          <w:rStyle w:val="css-x5hiaf"/>
          <w:sz w:val="24"/>
          <w:szCs w:val="24"/>
          <w:shd w:val="clear" w:color="auto" w:fill="FFFFFF"/>
        </w:rPr>
        <w:t>kinds</w:t>
      </w:r>
      <w:r w:rsidR="0017075E">
        <w:rPr>
          <w:rStyle w:val="css-x5hiaf"/>
          <w:sz w:val="24"/>
          <w:szCs w:val="24"/>
          <w:shd w:val="clear" w:color="auto" w:fill="FFFFFF"/>
        </w:rPr>
        <w:t xml:space="preserve"> of activities</w:t>
      </w:r>
      <w:r w:rsidR="00526D93">
        <w:rPr>
          <w:rStyle w:val="css-x5hiaf"/>
          <w:sz w:val="24"/>
          <w:szCs w:val="24"/>
          <w:shd w:val="clear" w:color="auto" w:fill="FFFFFF"/>
        </w:rPr>
        <w:t xml:space="preserve"> pertaining to project planning, preparation, execution</w:t>
      </w:r>
      <w:r w:rsidR="00896C10">
        <w:rPr>
          <w:rStyle w:val="css-x5hiaf"/>
          <w:sz w:val="24"/>
          <w:szCs w:val="24"/>
          <w:shd w:val="clear" w:color="auto" w:fill="FFFFFF"/>
        </w:rPr>
        <w:t>, along with evaluation (Fox et al, 2014).</w:t>
      </w:r>
    </w:p>
    <w:p w14:paraId="08C86B88" w14:textId="77777777" w:rsidR="002065CB" w:rsidRDefault="006C4A97" w:rsidP="006C4A97">
      <w:pPr>
        <w:spacing w:after="240" w:line="360" w:lineRule="auto"/>
        <w:jc w:val="both"/>
        <w:rPr>
          <w:rStyle w:val="css-15iwe0d"/>
          <w:sz w:val="24"/>
          <w:szCs w:val="24"/>
          <w:shd w:val="clear" w:color="auto" w:fill="FFFFFF"/>
        </w:rPr>
      </w:pPr>
      <w:r w:rsidRPr="006C4A97">
        <w:rPr>
          <w:rStyle w:val="css-0"/>
          <w:b/>
          <w:i/>
          <w:sz w:val="24"/>
          <w:szCs w:val="24"/>
          <w:shd w:val="clear" w:color="auto" w:fill="FFFFFF"/>
        </w:rPr>
        <w:t>Planning:</w:t>
      </w:r>
      <w:r w:rsidRPr="006C4A97">
        <w:rPr>
          <w:rStyle w:val="css-x5hiaf"/>
          <w:sz w:val="24"/>
          <w:szCs w:val="24"/>
          <w:shd w:val="clear" w:color="auto" w:fill="FFFFFF"/>
        </w:rPr>
        <w:t xml:space="preserve"> </w:t>
      </w:r>
    </w:p>
    <w:p w14:paraId="4A9775F8" w14:textId="3BA388DB" w:rsidR="006C4A97" w:rsidRPr="006C4A97" w:rsidRDefault="002065CB" w:rsidP="006C4A97">
      <w:pPr>
        <w:spacing w:after="240" w:line="360" w:lineRule="auto"/>
        <w:jc w:val="both"/>
        <w:rPr>
          <w:rStyle w:val="css-1eh0vfs"/>
          <w:rFonts w:eastAsia="Times New Roman"/>
          <w:sz w:val="24"/>
          <w:szCs w:val="24"/>
        </w:rPr>
      </w:pPr>
      <w:r>
        <w:rPr>
          <w:rStyle w:val="css-15iwe0d"/>
          <w:sz w:val="24"/>
          <w:szCs w:val="24"/>
          <w:shd w:val="clear" w:color="auto" w:fill="FFFFFF"/>
        </w:rPr>
        <w:t xml:space="preserve">The initial </w:t>
      </w:r>
      <w:r w:rsidR="000D1EFF">
        <w:rPr>
          <w:rStyle w:val="css-15iwe0d"/>
          <w:sz w:val="24"/>
          <w:szCs w:val="24"/>
          <w:shd w:val="clear" w:color="auto" w:fill="FFFFFF"/>
        </w:rPr>
        <w:t xml:space="preserve">step established objectives, establishes </w:t>
      </w:r>
      <w:r w:rsidR="000E5660">
        <w:rPr>
          <w:rStyle w:val="css-15iwe0d"/>
          <w:sz w:val="24"/>
          <w:szCs w:val="24"/>
          <w:shd w:val="clear" w:color="auto" w:fill="FFFFFF"/>
        </w:rPr>
        <w:t>the action’s aims and surroundings</w:t>
      </w:r>
      <w:r w:rsidR="008C754A">
        <w:rPr>
          <w:rStyle w:val="css-15iwe0d"/>
          <w:sz w:val="24"/>
          <w:szCs w:val="24"/>
          <w:shd w:val="clear" w:color="auto" w:fill="FFFFFF"/>
        </w:rPr>
        <w:t>, and an extensive strategy</w:t>
      </w:r>
      <w:r w:rsidR="00D47CC3">
        <w:rPr>
          <w:rStyle w:val="css-15iwe0d"/>
          <w:sz w:val="24"/>
          <w:szCs w:val="24"/>
          <w:shd w:val="clear" w:color="auto" w:fill="FFFFFF"/>
        </w:rPr>
        <w:t xml:space="preserve"> that will accomplish such goals (</w:t>
      </w:r>
      <w:r w:rsidR="000E6FCB">
        <w:rPr>
          <w:rStyle w:val="css-15iwe0d"/>
          <w:sz w:val="24"/>
          <w:szCs w:val="24"/>
          <w:shd w:val="clear" w:color="auto" w:fill="FFFFFF"/>
        </w:rPr>
        <w:t xml:space="preserve">Ergashevich and Mado, 2024). </w:t>
      </w:r>
      <w:r w:rsidR="006C4A97" w:rsidRPr="006C4A97">
        <w:rPr>
          <w:rFonts w:eastAsia="Times New Roman"/>
          <w:sz w:val="24"/>
          <w:szCs w:val="24"/>
        </w:rPr>
        <w:t>The Royal National Hotel London program will identify major problems and difficulties in the hospitality industry's contemporary technology. Other topics that might be dealt with in this part of the report include target client characteristics, geographical location, and payment distribution.</w:t>
      </w:r>
    </w:p>
    <w:p w14:paraId="5337D180" w14:textId="77777777" w:rsidR="005B7E43" w:rsidRDefault="006C4A97" w:rsidP="00F25BBF">
      <w:pPr>
        <w:spacing w:after="240" w:line="360" w:lineRule="auto"/>
        <w:jc w:val="both"/>
        <w:rPr>
          <w:rFonts w:eastAsia="Times New Roman"/>
          <w:sz w:val="24"/>
          <w:szCs w:val="24"/>
        </w:rPr>
      </w:pPr>
      <w:r w:rsidRPr="006C4A97">
        <w:rPr>
          <w:rFonts w:eastAsia="Times New Roman"/>
          <w:b/>
          <w:i/>
          <w:sz w:val="24"/>
          <w:szCs w:val="24"/>
        </w:rPr>
        <w:t>Organise:</w:t>
      </w:r>
      <w:r w:rsidRPr="006C4A97">
        <w:rPr>
          <w:rFonts w:eastAsia="Times New Roman"/>
          <w:sz w:val="24"/>
          <w:szCs w:val="24"/>
        </w:rPr>
        <w:t xml:space="preserve"> Once the setup has finished, a program's performance is validated. This involves coordinating events for entrepreneurs and microphones, consulting culinary and entertainment suppliers, and designing advertising materials that attract guests (Getz and Page, 2019). </w:t>
      </w:r>
    </w:p>
    <w:p w14:paraId="6AFCB1F0" w14:textId="1B34CA0B" w:rsidR="00E23B41" w:rsidRDefault="006C4A97" w:rsidP="00F25BBF">
      <w:pPr>
        <w:spacing w:after="240" w:line="360" w:lineRule="auto"/>
        <w:jc w:val="both"/>
        <w:rPr>
          <w:rFonts w:eastAsia="Times New Roman"/>
          <w:sz w:val="24"/>
          <w:szCs w:val="24"/>
        </w:rPr>
      </w:pPr>
      <w:r w:rsidRPr="006C4A97">
        <w:rPr>
          <w:rFonts w:eastAsia="Times New Roman"/>
          <w:sz w:val="24"/>
          <w:szCs w:val="24"/>
        </w:rPr>
        <w:lastRenderedPageBreak/>
        <w:t xml:space="preserve">The Royal National Hotel's event organisers will be collaborating with companies in the technology sector, business groups, and universities to ensure that guests and shoppers enjoy an interesting and engaging journey. </w:t>
      </w:r>
    </w:p>
    <w:p w14:paraId="2F957C64" w14:textId="761050E7" w:rsidR="006C4A97" w:rsidRPr="006C4A97" w:rsidRDefault="006C4A97" w:rsidP="00F25BBF">
      <w:pPr>
        <w:spacing w:after="240" w:line="360" w:lineRule="auto"/>
        <w:jc w:val="both"/>
        <w:rPr>
          <w:rFonts w:eastAsia="Times New Roman"/>
          <w:sz w:val="24"/>
          <w:szCs w:val="24"/>
        </w:rPr>
      </w:pPr>
      <w:r w:rsidRPr="006C4A97">
        <w:rPr>
          <w:rFonts w:eastAsia="Times New Roman"/>
          <w:sz w:val="24"/>
          <w:szCs w:val="24"/>
        </w:rPr>
        <w:t>They collaborated directly with resort team members in order to maximise the finest use of the accommodations and conveniences, resulting in a fantastic vacation for visitors.</w:t>
      </w:r>
    </w:p>
    <w:p w14:paraId="14D1E53E" w14:textId="77777777" w:rsidR="006C4A97" w:rsidRPr="006C4A97" w:rsidRDefault="006C4A97" w:rsidP="006C4A97">
      <w:pPr>
        <w:spacing w:after="240" w:line="360" w:lineRule="auto"/>
        <w:jc w:val="both"/>
        <w:rPr>
          <w:rFonts w:eastAsia="Times New Roman"/>
          <w:sz w:val="24"/>
          <w:szCs w:val="24"/>
        </w:rPr>
      </w:pPr>
      <w:r w:rsidRPr="006C4A97">
        <w:rPr>
          <w:rFonts w:eastAsia="Times New Roman"/>
          <w:b/>
          <w:i/>
          <w:sz w:val="24"/>
          <w:szCs w:val="24"/>
        </w:rPr>
        <w:t>Measure:</w:t>
      </w:r>
      <w:r w:rsidRPr="006C4A97">
        <w:rPr>
          <w:rFonts w:eastAsia="Times New Roman"/>
          <w:sz w:val="24"/>
          <w:szCs w:val="24"/>
        </w:rPr>
        <w:t xml:space="preserve"> Measurement: Key performance indicators (KPIs) will be collected over the process of deployment in order to assess the profitability and utilisation of the item in question. Membership information, involvement and participation rates, survey replies, and evaluation of events might be observed (Ford, 2023). Conference organisers at the Royal National Hotel may access real-time information on attendee participation and status using electronic devices including social networking analyses and summit control applications. Such data can assist companies in identifying areas for enhancement and suitable considerations might have been made on subsequent releases of the event. </w:t>
      </w:r>
    </w:p>
    <w:p w14:paraId="535437FD" w14:textId="77777777" w:rsidR="006C4A97" w:rsidRPr="006C4A97" w:rsidRDefault="006C4A97" w:rsidP="006C4A97">
      <w:pPr>
        <w:spacing w:after="240" w:line="360" w:lineRule="auto"/>
        <w:jc w:val="both"/>
        <w:rPr>
          <w:rFonts w:eastAsia="Times New Roman"/>
          <w:sz w:val="24"/>
          <w:szCs w:val="24"/>
        </w:rPr>
      </w:pPr>
      <w:r w:rsidRPr="006C4A97">
        <w:rPr>
          <w:rFonts w:eastAsia="Times New Roman"/>
          <w:b/>
          <w:i/>
          <w:sz w:val="24"/>
          <w:szCs w:val="24"/>
        </w:rPr>
        <w:t>Analyse:</w:t>
      </w:r>
      <w:r w:rsidRPr="006C4A97">
        <w:rPr>
          <w:rFonts w:eastAsia="Times New Roman"/>
          <w:sz w:val="24"/>
          <w:szCs w:val="24"/>
        </w:rPr>
        <w:t xml:space="preserve"> Following the procedure, a developer can analyse any information gathered during the adjustment step more meticulously. Strengths, weaknesses, opportunities, and threats are used for assessing a program's complete effectiveness and success (Ford, 2023). Royal National can view the hotel's gatherings based on the achievement of the demonstrations, the breadth of attendees' experience, economic benefits, and all representations from sponsorships and guests. They may continue to recognise any unplanned tricky circumstances or obstacles that arose throughout the design and execution process and give comparisons for upcoming occurrences.</w:t>
      </w:r>
    </w:p>
    <w:p w14:paraId="60F4D527" w14:textId="77777777" w:rsidR="006C4A97" w:rsidRDefault="006C4A97" w:rsidP="006C4A97">
      <w:pPr>
        <w:spacing w:after="240" w:line="360" w:lineRule="auto"/>
        <w:jc w:val="both"/>
        <w:rPr>
          <w:rFonts w:eastAsia="Times New Roman"/>
          <w:sz w:val="24"/>
          <w:szCs w:val="24"/>
        </w:rPr>
      </w:pPr>
      <w:r w:rsidRPr="006C4A97">
        <w:rPr>
          <w:rFonts w:eastAsia="Times New Roman"/>
          <w:b/>
          <w:i/>
          <w:sz w:val="24"/>
          <w:szCs w:val="24"/>
        </w:rPr>
        <w:t xml:space="preserve">Share: </w:t>
      </w:r>
      <w:r w:rsidRPr="006C4A97">
        <w:rPr>
          <w:rFonts w:eastAsia="Times New Roman"/>
          <w:sz w:val="24"/>
          <w:szCs w:val="24"/>
        </w:rPr>
        <w:t>The last stage of the procedure for planning is to promote information and ideas derived from this instance to stakeholders. It could contain an overview paper following the conference that highlights internet-based successes and covers major partners and advertisers (Getz and Page, 2019). Royal National Hotel event organisers capitalise on many kinds of media, notably news stories, blog posts, and accounts payable, in order to convey the accomplishments of their events. Investigate how operators in the hotel industry can uncover event ideas and efficient promotional strategies.</w:t>
      </w:r>
    </w:p>
    <w:p w14:paraId="625BB24C" w14:textId="77777777" w:rsidR="00C0081E" w:rsidRPr="006C4A97" w:rsidRDefault="00C0081E" w:rsidP="006C4A97">
      <w:pPr>
        <w:spacing w:after="240" w:line="360" w:lineRule="auto"/>
        <w:jc w:val="both"/>
        <w:rPr>
          <w:rFonts w:eastAsia="Times New Roman"/>
          <w:sz w:val="24"/>
          <w:szCs w:val="24"/>
        </w:rPr>
      </w:pPr>
    </w:p>
    <w:p w14:paraId="2BA216C1" w14:textId="77777777" w:rsidR="006C4A97" w:rsidRPr="006C4A97" w:rsidRDefault="006C4A97" w:rsidP="006C4A97">
      <w:pPr>
        <w:pStyle w:val="Heading1"/>
        <w:widowControl w:val="0"/>
        <w:spacing w:before="0" w:after="200" w:line="360" w:lineRule="auto"/>
        <w:rPr>
          <w:rFonts w:ascii="Arial" w:hAnsi="Arial" w:cs="Arial"/>
          <w:color w:val="auto"/>
          <w:sz w:val="24"/>
          <w:szCs w:val="24"/>
        </w:rPr>
      </w:pPr>
      <w:bookmarkStart w:id="3" w:name="_emqtp8qc82f0" w:colFirst="0" w:colLast="0"/>
      <w:bookmarkStart w:id="4" w:name="_Toc165309428"/>
      <w:bookmarkEnd w:id="3"/>
      <w:r w:rsidRPr="006C4A97">
        <w:rPr>
          <w:rFonts w:ascii="Arial" w:hAnsi="Arial" w:cs="Arial"/>
          <w:color w:val="auto"/>
          <w:sz w:val="24"/>
          <w:szCs w:val="24"/>
        </w:rPr>
        <w:t>3. Event Concept</w:t>
      </w:r>
      <w:bookmarkEnd w:id="4"/>
    </w:p>
    <w:p w14:paraId="044FBEF0"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sz w:val="24"/>
          <w:szCs w:val="24"/>
        </w:rPr>
        <w:t xml:space="preserve">Through interactive sessions, exciting discussions, and hands-on experiments, guests will go on a thrilling excursion to discover the latest technological advances in the hospitality industry as part of the Technology and Innovation at the Royal National Hotel London event. The program's goal is to showcase how modern technology is impacting the next phase of hospitality.  </w:t>
      </w:r>
    </w:p>
    <w:p w14:paraId="025CA1FB" w14:textId="77777777" w:rsidR="006C4A97" w:rsidRPr="006C4A97" w:rsidRDefault="006C4A97" w:rsidP="006C4A97">
      <w:pPr>
        <w:widowControl w:val="0"/>
        <w:spacing w:after="200" w:line="360" w:lineRule="auto"/>
        <w:ind w:right="203"/>
        <w:jc w:val="both"/>
        <w:rPr>
          <w:rFonts w:eastAsia="Times New Roman"/>
          <w:b/>
          <w:sz w:val="24"/>
          <w:szCs w:val="24"/>
        </w:rPr>
      </w:pPr>
      <w:r w:rsidRPr="006C4A97">
        <w:rPr>
          <w:rFonts w:eastAsia="Times New Roman"/>
          <w:b/>
          <w:sz w:val="24"/>
          <w:szCs w:val="24"/>
        </w:rPr>
        <w:t>Morning Session</w:t>
      </w:r>
    </w:p>
    <w:p w14:paraId="36BED4C7"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Welcome and Introduction:</w:t>
      </w:r>
      <w:r w:rsidRPr="006C4A97">
        <w:rPr>
          <w:rFonts w:eastAsia="Times New Roman"/>
          <w:sz w:val="24"/>
          <w:szCs w:val="24"/>
        </w:rPr>
        <w:t xml:space="preserve"> Through the event host, guests could anticipate an upbeat greeting as well as a description of the schedule for the day. They will get exposition materials and have some time to meet up over some light meals and espresso along with other guests.</w:t>
      </w:r>
    </w:p>
    <w:p w14:paraId="51F5B1C8"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 xml:space="preserve">Keynote Address: </w:t>
      </w:r>
      <w:r w:rsidRPr="006C4A97">
        <w:rPr>
          <w:rFonts w:eastAsia="Times New Roman"/>
          <w:sz w:val="24"/>
          <w:szCs w:val="24"/>
        </w:rPr>
        <w:t>A widely recognised expert in the field of hospitality generation delivers an inspiring keynote address at the start of the event. Striking the atmosphere for the day, they will provide insights into the newest advancements, changes, and potential customers within the sector.</w:t>
      </w:r>
    </w:p>
    <w:p w14:paraId="59B22E2E"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 xml:space="preserve">Panel Engagement: </w:t>
      </w:r>
      <w:r w:rsidRPr="006C4A97">
        <w:rPr>
          <w:rFonts w:eastAsia="Times New Roman"/>
          <w:sz w:val="24"/>
          <w:szCs w:val="24"/>
        </w:rPr>
        <w:t>A group of prominent people in the industry will discuss how technology has changed how visitors feel in hotels. Subjects might additionally involve digital services such as concierges, smartphone registration, individualised rules, and sophisticated accommodation features.</w:t>
      </w:r>
    </w:p>
    <w:p w14:paraId="23A28376"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sz w:val="24"/>
          <w:szCs w:val="24"/>
        </w:rPr>
        <w:t>Midday Break</w:t>
      </w:r>
    </w:p>
    <w:p w14:paraId="2C9A1D29"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sz w:val="24"/>
          <w:szCs w:val="24"/>
        </w:rPr>
        <w:t xml:space="preserve">Guests are going to appreciate a delicious meal while gathering up with friends and learning about engaging exhibits that promote innovative technology that assists the hospitality industry. There will be opportunities to watch products in action and speak with representatives of major technology businesses. </w:t>
      </w:r>
    </w:p>
    <w:p w14:paraId="2F5D78D3" w14:textId="77777777" w:rsidR="006C4A97" w:rsidRPr="006C4A97" w:rsidRDefault="006C4A97" w:rsidP="006C4A97">
      <w:pPr>
        <w:widowControl w:val="0"/>
        <w:spacing w:after="200" w:line="360" w:lineRule="auto"/>
        <w:ind w:right="203"/>
        <w:jc w:val="both"/>
        <w:rPr>
          <w:rFonts w:eastAsia="Times New Roman"/>
          <w:b/>
          <w:sz w:val="24"/>
          <w:szCs w:val="24"/>
        </w:rPr>
      </w:pPr>
      <w:r w:rsidRPr="006C4A97">
        <w:rPr>
          <w:rFonts w:eastAsia="Times New Roman"/>
          <w:b/>
          <w:sz w:val="24"/>
          <w:szCs w:val="24"/>
        </w:rPr>
        <w:t>Afternoon session</w:t>
      </w:r>
    </w:p>
    <w:p w14:paraId="2BB51862" w14:textId="77777777" w:rsidR="00B808C6"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Breakout Sessions:</w:t>
      </w:r>
      <w:r w:rsidRPr="006C4A97">
        <w:rPr>
          <w:rFonts w:eastAsia="Times New Roman"/>
          <w:sz w:val="24"/>
          <w:szCs w:val="24"/>
        </w:rPr>
        <w:t xml:space="preserve"> Based on their preferred topics and level of learning, guests can select from a variety of different breakout sessions. Discussions may range from cybersecurity along with analytics to environmental and AI-powered guest services. </w:t>
      </w:r>
    </w:p>
    <w:p w14:paraId="760061DC" w14:textId="77777777" w:rsidR="00B808C6" w:rsidRDefault="00B808C6" w:rsidP="006C4A97">
      <w:pPr>
        <w:widowControl w:val="0"/>
        <w:spacing w:after="200" w:line="360" w:lineRule="auto"/>
        <w:ind w:right="203"/>
        <w:jc w:val="both"/>
        <w:rPr>
          <w:rFonts w:eastAsia="Times New Roman"/>
          <w:sz w:val="24"/>
          <w:szCs w:val="24"/>
        </w:rPr>
      </w:pPr>
    </w:p>
    <w:p w14:paraId="2FF102B5" w14:textId="5D753F0B"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sz w:val="24"/>
          <w:szCs w:val="24"/>
        </w:rPr>
        <w:t>Participants will leave the seminars with sensible guidance and feasible strategies that they may use in their agency.</w:t>
      </w:r>
    </w:p>
    <w:p w14:paraId="4C019B3E" w14:textId="646E577A"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Innovation Showcase:</w:t>
      </w:r>
      <w:r w:rsidRPr="006C4A97">
        <w:rPr>
          <w:rFonts w:eastAsia="Times New Roman"/>
          <w:sz w:val="24"/>
          <w:szCs w:val="24"/>
        </w:rPr>
        <w:t xml:space="preserve"> The afternoon's main function is a revolutionary showcase featuring revolutionary organisations and technology that are displacing the hospitality sector. Guests will get their chance to see dynamic displays and take part in Q&amp;A</w:t>
      </w:r>
      <w:r w:rsidR="006F0595">
        <w:rPr>
          <w:rFonts w:eastAsia="Times New Roman"/>
          <w:sz w:val="24"/>
          <w:szCs w:val="24"/>
        </w:rPr>
        <w:t>.</w:t>
      </w:r>
    </w:p>
    <w:p w14:paraId="74AD69EB" w14:textId="77777777" w:rsidR="006C4A97" w:rsidRPr="006C4A97" w:rsidRDefault="006C4A97" w:rsidP="006C4A97">
      <w:pPr>
        <w:widowControl w:val="0"/>
        <w:spacing w:after="200" w:line="360" w:lineRule="auto"/>
        <w:ind w:right="203"/>
        <w:jc w:val="both"/>
        <w:rPr>
          <w:rFonts w:eastAsia="Times New Roman"/>
          <w:b/>
          <w:sz w:val="24"/>
          <w:szCs w:val="24"/>
        </w:rPr>
      </w:pPr>
      <w:r w:rsidRPr="006C4A97">
        <w:rPr>
          <w:rFonts w:eastAsia="Times New Roman"/>
          <w:b/>
          <w:sz w:val="24"/>
          <w:szCs w:val="24"/>
        </w:rPr>
        <w:t>Closing Remarks</w:t>
      </w:r>
    </w:p>
    <w:p w14:paraId="7192F35C" w14:textId="77777777" w:rsidR="009B594F" w:rsidRDefault="006C4A97" w:rsidP="009B594F">
      <w:pPr>
        <w:widowControl w:val="0"/>
        <w:spacing w:after="200" w:line="360" w:lineRule="auto"/>
        <w:ind w:right="203"/>
        <w:jc w:val="both"/>
        <w:rPr>
          <w:rFonts w:eastAsia="Times New Roman"/>
          <w:sz w:val="24"/>
          <w:szCs w:val="24"/>
        </w:rPr>
      </w:pPr>
      <w:r w:rsidRPr="006C4A97">
        <w:rPr>
          <w:rFonts w:eastAsia="Times New Roman"/>
          <w:sz w:val="24"/>
          <w:szCs w:val="24"/>
        </w:rPr>
        <w:t>The event comes to a close with conclusion statements from the planners, who express respect to each speaker for visiting and reviewing the primary takeaways learned over the day. While leaving, guests are welcome to come together for networking and thought exchange over refreshments and light snacks.</w:t>
      </w:r>
      <w:bookmarkStart w:id="5" w:name="_xw3wer3490xy" w:colFirst="0" w:colLast="0"/>
      <w:bookmarkStart w:id="6" w:name="_Toc165309429"/>
      <w:bookmarkEnd w:id="5"/>
    </w:p>
    <w:p w14:paraId="34DA72C3" w14:textId="77777777" w:rsidR="00572BFD" w:rsidRDefault="00572BFD" w:rsidP="009B594F">
      <w:pPr>
        <w:widowControl w:val="0"/>
        <w:spacing w:after="200" w:line="360" w:lineRule="auto"/>
        <w:ind w:right="203"/>
        <w:jc w:val="both"/>
        <w:rPr>
          <w:rFonts w:eastAsia="Times New Roman"/>
          <w:sz w:val="24"/>
          <w:szCs w:val="24"/>
        </w:rPr>
      </w:pPr>
    </w:p>
    <w:p w14:paraId="081CFB2D" w14:textId="77777777" w:rsidR="00572BFD" w:rsidRDefault="00572BFD" w:rsidP="009B594F">
      <w:pPr>
        <w:widowControl w:val="0"/>
        <w:spacing w:after="200" w:line="360" w:lineRule="auto"/>
        <w:ind w:right="203"/>
        <w:jc w:val="both"/>
        <w:rPr>
          <w:rFonts w:eastAsia="Times New Roman"/>
          <w:sz w:val="24"/>
          <w:szCs w:val="24"/>
        </w:rPr>
      </w:pPr>
    </w:p>
    <w:p w14:paraId="1CEAABAC" w14:textId="464F76F2" w:rsidR="006C4A97" w:rsidRDefault="006C4A97" w:rsidP="009B594F">
      <w:pPr>
        <w:widowControl w:val="0"/>
        <w:spacing w:after="200" w:line="360" w:lineRule="auto"/>
        <w:ind w:right="203"/>
        <w:jc w:val="both"/>
        <w:rPr>
          <w:sz w:val="24"/>
          <w:szCs w:val="24"/>
        </w:rPr>
      </w:pPr>
      <w:r w:rsidRPr="006C4A97">
        <w:rPr>
          <w:sz w:val="24"/>
          <w:szCs w:val="24"/>
        </w:rPr>
        <w:t>4. Aim and Objectives of the Event</w:t>
      </w:r>
      <w:bookmarkEnd w:id="6"/>
      <w:r w:rsidRPr="006C4A97">
        <w:rPr>
          <w:sz w:val="24"/>
          <w:szCs w:val="24"/>
        </w:rPr>
        <w:t xml:space="preserve">  </w:t>
      </w:r>
    </w:p>
    <w:p w14:paraId="5DBC28B1" w14:textId="77777777" w:rsidR="00572BFD" w:rsidRPr="009B594F" w:rsidRDefault="00572BFD" w:rsidP="009B594F">
      <w:pPr>
        <w:widowControl w:val="0"/>
        <w:spacing w:after="200" w:line="360" w:lineRule="auto"/>
        <w:ind w:right="203"/>
        <w:jc w:val="both"/>
        <w:rPr>
          <w:rFonts w:eastAsia="Times New Roman"/>
          <w:sz w:val="24"/>
          <w:szCs w:val="24"/>
        </w:rPr>
      </w:pPr>
    </w:p>
    <w:p w14:paraId="71C8AADE" w14:textId="77777777" w:rsidR="006C4A97" w:rsidRDefault="006C4A97" w:rsidP="006C4A97">
      <w:pPr>
        <w:widowControl w:val="0"/>
        <w:spacing w:after="200" w:line="360" w:lineRule="auto"/>
        <w:ind w:right="203"/>
        <w:jc w:val="both"/>
        <w:rPr>
          <w:rFonts w:eastAsia="Times New Roman"/>
          <w:sz w:val="24"/>
          <w:szCs w:val="24"/>
        </w:rPr>
      </w:pPr>
      <w:r w:rsidRPr="006C4A97">
        <w:rPr>
          <w:rFonts w:eastAsia="Times New Roman"/>
          <w:b/>
          <w:sz w:val="24"/>
          <w:szCs w:val="24"/>
        </w:rPr>
        <w:t>Aim:</w:t>
      </w:r>
      <w:r w:rsidRPr="006C4A97">
        <w:rPr>
          <w:rFonts w:eastAsia="Times New Roman"/>
          <w:sz w:val="24"/>
          <w:szCs w:val="24"/>
        </w:rPr>
        <w:t xml:space="preserve"> To examine and foster technological innovation in the Royal National Hotel.</w:t>
      </w:r>
    </w:p>
    <w:p w14:paraId="44E1E0DA" w14:textId="77777777" w:rsidR="00572BFD" w:rsidRPr="006C4A97" w:rsidRDefault="00572BFD" w:rsidP="006C4A97">
      <w:pPr>
        <w:widowControl w:val="0"/>
        <w:spacing w:after="200" w:line="360" w:lineRule="auto"/>
        <w:ind w:right="203"/>
        <w:jc w:val="both"/>
        <w:rPr>
          <w:rFonts w:eastAsia="Times New Roman"/>
          <w:sz w:val="24"/>
          <w:szCs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6C4A97" w:rsidRPr="006C4A97" w14:paraId="3382F46D" w14:textId="77777777" w:rsidTr="009E46A0">
        <w:tc>
          <w:tcPr>
            <w:tcW w:w="1805" w:type="dxa"/>
            <w:shd w:val="clear" w:color="auto" w:fill="auto"/>
            <w:tcMar>
              <w:top w:w="100" w:type="dxa"/>
              <w:left w:w="100" w:type="dxa"/>
              <w:bottom w:w="100" w:type="dxa"/>
              <w:right w:w="100" w:type="dxa"/>
            </w:tcMar>
          </w:tcPr>
          <w:p w14:paraId="3A4FE821"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sz w:val="24"/>
                <w:szCs w:val="24"/>
              </w:rPr>
            </w:pPr>
            <w:r w:rsidRPr="006C4A97">
              <w:rPr>
                <w:rFonts w:eastAsia="Times New Roman"/>
                <w:b/>
                <w:sz w:val="24"/>
                <w:szCs w:val="24"/>
              </w:rPr>
              <w:t>Specific</w:t>
            </w:r>
          </w:p>
        </w:tc>
        <w:tc>
          <w:tcPr>
            <w:tcW w:w="1805" w:type="dxa"/>
            <w:shd w:val="clear" w:color="auto" w:fill="auto"/>
            <w:tcMar>
              <w:top w:w="100" w:type="dxa"/>
              <w:left w:w="100" w:type="dxa"/>
              <w:bottom w:w="100" w:type="dxa"/>
              <w:right w:w="100" w:type="dxa"/>
            </w:tcMar>
          </w:tcPr>
          <w:p w14:paraId="26891FF8"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sz w:val="24"/>
                <w:szCs w:val="24"/>
              </w:rPr>
            </w:pPr>
            <w:r w:rsidRPr="006C4A97">
              <w:rPr>
                <w:rFonts w:eastAsia="Times New Roman"/>
                <w:b/>
                <w:sz w:val="24"/>
                <w:szCs w:val="24"/>
              </w:rPr>
              <w:t>Measurable</w:t>
            </w:r>
          </w:p>
        </w:tc>
        <w:tc>
          <w:tcPr>
            <w:tcW w:w="1805" w:type="dxa"/>
            <w:shd w:val="clear" w:color="auto" w:fill="auto"/>
            <w:tcMar>
              <w:top w:w="100" w:type="dxa"/>
              <w:left w:w="100" w:type="dxa"/>
              <w:bottom w:w="100" w:type="dxa"/>
              <w:right w:w="100" w:type="dxa"/>
            </w:tcMar>
          </w:tcPr>
          <w:p w14:paraId="759C28BC"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sz w:val="24"/>
                <w:szCs w:val="24"/>
              </w:rPr>
            </w:pPr>
            <w:r w:rsidRPr="006C4A97">
              <w:rPr>
                <w:rFonts w:eastAsia="Times New Roman"/>
                <w:b/>
                <w:sz w:val="24"/>
                <w:szCs w:val="24"/>
              </w:rPr>
              <w:t>Achievable</w:t>
            </w:r>
          </w:p>
        </w:tc>
        <w:tc>
          <w:tcPr>
            <w:tcW w:w="1805" w:type="dxa"/>
            <w:shd w:val="clear" w:color="auto" w:fill="auto"/>
            <w:tcMar>
              <w:top w:w="100" w:type="dxa"/>
              <w:left w:w="100" w:type="dxa"/>
              <w:bottom w:w="100" w:type="dxa"/>
              <w:right w:w="100" w:type="dxa"/>
            </w:tcMar>
          </w:tcPr>
          <w:p w14:paraId="02D3A49E"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sz w:val="24"/>
                <w:szCs w:val="24"/>
              </w:rPr>
            </w:pPr>
            <w:r w:rsidRPr="006C4A97">
              <w:rPr>
                <w:rFonts w:eastAsia="Times New Roman"/>
                <w:b/>
                <w:sz w:val="24"/>
                <w:szCs w:val="24"/>
              </w:rPr>
              <w:t>Relevant</w:t>
            </w:r>
          </w:p>
        </w:tc>
        <w:tc>
          <w:tcPr>
            <w:tcW w:w="1805" w:type="dxa"/>
            <w:shd w:val="clear" w:color="auto" w:fill="auto"/>
            <w:tcMar>
              <w:top w:w="100" w:type="dxa"/>
              <w:left w:w="100" w:type="dxa"/>
              <w:bottom w:w="100" w:type="dxa"/>
              <w:right w:w="100" w:type="dxa"/>
            </w:tcMar>
          </w:tcPr>
          <w:p w14:paraId="0C5EFFAB"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sz w:val="24"/>
                <w:szCs w:val="24"/>
              </w:rPr>
            </w:pPr>
            <w:r w:rsidRPr="006C4A97">
              <w:rPr>
                <w:rFonts w:eastAsia="Times New Roman"/>
                <w:b/>
                <w:sz w:val="24"/>
                <w:szCs w:val="24"/>
              </w:rPr>
              <w:t>Time-bound</w:t>
            </w:r>
          </w:p>
        </w:tc>
      </w:tr>
      <w:tr w:rsidR="006C4A97" w:rsidRPr="006C4A97" w14:paraId="7CE00F70" w14:textId="77777777" w:rsidTr="009E46A0">
        <w:tc>
          <w:tcPr>
            <w:tcW w:w="1805" w:type="dxa"/>
            <w:shd w:val="clear" w:color="auto" w:fill="auto"/>
            <w:tcMar>
              <w:top w:w="100" w:type="dxa"/>
              <w:left w:w="100" w:type="dxa"/>
              <w:bottom w:w="100" w:type="dxa"/>
              <w:right w:w="100" w:type="dxa"/>
            </w:tcMar>
          </w:tcPr>
          <w:p w14:paraId="41E7D800"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Submit data on particular features of every period.</w:t>
            </w:r>
          </w:p>
        </w:tc>
        <w:tc>
          <w:tcPr>
            <w:tcW w:w="1805" w:type="dxa"/>
            <w:shd w:val="clear" w:color="auto" w:fill="auto"/>
            <w:tcMar>
              <w:top w:w="100" w:type="dxa"/>
              <w:left w:w="100" w:type="dxa"/>
              <w:bottom w:w="100" w:type="dxa"/>
              <w:right w:w="100" w:type="dxa"/>
            </w:tcMar>
          </w:tcPr>
          <w:p w14:paraId="76563D7E"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Pre- and post-event assessments can be utilised to measure improvements in knowledge.</w:t>
            </w:r>
          </w:p>
        </w:tc>
        <w:tc>
          <w:tcPr>
            <w:tcW w:w="1805" w:type="dxa"/>
            <w:shd w:val="clear" w:color="auto" w:fill="auto"/>
            <w:tcMar>
              <w:top w:w="100" w:type="dxa"/>
              <w:left w:w="100" w:type="dxa"/>
              <w:bottom w:w="100" w:type="dxa"/>
              <w:right w:w="100" w:type="dxa"/>
            </w:tcMar>
          </w:tcPr>
          <w:p w14:paraId="658209DA"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Ensuring the presentations are interesting and the individuals who speak are informed.</w:t>
            </w:r>
          </w:p>
        </w:tc>
        <w:tc>
          <w:tcPr>
            <w:tcW w:w="1805" w:type="dxa"/>
            <w:shd w:val="clear" w:color="auto" w:fill="auto"/>
            <w:tcMar>
              <w:top w:w="100" w:type="dxa"/>
              <w:left w:w="100" w:type="dxa"/>
              <w:bottom w:w="100" w:type="dxa"/>
              <w:right w:w="100" w:type="dxa"/>
            </w:tcMar>
          </w:tcPr>
          <w:p w14:paraId="48C0CC6F"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Corresponds to the objective of promotional technical advancement.</w:t>
            </w:r>
          </w:p>
        </w:tc>
        <w:tc>
          <w:tcPr>
            <w:tcW w:w="1805" w:type="dxa"/>
            <w:shd w:val="clear" w:color="auto" w:fill="auto"/>
            <w:tcMar>
              <w:top w:w="100" w:type="dxa"/>
              <w:left w:w="100" w:type="dxa"/>
              <w:bottom w:w="100" w:type="dxa"/>
              <w:right w:w="100" w:type="dxa"/>
            </w:tcMar>
          </w:tcPr>
          <w:p w14:paraId="276F88CE"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Achieve throughout the event.</w:t>
            </w:r>
          </w:p>
        </w:tc>
      </w:tr>
      <w:tr w:rsidR="006C4A97" w:rsidRPr="006C4A97" w14:paraId="39820590" w14:textId="77777777" w:rsidTr="009E46A0">
        <w:tc>
          <w:tcPr>
            <w:tcW w:w="1805" w:type="dxa"/>
            <w:shd w:val="clear" w:color="auto" w:fill="auto"/>
            <w:tcMar>
              <w:top w:w="100" w:type="dxa"/>
              <w:left w:w="100" w:type="dxa"/>
              <w:bottom w:w="100" w:type="dxa"/>
              <w:right w:w="100" w:type="dxa"/>
            </w:tcMar>
          </w:tcPr>
          <w:p w14:paraId="3ABD3C44"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lastRenderedPageBreak/>
              <w:t>Encouraging networking at the event.</w:t>
            </w:r>
          </w:p>
        </w:tc>
        <w:tc>
          <w:tcPr>
            <w:tcW w:w="1805" w:type="dxa"/>
            <w:shd w:val="clear" w:color="auto" w:fill="auto"/>
            <w:tcMar>
              <w:top w:w="100" w:type="dxa"/>
              <w:left w:w="100" w:type="dxa"/>
              <w:bottom w:w="100" w:type="dxa"/>
              <w:right w:w="100" w:type="dxa"/>
            </w:tcMar>
          </w:tcPr>
          <w:p w14:paraId="08BDCADB"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Analyse how many individuals took part in interaction activities.</w:t>
            </w:r>
          </w:p>
        </w:tc>
        <w:tc>
          <w:tcPr>
            <w:tcW w:w="1805" w:type="dxa"/>
            <w:shd w:val="clear" w:color="auto" w:fill="auto"/>
            <w:tcMar>
              <w:top w:w="100" w:type="dxa"/>
              <w:left w:w="100" w:type="dxa"/>
              <w:bottom w:w="100" w:type="dxa"/>
              <w:right w:w="100" w:type="dxa"/>
            </w:tcMar>
          </w:tcPr>
          <w:p w14:paraId="741BF857"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Provide scheduled opportunities for interaction and an ideal setting.</w:t>
            </w:r>
          </w:p>
        </w:tc>
        <w:tc>
          <w:tcPr>
            <w:tcW w:w="1805" w:type="dxa"/>
            <w:shd w:val="clear" w:color="auto" w:fill="auto"/>
            <w:tcMar>
              <w:top w:w="100" w:type="dxa"/>
              <w:left w:w="100" w:type="dxa"/>
              <w:bottom w:w="100" w:type="dxa"/>
              <w:right w:w="100" w:type="dxa"/>
            </w:tcMar>
          </w:tcPr>
          <w:p w14:paraId="70131811"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Communication enables collaboration and the transfer of ideas.</w:t>
            </w:r>
          </w:p>
        </w:tc>
        <w:tc>
          <w:tcPr>
            <w:tcW w:w="1805" w:type="dxa"/>
            <w:shd w:val="clear" w:color="auto" w:fill="auto"/>
            <w:tcMar>
              <w:top w:w="100" w:type="dxa"/>
              <w:left w:w="100" w:type="dxa"/>
              <w:bottom w:w="100" w:type="dxa"/>
              <w:right w:w="100" w:type="dxa"/>
            </w:tcMar>
          </w:tcPr>
          <w:p w14:paraId="278F24C3"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Complete throughout the event.</w:t>
            </w:r>
          </w:p>
        </w:tc>
      </w:tr>
    </w:tbl>
    <w:p w14:paraId="2983A96F" w14:textId="77777777" w:rsidR="00B52176" w:rsidRDefault="006C4A97" w:rsidP="00B52176">
      <w:pPr>
        <w:widowControl w:val="0"/>
        <w:spacing w:after="200" w:line="360" w:lineRule="auto"/>
        <w:ind w:right="203"/>
        <w:jc w:val="center"/>
        <w:rPr>
          <w:rFonts w:eastAsia="Times New Roman"/>
          <w:b/>
          <w:sz w:val="24"/>
          <w:szCs w:val="24"/>
        </w:rPr>
      </w:pPr>
      <w:r w:rsidRPr="006C4A97">
        <w:rPr>
          <w:rFonts w:eastAsia="Times New Roman"/>
          <w:b/>
          <w:sz w:val="24"/>
          <w:szCs w:val="24"/>
        </w:rPr>
        <w:t>Table No.1: SMART Objectives of the Event</w:t>
      </w:r>
      <w:bookmarkStart w:id="7" w:name="_v2hqrsb5tn4" w:colFirst="0" w:colLast="0"/>
      <w:bookmarkStart w:id="8" w:name="_Toc165309430"/>
      <w:bookmarkEnd w:id="7"/>
    </w:p>
    <w:p w14:paraId="7B97735F" w14:textId="0583BA03" w:rsidR="006C4A97" w:rsidRPr="00B52176" w:rsidRDefault="006C4A97" w:rsidP="00B52176">
      <w:pPr>
        <w:widowControl w:val="0"/>
        <w:spacing w:after="200" w:line="360" w:lineRule="auto"/>
        <w:ind w:right="203"/>
        <w:rPr>
          <w:rFonts w:eastAsia="Times New Roman"/>
          <w:b/>
          <w:sz w:val="24"/>
          <w:szCs w:val="24"/>
        </w:rPr>
      </w:pPr>
      <w:r w:rsidRPr="006C4A97">
        <w:rPr>
          <w:sz w:val="24"/>
          <w:szCs w:val="24"/>
        </w:rPr>
        <w:t>5. Event Budget</w:t>
      </w:r>
      <w:bookmarkEnd w:id="8"/>
      <w:r w:rsidRPr="006C4A97">
        <w:rPr>
          <w:sz w:val="24"/>
          <w:szCs w:val="24"/>
        </w:rPr>
        <w:t xml:space="preserve"> </w:t>
      </w:r>
    </w:p>
    <w:p w14:paraId="7C320BCE" w14:textId="3A6F6612"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sz w:val="24"/>
          <w:szCs w:val="24"/>
        </w:rPr>
        <w:t>Financial planning for The Royal National Hotel UK's Future</w:t>
      </w:r>
      <w:r w:rsidR="00B70191">
        <w:rPr>
          <w:rFonts w:eastAsia="Times New Roman"/>
          <w:sz w:val="24"/>
          <w:szCs w:val="24"/>
        </w:rPr>
        <w:t xml:space="preserve"> </w:t>
      </w:r>
      <w:r w:rsidRPr="006C4A97">
        <w:rPr>
          <w:rFonts w:eastAsia="Times New Roman"/>
          <w:sz w:val="24"/>
          <w:szCs w:val="24"/>
        </w:rPr>
        <w:t xml:space="preserve">Stay: Hospitality Innovation Showcase necessitates a thoughtful evaluation of the numerous components included in the supplies that are given and the event cycle. </w:t>
      </w:r>
    </w:p>
    <w:p w14:paraId="26FBC743"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Place and Governance:</w:t>
      </w:r>
      <w:r w:rsidRPr="006C4A97">
        <w:rPr>
          <w:rFonts w:eastAsia="Times New Roman"/>
          <w:sz w:val="24"/>
          <w:szCs w:val="24"/>
        </w:rPr>
        <w:t xml:space="preserve"> The cost of the location, which involves the costs of renting the event space, break-out areas, and any other services wanted, should be given attention (Nolan, 2020). This could also involve costs for the lights, media equipment, and degree atmosphere. The Royal National Hotel wants to be confident that the setting they have selected will promote the objectives of the event and be capable of accommodating an expected variety of attendees.</w:t>
      </w:r>
    </w:p>
    <w:p w14:paraId="24181EB2" w14:textId="77777777" w:rsidR="006C4A97" w:rsidRPr="006C4A97" w:rsidRDefault="006C4A97" w:rsidP="006C4A97">
      <w:pPr>
        <w:widowControl w:val="0"/>
        <w:spacing w:after="200" w:line="360" w:lineRule="auto"/>
        <w:ind w:right="203"/>
        <w:jc w:val="both"/>
        <w:rPr>
          <w:sz w:val="24"/>
          <w:szCs w:val="24"/>
          <w:shd w:val="clear" w:color="auto" w:fill="EDFAFF"/>
        </w:rPr>
      </w:pPr>
      <w:r w:rsidRPr="006C4A97">
        <w:rPr>
          <w:rFonts w:eastAsia="Times New Roman"/>
          <w:b/>
          <w:i/>
          <w:sz w:val="24"/>
          <w:szCs w:val="24"/>
        </w:rPr>
        <w:t>Speakers and Talent:</w:t>
      </w:r>
      <w:r w:rsidRPr="006C4A97">
        <w:rPr>
          <w:rFonts w:eastAsia="Times New Roman"/>
          <w:sz w:val="24"/>
          <w:szCs w:val="24"/>
        </w:rPr>
        <w:t xml:space="preserve"> One must set aside funds for moderators, panellists, and keynote speeches. Their contributions are essential for delivering thought-provoking material and improving attendance at the conference (Meredith, 2022). Speaker fees, transportation, hotel, and other connected expenditures must all need to be taken into account when preparing a budget (Chersulich Tomino, Perić and Wise, 2020). </w:t>
      </w:r>
    </w:p>
    <w:p w14:paraId="4C5E65D6"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Promotion and Marketing:</w:t>
      </w:r>
      <w:r w:rsidRPr="006C4A97">
        <w:rPr>
          <w:rFonts w:eastAsia="Times New Roman"/>
          <w:sz w:val="24"/>
          <w:szCs w:val="24"/>
        </w:rPr>
        <w:t xml:space="preserve"> Getting people to attend the event necessitates an effective advertising plan. Budgetary enclaves may also include charges associated with creating marketing tools, placing ads on pertinent platforms as well running email campaigns, selling on social media, and projects related to public relations (Crain, 2021). In order to create curiosity and attention, a specific budget is additionally needed for the creation of visually compelling material in other forms such as movies, blogspot entries, and infographics. </w:t>
      </w:r>
    </w:p>
    <w:p w14:paraId="5C758E0B" w14:textId="77777777" w:rsid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lastRenderedPageBreak/>
        <w:t>Catering and Refreshments:</w:t>
      </w:r>
      <w:r w:rsidRPr="006C4A97">
        <w:rPr>
          <w:rFonts w:eastAsia="Times New Roman"/>
          <w:sz w:val="24"/>
          <w:szCs w:val="24"/>
        </w:rPr>
        <w:t xml:space="preserve"> Having food, snacks, and beverages readily accessible for catering is important to providing an outstanding visit for guests. Planning a budget should include thinking about eating habits, catering fees, dietary restrictions, and any particular requirements (Crain, 2021). The midday break gives a chance for interaction and social networking, thus making the best refreshment a top priority is crucial.</w:t>
      </w:r>
    </w:p>
    <w:p w14:paraId="3DA5F2E0" w14:textId="77777777" w:rsidR="0029069C" w:rsidRPr="006C4A97" w:rsidRDefault="0029069C" w:rsidP="006C4A97">
      <w:pPr>
        <w:widowControl w:val="0"/>
        <w:spacing w:after="200" w:line="360" w:lineRule="auto"/>
        <w:ind w:right="203"/>
        <w:jc w:val="both"/>
        <w:rPr>
          <w:rFonts w:eastAsia="Times New Roman"/>
          <w:sz w:val="24"/>
          <w:szCs w:val="24"/>
        </w:rPr>
      </w:pPr>
    </w:p>
    <w:p w14:paraId="24D72AE4"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Technology and Innovation Showcase:</w:t>
      </w:r>
      <w:r w:rsidRPr="006C4A97">
        <w:rPr>
          <w:rFonts w:eastAsia="Times New Roman"/>
          <w:sz w:val="24"/>
          <w:szCs w:val="24"/>
        </w:rPr>
        <w:t xml:space="preserve"> Cost considerations for exhibiting cutting-edge technologies are crucial, especially as the event is centred around technology developments in the hospitality sector (Cheong and Law, 2023). This includes the cost of creating interactive displays, presentation technology, and workspaces for interacting with groups of people. A budget also needs to be set out for hiring any specialist software or technology needed for these demonstrations. </w:t>
      </w:r>
    </w:p>
    <w:p w14:paraId="6D954012"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Operations and Staffing:</w:t>
      </w:r>
      <w:r w:rsidRPr="006C4A97">
        <w:rPr>
          <w:rFonts w:eastAsia="Times New Roman"/>
          <w:sz w:val="24"/>
          <w:szCs w:val="24"/>
        </w:rPr>
        <w:t xml:space="preserve"> The budget must take into account how much is needed for meeting coordinators in order to register personnel, support services personnel, and security workers, among others (Crain, 2021). It is crucial to make sure there exists sufficient staff to oversee things and to assist members as needed.</w:t>
      </w:r>
    </w:p>
    <w:p w14:paraId="11C7EB2D" w14:textId="77777777" w:rsidR="006C4A97" w:rsidRPr="006C4A97" w:rsidRDefault="006C4A97" w:rsidP="006C4A97">
      <w:pPr>
        <w:widowControl w:val="0"/>
        <w:spacing w:after="200" w:line="360" w:lineRule="auto"/>
        <w:ind w:right="203"/>
        <w:jc w:val="both"/>
        <w:rPr>
          <w:rFonts w:eastAsia="Times New Roman"/>
          <w:sz w:val="24"/>
          <w:szCs w:val="24"/>
        </w:rPr>
      </w:pPr>
      <w:r w:rsidRPr="006C4A97">
        <w:rPr>
          <w:rFonts w:eastAsia="Times New Roman"/>
          <w:b/>
          <w:i/>
          <w:sz w:val="24"/>
          <w:szCs w:val="24"/>
        </w:rPr>
        <w:t>Contingency Funds:</w:t>
      </w:r>
      <w:r w:rsidRPr="006C4A97">
        <w:rPr>
          <w:rFonts w:eastAsia="Times New Roman"/>
          <w:sz w:val="24"/>
          <w:szCs w:val="24"/>
        </w:rPr>
        <w:t xml:space="preserve"> It is necessary to set aside money for unexpected expenditures or crises that may arise while the event is being coordinated and carried out by the team handling the account (O’Toole, 2011).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C4A97" w:rsidRPr="006C4A97" w14:paraId="6EC4989C" w14:textId="77777777" w:rsidTr="009E46A0">
        <w:tc>
          <w:tcPr>
            <w:tcW w:w="4514" w:type="dxa"/>
            <w:shd w:val="clear" w:color="auto" w:fill="auto"/>
            <w:tcMar>
              <w:top w:w="100" w:type="dxa"/>
              <w:left w:w="100" w:type="dxa"/>
              <w:bottom w:w="100" w:type="dxa"/>
              <w:right w:w="100" w:type="dxa"/>
            </w:tcMar>
          </w:tcPr>
          <w:p w14:paraId="3D95E1E8"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Events</w:t>
            </w:r>
          </w:p>
        </w:tc>
        <w:tc>
          <w:tcPr>
            <w:tcW w:w="4514" w:type="dxa"/>
            <w:shd w:val="clear" w:color="auto" w:fill="auto"/>
            <w:tcMar>
              <w:top w:w="100" w:type="dxa"/>
              <w:left w:w="100" w:type="dxa"/>
              <w:bottom w:w="100" w:type="dxa"/>
              <w:right w:w="100" w:type="dxa"/>
            </w:tcMar>
          </w:tcPr>
          <w:p w14:paraId="3A0862D7"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Budgets</w:t>
            </w:r>
          </w:p>
        </w:tc>
      </w:tr>
      <w:tr w:rsidR="006C4A97" w:rsidRPr="006C4A97" w14:paraId="63E6D303" w14:textId="77777777" w:rsidTr="009E46A0">
        <w:tc>
          <w:tcPr>
            <w:tcW w:w="4514" w:type="dxa"/>
            <w:shd w:val="clear" w:color="auto" w:fill="auto"/>
            <w:tcMar>
              <w:top w:w="100" w:type="dxa"/>
              <w:left w:w="100" w:type="dxa"/>
              <w:bottom w:w="100" w:type="dxa"/>
              <w:right w:w="100" w:type="dxa"/>
            </w:tcMar>
          </w:tcPr>
          <w:p w14:paraId="071F95F5" w14:textId="77777777" w:rsidR="006C4A97" w:rsidRPr="006C4A97" w:rsidRDefault="006C4A97" w:rsidP="006C4A97">
            <w:pPr>
              <w:widowControl w:val="0"/>
              <w:spacing w:after="200" w:line="360" w:lineRule="auto"/>
              <w:ind w:right="203"/>
              <w:jc w:val="center"/>
              <w:rPr>
                <w:rFonts w:eastAsia="Times New Roman"/>
                <w:sz w:val="24"/>
                <w:szCs w:val="24"/>
              </w:rPr>
            </w:pPr>
            <w:r w:rsidRPr="006C4A97">
              <w:rPr>
                <w:rFonts w:eastAsia="Times New Roman"/>
                <w:b/>
                <w:i/>
                <w:sz w:val="24"/>
                <w:szCs w:val="24"/>
              </w:rPr>
              <w:t>Place and Governance</w:t>
            </w:r>
          </w:p>
        </w:tc>
        <w:tc>
          <w:tcPr>
            <w:tcW w:w="4514" w:type="dxa"/>
            <w:shd w:val="clear" w:color="auto" w:fill="auto"/>
            <w:tcMar>
              <w:top w:w="100" w:type="dxa"/>
              <w:left w:w="100" w:type="dxa"/>
              <w:bottom w:w="100" w:type="dxa"/>
              <w:right w:w="100" w:type="dxa"/>
            </w:tcMar>
          </w:tcPr>
          <w:p w14:paraId="61C88017"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sz w:val="24"/>
                <w:szCs w:val="24"/>
              </w:rPr>
            </w:pPr>
            <w:r w:rsidRPr="006C4A97">
              <w:rPr>
                <w:rFonts w:eastAsia="Times New Roman"/>
                <w:sz w:val="24"/>
                <w:szCs w:val="24"/>
              </w:rPr>
              <w:t>£2000</w:t>
            </w:r>
          </w:p>
        </w:tc>
      </w:tr>
      <w:tr w:rsidR="006C4A97" w:rsidRPr="006C4A97" w14:paraId="6A8CCB07" w14:textId="77777777" w:rsidTr="009E46A0">
        <w:tc>
          <w:tcPr>
            <w:tcW w:w="4514" w:type="dxa"/>
            <w:shd w:val="clear" w:color="auto" w:fill="auto"/>
            <w:tcMar>
              <w:top w:w="100" w:type="dxa"/>
              <w:left w:w="100" w:type="dxa"/>
              <w:bottom w:w="100" w:type="dxa"/>
              <w:right w:w="100" w:type="dxa"/>
            </w:tcMar>
          </w:tcPr>
          <w:p w14:paraId="293A0012" w14:textId="77777777" w:rsidR="006C4A97" w:rsidRPr="006C4A97" w:rsidRDefault="006C4A97" w:rsidP="006C4A97">
            <w:pPr>
              <w:widowControl w:val="0"/>
              <w:spacing w:after="200" w:line="360" w:lineRule="auto"/>
              <w:ind w:right="203"/>
              <w:jc w:val="center"/>
              <w:rPr>
                <w:rFonts w:eastAsia="Times New Roman"/>
                <w:sz w:val="24"/>
                <w:szCs w:val="24"/>
              </w:rPr>
            </w:pPr>
            <w:r w:rsidRPr="006C4A97">
              <w:rPr>
                <w:rFonts w:eastAsia="Times New Roman"/>
                <w:b/>
                <w:i/>
                <w:sz w:val="24"/>
                <w:szCs w:val="24"/>
              </w:rPr>
              <w:t>Speakers and Talent</w:t>
            </w:r>
          </w:p>
        </w:tc>
        <w:tc>
          <w:tcPr>
            <w:tcW w:w="4514" w:type="dxa"/>
            <w:shd w:val="clear" w:color="auto" w:fill="auto"/>
            <w:tcMar>
              <w:top w:w="100" w:type="dxa"/>
              <w:left w:w="100" w:type="dxa"/>
              <w:bottom w:w="100" w:type="dxa"/>
              <w:right w:w="100" w:type="dxa"/>
            </w:tcMar>
          </w:tcPr>
          <w:p w14:paraId="31216E2F" w14:textId="77777777" w:rsidR="006C4A97" w:rsidRPr="006C4A97" w:rsidRDefault="006C4A97" w:rsidP="006C4A97">
            <w:pPr>
              <w:widowControl w:val="0"/>
              <w:spacing w:after="200" w:line="360" w:lineRule="auto"/>
              <w:jc w:val="center"/>
              <w:rPr>
                <w:rFonts w:eastAsia="Times New Roman"/>
                <w:sz w:val="24"/>
                <w:szCs w:val="24"/>
              </w:rPr>
            </w:pPr>
            <w:r w:rsidRPr="006C4A97">
              <w:rPr>
                <w:rFonts w:eastAsia="Times New Roman"/>
                <w:sz w:val="24"/>
                <w:szCs w:val="24"/>
              </w:rPr>
              <w:t>£3000</w:t>
            </w:r>
          </w:p>
        </w:tc>
      </w:tr>
      <w:tr w:rsidR="006C4A97" w:rsidRPr="006C4A97" w14:paraId="219FE730" w14:textId="77777777" w:rsidTr="009E46A0">
        <w:tc>
          <w:tcPr>
            <w:tcW w:w="4514" w:type="dxa"/>
            <w:shd w:val="clear" w:color="auto" w:fill="auto"/>
            <w:tcMar>
              <w:top w:w="100" w:type="dxa"/>
              <w:left w:w="100" w:type="dxa"/>
              <w:bottom w:w="100" w:type="dxa"/>
              <w:right w:w="100" w:type="dxa"/>
            </w:tcMar>
          </w:tcPr>
          <w:p w14:paraId="3655B019" w14:textId="77777777" w:rsidR="006C4A97" w:rsidRPr="006C4A97" w:rsidRDefault="006C4A97" w:rsidP="006C4A97">
            <w:pPr>
              <w:widowControl w:val="0"/>
              <w:spacing w:after="200" w:line="360" w:lineRule="auto"/>
              <w:ind w:right="203"/>
              <w:jc w:val="center"/>
              <w:rPr>
                <w:rFonts w:eastAsia="Times New Roman"/>
                <w:sz w:val="24"/>
                <w:szCs w:val="24"/>
              </w:rPr>
            </w:pPr>
            <w:r w:rsidRPr="006C4A97">
              <w:rPr>
                <w:rFonts w:eastAsia="Times New Roman"/>
                <w:b/>
                <w:i/>
                <w:sz w:val="24"/>
                <w:szCs w:val="24"/>
              </w:rPr>
              <w:t>Promotion and Marketing</w:t>
            </w:r>
          </w:p>
        </w:tc>
        <w:tc>
          <w:tcPr>
            <w:tcW w:w="4514" w:type="dxa"/>
            <w:shd w:val="clear" w:color="auto" w:fill="auto"/>
            <w:tcMar>
              <w:top w:w="100" w:type="dxa"/>
              <w:left w:w="100" w:type="dxa"/>
              <w:bottom w:w="100" w:type="dxa"/>
              <w:right w:w="100" w:type="dxa"/>
            </w:tcMar>
          </w:tcPr>
          <w:p w14:paraId="10517FC8" w14:textId="77777777" w:rsidR="006C4A97" w:rsidRPr="006C4A97" w:rsidRDefault="006C4A97" w:rsidP="006C4A97">
            <w:pPr>
              <w:widowControl w:val="0"/>
              <w:spacing w:after="200" w:line="360" w:lineRule="auto"/>
              <w:jc w:val="center"/>
              <w:rPr>
                <w:rFonts w:eastAsia="Times New Roman"/>
                <w:sz w:val="24"/>
                <w:szCs w:val="24"/>
              </w:rPr>
            </w:pPr>
            <w:r w:rsidRPr="006C4A97">
              <w:rPr>
                <w:rFonts w:eastAsia="Times New Roman"/>
                <w:sz w:val="24"/>
                <w:szCs w:val="24"/>
              </w:rPr>
              <w:t>£3500</w:t>
            </w:r>
          </w:p>
        </w:tc>
      </w:tr>
      <w:tr w:rsidR="006C4A97" w:rsidRPr="006C4A97" w14:paraId="4BD5685A" w14:textId="77777777" w:rsidTr="009E46A0">
        <w:tc>
          <w:tcPr>
            <w:tcW w:w="4514" w:type="dxa"/>
            <w:shd w:val="clear" w:color="auto" w:fill="auto"/>
            <w:tcMar>
              <w:top w:w="100" w:type="dxa"/>
              <w:left w:w="100" w:type="dxa"/>
              <w:bottom w:w="100" w:type="dxa"/>
              <w:right w:w="100" w:type="dxa"/>
            </w:tcMar>
          </w:tcPr>
          <w:p w14:paraId="0E74D383" w14:textId="77777777" w:rsidR="006C4A97" w:rsidRPr="006C4A97" w:rsidRDefault="006C4A97" w:rsidP="006C4A97">
            <w:pPr>
              <w:widowControl w:val="0"/>
              <w:spacing w:after="200" w:line="360" w:lineRule="auto"/>
              <w:ind w:right="203"/>
              <w:jc w:val="center"/>
              <w:rPr>
                <w:rFonts w:eastAsia="Times New Roman"/>
                <w:sz w:val="24"/>
                <w:szCs w:val="24"/>
              </w:rPr>
            </w:pPr>
            <w:r w:rsidRPr="006C4A97">
              <w:rPr>
                <w:rFonts w:eastAsia="Times New Roman"/>
                <w:b/>
                <w:i/>
                <w:sz w:val="24"/>
                <w:szCs w:val="24"/>
              </w:rPr>
              <w:t>Catering and Refreshments</w:t>
            </w:r>
          </w:p>
        </w:tc>
        <w:tc>
          <w:tcPr>
            <w:tcW w:w="4514" w:type="dxa"/>
            <w:shd w:val="clear" w:color="auto" w:fill="auto"/>
            <w:tcMar>
              <w:top w:w="100" w:type="dxa"/>
              <w:left w:w="100" w:type="dxa"/>
              <w:bottom w:w="100" w:type="dxa"/>
              <w:right w:w="100" w:type="dxa"/>
            </w:tcMar>
          </w:tcPr>
          <w:p w14:paraId="32E30F79" w14:textId="77777777" w:rsidR="006C4A97" w:rsidRPr="006C4A97" w:rsidRDefault="006C4A97" w:rsidP="006C4A97">
            <w:pPr>
              <w:widowControl w:val="0"/>
              <w:spacing w:after="200" w:line="360" w:lineRule="auto"/>
              <w:jc w:val="center"/>
              <w:rPr>
                <w:rFonts w:eastAsia="Times New Roman"/>
                <w:sz w:val="24"/>
                <w:szCs w:val="24"/>
              </w:rPr>
            </w:pPr>
            <w:r w:rsidRPr="006C4A97">
              <w:rPr>
                <w:rFonts w:eastAsia="Times New Roman"/>
                <w:sz w:val="24"/>
                <w:szCs w:val="24"/>
              </w:rPr>
              <w:t>£2000</w:t>
            </w:r>
          </w:p>
        </w:tc>
      </w:tr>
      <w:tr w:rsidR="006C4A97" w:rsidRPr="006C4A97" w14:paraId="5668D425" w14:textId="77777777" w:rsidTr="009E46A0">
        <w:tc>
          <w:tcPr>
            <w:tcW w:w="4514" w:type="dxa"/>
            <w:shd w:val="clear" w:color="auto" w:fill="auto"/>
            <w:tcMar>
              <w:top w:w="100" w:type="dxa"/>
              <w:left w:w="100" w:type="dxa"/>
              <w:bottom w:w="100" w:type="dxa"/>
              <w:right w:w="100" w:type="dxa"/>
            </w:tcMar>
          </w:tcPr>
          <w:p w14:paraId="551124E7" w14:textId="77777777" w:rsidR="006C4A97" w:rsidRPr="006C4A97" w:rsidRDefault="006C4A97" w:rsidP="006C4A97">
            <w:pPr>
              <w:widowControl w:val="0"/>
              <w:spacing w:after="200" w:line="360" w:lineRule="auto"/>
              <w:ind w:right="203"/>
              <w:jc w:val="center"/>
              <w:rPr>
                <w:rFonts w:eastAsia="Times New Roman"/>
                <w:sz w:val="24"/>
                <w:szCs w:val="24"/>
              </w:rPr>
            </w:pPr>
            <w:r w:rsidRPr="006C4A97">
              <w:rPr>
                <w:rFonts w:eastAsia="Times New Roman"/>
                <w:b/>
                <w:i/>
                <w:sz w:val="24"/>
                <w:szCs w:val="24"/>
              </w:rPr>
              <w:lastRenderedPageBreak/>
              <w:t>Technology and Innovation Showcase</w:t>
            </w:r>
          </w:p>
        </w:tc>
        <w:tc>
          <w:tcPr>
            <w:tcW w:w="4514" w:type="dxa"/>
            <w:shd w:val="clear" w:color="auto" w:fill="auto"/>
            <w:tcMar>
              <w:top w:w="100" w:type="dxa"/>
              <w:left w:w="100" w:type="dxa"/>
              <w:bottom w:w="100" w:type="dxa"/>
              <w:right w:w="100" w:type="dxa"/>
            </w:tcMar>
          </w:tcPr>
          <w:p w14:paraId="0DC19474" w14:textId="77777777" w:rsidR="006C4A97" w:rsidRPr="006C4A97" w:rsidRDefault="006C4A97" w:rsidP="006C4A97">
            <w:pPr>
              <w:widowControl w:val="0"/>
              <w:spacing w:after="200" w:line="360" w:lineRule="auto"/>
              <w:jc w:val="center"/>
              <w:rPr>
                <w:rFonts w:eastAsia="Times New Roman"/>
                <w:sz w:val="24"/>
                <w:szCs w:val="24"/>
              </w:rPr>
            </w:pPr>
            <w:r w:rsidRPr="006C4A97">
              <w:rPr>
                <w:rFonts w:eastAsia="Times New Roman"/>
                <w:sz w:val="24"/>
                <w:szCs w:val="24"/>
              </w:rPr>
              <w:t>£5000</w:t>
            </w:r>
          </w:p>
        </w:tc>
      </w:tr>
      <w:tr w:rsidR="006C4A97" w:rsidRPr="006C4A97" w14:paraId="44B40CE2" w14:textId="77777777" w:rsidTr="009E46A0">
        <w:tc>
          <w:tcPr>
            <w:tcW w:w="4514" w:type="dxa"/>
            <w:shd w:val="clear" w:color="auto" w:fill="auto"/>
            <w:tcMar>
              <w:top w:w="100" w:type="dxa"/>
              <w:left w:w="100" w:type="dxa"/>
              <w:bottom w:w="100" w:type="dxa"/>
              <w:right w:w="100" w:type="dxa"/>
            </w:tcMar>
          </w:tcPr>
          <w:p w14:paraId="0E9F7D84" w14:textId="77777777" w:rsidR="006C4A97" w:rsidRPr="006C4A97" w:rsidRDefault="006C4A97" w:rsidP="006C4A97">
            <w:pPr>
              <w:widowControl w:val="0"/>
              <w:spacing w:after="200" w:line="360" w:lineRule="auto"/>
              <w:ind w:right="203"/>
              <w:jc w:val="center"/>
              <w:rPr>
                <w:rFonts w:eastAsia="Times New Roman"/>
                <w:sz w:val="24"/>
                <w:szCs w:val="24"/>
              </w:rPr>
            </w:pPr>
            <w:r w:rsidRPr="006C4A97">
              <w:rPr>
                <w:rFonts w:eastAsia="Times New Roman"/>
                <w:b/>
                <w:i/>
                <w:sz w:val="24"/>
                <w:szCs w:val="24"/>
              </w:rPr>
              <w:t>Operations and Staffing</w:t>
            </w:r>
          </w:p>
        </w:tc>
        <w:tc>
          <w:tcPr>
            <w:tcW w:w="4514" w:type="dxa"/>
            <w:shd w:val="clear" w:color="auto" w:fill="auto"/>
            <w:tcMar>
              <w:top w:w="100" w:type="dxa"/>
              <w:left w:w="100" w:type="dxa"/>
              <w:bottom w:w="100" w:type="dxa"/>
              <w:right w:w="100" w:type="dxa"/>
            </w:tcMar>
          </w:tcPr>
          <w:p w14:paraId="179EDDEA" w14:textId="77777777" w:rsidR="006C4A97" w:rsidRPr="006C4A97" w:rsidRDefault="006C4A97" w:rsidP="006C4A97">
            <w:pPr>
              <w:widowControl w:val="0"/>
              <w:spacing w:after="200" w:line="360" w:lineRule="auto"/>
              <w:jc w:val="center"/>
              <w:rPr>
                <w:rFonts w:eastAsia="Times New Roman"/>
                <w:sz w:val="24"/>
                <w:szCs w:val="24"/>
              </w:rPr>
            </w:pPr>
            <w:r w:rsidRPr="006C4A97">
              <w:rPr>
                <w:rFonts w:eastAsia="Times New Roman"/>
                <w:sz w:val="24"/>
                <w:szCs w:val="24"/>
              </w:rPr>
              <w:t>£3000</w:t>
            </w:r>
          </w:p>
        </w:tc>
      </w:tr>
      <w:tr w:rsidR="006C4A97" w:rsidRPr="006C4A97" w14:paraId="2B0BDD67" w14:textId="77777777" w:rsidTr="009E46A0">
        <w:tc>
          <w:tcPr>
            <w:tcW w:w="4514" w:type="dxa"/>
            <w:shd w:val="clear" w:color="auto" w:fill="auto"/>
            <w:tcMar>
              <w:top w:w="100" w:type="dxa"/>
              <w:left w:w="100" w:type="dxa"/>
              <w:bottom w:w="100" w:type="dxa"/>
              <w:right w:w="100" w:type="dxa"/>
            </w:tcMar>
          </w:tcPr>
          <w:p w14:paraId="4A5F20C1" w14:textId="77777777" w:rsidR="006C4A97" w:rsidRPr="006C4A97" w:rsidRDefault="006C4A97" w:rsidP="006C4A97">
            <w:pPr>
              <w:widowControl w:val="0"/>
              <w:spacing w:after="200" w:line="360" w:lineRule="auto"/>
              <w:ind w:right="203"/>
              <w:jc w:val="center"/>
              <w:rPr>
                <w:rFonts w:eastAsia="Times New Roman"/>
                <w:b/>
                <w:i/>
                <w:sz w:val="24"/>
                <w:szCs w:val="24"/>
              </w:rPr>
            </w:pPr>
            <w:r w:rsidRPr="006C4A97">
              <w:rPr>
                <w:rFonts w:eastAsia="Times New Roman"/>
                <w:b/>
                <w:i/>
                <w:sz w:val="24"/>
                <w:szCs w:val="24"/>
              </w:rPr>
              <w:t>Contingency Funds</w:t>
            </w:r>
          </w:p>
        </w:tc>
        <w:tc>
          <w:tcPr>
            <w:tcW w:w="4514" w:type="dxa"/>
            <w:shd w:val="clear" w:color="auto" w:fill="auto"/>
            <w:tcMar>
              <w:top w:w="100" w:type="dxa"/>
              <w:left w:w="100" w:type="dxa"/>
              <w:bottom w:w="100" w:type="dxa"/>
              <w:right w:w="100" w:type="dxa"/>
            </w:tcMar>
          </w:tcPr>
          <w:p w14:paraId="3E78601C" w14:textId="77777777" w:rsidR="006C4A97" w:rsidRPr="006C4A97" w:rsidRDefault="006C4A97" w:rsidP="006C4A97">
            <w:pPr>
              <w:widowControl w:val="0"/>
              <w:spacing w:after="200" w:line="360" w:lineRule="auto"/>
              <w:jc w:val="center"/>
              <w:rPr>
                <w:rFonts w:eastAsia="Times New Roman"/>
                <w:sz w:val="24"/>
                <w:szCs w:val="24"/>
              </w:rPr>
            </w:pPr>
            <w:r w:rsidRPr="006C4A97">
              <w:rPr>
                <w:rFonts w:eastAsia="Times New Roman"/>
                <w:sz w:val="24"/>
                <w:szCs w:val="24"/>
              </w:rPr>
              <w:t>£500</w:t>
            </w:r>
          </w:p>
        </w:tc>
      </w:tr>
    </w:tbl>
    <w:p w14:paraId="00F7D36D" w14:textId="77777777" w:rsidR="00EB61B4" w:rsidRDefault="006C4A97" w:rsidP="00EB61B4">
      <w:pPr>
        <w:widowControl w:val="0"/>
        <w:spacing w:after="200" w:line="360" w:lineRule="auto"/>
        <w:ind w:right="203"/>
        <w:jc w:val="center"/>
        <w:rPr>
          <w:rFonts w:eastAsia="Times New Roman"/>
          <w:b/>
          <w:sz w:val="24"/>
          <w:szCs w:val="24"/>
        </w:rPr>
      </w:pPr>
      <w:r w:rsidRPr="006C4A97">
        <w:rPr>
          <w:rFonts w:eastAsia="Times New Roman"/>
          <w:b/>
          <w:sz w:val="24"/>
          <w:szCs w:val="24"/>
        </w:rPr>
        <w:t>Table No.2: Event Budge</w:t>
      </w:r>
      <w:bookmarkStart w:id="9" w:name="_4nxa2p5mn9yy" w:colFirst="0" w:colLast="0"/>
      <w:bookmarkStart w:id="10" w:name="_Toc165309431"/>
      <w:bookmarkEnd w:id="9"/>
    </w:p>
    <w:p w14:paraId="51ABB94D" w14:textId="77777777" w:rsidR="00E7789D" w:rsidRDefault="00E7789D" w:rsidP="00EB61B4">
      <w:pPr>
        <w:widowControl w:val="0"/>
        <w:spacing w:after="200" w:line="360" w:lineRule="auto"/>
        <w:ind w:right="203"/>
        <w:jc w:val="center"/>
        <w:rPr>
          <w:rFonts w:eastAsia="Times New Roman"/>
          <w:b/>
          <w:sz w:val="24"/>
          <w:szCs w:val="24"/>
        </w:rPr>
      </w:pPr>
    </w:p>
    <w:p w14:paraId="6BB84FFB" w14:textId="77777777" w:rsidR="00EB61B4" w:rsidRDefault="006C4A97" w:rsidP="00EB61B4">
      <w:pPr>
        <w:widowControl w:val="0"/>
        <w:spacing w:after="200" w:line="360" w:lineRule="auto"/>
        <w:ind w:right="203"/>
        <w:rPr>
          <w:sz w:val="24"/>
          <w:szCs w:val="24"/>
        </w:rPr>
      </w:pPr>
      <w:r w:rsidRPr="006C4A97">
        <w:rPr>
          <w:sz w:val="24"/>
          <w:szCs w:val="24"/>
        </w:rPr>
        <w:t>6. Industry Trends / Issues / Impacts Using SWOT and PESTLE Analysis</w:t>
      </w:r>
      <w:bookmarkEnd w:id="10"/>
      <w:r w:rsidRPr="006C4A97">
        <w:rPr>
          <w:sz w:val="24"/>
          <w:szCs w:val="24"/>
        </w:rPr>
        <w:t xml:space="preserve"> </w:t>
      </w:r>
      <w:bookmarkStart w:id="11" w:name="_1s94kgw0pnd2" w:colFirst="0" w:colLast="0"/>
      <w:bookmarkStart w:id="12" w:name="_Toc165309432"/>
      <w:bookmarkEnd w:id="11"/>
    </w:p>
    <w:p w14:paraId="026D9ADB" w14:textId="77777777" w:rsidR="00E7789D" w:rsidRDefault="00E7789D" w:rsidP="00EB61B4">
      <w:pPr>
        <w:widowControl w:val="0"/>
        <w:spacing w:after="200" w:line="360" w:lineRule="auto"/>
        <w:ind w:right="203"/>
        <w:rPr>
          <w:sz w:val="24"/>
          <w:szCs w:val="24"/>
        </w:rPr>
      </w:pPr>
    </w:p>
    <w:p w14:paraId="4E6130B2" w14:textId="213AE6E3" w:rsidR="006C4A97" w:rsidRPr="00EB61B4" w:rsidRDefault="006C4A97" w:rsidP="00EB61B4">
      <w:pPr>
        <w:widowControl w:val="0"/>
        <w:spacing w:after="200" w:line="360" w:lineRule="auto"/>
        <w:ind w:right="203"/>
        <w:rPr>
          <w:rFonts w:eastAsia="Times New Roman"/>
          <w:b/>
          <w:sz w:val="24"/>
          <w:szCs w:val="24"/>
        </w:rPr>
      </w:pPr>
      <w:r w:rsidRPr="006C4A97">
        <w:rPr>
          <w:b/>
          <w:sz w:val="24"/>
          <w:szCs w:val="24"/>
        </w:rPr>
        <w:t>6.1 PESTLE Analysis</w:t>
      </w:r>
      <w:bookmarkEnd w:id="12"/>
    </w:p>
    <w:tbl>
      <w:tblPr>
        <w:tblW w:w="9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6990"/>
      </w:tblGrid>
      <w:tr w:rsidR="006C4A97" w:rsidRPr="006C4A97" w14:paraId="199245B6" w14:textId="77777777" w:rsidTr="009E46A0">
        <w:tc>
          <w:tcPr>
            <w:tcW w:w="2055" w:type="dxa"/>
            <w:shd w:val="clear" w:color="auto" w:fill="auto"/>
            <w:tcMar>
              <w:top w:w="100" w:type="dxa"/>
              <w:left w:w="100" w:type="dxa"/>
              <w:bottom w:w="100" w:type="dxa"/>
              <w:right w:w="100" w:type="dxa"/>
            </w:tcMar>
          </w:tcPr>
          <w:p w14:paraId="0195ED2E"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Factors</w:t>
            </w:r>
          </w:p>
        </w:tc>
        <w:tc>
          <w:tcPr>
            <w:tcW w:w="6990" w:type="dxa"/>
            <w:shd w:val="clear" w:color="auto" w:fill="auto"/>
            <w:tcMar>
              <w:top w:w="100" w:type="dxa"/>
              <w:left w:w="100" w:type="dxa"/>
              <w:bottom w:w="100" w:type="dxa"/>
              <w:right w:w="100" w:type="dxa"/>
            </w:tcMar>
          </w:tcPr>
          <w:p w14:paraId="6FB8A4AC"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Impact</w:t>
            </w:r>
          </w:p>
        </w:tc>
      </w:tr>
      <w:tr w:rsidR="006C4A97" w:rsidRPr="006C4A97" w14:paraId="551CE551" w14:textId="77777777" w:rsidTr="009E46A0">
        <w:tc>
          <w:tcPr>
            <w:tcW w:w="2055" w:type="dxa"/>
            <w:shd w:val="clear" w:color="auto" w:fill="auto"/>
            <w:tcMar>
              <w:top w:w="100" w:type="dxa"/>
              <w:left w:w="100" w:type="dxa"/>
              <w:bottom w:w="100" w:type="dxa"/>
              <w:right w:w="100" w:type="dxa"/>
            </w:tcMar>
          </w:tcPr>
          <w:p w14:paraId="1B891370"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i/>
                <w:sz w:val="24"/>
                <w:szCs w:val="24"/>
              </w:rPr>
            </w:pPr>
            <w:r w:rsidRPr="006C4A97">
              <w:rPr>
                <w:rFonts w:eastAsia="Times New Roman"/>
                <w:b/>
                <w:i/>
                <w:sz w:val="24"/>
                <w:szCs w:val="24"/>
              </w:rPr>
              <w:t>Political</w:t>
            </w:r>
          </w:p>
        </w:tc>
        <w:tc>
          <w:tcPr>
            <w:tcW w:w="6990" w:type="dxa"/>
            <w:shd w:val="clear" w:color="auto" w:fill="auto"/>
            <w:tcMar>
              <w:top w:w="100" w:type="dxa"/>
              <w:left w:w="100" w:type="dxa"/>
              <w:bottom w:w="100" w:type="dxa"/>
              <w:right w:w="100" w:type="dxa"/>
            </w:tcMar>
          </w:tcPr>
          <w:p w14:paraId="74BB6BA1"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Event management and planning are currently impacted by developing laws on environment preservation, health and safety, and security. International delegates are obligated to abide by laws on data privacy, security and health, and visa restrictions. Local political instability may have a direct effect on foreign travel and attendance, which might lead to administrative and planning difficulties.</w:t>
            </w:r>
          </w:p>
        </w:tc>
      </w:tr>
      <w:tr w:rsidR="006C4A97" w:rsidRPr="006C4A97" w14:paraId="17BBA494" w14:textId="77777777" w:rsidTr="009E46A0">
        <w:tc>
          <w:tcPr>
            <w:tcW w:w="2055" w:type="dxa"/>
            <w:shd w:val="clear" w:color="auto" w:fill="auto"/>
            <w:tcMar>
              <w:top w:w="100" w:type="dxa"/>
              <w:left w:w="100" w:type="dxa"/>
              <w:bottom w:w="100" w:type="dxa"/>
              <w:right w:w="100" w:type="dxa"/>
            </w:tcMar>
          </w:tcPr>
          <w:p w14:paraId="50962892"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i/>
                <w:sz w:val="24"/>
                <w:szCs w:val="24"/>
              </w:rPr>
            </w:pPr>
            <w:r w:rsidRPr="006C4A97">
              <w:rPr>
                <w:rFonts w:eastAsia="Times New Roman"/>
                <w:b/>
                <w:i/>
                <w:sz w:val="24"/>
                <w:szCs w:val="24"/>
              </w:rPr>
              <w:t>Economic</w:t>
            </w:r>
          </w:p>
        </w:tc>
        <w:tc>
          <w:tcPr>
            <w:tcW w:w="6990" w:type="dxa"/>
            <w:shd w:val="clear" w:color="auto" w:fill="auto"/>
            <w:tcMar>
              <w:top w:w="100" w:type="dxa"/>
              <w:left w:w="100" w:type="dxa"/>
              <w:bottom w:w="100" w:type="dxa"/>
              <w:right w:w="100" w:type="dxa"/>
            </w:tcMar>
          </w:tcPr>
          <w:p w14:paraId="2B9F4235"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Recessions or economic fluctuations may have a direct effect on business expenses for meetings and gatherings. Despite questionable finances, organisers of events must modify methods in order to draw in sponsors and consumers. Business costs importance can result in a shortage of money for events, which includes expenses for locations, lecturers, marketing, and equipment. As a result, value proposals as well as affordable solutions must be highlighted.</w:t>
            </w:r>
          </w:p>
        </w:tc>
      </w:tr>
      <w:tr w:rsidR="006C4A97" w:rsidRPr="006C4A97" w14:paraId="7A3ADD11" w14:textId="77777777" w:rsidTr="009E46A0">
        <w:tc>
          <w:tcPr>
            <w:tcW w:w="2055" w:type="dxa"/>
            <w:shd w:val="clear" w:color="auto" w:fill="auto"/>
            <w:tcMar>
              <w:top w:w="100" w:type="dxa"/>
              <w:left w:w="100" w:type="dxa"/>
              <w:bottom w:w="100" w:type="dxa"/>
              <w:right w:w="100" w:type="dxa"/>
            </w:tcMar>
          </w:tcPr>
          <w:p w14:paraId="14A57385"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i/>
                <w:sz w:val="24"/>
                <w:szCs w:val="24"/>
              </w:rPr>
            </w:pPr>
            <w:r w:rsidRPr="006C4A97">
              <w:rPr>
                <w:rFonts w:eastAsia="Times New Roman"/>
                <w:b/>
                <w:i/>
                <w:sz w:val="24"/>
                <w:szCs w:val="24"/>
              </w:rPr>
              <w:lastRenderedPageBreak/>
              <w:t>Socio-cultural</w:t>
            </w:r>
          </w:p>
        </w:tc>
        <w:tc>
          <w:tcPr>
            <w:tcW w:w="6990" w:type="dxa"/>
            <w:shd w:val="clear" w:color="auto" w:fill="auto"/>
            <w:tcMar>
              <w:top w:w="100" w:type="dxa"/>
              <w:left w:w="100" w:type="dxa"/>
              <w:bottom w:w="100" w:type="dxa"/>
              <w:right w:w="100" w:type="dxa"/>
            </w:tcMar>
          </w:tcPr>
          <w:p w14:paraId="2A4D802C"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Event layout and contents have been influenced by evolving buyer options, such as concerns for sustainability, diversity, and acceptance. In order to enhance attendance experience and involvement in order organisers need to consider diverse audience demographics and ownership. Growing concern for health and wellness problems, especially during the months following the pandemic, calls for enforcing strong cleanliness regulations, conducting healthy culinary options, and sometimes providing activities supporting well-being.</w:t>
            </w:r>
          </w:p>
        </w:tc>
      </w:tr>
      <w:tr w:rsidR="006C4A97" w:rsidRPr="006C4A97" w14:paraId="6999E46C" w14:textId="77777777" w:rsidTr="009E46A0">
        <w:trPr>
          <w:trHeight w:val="501"/>
        </w:trPr>
        <w:tc>
          <w:tcPr>
            <w:tcW w:w="2055" w:type="dxa"/>
            <w:shd w:val="clear" w:color="auto" w:fill="auto"/>
            <w:tcMar>
              <w:top w:w="100" w:type="dxa"/>
              <w:left w:w="100" w:type="dxa"/>
              <w:bottom w:w="100" w:type="dxa"/>
              <w:right w:w="100" w:type="dxa"/>
            </w:tcMar>
          </w:tcPr>
          <w:p w14:paraId="3F3FC126"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i/>
                <w:sz w:val="24"/>
                <w:szCs w:val="24"/>
              </w:rPr>
            </w:pPr>
            <w:r w:rsidRPr="006C4A97">
              <w:rPr>
                <w:rFonts w:eastAsia="Times New Roman"/>
                <w:b/>
                <w:i/>
                <w:sz w:val="24"/>
                <w:szCs w:val="24"/>
              </w:rPr>
              <w:t>Technological</w:t>
            </w:r>
          </w:p>
        </w:tc>
        <w:tc>
          <w:tcPr>
            <w:tcW w:w="6990" w:type="dxa"/>
            <w:shd w:val="clear" w:color="auto" w:fill="auto"/>
            <w:tcMar>
              <w:top w:w="100" w:type="dxa"/>
              <w:left w:w="100" w:type="dxa"/>
              <w:bottom w:w="100" w:type="dxa"/>
              <w:right w:w="100" w:type="dxa"/>
            </w:tcMar>
          </w:tcPr>
          <w:p w14:paraId="0BE19EE8"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The world of meetings and celebrations is changing significantly because of breakthroughs like artificially intelligent (AI)--powered event management systems, hybrid event responses, and augmented and virtual reality (AR). The application of developments in technology improves social networking, sharing of knowledge, and participation by participants. Due to the greater dependence on internet sites for networking, programme registration, and record control, it has become essential to protect information on attendance by guaranteeing information safety and adhering to rules regarding privacy (such as the GDPR).</w:t>
            </w:r>
          </w:p>
        </w:tc>
      </w:tr>
      <w:tr w:rsidR="006C4A97" w:rsidRPr="006C4A97" w14:paraId="1FDC0270" w14:textId="77777777" w:rsidTr="009E46A0">
        <w:tc>
          <w:tcPr>
            <w:tcW w:w="2055" w:type="dxa"/>
            <w:shd w:val="clear" w:color="auto" w:fill="auto"/>
            <w:tcMar>
              <w:top w:w="100" w:type="dxa"/>
              <w:left w:w="100" w:type="dxa"/>
              <w:bottom w:w="100" w:type="dxa"/>
              <w:right w:w="100" w:type="dxa"/>
            </w:tcMar>
          </w:tcPr>
          <w:p w14:paraId="4FDD01A3"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i/>
                <w:sz w:val="24"/>
                <w:szCs w:val="24"/>
              </w:rPr>
            </w:pPr>
            <w:r w:rsidRPr="006C4A97">
              <w:rPr>
                <w:rFonts w:eastAsia="Times New Roman"/>
                <w:b/>
                <w:i/>
                <w:sz w:val="24"/>
                <w:szCs w:val="24"/>
              </w:rPr>
              <w:t>Legal</w:t>
            </w:r>
          </w:p>
        </w:tc>
        <w:tc>
          <w:tcPr>
            <w:tcW w:w="6990" w:type="dxa"/>
            <w:shd w:val="clear" w:color="auto" w:fill="auto"/>
            <w:tcMar>
              <w:top w:w="100" w:type="dxa"/>
              <w:left w:w="100" w:type="dxa"/>
              <w:bottom w:w="100" w:type="dxa"/>
              <w:right w:w="100" w:type="dxa"/>
            </w:tcMar>
          </w:tcPr>
          <w:p w14:paraId="6C94B476"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Those who organise events are subject to criminal punishment for violation of contract, and infringements on intellectual property rights, safety, and protection. To reduce the risks and responsibilities associated with criminal acts, comprehensive chance examinations, covering coverage, and felony arrangements are essential. Event planners should protect their valuable intellectual property rights, including trademarks, inventions, and copyrights, particularly when it applies to event positioning, advertisements, and materials.</w:t>
            </w:r>
          </w:p>
        </w:tc>
      </w:tr>
      <w:tr w:rsidR="006C4A97" w:rsidRPr="006C4A97" w14:paraId="064E87D5" w14:textId="77777777" w:rsidTr="009E46A0">
        <w:tc>
          <w:tcPr>
            <w:tcW w:w="2055" w:type="dxa"/>
            <w:shd w:val="clear" w:color="auto" w:fill="auto"/>
            <w:tcMar>
              <w:top w:w="100" w:type="dxa"/>
              <w:left w:w="100" w:type="dxa"/>
              <w:bottom w:w="100" w:type="dxa"/>
              <w:right w:w="100" w:type="dxa"/>
            </w:tcMar>
          </w:tcPr>
          <w:p w14:paraId="565647FF"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b/>
                <w:i/>
                <w:sz w:val="24"/>
                <w:szCs w:val="24"/>
              </w:rPr>
            </w:pPr>
            <w:r w:rsidRPr="006C4A97">
              <w:rPr>
                <w:rFonts w:eastAsia="Times New Roman"/>
                <w:b/>
                <w:i/>
                <w:sz w:val="24"/>
                <w:szCs w:val="24"/>
              </w:rPr>
              <w:lastRenderedPageBreak/>
              <w:t>Environmental</w:t>
            </w:r>
          </w:p>
        </w:tc>
        <w:tc>
          <w:tcPr>
            <w:tcW w:w="6990" w:type="dxa"/>
            <w:shd w:val="clear" w:color="auto" w:fill="auto"/>
            <w:tcMar>
              <w:top w:w="100" w:type="dxa"/>
              <w:left w:w="100" w:type="dxa"/>
              <w:bottom w:w="100" w:type="dxa"/>
              <w:right w:w="100" w:type="dxa"/>
            </w:tcMar>
          </w:tcPr>
          <w:p w14:paraId="4714DC26" w14:textId="77777777" w:rsidR="006C4A97" w:rsidRPr="006C4A97" w:rsidRDefault="006C4A97" w:rsidP="006C4A97">
            <w:pPr>
              <w:widowControl w:val="0"/>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There is an increasing requirement for eco-friendly occasions such as carbon offsetting, trash elimination, and electricity conservation because of the increasing emphasis on sustainability in the environment. Using responsible event techniques enhances logo comprehension and is in line with business social responsibility goals.</w:t>
            </w:r>
          </w:p>
        </w:tc>
      </w:tr>
    </w:tbl>
    <w:p w14:paraId="2EB97F12" w14:textId="1A3DED17" w:rsidR="00EA53EA" w:rsidRDefault="006C4A97" w:rsidP="00EA53EA">
      <w:pPr>
        <w:widowControl w:val="0"/>
        <w:spacing w:after="200" w:line="360" w:lineRule="auto"/>
        <w:ind w:right="203"/>
        <w:jc w:val="center"/>
        <w:rPr>
          <w:rFonts w:eastAsia="Times New Roman"/>
          <w:b/>
          <w:sz w:val="24"/>
          <w:szCs w:val="24"/>
        </w:rPr>
      </w:pPr>
      <w:r w:rsidRPr="006C4A97">
        <w:rPr>
          <w:rFonts w:eastAsia="Times New Roman"/>
          <w:b/>
          <w:sz w:val="24"/>
          <w:szCs w:val="24"/>
        </w:rPr>
        <w:t xml:space="preserve">Table No.3: PESTLE </w:t>
      </w:r>
      <w:r w:rsidR="00EB61B4" w:rsidRPr="006C4A97">
        <w:rPr>
          <w:rFonts w:eastAsia="Times New Roman"/>
          <w:b/>
          <w:sz w:val="24"/>
          <w:szCs w:val="24"/>
        </w:rPr>
        <w:t>Analysi</w:t>
      </w:r>
      <w:r w:rsidR="00EA53EA">
        <w:rPr>
          <w:rFonts w:eastAsia="Times New Roman"/>
          <w:b/>
          <w:sz w:val="24"/>
          <w:szCs w:val="24"/>
        </w:rPr>
        <w:t>s</w:t>
      </w:r>
    </w:p>
    <w:p w14:paraId="48945482" w14:textId="3EDFC526" w:rsidR="00EB61B4" w:rsidRDefault="006C4A97" w:rsidP="005A1B0B">
      <w:pPr>
        <w:widowControl w:val="0"/>
        <w:spacing w:after="200" w:line="360" w:lineRule="auto"/>
        <w:ind w:right="203"/>
        <w:jc w:val="center"/>
        <w:rPr>
          <w:rFonts w:eastAsia="Times New Roman"/>
          <w:sz w:val="24"/>
          <w:szCs w:val="24"/>
        </w:rPr>
      </w:pPr>
      <w:r w:rsidRPr="006C4A97">
        <w:rPr>
          <w:rFonts w:eastAsia="Times New Roman"/>
          <w:sz w:val="24"/>
          <w:szCs w:val="24"/>
        </w:rPr>
        <w:t xml:space="preserve">(Source: León-Quismondo, García-Unanue and Burillo, 2020; Richardson and Devine 2020; Gill </w:t>
      </w:r>
      <w:r w:rsidRPr="006C4A97">
        <w:rPr>
          <w:rFonts w:eastAsia="Times New Roman"/>
          <w:i/>
          <w:sz w:val="24"/>
          <w:szCs w:val="24"/>
        </w:rPr>
        <w:t>et al</w:t>
      </w:r>
      <w:r w:rsidRPr="006C4A97">
        <w:rPr>
          <w:rFonts w:eastAsia="Times New Roman"/>
          <w:sz w:val="24"/>
          <w:szCs w:val="24"/>
        </w:rPr>
        <w:t>., 2022 and Khan, 2022)</w:t>
      </w:r>
      <w:bookmarkStart w:id="13" w:name="_39d4ikm227cq" w:colFirst="0" w:colLast="0"/>
      <w:bookmarkStart w:id="14" w:name="_Toc165309433"/>
      <w:bookmarkEnd w:id="13"/>
    </w:p>
    <w:p w14:paraId="10F403B9" w14:textId="77777777" w:rsidR="00EA53EA" w:rsidRDefault="00EA53EA" w:rsidP="00EB61B4">
      <w:pPr>
        <w:widowControl w:val="0"/>
        <w:spacing w:after="200" w:line="360" w:lineRule="auto"/>
        <w:ind w:right="203"/>
        <w:jc w:val="center"/>
        <w:rPr>
          <w:rFonts w:eastAsia="Times New Roman"/>
          <w:sz w:val="24"/>
          <w:szCs w:val="24"/>
        </w:rPr>
      </w:pPr>
    </w:p>
    <w:p w14:paraId="40CBCA60" w14:textId="77777777" w:rsidR="005A1B0B" w:rsidRDefault="005A1B0B" w:rsidP="00EB61B4">
      <w:pPr>
        <w:widowControl w:val="0"/>
        <w:spacing w:after="200" w:line="360" w:lineRule="auto"/>
        <w:ind w:right="203"/>
        <w:jc w:val="center"/>
        <w:rPr>
          <w:rFonts w:eastAsia="Times New Roman"/>
          <w:sz w:val="24"/>
          <w:szCs w:val="24"/>
        </w:rPr>
      </w:pPr>
    </w:p>
    <w:p w14:paraId="3A913E8C" w14:textId="77777777" w:rsidR="005A1B0B" w:rsidRDefault="005A1B0B" w:rsidP="00EB61B4">
      <w:pPr>
        <w:widowControl w:val="0"/>
        <w:spacing w:after="200" w:line="360" w:lineRule="auto"/>
        <w:ind w:right="203"/>
        <w:jc w:val="center"/>
        <w:rPr>
          <w:rFonts w:eastAsia="Times New Roman"/>
          <w:sz w:val="24"/>
          <w:szCs w:val="24"/>
        </w:rPr>
      </w:pPr>
    </w:p>
    <w:p w14:paraId="72CDCCD0" w14:textId="77777777" w:rsidR="005A1B0B" w:rsidRDefault="005A1B0B" w:rsidP="00EB61B4">
      <w:pPr>
        <w:widowControl w:val="0"/>
        <w:spacing w:after="200" w:line="360" w:lineRule="auto"/>
        <w:ind w:right="203"/>
        <w:jc w:val="center"/>
        <w:rPr>
          <w:rFonts w:eastAsia="Times New Roman"/>
          <w:sz w:val="24"/>
          <w:szCs w:val="24"/>
        </w:rPr>
      </w:pPr>
    </w:p>
    <w:p w14:paraId="4C1A265E" w14:textId="77777777" w:rsidR="005A1B0B" w:rsidRDefault="005A1B0B" w:rsidP="00EB61B4">
      <w:pPr>
        <w:widowControl w:val="0"/>
        <w:spacing w:after="200" w:line="360" w:lineRule="auto"/>
        <w:ind w:right="203"/>
        <w:jc w:val="center"/>
        <w:rPr>
          <w:rFonts w:eastAsia="Times New Roman"/>
          <w:sz w:val="24"/>
          <w:szCs w:val="24"/>
        </w:rPr>
      </w:pPr>
    </w:p>
    <w:p w14:paraId="6491259E" w14:textId="14C79B0F" w:rsidR="006C4A97" w:rsidRPr="00EB61B4" w:rsidRDefault="006C4A97" w:rsidP="00EB61B4">
      <w:pPr>
        <w:widowControl w:val="0"/>
        <w:spacing w:after="200" w:line="360" w:lineRule="auto"/>
        <w:ind w:right="203"/>
        <w:rPr>
          <w:rFonts w:eastAsia="Times New Roman"/>
          <w:sz w:val="24"/>
          <w:szCs w:val="24"/>
        </w:rPr>
      </w:pPr>
      <w:r w:rsidRPr="006C4A97">
        <w:rPr>
          <w:b/>
          <w:sz w:val="24"/>
          <w:szCs w:val="24"/>
        </w:rPr>
        <w:t>6.2 SWOT Analysis</w:t>
      </w:r>
      <w:bookmarkEnd w:id="14"/>
      <w:r w:rsidRPr="006C4A97">
        <w:rPr>
          <w:b/>
          <w:sz w:val="24"/>
          <w:szCs w:val="24"/>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C4A97" w:rsidRPr="006C4A97" w14:paraId="08EDE8BA" w14:textId="77777777" w:rsidTr="009E46A0">
        <w:tc>
          <w:tcPr>
            <w:tcW w:w="4514" w:type="dxa"/>
            <w:shd w:val="clear" w:color="auto" w:fill="auto"/>
            <w:tcMar>
              <w:top w:w="100" w:type="dxa"/>
              <w:left w:w="100" w:type="dxa"/>
              <w:bottom w:w="100" w:type="dxa"/>
              <w:right w:w="100" w:type="dxa"/>
            </w:tcMar>
          </w:tcPr>
          <w:p w14:paraId="2F5D171C"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Strengths</w:t>
            </w:r>
          </w:p>
        </w:tc>
        <w:tc>
          <w:tcPr>
            <w:tcW w:w="4514" w:type="dxa"/>
            <w:shd w:val="clear" w:color="auto" w:fill="auto"/>
            <w:tcMar>
              <w:top w:w="100" w:type="dxa"/>
              <w:left w:w="100" w:type="dxa"/>
              <w:bottom w:w="100" w:type="dxa"/>
              <w:right w:w="100" w:type="dxa"/>
            </w:tcMar>
          </w:tcPr>
          <w:p w14:paraId="214C588D"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Weaknesses</w:t>
            </w:r>
          </w:p>
        </w:tc>
      </w:tr>
      <w:tr w:rsidR="006C4A97" w:rsidRPr="006C4A97" w14:paraId="2503D655" w14:textId="77777777" w:rsidTr="009E46A0">
        <w:tc>
          <w:tcPr>
            <w:tcW w:w="4514" w:type="dxa"/>
            <w:shd w:val="clear" w:color="auto" w:fill="auto"/>
            <w:tcMar>
              <w:top w:w="100" w:type="dxa"/>
              <w:left w:w="100" w:type="dxa"/>
              <w:bottom w:w="100" w:type="dxa"/>
              <w:right w:w="100" w:type="dxa"/>
            </w:tcMar>
          </w:tcPr>
          <w:p w14:paraId="2A05D055" w14:textId="77777777" w:rsidR="006C4A97" w:rsidRPr="006C4A97" w:rsidRDefault="006C4A97" w:rsidP="006C4A97">
            <w:pPr>
              <w:widowControl w:val="0"/>
              <w:numPr>
                <w:ilvl w:val="0"/>
                <w:numId w:val="2"/>
              </w:numPr>
              <w:spacing w:after="200" w:line="360" w:lineRule="auto"/>
              <w:jc w:val="both"/>
              <w:rPr>
                <w:rFonts w:eastAsia="Times New Roman"/>
                <w:sz w:val="24"/>
                <w:szCs w:val="24"/>
              </w:rPr>
            </w:pPr>
            <w:r w:rsidRPr="006C4A97">
              <w:rPr>
                <w:rFonts w:eastAsia="Times New Roman"/>
                <w:sz w:val="24"/>
                <w:szCs w:val="24"/>
              </w:rPr>
              <w:t>Technology innovation enhances attendance and involvement.</w:t>
            </w:r>
          </w:p>
          <w:p w14:paraId="3C161F86" w14:textId="7E6465F3" w:rsidR="006C4A97" w:rsidRPr="006C4A97" w:rsidRDefault="006C4A97" w:rsidP="006C4A97">
            <w:pPr>
              <w:widowControl w:val="0"/>
              <w:numPr>
                <w:ilvl w:val="0"/>
                <w:numId w:val="2"/>
              </w:numPr>
              <w:spacing w:after="200" w:line="360" w:lineRule="auto"/>
              <w:jc w:val="both"/>
              <w:rPr>
                <w:rFonts w:eastAsia="Times New Roman"/>
                <w:sz w:val="24"/>
                <w:szCs w:val="24"/>
              </w:rPr>
            </w:pPr>
            <w:r w:rsidRPr="006C4A97">
              <w:rPr>
                <w:rFonts w:eastAsia="Times New Roman"/>
                <w:sz w:val="24"/>
                <w:szCs w:val="24"/>
              </w:rPr>
              <w:t xml:space="preserve">The business community </w:t>
            </w:r>
            <w:r w:rsidR="002B1015" w:rsidRPr="006C4A97">
              <w:rPr>
                <w:rFonts w:eastAsia="Times New Roman"/>
                <w:sz w:val="24"/>
                <w:szCs w:val="24"/>
              </w:rPr>
              <w:t>is</w:t>
            </w:r>
            <w:r w:rsidRPr="006C4A97">
              <w:rPr>
                <w:rFonts w:eastAsia="Times New Roman"/>
                <w:sz w:val="24"/>
                <w:szCs w:val="24"/>
              </w:rPr>
              <w:t xml:space="preserve"> driven by the rising need for immersive events.</w:t>
            </w:r>
          </w:p>
          <w:p w14:paraId="37C43EEF" w14:textId="77777777" w:rsidR="006C4A97" w:rsidRPr="006C4A97" w:rsidRDefault="006C4A97" w:rsidP="006C4A97">
            <w:pPr>
              <w:widowControl w:val="0"/>
              <w:numPr>
                <w:ilvl w:val="0"/>
                <w:numId w:val="2"/>
              </w:numPr>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The standards of multiple occasions are met by various designs and venue designs.</w:t>
            </w:r>
          </w:p>
        </w:tc>
        <w:tc>
          <w:tcPr>
            <w:tcW w:w="4514" w:type="dxa"/>
            <w:shd w:val="clear" w:color="auto" w:fill="auto"/>
            <w:tcMar>
              <w:top w:w="100" w:type="dxa"/>
              <w:left w:w="100" w:type="dxa"/>
              <w:bottom w:w="100" w:type="dxa"/>
              <w:right w:w="100" w:type="dxa"/>
            </w:tcMar>
          </w:tcPr>
          <w:p w14:paraId="7EAF15D6" w14:textId="77777777" w:rsidR="006C4A97" w:rsidRPr="006C4A97" w:rsidRDefault="006C4A97" w:rsidP="006C4A97">
            <w:pPr>
              <w:widowControl w:val="0"/>
              <w:numPr>
                <w:ilvl w:val="0"/>
                <w:numId w:val="2"/>
              </w:numPr>
              <w:spacing w:after="200" w:line="360" w:lineRule="auto"/>
              <w:jc w:val="both"/>
              <w:rPr>
                <w:rFonts w:eastAsia="Times New Roman"/>
                <w:sz w:val="24"/>
                <w:szCs w:val="24"/>
              </w:rPr>
            </w:pPr>
            <w:r w:rsidRPr="006C4A97">
              <w:rPr>
                <w:rFonts w:eastAsia="Times New Roman"/>
                <w:sz w:val="24"/>
                <w:szCs w:val="24"/>
              </w:rPr>
              <w:t>The minor recession has affected emergency preparation.</w:t>
            </w:r>
          </w:p>
          <w:p w14:paraId="1DE5A9BB" w14:textId="77777777" w:rsidR="006C4A97" w:rsidRPr="006C4A97" w:rsidRDefault="006C4A97" w:rsidP="006C4A97">
            <w:pPr>
              <w:widowControl w:val="0"/>
              <w:numPr>
                <w:ilvl w:val="0"/>
                <w:numId w:val="2"/>
              </w:numPr>
              <w:spacing w:after="200" w:line="360" w:lineRule="auto"/>
              <w:jc w:val="both"/>
              <w:rPr>
                <w:rFonts w:eastAsia="Times New Roman"/>
                <w:sz w:val="24"/>
                <w:szCs w:val="24"/>
              </w:rPr>
            </w:pPr>
            <w:r w:rsidRPr="006C4A97">
              <w:rPr>
                <w:rFonts w:eastAsia="Times New Roman"/>
                <w:sz w:val="24"/>
                <w:szCs w:val="24"/>
              </w:rPr>
              <w:t>Exposure to outside influences, like the weather, has an impact on events outside.</w:t>
            </w:r>
          </w:p>
          <w:p w14:paraId="0EAD2F7F" w14:textId="77777777" w:rsidR="006C4A97" w:rsidRPr="006C4A97" w:rsidRDefault="006C4A97" w:rsidP="006C4A97">
            <w:pPr>
              <w:widowControl w:val="0"/>
              <w:numPr>
                <w:ilvl w:val="0"/>
                <w:numId w:val="2"/>
              </w:numPr>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Event planning is challenging when it comes to regulation.</w:t>
            </w:r>
          </w:p>
        </w:tc>
      </w:tr>
      <w:tr w:rsidR="006C4A97" w:rsidRPr="006C4A97" w14:paraId="03C6318E" w14:textId="77777777" w:rsidTr="009E46A0">
        <w:tc>
          <w:tcPr>
            <w:tcW w:w="4514" w:type="dxa"/>
            <w:shd w:val="clear" w:color="auto" w:fill="auto"/>
            <w:tcMar>
              <w:top w:w="100" w:type="dxa"/>
              <w:left w:w="100" w:type="dxa"/>
              <w:bottom w:w="100" w:type="dxa"/>
              <w:right w:w="100" w:type="dxa"/>
            </w:tcMar>
          </w:tcPr>
          <w:p w14:paraId="1F424164"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lastRenderedPageBreak/>
              <w:t>Opportunities</w:t>
            </w:r>
          </w:p>
        </w:tc>
        <w:tc>
          <w:tcPr>
            <w:tcW w:w="4514" w:type="dxa"/>
            <w:shd w:val="clear" w:color="auto" w:fill="auto"/>
            <w:tcMar>
              <w:top w:w="100" w:type="dxa"/>
              <w:left w:w="100" w:type="dxa"/>
              <w:bottom w:w="100" w:type="dxa"/>
              <w:right w:w="100" w:type="dxa"/>
            </w:tcMar>
          </w:tcPr>
          <w:p w14:paraId="4BD349E2" w14:textId="77777777" w:rsidR="006C4A97" w:rsidRPr="006C4A97" w:rsidRDefault="006C4A97" w:rsidP="006C4A97">
            <w:pPr>
              <w:widowControl w:val="0"/>
              <w:pBdr>
                <w:top w:val="nil"/>
                <w:left w:val="nil"/>
                <w:bottom w:val="nil"/>
                <w:right w:val="nil"/>
                <w:between w:val="nil"/>
              </w:pBdr>
              <w:spacing w:after="200" w:line="360" w:lineRule="auto"/>
              <w:jc w:val="center"/>
              <w:rPr>
                <w:rFonts w:eastAsia="Times New Roman"/>
                <w:b/>
                <w:sz w:val="24"/>
                <w:szCs w:val="24"/>
              </w:rPr>
            </w:pPr>
            <w:r w:rsidRPr="006C4A97">
              <w:rPr>
                <w:rFonts w:eastAsia="Times New Roman"/>
                <w:b/>
                <w:sz w:val="24"/>
                <w:szCs w:val="24"/>
              </w:rPr>
              <w:t>Threats</w:t>
            </w:r>
          </w:p>
        </w:tc>
      </w:tr>
      <w:tr w:rsidR="006C4A97" w:rsidRPr="006C4A97" w14:paraId="5632DFDD" w14:textId="77777777" w:rsidTr="009E46A0">
        <w:tc>
          <w:tcPr>
            <w:tcW w:w="4514" w:type="dxa"/>
            <w:shd w:val="clear" w:color="auto" w:fill="auto"/>
            <w:tcMar>
              <w:top w:w="100" w:type="dxa"/>
              <w:left w:w="100" w:type="dxa"/>
              <w:bottom w:w="100" w:type="dxa"/>
              <w:right w:w="100" w:type="dxa"/>
            </w:tcMar>
          </w:tcPr>
          <w:p w14:paraId="6567CEE1" w14:textId="77777777" w:rsidR="006C4A97" w:rsidRPr="006C4A97" w:rsidRDefault="006C4A97" w:rsidP="006C4A97">
            <w:pPr>
              <w:widowControl w:val="0"/>
              <w:numPr>
                <w:ilvl w:val="0"/>
                <w:numId w:val="1"/>
              </w:numPr>
              <w:spacing w:after="200" w:line="360" w:lineRule="auto"/>
              <w:jc w:val="both"/>
              <w:rPr>
                <w:rFonts w:eastAsia="Times New Roman"/>
                <w:sz w:val="24"/>
                <w:szCs w:val="24"/>
              </w:rPr>
            </w:pPr>
            <w:r w:rsidRPr="006C4A97">
              <w:rPr>
                <w:rFonts w:eastAsia="Times New Roman"/>
                <w:sz w:val="24"/>
                <w:szCs w:val="24"/>
              </w:rPr>
              <w:t>Reach becomes wider through the use of internet-based and hybrid event forms.</w:t>
            </w:r>
          </w:p>
          <w:p w14:paraId="5A7873B7" w14:textId="77777777" w:rsidR="006C4A97" w:rsidRPr="006C4A97" w:rsidRDefault="006C4A97" w:rsidP="006C4A97">
            <w:pPr>
              <w:widowControl w:val="0"/>
              <w:numPr>
                <w:ilvl w:val="0"/>
                <w:numId w:val="1"/>
              </w:numPr>
              <w:spacing w:after="200" w:line="360" w:lineRule="auto"/>
              <w:jc w:val="both"/>
              <w:rPr>
                <w:rFonts w:eastAsia="Times New Roman"/>
                <w:sz w:val="24"/>
                <w:szCs w:val="24"/>
              </w:rPr>
            </w:pPr>
            <w:r w:rsidRPr="006C4A97">
              <w:rPr>
                <w:rFonts w:eastAsia="Times New Roman"/>
                <w:sz w:val="24"/>
                <w:szCs w:val="24"/>
              </w:rPr>
              <w:t>The organisers of events can find fresh sources of revenue in emerging markets.</w:t>
            </w:r>
          </w:p>
          <w:p w14:paraId="59FC157C" w14:textId="77777777" w:rsidR="006C4A97" w:rsidRPr="006C4A97" w:rsidRDefault="006C4A97" w:rsidP="006C4A97">
            <w:pPr>
              <w:widowControl w:val="0"/>
              <w:numPr>
                <w:ilvl w:val="0"/>
                <w:numId w:val="1"/>
              </w:numPr>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Innovations in technology increase the successful outcome of event management.</w:t>
            </w:r>
          </w:p>
        </w:tc>
        <w:tc>
          <w:tcPr>
            <w:tcW w:w="4514" w:type="dxa"/>
            <w:shd w:val="clear" w:color="auto" w:fill="auto"/>
            <w:tcMar>
              <w:top w:w="100" w:type="dxa"/>
              <w:left w:w="100" w:type="dxa"/>
              <w:bottom w:w="100" w:type="dxa"/>
              <w:right w:w="100" w:type="dxa"/>
            </w:tcMar>
          </w:tcPr>
          <w:p w14:paraId="36D1265E" w14:textId="77777777" w:rsidR="006C4A97" w:rsidRPr="006C4A97" w:rsidRDefault="006C4A97" w:rsidP="006C4A97">
            <w:pPr>
              <w:widowControl w:val="0"/>
              <w:numPr>
                <w:ilvl w:val="0"/>
                <w:numId w:val="1"/>
              </w:numPr>
              <w:spacing w:after="200" w:line="360" w:lineRule="auto"/>
              <w:jc w:val="both"/>
              <w:rPr>
                <w:rFonts w:eastAsia="Times New Roman"/>
                <w:sz w:val="24"/>
                <w:szCs w:val="24"/>
              </w:rPr>
            </w:pPr>
            <w:r w:rsidRPr="006C4A97">
              <w:rPr>
                <w:rFonts w:eastAsia="Times New Roman"/>
                <w:sz w:val="24"/>
                <w:szCs w:val="24"/>
              </w:rPr>
              <w:t>Unexpected events, such as global pandemics or natural disasters, can cause disruption.</w:t>
            </w:r>
          </w:p>
          <w:p w14:paraId="10B9A258" w14:textId="77777777" w:rsidR="006C4A97" w:rsidRPr="006C4A97" w:rsidRDefault="006C4A97" w:rsidP="006C4A97">
            <w:pPr>
              <w:widowControl w:val="0"/>
              <w:numPr>
                <w:ilvl w:val="0"/>
                <w:numId w:val="1"/>
              </w:numPr>
              <w:spacing w:after="200" w:line="360" w:lineRule="auto"/>
              <w:jc w:val="both"/>
              <w:rPr>
                <w:rFonts w:eastAsia="Times New Roman"/>
                <w:sz w:val="24"/>
                <w:szCs w:val="24"/>
              </w:rPr>
            </w:pPr>
            <w:r w:rsidRPr="006C4A97">
              <w:rPr>
                <w:rFonts w:eastAsia="Times New Roman"/>
                <w:sz w:val="24"/>
                <w:szCs w:val="24"/>
              </w:rPr>
              <w:t>Profit margins are being eroded in the activities business by fierce opposition.</w:t>
            </w:r>
          </w:p>
          <w:p w14:paraId="3C95B44E" w14:textId="77777777" w:rsidR="006C4A97" w:rsidRPr="006C4A97" w:rsidRDefault="006C4A97" w:rsidP="006C4A97">
            <w:pPr>
              <w:widowControl w:val="0"/>
              <w:numPr>
                <w:ilvl w:val="0"/>
                <w:numId w:val="1"/>
              </w:numPr>
              <w:pBdr>
                <w:top w:val="nil"/>
                <w:left w:val="nil"/>
                <w:bottom w:val="nil"/>
                <w:right w:val="nil"/>
                <w:between w:val="nil"/>
              </w:pBdr>
              <w:spacing w:after="200" w:line="360" w:lineRule="auto"/>
              <w:jc w:val="both"/>
              <w:rPr>
                <w:rFonts w:eastAsia="Times New Roman"/>
                <w:sz w:val="24"/>
                <w:szCs w:val="24"/>
              </w:rPr>
            </w:pPr>
            <w:r w:rsidRPr="006C4A97">
              <w:rPr>
                <w:rFonts w:eastAsia="Times New Roman"/>
                <w:sz w:val="24"/>
                <w:szCs w:val="24"/>
              </w:rPr>
              <w:t>Changing buyer opportunities necessitates a consistent model.</w:t>
            </w:r>
          </w:p>
        </w:tc>
      </w:tr>
    </w:tbl>
    <w:p w14:paraId="78C2FEB8" w14:textId="77777777" w:rsidR="006C4A97" w:rsidRPr="006C4A97" w:rsidRDefault="006C4A97" w:rsidP="006C4A97">
      <w:pPr>
        <w:widowControl w:val="0"/>
        <w:spacing w:after="200" w:line="360" w:lineRule="auto"/>
        <w:ind w:right="203"/>
        <w:jc w:val="center"/>
        <w:rPr>
          <w:rFonts w:eastAsia="Times New Roman"/>
          <w:b/>
          <w:sz w:val="24"/>
          <w:szCs w:val="24"/>
        </w:rPr>
      </w:pPr>
      <w:r w:rsidRPr="006C4A97">
        <w:rPr>
          <w:rFonts w:eastAsia="Times New Roman"/>
          <w:b/>
          <w:sz w:val="24"/>
          <w:szCs w:val="24"/>
        </w:rPr>
        <w:t>Table No.4: SWOT Analysis</w:t>
      </w:r>
    </w:p>
    <w:p w14:paraId="3255CA7C" w14:textId="77777777" w:rsidR="00EB61B4" w:rsidRDefault="006C4A97" w:rsidP="00EB61B4">
      <w:pPr>
        <w:widowControl w:val="0"/>
        <w:spacing w:after="200" w:line="360" w:lineRule="auto"/>
        <w:ind w:right="203"/>
        <w:jc w:val="center"/>
        <w:rPr>
          <w:rFonts w:eastAsia="Times New Roman"/>
          <w:sz w:val="24"/>
          <w:szCs w:val="24"/>
        </w:rPr>
      </w:pPr>
      <w:r w:rsidRPr="006C4A97">
        <w:rPr>
          <w:rFonts w:eastAsia="Times New Roman"/>
          <w:sz w:val="24"/>
          <w:szCs w:val="24"/>
        </w:rPr>
        <w:t>(Source: Sobitan and Vlachos, 2020; Edmans, 2021; Sesana</w:t>
      </w:r>
      <w:r w:rsidRPr="006C4A97">
        <w:rPr>
          <w:rFonts w:eastAsia="Times New Roman"/>
          <w:i/>
          <w:sz w:val="24"/>
          <w:szCs w:val="24"/>
        </w:rPr>
        <w:t xml:space="preserve"> et al</w:t>
      </w:r>
      <w:r w:rsidRPr="006C4A97">
        <w:rPr>
          <w:rFonts w:eastAsia="Times New Roman"/>
          <w:sz w:val="24"/>
          <w:szCs w:val="24"/>
        </w:rPr>
        <w:t>., 2021 and Rogers and Wynn-Moylan, 2022)</w:t>
      </w:r>
      <w:bookmarkStart w:id="15" w:name="_h39nktehvume" w:colFirst="0" w:colLast="0"/>
      <w:bookmarkStart w:id="16" w:name="_Toc165309434"/>
      <w:bookmarkEnd w:id="15"/>
    </w:p>
    <w:p w14:paraId="446633E7" w14:textId="3B0E656D" w:rsidR="006C4A97" w:rsidRPr="00EB61B4" w:rsidRDefault="006C4A97" w:rsidP="00EB61B4">
      <w:pPr>
        <w:widowControl w:val="0"/>
        <w:spacing w:after="200" w:line="360" w:lineRule="auto"/>
        <w:ind w:right="203"/>
        <w:rPr>
          <w:rFonts w:eastAsia="Times New Roman"/>
          <w:sz w:val="24"/>
          <w:szCs w:val="24"/>
        </w:rPr>
      </w:pPr>
      <w:r w:rsidRPr="006C4A97">
        <w:rPr>
          <w:sz w:val="24"/>
          <w:szCs w:val="24"/>
        </w:rPr>
        <w:t>7. Cultural and Situational Considerations</w:t>
      </w:r>
      <w:bookmarkEnd w:id="16"/>
    </w:p>
    <w:p w14:paraId="325FBB25" w14:textId="77777777" w:rsidR="00EB61B4" w:rsidRDefault="006C4A97" w:rsidP="006C4A97">
      <w:pPr>
        <w:spacing w:after="240" w:line="360" w:lineRule="auto"/>
        <w:jc w:val="both"/>
        <w:rPr>
          <w:rFonts w:eastAsia="Times New Roman"/>
          <w:sz w:val="24"/>
          <w:szCs w:val="24"/>
        </w:rPr>
      </w:pPr>
      <w:r w:rsidRPr="006C4A97">
        <w:rPr>
          <w:rFonts w:eastAsia="Times New Roman"/>
          <w:sz w:val="24"/>
          <w:szCs w:val="24"/>
        </w:rPr>
        <w:t>Situational and cultural factors are vital for the effectiveness of a gathering or event.</w:t>
      </w:r>
    </w:p>
    <w:p w14:paraId="5E5E69CF" w14:textId="1ACA0F82" w:rsidR="005A1B0B" w:rsidRDefault="006C4A97" w:rsidP="0061006B">
      <w:pPr>
        <w:spacing w:after="240" w:line="360" w:lineRule="auto"/>
        <w:jc w:val="both"/>
        <w:rPr>
          <w:rFonts w:eastAsia="Times New Roman"/>
          <w:sz w:val="24"/>
          <w:szCs w:val="24"/>
        </w:rPr>
      </w:pPr>
      <w:r w:rsidRPr="006C4A97">
        <w:rPr>
          <w:rFonts w:eastAsia="Times New Roman"/>
          <w:sz w:val="24"/>
          <w:szCs w:val="24"/>
        </w:rPr>
        <w:t xml:space="preserve"> It is critical to recognise and honour the cultural variety of attendees at the Future</w:t>
      </w:r>
      <w:r w:rsidR="00EB61B4">
        <w:rPr>
          <w:rFonts w:eastAsia="Times New Roman"/>
          <w:sz w:val="24"/>
          <w:szCs w:val="24"/>
        </w:rPr>
        <w:t xml:space="preserve"> </w:t>
      </w:r>
      <w:r w:rsidRPr="006C4A97">
        <w:rPr>
          <w:rFonts w:eastAsia="Times New Roman"/>
          <w:sz w:val="24"/>
          <w:szCs w:val="24"/>
        </w:rPr>
        <w:t>Stay: Hospitality Innovation Showcase at The Royal National Hotel UK. This involves considering into account language preferences, mannerisms of communication, and norms of culture while engaging with others (Aririguzoh, 2022). Political and social situations, as well as problems with public health, should be analysed and factored into account. These aspects have an important impact on audience involvement in order enthusiasm, and contentment. If an ethnic or socioeconomic problem is not wisely handled, respondents may interpret it incorrectly, feel upset, or get involved in misconceptions. The event organisers may assist manage these elements in order to foster a welcoming society of friendship, promote multilingual contacts, and assure that the celebration is successful (Fang et al., 2023).</w:t>
      </w:r>
      <w:bookmarkStart w:id="17" w:name="_nqsd1dpvd68y" w:colFirst="0" w:colLast="0"/>
      <w:bookmarkStart w:id="18" w:name="_Toc165309435"/>
      <w:bookmarkEnd w:id="17"/>
    </w:p>
    <w:p w14:paraId="2730DC5A" w14:textId="77777777" w:rsidR="00AC063B" w:rsidRDefault="00AC063B" w:rsidP="0061006B">
      <w:pPr>
        <w:spacing w:after="240" w:line="360" w:lineRule="auto"/>
        <w:jc w:val="both"/>
        <w:rPr>
          <w:rFonts w:eastAsia="Times New Roman"/>
          <w:sz w:val="24"/>
          <w:szCs w:val="24"/>
        </w:rPr>
      </w:pPr>
    </w:p>
    <w:p w14:paraId="39454930" w14:textId="162E4D57" w:rsidR="006C4A97" w:rsidRPr="0061006B" w:rsidRDefault="006C4A97" w:rsidP="0061006B">
      <w:pPr>
        <w:spacing w:after="240" w:line="360" w:lineRule="auto"/>
        <w:jc w:val="both"/>
        <w:rPr>
          <w:rFonts w:eastAsia="Times New Roman"/>
          <w:sz w:val="24"/>
          <w:szCs w:val="24"/>
        </w:rPr>
      </w:pPr>
      <w:r w:rsidRPr="006C4A97">
        <w:rPr>
          <w:sz w:val="24"/>
          <w:szCs w:val="24"/>
        </w:rPr>
        <w:lastRenderedPageBreak/>
        <w:t>8. Conclusion</w:t>
      </w:r>
      <w:bookmarkEnd w:id="18"/>
      <w:r w:rsidRPr="006C4A97">
        <w:rPr>
          <w:sz w:val="24"/>
          <w:szCs w:val="24"/>
        </w:rPr>
        <w:t xml:space="preserve"> </w:t>
      </w:r>
    </w:p>
    <w:p w14:paraId="32158770" w14:textId="51B974A7" w:rsidR="006C4A97" w:rsidRDefault="006C4A97" w:rsidP="006C4A97">
      <w:pPr>
        <w:spacing w:line="360" w:lineRule="auto"/>
        <w:jc w:val="both"/>
        <w:rPr>
          <w:rFonts w:eastAsia="Times New Roman"/>
          <w:sz w:val="24"/>
          <w:szCs w:val="24"/>
        </w:rPr>
      </w:pPr>
      <w:bookmarkStart w:id="19" w:name="_5f6wimve2qss" w:colFirst="0" w:colLast="0"/>
      <w:bookmarkEnd w:id="19"/>
      <w:r w:rsidRPr="006C4A97">
        <w:rPr>
          <w:rFonts w:eastAsia="Times New Roman"/>
          <w:sz w:val="24"/>
          <w:szCs w:val="24"/>
        </w:rPr>
        <w:t>This approach is extremely beneficial in steering planners across the vision organising, investigating, debate, and active engagement stages of the Future</w:t>
      </w:r>
      <w:r w:rsidR="0061006B">
        <w:rPr>
          <w:rFonts w:eastAsia="Times New Roman"/>
          <w:sz w:val="24"/>
          <w:szCs w:val="24"/>
        </w:rPr>
        <w:t xml:space="preserve"> </w:t>
      </w:r>
      <w:r w:rsidRPr="006C4A97">
        <w:rPr>
          <w:rFonts w:eastAsia="Times New Roman"/>
          <w:sz w:val="24"/>
          <w:szCs w:val="24"/>
        </w:rPr>
        <w:t>Stay: Hospitality Innovation Showcase event cycle at The Royal National Hotel UK. This programme can meet the objectives it sets by boosting advances in technology in the hotel industry. Cultural and situational aspects must be identified and implemented for effective strategy. Organisers of events can generate a pleasant and inviting feeling, engage attendees, and have an enjoyable evening if they notice guests from different communities and listen to indigenous material, which has a wider perspective of the effect and strengthens the program's overall impact and the effectiveness.</w:t>
      </w:r>
    </w:p>
    <w:p w14:paraId="7FA4E582" w14:textId="77777777" w:rsidR="00BC7D4F" w:rsidRDefault="00BC7D4F" w:rsidP="006C4A97">
      <w:pPr>
        <w:spacing w:line="360" w:lineRule="auto"/>
        <w:jc w:val="both"/>
        <w:rPr>
          <w:rFonts w:eastAsia="Times New Roman"/>
          <w:sz w:val="24"/>
          <w:szCs w:val="24"/>
        </w:rPr>
      </w:pPr>
    </w:p>
    <w:p w14:paraId="19FF5AEA" w14:textId="77777777" w:rsidR="00BC7D4F" w:rsidRDefault="00BC7D4F" w:rsidP="006C4A97">
      <w:pPr>
        <w:spacing w:line="360" w:lineRule="auto"/>
        <w:jc w:val="both"/>
        <w:rPr>
          <w:rFonts w:eastAsia="Times New Roman"/>
          <w:sz w:val="24"/>
          <w:szCs w:val="24"/>
        </w:rPr>
      </w:pPr>
    </w:p>
    <w:p w14:paraId="278144B8" w14:textId="77777777" w:rsidR="00BC7D4F" w:rsidRDefault="00BC7D4F" w:rsidP="006C4A97">
      <w:pPr>
        <w:spacing w:line="360" w:lineRule="auto"/>
        <w:jc w:val="both"/>
        <w:rPr>
          <w:rFonts w:eastAsia="Times New Roman"/>
          <w:sz w:val="24"/>
          <w:szCs w:val="24"/>
        </w:rPr>
      </w:pPr>
    </w:p>
    <w:p w14:paraId="28852BC4" w14:textId="77777777" w:rsidR="00BC7D4F" w:rsidRDefault="00BC7D4F" w:rsidP="006C4A97">
      <w:pPr>
        <w:spacing w:line="360" w:lineRule="auto"/>
        <w:jc w:val="both"/>
        <w:rPr>
          <w:rFonts w:eastAsia="Times New Roman"/>
          <w:sz w:val="24"/>
          <w:szCs w:val="24"/>
        </w:rPr>
      </w:pPr>
    </w:p>
    <w:p w14:paraId="70D05634" w14:textId="77777777" w:rsidR="00BC7D4F" w:rsidRDefault="00BC7D4F" w:rsidP="006C4A97">
      <w:pPr>
        <w:spacing w:line="360" w:lineRule="auto"/>
        <w:jc w:val="both"/>
        <w:rPr>
          <w:rFonts w:eastAsia="Times New Roman"/>
          <w:sz w:val="24"/>
          <w:szCs w:val="24"/>
        </w:rPr>
      </w:pPr>
    </w:p>
    <w:p w14:paraId="14D1AF78" w14:textId="77777777" w:rsidR="00BC7D4F" w:rsidRDefault="00BC7D4F" w:rsidP="006C4A97">
      <w:pPr>
        <w:spacing w:line="360" w:lineRule="auto"/>
        <w:jc w:val="both"/>
        <w:rPr>
          <w:rFonts w:eastAsia="Times New Roman"/>
          <w:sz w:val="24"/>
          <w:szCs w:val="24"/>
        </w:rPr>
      </w:pPr>
    </w:p>
    <w:p w14:paraId="3BFE92F6" w14:textId="77777777" w:rsidR="00BC7D4F" w:rsidRPr="006C4A97" w:rsidRDefault="00BC7D4F" w:rsidP="006C4A97">
      <w:pPr>
        <w:spacing w:line="360" w:lineRule="auto"/>
        <w:jc w:val="both"/>
        <w:rPr>
          <w:rFonts w:eastAsia="Times New Roman"/>
          <w:sz w:val="24"/>
          <w:szCs w:val="24"/>
        </w:rPr>
      </w:pPr>
    </w:p>
    <w:p w14:paraId="244A8A35" w14:textId="77777777" w:rsidR="00004135" w:rsidRDefault="00004135" w:rsidP="0061006B">
      <w:pPr>
        <w:spacing w:line="360" w:lineRule="auto"/>
        <w:jc w:val="both"/>
        <w:rPr>
          <w:sz w:val="24"/>
          <w:szCs w:val="24"/>
        </w:rPr>
      </w:pPr>
    </w:p>
    <w:p w14:paraId="0142E4C3" w14:textId="77777777" w:rsidR="00004135" w:rsidRDefault="00004135" w:rsidP="0061006B">
      <w:pPr>
        <w:spacing w:line="360" w:lineRule="auto"/>
        <w:jc w:val="both"/>
        <w:rPr>
          <w:sz w:val="24"/>
          <w:szCs w:val="24"/>
        </w:rPr>
      </w:pPr>
    </w:p>
    <w:p w14:paraId="2C7FC8C2" w14:textId="77777777" w:rsidR="00004135" w:rsidRDefault="00004135" w:rsidP="0061006B">
      <w:pPr>
        <w:spacing w:line="360" w:lineRule="auto"/>
        <w:jc w:val="both"/>
        <w:rPr>
          <w:sz w:val="24"/>
          <w:szCs w:val="24"/>
        </w:rPr>
      </w:pPr>
    </w:p>
    <w:p w14:paraId="5C4A1781" w14:textId="77777777" w:rsidR="00004135" w:rsidRDefault="00004135" w:rsidP="0061006B">
      <w:pPr>
        <w:spacing w:line="360" w:lineRule="auto"/>
        <w:jc w:val="both"/>
        <w:rPr>
          <w:sz w:val="24"/>
          <w:szCs w:val="24"/>
        </w:rPr>
      </w:pPr>
    </w:p>
    <w:p w14:paraId="0E5235E3" w14:textId="77777777" w:rsidR="00004135" w:rsidRDefault="00004135" w:rsidP="0061006B">
      <w:pPr>
        <w:spacing w:line="360" w:lineRule="auto"/>
        <w:jc w:val="both"/>
        <w:rPr>
          <w:sz w:val="24"/>
          <w:szCs w:val="24"/>
        </w:rPr>
      </w:pPr>
    </w:p>
    <w:p w14:paraId="63FA72FD" w14:textId="77777777" w:rsidR="00004135" w:rsidRDefault="00004135" w:rsidP="0061006B">
      <w:pPr>
        <w:spacing w:line="360" w:lineRule="auto"/>
        <w:jc w:val="both"/>
        <w:rPr>
          <w:sz w:val="24"/>
          <w:szCs w:val="24"/>
        </w:rPr>
      </w:pPr>
    </w:p>
    <w:p w14:paraId="7DBDF4DB" w14:textId="77777777" w:rsidR="00004135" w:rsidRDefault="00004135" w:rsidP="0061006B">
      <w:pPr>
        <w:spacing w:line="360" w:lineRule="auto"/>
        <w:jc w:val="both"/>
        <w:rPr>
          <w:sz w:val="24"/>
          <w:szCs w:val="24"/>
        </w:rPr>
      </w:pPr>
    </w:p>
    <w:p w14:paraId="49AD9C24" w14:textId="77777777" w:rsidR="00004135" w:rsidRDefault="00004135" w:rsidP="0061006B">
      <w:pPr>
        <w:spacing w:line="360" w:lineRule="auto"/>
        <w:jc w:val="both"/>
        <w:rPr>
          <w:sz w:val="24"/>
          <w:szCs w:val="24"/>
        </w:rPr>
      </w:pPr>
    </w:p>
    <w:p w14:paraId="47CB7086" w14:textId="1F7BBAE7" w:rsidR="006C4A97" w:rsidRPr="00004135" w:rsidRDefault="00AC063B" w:rsidP="0061006B">
      <w:pPr>
        <w:spacing w:line="360" w:lineRule="auto"/>
        <w:jc w:val="both"/>
        <w:rPr>
          <w:sz w:val="24"/>
          <w:szCs w:val="24"/>
        </w:rPr>
      </w:pPr>
      <w:r>
        <w:rPr>
          <w:sz w:val="24"/>
          <w:szCs w:val="24"/>
        </w:rPr>
        <w:t>Word count</w:t>
      </w:r>
      <w:r w:rsidR="00BC7D4F">
        <w:rPr>
          <w:sz w:val="24"/>
          <w:szCs w:val="24"/>
        </w:rPr>
        <w:t xml:space="preserve">: </w:t>
      </w:r>
      <w:r w:rsidR="00004135">
        <w:rPr>
          <w:sz w:val="24"/>
          <w:szCs w:val="24"/>
        </w:rPr>
        <w:t>2408</w:t>
      </w:r>
      <w:r w:rsidR="006C4A97" w:rsidRPr="006C4A97">
        <w:rPr>
          <w:sz w:val="24"/>
          <w:szCs w:val="24"/>
        </w:rPr>
        <w:br w:type="page"/>
      </w:r>
      <w:bookmarkStart w:id="20" w:name="_Toc165309436"/>
      <w:r w:rsidR="006C4A97" w:rsidRPr="004E4CA2">
        <w:rPr>
          <w:b/>
          <w:bCs/>
          <w:sz w:val="24"/>
          <w:szCs w:val="24"/>
        </w:rPr>
        <w:lastRenderedPageBreak/>
        <w:t>References</w:t>
      </w:r>
      <w:bookmarkEnd w:id="20"/>
      <w:r w:rsidR="006C4A97" w:rsidRPr="004E4CA2">
        <w:rPr>
          <w:b/>
          <w:bCs/>
          <w:sz w:val="24"/>
          <w:szCs w:val="24"/>
        </w:rPr>
        <w:t xml:space="preserve"> </w:t>
      </w:r>
    </w:p>
    <w:p w14:paraId="6ABD4CEF" w14:textId="77777777" w:rsidR="004E4CA2" w:rsidRPr="004E4CA2" w:rsidRDefault="004E4CA2" w:rsidP="0061006B">
      <w:pPr>
        <w:spacing w:line="360" w:lineRule="auto"/>
        <w:jc w:val="both"/>
        <w:rPr>
          <w:rFonts w:eastAsia="Times New Roman"/>
          <w:b/>
          <w:bCs/>
          <w:sz w:val="24"/>
          <w:szCs w:val="24"/>
        </w:rPr>
      </w:pPr>
    </w:p>
    <w:p w14:paraId="62A88D22" w14:textId="74571DB2"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Aririguzoh, S., (2022). Communication competencies, culture and SDGs: effective processes to cross-cultural communication. </w:t>
      </w:r>
      <w:r w:rsidRPr="004E4CA2">
        <w:rPr>
          <w:rFonts w:eastAsia="Times New Roman"/>
          <w:i/>
          <w:sz w:val="24"/>
          <w:szCs w:val="24"/>
        </w:rPr>
        <w:t>Humanities and Social Sciences Communications</w:t>
      </w:r>
      <w:r w:rsidRPr="004E4CA2">
        <w:rPr>
          <w:rFonts w:eastAsia="Times New Roman"/>
          <w:sz w:val="24"/>
          <w:szCs w:val="24"/>
        </w:rPr>
        <w:t xml:space="preserve">, </w:t>
      </w:r>
      <w:r w:rsidRPr="004E4CA2">
        <w:rPr>
          <w:rFonts w:eastAsia="Times New Roman"/>
          <w:i/>
          <w:sz w:val="24"/>
          <w:szCs w:val="24"/>
        </w:rPr>
        <w:t>9</w:t>
      </w:r>
      <w:r w:rsidRPr="004E4CA2">
        <w:rPr>
          <w:rFonts w:eastAsia="Times New Roman"/>
          <w:sz w:val="24"/>
          <w:szCs w:val="24"/>
        </w:rPr>
        <w:t>(1), pp.1-11.</w:t>
      </w:r>
    </w:p>
    <w:p w14:paraId="773B43FD" w14:textId="011C9BE2"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Cheong, F. and Law, R., (2023). Human employees versus robotic employees: Customers and hotel managers’ perceived experience at unmanned smart hotels. </w:t>
      </w:r>
      <w:r w:rsidRPr="004E4CA2">
        <w:rPr>
          <w:rFonts w:eastAsia="Times New Roman"/>
          <w:i/>
          <w:sz w:val="24"/>
          <w:szCs w:val="24"/>
        </w:rPr>
        <w:t>Cogent Social Sciences</w:t>
      </w:r>
      <w:r w:rsidRPr="004E4CA2">
        <w:rPr>
          <w:rFonts w:eastAsia="Times New Roman"/>
          <w:sz w:val="24"/>
          <w:szCs w:val="24"/>
        </w:rPr>
        <w:t xml:space="preserve">, </w:t>
      </w:r>
      <w:r w:rsidRPr="004E4CA2">
        <w:rPr>
          <w:rFonts w:eastAsia="Times New Roman"/>
          <w:i/>
          <w:sz w:val="24"/>
          <w:szCs w:val="24"/>
        </w:rPr>
        <w:t>9</w:t>
      </w:r>
      <w:r w:rsidRPr="004E4CA2">
        <w:rPr>
          <w:rFonts w:eastAsia="Times New Roman"/>
          <w:sz w:val="24"/>
          <w:szCs w:val="24"/>
        </w:rPr>
        <w:t>(1), p.2202937.</w:t>
      </w:r>
    </w:p>
    <w:p w14:paraId="37AC3DAB" w14:textId="57C20E40"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Chersulich Tomino, A., Perić, M. and Wise, N., (2020). Assessing and considering the wider impacts of sport-tourism events: A research agenda review of sustainability and strategic planning elements. </w:t>
      </w:r>
      <w:r w:rsidRPr="004E4CA2">
        <w:rPr>
          <w:rFonts w:eastAsia="Times New Roman"/>
          <w:i/>
          <w:sz w:val="24"/>
          <w:szCs w:val="24"/>
        </w:rPr>
        <w:t>Sustainability</w:t>
      </w:r>
      <w:r w:rsidRPr="004E4CA2">
        <w:rPr>
          <w:rFonts w:eastAsia="Times New Roman"/>
          <w:sz w:val="24"/>
          <w:szCs w:val="24"/>
        </w:rPr>
        <w:t xml:space="preserve">, </w:t>
      </w:r>
      <w:r w:rsidRPr="004E4CA2">
        <w:rPr>
          <w:rFonts w:eastAsia="Times New Roman"/>
          <w:i/>
          <w:sz w:val="24"/>
          <w:szCs w:val="24"/>
        </w:rPr>
        <w:t>12</w:t>
      </w:r>
      <w:r w:rsidRPr="004E4CA2">
        <w:rPr>
          <w:rFonts w:eastAsia="Times New Roman"/>
          <w:sz w:val="24"/>
          <w:szCs w:val="24"/>
        </w:rPr>
        <w:t>(11), p.4473.</w:t>
      </w:r>
    </w:p>
    <w:p w14:paraId="65C68D3B" w14:textId="344B8EA3"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Crain, M., (2021). </w:t>
      </w:r>
      <w:r w:rsidRPr="004E4CA2">
        <w:rPr>
          <w:rFonts w:eastAsia="Times New Roman"/>
          <w:i/>
          <w:sz w:val="24"/>
          <w:szCs w:val="24"/>
        </w:rPr>
        <w:t>Profit over privacy: How surveillance advertising conquered the internet</w:t>
      </w:r>
      <w:r w:rsidRPr="004E4CA2">
        <w:rPr>
          <w:rFonts w:eastAsia="Times New Roman"/>
          <w:sz w:val="24"/>
          <w:szCs w:val="24"/>
        </w:rPr>
        <w:t>. U of Minnesota Press.</w:t>
      </w:r>
    </w:p>
    <w:p w14:paraId="0D24EE8C" w14:textId="14F44F8C"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Edmans, A., (2021). </w:t>
      </w:r>
      <w:r w:rsidRPr="004E4CA2">
        <w:rPr>
          <w:rFonts w:eastAsia="Times New Roman"/>
          <w:i/>
          <w:sz w:val="24"/>
          <w:szCs w:val="24"/>
        </w:rPr>
        <w:t>Grow the pie: How great companies deliver both purpose and profit–updated and revised</w:t>
      </w:r>
      <w:r w:rsidRPr="004E4CA2">
        <w:rPr>
          <w:rFonts w:eastAsia="Times New Roman"/>
          <w:sz w:val="24"/>
          <w:szCs w:val="24"/>
        </w:rPr>
        <w:t>. Cambridge University Press.</w:t>
      </w:r>
    </w:p>
    <w:p w14:paraId="5CE029BA" w14:textId="53F3594C"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Ergashevich, E.A. and Mado, A., (2024). Methodology of Organizing and Implementing Training Activities. </w:t>
      </w:r>
      <w:r w:rsidRPr="004E4CA2">
        <w:rPr>
          <w:rFonts w:eastAsia="Times New Roman"/>
          <w:i/>
          <w:sz w:val="24"/>
          <w:szCs w:val="24"/>
        </w:rPr>
        <w:t>Academia Open</w:t>
      </w:r>
      <w:r w:rsidRPr="004E4CA2">
        <w:rPr>
          <w:rFonts w:eastAsia="Times New Roman"/>
          <w:sz w:val="24"/>
          <w:szCs w:val="24"/>
        </w:rPr>
        <w:t xml:space="preserve">, </w:t>
      </w:r>
      <w:r w:rsidRPr="004E4CA2">
        <w:rPr>
          <w:rFonts w:eastAsia="Times New Roman"/>
          <w:i/>
          <w:sz w:val="24"/>
          <w:szCs w:val="24"/>
        </w:rPr>
        <w:t>9</w:t>
      </w:r>
      <w:r w:rsidRPr="004E4CA2">
        <w:rPr>
          <w:rFonts w:eastAsia="Times New Roman"/>
          <w:sz w:val="24"/>
          <w:szCs w:val="24"/>
        </w:rPr>
        <w:t>(1), pp.10-21070.</w:t>
      </w:r>
    </w:p>
    <w:p w14:paraId="1EADBF9B" w14:textId="3D945E0D"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Fang, M.L., Sixsmith, J., Hamilton-Pryde, A., Rogowsky, R., Scrutton, P., Pengelly, R., Woolrych, R. and Creaney, R., (2023). Co-creating inclusive spaces and places: Towards an intergenerational and age-friendly living ecosystem. </w:t>
      </w:r>
      <w:r w:rsidRPr="004E4CA2">
        <w:rPr>
          <w:rFonts w:eastAsia="Times New Roman"/>
          <w:i/>
          <w:sz w:val="24"/>
          <w:szCs w:val="24"/>
        </w:rPr>
        <w:t>Frontiers in Public Health</w:t>
      </w:r>
      <w:r w:rsidRPr="004E4CA2">
        <w:rPr>
          <w:rFonts w:eastAsia="Times New Roman"/>
          <w:sz w:val="24"/>
          <w:szCs w:val="24"/>
        </w:rPr>
        <w:t xml:space="preserve">, </w:t>
      </w:r>
      <w:r w:rsidRPr="004E4CA2">
        <w:rPr>
          <w:rFonts w:eastAsia="Times New Roman"/>
          <w:i/>
          <w:sz w:val="24"/>
          <w:szCs w:val="24"/>
        </w:rPr>
        <w:t>10</w:t>
      </w:r>
      <w:r w:rsidRPr="004E4CA2">
        <w:rPr>
          <w:rFonts w:eastAsia="Times New Roman"/>
          <w:sz w:val="24"/>
          <w:szCs w:val="24"/>
        </w:rPr>
        <w:t>, p.996520.</w:t>
      </w:r>
    </w:p>
    <w:p w14:paraId="0A9C5A87" w14:textId="6EE73AA0"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Ford, A., (2023). </w:t>
      </w:r>
      <w:r w:rsidRPr="004E4CA2">
        <w:rPr>
          <w:rFonts w:eastAsia="Times New Roman"/>
          <w:i/>
          <w:sz w:val="24"/>
          <w:szCs w:val="24"/>
        </w:rPr>
        <w:t>On the economic impact of information security announcements: an event study analysis</w:t>
      </w:r>
      <w:r w:rsidRPr="004E4CA2">
        <w:rPr>
          <w:rFonts w:eastAsia="Times New Roman"/>
          <w:sz w:val="24"/>
          <w:szCs w:val="24"/>
        </w:rPr>
        <w:t xml:space="preserve"> (Doctoral dissertation, University of East London).</w:t>
      </w:r>
    </w:p>
    <w:p w14:paraId="2B49AFE1" w14:textId="030F905E"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Fox, D. et al. (2014) Doing events research: from theory to practice. Routledge: Oxford</w:t>
      </w:r>
    </w:p>
    <w:p w14:paraId="44ED257A" w14:textId="3E05D261"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Getz, D. and Page, S. (2019) Event studies: theory, research and policy for planned events. 3rd Edition. Routledge: Oxford</w:t>
      </w:r>
    </w:p>
    <w:p w14:paraId="58C391E2" w14:textId="64B1CB7B"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Gill, S., Adenan, A.M., Ali, A. and Ismail, N.A.S., (2022). Living through the COVID-19 pandemic: impact and lessons on dietary </w:t>
      </w:r>
      <w:r w:rsidR="00F10E5C" w:rsidRPr="004E4CA2">
        <w:rPr>
          <w:rFonts w:eastAsia="Times New Roman"/>
          <w:sz w:val="24"/>
          <w:szCs w:val="24"/>
        </w:rPr>
        <w:t>behaviour</w:t>
      </w:r>
      <w:r w:rsidRPr="004E4CA2">
        <w:rPr>
          <w:rFonts w:eastAsia="Times New Roman"/>
          <w:sz w:val="24"/>
          <w:szCs w:val="24"/>
        </w:rPr>
        <w:t xml:space="preserve"> and physical well-being. </w:t>
      </w:r>
      <w:r w:rsidRPr="004E4CA2">
        <w:rPr>
          <w:rFonts w:eastAsia="Times New Roman"/>
          <w:i/>
          <w:sz w:val="24"/>
          <w:szCs w:val="24"/>
        </w:rPr>
        <w:t>International journal of environmental research and public health</w:t>
      </w:r>
      <w:r w:rsidRPr="004E4CA2">
        <w:rPr>
          <w:rFonts w:eastAsia="Times New Roman"/>
          <w:sz w:val="24"/>
          <w:szCs w:val="24"/>
        </w:rPr>
        <w:t xml:space="preserve">, </w:t>
      </w:r>
      <w:r w:rsidRPr="004E4CA2">
        <w:rPr>
          <w:rFonts w:eastAsia="Times New Roman"/>
          <w:i/>
          <w:sz w:val="24"/>
          <w:szCs w:val="24"/>
        </w:rPr>
        <w:t>19</w:t>
      </w:r>
      <w:r w:rsidRPr="004E4CA2">
        <w:rPr>
          <w:rFonts w:eastAsia="Times New Roman"/>
          <w:sz w:val="24"/>
          <w:szCs w:val="24"/>
        </w:rPr>
        <w:t>(2), p.642.</w:t>
      </w:r>
    </w:p>
    <w:p w14:paraId="61C07FC3" w14:textId="04B057F0"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Khan, A., (2022). </w:t>
      </w:r>
      <w:r w:rsidRPr="004E4CA2">
        <w:rPr>
          <w:rFonts w:eastAsia="Times New Roman"/>
          <w:i/>
          <w:sz w:val="24"/>
          <w:szCs w:val="24"/>
        </w:rPr>
        <w:t xml:space="preserve">Eventing in the age of the Fourth Industrial Revolution: a </w:t>
      </w:r>
      <w:r w:rsidRPr="004E4CA2">
        <w:rPr>
          <w:rFonts w:eastAsia="Times New Roman"/>
          <w:i/>
          <w:sz w:val="24"/>
          <w:szCs w:val="24"/>
        </w:rPr>
        <w:lastRenderedPageBreak/>
        <w:t>shift to online</w:t>
      </w:r>
      <w:r w:rsidRPr="004E4CA2">
        <w:rPr>
          <w:rFonts w:eastAsia="Times New Roman"/>
          <w:sz w:val="24"/>
          <w:szCs w:val="24"/>
        </w:rPr>
        <w:t xml:space="preserve"> (Doctoral dissertation, University of Johannesburg).</w:t>
      </w:r>
    </w:p>
    <w:p w14:paraId="30F254ED" w14:textId="202C693D"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León-Quismondo, J., García-Unanue, J. and Burillo, P., (2020). Best practices for fitness </w:t>
      </w:r>
      <w:r w:rsidR="00F10E5C" w:rsidRPr="004E4CA2">
        <w:rPr>
          <w:rFonts w:eastAsia="Times New Roman"/>
          <w:sz w:val="24"/>
          <w:szCs w:val="24"/>
        </w:rPr>
        <w:t>centre</w:t>
      </w:r>
      <w:r w:rsidRPr="004E4CA2">
        <w:rPr>
          <w:rFonts w:eastAsia="Times New Roman"/>
          <w:sz w:val="24"/>
          <w:szCs w:val="24"/>
        </w:rPr>
        <w:t xml:space="preserve"> business sustainability: A qualitative vision. </w:t>
      </w:r>
      <w:r w:rsidRPr="004E4CA2">
        <w:rPr>
          <w:rFonts w:eastAsia="Times New Roman"/>
          <w:i/>
          <w:sz w:val="24"/>
          <w:szCs w:val="24"/>
        </w:rPr>
        <w:t>Sustainability</w:t>
      </w:r>
      <w:r w:rsidRPr="004E4CA2">
        <w:rPr>
          <w:rFonts w:eastAsia="Times New Roman"/>
          <w:sz w:val="24"/>
          <w:szCs w:val="24"/>
        </w:rPr>
        <w:t xml:space="preserve">, </w:t>
      </w:r>
      <w:r w:rsidRPr="004E4CA2">
        <w:rPr>
          <w:rFonts w:eastAsia="Times New Roman"/>
          <w:i/>
          <w:sz w:val="24"/>
          <w:szCs w:val="24"/>
        </w:rPr>
        <w:t>12</w:t>
      </w:r>
      <w:r w:rsidRPr="004E4CA2">
        <w:rPr>
          <w:rFonts w:eastAsia="Times New Roman"/>
          <w:sz w:val="24"/>
          <w:szCs w:val="24"/>
        </w:rPr>
        <w:t>(12), p.5067.</w:t>
      </w:r>
    </w:p>
    <w:p w14:paraId="5BB0CFF4" w14:textId="0C6BFD59"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Meredith, J. (2022) Project management: a managerial approach</w:t>
      </w:r>
    </w:p>
    <w:p w14:paraId="2926A4E6" w14:textId="06574186"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Nolan, E., (2020). The supply and design of different types of venues for business events. </w:t>
      </w:r>
      <w:r w:rsidRPr="004E4CA2">
        <w:rPr>
          <w:rFonts w:eastAsia="Times New Roman"/>
          <w:i/>
          <w:sz w:val="24"/>
          <w:szCs w:val="24"/>
        </w:rPr>
        <w:t>International Journal of Tourism Cities</w:t>
      </w:r>
      <w:r w:rsidRPr="004E4CA2">
        <w:rPr>
          <w:rFonts w:eastAsia="Times New Roman"/>
          <w:sz w:val="24"/>
          <w:szCs w:val="24"/>
        </w:rPr>
        <w:t xml:space="preserve">, </w:t>
      </w:r>
      <w:r w:rsidRPr="004E4CA2">
        <w:rPr>
          <w:rFonts w:eastAsia="Times New Roman"/>
          <w:i/>
          <w:sz w:val="24"/>
          <w:szCs w:val="24"/>
        </w:rPr>
        <w:t>6</w:t>
      </w:r>
      <w:r w:rsidRPr="004E4CA2">
        <w:rPr>
          <w:rFonts w:eastAsia="Times New Roman"/>
          <w:sz w:val="24"/>
          <w:szCs w:val="24"/>
        </w:rPr>
        <w:t>(4), pp.691-710.</w:t>
      </w:r>
    </w:p>
    <w:p w14:paraId="4A90DC8D" w14:textId="715F4BD3"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O’Toole, W. (2011) Events feasibility and development: from strategy to operations. Elsevier: Oxford</w:t>
      </w:r>
    </w:p>
    <w:p w14:paraId="3269F4A0" w14:textId="1BD8B88D" w:rsidR="006C4A97" w:rsidRPr="004E4CA2" w:rsidRDefault="006C4A97" w:rsidP="004E4CA2">
      <w:pPr>
        <w:pStyle w:val="ListParagraph"/>
        <w:widowControl w:val="0"/>
        <w:numPr>
          <w:ilvl w:val="0"/>
          <w:numId w:val="3"/>
        </w:numPr>
        <w:spacing w:after="200" w:line="360" w:lineRule="auto"/>
        <w:ind w:right="203"/>
        <w:jc w:val="both"/>
        <w:rPr>
          <w:rFonts w:eastAsia="Times New Roman"/>
          <w:sz w:val="24"/>
          <w:szCs w:val="24"/>
        </w:rPr>
      </w:pPr>
      <w:r w:rsidRPr="004E4CA2">
        <w:rPr>
          <w:rFonts w:eastAsia="Times New Roman"/>
          <w:sz w:val="24"/>
          <w:szCs w:val="24"/>
        </w:rPr>
        <w:t xml:space="preserve">Richardson, E. and Devine, C., (2020). Emergencies end eventually: How to better </w:t>
      </w:r>
      <w:r w:rsidR="00F10E5C" w:rsidRPr="004E4CA2">
        <w:rPr>
          <w:rFonts w:eastAsia="Times New Roman"/>
          <w:sz w:val="24"/>
          <w:szCs w:val="24"/>
        </w:rPr>
        <w:t>analyse</w:t>
      </w:r>
      <w:r w:rsidRPr="004E4CA2">
        <w:rPr>
          <w:rFonts w:eastAsia="Times New Roman"/>
          <w:sz w:val="24"/>
          <w:szCs w:val="24"/>
        </w:rPr>
        <w:t xml:space="preserve"> human rights restrictions sparked by the COVID-19 pandemic under the international covenant on civil and political rights. </w:t>
      </w:r>
      <w:r w:rsidRPr="004E4CA2">
        <w:rPr>
          <w:rFonts w:eastAsia="Times New Roman"/>
          <w:i/>
          <w:sz w:val="24"/>
          <w:szCs w:val="24"/>
        </w:rPr>
        <w:t>Mich. J. Int'l L.</w:t>
      </w:r>
      <w:r w:rsidRPr="004E4CA2">
        <w:rPr>
          <w:rFonts w:eastAsia="Times New Roman"/>
          <w:sz w:val="24"/>
          <w:szCs w:val="24"/>
        </w:rPr>
        <w:t xml:space="preserve">, </w:t>
      </w:r>
      <w:r w:rsidRPr="004E4CA2">
        <w:rPr>
          <w:rFonts w:eastAsia="Times New Roman"/>
          <w:i/>
          <w:sz w:val="24"/>
          <w:szCs w:val="24"/>
        </w:rPr>
        <w:t>42</w:t>
      </w:r>
      <w:r w:rsidRPr="004E4CA2">
        <w:rPr>
          <w:rFonts w:eastAsia="Times New Roman"/>
          <w:sz w:val="24"/>
          <w:szCs w:val="24"/>
        </w:rPr>
        <w:t>, p.105.</w:t>
      </w:r>
    </w:p>
    <w:p w14:paraId="25DA6B14" w14:textId="57F1756E" w:rsidR="006C4A97" w:rsidRPr="000270E3" w:rsidRDefault="006C4A97" w:rsidP="000270E3">
      <w:pPr>
        <w:pStyle w:val="ListParagraph"/>
        <w:widowControl w:val="0"/>
        <w:numPr>
          <w:ilvl w:val="0"/>
          <w:numId w:val="3"/>
        </w:numPr>
        <w:spacing w:after="200" w:line="360" w:lineRule="auto"/>
        <w:ind w:right="203"/>
        <w:jc w:val="both"/>
        <w:rPr>
          <w:rFonts w:eastAsia="Times New Roman"/>
          <w:sz w:val="24"/>
          <w:szCs w:val="24"/>
        </w:rPr>
      </w:pPr>
      <w:r w:rsidRPr="000270E3">
        <w:rPr>
          <w:rFonts w:eastAsia="Times New Roman"/>
          <w:sz w:val="24"/>
          <w:szCs w:val="24"/>
        </w:rPr>
        <w:t>Rogers, T. Wynn-Moylan, P. (2022) Conferences and conventions: a global industry. 4th Edition. Routledge: Oxford</w:t>
      </w:r>
    </w:p>
    <w:p w14:paraId="474AA6A5" w14:textId="650B3774" w:rsidR="006C4A97" w:rsidRPr="000270E3" w:rsidRDefault="006C4A97" w:rsidP="000270E3">
      <w:pPr>
        <w:pStyle w:val="ListParagraph"/>
        <w:widowControl w:val="0"/>
        <w:numPr>
          <w:ilvl w:val="0"/>
          <w:numId w:val="3"/>
        </w:numPr>
        <w:spacing w:after="200" w:line="360" w:lineRule="auto"/>
        <w:ind w:right="203"/>
        <w:jc w:val="both"/>
        <w:rPr>
          <w:rFonts w:eastAsia="Times New Roman"/>
          <w:sz w:val="24"/>
          <w:szCs w:val="24"/>
        </w:rPr>
      </w:pPr>
      <w:r w:rsidRPr="000270E3">
        <w:rPr>
          <w:rFonts w:eastAsia="Times New Roman"/>
          <w:sz w:val="24"/>
          <w:szCs w:val="24"/>
        </w:rPr>
        <w:t xml:space="preserve">Sesana, E., Gagnon, A.S., Ciantelli, C., Cassar, J. and Hughes, J.J., (2021). Climate change impacts on cultural heritage: A literature review. </w:t>
      </w:r>
      <w:r w:rsidRPr="000270E3">
        <w:rPr>
          <w:rFonts w:eastAsia="Times New Roman"/>
          <w:i/>
          <w:sz w:val="24"/>
          <w:szCs w:val="24"/>
        </w:rPr>
        <w:t>Wiley Interdisciplinary Reviews: Climate Change</w:t>
      </w:r>
      <w:r w:rsidRPr="000270E3">
        <w:rPr>
          <w:rFonts w:eastAsia="Times New Roman"/>
          <w:sz w:val="24"/>
          <w:szCs w:val="24"/>
        </w:rPr>
        <w:t xml:space="preserve">, </w:t>
      </w:r>
      <w:r w:rsidRPr="000270E3">
        <w:rPr>
          <w:rFonts w:eastAsia="Times New Roman"/>
          <w:i/>
          <w:sz w:val="24"/>
          <w:szCs w:val="24"/>
        </w:rPr>
        <w:t>12</w:t>
      </w:r>
      <w:r w:rsidRPr="000270E3">
        <w:rPr>
          <w:rFonts w:eastAsia="Times New Roman"/>
          <w:sz w:val="24"/>
          <w:szCs w:val="24"/>
        </w:rPr>
        <w:t xml:space="preserve">(4), p.e710. </w:t>
      </w:r>
    </w:p>
    <w:p w14:paraId="15E7F39E" w14:textId="2D6795BC" w:rsidR="006C4A97" w:rsidRPr="00F10E5C" w:rsidRDefault="006C4A97" w:rsidP="00F10E5C">
      <w:pPr>
        <w:pStyle w:val="ListParagraph"/>
        <w:widowControl w:val="0"/>
        <w:numPr>
          <w:ilvl w:val="0"/>
          <w:numId w:val="3"/>
        </w:numPr>
        <w:spacing w:after="200" w:line="360" w:lineRule="auto"/>
        <w:ind w:right="203"/>
        <w:jc w:val="both"/>
        <w:rPr>
          <w:rFonts w:eastAsia="Times New Roman"/>
          <w:sz w:val="24"/>
          <w:szCs w:val="24"/>
        </w:rPr>
      </w:pPr>
      <w:r w:rsidRPr="00F10E5C">
        <w:rPr>
          <w:rFonts w:eastAsia="Times New Roman"/>
          <w:sz w:val="24"/>
          <w:szCs w:val="24"/>
        </w:rPr>
        <w:t xml:space="preserve">Sobitan, A. and Vlachos, P., (2020). Immersive event experience and attendee motivation: a quantitative analysis using sensory, localisation, and participatory factors. </w:t>
      </w:r>
      <w:r w:rsidRPr="00F10E5C">
        <w:rPr>
          <w:rFonts w:eastAsia="Times New Roman"/>
          <w:i/>
          <w:sz w:val="24"/>
          <w:szCs w:val="24"/>
        </w:rPr>
        <w:t>Journal of Policy Research in Tourism, Leisure and Events</w:t>
      </w:r>
      <w:r w:rsidRPr="00F10E5C">
        <w:rPr>
          <w:rFonts w:eastAsia="Times New Roman"/>
          <w:sz w:val="24"/>
          <w:szCs w:val="24"/>
        </w:rPr>
        <w:t xml:space="preserve">, </w:t>
      </w:r>
      <w:r w:rsidRPr="00F10E5C">
        <w:rPr>
          <w:rFonts w:eastAsia="Times New Roman"/>
          <w:i/>
          <w:sz w:val="24"/>
          <w:szCs w:val="24"/>
        </w:rPr>
        <w:t>12</w:t>
      </w:r>
      <w:r w:rsidRPr="00F10E5C">
        <w:rPr>
          <w:rFonts w:eastAsia="Times New Roman"/>
          <w:sz w:val="24"/>
          <w:szCs w:val="24"/>
        </w:rPr>
        <w:t>(3), pp.437-456.</w:t>
      </w:r>
    </w:p>
    <w:p w14:paraId="7A031B54" w14:textId="77777777" w:rsidR="004953EC" w:rsidRPr="006C4A97" w:rsidRDefault="004953EC" w:rsidP="006C4A97">
      <w:pPr>
        <w:spacing w:line="360" w:lineRule="auto"/>
        <w:rPr>
          <w:b/>
          <w:sz w:val="24"/>
          <w:szCs w:val="24"/>
        </w:rPr>
      </w:pPr>
    </w:p>
    <w:p w14:paraId="7A28ABD5" w14:textId="77777777" w:rsidR="004953EC" w:rsidRPr="006C4A97" w:rsidRDefault="004953EC" w:rsidP="006C4A97">
      <w:pPr>
        <w:spacing w:line="360" w:lineRule="auto"/>
        <w:rPr>
          <w:sz w:val="24"/>
          <w:szCs w:val="24"/>
        </w:rPr>
      </w:pPr>
    </w:p>
    <w:sectPr w:rsidR="004953EC" w:rsidRPr="006C4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idaloka">
    <w:altName w:val="Cambria"/>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41986"/>
    <w:multiLevelType w:val="multilevel"/>
    <w:tmpl w:val="BAD4F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C93B4F"/>
    <w:multiLevelType w:val="hybridMultilevel"/>
    <w:tmpl w:val="CBA4C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012E35"/>
    <w:multiLevelType w:val="multilevel"/>
    <w:tmpl w:val="AABED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B867DA"/>
    <w:multiLevelType w:val="hybridMultilevel"/>
    <w:tmpl w:val="70A84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749294">
    <w:abstractNumId w:val="2"/>
  </w:num>
  <w:num w:numId="2" w16cid:durableId="399527094">
    <w:abstractNumId w:val="0"/>
  </w:num>
  <w:num w:numId="3" w16cid:durableId="879826649">
    <w:abstractNumId w:val="3"/>
  </w:num>
  <w:num w:numId="4" w16cid:durableId="1436973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A6"/>
    <w:rsid w:val="00004135"/>
    <w:rsid w:val="000270E3"/>
    <w:rsid w:val="000D1EFF"/>
    <w:rsid w:val="000D7B33"/>
    <w:rsid w:val="000E5660"/>
    <w:rsid w:val="000E6FCB"/>
    <w:rsid w:val="0017075E"/>
    <w:rsid w:val="00170A6F"/>
    <w:rsid w:val="002065CB"/>
    <w:rsid w:val="002065CE"/>
    <w:rsid w:val="00222CBE"/>
    <w:rsid w:val="00245B74"/>
    <w:rsid w:val="0029069C"/>
    <w:rsid w:val="002B1015"/>
    <w:rsid w:val="004953EC"/>
    <w:rsid w:val="004C3A9C"/>
    <w:rsid w:val="004E4CA2"/>
    <w:rsid w:val="00526D93"/>
    <w:rsid w:val="0054114E"/>
    <w:rsid w:val="00572BFD"/>
    <w:rsid w:val="00580C52"/>
    <w:rsid w:val="005A1B0B"/>
    <w:rsid w:val="005B7E43"/>
    <w:rsid w:val="0061006B"/>
    <w:rsid w:val="00652EA6"/>
    <w:rsid w:val="006711FE"/>
    <w:rsid w:val="00694B79"/>
    <w:rsid w:val="006A1427"/>
    <w:rsid w:val="006C4A97"/>
    <w:rsid w:val="006F0595"/>
    <w:rsid w:val="00896C10"/>
    <w:rsid w:val="008C754A"/>
    <w:rsid w:val="0094707A"/>
    <w:rsid w:val="00957C7D"/>
    <w:rsid w:val="009B594F"/>
    <w:rsid w:val="009E26E6"/>
    <w:rsid w:val="00A62868"/>
    <w:rsid w:val="00AC063B"/>
    <w:rsid w:val="00AF57C8"/>
    <w:rsid w:val="00B52176"/>
    <w:rsid w:val="00B70191"/>
    <w:rsid w:val="00B8076F"/>
    <w:rsid w:val="00B808C6"/>
    <w:rsid w:val="00B87B94"/>
    <w:rsid w:val="00B910F2"/>
    <w:rsid w:val="00BC2BC2"/>
    <w:rsid w:val="00BC7D4F"/>
    <w:rsid w:val="00C0081E"/>
    <w:rsid w:val="00C35991"/>
    <w:rsid w:val="00C67386"/>
    <w:rsid w:val="00CF129B"/>
    <w:rsid w:val="00D47CC3"/>
    <w:rsid w:val="00DF7A49"/>
    <w:rsid w:val="00E23B41"/>
    <w:rsid w:val="00E7789D"/>
    <w:rsid w:val="00E92272"/>
    <w:rsid w:val="00EA53EA"/>
    <w:rsid w:val="00EB61B4"/>
    <w:rsid w:val="00F10E5C"/>
    <w:rsid w:val="00F25BBF"/>
    <w:rsid w:val="00F7340A"/>
    <w:rsid w:val="00FC1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54872"/>
  <w15:chartTrackingRefBased/>
  <w15:docId w15:val="{D92098D5-9643-4FDE-B867-E90C369E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7340A"/>
    <w:pPr>
      <w:spacing w:after="0" w:line="276" w:lineRule="auto"/>
    </w:pPr>
    <w:rPr>
      <w:rFonts w:ascii="Arial" w:eastAsia="Arial" w:hAnsi="Arial" w:cs="Arial"/>
      <w:kern w:val="0"/>
      <w:lang w:val="en-IN" w:eastAsia="en-IN"/>
      <w14:ligatures w14:val="none"/>
    </w:rPr>
  </w:style>
  <w:style w:type="paragraph" w:styleId="Heading1">
    <w:name w:val="heading 1"/>
    <w:basedOn w:val="Normal"/>
    <w:next w:val="Normal"/>
    <w:link w:val="Heading1Char"/>
    <w:qFormat/>
    <w:rsid w:val="00652E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52E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2E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2E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E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E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E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E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E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EA6"/>
    <w:rPr>
      <w:rFonts w:eastAsiaTheme="majorEastAsia" w:cstheme="majorBidi"/>
      <w:color w:val="272727" w:themeColor="text1" w:themeTint="D8"/>
    </w:rPr>
  </w:style>
  <w:style w:type="paragraph" w:styleId="Title">
    <w:name w:val="Title"/>
    <w:basedOn w:val="Normal"/>
    <w:next w:val="Normal"/>
    <w:link w:val="TitleChar"/>
    <w:uiPriority w:val="10"/>
    <w:qFormat/>
    <w:rsid w:val="00652E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E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EA6"/>
    <w:pPr>
      <w:spacing w:before="160"/>
      <w:jc w:val="center"/>
    </w:pPr>
    <w:rPr>
      <w:i/>
      <w:iCs/>
      <w:color w:val="404040" w:themeColor="text1" w:themeTint="BF"/>
    </w:rPr>
  </w:style>
  <w:style w:type="character" w:customStyle="1" w:styleId="QuoteChar">
    <w:name w:val="Quote Char"/>
    <w:basedOn w:val="DefaultParagraphFont"/>
    <w:link w:val="Quote"/>
    <w:uiPriority w:val="29"/>
    <w:rsid w:val="00652EA6"/>
    <w:rPr>
      <w:i/>
      <w:iCs/>
      <w:color w:val="404040" w:themeColor="text1" w:themeTint="BF"/>
    </w:rPr>
  </w:style>
  <w:style w:type="paragraph" w:styleId="ListParagraph">
    <w:name w:val="List Paragraph"/>
    <w:basedOn w:val="Normal"/>
    <w:uiPriority w:val="34"/>
    <w:qFormat/>
    <w:rsid w:val="00652EA6"/>
    <w:pPr>
      <w:ind w:left="720"/>
      <w:contextualSpacing/>
    </w:pPr>
  </w:style>
  <w:style w:type="character" w:styleId="IntenseEmphasis">
    <w:name w:val="Intense Emphasis"/>
    <w:basedOn w:val="DefaultParagraphFont"/>
    <w:uiPriority w:val="21"/>
    <w:qFormat/>
    <w:rsid w:val="00652EA6"/>
    <w:rPr>
      <w:i/>
      <w:iCs/>
      <w:color w:val="0F4761" w:themeColor="accent1" w:themeShade="BF"/>
    </w:rPr>
  </w:style>
  <w:style w:type="paragraph" w:styleId="IntenseQuote">
    <w:name w:val="Intense Quote"/>
    <w:basedOn w:val="Normal"/>
    <w:next w:val="Normal"/>
    <w:link w:val="IntenseQuoteChar"/>
    <w:uiPriority w:val="30"/>
    <w:qFormat/>
    <w:rsid w:val="00652E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EA6"/>
    <w:rPr>
      <w:i/>
      <w:iCs/>
      <w:color w:val="0F4761" w:themeColor="accent1" w:themeShade="BF"/>
    </w:rPr>
  </w:style>
  <w:style w:type="character" w:styleId="IntenseReference">
    <w:name w:val="Intense Reference"/>
    <w:basedOn w:val="DefaultParagraphFont"/>
    <w:uiPriority w:val="32"/>
    <w:qFormat/>
    <w:rsid w:val="00652EA6"/>
    <w:rPr>
      <w:b/>
      <w:bCs/>
      <w:smallCaps/>
      <w:color w:val="0F4761" w:themeColor="accent1" w:themeShade="BF"/>
      <w:spacing w:val="5"/>
    </w:rPr>
  </w:style>
  <w:style w:type="paragraph" w:styleId="TOCHeading">
    <w:name w:val="TOC Heading"/>
    <w:basedOn w:val="Heading1"/>
    <w:next w:val="Normal"/>
    <w:uiPriority w:val="39"/>
    <w:unhideWhenUsed/>
    <w:qFormat/>
    <w:rsid w:val="004953EC"/>
    <w:pPr>
      <w:spacing w:before="240" w:after="0"/>
      <w:outlineLvl w:val="9"/>
    </w:pPr>
    <w:rPr>
      <w:sz w:val="32"/>
      <w:szCs w:val="32"/>
      <w:lang w:val="en-US"/>
    </w:rPr>
  </w:style>
  <w:style w:type="paragraph" w:styleId="TOC1">
    <w:name w:val="toc 1"/>
    <w:basedOn w:val="Normal"/>
    <w:next w:val="Normal"/>
    <w:autoRedefine/>
    <w:uiPriority w:val="39"/>
    <w:unhideWhenUsed/>
    <w:rsid w:val="004953EC"/>
    <w:pPr>
      <w:spacing w:after="100"/>
    </w:pPr>
  </w:style>
  <w:style w:type="paragraph" w:styleId="TOC2">
    <w:name w:val="toc 2"/>
    <w:basedOn w:val="Normal"/>
    <w:next w:val="Normal"/>
    <w:autoRedefine/>
    <w:uiPriority w:val="39"/>
    <w:unhideWhenUsed/>
    <w:rsid w:val="004953EC"/>
    <w:pPr>
      <w:spacing w:after="100"/>
      <w:ind w:left="220"/>
    </w:pPr>
  </w:style>
  <w:style w:type="character" w:styleId="Hyperlink">
    <w:name w:val="Hyperlink"/>
    <w:basedOn w:val="DefaultParagraphFont"/>
    <w:uiPriority w:val="99"/>
    <w:unhideWhenUsed/>
    <w:rsid w:val="004953EC"/>
    <w:rPr>
      <w:color w:val="467886" w:themeColor="hyperlink"/>
      <w:u w:val="single"/>
    </w:rPr>
  </w:style>
  <w:style w:type="character" w:customStyle="1" w:styleId="css-x5hiaf">
    <w:name w:val="css-x5hiaf"/>
    <w:basedOn w:val="DefaultParagraphFont"/>
    <w:rsid w:val="006C4A97"/>
  </w:style>
  <w:style w:type="character" w:customStyle="1" w:styleId="css-0">
    <w:name w:val="css-0"/>
    <w:basedOn w:val="DefaultParagraphFont"/>
    <w:rsid w:val="006C4A97"/>
  </w:style>
  <w:style w:type="character" w:customStyle="1" w:styleId="css-rh820s">
    <w:name w:val="css-rh820s"/>
    <w:basedOn w:val="DefaultParagraphFont"/>
    <w:rsid w:val="006C4A97"/>
  </w:style>
  <w:style w:type="character" w:customStyle="1" w:styleId="css-15iwe0d">
    <w:name w:val="css-15iwe0d"/>
    <w:basedOn w:val="DefaultParagraphFont"/>
    <w:rsid w:val="006C4A97"/>
  </w:style>
  <w:style w:type="character" w:customStyle="1" w:styleId="css-2yp7ui">
    <w:name w:val="css-2yp7ui"/>
    <w:basedOn w:val="DefaultParagraphFont"/>
    <w:rsid w:val="006C4A97"/>
  </w:style>
  <w:style w:type="character" w:customStyle="1" w:styleId="css-1ber87j">
    <w:name w:val="css-1ber87j"/>
    <w:basedOn w:val="DefaultParagraphFont"/>
    <w:rsid w:val="006C4A97"/>
  </w:style>
  <w:style w:type="character" w:customStyle="1" w:styleId="css-1eh0vfs">
    <w:name w:val="css-1eh0vfs"/>
    <w:basedOn w:val="DefaultParagraphFont"/>
    <w:rsid w:val="006C4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961</TotalTime>
  <Pages>15</Pages>
  <Words>3220</Words>
  <Characters>18355</Characters>
  <Application>Microsoft Office Word</Application>
  <DocSecurity>0</DocSecurity>
  <Lines>152</Lines>
  <Paragraphs>43</Paragraphs>
  <ScaleCrop>false</ScaleCrop>
  <Company/>
  <LinksUpToDate>false</LinksUpToDate>
  <CharactersWithSpaces>21532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56</cp:revision>
  <dcterms:created xsi:type="dcterms:W3CDTF">2024-05-23T16:59:00Z</dcterms:created>
  <dcterms:modified xsi:type="dcterms:W3CDTF">2024-05-24T09:07:00Z</dcterms:modified>
</cp:coreProperties>
</file>