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106"/>
        <w:gridCol w:w="4910"/>
      </w:tblGrid>
      <w:tr w:rsidR="00686714" w14:paraId="69A04C4D" w14:textId="77777777" w:rsidTr="0007387E">
        <w:tc>
          <w:tcPr>
            <w:tcW w:w="4106" w:type="dxa"/>
            <w:shd w:val="clear" w:color="auto" w:fill="BDD6EE" w:themeFill="accent1" w:themeFillTint="66"/>
          </w:tcPr>
          <w:p w14:paraId="0C700A5A" w14:textId="77777777" w:rsidR="00686714" w:rsidRDefault="00686714" w:rsidP="0007387E">
            <w:r w:rsidRPr="00614CE3">
              <w:rPr>
                <w:b/>
              </w:rPr>
              <w:t>Student Name</w:t>
            </w:r>
            <w:r>
              <w:t>: Romeo Popescu</w:t>
            </w:r>
          </w:p>
          <w:p w14:paraId="4149C881" w14:textId="02FBDF27" w:rsidR="00686714" w:rsidRDefault="00686714" w:rsidP="0007387E">
            <w:r w:rsidRPr="00614CE3">
              <w:rPr>
                <w:b/>
              </w:rPr>
              <w:t>Student Number</w:t>
            </w:r>
            <w:r>
              <w:t xml:space="preserve">: </w:t>
            </w:r>
            <w:r w:rsidR="00E96FA0">
              <w:t>1922487</w:t>
            </w:r>
          </w:p>
        </w:tc>
        <w:tc>
          <w:tcPr>
            <w:tcW w:w="4910" w:type="dxa"/>
            <w:shd w:val="clear" w:color="auto" w:fill="BDD6EE" w:themeFill="accent1" w:themeFillTint="66"/>
          </w:tcPr>
          <w:p w14:paraId="469DE457" w14:textId="77777777" w:rsidR="00686714" w:rsidRDefault="00686714" w:rsidP="0007387E">
            <w:r w:rsidRPr="00614CE3">
              <w:rPr>
                <w:b/>
              </w:rPr>
              <w:t>Module</w:t>
            </w:r>
            <w:r>
              <w:t>: Hotel Administration and Front Office Operations</w:t>
            </w:r>
          </w:p>
          <w:p w14:paraId="324DB187" w14:textId="77777777" w:rsidR="00686714" w:rsidRDefault="00686714" w:rsidP="0007387E">
            <w:r w:rsidRPr="00614CE3">
              <w:rPr>
                <w:b/>
              </w:rPr>
              <w:t>Lecturers</w:t>
            </w:r>
            <w:r>
              <w:t xml:space="preserve">: Ryan Peters, Kathryn Roberts, and Samantha </w:t>
            </w:r>
            <w:proofErr w:type="spellStart"/>
            <w:r>
              <w:t>Birdsell</w:t>
            </w:r>
            <w:proofErr w:type="spellEnd"/>
          </w:p>
        </w:tc>
      </w:tr>
    </w:tbl>
    <w:p w14:paraId="459C1205" w14:textId="77777777" w:rsidR="00686714" w:rsidRDefault="00686714" w:rsidP="00686714"/>
    <w:tbl>
      <w:tblPr>
        <w:tblStyle w:val="TableGrid"/>
        <w:tblW w:w="0" w:type="auto"/>
        <w:tblLook w:val="04A0" w:firstRow="1" w:lastRow="0" w:firstColumn="1" w:lastColumn="0" w:noHBand="0" w:noVBand="1"/>
      </w:tblPr>
      <w:tblGrid>
        <w:gridCol w:w="5382"/>
        <w:gridCol w:w="3634"/>
      </w:tblGrid>
      <w:tr w:rsidR="00686714" w14:paraId="6549462D" w14:textId="77777777" w:rsidTr="00686714">
        <w:tc>
          <w:tcPr>
            <w:tcW w:w="5382" w:type="dxa"/>
            <w:shd w:val="clear" w:color="auto" w:fill="FFF2CC" w:themeFill="accent4" w:themeFillTint="33"/>
          </w:tcPr>
          <w:p w14:paraId="0F6C20D0" w14:textId="77777777" w:rsidR="00686714" w:rsidRDefault="00686714" w:rsidP="0007387E">
            <w:r w:rsidRPr="00614CE3">
              <w:rPr>
                <w:b/>
              </w:rPr>
              <w:t>Type of choice</w:t>
            </w:r>
            <w:r>
              <w:t xml:space="preserve">: </w:t>
            </w:r>
            <w:r w:rsidRPr="00686714">
              <w:t>Allergies and Intolerances and the importance within the industry</w:t>
            </w:r>
          </w:p>
          <w:p w14:paraId="42337A9E" w14:textId="77777777" w:rsidR="00686714" w:rsidRDefault="00686714" w:rsidP="0007387E"/>
        </w:tc>
        <w:tc>
          <w:tcPr>
            <w:tcW w:w="3634" w:type="dxa"/>
            <w:shd w:val="clear" w:color="auto" w:fill="FFF2CC" w:themeFill="accent4" w:themeFillTint="33"/>
          </w:tcPr>
          <w:p w14:paraId="4BF3DBEF" w14:textId="49263A56" w:rsidR="00686714" w:rsidRDefault="00686714" w:rsidP="0007387E"/>
        </w:tc>
      </w:tr>
      <w:tr w:rsidR="00686714" w14:paraId="3C90CF5A" w14:textId="77777777" w:rsidTr="0007387E">
        <w:tc>
          <w:tcPr>
            <w:tcW w:w="9016" w:type="dxa"/>
            <w:gridSpan w:val="2"/>
          </w:tcPr>
          <w:p w14:paraId="47160AD5" w14:textId="77777777" w:rsidR="00686714" w:rsidRDefault="00686714" w:rsidP="0007387E"/>
          <w:p w14:paraId="33AA6918" w14:textId="77777777" w:rsidR="00686714" w:rsidRDefault="00686714" w:rsidP="00686714">
            <w:r>
              <w:t>This module provides an overview about the food and beverage industry. Food and beverage industry has to consider multiple affairs to be sustained in the long run. I have selected “</w:t>
            </w:r>
            <w:r w:rsidRPr="00EF7927">
              <w:rPr>
                <w:b/>
              </w:rPr>
              <w:t>Allergies and Intolerances and the importance within the industry</w:t>
            </w:r>
            <w:r>
              <w:t>” as a topic for this module. This topic is crucial for food and beverage industry because allergy and intolerance are to be considered strongly within the food industry that I have gained knowledge from this topic</w:t>
            </w:r>
            <w:r w:rsidR="004F3BF3">
              <w:t xml:space="preserve"> (Keith et al., 2011)</w:t>
            </w:r>
            <w:r>
              <w:t xml:space="preserve">. I determined that both phenomena are highly applicable for the food industry. Because, allergy is an avoidance factor for few people, whereas intolerances are strongly prohibited. People prefer nutritious foods to allergy and intolerances for their health nutrition. </w:t>
            </w:r>
          </w:p>
          <w:p w14:paraId="2B8E7DC9" w14:textId="77777777" w:rsidR="00686714" w:rsidRDefault="00686714" w:rsidP="00686714"/>
          <w:p w14:paraId="147C471D" w14:textId="77777777" w:rsidR="00686714" w:rsidRDefault="00686714" w:rsidP="00686714">
            <w:r>
              <w:t xml:space="preserve">However, I have found some allergens during lecture in the classroom. Celery, eggs, fish, milk, lupin, gluten, crustaceans, molluscs, </w:t>
            </w:r>
            <w:r w:rsidRPr="00B844AE">
              <w:t>sulphur dioxide and sulphites</w:t>
            </w:r>
            <w:r>
              <w:t xml:space="preserve">, </w:t>
            </w:r>
            <w:r w:rsidRPr="00B844AE">
              <w:t>mustard, sesame</w:t>
            </w:r>
            <w:r>
              <w:t xml:space="preserve">, </w:t>
            </w:r>
            <w:r w:rsidRPr="00B844AE">
              <w:t xml:space="preserve">peanuts, soybeans, </w:t>
            </w:r>
            <w:r>
              <w:t xml:space="preserve">and </w:t>
            </w:r>
            <w:r w:rsidRPr="00B844AE">
              <w:t>tree nuts</w:t>
            </w:r>
            <w:r>
              <w:t xml:space="preserve"> are major 14 allergens which are to be announced for the customers that these ingredients are available in the food</w:t>
            </w:r>
            <w:r w:rsidR="004F3BF3">
              <w:t xml:space="preserve"> (</w:t>
            </w:r>
            <w:r w:rsidR="004F3BF3">
              <w:rPr>
                <w:rStyle w:val="selectable"/>
                <w:color w:val="000000"/>
              </w:rPr>
              <w:t>Food Standards Agency, 2021</w:t>
            </w:r>
            <w:r w:rsidR="004F3BF3">
              <w:t>)</w:t>
            </w:r>
            <w:r>
              <w:t>. Even though, consumers with allergy and high intolerance may have complaints to other ingredients, they must be informed or declared that the 14 allergens are available to this food by food law.</w:t>
            </w:r>
          </w:p>
          <w:p w14:paraId="7EC0D4C2" w14:textId="77777777" w:rsidR="00686714" w:rsidRDefault="00686714" w:rsidP="00686714"/>
          <w:p w14:paraId="46AF23A4" w14:textId="77777777" w:rsidR="00686714" w:rsidRDefault="00686714" w:rsidP="00686714">
            <w:r>
              <w:t>A customer can be informed about the allergy and intolerance in many ways. As a food business company, a best method has to be applied, while food serve. Prepacked must have a list of ingredients the packaging. The ingredients must be presented at the front of the package</w:t>
            </w:r>
            <w:r w:rsidR="004F3BF3">
              <w:t xml:space="preserve"> (</w:t>
            </w:r>
            <w:r w:rsidR="004F3BF3" w:rsidRPr="004F3BF3">
              <w:rPr>
                <w:lang w:eastAsia="en-GB"/>
              </w:rPr>
              <w:t>Nicklas</w:t>
            </w:r>
            <w:r w:rsidR="004F3BF3">
              <w:rPr>
                <w:lang w:eastAsia="en-GB"/>
              </w:rPr>
              <w:t xml:space="preserve"> et al., 2011</w:t>
            </w:r>
            <w:r w:rsidR="004F3BF3">
              <w:t>)</w:t>
            </w:r>
            <w:r>
              <w:t xml:space="preserve">. On the other hand, due to intolerance and allergy, people may have attacked by tummy pain and headache </w:t>
            </w:r>
            <w:r>
              <w:lastRenderedPageBreak/>
              <w:t xml:space="preserve">as they eat foods with allergy. Actually, a food intolerance is difficulty </w:t>
            </w:r>
            <w:r w:rsidRPr="00314ED9">
              <w:t>digesting certain foods and having an unpleasant physical reaction to them</w:t>
            </w:r>
            <w:r>
              <w:t xml:space="preserve">. Bloating, tummy pain, skin rashes, wind, diarrhoea, and itching can be unpleasant to them after few hours. I have gained this knowledge from this module. </w:t>
            </w:r>
          </w:p>
          <w:p w14:paraId="47F72C82" w14:textId="77777777" w:rsidR="00686714" w:rsidRDefault="00686714" w:rsidP="00686714"/>
          <w:p w14:paraId="70736093" w14:textId="77777777" w:rsidR="00686714" w:rsidRDefault="00686714" w:rsidP="00686714">
            <w:r>
              <w:t>I have also acknowledged that the number of people with intolerance and allergy has risen drastically in recent years, but it is sorry to say that many people are truly affected by these symptoms. I also determined that many people assume they have a food intolerance when the true cause of their symptoms is something else. British Dietary Association has recommended some issues and affairs about food intolerance, whereas there is no standard companies who provide or ensure intolerance tests</w:t>
            </w:r>
            <w:r w:rsidR="004F3BF3">
              <w:t xml:space="preserve"> (</w:t>
            </w:r>
            <w:proofErr w:type="spellStart"/>
            <w:r w:rsidR="004F3BF3" w:rsidRPr="004F3BF3">
              <w:rPr>
                <w:lang w:eastAsia="en-GB"/>
              </w:rPr>
              <w:t>Nwaru</w:t>
            </w:r>
            <w:proofErr w:type="spellEnd"/>
            <w:r w:rsidR="004F3BF3">
              <w:rPr>
                <w:lang w:eastAsia="en-GB"/>
              </w:rPr>
              <w:t xml:space="preserve"> et al., 2010</w:t>
            </w:r>
            <w:r w:rsidR="004F3BF3">
              <w:t>)</w:t>
            </w:r>
            <w:r>
              <w:t xml:space="preserve">. Overall, a food company needs to maintain allergy and intolerance strongly because people with allergy and intolerance may complain the authority or discourage other people to consume the products. So, both of the issues are important to the food and beverage industry. </w:t>
            </w:r>
          </w:p>
          <w:p w14:paraId="154CD015" w14:textId="77777777" w:rsidR="00686714" w:rsidRDefault="00686714" w:rsidP="00686714"/>
          <w:p w14:paraId="3ED75FAA" w14:textId="77777777" w:rsidR="00686714" w:rsidRDefault="00686714" w:rsidP="00686714">
            <w:r>
              <w:t>From this module, however, I have gained new knowledge about food allergy and intolerance. And I have acknowledged that these phenomena are really important to the food and beverage industry. First of all, I have found the foods or ingredients that are contained by allergy and intolerance. After that, the symptoms of eating these foods have been found. These issues are new to me which will help me in future. I will apply the knowledge in my career where it is required. I always try heart and soul to start a new food business that time, this knowledge will support me</w:t>
            </w:r>
            <w:r w:rsidR="004F3BF3">
              <w:t xml:space="preserve"> (</w:t>
            </w:r>
            <w:proofErr w:type="spellStart"/>
            <w:r w:rsidR="004F3BF3" w:rsidRPr="004F3BF3">
              <w:rPr>
                <w:lang w:eastAsia="en-GB"/>
              </w:rPr>
              <w:t>Pettersson</w:t>
            </w:r>
            <w:proofErr w:type="spellEnd"/>
            <w:r w:rsidR="004F3BF3">
              <w:rPr>
                <w:lang w:eastAsia="en-GB"/>
              </w:rPr>
              <w:t xml:space="preserve"> et al., 2018</w:t>
            </w:r>
            <w:r w:rsidR="004F3BF3">
              <w:t>)</w:t>
            </w:r>
            <w:r>
              <w:t xml:space="preserve">. Because, if I know what ingredients have allergy and intolerance, I will avoid these ingredients for the guests who are allergic or have intolerance. Besides, I can manufacture the foods and ensure packaging with allergic labels and packets. Besides, I know the symptoms of this food, while if any customer is affected by this ingredients I will be able to notice the diseases and can suggest the diet for the customers. </w:t>
            </w:r>
          </w:p>
          <w:p w14:paraId="677DD2C6" w14:textId="77777777" w:rsidR="00686714" w:rsidRDefault="00686714" w:rsidP="00686714"/>
          <w:p w14:paraId="610BE3D9" w14:textId="77777777" w:rsidR="00686714" w:rsidRDefault="00686714" w:rsidP="00686714">
            <w:r>
              <w:t xml:space="preserve">Afterward, while acquiring the knowledge about allergy and intolerance, I have faced trouble as the terms and ingredients were new to me. I have determined the contents and fundamentals of learning carefully, while I became successful to gain </w:t>
            </w:r>
            <w:r>
              <w:lastRenderedPageBreak/>
              <w:t>knowledge. First of all, allergy and intolerance cannot be found easily with the foods, it needs to test in lab, however, 14 ingredients mentioned above should be marked in the industry so that I will declare the customers appropriately</w:t>
            </w:r>
            <w:r w:rsidR="004F3BF3">
              <w:t xml:space="preserve"> (</w:t>
            </w:r>
            <w:r w:rsidR="004F3BF3">
              <w:rPr>
                <w:rStyle w:val="selectable"/>
                <w:color w:val="000000"/>
              </w:rPr>
              <w:t>NHS.UK, 2021</w:t>
            </w:r>
            <w:r w:rsidR="004F3BF3">
              <w:t>)</w:t>
            </w:r>
            <w:r>
              <w:t xml:space="preserve">. I need to find the customers who have intolerances and allergic so that I can inform or suggest other dietary to them. In this way, I will be able to apply this knowledge in future. </w:t>
            </w:r>
          </w:p>
          <w:p w14:paraId="2030E795" w14:textId="77777777" w:rsidR="00686714" w:rsidRDefault="00686714" w:rsidP="00686714"/>
          <w:p w14:paraId="0F30FA40" w14:textId="77777777" w:rsidR="00686714" w:rsidRPr="00686714" w:rsidRDefault="00686714" w:rsidP="00686714">
            <w:pPr>
              <w:rPr>
                <w:b/>
              </w:rPr>
            </w:pPr>
            <w:r w:rsidRPr="00686714">
              <w:rPr>
                <w:b/>
              </w:rPr>
              <w:t xml:space="preserve">References </w:t>
            </w:r>
          </w:p>
          <w:p w14:paraId="64FD28CA" w14:textId="77777777" w:rsidR="000E6E70" w:rsidRDefault="000E6E70" w:rsidP="0007387E">
            <w:pPr>
              <w:rPr>
                <w:rStyle w:val="selectable"/>
                <w:color w:val="000000"/>
              </w:rPr>
            </w:pPr>
            <w:r>
              <w:rPr>
                <w:rStyle w:val="selectable"/>
                <w:color w:val="000000"/>
              </w:rPr>
              <w:t xml:space="preserve">Food Standards Agency. (2021). </w:t>
            </w:r>
            <w:r>
              <w:rPr>
                <w:rStyle w:val="selectable"/>
                <w:i/>
                <w:iCs/>
                <w:color w:val="000000"/>
              </w:rPr>
              <w:t>Allergen guidance for food businesses</w:t>
            </w:r>
            <w:r>
              <w:rPr>
                <w:rStyle w:val="selectable"/>
                <w:color w:val="000000"/>
              </w:rPr>
              <w:t>. [online] Available at: &lt;https://www.food.gov.uk/business-guidance/allergen-guidance-for-food-businesses&gt; [Accessed 15 October 2021].</w:t>
            </w:r>
          </w:p>
          <w:p w14:paraId="5F12A86B" w14:textId="77777777" w:rsidR="004F3BF3" w:rsidRDefault="004F3BF3" w:rsidP="0007387E">
            <w:pPr>
              <w:rPr>
                <w:rStyle w:val="selectable"/>
                <w:color w:val="000000"/>
              </w:rPr>
            </w:pPr>
            <w:r>
              <w:rPr>
                <w:rStyle w:val="selectable"/>
                <w:color w:val="000000"/>
              </w:rPr>
              <w:t xml:space="preserve">NHS.UK. (2021). </w:t>
            </w:r>
            <w:r>
              <w:rPr>
                <w:rStyle w:val="selectable"/>
                <w:i/>
                <w:iCs/>
                <w:color w:val="000000"/>
              </w:rPr>
              <w:t>Food intolerance</w:t>
            </w:r>
            <w:r>
              <w:rPr>
                <w:rStyle w:val="selectable"/>
                <w:color w:val="000000"/>
              </w:rPr>
              <w:t>. [online] Available at: &lt;https://www.nhs.uk/conditions/food-intolerance/&gt; [Accessed 15 October 2021].</w:t>
            </w:r>
          </w:p>
          <w:p w14:paraId="69D4054F" w14:textId="77777777" w:rsidR="004F3BF3" w:rsidRPr="004F3BF3" w:rsidRDefault="004F3BF3" w:rsidP="004F3BF3">
            <w:pPr>
              <w:rPr>
                <w:lang w:eastAsia="en-GB"/>
              </w:rPr>
            </w:pPr>
            <w:proofErr w:type="spellStart"/>
            <w:r w:rsidRPr="004F3BF3">
              <w:rPr>
                <w:lang w:eastAsia="en-GB"/>
              </w:rPr>
              <w:t>Pettersson</w:t>
            </w:r>
            <w:proofErr w:type="spellEnd"/>
            <w:r w:rsidRPr="004F3BF3">
              <w:rPr>
                <w:lang w:eastAsia="en-GB"/>
              </w:rPr>
              <w:t xml:space="preserve">, M.E., </w:t>
            </w:r>
            <w:proofErr w:type="spellStart"/>
            <w:r w:rsidRPr="004F3BF3">
              <w:rPr>
                <w:lang w:eastAsia="en-GB"/>
              </w:rPr>
              <w:t>Koppelman</w:t>
            </w:r>
            <w:proofErr w:type="spellEnd"/>
            <w:r w:rsidRPr="004F3BF3">
              <w:rPr>
                <w:lang w:eastAsia="en-GB"/>
              </w:rPr>
              <w:t xml:space="preserve">, G.H., </w:t>
            </w:r>
            <w:proofErr w:type="spellStart"/>
            <w:r w:rsidRPr="004F3BF3">
              <w:rPr>
                <w:lang w:eastAsia="en-GB"/>
              </w:rPr>
              <w:t>Flokstra</w:t>
            </w:r>
            <w:proofErr w:type="spellEnd"/>
            <w:r w:rsidRPr="004F3BF3">
              <w:rPr>
                <w:rFonts w:ascii="Cambria Math" w:hAnsi="Cambria Math" w:cs="Cambria Math"/>
                <w:lang w:eastAsia="en-GB"/>
              </w:rPr>
              <w:t>‐</w:t>
            </w:r>
            <w:r w:rsidRPr="004F3BF3">
              <w:rPr>
                <w:lang w:eastAsia="en-GB"/>
              </w:rPr>
              <w:t xml:space="preserve">de Blok, B.M., </w:t>
            </w:r>
            <w:proofErr w:type="spellStart"/>
            <w:r w:rsidRPr="004F3BF3">
              <w:rPr>
                <w:lang w:eastAsia="en-GB"/>
              </w:rPr>
              <w:t>Kollen</w:t>
            </w:r>
            <w:proofErr w:type="spellEnd"/>
            <w:r w:rsidRPr="004F3BF3">
              <w:rPr>
                <w:lang w:eastAsia="en-GB"/>
              </w:rPr>
              <w:t xml:space="preserve">, B.J. and Dubois, A.E., </w:t>
            </w:r>
            <w:r>
              <w:rPr>
                <w:lang w:eastAsia="en-GB"/>
              </w:rPr>
              <w:t>(</w:t>
            </w:r>
            <w:r w:rsidRPr="004F3BF3">
              <w:rPr>
                <w:lang w:eastAsia="en-GB"/>
              </w:rPr>
              <w:t>2018</w:t>
            </w:r>
            <w:r>
              <w:rPr>
                <w:lang w:eastAsia="en-GB"/>
              </w:rPr>
              <w:t>)</w:t>
            </w:r>
            <w:r w:rsidRPr="004F3BF3">
              <w:rPr>
                <w:lang w:eastAsia="en-GB"/>
              </w:rPr>
              <w:t xml:space="preserve">. Prediction of the severity of allergic reactions to foods. </w:t>
            </w:r>
            <w:r w:rsidRPr="004F3BF3">
              <w:rPr>
                <w:i/>
                <w:iCs/>
                <w:lang w:eastAsia="en-GB"/>
              </w:rPr>
              <w:t>Allergy</w:t>
            </w:r>
            <w:r w:rsidRPr="004F3BF3">
              <w:rPr>
                <w:lang w:eastAsia="en-GB"/>
              </w:rPr>
              <w:t xml:space="preserve">, </w:t>
            </w:r>
            <w:r w:rsidRPr="004F3BF3">
              <w:rPr>
                <w:i/>
                <w:iCs/>
                <w:lang w:eastAsia="en-GB"/>
              </w:rPr>
              <w:t>73</w:t>
            </w:r>
            <w:r w:rsidRPr="004F3BF3">
              <w:rPr>
                <w:lang w:eastAsia="en-GB"/>
              </w:rPr>
              <w:t>(7), pp.1532-1540.</w:t>
            </w:r>
          </w:p>
          <w:p w14:paraId="05DC8BE2" w14:textId="77777777" w:rsidR="004F3BF3" w:rsidRPr="004F3BF3" w:rsidRDefault="004F3BF3" w:rsidP="004F3BF3">
            <w:pPr>
              <w:rPr>
                <w:lang w:eastAsia="en-GB"/>
              </w:rPr>
            </w:pPr>
            <w:proofErr w:type="spellStart"/>
            <w:r w:rsidRPr="004F3BF3">
              <w:rPr>
                <w:lang w:eastAsia="en-GB"/>
              </w:rPr>
              <w:t>Nwaru</w:t>
            </w:r>
            <w:proofErr w:type="spellEnd"/>
            <w:r w:rsidRPr="004F3BF3">
              <w:rPr>
                <w:lang w:eastAsia="en-GB"/>
              </w:rPr>
              <w:t xml:space="preserve">, B.I., </w:t>
            </w:r>
            <w:proofErr w:type="spellStart"/>
            <w:r w:rsidRPr="004F3BF3">
              <w:rPr>
                <w:lang w:eastAsia="en-GB"/>
              </w:rPr>
              <w:t>Erkkola</w:t>
            </w:r>
            <w:proofErr w:type="spellEnd"/>
            <w:r w:rsidRPr="004F3BF3">
              <w:rPr>
                <w:lang w:eastAsia="en-GB"/>
              </w:rPr>
              <w:t xml:space="preserve">, M., </w:t>
            </w:r>
            <w:proofErr w:type="spellStart"/>
            <w:r w:rsidRPr="004F3BF3">
              <w:rPr>
                <w:lang w:eastAsia="en-GB"/>
              </w:rPr>
              <w:t>Ahonen</w:t>
            </w:r>
            <w:proofErr w:type="spellEnd"/>
            <w:r w:rsidRPr="004F3BF3">
              <w:rPr>
                <w:lang w:eastAsia="en-GB"/>
              </w:rPr>
              <w:t xml:space="preserve">, S., Kaila, M., </w:t>
            </w:r>
            <w:proofErr w:type="spellStart"/>
            <w:r w:rsidRPr="004F3BF3">
              <w:rPr>
                <w:lang w:eastAsia="en-GB"/>
              </w:rPr>
              <w:t>Haapala</w:t>
            </w:r>
            <w:proofErr w:type="spellEnd"/>
            <w:r w:rsidRPr="004F3BF3">
              <w:rPr>
                <w:lang w:eastAsia="en-GB"/>
              </w:rPr>
              <w:t xml:space="preserve">, A.M., </w:t>
            </w:r>
            <w:proofErr w:type="spellStart"/>
            <w:r w:rsidRPr="004F3BF3">
              <w:rPr>
                <w:lang w:eastAsia="en-GB"/>
              </w:rPr>
              <w:t>Kronberg-Kippilä</w:t>
            </w:r>
            <w:proofErr w:type="spellEnd"/>
            <w:r w:rsidRPr="004F3BF3">
              <w:rPr>
                <w:lang w:eastAsia="en-GB"/>
              </w:rPr>
              <w:t xml:space="preserve">, C., </w:t>
            </w:r>
            <w:proofErr w:type="spellStart"/>
            <w:r w:rsidRPr="004F3BF3">
              <w:rPr>
                <w:lang w:eastAsia="en-GB"/>
              </w:rPr>
              <w:t>Salmelin</w:t>
            </w:r>
            <w:proofErr w:type="spellEnd"/>
            <w:r w:rsidRPr="004F3BF3">
              <w:rPr>
                <w:lang w:eastAsia="en-GB"/>
              </w:rPr>
              <w:t xml:space="preserve">, R., </w:t>
            </w:r>
            <w:proofErr w:type="spellStart"/>
            <w:r w:rsidRPr="004F3BF3">
              <w:rPr>
                <w:lang w:eastAsia="en-GB"/>
              </w:rPr>
              <w:t>Veijola</w:t>
            </w:r>
            <w:proofErr w:type="spellEnd"/>
            <w:r w:rsidRPr="004F3BF3">
              <w:rPr>
                <w:lang w:eastAsia="en-GB"/>
              </w:rPr>
              <w:t xml:space="preserve">, R., Ilonen, J., </w:t>
            </w:r>
            <w:proofErr w:type="spellStart"/>
            <w:r w:rsidRPr="004F3BF3">
              <w:rPr>
                <w:lang w:eastAsia="en-GB"/>
              </w:rPr>
              <w:t>Simell</w:t>
            </w:r>
            <w:proofErr w:type="spellEnd"/>
            <w:r w:rsidRPr="004F3BF3">
              <w:rPr>
                <w:lang w:eastAsia="en-GB"/>
              </w:rPr>
              <w:t xml:space="preserve">, O. and </w:t>
            </w:r>
            <w:proofErr w:type="spellStart"/>
            <w:r w:rsidRPr="004F3BF3">
              <w:rPr>
                <w:lang w:eastAsia="en-GB"/>
              </w:rPr>
              <w:t>Knip</w:t>
            </w:r>
            <w:proofErr w:type="spellEnd"/>
            <w:r w:rsidRPr="004F3BF3">
              <w:rPr>
                <w:lang w:eastAsia="en-GB"/>
              </w:rPr>
              <w:t xml:space="preserve">, M., </w:t>
            </w:r>
            <w:r>
              <w:rPr>
                <w:lang w:eastAsia="en-GB"/>
              </w:rPr>
              <w:t>(</w:t>
            </w:r>
            <w:r w:rsidRPr="004F3BF3">
              <w:rPr>
                <w:lang w:eastAsia="en-GB"/>
              </w:rPr>
              <w:t>2010</w:t>
            </w:r>
            <w:r>
              <w:rPr>
                <w:lang w:eastAsia="en-GB"/>
              </w:rPr>
              <w:t>)</w:t>
            </w:r>
            <w:r w:rsidRPr="004F3BF3">
              <w:rPr>
                <w:lang w:eastAsia="en-GB"/>
              </w:rPr>
              <w:t xml:space="preserve">. Age at the introduction of solid foods during the first year and allergic sensitization at age 5 years. </w:t>
            </w:r>
            <w:proofErr w:type="spellStart"/>
            <w:r w:rsidRPr="004F3BF3">
              <w:rPr>
                <w:i/>
                <w:iCs/>
                <w:lang w:eastAsia="en-GB"/>
              </w:rPr>
              <w:t>Pediatrics</w:t>
            </w:r>
            <w:proofErr w:type="spellEnd"/>
            <w:r w:rsidRPr="004F3BF3">
              <w:rPr>
                <w:lang w:eastAsia="en-GB"/>
              </w:rPr>
              <w:t xml:space="preserve">, </w:t>
            </w:r>
            <w:r w:rsidRPr="004F3BF3">
              <w:rPr>
                <w:i/>
                <w:iCs/>
                <w:lang w:eastAsia="en-GB"/>
              </w:rPr>
              <w:t>125</w:t>
            </w:r>
            <w:r w:rsidRPr="004F3BF3">
              <w:rPr>
                <w:lang w:eastAsia="en-GB"/>
              </w:rPr>
              <w:t>(1), pp.50-59.</w:t>
            </w:r>
          </w:p>
          <w:p w14:paraId="78EF0AF4" w14:textId="77777777" w:rsidR="004F3BF3" w:rsidRPr="004F3BF3" w:rsidRDefault="004F3BF3" w:rsidP="004F3BF3">
            <w:pPr>
              <w:rPr>
                <w:lang w:eastAsia="en-GB"/>
              </w:rPr>
            </w:pPr>
            <w:r w:rsidRPr="004F3BF3">
              <w:rPr>
                <w:lang w:eastAsia="en-GB"/>
              </w:rPr>
              <w:t xml:space="preserve">Nicklas, T.A., Qu, H., Hughes, S.O., He, M., Wagner, S.E., </w:t>
            </w:r>
            <w:proofErr w:type="spellStart"/>
            <w:r w:rsidRPr="004F3BF3">
              <w:rPr>
                <w:lang w:eastAsia="en-GB"/>
              </w:rPr>
              <w:t>Foushee</w:t>
            </w:r>
            <w:proofErr w:type="spellEnd"/>
            <w:r w:rsidRPr="004F3BF3">
              <w:rPr>
                <w:lang w:eastAsia="en-GB"/>
              </w:rPr>
              <w:t xml:space="preserve">, H.R. and Shewchuk, R.M., </w:t>
            </w:r>
            <w:r>
              <w:rPr>
                <w:lang w:eastAsia="en-GB"/>
              </w:rPr>
              <w:t>(</w:t>
            </w:r>
            <w:r w:rsidRPr="004F3BF3">
              <w:rPr>
                <w:lang w:eastAsia="en-GB"/>
              </w:rPr>
              <w:t>2011</w:t>
            </w:r>
            <w:r>
              <w:rPr>
                <w:lang w:eastAsia="en-GB"/>
              </w:rPr>
              <w:t>)</w:t>
            </w:r>
            <w:r w:rsidRPr="004F3BF3">
              <w:rPr>
                <w:lang w:eastAsia="en-GB"/>
              </w:rPr>
              <w:t xml:space="preserve">. Self-perceived lactose intolerance results in lower intakes of calcium and dairy foods and is associated with hypertension and diabetes in adults. </w:t>
            </w:r>
            <w:r w:rsidRPr="004F3BF3">
              <w:rPr>
                <w:i/>
                <w:iCs/>
                <w:lang w:eastAsia="en-GB"/>
              </w:rPr>
              <w:t>The American journal of clinical nutrition</w:t>
            </w:r>
            <w:r w:rsidRPr="004F3BF3">
              <w:rPr>
                <w:lang w:eastAsia="en-GB"/>
              </w:rPr>
              <w:t xml:space="preserve">, </w:t>
            </w:r>
            <w:r w:rsidRPr="004F3BF3">
              <w:rPr>
                <w:i/>
                <w:iCs/>
                <w:lang w:eastAsia="en-GB"/>
              </w:rPr>
              <w:t>94</w:t>
            </w:r>
            <w:r w:rsidRPr="004F3BF3">
              <w:rPr>
                <w:lang w:eastAsia="en-GB"/>
              </w:rPr>
              <w:t>(1), pp.191-198.</w:t>
            </w:r>
          </w:p>
          <w:p w14:paraId="05843924" w14:textId="77777777" w:rsidR="004F3BF3" w:rsidRDefault="004F3BF3" w:rsidP="0007387E">
            <w:pPr>
              <w:rPr>
                <w:lang w:eastAsia="en-GB"/>
              </w:rPr>
            </w:pPr>
            <w:r w:rsidRPr="004F3BF3">
              <w:rPr>
                <w:lang w:eastAsia="en-GB"/>
              </w:rPr>
              <w:t xml:space="preserve">Keith, J.N., Nicholls, J., Reed, A. and </w:t>
            </w:r>
            <w:proofErr w:type="spellStart"/>
            <w:r w:rsidRPr="004F3BF3">
              <w:rPr>
                <w:lang w:eastAsia="en-GB"/>
              </w:rPr>
              <w:t>Kafer</w:t>
            </w:r>
            <w:proofErr w:type="spellEnd"/>
            <w:r w:rsidRPr="004F3BF3">
              <w:rPr>
                <w:lang w:eastAsia="en-GB"/>
              </w:rPr>
              <w:t xml:space="preserve">, K., </w:t>
            </w:r>
            <w:r>
              <w:rPr>
                <w:lang w:eastAsia="en-GB"/>
              </w:rPr>
              <w:t>(</w:t>
            </w:r>
            <w:r w:rsidRPr="004F3BF3">
              <w:rPr>
                <w:lang w:eastAsia="en-GB"/>
              </w:rPr>
              <w:t>2011</w:t>
            </w:r>
            <w:r>
              <w:rPr>
                <w:lang w:eastAsia="en-GB"/>
              </w:rPr>
              <w:t>)</w:t>
            </w:r>
            <w:r w:rsidRPr="004F3BF3">
              <w:rPr>
                <w:lang w:eastAsia="en-GB"/>
              </w:rPr>
              <w:t xml:space="preserve">. The prevalence of self-reported lactose intolerance and the consumption of dairy foods among African American adults are less than expected. </w:t>
            </w:r>
            <w:r w:rsidRPr="004F3BF3">
              <w:rPr>
                <w:i/>
                <w:iCs/>
                <w:lang w:eastAsia="en-GB"/>
              </w:rPr>
              <w:t>Journal of the National Medical Association</w:t>
            </w:r>
            <w:r w:rsidRPr="004F3BF3">
              <w:rPr>
                <w:lang w:eastAsia="en-GB"/>
              </w:rPr>
              <w:t xml:space="preserve">, </w:t>
            </w:r>
            <w:r w:rsidRPr="004F3BF3">
              <w:rPr>
                <w:i/>
                <w:iCs/>
                <w:lang w:eastAsia="en-GB"/>
              </w:rPr>
              <w:t>103</w:t>
            </w:r>
            <w:r w:rsidRPr="004F3BF3">
              <w:rPr>
                <w:lang w:eastAsia="en-GB"/>
              </w:rPr>
              <w:t>(1), pp.36-45.</w:t>
            </w:r>
          </w:p>
        </w:tc>
      </w:tr>
    </w:tbl>
    <w:p w14:paraId="1A6F8F28" w14:textId="77777777" w:rsidR="00686714" w:rsidRDefault="00686714" w:rsidP="00686714"/>
    <w:p w14:paraId="44D3B4BE" w14:textId="77777777" w:rsidR="00686714" w:rsidRDefault="00686714" w:rsidP="00686714"/>
    <w:p w14:paraId="08C9B43E" w14:textId="77777777" w:rsidR="00686714" w:rsidRDefault="00686714"/>
    <w:p w14:paraId="3D14727C" w14:textId="77777777" w:rsidR="00686714" w:rsidRDefault="00686714"/>
    <w:sectPr w:rsidR="00686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FE7"/>
    <w:rsid w:val="000E6E70"/>
    <w:rsid w:val="001B482C"/>
    <w:rsid w:val="0020001A"/>
    <w:rsid w:val="0027678F"/>
    <w:rsid w:val="002B466B"/>
    <w:rsid w:val="002D35DA"/>
    <w:rsid w:val="00314ED9"/>
    <w:rsid w:val="003C25DB"/>
    <w:rsid w:val="003C53B8"/>
    <w:rsid w:val="003D32D5"/>
    <w:rsid w:val="003E7690"/>
    <w:rsid w:val="003F4E1F"/>
    <w:rsid w:val="00412F0E"/>
    <w:rsid w:val="00415A10"/>
    <w:rsid w:val="00425DB4"/>
    <w:rsid w:val="004754B4"/>
    <w:rsid w:val="00492C85"/>
    <w:rsid w:val="004F3BF3"/>
    <w:rsid w:val="004F5954"/>
    <w:rsid w:val="004F59B3"/>
    <w:rsid w:val="00501B1A"/>
    <w:rsid w:val="005056C2"/>
    <w:rsid w:val="00513434"/>
    <w:rsid w:val="00522994"/>
    <w:rsid w:val="00542369"/>
    <w:rsid w:val="00581FE7"/>
    <w:rsid w:val="005B7C3F"/>
    <w:rsid w:val="005D5B21"/>
    <w:rsid w:val="005F1C92"/>
    <w:rsid w:val="005F3D8B"/>
    <w:rsid w:val="006430C3"/>
    <w:rsid w:val="006506A8"/>
    <w:rsid w:val="00686714"/>
    <w:rsid w:val="00687FFA"/>
    <w:rsid w:val="006971C5"/>
    <w:rsid w:val="006A7920"/>
    <w:rsid w:val="007103F0"/>
    <w:rsid w:val="00717FAD"/>
    <w:rsid w:val="00724AF0"/>
    <w:rsid w:val="00733B94"/>
    <w:rsid w:val="00747DFA"/>
    <w:rsid w:val="00792CB5"/>
    <w:rsid w:val="00797739"/>
    <w:rsid w:val="007D31E0"/>
    <w:rsid w:val="00825E01"/>
    <w:rsid w:val="00871DB7"/>
    <w:rsid w:val="008B262A"/>
    <w:rsid w:val="008B4FF4"/>
    <w:rsid w:val="008B61FD"/>
    <w:rsid w:val="008B620B"/>
    <w:rsid w:val="008D3C21"/>
    <w:rsid w:val="008E1FEF"/>
    <w:rsid w:val="00924A8D"/>
    <w:rsid w:val="00973E98"/>
    <w:rsid w:val="009C433C"/>
    <w:rsid w:val="009C7EAA"/>
    <w:rsid w:val="00A80374"/>
    <w:rsid w:val="00A93ACD"/>
    <w:rsid w:val="00B20BDF"/>
    <w:rsid w:val="00B25BBE"/>
    <w:rsid w:val="00B844AE"/>
    <w:rsid w:val="00BD1CD6"/>
    <w:rsid w:val="00BE06DD"/>
    <w:rsid w:val="00C12DF6"/>
    <w:rsid w:val="00C22A94"/>
    <w:rsid w:val="00CA57DC"/>
    <w:rsid w:val="00CB4771"/>
    <w:rsid w:val="00CD4B83"/>
    <w:rsid w:val="00D31B48"/>
    <w:rsid w:val="00D54F75"/>
    <w:rsid w:val="00D56E49"/>
    <w:rsid w:val="00D67496"/>
    <w:rsid w:val="00D73855"/>
    <w:rsid w:val="00DE0B2A"/>
    <w:rsid w:val="00E00564"/>
    <w:rsid w:val="00E73567"/>
    <w:rsid w:val="00E96FA0"/>
    <w:rsid w:val="00EF7927"/>
    <w:rsid w:val="00F30DDB"/>
    <w:rsid w:val="00F363C8"/>
    <w:rsid w:val="00F81669"/>
    <w:rsid w:val="00FA1C70"/>
    <w:rsid w:val="00FD2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27ED2"/>
  <w15:chartTrackingRefBased/>
  <w15:docId w15:val="{0E43C4E9-BAAC-44D8-87A4-26F7708C9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771"/>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4E1F"/>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3F4E1F"/>
    <w:rPr>
      <w:b/>
      <w:bCs/>
    </w:rPr>
  </w:style>
  <w:style w:type="character" w:styleId="Hyperlink">
    <w:name w:val="Hyperlink"/>
    <w:basedOn w:val="DefaultParagraphFont"/>
    <w:uiPriority w:val="99"/>
    <w:semiHidden/>
    <w:unhideWhenUsed/>
    <w:rsid w:val="003F4E1F"/>
    <w:rPr>
      <w:color w:val="0000FF"/>
      <w:u w:val="single"/>
    </w:rPr>
  </w:style>
  <w:style w:type="character" w:customStyle="1" w:styleId="mw-headline">
    <w:name w:val="mw-headline"/>
    <w:basedOn w:val="DefaultParagraphFont"/>
    <w:rsid w:val="00686714"/>
  </w:style>
  <w:style w:type="table" w:styleId="TableGrid">
    <w:name w:val="Table Grid"/>
    <w:basedOn w:val="TableNormal"/>
    <w:uiPriority w:val="39"/>
    <w:rsid w:val="0068671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0E6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75739">
      <w:bodyDiv w:val="1"/>
      <w:marLeft w:val="0"/>
      <w:marRight w:val="0"/>
      <w:marTop w:val="0"/>
      <w:marBottom w:val="0"/>
      <w:divBdr>
        <w:top w:val="none" w:sz="0" w:space="0" w:color="auto"/>
        <w:left w:val="none" w:sz="0" w:space="0" w:color="auto"/>
        <w:bottom w:val="none" w:sz="0" w:space="0" w:color="auto"/>
        <w:right w:val="none" w:sz="0" w:space="0" w:color="auto"/>
      </w:divBdr>
      <w:divsChild>
        <w:div w:id="1765610197">
          <w:marLeft w:val="0"/>
          <w:marRight w:val="0"/>
          <w:marTop w:val="0"/>
          <w:marBottom w:val="0"/>
          <w:divBdr>
            <w:top w:val="none" w:sz="0" w:space="0" w:color="auto"/>
            <w:left w:val="none" w:sz="0" w:space="0" w:color="auto"/>
            <w:bottom w:val="none" w:sz="0" w:space="0" w:color="auto"/>
            <w:right w:val="none" w:sz="0" w:space="0" w:color="auto"/>
          </w:divBdr>
        </w:div>
      </w:divsChild>
    </w:div>
    <w:div w:id="172303684">
      <w:bodyDiv w:val="1"/>
      <w:marLeft w:val="0"/>
      <w:marRight w:val="0"/>
      <w:marTop w:val="0"/>
      <w:marBottom w:val="0"/>
      <w:divBdr>
        <w:top w:val="none" w:sz="0" w:space="0" w:color="auto"/>
        <w:left w:val="none" w:sz="0" w:space="0" w:color="auto"/>
        <w:bottom w:val="none" w:sz="0" w:space="0" w:color="auto"/>
        <w:right w:val="none" w:sz="0" w:space="0" w:color="auto"/>
      </w:divBdr>
      <w:divsChild>
        <w:div w:id="843935875">
          <w:marLeft w:val="0"/>
          <w:marRight w:val="0"/>
          <w:marTop w:val="0"/>
          <w:marBottom w:val="0"/>
          <w:divBdr>
            <w:top w:val="none" w:sz="0" w:space="0" w:color="auto"/>
            <w:left w:val="none" w:sz="0" w:space="0" w:color="auto"/>
            <w:bottom w:val="none" w:sz="0" w:space="0" w:color="auto"/>
            <w:right w:val="none" w:sz="0" w:space="0" w:color="auto"/>
          </w:divBdr>
        </w:div>
      </w:divsChild>
    </w:div>
    <w:div w:id="271598690">
      <w:bodyDiv w:val="1"/>
      <w:marLeft w:val="0"/>
      <w:marRight w:val="0"/>
      <w:marTop w:val="0"/>
      <w:marBottom w:val="0"/>
      <w:divBdr>
        <w:top w:val="none" w:sz="0" w:space="0" w:color="auto"/>
        <w:left w:val="none" w:sz="0" w:space="0" w:color="auto"/>
        <w:bottom w:val="none" w:sz="0" w:space="0" w:color="auto"/>
        <w:right w:val="none" w:sz="0" w:space="0" w:color="auto"/>
      </w:divBdr>
    </w:div>
    <w:div w:id="457724030">
      <w:bodyDiv w:val="1"/>
      <w:marLeft w:val="0"/>
      <w:marRight w:val="0"/>
      <w:marTop w:val="0"/>
      <w:marBottom w:val="0"/>
      <w:divBdr>
        <w:top w:val="none" w:sz="0" w:space="0" w:color="auto"/>
        <w:left w:val="none" w:sz="0" w:space="0" w:color="auto"/>
        <w:bottom w:val="none" w:sz="0" w:space="0" w:color="auto"/>
        <w:right w:val="none" w:sz="0" w:space="0" w:color="auto"/>
      </w:divBdr>
      <w:divsChild>
        <w:div w:id="1653481658">
          <w:marLeft w:val="0"/>
          <w:marRight w:val="0"/>
          <w:marTop w:val="0"/>
          <w:marBottom w:val="0"/>
          <w:divBdr>
            <w:top w:val="none" w:sz="0" w:space="0" w:color="auto"/>
            <w:left w:val="none" w:sz="0" w:space="0" w:color="auto"/>
            <w:bottom w:val="none" w:sz="0" w:space="0" w:color="auto"/>
            <w:right w:val="none" w:sz="0" w:space="0" w:color="auto"/>
          </w:divBdr>
        </w:div>
      </w:divsChild>
    </w:div>
    <w:div w:id="773594611">
      <w:bodyDiv w:val="1"/>
      <w:marLeft w:val="0"/>
      <w:marRight w:val="0"/>
      <w:marTop w:val="0"/>
      <w:marBottom w:val="0"/>
      <w:divBdr>
        <w:top w:val="none" w:sz="0" w:space="0" w:color="auto"/>
        <w:left w:val="none" w:sz="0" w:space="0" w:color="auto"/>
        <w:bottom w:val="none" w:sz="0" w:space="0" w:color="auto"/>
        <w:right w:val="none" w:sz="0" w:space="0" w:color="auto"/>
      </w:divBdr>
    </w:div>
    <w:div w:id="881214798">
      <w:bodyDiv w:val="1"/>
      <w:marLeft w:val="0"/>
      <w:marRight w:val="0"/>
      <w:marTop w:val="0"/>
      <w:marBottom w:val="0"/>
      <w:divBdr>
        <w:top w:val="none" w:sz="0" w:space="0" w:color="auto"/>
        <w:left w:val="none" w:sz="0" w:space="0" w:color="auto"/>
        <w:bottom w:val="none" w:sz="0" w:space="0" w:color="auto"/>
        <w:right w:val="none" w:sz="0" w:space="0" w:color="auto"/>
      </w:divBdr>
    </w:div>
    <w:div w:id="1392076711">
      <w:bodyDiv w:val="1"/>
      <w:marLeft w:val="0"/>
      <w:marRight w:val="0"/>
      <w:marTop w:val="0"/>
      <w:marBottom w:val="0"/>
      <w:divBdr>
        <w:top w:val="none" w:sz="0" w:space="0" w:color="auto"/>
        <w:left w:val="none" w:sz="0" w:space="0" w:color="auto"/>
        <w:bottom w:val="none" w:sz="0" w:space="0" w:color="auto"/>
        <w:right w:val="none" w:sz="0" w:space="0" w:color="auto"/>
      </w:divBdr>
      <w:divsChild>
        <w:div w:id="1218591250">
          <w:marLeft w:val="0"/>
          <w:marRight w:val="0"/>
          <w:marTop w:val="0"/>
          <w:marBottom w:val="0"/>
          <w:divBdr>
            <w:top w:val="none" w:sz="0" w:space="0" w:color="auto"/>
            <w:left w:val="none" w:sz="0" w:space="0" w:color="auto"/>
            <w:bottom w:val="none" w:sz="0" w:space="0" w:color="auto"/>
            <w:right w:val="none" w:sz="0" w:space="0" w:color="auto"/>
          </w:divBdr>
        </w:div>
      </w:divsChild>
    </w:div>
    <w:div w:id="160807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Romeo Marinel Popescu (1922487)</cp:lastModifiedBy>
  <cp:revision>2</cp:revision>
  <dcterms:created xsi:type="dcterms:W3CDTF">2021-10-19T12:11:00Z</dcterms:created>
  <dcterms:modified xsi:type="dcterms:W3CDTF">2021-10-19T12:11:00Z</dcterms:modified>
</cp:coreProperties>
</file>