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17254" w14:textId="51407095" w:rsidR="00691EAE" w:rsidRDefault="00783A31" w:rsidP="00783A31">
      <w:pPr>
        <w:jc w:val="center"/>
      </w:pPr>
      <w:r>
        <w:rPr>
          <w:noProof/>
        </w:rPr>
        <w:drawing>
          <wp:inline distT="0" distB="0" distL="0" distR="0" wp14:anchorId="56341FA9" wp14:editId="28AF76C1">
            <wp:extent cx="1809750" cy="723900"/>
            <wp:effectExtent l="0" t="0" r="0" b="0"/>
            <wp:docPr id="308" name="Picture 308"/>
            <wp:cNvGraphicFramePr/>
            <a:graphic xmlns:a="http://schemas.openxmlformats.org/drawingml/2006/main">
              <a:graphicData uri="http://schemas.openxmlformats.org/drawingml/2006/picture">
                <pic:pic xmlns:pic="http://schemas.openxmlformats.org/drawingml/2006/picture">
                  <pic:nvPicPr>
                    <pic:cNvPr id="308" name="Picture 308"/>
                    <pic:cNvPicPr/>
                  </pic:nvPicPr>
                  <pic:blipFill>
                    <a:blip r:embed="rId8"/>
                    <a:stretch>
                      <a:fillRect/>
                    </a:stretch>
                  </pic:blipFill>
                  <pic:spPr>
                    <a:xfrm>
                      <a:off x="0" y="0"/>
                      <a:ext cx="1809750" cy="723900"/>
                    </a:xfrm>
                    <a:prstGeom prst="rect">
                      <a:avLst/>
                    </a:prstGeom>
                  </pic:spPr>
                </pic:pic>
              </a:graphicData>
            </a:graphic>
          </wp:inline>
        </w:drawing>
      </w:r>
    </w:p>
    <w:p w14:paraId="5DFEFBC2" w14:textId="77777777" w:rsidR="008367A1" w:rsidRPr="00B461EE" w:rsidRDefault="008367A1" w:rsidP="00BC7FCB">
      <w:pPr>
        <w:rPr>
          <w:rFonts w:ascii="Arial" w:hAnsi="Arial" w:cs="Arial"/>
          <w:b/>
          <w:sz w:val="32"/>
          <w:szCs w:val="32"/>
        </w:rPr>
      </w:pPr>
    </w:p>
    <w:p w14:paraId="3849BF91" w14:textId="77777777" w:rsidR="00783A31" w:rsidRPr="00B461EE" w:rsidRDefault="00783A31" w:rsidP="00B461EE">
      <w:pPr>
        <w:jc w:val="center"/>
        <w:rPr>
          <w:rFonts w:ascii="Arial" w:hAnsi="Arial" w:cs="Arial"/>
          <w:b/>
          <w:sz w:val="32"/>
          <w:szCs w:val="32"/>
        </w:rPr>
      </w:pPr>
    </w:p>
    <w:p w14:paraId="1E861AAC" w14:textId="6DBCC97C" w:rsidR="00783A31" w:rsidRPr="00B461EE" w:rsidRDefault="00783A31" w:rsidP="00B461EE">
      <w:pPr>
        <w:spacing w:line="240" w:lineRule="auto"/>
        <w:jc w:val="center"/>
        <w:rPr>
          <w:rFonts w:ascii="Arial" w:hAnsi="Arial" w:cs="Arial"/>
          <w:b/>
          <w:bCs/>
          <w:sz w:val="32"/>
          <w:szCs w:val="32"/>
        </w:rPr>
      </w:pPr>
      <w:r w:rsidRPr="00B461EE">
        <w:rPr>
          <w:rFonts w:ascii="Arial" w:hAnsi="Arial" w:cs="Arial"/>
          <w:b/>
          <w:bCs/>
          <w:sz w:val="32"/>
          <w:szCs w:val="32"/>
        </w:rPr>
        <w:t>Community Engagement Assignment 2 – Reflective</w:t>
      </w:r>
    </w:p>
    <w:p w14:paraId="180007F9" w14:textId="1A0D219D" w:rsidR="00783A31" w:rsidRDefault="00783A31" w:rsidP="00B461EE">
      <w:pPr>
        <w:jc w:val="center"/>
        <w:rPr>
          <w:rFonts w:ascii="Arial" w:hAnsi="Arial" w:cs="Arial"/>
          <w:b/>
          <w:sz w:val="32"/>
          <w:szCs w:val="32"/>
        </w:rPr>
      </w:pPr>
      <w:r w:rsidRPr="00B461EE">
        <w:rPr>
          <w:rFonts w:ascii="Arial" w:hAnsi="Arial" w:cs="Arial"/>
          <w:b/>
          <w:sz w:val="32"/>
          <w:szCs w:val="32"/>
        </w:rPr>
        <w:t>Report</w:t>
      </w:r>
    </w:p>
    <w:p w14:paraId="04CF393D" w14:textId="4F190D7E" w:rsidR="008367A1" w:rsidRDefault="008367A1" w:rsidP="00B461EE">
      <w:pPr>
        <w:jc w:val="center"/>
        <w:rPr>
          <w:rFonts w:ascii="Arial" w:hAnsi="Arial" w:cs="Arial"/>
          <w:b/>
          <w:sz w:val="32"/>
          <w:szCs w:val="32"/>
        </w:rPr>
      </w:pPr>
    </w:p>
    <w:p w14:paraId="0F277E0F" w14:textId="791BAC69" w:rsidR="008436C1" w:rsidRDefault="008436C1" w:rsidP="00B461EE">
      <w:pPr>
        <w:jc w:val="center"/>
        <w:rPr>
          <w:rFonts w:ascii="Arial" w:hAnsi="Arial" w:cs="Arial"/>
          <w:b/>
          <w:sz w:val="32"/>
          <w:szCs w:val="32"/>
        </w:rPr>
      </w:pPr>
    </w:p>
    <w:p w14:paraId="35B2235E" w14:textId="0E03A44B" w:rsidR="008436C1" w:rsidRDefault="008436C1" w:rsidP="00B461EE">
      <w:pPr>
        <w:jc w:val="center"/>
        <w:rPr>
          <w:rFonts w:ascii="Arial" w:hAnsi="Arial" w:cs="Arial"/>
          <w:b/>
          <w:sz w:val="32"/>
          <w:szCs w:val="32"/>
        </w:rPr>
      </w:pPr>
    </w:p>
    <w:p w14:paraId="3CC28E3D" w14:textId="0ED78E75" w:rsidR="008436C1" w:rsidRDefault="008436C1" w:rsidP="00B461EE">
      <w:pPr>
        <w:jc w:val="center"/>
        <w:rPr>
          <w:rFonts w:ascii="Arial" w:hAnsi="Arial" w:cs="Arial"/>
          <w:b/>
          <w:sz w:val="32"/>
          <w:szCs w:val="32"/>
        </w:rPr>
      </w:pPr>
    </w:p>
    <w:p w14:paraId="13F3F0AC" w14:textId="1064C144" w:rsidR="008436C1" w:rsidRDefault="008436C1" w:rsidP="00B461EE">
      <w:pPr>
        <w:jc w:val="center"/>
        <w:rPr>
          <w:rFonts w:ascii="Arial" w:hAnsi="Arial" w:cs="Arial"/>
          <w:b/>
          <w:sz w:val="32"/>
          <w:szCs w:val="32"/>
        </w:rPr>
      </w:pPr>
    </w:p>
    <w:p w14:paraId="04570BD3" w14:textId="3E7050A3" w:rsidR="008436C1" w:rsidRDefault="008436C1" w:rsidP="008436C1">
      <w:pPr>
        <w:rPr>
          <w:rFonts w:ascii="Arial" w:hAnsi="Arial" w:cs="Arial"/>
          <w:b/>
          <w:sz w:val="32"/>
          <w:szCs w:val="32"/>
        </w:rPr>
      </w:pPr>
      <w:r>
        <w:rPr>
          <w:rFonts w:ascii="Arial" w:hAnsi="Arial" w:cs="Arial"/>
          <w:b/>
          <w:sz w:val="32"/>
          <w:szCs w:val="32"/>
        </w:rPr>
        <w:t>Student name: Cristina-Valentina Solomon</w:t>
      </w:r>
    </w:p>
    <w:p w14:paraId="75D26536" w14:textId="5FBCF406" w:rsidR="008436C1" w:rsidRDefault="008436C1" w:rsidP="008436C1">
      <w:pPr>
        <w:rPr>
          <w:rFonts w:ascii="Arial" w:hAnsi="Arial" w:cs="Arial"/>
          <w:b/>
          <w:sz w:val="32"/>
          <w:szCs w:val="32"/>
        </w:rPr>
      </w:pPr>
      <w:r>
        <w:rPr>
          <w:rFonts w:ascii="Arial" w:hAnsi="Arial" w:cs="Arial"/>
          <w:b/>
          <w:sz w:val="32"/>
          <w:szCs w:val="32"/>
        </w:rPr>
        <w:t>Student ID number: 2025748</w:t>
      </w:r>
    </w:p>
    <w:p w14:paraId="738116B7" w14:textId="5D521CFC" w:rsidR="008436C1" w:rsidRDefault="008436C1" w:rsidP="008436C1">
      <w:pPr>
        <w:rPr>
          <w:rFonts w:ascii="Arial" w:hAnsi="Arial" w:cs="Arial"/>
          <w:b/>
          <w:sz w:val="32"/>
          <w:szCs w:val="32"/>
        </w:rPr>
      </w:pPr>
      <w:r>
        <w:rPr>
          <w:rFonts w:ascii="Arial" w:hAnsi="Arial" w:cs="Arial"/>
          <w:b/>
          <w:sz w:val="32"/>
          <w:szCs w:val="32"/>
        </w:rPr>
        <w:t>Module name and code: Community Engagement (LCBB4002)</w:t>
      </w:r>
    </w:p>
    <w:p w14:paraId="322EE63C" w14:textId="4FC52015" w:rsidR="008436C1" w:rsidRDefault="008436C1" w:rsidP="008436C1">
      <w:pPr>
        <w:rPr>
          <w:rFonts w:ascii="Arial" w:hAnsi="Arial" w:cs="Arial"/>
          <w:b/>
          <w:sz w:val="32"/>
          <w:szCs w:val="32"/>
        </w:rPr>
      </w:pPr>
      <w:r>
        <w:rPr>
          <w:rFonts w:ascii="Arial" w:hAnsi="Arial" w:cs="Arial"/>
          <w:b/>
          <w:sz w:val="32"/>
          <w:szCs w:val="32"/>
        </w:rPr>
        <w:t>Lecturer: Dr Olu Adegbite</w:t>
      </w:r>
    </w:p>
    <w:p w14:paraId="6C642C76" w14:textId="77777777" w:rsidR="008436C1" w:rsidRPr="00B461EE" w:rsidRDefault="008436C1" w:rsidP="008436C1">
      <w:pPr>
        <w:rPr>
          <w:rFonts w:ascii="Arial" w:hAnsi="Arial" w:cs="Arial"/>
          <w:b/>
          <w:sz w:val="32"/>
          <w:szCs w:val="32"/>
        </w:rPr>
      </w:pPr>
    </w:p>
    <w:p w14:paraId="45D57BCB" w14:textId="38A915D3" w:rsidR="00783A31" w:rsidRPr="00B461EE" w:rsidRDefault="00783A31" w:rsidP="008436C1">
      <w:pPr>
        <w:rPr>
          <w:rFonts w:ascii="Arial" w:hAnsi="Arial" w:cs="Arial"/>
          <w:b/>
          <w:bCs/>
          <w:sz w:val="32"/>
          <w:szCs w:val="32"/>
        </w:rPr>
      </w:pPr>
    </w:p>
    <w:p w14:paraId="49B70F60" w14:textId="77777777" w:rsidR="00783A31" w:rsidRPr="00B461EE" w:rsidRDefault="00783A31" w:rsidP="008436C1">
      <w:pPr>
        <w:rPr>
          <w:rFonts w:ascii="Arial" w:hAnsi="Arial" w:cs="Arial"/>
          <w:b/>
          <w:bCs/>
          <w:sz w:val="32"/>
          <w:szCs w:val="32"/>
        </w:rPr>
      </w:pPr>
    </w:p>
    <w:p w14:paraId="0AD09B1A" w14:textId="1CAD0F8F" w:rsidR="00540688" w:rsidRDefault="00540688">
      <w:pPr>
        <w:rPr>
          <w:rFonts w:ascii="Arial" w:hAnsi="Arial" w:cs="Arial"/>
          <w:b/>
          <w:bCs/>
          <w:sz w:val="32"/>
          <w:szCs w:val="32"/>
        </w:rPr>
      </w:pPr>
    </w:p>
    <w:sdt>
      <w:sdtPr>
        <w:rPr>
          <w:rFonts w:ascii="Arial" w:eastAsiaTheme="minorHAnsi" w:hAnsi="Arial" w:cs="Arial"/>
          <w:color w:val="auto"/>
          <w:sz w:val="24"/>
          <w:szCs w:val="24"/>
          <w:lang w:val="en-GB"/>
        </w:rPr>
        <w:id w:val="-267474208"/>
        <w:docPartObj>
          <w:docPartGallery w:val="Table of Contents"/>
          <w:docPartUnique/>
        </w:docPartObj>
      </w:sdtPr>
      <w:sdtEndPr>
        <w:rPr>
          <w:rFonts w:ascii="Times New Roman" w:hAnsi="Times New Roman" w:cs="Times New Roman"/>
          <w:b/>
          <w:bCs/>
          <w:noProof/>
        </w:rPr>
      </w:sdtEndPr>
      <w:sdtContent>
        <w:p w14:paraId="3C841D52" w14:textId="585E7749" w:rsidR="00540688" w:rsidRPr="00BC7FCB" w:rsidRDefault="00540688" w:rsidP="009E2794">
          <w:pPr>
            <w:pStyle w:val="TOCHeading"/>
            <w:jc w:val="center"/>
            <w:rPr>
              <w:rFonts w:ascii="Arial" w:hAnsi="Arial" w:cs="Arial"/>
            </w:rPr>
          </w:pPr>
          <w:r w:rsidRPr="00BC7FCB">
            <w:rPr>
              <w:rFonts w:ascii="Arial" w:hAnsi="Arial" w:cs="Arial"/>
            </w:rPr>
            <w:t>Contents</w:t>
          </w:r>
        </w:p>
        <w:p w14:paraId="3FFC207F" w14:textId="64D4F63B" w:rsidR="009E2794" w:rsidRDefault="00540688">
          <w:pPr>
            <w:pStyle w:val="TOC1"/>
            <w:tabs>
              <w:tab w:val="right" w:leader="dot" w:pos="9350"/>
            </w:tabs>
            <w:rPr>
              <w:noProof/>
            </w:rPr>
          </w:pPr>
          <w:r>
            <w:fldChar w:fldCharType="begin"/>
          </w:r>
          <w:r>
            <w:instrText xml:space="preserve"> TOC \o "1-3" \h \z \u </w:instrText>
          </w:r>
          <w:r>
            <w:fldChar w:fldCharType="separate"/>
          </w:r>
          <w:hyperlink w:anchor="_Toc88431441" w:history="1">
            <w:r w:rsidR="009E2794" w:rsidRPr="000D5978">
              <w:rPr>
                <w:rStyle w:val="Hyperlink"/>
                <w:rFonts w:ascii="Arial" w:hAnsi="Arial" w:cs="Arial"/>
                <w:noProof/>
              </w:rPr>
              <w:t>Introduction</w:t>
            </w:r>
            <w:r w:rsidR="009E2794">
              <w:rPr>
                <w:noProof/>
                <w:webHidden/>
              </w:rPr>
              <w:tab/>
            </w:r>
            <w:r w:rsidR="009E2794">
              <w:rPr>
                <w:noProof/>
                <w:webHidden/>
              </w:rPr>
              <w:fldChar w:fldCharType="begin"/>
            </w:r>
            <w:r w:rsidR="009E2794">
              <w:rPr>
                <w:noProof/>
                <w:webHidden/>
              </w:rPr>
              <w:instrText xml:space="preserve"> PAGEREF _Toc88431441 \h </w:instrText>
            </w:r>
            <w:r w:rsidR="009E2794">
              <w:rPr>
                <w:noProof/>
                <w:webHidden/>
              </w:rPr>
            </w:r>
            <w:r w:rsidR="009E2794">
              <w:rPr>
                <w:noProof/>
                <w:webHidden/>
              </w:rPr>
              <w:fldChar w:fldCharType="separate"/>
            </w:r>
            <w:r w:rsidR="009E2794">
              <w:rPr>
                <w:noProof/>
                <w:webHidden/>
              </w:rPr>
              <w:t>3</w:t>
            </w:r>
            <w:r w:rsidR="009E2794">
              <w:rPr>
                <w:noProof/>
                <w:webHidden/>
              </w:rPr>
              <w:fldChar w:fldCharType="end"/>
            </w:r>
          </w:hyperlink>
        </w:p>
        <w:p w14:paraId="46778DD0" w14:textId="7A17A0D1" w:rsidR="009E2794" w:rsidRDefault="000779C0">
          <w:pPr>
            <w:pStyle w:val="TOC1"/>
            <w:tabs>
              <w:tab w:val="right" w:leader="dot" w:pos="9350"/>
            </w:tabs>
            <w:rPr>
              <w:noProof/>
            </w:rPr>
          </w:pPr>
          <w:hyperlink w:anchor="_Toc88431442" w:history="1">
            <w:r w:rsidR="009E2794" w:rsidRPr="000D5978">
              <w:rPr>
                <w:rStyle w:val="Hyperlink"/>
                <w:rFonts w:ascii="Arial" w:hAnsi="Arial" w:cs="Arial"/>
                <w:noProof/>
              </w:rPr>
              <w:t>Reflection</w:t>
            </w:r>
            <w:r w:rsidR="009E2794">
              <w:rPr>
                <w:noProof/>
                <w:webHidden/>
              </w:rPr>
              <w:tab/>
            </w:r>
            <w:r w:rsidR="009E2794">
              <w:rPr>
                <w:noProof/>
                <w:webHidden/>
              </w:rPr>
              <w:fldChar w:fldCharType="begin"/>
            </w:r>
            <w:r w:rsidR="009E2794">
              <w:rPr>
                <w:noProof/>
                <w:webHidden/>
              </w:rPr>
              <w:instrText xml:space="preserve"> PAGEREF _Toc88431442 \h </w:instrText>
            </w:r>
            <w:r w:rsidR="009E2794">
              <w:rPr>
                <w:noProof/>
                <w:webHidden/>
              </w:rPr>
            </w:r>
            <w:r w:rsidR="009E2794">
              <w:rPr>
                <w:noProof/>
                <w:webHidden/>
              </w:rPr>
              <w:fldChar w:fldCharType="separate"/>
            </w:r>
            <w:r w:rsidR="009E2794">
              <w:rPr>
                <w:noProof/>
                <w:webHidden/>
              </w:rPr>
              <w:t>4</w:t>
            </w:r>
            <w:r w:rsidR="009E2794">
              <w:rPr>
                <w:noProof/>
                <w:webHidden/>
              </w:rPr>
              <w:fldChar w:fldCharType="end"/>
            </w:r>
          </w:hyperlink>
        </w:p>
        <w:p w14:paraId="7388510E" w14:textId="5B1346A7" w:rsidR="009E2794" w:rsidRDefault="000779C0">
          <w:pPr>
            <w:pStyle w:val="TOC1"/>
            <w:tabs>
              <w:tab w:val="right" w:leader="dot" w:pos="9350"/>
            </w:tabs>
            <w:rPr>
              <w:noProof/>
            </w:rPr>
          </w:pPr>
          <w:hyperlink w:anchor="_Toc88431443" w:history="1">
            <w:r w:rsidR="009E2794" w:rsidRPr="000D5978">
              <w:rPr>
                <w:rStyle w:val="Hyperlink"/>
                <w:rFonts w:ascii="Arial" w:hAnsi="Arial" w:cs="Arial"/>
                <w:noProof/>
              </w:rPr>
              <w:t>Conclusion</w:t>
            </w:r>
            <w:r w:rsidR="009E2794">
              <w:rPr>
                <w:noProof/>
                <w:webHidden/>
              </w:rPr>
              <w:tab/>
            </w:r>
            <w:r w:rsidR="009E2794">
              <w:rPr>
                <w:noProof/>
                <w:webHidden/>
              </w:rPr>
              <w:fldChar w:fldCharType="begin"/>
            </w:r>
            <w:r w:rsidR="009E2794">
              <w:rPr>
                <w:noProof/>
                <w:webHidden/>
              </w:rPr>
              <w:instrText xml:space="preserve"> PAGEREF _Toc88431443 \h </w:instrText>
            </w:r>
            <w:r w:rsidR="009E2794">
              <w:rPr>
                <w:noProof/>
                <w:webHidden/>
              </w:rPr>
            </w:r>
            <w:r w:rsidR="009E2794">
              <w:rPr>
                <w:noProof/>
                <w:webHidden/>
              </w:rPr>
              <w:fldChar w:fldCharType="separate"/>
            </w:r>
            <w:r w:rsidR="009E2794">
              <w:rPr>
                <w:noProof/>
                <w:webHidden/>
              </w:rPr>
              <w:t>9</w:t>
            </w:r>
            <w:r w:rsidR="009E2794">
              <w:rPr>
                <w:noProof/>
                <w:webHidden/>
              </w:rPr>
              <w:fldChar w:fldCharType="end"/>
            </w:r>
          </w:hyperlink>
        </w:p>
        <w:p w14:paraId="4F9A86E3" w14:textId="4DEEA161" w:rsidR="009E2794" w:rsidRDefault="000779C0">
          <w:pPr>
            <w:pStyle w:val="TOC1"/>
            <w:tabs>
              <w:tab w:val="right" w:leader="dot" w:pos="9350"/>
            </w:tabs>
            <w:rPr>
              <w:noProof/>
            </w:rPr>
          </w:pPr>
          <w:hyperlink w:anchor="_Toc88431444" w:history="1">
            <w:r w:rsidR="009E2794" w:rsidRPr="000D5978">
              <w:rPr>
                <w:rStyle w:val="Hyperlink"/>
                <w:rFonts w:ascii="Arial" w:hAnsi="Arial" w:cs="Arial"/>
                <w:noProof/>
              </w:rPr>
              <w:t>References</w:t>
            </w:r>
            <w:r w:rsidR="009E2794">
              <w:rPr>
                <w:noProof/>
                <w:webHidden/>
              </w:rPr>
              <w:tab/>
            </w:r>
            <w:r w:rsidR="009E2794">
              <w:rPr>
                <w:noProof/>
                <w:webHidden/>
              </w:rPr>
              <w:fldChar w:fldCharType="begin"/>
            </w:r>
            <w:r w:rsidR="009E2794">
              <w:rPr>
                <w:noProof/>
                <w:webHidden/>
              </w:rPr>
              <w:instrText xml:space="preserve"> PAGEREF _Toc88431444 \h </w:instrText>
            </w:r>
            <w:r w:rsidR="009E2794">
              <w:rPr>
                <w:noProof/>
                <w:webHidden/>
              </w:rPr>
            </w:r>
            <w:r w:rsidR="009E2794">
              <w:rPr>
                <w:noProof/>
                <w:webHidden/>
              </w:rPr>
              <w:fldChar w:fldCharType="separate"/>
            </w:r>
            <w:r w:rsidR="009E2794">
              <w:rPr>
                <w:noProof/>
                <w:webHidden/>
              </w:rPr>
              <w:t>10</w:t>
            </w:r>
            <w:r w:rsidR="009E2794">
              <w:rPr>
                <w:noProof/>
                <w:webHidden/>
              </w:rPr>
              <w:fldChar w:fldCharType="end"/>
            </w:r>
          </w:hyperlink>
        </w:p>
        <w:p w14:paraId="33659A59" w14:textId="76359598" w:rsidR="00540688" w:rsidRDefault="00540688">
          <w:r>
            <w:rPr>
              <w:b/>
              <w:bCs/>
              <w:noProof/>
            </w:rPr>
            <w:fldChar w:fldCharType="end"/>
          </w:r>
        </w:p>
      </w:sdtContent>
    </w:sdt>
    <w:p w14:paraId="0D30CCB3" w14:textId="4B774249" w:rsidR="00540688" w:rsidRDefault="00540688">
      <w:pPr>
        <w:rPr>
          <w:rFonts w:ascii="Arial" w:hAnsi="Arial"/>
          <w:sz w:val="22"/>
        </w:rPr>
      </w:pPr>
      <w:r>
        <w:rPr>
          <w:rFonts w:ascii="Arial" w:hAnsi="Arial"/>
          <w:sz w:val="22"/>
        </w:rPr>
        <w:br w:type="page"/>
      </w:r>
    </w:p>
    <w:p w14:paraId="02A46495" w14:textId="47577F8B" w:rsidR="00540688" w:rsidRPr="00745D3D" w:rsidRDefault="00540688" w:rsidP="00745D3D">
      <w:pPr>
        <w:pStyle w:val="Heading1"/>
        <w:rPr>
          <w:rFonts w:ascii="Arial" w:hAnsi="Arial" w:cs="Arial"/>
        </w:rPr>
      </w:pPr>
      <w:bookmarkStart w:id="0" w:name="_Toc88431441"/>
      <w:r w:rsidRPr="00745D3D">
        <w:rPr>
          <w:rFonts w:ascii="Arial" w:hAnsi="Arial" w:cs="Arial"/>
        </w:rPr>
        <w:lastRenderedPageBreak/>
        <w:t>Introduction</w:t>
      </w:r>
      <w:bookmarkEnd w:id="0"/>
    </w:p>
    <w:p w14:paraId="31C306CD" w14:textId="427B09B2" w:rsidR="00745D3D" w:rsidRDefault="00540688" w:rsidP="00540688">
      <w:pPr>
        <w:rPr>
          <w:rFonts w:ascii="Arial" w:hAnsi="Arial"/>
          <w:sz w:val="22"/>
        </w:rPr>
      </w:pPr>
      <w:r>
        <w:rPr>
          <w:rFonts w:ascii="Arial" w:hAnsi="Arial"/>
          <w:sz w:val="22"/>
        </w:rPr>
        <w:t xml:space="preserve">The report is a reflective evaluation and analysis of </w:t>
      </w:r>
      <w:r w:rsidR="00CD361B">
        <w:rPr>
          <w:rFonts w:ascii="Arial" w:hAnsi="Arial"/>
          <w:sz w:val="22"/>
        </w:rPr>
        <w:t xml:space="preserve">the </w:t>
      </w:r>
      <w:r>
        <w:rPr>
          <w:rFonts w:ascii="Arial" w:hAnsi="Arial"/>
          <w:sz w:val="22"/>
        </w:rPr>
        <w:t>different concept</w:t>
      </w:r>
      <w:r w:rsidR="00CD361B">
        <w:rPr>
          <w:rFonts w:ascii="Arial" w:hAnsi="Arial"/>
          <w:sz w:val="22"/>
        </w:rPr>
        <w:t>s</w:t>
      </w:r>
      <w:r>
        <w:rPr>
          <w:rFonts w:ascii="Arial" w:hAnsi="Arial"/>
          <w:sz w:val="22"/>
        </w:rPr>
        <w:t xml:space="preserve"> of transferable skills in context to an organisational setting. In addition, </w:t>
      </w:r>
      <w:r w:rsidR="00CD361B">
        <w:rPr>
          <w:rFonts w:ascii="Arial" w:hAnsi="Arial"/>
          <w:sz w:val="22"/>
        </w:rPr>
        <w:t xml:space="preserve">the </w:t>
      </w:r>
      <w:r>
        <w:rPr>
          <w:rFonts w:ascii="Arial" w:hAnsi="Arial"/>
          <w:sz w:val="22"/>
        </w:rPr>
        <w:t>concept of community and personal development along with ways of reviewing and extending interpersonal skills by the application of theories and concepts and creative problem</w:t>
      </w:r>
      <w:r w:rsidR="00CD361B">
        <w:rPr>
          <w:rFonts w:ascii="Arial" w:hAnsi="Arial"/>
          <w:sz w:val="22"/>
        </w:rPr>
        <w:t>-</w:t>
      </w:r>
      <w:r>
        <w:rPr>
          <w:rFonts w:ascii="Arial" w:hAnsi="Arial"/>
          <w:sz w:val="22"/>
        </w:rPr>
        <w:t>solving in real</w:t>
      </w:r>
      <w:r w:rsidR="00CD361B">
        <w:rPr>
          <w:rFonts w:ascii="Arial" w:hAnsi="Arial"/>
          <w:sz w:val="22"/>
        </w:rPr>
        <w:t>-</w:t>
      </w:r>
      <w:r>
        <w:rPr>
          <w:rFonts w:ascii="Arial" w:hAnsi="Arial"/>
          <w:sz w:val="22"/>
        </w:rPr>
        <w:t xml:space="preserve">life situations is discussed in detail. </w:t>
      </w:r>
      <w:r w:rsidR="00745D3D">
        <w:rPr>
          <w:rFonts w:ascii="Arial" w:hAnsi="Arial"/>
          <w:sz w:val="22"/>
        </w:rPr>
        <w:t xml:space="preserve">Transferable skills and community engagement is connected. </w:t>
      </w:r>
      <w:r w:rsidR="00CD361B">
        <w:rPr>
          <w:rFonts w:ascii="Arial" w:hAnsi="Arial"/>
          <w:sz w:val="22"/>
        </w:rPr>
        <w:t>The u</w:t>
      </w:r>
      <w:r w:rsidR="00745D3D">
        <w:rPr>
          <w:rFonts w:ascii="Arial" w:hAnsi="Arial"/>
          <w:sz w:val="22"/>
        </w:rPr>
        <w:t>se of different transferable skills in the personal reflection as well as in context with community engagement will be discussed in this reflection report. Lastly, a relationship between existing academic theories and practical experiences in solving a real-life problem creatively will be mentioned and explained.</w:t>
      </w:r>
    </w:p>
    <w:p w14:paraId="455609B9" w14:textId="0119894B" w:rsidR="00745D3D" w:rsidRDefault="00745D3D">
      <w:pPr>
        <w:rPr>
          <w:rFonts w:ascii="Arial" w:hAnsi="Arial"/>
          <w:sz w:val="22"/>
        </w:rPr>
      </w:pPr>
      <w:r>
        <w:rPr>
          <w:rFonts w:ascii="Arial" w:hAnsi="Arial"/>
          <w:sz w:val="22"/>
        </w:rPr>
        <w:br w:type="page"/>
      </w:r>
    </w:p>
    <w:p w14:paraId="4BB4C54E" w14:textId="118A3111" w:rsidR="00745D3D" w:rsidRPr="00745D3D" w:rsidRDefault="00745D3D" w:rsidP="00745D3D">
      <w:pPr>
        <w:pStyle w:val="Heading1"/>
        <w:rPr>
          <w:rFonts w:ascii="Arial" w:hAnsi="Arial" w:cs="Arial"/>
        </w:rPr>
      </w:pPr>
      <w:bookmarkStart w:id="1" w:name="_Toc88431442"/>
      <w:r w:rsidRPr="00745D3D">
        <w:rPr>
          <w:rFonts w:ascii="Arial" w:hAnsi="Arial" w:cs="Arial"/>
        </w:rPr>
        <w:lastRenderedPageBreak/>
        <w:t>Reflection</w:t>
      </w:r>
      <w:bookmarkEnd w:id="1"/>
    </w:p>
    <w:p w14:paraId="02C4E186" w14:textId="2CC6507D" w:rsidR="00540688" w:rsidRDefault="00745D3D" w:rsidP="00540688">
      <w:pPr>
        <w:rPr>
          <w:rFonts w:ascii="Arial" w:hAnsi="Arial"/>
          <w:sz w:val="22"/>
        </w:rPr>
      </w:pPr>
      <w:r>
        <w:rPr>
          <w:rFonts w:ascii="Arial" w:hAnsi="Arial"/>
          <w:sz w:val="22"/>
        </w:rPr>
        <w:t>Transferable skills are a set of expertise and proficiencies of an individual that is applicable and useful in a variety of jobs, market</w:t>
      </w:r>
      <w:r w:rsidR="00CD361B">
        <w:rPr>
          <w:rFonts w:ascii="Arial" w:hAnsi="Arial"/>
          <w:sz w:val="22"/>
        </w:rPr>
        <w:t>s</w:t>
      </w:r>
      <w:r>
        <w:rPr>
          <w:rFonts w:ascii="Arial" w:hAnsi="Arial"/>
          <w:sz w:val="22"/>
        </w:rPr>
        <w:t>, and industr</w:t>
      </w:r>
      <w:r w:rsidR="00CD361B">
        <w:rPr>
          <w:rFonts w:ascii="Arial" w:hAnsi="Arial"/>
          <w:sz w:val="22"/>
        </w:rPr>
        <w:t>ies</w:t>
      </w:r>
      <w:r w:rsidR="004746BD">
        <w:rPr>
          <w:rFonts w:ascii="Arial" w:hAnsi="Arial"/>
          <w:sz w:val="22"/>
        </w:rPr>
        <w:t xml:space="preserve"> </w:t>
      </w:r>
      <w:r w:rsidR="004746BD" w:rsidRPr="004746BD">
        <w:rPr>
          <w:rFonts w:ascii="Arial" w:hAnsi="Arial"/>
          <w:sz w:val="22"/>
        </w:rPr>
        <w:t>(Aschwanden, 2017)</w:t>
      </w:r>
      <w:r>
        <w:rPr>
          <w:rFonts w:ascii="Arial" w:hAnsi="Arial"/>
          <w:sz w:val="22"/>
        </w:rPr>
        <w:t>. They are also known as portable skills. These skills can be used to position the experience of an individual while transferring or changing jobs in a different market or industry. Some transferable skills include communication skill</w:t>
      </w:r>
      <w:r w:rsidR="00CD361B">
        <w:rPr>
          <w:rFonts w:ascii="Arial" w:hAnsi="Arial"/>
          <w:sz w:val="22"/>
        </w:rPr>
        <w:t>s</w:t>
      </w:r>
      <w:r>
        <w:rPr>
          <w:rFonts w:ascii="Arial" w:hAnsi="Arial"/>
          <w:sz w:val="22"/>
        </w:rPr>
        <w:t>, teamwork skill</w:t>
      </w:r>
      <w:r w:rsidR="00CD361B">
        <w:rPr>
          <w:rFonts w:ascii="Arial" w:hAnsi="Arial"/>
          <w:sz w:val="22"/>
        </w:rPr>
        <w:t>s</w:t>
      </w:r>
      <w:r>
        <w:rPr>
          <w:rFonts w:ascii="Arial" w:hAnsi="Arial"/>
          <w:sz w:val="22"/>
        </w:rPr>
        <w:t>, organisational skill</w:t>
      </w:r>
      <w:r w:rsidR="00CD361B">
        <w:rPr>
          <w:rFonts w:ascii="Arial" w:hAnsi="Arial"/>
          <w:sz w:val="22"/>
        </w:rPr>
        <w:t>s</w:t>
      </w:r>
      <w:r>
        <w:rPr>
          <w:rFonts w:ascii="Arial" w:hAnsi="Arial"/>
          <w:sz w:val="22"/>
        </w:rPr>
        <w:t>, adaptability, leadership, endurance, and decision-making skill</w:t>
      </w:r>
      <w:r w:rsidR="004746BD">
        <w:rPr>
          <w:rFonts w:ascii="Arial" w:hAnsi="Arial"/>
          <w:sz w:val="22"/>
        </w:rPr>
        <w:t xml:space="preserve"> </w:t>
      </w:r>
      <w:r w:rsidR="004746BD" w:rsidRPr="004746BD">
        <w:rPr>
          <w:rFonts w:ascii="Arial" w:hAnsi="Arial"/>
          <w:sz w:val="22"/>
        </w:rPr>
        <w:t>(Developing Transferable Skills | Michael Page, 2021)</w:t>
      </w:r>
      <w:r>
        <w:rPr>
          <w:rFonts w:ascii="Arial" w:hAnsi="Arial"/>
          <w:sz w:val="22"/>
        </w:rPr>
        <w:t>. For example, employers of different companies from different industries often look for strong communication skill</w:t>
      </w:r>
      <w:r w:rsidR="00CD361B">
        <w:rPr>
          <w:rFonts w:ascii="Arial" w:hAnsi="Arial"/>
          <w:sz w:val="22"/>
        </w:rPr>
        <w:t>s</w:t>
      </w:r>
      <w:r>
        <w:rPr>
          <w:rFonts w:ascii="Arial" w:hAnsi="Arial"/>
          <w:sz w:val="22"/>
        </w:rPr>
        <w:t xml:space="preserve"> in candidates irrespective of the position and responsibilities of the job. Moreover, creativity and decision-making skill is preferred in both </w:t>
      </w:r>
      <w:r w:rsidR="00CD361B">
        <w:rPr>
          <w:rFonts w:ascii="Arial" w:hAnsi="Arial"/>
          <w:sz w:val="22"/>
        </w:rPr>
        <w:t xml:space="preserve">the </w:t>
      </w:r>
      <w:r>
        <w:rPr>
          <w:rFonts w:ascii="Arial" w:hAnsi="Arial"/>
          <w:sz w:val="22"/>
        </w:rPr>
        <w:t>marketing and management departments of companies. That is, transferable skills are useful and efficient in multiple setups and businesses.</w:t>
      </w:r>
    </w:p>
    <w:p w14:paraId="4C4C71B3" w14:textId="3BFEA28D" w:rsidR="000A4974" w:rsidRDefault="000A4974" w:rsidP="00540688">
      <w:pPr>
        <w:rPr>
          <w:rFonts w:ascii="Arial" w:hAnsi="Arial"/>
          <w:b/>
          <w:bCs/>
          <w:sz w:val="22"/>
        </w:rPr>
      </w:pPr>
      <w:r w:rsidRPr="000A4974">
        <w:rPr>
          <w:rFonts w:ascii="Arial" w:hAnsi="Arial"/>
          <w:b/>
          <w:bCs/>
          <w:sz w:val="22"/>
        </w:rPr>
        <w:t xml:space="preserve">Understanding of reflective practice with </w:t>
      </w:r>
      <w:r w:rsidR="00FC4AD4">
        <w:rPr>
          <w:rFonts w:ascii="Arial" w:hAnsi="Arial"/>
          <w:b/>
          <w:bCs/>
          <w:sz w:val="22"/>
        </w:rPr>
        <w:t xml:space="preserve">a </w:t>
      </w:r>
      <w:r w:rsidRPr="000A4974">
        <w:rPr>
          <w:rFonts w:ascii="Arial" w:hAnsi="Arial"/>
          <w:b/>
          <w:bCs/>
          <w:sz w:val="22"/>
        </w:rPr>
        <w:t>theoretical model of reflection</w:t>
      </w:r>
    </w:p>
    <w:p w14:paraId="4E2CA0F7" w14:textId="68684DAC" w:rsidR="000A4974" w:rsidRDefault="000A4974" w:rsidP="00540688">
      <w:pPr>
        <w:rPr>
          <w:rFonts w:ascii="Arial" w:hAnsi="Arial"/>
          <w:sz w:val="22"/>
        </w:rPr>
      </w:pPr>
      <w:r>
        <w:rPr>
          <w:rFonts w:ascii="Arial" w:hAnsi="Arial"/>
          <w:sz w:val="22"/>
        </w:rPr>
        <w:t>In simple words, the process of reflective practice is the thinking or reflecting on things that are done in real-life. The concept is closely connected with learning from experience. There are multiple steps in a reflective process</w:t>
      </w:r>
      <w:r w:rsidR="006A6E64">
        <w:rPr>
          <w:rFonts w:ascii="Arial" w:hAnsi="Arial"/>
          <w:sz w:val="22"/>
        </w:rPr>
        <w:t xml:space="preserve"> </w:t>
      </w:r>
      <w:r w:rsidR="006A6E64" w:rsidRPr="006A6E64">
        <w:rPr>
          <w:rFonts w:ascii="Arial" w:hAnsi="Arial"/>
          <w:sz w:val="22"/>
        </w:rPr>
        <w:t>(Hargreaves and Page, 2013)</w:t>
      </w:r>
      <w:r>
        <w:rPr>
          <w:rFonts w:ascii="Arial" w:hAnsi="Arial"/>
          <w:sz w:val="22"/>
        </w:rPr>
        <w:t xml:space="preserve">. </w:t>
      </w:r>
      <w:r w:rsidR="00CD361B">
        <w:rPr>
          <w:rFonts w:ascii="Arial" w:hAnsi="Arial"/>
          <w:sz w:val="22"/>
        </w:rPr>
        <w:t>T</w:t>
      </w:r>
      <w:r>
        <w:rPr>
          <w:rFonts w:ascii="Arial" w:hAnsi="Arial"/>
          <w:sz w:val="22"/>
        </w:rPr>
        <w:t xml:space="preserve">o understand the reflective practice, the theory of Gibbs’ Reflective Cycle can be analysed. It is one of the most well-known cyclical models of reflection which includes six stages in exploring an experience. They are </w:t>
      </w:r>
      <w:r w:rsidR="00CD361B">
        <w:rPr>
          <w:rFonts w:ascii="Arial" w:hAnsi="Arial"/>
          <w:sz w:val="22"/>
        </w:rPr>
        <w:t xml:space="preserve">a </w:t>
      </w:r>
      <w:r>
        <w:rPr>
          <w:rFonts w:ascii="Arial" w:hAnsi="Arial"/>
          <w:sz w:val="22"/>
        </w:rPr>
        <w:t>description of the experience, feelings, evaluation, analysis, conclusion, and future action plan.</w:t>
      </w:r>
    </w:p>
    <w:p w14:paraId="735CA60C" w14:textId="27C1DB9C" w:rsidR="000A4974" w:rsidRDefault="007054DE" w:rsidP="000A4974">
      <w:pPr>
        <w:jc w:val="center"/>
        <w:rPr>
          <w:rFonts w:ascii="Arial" w:hAnsi="Arial"/>
          <w:sz w:val="22"/>
        </w:rPr>
      </w:pPr>
      <w:r>
        <w:rPr>
          <w:rFonts w:ascii="Arial" w:hAnsi="Arial"/>
          <w:noProof/>
          <w:sz w:val="22"/>
        </w:rPr>
        <w:drawing>
          <wp:inline distT="0" distB="0" distL="0" distR="0" wp14:anchorId="5312ACBD" wp14:editId="4A98FABF">
            <wp:extent cx="2705100" cy="2705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2705100" cy="2705100"/>
                    </a:xfrm>
                    <a:prstGeom prst="rect">
                      <a:avLst/>
                    </a:prstGeom>
                  </pic:spPr>
                </pic:pic>
              </a:graphicData>
            </a:graphic>
          </wp:inline>
        </w:drawing>
      </w:r>
    </w:p>
    <w:p w14:paraId="427B2C5F" w14:textId="734FBCC2" w:rsidR="000A4974" w:rsidRDefault="000A4974" w:rsidP="000A4974">
      <w:pPr>
        <w:jc w:val="center"/>
        <w:rPr>
          <w:rFonts w:ascii="Arial" w:hAnsi="Arial"/>
          <w:b/>
          <w:bCs/>
          <w:sz w:val="22"/>
        </w:rPr>
      </w:pPr>
      <w:r w:rsidRPr="000A4974">
        <w:rPr>
          <w:rFonts w:ascii="Arial" w:hAnsi="Arial"/>
          <w:b/>
          <w:bCs/>
          <w:sz w:val="22"/>
        </w:rPr>
        <w:t>Figure 1: Gibbs’ Reflection Cycle</w:t>
      </w:r>
      <w:r w:rsidR="006A6E64">
        <w:rPr>
          <w:rFonts w:ascii="Arial" w:hAnsi="Arial"/>
          <w:b/>
          <w:bCs/>
          <w:sz w:val="22"/>
        </w:rPr>
        <w:t xml:space="preserve"> </w:t>
      </w:r>
      <w:r w:rsidR="006A6E64" w:rsidRPr="006A6E64">
        <w:rPr>
          <w:rFonts w:ascii="Arial" w:hAnsi="Arial"/>
          <w:b/>
          <w:bCs/>
          <w:sz w:val="22"/>
        </w:rPr>
        <w:t>(Gibbs' Reflective Cycle, 2021)</w:t>
      </w:r>
    </w:p>
    <w:p w14:paraId="76E3277C" w14:textId="036EAB20" w:rsidR="00FC4AD4" w:rsidRDefault="00FC4AD4" w:rsidP="000A4974">
      <w:pPr>
        <w:jc w:val="center"/>
        <w:rPr>
          <w:rFonts w:ascii="Arial" w:hAnsi="Arial"/>
          <w:b/>
          <w:bCs/>
          <w:sz w:val="22"/>
        </w:rPr>
      </w:pPr>
    </w:p>
    <w:p w14:paraId="1078F338" w14:textId="59567F31" w:rsidR="007054DE" w:rsidRDefault="007054DE" w:rsidP="009E30A5">
      <w:pPr>
        <w:rPr>
          <w:rFonts w:ascii="Arial" w:hAnsi="Arial"/>
          <w:sz w:val="22"/>
        </w:rPr>
      </w:pPr>
      <w:r>
        <w:rPr>
          <w:rFonts w:ascii="Arial" w:hAnsi="Arial"/>
          <w:sz w:val="22"/>
        </w:rPr>
        <w:t>Graham Gibbs proposed this model in 1988 to structure the learning and reflection process from a real-life experience. The steps of the reflection cycle are well-defined and clear to understand and interpret</w:t>
      </w:r>
      <w:r w:rsidR="006A6E64">
        <w:rPr>
          <w:rFonts w:ascii="Arial" w:hAnsi="Arial"/>
          <w:sz w:val="22"/>
        </w:rPr>
        <w:t xml:space="preserve"> </w:t>
      </w:r>
      <w:r w:rsidR="006A6E64" w:rsidRPr="006A6E64">
        <w:rPr>
          <w:rFonts w:ascii="Arial" w:hAnsi="Arial"/>
          <w:sz w:val="22"/>
        </w:rPr>
        <w:t>(Brockbank, McGill and McGill, 2012)</w:t>
      </w:r>
      <w:r>
        <w:rPr>
          <w:rFonts w:ascii="Arial" w:hAnsi="Arial"/>
          <w:sz w:val="22"/>
        </w:rPr>
        <w:t>.</w:t>
      </w:r>
    </w:p>
    <w:p w14:paraId="47A78D77" w14:textId="07F6374A" w:rsidR="00FC4AD4" w:rsidRDefault="007054DE" w:rsidP="009E30A5">
      <w:pPr>
        <w:rPr>
          <w:rFonts w:ascii="Arial" w:hAnsi="Arial"/>
          <w:sz w:val="22"/>
        </w:rPr>
      </w:pPr>
      <w:r w:rsidRPr="009E30A5">
        <w:rPr>
          <w:rFonts w:ascii="Arial" w:hAnsi="Arial"/>
          <w:b/>
          <w:bCs/>
          <w:sz w:val="22"/>
        </w:rPr>
        <w:t>Description of the experience:</w:t>
      </w:r>
      <w:r>
        <w:rPr>
          <w:rFonts w:ascii="Arial" w:hAnsi="Arial"/>
          <w:sz w:val="22"/>
        </w:rPr>
        <w:t xml:space="preserve"> The main focus of this stage is clearly describing the scenario or incident that took place</w:t>
      </w:r>
      <w:r w:rsidR="00ED3622">
        <w:rPr>
          <w:rFonts w:ascii="Arial" w:hAnsi="Arial"/>
          <w:sz w:val="22"/>
        </w:rPr>
        <w:t>. The time, place, duration, and summary of the incident is determined in this step</w:t>
      </w:r>
    </w:p>
    <w:p w14:paraId="0BB3BEFE" w14:textId="01ADC688" w:rsidR="00ED3622" w:rsidRDefault="00ED3622" w:rsidP="009E30A5">
      <w:pPr>
        <w:rPr>
          <w:rFonts w:ascii="Arial" w:hAnsi="Arial"/>
          <w:sz w:val="22"/>
        </w:rPr>
      </w:pPr>
      <w:r w:rsidRPr="009E30A5">
        <w:rPr>
          <w:rFonts w:ascii="Arial" w:hAnsi="Arial"/>
          <w:b/>
          <w:bCs/>
          <w:sz w:val="22"/>
        </w:rPr>
        <w:t>Feeling</w:t>
      </w:r>
      <w:r w:rsidR="009E30A5">
        <w:rPr>
          <w:rFonts w:ascii="Arial" w:hAnsi="Arial"/>
          <w:b/>
          <w:bCs/>
          <w:sz w:val="22"/>
        </w:rPr>
        <w:t>s</w:t>
      </w:r>
      <w:r w:rsidRPr="009E30A5">
        <w:rPr>
          <w:rFonts w:ascii="Arial" w:hAnsi="Arial"/>
          <w:b/>
          <w:bCs/>
          <w:sz w:val="22"/>
        </w:rPr>
        <w:t xml:space="preserve"> and thoughts:</w:t>
      </w:r>
      <w:r>
        <w:rPr>
          <w:rFonts w:ascii="Arial" w:hAnsi="Arial"/>
          <w:sz w:val="22"/>
        </w:rPr>
        <w:t xml:space="preserve"> While the experience was taking place, the thoughts and feelings of an individual that impacted the process of experience </w:t>
      </w:r>
      <w:r w:rsidR="00CD361B">
        <w:rPr>
          <w:rFonts w:ascii="Arial" w:hAnsi="Arial"/>
          <w:sz w:val="22"/>
        </w:rPr>
        <w:t>are</w:t>
      </w:r>
      <w:r>
        <w:rPr>
          <w:rFonts w:ascii="Arial" w:hAnsi="Arial"/>
          <w:sz w:val="22"/>
        </w:rPr>
        <w:t xml:space="preserve"> mentioned in this step. The comparison of thoughts before and after the experience is crucial in this step.</w:t>
      </w:r>
    </w:p>
    <w:p w14:paraId="38B6A602" w14:textId="50483B3A" w:rsidR="00ED3622" w:rsidRDefault="00ED3622" w:rsidP="009E30A5">
      <w:pPr>
        <w:rPr>
          <w:rFonts w:ascii="Arial" w:hAnsi="Arial"/>
          <w:sz w:val="22"/>
        </w:rPr>
      </w:pPr>
      <w:r w:rsidRPr="009E30A5">
        <w:rPr>
          <w:rFonts w:ascii="Arial" w:hAnsi="Arial"/>
          <w:b/>
          <w:bCs/>
          <w:sz w:val="22"/>
        </w:rPr>
        <w:t>Evaluation:</w:t>
      </w:r>
      <w:r>
        <w:rPr>
          <w:rFonts w:ascii="Arial" w:hAnsi="Arial"/>
          <w:sz w:val="22"/>
        </w:rPr>
        <w:t xml:space="preserve"> This step provides the chance to evaluate the experience by thinking </w:t>
      </w:r>
      <w:r w:rsidR="00CD361B">
        <w:rPr>
          <w:rFonts w:ascii="Arial" w:hAnsi="Arial"/>
          <w:sz w:val="22"/>
        </w:rPr>
        <w:t xml:space="preserve">about </w:t>
      </w:r>
      <w:r>
        <w:rPr>
          <w:rFonts w:ascii="Arial" w:hAnsi="Arial"/>
          <w:sz w:val="22"/>
        </w:rPr>
        <w:t>the positive, negative, advantage,</w:t>
      </w:r>
      <w:r w:rsidR="00B8052A">
        <w:rPr>
          <w:rFonts w:ascii="Arial" w:hAnsi="Arial"/>
          <w:sz w:val="22"/>
        </w:rPr>
        <w:t xml:space="preserve"> and</w:t>
      </w:r>
      <w:r>
        <w:rPr>
          <w:rFonts w:ascii="Arial" w:hAnsi="Arial"/>
          <w:sz w:val="22"/>
        </w:rPr>
        <w:t xml:space="preserve"> disadvantage</w:t>
      </w:r>
      <w:r w:rsidR="00CD361B">
        <w:rPr>
          <w:rFonts w:ascii="Arial" w:hAnsi="Arial"/>
          <w:sz w:val="22"/>
        </w:rPr>
        <w:t>s</w:t>
      </w:r>
      <w:r w:rsidR="00B8052A">
        <w:rPr>
          <w:rFonts w:ascii="Arial" w:hAnsi="Arial"/>
          <w:sz w:val="22"/>
        </w:rPr>
        <w:t xml:space="preserve"> of the scenario and critically evaluat</w:t>
      </w:r>
      <w:r w:rsidR="00CD361B">
        <w:rPr>
          <w:rFonts w:ascii="Arial" w:hAnsi="Arial"/>
          <w:sz w:val="22"/>
        </w:rPr>
        <w:t>ing</w:t>
      </w:r>
      <w:r w:rsidR="00C9205E">
        <w:rPr>
          <w:rFonts w:ascii="Arial" w:hAnsi="Arial"/>
          <w:sz w:val="22"/>
        </w:rPr>
        <w:t xml:space="preserve"> the outcomes of the experience</w:t>
      </w:r>
      <w:r w:rsidR="006A6E64">
        <w:rPr>
          <w:rFonts w:ascii="Arial" w:hAnsi="Arial"/>
          <w:sz w:val="22"/>
        </w:rPr>
        <w:t xml:space="preserve"> </w:t>
      </w:r>
      <w:r w:rsidR="006A6E64" w:rsidRPr="006A6E64">
        <w:rPr>
          <w:rFonts w:ascii="Arial" w:hAnsi="Arial"/>
          <w:sz w:val="22"/>
        </w:rPr>
        <w:t>(</w:t>
      </w:r>
      <w:proofErr w:type="spellStart"/>
      <w:r w:rsidR="006A6E64" w:rsidRPr="006A6E64">
        <w:rPr>
          <w:rFonts w:ascii="Arial" w:hAnsi="Arial"/>
          <w:sz w:val="22"/>
        </w:rPr>
        <w:t>LibGuides</w:t>
      </w:r>
      <w:proofErr w:type="spellEnd"/>
      <w:r w:rsidR="006A6E64" w:rsidRPr="006A6E64">
        <w:rPr>
          <w:rFonts w:ascii="Arial" w:hAnsi="Arial"/>
          <w:sz w:val="22"/>
        </w:rPr>
        <w:t>: Reflective Practice Toolkit: Models of reflection, 2021)</w:t>
      </w:r>
      <w:r w:rsidR="00C9205E">
        <w:rPr>
          <w:rFonts w:ascii="Arial" w:hAnsi="Arial"/>
          <w:sz w:val="22"/>
        </w:rPr>
        <w:t>.</w:t>
      </w:r>
    </w:p>
    <w:p w14:paraId="7BD31F81" w14:textId="649106EC" w:rsidR="00C9205E" w:rsidRDefault="00C9205E" w:rsidP="009E30A5">
      <w:pPr>
        <w:rPr>
          <w:rFonts w:ascii="Arial" w:hAnsi="Arial"/>
          <w:sz w:val="22"/>
        </w:rPr>
      </w:pPr>
      <w:r w:rsidRPr="009E30A5">
        <w:rPr>
          <w:rFonts w:ascii="Arial" w:hAnsi="Arial"/>
          <w:b/>
          <w:bCs/>
          <w:sz w:val="22"/>
        </w:rPr>
        <w:t>Analysis:</w:t>
      </w:r>
      <w:r>
        <w:rPr>
          <w:rFonts w:ascii="Arial" w:hAnsi="Arial"/>
          <w:sz w:val="22"/>
        </w:rPr>
        <w:t xml:space="preserve"> This step requires an individual to analyse the situation and various consequences of the experience. Understanding the meaning, evaluating the positive and negative aspects of the experience, determining learning outcomes are part of this step.</w:t>
      </w:r>
    </w:p>
    <w:p w14:paraId="2AC37FA6" w14:textId="4F1DD734" w:rsidR="00C9205E" w:rsidRDefault="00C9205E" w:rsidP="009E30A5">
      <w:pPr>
        <w:rPr>
          <w:rFonts w:ascii="Arial" w:hAnsi="Arial"/>
          <w:sz w:val="22"/>
        </w:rPr>
      </w:pPr>
      <w:r w:rsidRPr="009E30A5">
        <w:rPr>
          <w:rFonts w:ascii="Arial" w:hAnsi="Arial"/>
          <w:b/>
          <w:bCs/>
          <w:sz w:val="22"/>
        </w:rPr>
        <w:t>Conclusion:</w:t>
      </w:r>
      <w:r>
        <w:rPr>
          <w:rFonts w:ascii="Arial" w:hAnsi="Arial"/>
          <w:sz w:val="22"/>
        </w:rPr>
        <w:t xml:space="preserve"> A summary of learning and highlighting important actions and aspects of the experience is done in this step. This is also a deciding step for outcomes and learnings from the experience. </w:t>
      </w:r>
    </w:p>
    <w:p w14:paraId="46D5CF3D" w14:textId="261F257C" w:rsidR="00C9205E" w:rsidRDefault="00C9205E" w:rsidP="009E30A5">
      <w:pPr>
        <w:rPr>
          <w:rFonts w:ascii="Arial" w:hAnsi="Arial"/>
          <w:sz w:val="22"/>
        </w:rPr>
      </w:pPr>
      <w:r w:rsidRPr="009E30A5">
        <w:rPr>
          <w:rFonts w:ascii="Arial" w:hAnsi="Arial"/>
          <w:b/>
          <w:bCs/>
          <w:sz w:val="22"/>
        </w:rPr>
        <w:t>Action Plan:</w:t>
      </w:r>
      <w:r>
        <w:rPr>
          <w:rFonts w:ascii="Arial" w:hAnsi="Arial"/>
          <w:sz w:val="22"/>
        </w:rPr>
        <w:t xml:space="preserve"> This is the application step of learning from the experience. That is, what an individual </w:t>
      </w:r>
      <w:r w:rsidR="009E30A5">
        <w:rPr>
          <w:rFonts w:ascii="Arial" w:hAnsi="Arial"/>
          <w:sz w:val="22"/>
        </w:rPr>
        <w:t>learns from the experience and what he would do differently in a similar situation in the future. Planning and preparing for future scenarios are the focus of this step</w:t>
      </w:r>
      <w:r w:rsidR="006A6E64">
        <w:rPr>
          <w:rFonts w:ascii="Arial" w:hAnsi="Arial"/>
          <w:sz w:val="22"/>
        </w:rPr>
        <w:t xml:space="preserve"> </w:t>
      </w:r>
      <w:r w:rsidR="006A6E64" w:rsidRPr="006A6E64">
        <w:rPr>
          <w:rFonts w:ascii="Arial" w:hAnsi="Arial"/>
          <w:sz w:val="22"/>
        </w:rPr>
        <w:t>(Hunt, 2021)</w:t>
      </w:r>
      <w:r w:rsidR="009E30A5">
        <w:rPr>
          <w:rFonts w:ascii="Arial" w:hAnsi="Arial"/>
          <w:sz w:val="22"/>
        </w:rPr>
        <w:t>.</w:t>
      </w:r>
    </w:p>
    <w:p w14:paraId="62E8AAE3" w14:textId="6E64D3FE" w:rsidR="009E30A5" w:rsidRDefault="009E30A5" w:rsidP="009E30A5">
      <w:pPr>
        <w:rPr>
          <w:rFonts w:ascii="Arial" w:hAnsi="Arial"/>
          <w:sz w:val="22"/>
        </w:rPr>
      </w:pPr>
      <w:r>
        <w:rPr>
          <w:rFonts w:ascii="Arial" w:hAnsi="Arial"/>
          <w:sz w:val="22"/>
        </w:rPr>
        <w:t>This theoretical model describes and explains the whole process of reflective learning and practice in detail</w:t>
      </w:r>
      <w:r w:rsidR="00CD361B">
        <w:rPr>
          <w:rFonts w:ascii="Arial" w:hAnsi="Arial"/>
          <w:sz w:val="22"/>
        </w:rPr>
        <w:t>ed</w:t>
      </w:r>
      <w:r>
        <w:rPr>
          <w:rFonts w:ascii="Arial" w:hAnsi="Arial"/>
          <w:sz w:val="22"/>
        </w:rPr>
        <w:t xml:space="preserve"> steps which makes the concept easier to understand and implement in practical scenarios</w:t>
      </w:r>
      <w:r w:rsidR="006A6E64">
        <w:rPr>
          <w:rFonts w:ascii="Arial" w:hAnsi="Arial"/>
          <w:sz w:val="22"/>
        </w:rPr>
        <w:t xml:space="preserve"> </w:t>
      </w:r>
      <w:r w:rsidR="006A6E64" w:rsidRPr="006A6E64">
        <w:rPr>
          <w:rFonts w:ascii="Arial" w:hAnsi="Arial"/>
          <w:sz w:val="22"/>
        </w:rPr>
        <w:t>(Moon, 2013)</w:t>
      </w:r>
      <w:r>
        <w:rPr>
          <w:rFonts w:ascii="Arial" w:hAnsi="Arial"/>
          <w:sz w:val="22"/>
        </w:rPr>
        <w:t>.</w:t>
      </w:r>
    </w:p>
    <w:p w14:paraId="63CDA662" w14:textId="1E8B2A44" w:rsidR="009E30A5" w:rsidRDefault="009E30A5" w:rsidP="009E30A5">
      <w:pPr>
        <w:rPr>
          <w:rFonts w:ascii="Arial" w:hAnsi="Arial"/>
          <w:b/>
          <w:bCs/>
          <w:sz w:val="22"/>
        </w:rPr>
      </w:pPr>
      <w:r w:rsidRPr="009E30A5">
        <w:rPr>
          <w:rFonts w:ascii="Arial" w:hAnsi="Arial"/>
          <w:b/>
          <w:bCs/>
          <w:sz w:val="22"/>
        </w:rPr>
        <w:t>Reflection of personal experience</w:t>
      </w:r>
    </w:p>
    <w:p w14:paraId="1F7DD238" w14:textId="21803936" w:rsidR="0074718F" w:rsidRDefault="0074718F" w:rsidP="009E30A5">
      <w:pPr>
        <w:rPr>
          <w:rFonts w:ascii="Arial" w:hAnsi="Arial"/>
          <w:sz w:val="22"/>
        </w:rPr>
      </w:pPr>
      <w:r>
        <w:rPr>
          <w:rFonts w:ascii="Arial" w:hAnsi="Arial"/>
          <w:sz w:val="22"/>
        </w:rPr>
        <w:t>Reflective practice is considered a skill in various academics</w:t>
      </w:r>
      <w:r w:rsidR="00F10596">
        <w:rPr>
          <w:rFonts w:ascii="Arial" w:hAnsi="Arial"/>
          <w:sz w:val="22"/>
        </w:rPr>
        <w:t xml:space="preserve"> </w:t>
      </w:r>
      <w:r w:rsidR="00F10596" w:rsidRPr="00F10596">
        <w:rPr>
          <w:rFonts w:ascii="Arial" w:hAnsi="Arial"/>
          <w:sz w:val="22"/>
        </w:rPr>
        <w:t>(Rappel, 2018)</w:t>
      </w:r>
      <w:r>
        <w:rPr>
          <w:rFonts w:ascii="Arial" w:hAnsi="Arial"/>
          <w:sz w:val="22"/>
        </w:rPr>
        <w:t xml:space="preserve">. Many authors believe reflective practice is a skill that can be learned and developed. A reflection on my personal </w:t>
      </w:r>
      <w:r>
        <w:rPr>
          <w:rFonts w:ascii="Arial" w:hAnsi="Arial"/>
          <w:sz w:val="22"/>
        </w:rPr>
        <w:lastRenderedPageBreak/>
        <w:t xml:space="preserve">experience in my workplace will be discussed in this section. While I was working as an intern in the HR department of a business organisation, I was assigned </w:t>
      </w:r>
      <w:r w:rsidR="00CD361B">
        <w:rPr>
          <w:rFonts w:ascii="Arial" w:hAnsi="Arial"/>
          <w:sz w:val="22"/>
        </w:rPr>
        <w:t>the</w:t>
      </w:r>
      <w:r>
        <w:rPr>
          <w:rFonts w:ascii="Arial" w:hAnsi="Arial"/>
          <w:sz w:val="22"/>
        </w:rPr>
        <w:t xml:space="preserve"> responsibility of preparing a report on the employee satisfaction level of all the departments of the company. The assignment required information about employee satisfaction, expectation, and potential room for improvement in the work environment of the respective departments. </w:t>
      </w:r>
      <w:r w:rsidR="00CD361B">
        <w:rPr>
          <w:rFonts w:ascii="Arial" w:hAnsi="Arial"/>
          <w:sz w:val="22"/>
        </w:rPr>
        <w:t>T</w:t>
      </w:r>
      <w:r>
        <w:rPr>
          <w:rFonts w:ascii="Arial" w:hAnsi="Arial"/>
          <w:sz w:val="22"/>
        </w:rPr>
        <w:t>o complete the task, I was required to communicate and engage with employees of all the departments of the company to clearly understand the current situation and offer recommendations</w:t>
      </w:r>
      <w:r w:rsidR="00F10596">
        <w:rPr>
          <w:rFonts w:ascii="Arial" w:hAnsi="Arial"/>
          <w:sz w:val="22"/>
        </w:rPr>
        <w:t xml:space="preserve"> </w:t>
      </w:r>
      <w:r w:rsidR="00F10596" w:rsidRPr="00F10596">
        <w:rPr>
          <w:rFonts w:ascii="Arial" w:hAnsi="Arial"/>
          <w:sz w:val="22"/>
        </w:rPr>
        <w:t>(Roland, 2017)</w:t>
      </w:r>
      <w:r>
        <w:rPr>
          <w:rFonts w:ascii="Arial" w:hAnsi="Arial"/>
          <w:sz w:val="22"/>
        </w:rPr>
        <w:t>. I was able to learn and improve various interpersonal skills to prepare the report and the entire experience provided me with the opportunity to engage in community setup and effectively learn various professional skills.</w:t>
      </w:r>
    </w:p>
    <w:p w14:paraId="64FBFE1E" w14:textId="33BF7735" w:rsidR="0074718F" w:rsidRDefault="0074718F" w:rsidP="009E30A5">
      <w:pPr>
        <w:rPr>
          <w:rFonts w:ascii="Arial" w:hAnsi="Arial"/>
          <w:sz w:val="22"/>
        </w:rPr>
      </w:pPr>
      <w:r>
        <w:rPr>
          <w:rFonts w:ascii="Arial" w:hAnsi="Arial"/>
          <w:sz w:val="22"/>
        </w:rPr>
        <w:t>According to the Gibbs’ Reflection Cycle, the first step was to identify and understand the experience. The experience involved communicating and interacting with many employees of the company and understand</w:t>
      </w:r>
      <w:r w:rsidR="00CD361B">
        <w:rPr>
          <w:rFonts w:ascii="Arial" w:hAnsi="Arial"/>
          <w:sz w:val="22"/>
        </w:rPr>
        <w:t>ing</w:t>
      </w:r>
      <w:r>
        <w:rPr>
          <w:rFonts w:ascii="Arial" w:hAnsi="Arial"/>
          <w:sz w:val="22"/>
        </w:rPr>
        <w:t xml:space="preserve"> their preferences and complaints</w:t>
      </w:r>
      <w:r w:rsidR="00F10596">
        <w:rPr>
          <w:rFonts w:ascii="Arial" w:hAnsi="Arial"/>
          <w:sz w:val="22"/>
        </w:rPr>
        <w:t xml:space="preserve"> </w:t>
      </w:r>
      <w:r w:rsidR="00F10596" w:rsidRPr="00F10596">
        <w:rPr>
          <w:rFonts w:ascii="Arial" w:hAnsi="Arial"/>
          <w:sz w:val="22"/>
        </w:rPr>
        <w:t>(Willson, 2021)</w:t>
      </w:r>
      <w:r>
        <w:rPr>
          <w:rFonts w:ascii="Arial" w:hAnsi="Arial"/>
          <w:sz w:val="22"/>
        </w:rPr>
        <w:t xml:space="preserve">. The description of my assignment was clear and defined. While conducting surveys and questionnaires among the workforce, my thoughts were a bit unclear about the level of accuracy of </w:t>
      </w:r>
      <w:r w:rsidR="00CD361B">
        <w:rPr>
          <w:rFonts w:ascii="Arial" w:hAnsi="Arial"/>
          <w:sz w:val="22"/>
        </w:rPr>
        <w:t xml:space="preserve">the </w:t>
      </w:r>
      <w:r>
        <w:rPr>
          <w:rFonts w:ascii="Arial" w:hAnsi="Arial"/>
          <w:sz w:val="22"/>
        </w:rPr>
        <w:t>information that I am going to receive. As many employees might not find the questions relatable or relevant to the research. That is, I felt the need of determining some interactive ways to communicate with the subjects better and ensure better results. As a result, I pre</w:t>
      </w:r>
      <w:r w:rsidR="00CD361B">
        <w:rPr>
          <w:rFonts w:ascii="Arial" w:hAnsi="Arial"/>
          <w:sz w:val="22"/>
        </w:rPr>
        <w:t>pa</w:t>
      </w:r>
      <w:r>
        <w:rPr>
          <w:rFonts w:ascii="Arial" w:hAnsi="Arial"/>
          <w:sz w:val="22"/>
        </w:rPr>
        <w:t>red a set of small games that will be conducted among the workforce to understand their situation and feel better. After that, the evaluation of the experience involved going through the a</w:t>
      </w:r>
      <w:r w:rsidR="00CD361B">
        <w:rPr>
          <w:rFonts w:ascii="Arial" w:hAnsi="Arial"/>
          <w:sz w:val="22"/>
        </w:rPr>
        <w:t>ns</w:t>
      </w:r>
      <w:r>
        <w:rPr>
          <w:rFonts w:ascii="Arial" w:hAnsi="Arial"/>
          <w:sz w:val="22"/>
        </w:rPr>
        <w:t>wers and figuring out any discrep</w:t>
      </w:r>
      <w:r w:rsidR="00CD361B">
        <w:rPr>
          <w:rFonts w:ascii="Arial" w:hAnsi="Arial"/>
          <w:sz w:val="22"/>
        </w:rPr>
        <w:t>a</w:t>
      </w:r>
      <w:r>
        <w:rPr>
          <w:rFonts w:ascii="Arial" w:hAnsi="Arial"/>
          <w:sz w:val="22"/>
        </w:rPr>
        <w:t>ncy or immorality in them. Moreover, I evaluated my communication and leadership skills in conducting the sessions to get the most accurate answers within the given period</w:t>
      </w:r>
      <w:r w:rsidR="00F10596">
        <w:rPr>
          <w:rFonts w:ascii="Arial" w:hAnsi="Arial"/>
          <w:sz w:val="22"/>
        </w:rPr>
        <w:t xml:space="preserve"> </w:t>
      </w:r>
      <w:r w:rsidR="00F10596" w:rsidRPr="00F10596">
        <w:rPr>
          <w:rFonts w:ascii="Arial" w:hAnsi="Arial"/>
          <w:sz w:val="22"/>
        </w:rPr>
        <w:t>(</w:t>
      </w:r>
      <w:proofErr w:type="spellStart"/>
      <w:r w:rsidR="00F10596" w:rsidRPr="00F10596">
        <w:rPr>
          <w:rFonts w:ascii="Arial" w:hAnsi="Arial"/>
          <w:sz w:val="22"/>
        </w:rPr>
        <w:t>Sjölin</w:t>
      </w:r>
      <w:proofErr w:type="spellEnd"/>
      <w:r w:rsidR="00F10596" w:rsidRPr="00F10596">
        <w:rPr>
          <w:rFonts w:ascii="Arial" w:hAnsi="Arial"/>
          <w:sz w:val="22"/>
        </w:rPr>
        <w:t>, 2018)</w:t>
      </w:r>
      <w:r>
        <w:rPr>
          <w:rFonts w:ascii="Arial" w:hAnsi="Arial"/>
          <w:sz w:val="22"/>
        </w:rPr>
        <w:t>. In this step, I realised this task provided me with the opportunity to improve my interpersonal skills like communication skill</w:t>
      </w:r>
      <w:r w:rsidR="00CD361B">
        <w:rPr>
          <w:rFonts w:ascii="Arial" w:hAnsi="Arial"/>
          <w:sz w:val="22"/>
        </w:rPr>
        <w:t>s</w:t>
      </w:r>
      <w:r>
        <w:rPr>
          <w:rFonts w:ascii="Arial" w:hAnsi="Arial"/>
          <w:sz w:val="22"/>
        </w:rPr>
        <w:t>, time management skill</w:t>
      </w:r>
      <w:r w:rsidR="00CD361B">
        <w:rPr>
          <w:rFonts w:ascii="Arial" w:hAnsi="Arial"/>
          <w:sz w:val="22"/>
        </w:rPr>
        <w:t>s</w:t>
      </w:r>
      <w:r>
        <w:rPr>
          <w:rFonts w:ascii="Arial" w:hAnsi="Arial"/>
          <w:sz w:val="22"/>
        </w:rPr>
        <w:t>, leadership skill</w:t>
      </w:r>
      <w:r w:rsidR="00CD361B">
        <w:rPr>
          <w:rFonts w:ascii="Arial" w:hAnsi="Arial"/>
          <w:sz w:val="22"/>
        </w:rPr>
        <w:t>s</w:t>
      </w:r>
      <w:r>
        <w:rPr>
          <w:rFonts w:ascii="Arial" w:hAnsi="Arial"/>
          <w:sz w:val="22"/>
        </w:rPr>
        <w:t>, and decision</w:t>
      </w:r>
      <w:r w:rsidR="00CD361B">
        <w:rPr>
          <w:rFonts w:ascii="Arial" w:hAnsi="Arial"/>
          <w:sz w:val="22"/>
        </w:rPr>
        <w:t>-</w:t>
      </w:r>
      <w:r>
        <w:rPr>
          <w:rFonts w:ascii="Arial" w:hAnsi="Arial"/>
          <w:sz w:val="22"/>
        </w:rPr>
        <w:t>making skill</w:t>
      </w:r>
      <w:r w:rsidR="00CD361B">
        <w:rPr>
          <w:rFonts w:ascii="Arial" w:hAnsi="Arial"/>
          <w:sz w:val="22"/>
        </w:rPr>
        <w:t>s</w:t>
      </w:r>
      <w:r>
        <w:rPr>
          <w:rFonts w:ascii="Arial" w:hAnsi="Arial"/>
          <w:sz w:val="22"/>
        </w:rPr>
        <w:t>. Following that, the analysis of the experience was I was succe</w:t>
      </w:r>
      <w:r w:rsidR="00CD361B">
        <w:rPr>
          <w:rFonts w:ascii="Arial" w:hAnsi="Arial"/>
          <w:sz w:val="22"/>
        </w:rPr>
        <w:t>s</w:t>
      </w:r>
      <w:r>
        <w:rPr>
          <w:rFonts w:ascii="Arial" w:hAnsi="Arial"/>
          <w:sz w:val="22"/>
        </w:rPr>
        <w:t>sful in making a draft report within the given time, which meant the successful application of interactive sessions and reporting skills. Mor</w:t>
      </w:r>
      <w:r w:rsidR="00CD361B">
        <w:rPr>
          <w:rFonts w:ascii="Arial" w:hAnsi="Arial"/>
          <w:sz w:val="22"/>
        </w:rPr>
        <w:t>eo</w:t>
      </w:r>
      <w:r>
        <w:rPr>
          <w:rFonts w:ascii="Arial" w:hAnsi="Arial"/>
          <w:sz w:val="22"/>
        </w:rPr>
        <w:t xml:space="preserve">ver, the analysis of the reporting showed that the answers provided </w:t>
      </w:r>
      <w:r w:rsidR="00CD361B">
        <w:rPr>
          <w:rFonts w:ascii="Arial" w:hAnsi="Arial"/>
          <w:sz w:val="22"/>
        </w:rPr>
        <w:t>b</w:t>
      </w:r>
      <w:r>
        <w:rPr>
          <w:rFonts w:ascii="Arial" w:hAnsi="Arial"/>
          <w:sz w:val="22"/>
        </w:rPr>
        <w:t xml:space="preserve">y many employees showed similarity and was not relevant to the aim of the task. </w:t>
      </w:r>
    </w:p>
    <w:p w14:paraId="5BE139A9" w14:textId="28385D1D" w:rsidR="009E30A5" w:rsidRDefault="0074718F" w:rsidP="009E30A5">
      <w:pPr>
        <w:rPr>
          <w:rFonts w:ascii="Arial" w:hAnsi="Arial"/>
          <w:sz w:val="22"/>
        </w:rPr>
      </w:pPr>
      <w:r>
        <w:rPr>
          <w:rFonts w:ascii="Arial" w:hAnsi="Arial"/>
          <w:sz w:val="22"/>
        </w:rPr>
        <w:t>The learning outcome from this experience as it is quite difficult to get the most accurate and relevant answers from a huge group of people from a generalised set of survey questions</w:t>
      </w:r>
      <w:r w:rsidR="00062D79">
        <w:rPr>
          <w:rFonts w:ascii="Arial" w:hAnsi="Arial"/>
          <w:sz w:val="22"/>
        </w:rPr>
        <w:t xml:space="preserve"> </w:t>
      </w:r>
      <w:r w:rsidR="00062D79" w:rsidRPr="00062D79">
        <w:rPr>
          <w:rFonts w:ascii="Arial" w:hAnsi="Arial"/>
          <w:sz w:val="22"/>
        </w:rPr>
        <w:t>(Taylor, 2010)</w:t>
      </w:r>
      <w:r>
        <w:rPr>
          <w:rFonts w:ascii="Arial" w:hAnsi="Arial"/>
          <w:sz w:val="22"/>
        </w:rPr>
        <w:t xml:space="preserve">. It was also clear that, in a professional setting, employees are less likely to speak the entire truth that might </w:t>
      </w:r>
      <w:r w:rsidR="00CD361B">
        <w:rPr>
          <w:rFonts w:ascii="Arial" w:hAnsi="Arial"/>
          <w:sz w:val="22"/>
        </w:rPr>
        <w:t>a</w:t>
      </w:r>
      <w:r>
        <w:rPr>
          <w:rFonts w:ascii="Arial" w:hAnsi="Arial"/>
          <w:sz w:val="22"/>
        </w:rPr>
        <w:t xml:space="preserve">ffect their careers in the company. Therefore, it requires a long time of evaluation and reporting to get the most relevant and accurate information for the task. The summary of the </w:t>
      </w:r>
      <w:r>
        <w:rPr>
          <w:rFonts w:ascii="Arial" w:hAnsi="Arial"/>
          <w:sz w:val="22"/>
        </w:rPr>
        <w:lastRenderedPageBreak/>
        <w:t>whole experi</w:t>
      </w:r>
      <w:r w:rsidR="00CD361B">
        <w:rPr>
          <w:rFonts w:ascii="Arial" w:hAnsi="Arial"/>
          <w:sz w:val="22"/>
        </w:rPr>
        <w:t>e</w:t>
      </w:r>
      <w:r>
        <w:rPr>
          <w:rFonts w:ascii="Arial" w:hAnsi="Arial"/>
          <w:sz w:val="22"/>
        </w:rPr>
        <w:t>nce can be categorised into two parts. The positive conclusion of the experi</w:t>
      </w:r>
      <w:r w:rsidR="00CD361B">
        <w:rPr>
          <w:rFonts w:ascii="Arial" w:hAnsi="Arial"/>
          <w:sz w:val="22"/>
        </w:rPr>
        <w:t>e</w:t>
      </w:r>
      <w:r>
        <w:rPr>
          <w:rFonts w:ascii="Arial" w:hAnsi="Arial"/>
          <w:sz w:val="22"/>
        </w:rPr>
        <w:t xml:space="preserve">nce was the opportunities that it provided for me to improve my professional skill that will enhance my career in the future. Moreover, some conversations with the employees provided effective feedback about the current working environment </w:t>
      </w:r>
      <w:r w:rsidR="001D77F2">
        <w:rPr>
          <w:rFonts w:ascii="Arial" w:hAnsi="Arial"/>
          <w:sz w:val="22"/>
        </w:rPr>
        <w:t>and enabled some room for improvement</w:t>
      </w:r>
      <w:r w:rsidR="00062D79">
        <w:rPr>
          <w:rFonts w:ascii="Arial" w:hAnsi="Arial"/>
          <w:sz w:val="22"/>
        </w:rPr>
        <w:t xml:space="preserve"> </w:t>
      </w:r>
      <w:r w:rsidR="00062D79" w:rsidRPr="00062D79">
        <w:rPr>
          <w:rFonts w:ascii="Arial" w:hAnsi="Arial"/>
          <w:sz w:val="22"/>
        </w:rPr>
        <w:t>(Rappel, 2018)</w:t>
      </w:r>
      <w:r w:rsidR="001D77F2">
        <w:rPr>
          <w:rFonts w:ascii="Arial" w:hAnsi="Arial"/>
          <w:sz w:val="22"/>
        </w:rPr>
        <w:t>. The negative conclusion of the experience was the fact that some of the employees were not comfortable in sharing the core information related to their work experience as the questions were quite general. That is, more in-depth communication was required with those employees to get their genuine feedback about the work environment. At last, the action plan for the future is quite simple. That is, in the scenario where a lot of people is involved to provide feedback and in</w:t>
      </w:r>
      <w:r w:rsidR="00CD361B">
        <w:rPr>
          <w:rFonts w:ascii="Arial" w:hAnsi="Arial"/>
          <w:sz w:val="22"/>
        </w:rPr>
        <w:t>fo</w:t>
      </w:r>
      <w:r w:rsidR="001D77F2">
        <w:rPr>
          <w:rFonts w:ascii="Arial" w:hAnsi="Arial"/>
          <w:sz w:val="22"/>
        </w:rPr>
        <w:t xml:space="preserve">rmation about a specific topic, </w:t>
      </w:r>
      <w:r w:rsidR="00CD361B">
        <w:rPr>
          <w:rFonts w:ascii="Arial" w:hAnsi="Arial"/>
          <w:sz w:val="22"/>
        </w:rPr>
        <w:t xml:space="preserve">a </w:t>
      </w:r>
      <w:r w:rsidR="001D77F2">
        <w:rPr>
          <w:rFonts w:ascii="Arial" w:hAnsi="Arial"/>
          <w:sz w:val="22"/>
        </w:rPr>
        <w:t>more in-depth analysis must be applied. That is, in the future while dealing with a simi</w:t>
      </w:r>
      <w:r w:rsidR="00CD361B">
        <w:rPr>
          <w:rFonts w:ascii="Arial" w:hAnsi="Arial"/>
          <w:sz w:val="22"/>
        </w:rPr>
        <w:t>la</w:t>
      </w:r>
      <w:r w:rsidR="001D77F2">
        <w:rPr>
          <w:rFonts w:ascii="Arial" w:hAnsi="Arial"/>
          <w:sz w:val="22"/>
        </w:rPr>
        <w:t>r scenario, I will go for an in-depth appr</w:t>
      </w:r>
      <w:r w:rsidR="00CD361B">
        <w:rPr>
          <w:rFonts w:ascii="Arial" w:hAnsi="Arial"/>
          <w:sz w:val="22"/>
        </w:rPr>
        <w:t>oa</w:t>
      </w:r>
      <w:r w:rsidR="001D77F2">
        <w:rPr>
          <w:rFonts w:ascii="Arial" w:hAnsi="Arial"/>
          <w:sz w:val="22"/>
        </w:rPr>
        <w:t>ch to try to understand the actual situation</w:t>
      </w:r>
      <w:r w:rsidR="00062D79">
        <w:rPr>
          <w:rFonts w:ascii="Arial" w:hAnsi="Arial"/>
          <w:sz w:val="22"/>
        </w:rPr>
        <w:t xml:space="preserve"> </w:t>
      </w:r>
      <w:r w:rsidR="00062D79" w:rsidRPr="00062D79">
        <w:rPr>
          <w:rFonts w:ascii="Arial" w:hAnsi="Arial"/>
          <w:sz w:val="22"/>
        </w:rPr>
        <w:t>(Willson, 2021)</w:t>
      </w:r>
      <w:r w:rsidR="001D77F2">
        <w:rPr>
          <w:rFonts w:ascii="Arial" w:hAnsi="Arial"/>
          <w:sz w:val="22"/>
        </w:rPr>
        <w:t>. Therefore, in this way</w:t>
      </w:r>
      <w:r w:rsidR="00CD361B">
        <w:rPr>
          <w:rFonts w:ascii="Arial" w:hAnsi="Arial"/>
          <w:sz w:val="22"/>
        </w:rPr>
        <w:t>,</w:t>
      </w:r>
      <w:r w:rsidR="001D77F2">
        <w:rPr>
          <w:rFonts w:ascii="Arial" w:hAnsi="Arial"/>
          <w:sz w:val="22"/>
        </w:rPr>
        <w:t xml:space="preserve"> I was able to apply Gibb’s reflection cycle model in my experi</w:t>
      </w:r>
      <w:r w:rsidR="00CD361B">
        <w:rPr>
          <w:rFonts w:ascii="Arial" w:hAnsi="Arial"/>
          <w:sz w:val="22"/>
        </w:rPr>
        <w:t>e</w:t>
      </w:r>
      <w:r w:rsidR="001D77F2">
        <w:rPr>
          <w:rFonts w:ascii="Arial" w:hAnsi="Arial"/>
          <w:sz w:val="22"/>
        </w:rPr>
        <w:t xml:space="preserve">nce and realise the impact it had on my personal and professional life. </w:t>
      </w:r>
    </w:p>
    <w:p w14:paraId="6D05EF5C" w14:textId="3B488DA6" w:rsidR="00CD361B" w:rsidRDefault="00CD361B" w:rsidP="009E30A5">
      <w:pPr>
        <w:rPr>
          <w:rFonts w:ascii="Arial" w:hAnsi="Arial"/>
          <w:b/>
          <w:bCs/>
          <w:sz w:val="22"/>
        </w:rPr>
      </w:pPr>
      <w:r w:rsidRPr="00CD361B">
        <w:rPr>
          <w:rFonts w:ascii="Arial" w:hAnsi="Arial"/>
          <w:b/>
          <w:bCs/>
          <w:sz w:val="22"/>
        </w:rPr>
        <w:t>Reflection on relationship between academic theories and personal experience</w:t>
      </w:r>
    </w:p>
    <w:p w14:paraId="696EEC8C" w14:textId="082CDCFA" w:rsidR="00CD361B" w:rsidRDefault="00CD361B" w:rsidP="009E30A5">
      <w:pPr>
        <w:rPr>
          <w:rFonts w:ascii="Arial" w:hAnsi="Arial"/>
          <w:sz w:val="22"/>
        </w:rPr>
      </w:pPr>
      <w:r>
        <w:rPr>
          <w:rFonts w:ascii="Arial" w:hAnsi="Arial"/>
          <w:sz w:val="22"/>
        </w:rPr>
        <w:t>There are many academic theories related to reflective practice. One of the most simple models in this aspect is The ERA cycle with only three steps</w:t>
      </w:r>
      <w:r w:rsidR="009F1703">
        <w:rPr>
          <w:rFonts w:ascii="Arial" w:hAnsi="Arial"/>
          <w:sz w:val="22"/>
        </w:rPr>
        <w:t xml:space="preserve"> </w:t>
      </w:r>
      <w:r w:rsidR="009F1703" w:rsidRPr="009F1703">
        <w:rPr>
          <w:rFonts w:ascii="Arial" w:hAnsi="Arial"/>
          <w:sz w:val="22"/>
        </w:rPr>
        <w:t>(Brockbank, McGill and McGill, 2012)</w:t>
      </w:r>
      <w:r>
        <w:rPr>
          <w:rFonts w:ascii="Arial" w:hAnsi="Arial"/>
          <w:sz w:val="22"/>
        </w:rPr>
        <w:t>. They are experience, reflection, and action. The process starts with a certain experience or an incident that happened in our life. The experience can be positive, negative, useful, harmful, or neutral. After the experience, the person starts to reflect on the situation. This allows us to think, examine, and determine the impact of the experience and the future aspects. Following this comes the last step of taking an action</w:t>
      </w:r>
      <w:r w:rsidR="009F1703">
        <w:rPr>
          <w:rFonts w:ascii="Arial" w:hAnsi="Arial"/>
          <w:sz w:val="22"/>
        </w:rPr>
        <w:t xml:space="preserve"> </w:t>
      </w:r>
      <w:r w:rsidR="009F1703" w:rsidRPr="009F1703">
        <w:rPr>
          <w:rFonts w:ascii="Arial" w:hAnsi="Arial"/>
          <w:sz w:val="22"/>
        </w:rPr>
        <w:t>(Dennison, 2012)</w:t>
      </w:r>
      <w:r>
        <w:rPr>
          <w:rFonts w:ascii="Arial" w:hAnsi="Arial"/>
          <w:sz w:val="22"/>
        </w:rPr>
        <w:t xml:space="preserve">. The changes and future precautions are taken as a result of this experience is the action part of the cycle. The action taken will result in another experience that will continue the cycle. </w:t>
      </w:r>
    </w:p>
    <w:p w14:paraId="42707384" w14:textId="7B7188A8" w:rsidR="00CD361B" w:rsidRDefault="00CD361B" w:rsidP="00CD361B">
      <w:pPr>
        <w:jc w:val="center"/>
        <w:rPr>
          <w:rFonts w:ascii="Arial" w:hAnsi="Arial"/>
          <w:sz w:val="22"/>
        </w:rPr>
      </w:pPr>
      <w:r>
        <w:rPr>
          <w:rFonts w:ascii="Arial" w:hAnsi="Arial"/>
          <w:noProof/>
          <w:sz w:val="22"/>
        </w:rPr>
        <w:drawing>
          <wp:inline distT="0" distB="0" distL="0" distR="0" wp14:anchorId="70183F2E" wp14:editId="66836DDD">
            <wp:extent cx="2790825" cy="15698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27923" cy="1590707"/>
                    </a:xfrm>
                    <a:prstGeom prst="rect">
                      <a:avLst/>
                    </a:prstGeom>
                  </pic:spPr>
                </pic:pic>
              </a:graphicData>
            </a:graphic>
          </wp:inline>
        </w:drawing>
      </w:r>
    </w:p>
    <w:p w14:paraId="4D948A4B" w14:textId="171E6A88" w:rsidR="00CD361B" w:rsidRDefault="00CD361B" w:rsidP="00CD361B">
      <w:pPr>
        <w:jc w:val="center"/>
        <w:rPr>
          <w:rFonts w:ascii="Arial" w:hAnsi="Arial"/>
          <w:b/>
          <w:bCs/>
          <w:sz w:val="22"/>
        </w:rPr>
      </w:pPr>
      <w:r w:rsidRPr="00CD361B">
        <w:rPr>
          <w:rFonts w:ascii="Arial" w:hAnsi="Arial"/>
          <w:b/>
          <w:bCs/>
          <w:sz w:val="22"/>
        </w:rPr>
        <w:t xml:space="preserve">Figure 2: The ERA cycle </w:t>
      </w:r>
    </w:p>
    <w:p w14:paraId="082BA0DB" w14:textId="778BEB89" w:rsidR="00CD361B" w:rsidRDefault="00CD361B" w:rsidP="00CD361B">
      <w:pPr>
        <w:rPr>
          <w:rFonts w:ascii="Arial" w:hAnsi="Arial"/>
          <w:sz w:val="22"/>
        </w:rPr>
      </w:pPr>
      <w:r>
        <w:rPr>
          <w:rFonts w:ascii="Arial" w:hAnsi="Arial"/>
          <w:sz w:val="22"/>
        </w:rPr>
        <w:lastRenderedPageBreak/>
        <w:t>This model is the closest to satisfying every personal experience an individual can go through. This simple model focuses on the experience, its impact, and course of action in the future. All real-life experiences can be related to this model</w:t>
      </w:r>
      <w:r w:rsidR="009F1703">
        <w:rPr>
          <w:rFonts w:ascii="Arial" w:hAnsi="Arial"/>
          <w:sz w:val="22"/>
        </w:rPr>
        <w:t xml:space="preserve"> </w:t>
      </w:r>
      <w:r w:rsidR="009F1703" w:rsidRPr="009F1703">
        <w:rPr>
          <w:rFonts w:ascii="Arial" w:hAnsi="Arial"/>
          <w:sz w:val="22"/>
        </w:rPr>
        <w:t>(Roland, 2017)</w:t>
      </w:r>
      <w:r>
        <w:rPr>
          <w:rFonts w:ascii="Arial" w:hAnsi="Arial"/>
          <w:sz w:val="22"/>
        </w:rPr>
        <w:t>. For example, the understanding of this theory allowed me to tackle a real-life scenario that I faced during this term. In one of my courses, I was assigned a group task of preparing a presentation on a specific topic. The groups were composed of 4 members and required each of them to participate in the presentation equally. Generally, in a group setup, there are certain communication, coordination, effort, and, disciplinary issues. My experience of a group assignment provided me with the experience of working in a group. In that experience, my learning and action taken in the end were developing a sense of teamwork and leadership skill. According to the ERA cycle, that action leads me to become a team player and a leader as well</w:t>
      </w:r>
      <w:r w:rsidR="009F1703">
        <w:rPr>
          <w:rFonts w:ascii="Arial" w:hAnsi="Arial"/>
          <w:sz w:val="22"/>
        </w:rPr>
        <w:t xml:space="preserve"> </w:t>
      </w:r>
      <w:r w:rsidR="009F1703" w:rsidRPr="009F1703">
        <w:rPr>
          <w:rFonts w:ascii="Arial" w:hAnsi="Arial"/>
          <w:sz w:val="22"/>
        </w:rPr>
        <w:t>(Rappel, 2018)</w:t>
      </w:r>
      <w:r>
        <w:rPr>
          <w:rFonts w:ascii="Arial" w:hAnsi="Arial"/>
          <w:sz w:val="22"/>
        </w:rPr>
        <w:t>. Therefore, in the presentation task, I was prepared beforehand to take care of the situation. In the given task, I ensured effective teamwork by establishing reliable communication methods among the group members from the start to the end of the preparation part. Moreover, I proposed a feedback session on every individual work to ensure all the members knew about the content prepared by others. In this way, we as a group worked effectively and constructively to prepare an excellent presentation. Therefore, the understanding of the academic theory of The ERA cycle ensured a successful personal experience for me.</w:t>
      </w:r>
    </w:p>
    <w:p w14:paraId="61BDB7AB" w14:textId="0A54A611" w:rsidR="00CD361B" w:rsidRDefault="00CD361B" w:rsidP="00CD361B">
      <w:pPr>
        <w:rPr>
          <w:rFonts w:ascii="Arial" w:hAnsi="Arial"/>
          <w:sz w:val="22"/>
        </w:rPr>
      </w:pPr>
      <w:r>
        <w:rPr>
          <w:rFonts w:ascii="Arial" w:hAnsi="Arial"/>
          <w:sz w:val="22"/>
        </w:rPr>
        <w:t>There are many more models on reflective practice with a more detailed approach. Kolb’s experiential learning cycle involving 4 steps of concrete experience, reflective observation, abstract conceptualisation, and active experimentation is a more complex approach to reflective practice</w:t>
      </w:r>
      <w:r w:rsidR="006A6E64">
        <w:rPr>
          <w:rFonts w:ascii="Arial" w:hAnsi="Arial"/>
          <w:sz w:val="22"/>
        </w:rPr>
        <w:t xml:space="preserve"> </w:t>
      </w:r>
      <w:r w:rsidR="006A6E64" w:rsidRPr="006A6E64">
        <w:rPr>
          <w:rFonts w:ascii="Arial" w:hAnsi="Arial"/>
          <w:sz w:val="22"/>
        </w:rPr>
        <w:t>(Dennison, 2012)</w:t>
      </w:r>
      <w:r>
        <w:rPr>
          <w:rFonts w:ascii="Arial" w:hAnsi="Arial"/>
          <w:sz w:val="22"/>
        </w:rPr>
        <w:t>. Another simple model in this aspect is Driscoll’s What Model with three simple steps. They are 3 questions like what? so what? and now what?. The answer to these 3 questions determines the entire reflective process. However, all these models are applicable in practical scenarios depending on the situation itself and the individual experiencing it. My personal preferences are Gibbs’ reflection cycle and the ERA cycle in developing reflective practices. These two models directly focus on the experiences and the process of learning and changing to deal with the situations better in the future</w:t>
      </w:r>
      <w:r w:rsidR="009F1703">
        <w:rPr>
          <w:rFonts w:ascii="Arial" w:hAnsi="Arial"/>
          <w:sz w:val="22"/>
        </w:rPr>
        <w:t xml:space="preserve"> </w:t>
      </w:r>
      <w:r w:rsidR="009F1703" w:rsidRPr="009F1703">
        <w:rPr>
          <w:rFonts w:ascii="Arial" w:hAnsi="Arial"/>
          <w:sz w:val="22"/>
        </w:rPr>
        <w:t>(Taylor, 2010)</w:t>
      </w:r>
      <w:r>
        <w:rPr>
          <w:rFonts w:ascii="Arial" w:hAnsi="Arial"/>
          <w:sz w:val="22"/>
        </w:rPr>
        <w:t>.</w:t>
      </w:r>
    </w:p>
    <w:p w14:paraId="090E268E" w14:textId="77777777" w:rsidR="00CD361B" w:rsidRDefault="00CD361B">
      <w:pPr>
        <w:rPr>
          <w:rFonts w:ascii="Arial" w:hAnsi="Arial"/>
          <w:sz w:val="22"/>
        </w:rPr>
      </w:pPr>
      <w:r>
        <w:rPr>
          <w:rFonts w:ascii="Arial" w:hAnsi="Arial"/>
          <w:sz w:val="22"/>
        </w:rPr>
        <w:br w:type="page"/>
      </w:r>
    </w:p>
    <w:p w14:paraId="49544A73" w14:textId="77777777" w:rsidR="00CD361B" w:rsidRPr="00CD361B" w:rsidRDefault="00CD361B" w:rsidP="00CD361B">
      <w:pPr>
        <w:pStyle w:val="Heading1"/>
        <w:rPr>
          <w:rFonts w:ascii="Arial" w:hAnsi="Arial" w:cs="Arial"/>
        </w:rPr>
      </w:pPr>
      <w:bookmarkStart w:id="2" w:name="_Toc88431443"/>
      <w:r w:rsidRPr="00CD361B">
        <w:rPr>
          <w:rFonts w:ascii="Arial" w:hAnsi="Arial" w:cs="Arial"/>
        </w:rPr>
        <w:lastRenderedPageBreak/>
        <w:t>Conclusion</w:t>
      </w:r>
      <w:bookmarkEnd w:id="2"/>
    </w:p>
    <w:p w14:paraId="04E9A2B9" w14:textId="2DFCBE39" w:rsidR="00CD361B" w:rsidRDefault="00CD361B" w:rsidP="00CD361B">
      <w:pPr>
        <w:rPr>
          <w:rFonts w:ascii="Arial" w:hAnsi="Arial"/>
          <w:sz w:val="22"/>
        </w:rPr>
      </w:pPr>
      <w:r>
        <w:rPr>
          <w:rFonts w:ascii="Arial" w:hAnsi="Arial"/>
          <w:sz w:val="22"/>
        </w:rPr>
        <w:t>Reflective practices are very important to learn and improve from an experience. It is also a crucial part of community engagement which allows individuals to learn from mistakes and become better human beings. The purpose of this reflection report is to provide relevant models and theories related to reflective practices. Moreover, personal experiences and learning outcomes from those experiences have also been shared in context with academic theories and models. The importance of learning from experiences is vital for any student or professional to succeed in life. Therefore, having a reflective approach to every situation and scenario faced in life is beneficial for any individual</w:t>
      </w:r>
      <w:r w:rsidR="009F1703">
        <w:rPr>
          <w:rFonts w:ascii="Arial" w:hAnsi="Arial"/>
          <w:sz w:val="22"/>
        </w:rPr>
        <w:t xml:space="preserve"> </w:t>
      </w:r>
      <w:r w:rsidR="009F1703" w:rsidRPr="009F1703">
        <w:rPr>
          <w:rFonts w:ascii="Arial" w:hAnsi="Arial"/>
          <w:sz w:val="22"/>
        </w:rPr>
        <w:t>(Moon, 2013)</w:t>
      </w:r>
      <w:r>
        <w:rPr>
          <w:rFonts w:ascii="Arial" w:hAnsi="Arial"/>
          <w:sz w:val="22"/>
        </w:rPr>
        <w:t xml:space="preserve">. </w:t>
      </w:r>
    </w:p>
    <w:p w14:paraId="78C4EB13" w14:textId="77777777" w:rsidR="00CD361B" w:rsidRDefault="00CD361B">
      <w:pPr>
        <w:rPr>
          <w:rFonts w:ascii="Arial" w:hAnsi="Arial"/>
          <w:sz w:val="22"/>
        </w:rPr>
      </w:pPr>
      <w:r>
        <w:rPr>
          <w:rFonts w:ascii="Arial" w:hAnsi="Arial"/>
          <w:sz w:val="22"/>
        </w:rPr>
        <w:br w:type="page"/>
      </w:r>
    </w:p>
    <w:p w14:paraId="74B7D6D0" w14:textId="625DB97B" w:rsidR="004746BD" w:rsidRPr="004746BD" w:rsidRDefault="004746BD" w:rsidP="004746BD">
      <w:pPr>
        <w:pStyle w:val="Heading1"/>
        <w:rPr>
          <w:rFonts w:ascii="Arial" w:hAnsi="Arial" w:cs="Arial"/>
        </w:rPr>
      </w:pPr>
      <w:bookmarkStart w:id="3" w:name="_Toc88431444"/>
      <w:r w:rsidRPr="004746BD">
        <w:rPr>
          <w:rFonts w:ascii="Arial" w:hAnsi="Arial" w:cs="Arial"/>
        </w:rPr>
        <w:lastRenderedPageBreak/>
        <w:t>References</w:t>
      </w:r>
      <w:bookmarkEnd w:id="3"/>
    </w:p>
    <w:p w14:paraId="61E4C780" w14:textId="77777777" w:rsidR="00BC7FCB" w:rsidRPr="00BC7FCB" w:rsidRDefault="00BC7FCB" w:rsidP="00BC7FCB">
      <w:pPr>
        <w:rPr>
          <w:rFonts w:ascii="Arial" w:hAnsi="Arial"/>
          <w:sz w:val="22"/>
        </w:rPr>
      </w:pPr>
      <w:r w:rsidRPr="00BC7FCB">
        <w:rPr>
          <w:rFonts w:ascii="Arial" w:hAnsi="Arial"/>
          <w:sz w:val="22"/>
        </w:rPr>
        <w:t>2011-2021, (., 2021. </w:t>
      </w:r>
      <w:r w:rsidRPr="00BC7FCB">
        <w:rPr>
          <w:rFonts w:ascii="Arial" w:hAnsi="Arial"/>
          <w:i/>
          <w:iCs/>
          <w:sz w:val="22"/>
        </w:rPr>
        <w:t xml:space="preserve">Reflective Practice | </w:t>
      </w:r>
      <w:proofErr w:type="spellStart"/>
      <w:r w:rsidRPr="00BC7FCB">
        <w:rPr>
          <w:rFonts w:ascii="Arial" w:hAnsi="Arial"/>
          <w:i/>
          <w:iCs/>
          <w:sz w:val="22"/>
        </w:rPr>
        <w:t>SkillsYouNeed</w:t>
      </w:r>
      <w:proofErr w:type="spellEnd"/>
      <w:r w:rsidRPr="00BC7FCB">
        <w:rPr>
          <w:rFonts w:ascii="Arial" w:hAnsi="Arial"/>
          <w:sz w:val="22"/>
        </w:rPr>
        <w:t>. [online] Skillsyouneed.com. Available at: &lt;https://www.skillsyouneed.com/ps/reflective-practice.html&gt; [Accessed 21 November 2021].</w:t>
      </w:r>
    </w:p>
    <w:p w14:paraId="20C66D6B" w14:textId="534CF6CF" w:rsidR="00BC7FCB" w:rsidRPr="00BC7FCB" w:rsidRDefault="00BC7FCB" w:rsidP="00BC7FCB">
      <w:pPr>
        <w:rPr>
          <w:rFonts w:ascii="Arial" w:hAnsi="Arial"/>
          <w:sz w:val="22"/>
        </w:rPr>
      </w:pPr>
      <w:r w:rsidRPr="00BC7FCB">
        <w:rPr>
          <w:rFonts w:ascii="Arial" w:hAnsi="Arial"/>
          <w:sz w:val="22"/>
        </w:rPr>
        <w:t>Aschwanden, C., 2017. Transferable Skills And Portable Careers. </w:t>
      </w:r>
      <w:r w:rsidRPr="00BC7FCB">
        <w:rPr>
          <w:rFonts w:ascii="Arial" w:hAnsi="Arial"/>
          <w:i/>
          <w:iCs/>
          <w:sz w:val="22"/>
        </w:rPr>
        <w:t>Science</w:t>
      </w:r>
      <w:r w:rsidRPr="00BC7FCB">
        <w:rPr>
          <w:rFonts w:ascii="Arial" w:hAnsi="Arial"/>
          <w:sz w:val="22"/>
        </w:rPr>
        <w:t>.</w:t>
      </w:r>
    </w:p>
    <w:p w14:paraId="77605545" w14:textId="77777777" w:rsidR="00BC7FCB" w:rsidRPr="00BC7FCB" w:rsidRDefault="00BC7FCB" w:rsidP="00BC7FCB">
      <w:pPr>
        <w:rPr>
          <w:rFonts w:ascii="Arial" w:hAnsi="Arial"/>
          <w:sz w:val="22"/>
        </w:rPr>
      </w:pPr>
      <w:r w:rsidRPr="00BC7FCB">
        <w:rPr>
          <w:rFonts w:ascii="Arial" w:hAnsi="Arial"/>
          <w:sz w:val="22"/>
        </w:rPr>
        <w:t>Brockbank, A., McGill, I. and McGill, I., 2012. </w:t>
      </w:r>
      <w:r w:rsidRPr="00BC7FCB">
        <w:rPr>
          <w:rFonts w:ascii="Arial" w:hAnsi="Arial"/>
          <w:i/>
          <w:iCs/>
          <w:sz w:val="22"/>
        </w:rPr>
        <w:t>Facilitating reflective learning</w:t>
      </w:r>
      <w:r w:rsidRPr="00BC7FCB">
        <w:rPr>
          <w:rFonts w:ascii="Arial" w:hAnsi="Arial"/>
          <w:sz w:val="22"/>
        </w:rPr>
        <w:t>. London: Kogan Page.</w:t>
      </w:r>
    </w:p>
    <w:p w14:paraId="45B42922" w14:textId="77777777" w:rsidR="00BC7FCB" w:rsidRPr="00BC7FCB" w:rsidRDefault="00BC7FCB" w:rsidP="00BC7FCB">
      <w:pPr>
        <w:rPr>
          <w:rFonts w:ascii="Arial" w:hAnsi="Arial"/>
          <w:sz w:val="22"/>
        </w:rPr>
      </w:pPr>
      <w:r w:rsidRPr="00BC7FCB">
        <w:rPr>
          <w:rFonts w:ascii="Arial" w:hAnsi="Arial"/>
          <w:sz w:val="22"/>
        </w:rPr>
        <w:t>Dennison, P., 2012. Reflective practice: The enduring influence of Kolb’s Experiential Learning Theory. </w:t>
      </w:r>
      <w:r w:rsidRPr="00BC7FCB">
        <w:rPr>
          <w:rFonts w:ascii="Arial" w:hAnsi="Arial"/>
          <w:i/>
          <w:iCs/>
          <w:sz w:val="22"/>
        </w:rPr>
        <w:t>Compass: Journal of Learning and Teaching</w:t>
      </w:r>
      <w:r w:rsidRPr="00BC7FCB">
        <w:rPr>
          <w:rFonts w:ascii="Arial" w:hAnsi="Arial"/>
          <w:sz w:val="22"/>
        </w:rPr>
        <w:t>, 1(1).</w:t>
      </w:r>
    </w:p>
    <w:p w14:paraId="2B9ADAF0" w14:textId="77777777" w:rsidR="00BC7FCB" w:rsidRPr="00BC7FCB" w:rsidRDefault="00BC7FCB" w:rsidP="00BC7FCB">
      <w:pPr>
        <w:rPr>
          <w:rFonts w:ascii="Arial" w:hAnsi="Arial"/>
          <w:sz w:val="22"/>
        </w:rPr>
      </w:pPr>
      <w:r w:rsidRPr="00BC7FCB">
        <w:rPr>
          <w:rFonts w:ascii="Arial" w:hAnsi="Arial"/>
          <w:sz w:val="22"/>
        </w:rPr>
        <w:t>Hargreaves, J. and Page, L., 2013. </w:t>
      </w:r>
      <w:r w:rsidRPr="00BC7FCB">
        <w:rPr>
          <w:rFonts w:ascii="Arial" w:hAnsi="Arial"/>
          <w:i/>
          <w:iCs/>
          <w:sz w:val="22"/>
        </w:rPr>
        <w:t>Reflective Practice</w:t>
      </w:r>
      <w:r w:rsidRPr="00BC7FCB">
        <w:rPr>
          <w:rFonts w:ascii="Arial" w:hAnsi="Arial"/>
          <w:sz w:val="22"/>
        </w:rPr>
        <w:t>. Hoboken: Wiley.</w:t>
      </w:r>
    </w:p>
    <w:p w14:paraId="6ECDFE01" w14:textId="77777777" w:rsidR="00BC7FCB" w:rsidRPr="00BC7FCB" w:rsidRDefault="00BC7FCB" w:rsidP="00BC7FCB">
      <w:pPr>
        <w:rPr>
          <w:rFonts w:ascii="Arial" w:hAnsi="Arial"/>
          <w:sz w:val="22"/>
        </w:rPr>
      </w:pPr>
      <w:r w:rsidRPr="00BC7FCB">
        <w:rPr>
          <w:rFonts w:ascii="Arial" w:hAnsi="Arial"/>
          <w:sz w:val="22"/>
        </w:rPr>
        <w:t>Hunt, C., 2021. </w:t>
      </w:r>
      <w:r w:rsidRPr="00BC7FCB">
        <w:rPr>
          <w:rFonts w:ascii="Arial" w:hAnsi="Arial"/>
          <w:i/>
          <w:iCs/>
          <w:sz w:val="22"/>
        </w:rPr>
        <w:t>Critical reflection, spirituality and professional practice</w:t>
      </w:r>
      <w:r w:rsidRPr="00BC7FCB">
        <w:rPr>
          <w:rFonts w:ascii="Arial" w:hAnsi="Arial"/>
          <w:sz w:val="22"/>
        </w:rPr>
        <w:t>.</w:t>
      </w:r>
    </w:p>
    <w:p w14:paraId="6F965DE1" w14:textId="77777777" w:rsidR="00BC7FCB" w:rsidRPr="00BC7FCB" w:rsidRDefault="00BC7FCB" w:rsidP="00BC7FCB">
      <w:pPr>
        <w:rPr>
          <w:rFonts w:ascii="Arial" w:hAnsi="Arial"/>
          <w:sz w:val="22"/>
        </w:rPr>
      </w:pPr>
      <w:r w:rsidRPr="00BC7FCB">
        <w:rPr>
          <w:rFonts w:ascii="Arial" w:hAnsi="Arial"/>
          <w:sz w:val="22"/>
        </w:rPr>
        <w:t>Libguides.cam.ac.uk. 2021. </w:t>
      </w:r>
      <w:proofErr w:type="spellStart"/>
      <w:r w:rsidRPr="00BC7FCB">
        <w:rPr>
          <w:rFonts w:ascii="Arial" w:hAnsi="Arial"/>
          <w:i/>
          <w:iCs/>
          <w:sz w:val="22"/>
        </w:rPr>
        <w:t>LibGuides</w:t>
      </w:r>
      <w:proofErr w:type="spellEnd"/>
      <w:r w:rsidRPr="00BC7FCB">
        <w:rPr>
          <w:rFonts w:ascii="Arial" w:hAnsi="Arial"/>
          <w:i/>
          <w:iCs/>
          <w:sz w:val="22"/>
        </w:rPr>
        <w:t>: Reflective Practice Toolkit: Models of reflection</w:t>
      </w:r>
      <w:r w:rsidRPr="00BC7FCB">
        <w:rPr>
          <w:rFonts w:ascii="Arial" w:hAnsi="Arial"/>
          <w:sz w:val="22"/>
        </w:rPr>
        <w:t>. [online] Available at: &lt;https://libguides.cam.ac.uk/reflectivepracticetoolkit/models&gt; [Accessed 21 November 2021].</w:t>
      </w:r>
    </w:p>
    <w:p w14:paraId="769C61C4" w14:textId="77777777" w:rsidR="00BC7FCB" w:rsidRPr="00BC7FCB" w:rsidRDefault="00BC7FCB" w:rsidP="00BC7FCB">
      <w:pPr>
        <w:rPr>
          <w:rFonts w:ascii="Arial" w:hAnsi="Arial"/>
          <w:sz w:val="22"/>
        </w:rPr>
      </w:pPr>
      <w:r w:rsidRPr="00BC7FCB">
        <w:rPr>
          <w:rFonts w:ascii="Arial" w:hAnsi="Arial"/>
          <w:sz w:val="22"/>
        </w:rPr>
        <w:t>Michael Page. 2021. </w:t>
      </w:r>
      <w:r w:rsidRPr="00BC7FCB">
        <w:rPr>
          <w:rFonts w:ascii="Arial" w:hAnsi="Arial"/>
          <w:i/>
          <w:iCs/>
          <w:sz w:val="22"/>
        </w:rPr>
        <w:t>Developing Transferable Skills | Michael Page</w:t>
      </w:r>
      <w:r w:rsidRPr="00BC7FCB">
        <w:rPr>
          <w:rFonts w:ascii="Arial" w:hAnsi="Arial"/>
          <w:sz w:val="22"/>
        </w:rPr>
        <w:t>. [online] Available at: &lt;https://www.michaelpage.com/advice/career-advice/growing-your-career/developing-transferable-skills&gt; [Accessed 21 November 2021].</w:t>
      </w:r>
    </w:p>
    <w:p w14:paraId="685FA518" w14:textId="77777777" w:rsidR="00BC7FCB" w:rsidRPr="00BC7FCB" w:rsidRDefault="00BC7FCB" w:rsidP="00BC7FCB">
      <w:pPr>
        <w:rPr>
          <w:rFonts w:ascii="Arial" w:hAnsi="Arial"/>
          <w:sz w:val="22"/>
        </w:rPr>
      </w:pPr>
      <w:r w:rsidRPr="00BC7FCB">
        <w:rPr>
          <w:rFonts w:ascii="Arial" w:hAnsi="Arial"/>
          <w:sz w:val="22"/>
        </w:rPr>
        <w:t>Moon, J., 2013. </w:t>
      </w:r>
      <w:r w:rsidRPr="00BC7FCB">
        <w:rPr>
          <w:rFonts w:ascii="Arial" w:hAnsi="Arial"/>
          <w:i/>
          <w:iCs/>
          <w:sz w:val="22"/>
        </w:rPr>
        <w:t>A Handbook of Reflective and Experiential Learning</w:t>
      </w:r>
      <w:r w:rsidRPr="00BC7FCB">
        <w:rPr>
          <w:rFonts w:ascii="Arial" w:hAnsi="Arial"/>
          <w:sz w:val="22"/>
        </w:rPr>
        <w:t>. Hoboken: Taylor and Francis.</w:t>
      </w:r>
    </w:p>
    <w:p w14:paraId="384D8487" w14:textId="77777777" w:rsidR="00BC7FCB" w:rsidRPr="00BC7FCB" w:rsidRDefault="00BC7FCB" w:rsidP="00BC7FCB">
      <w:pPr>
        <w:rPr>
          <w:rFonts w:ascii="Arial" w:hAnsi="Arial"/>
          <w:sz w:val="22"/>
        </w:rPr>
      </w:pPr>
      <w:r w:rsidRPr="00BC7FCB">
        <w:rPr>
          <w:rFonts w:ascii="Arial" w:hAnsi="Arial"/>
          <w:sz w:val="22"/>
        </w:rPr>
        <w:t>Rappel, L., 2018. Transforming thought through reflective experiential learning. </w:t>
      </w:r>
      <w:r w:rsidRPr="00BC7FCB">
        <w:rPr>
          <w:rFonts w:ascii="Arial" w:hAnsi="Arial"/>
          <w:i/>
          <w:iCs/>
          <w:sz w:val="22"/>
        </w:rPr>
        <w:t>Arts &amp; Humanities Open Access Journal</w:t>
      </w:r>
      <w:r w:rsidRPr="00BC7FCB">
        <w:rPr>
          <w:rFonts w:ascii="Arial" w:hAnsi="Arial"/>
          <w:sz w:val="22"/>
        </w:rPr>
        <w:t>, 2(2).</w:t>
      </w:r>
    </w:p>
    <w:p w14:paraId="10E1FDB9" w14:textId="77777777" w:rsidR="00BC7FCB" w:rsidRPr="00BC7FCB" w:rsidRDefault="00BC7FCB" w:rsidP="00BC7FCB">
      <w:pPr>
        <w:rPr>
          <w:rFonts w:ascii="Arial" w:hAnsi="Arial"/>
          <w:sz w:val="22"/>
        </w:rPr>
      </w:pPr>
      <w:r w:rsidRPr="00BC7FCB">
        <w:rPr>
          <w:rFonts w:ascii="Arial" w:hAnsi="Arial"/>
          <w:sz w:val="22"/>
        </w:rPr>
        <w:t>Roland, K., 2017. Experiential Learning: Learning through Reflective Practice. </w:t>
      </w:r>
      <w:r w:rsidRPr="00BC7FCB">
        <w:rPr>
          <w:rFonts w:ascii="Arial" w:hAnsi="Arial"/>
          <w:i/>
          <w:iCs/>
          <w:sz w:val="22"/>
        </w:rPr>
        <w:t>International Journal for Cross-Disciplinary Subjects in Education</w:t>
      </w:r>
      <w:r w:rsidRPr="00BC7FCB">
        <w:rPr>
          <w:rFonts w:ascii="Arial" w:hAnsi="Arial"/>
          <w:sz w:val="22"/>
        </w:rPr>
        <w:t>, 8(1), pp.2982-2989.</w:t>
      </w:r>
    </w:p>
    <w:p w14:paraId="48CF4B0B" w14:textId="3E99AC06" w:rsidR="00BC7FCB" w:rsidRPr="00BC7FCB" w:rsidRDefault="00BC7FCB" w:rsidP="00BC7FCB">
      <w:pPr>
        <w:rPr>
          <w:rFonts w:ascii="Arial" w:hAnsi="Arial"/>
          <w:sz w:val="22"/>
        </w:rPr>
      </w:pPr>
      <w:proofErr w:type="spellStart"/>
      <w:r w:rsidRPr="00BC7FCB">
        <w:rPr>
          <w:rFonts w:ascii="Arial" w:hAnsi="Arial"/>
          <w:sz w:val="22"/>
        </w:rPr>
        <w:t>Sjölin</w:t>
      </w:r>
      <w:proofErr w:type="spellEnd"/>
      <w:r w:rsidRPr="00BC7FCB">
        <w:rPr>
          <w:rFonts w:ascii="Arial" w:hAnsi="Arial"/>
          <w:sz w:val="22"/>
        </w:rPr>
        <w:t xml:space="preserve">, V., 2018. Introduction - </w:t>
      </w:r>
      <w:r w:rsidR="000A2D78">
        <w:rPr>
          <w:rFonts w:ascii="Arial" w:hAnsi="Arial"/>
          <w:sz w:val="22"/>
        </w:rPr>
        <w:t>T</w:t>
      </w:r>
      <w:r w:rsidRPr="00BC7FCB">
        <w:rPr>
          <w:rFonts w:ascii="Arial" w:hAnsi="Arial"/>
          <w:sz w:val="22"/>
        </w:rPr>
        <w:t>he value of effective communication. </w:t>
      </w:r>
      <w:r w:rsidRPr="00BC7FCB">
        <w:rPr>
          <w:rFonts w:ascii="Arial" w:hAnsi="Arial"/>
          <w:i/>
          <w:iCs/>
          <w:sz w:val="22"/>
        </w:rPr>
        <w:t>Fire and Materials</w:t>
      </w:r>
      <w:r w:rsidRPr="00BC7FCB">
        <w:rPr>
          <w:rFonts w:ascii="Arial" w:hAnsi="Arial"/>
          <w:sz w:val="22"/>
        </w:rPr>
        <w:t>, 13(1), pp.277-282.</w:t>
      </w:r>
    </w:p>
    <w:p w14:paraId="537EBE9C" w14:textId="77777777" w:rsidR="00BC7FCB" w:rsidRPr="00BC7FCB" w:rsidRDefault="00BC7FCB" w:rsidP="00BC7FCB">
      <w:pPr>
        <w:rPr>
          <w:rFonts w:ascii="Arial" w:hAnsi="Arial"/>
          <w:sz w:val="22"/>
        </w:rPr>
      </w:pPr>
      <w:r w:rsidRPr="00BC7FCB">
        <w:rPr>
          <w:rFonts w:ascii="Arial" w:hAnsi="Arial"/>
          <w:sz w:val="22"/>
        </w:rPr>
        <w:t>Taylor, B., 2010. </w:t>
      </w:r>
      <w:r w:rsidRPr="00BC7FCB">
        <w:rPr>
          <w:rFonts w:ascii="Arial" w:hAnsi="Arial"/>
          <w:i/>
          <w:iCs/>
          <w:sz w:val="22"/>
        </w:rPr>
        <w:t>Reflective practice</w:t>
      </w:r>
      <w:r w:rsidRPr="00BC7FCB">
        <w:rPr>
          <w:rFonts w:ascii="Arial" w:hAnsi="Arial"/>
          <w:sz w:val="22"/>
        </w:rPr>
        <w:t>. Maidenhead: Open University Press.</w:t>
      </w:r>
    </w:p>
    <w:p w14:paraId="406349CD" w14:textId="77777777" w:rsidR="00BC7FCB" w:rsidRPr="00BC7FCB" w:rsidRDefault="00BC7FCB" w:rsidP="00BC7FCB">
      <w:pPr>
        <w:rPr>
          <w:rFonts w:ascii="Arial" w:hAnsi="Arial"/>
          <w:sz w:val="22"/>
        </w:rPr>
      </w:pPr>
      <w:r w:rsidRPr="00BC7FCB">
        <w:rPr>
          <w:rFonts w:ascii="Arial" w:hAnsi="Arial"/>
          <w:sz w:val="22"/>
        </w:rPr>
        <w:lastRenderedPageBreak/>
        <w:t>The University of Edinburgh. 2021. </w:t>
      </w:r>
      <w:r w:rsidRPr="00BC7FCB">
        <w:rPr>
          <w:rFonts w:ascii="Arial" w:hAnsi="Arial"/>
          <w:i/>
          <w:iCs/>
          <w:sz w:val="22"/>
        </w:rPr>
        <w:t>Gibbs' Reflective Cycle</w:t>
      </w:r>
      <w:r w:rsidRPr="00BC7FCB">
        <w:rPr>
          <w:rFonts w:ascii="Arial" w:hAnsi="Arial"/>
          <w:sz w:val="22"/>
        </w:rPr>
        <w:t>. [online] Available at: &lt;https://www.ed.ac.uk/reflection/reflectors-toolkit/reflecting-on-experience/gibbs-reflective-cycle&gt; [Accessed 21 November 2021].</w:t>
      </w:r>
    </w:p>
    <w:p w14:paraId="3C13233A" w14:textId="77777777" w:rsidR="00BC7FCB" w:rsidRPr="00BC7FCB" w:rsidRDefault="00BC7FCB" w:rsidP="00BC7FCB">
      <w:pPr>
        <w:rPr>
          <w:rFonts w:ascii="Arial" w:hAnsi="Arial"/>
          <w:sz w:val="22"/>
        </w:rPr>
      </w:pPr>
      <w:r w:rsidRPr="00BC7FCB">
        <w:rPr>
          <w:rFonts w:ascii="Arial" w:hAnsi="Arial"/>
          <w:sz w:val="22"/>
        </w:rPr>
        <w:t>Willson, R., 2021. </w:t>
      </w:r>
      <w:r w:rsidRPr="00BC7FCB">
        <w:rPr>
          <w:rFonts w:ascii="Arial" w:hAnsi="Arial"/>
          <w:i/>
          <w:iCs/>
          <w:sz w:val="22"/>
        </w:rPr>
        <w:t>Reflective planning practice</w:t>
      </w:r>
      <w:r w:rsidRPr="00BC7FCB">
        <w:rPr>
          <w:rFonts w:ascii="Arial" w:hAnsi="Arial"/>
          <w:sz w:val="22"/>
        </w:rPr>
        <w:t>. SAGE.</w:t>
      </w:r>
    </w:p>
    <w:sectPr w:rsidR="00BC7FCB" w:rsidRPr="00BC7FCB" w:rsidSect="004474C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F6E95" w14:textId="77777777" w:rsidR="000779C0" w:rsidRDefault="000779C0" w:rsidP="00540688">
      <w:pPr>
        <w:spacing w:before="0" w:line="240" w:lineRule="auto"/>
      </w:pPr>
      <w:r>
        <w:separator/>
      </w:r>
    </w:p>
  </w:endnote>
  <w:endnote w:type="continuationSeparator" w:id="0">
    <w:p w14:paraId="4682DA40" w14:textId="77777777" w:rsidR="000779C0" w:rsidRDefault="000779C0" w:rsidP="0054068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2610313"/>
      <w:docPartObj>
        <w:docPartGallery w:val="Page Numbers (Bottom of Page)"/>
        <w:docPartUnique/>
      </w:docPartObj>
    </w:sdtPr>
    <w:sdtEndPr>
      <w:rPr>
        <w:noProof/>
      </w:rPr>
    </w:sdtEndPr>
    <w:sdtContent>
      <w:p w14:paraId="2F0BA8AB" w14:textId="10D211BC" w:rsidR="00540688" w:rsidRDefault="005406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34ACF2" w14:textId="77777777" w:rsidR="00540688" w:rsidRDefault="00540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79254" w14:textId="77777777" w:rsidR="000779C0" w:rsidRDefault="000779C0" w:rsidP="00540688">
      <w:pPr>
        <w:spacing w:before="0" w:line="240" w:lineRule="auto"/>
      </w:pPr>
      <w:r>
        <w:separator/>
      </w:r>
    </w:p>
  </w:footnote>
  <w:footnote w:type="continuationSeparator" w:id="0">
    <w:p w14:paraId="2D5272B4" w14:textId="77777777" w:rsidR="000779C0" w:rsidRDefault="000779C0" w:rsidP="00540688">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555B53"/>
    <w:multiLevelType w:val="hybridMultilevel"/>
    <w:tmpl w:val="B588C7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Q0NbUwNDM2MLY0MTNR0lEKTi0uzszPAykwrgUA97SaViwAAAA="/>
  </w:docVars>
  <w:rsids>
    <w:rsidRoot w:val="00783A31"/>
    <w:rsid w:val="00062D79"/>
    <w:rsid w:val="000779C0"/>
    <w:rsid w:val="000A2D78"/>
    <w:rsid w:val="000A4974"/>
    <w:rsid w:val="000A5B19"/>
    <w:rsid w:val="00111456"/>
    <w:rsid w:val="001D77F2"/>
    <w:rsid w:val="001E00BF"/>
    <w:rsid w:val="002C4B2C"/>
    <w:rsid w:val="0032307B"/>
    <w:rsid w:val="0032395C"/>
    <w:rsid w:val="003F6BBF"/>
    <w:rsid w:val="004474C3"/>
    <w:rsid w:val="004746BD"/>
    <w:rsid w:val="00486A01"/>
    <w:rsid w:val="00540688"/>
    <w:rsid w:val="006A6E64"/>
    <w:rsid w:val="007054DE"/>
    <w:rsid w:val="00745D3D"/>
    <w:rsid w:val="0074718F"/>
    <w:rsid w:val="00783A31"/>
    <w:rsid w:val="008367A1"/>
    <w:rsid w:val="008436C1"/>
    <w:rsid w:val="00886921"/>
    <w:rsid w:val="009E2794"/>
    <w:rsid w:val="009E2A82"/>
    <w:rsid w:val="009E30A5"/>
    <w:rsid w:val="009F1703"/>
    <w:rsid w:val="00A56AEF"/>
    <w:rsid w:val="00B461EE"/>
    <w:rsid w:val="00B474F9"/>
    <w:rsid w:val="00B8052A"/>
    <w:rsid w:val="00BC7FCB"/>
    <w:rsid w:val="00C9205E"/>
    <w:rsid w:val="00CD361B"/>
    <w:rsid w:val="00D06642"/>
    <w:rsid w:val="00D320D4"/>
    <w:rsid w:val="00DB7CC5"/>
    <w:rsid w:val="00ED3622"/>
    <w:rsid w:val="00F10596"/>
    <w:rsid w:val="00F512CE"/>
    <w:rsid w:val="00FC4A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C9A34"/>
  <w15:chartTrackingRefBased/>
  <w15:docId w15:val="{420792A8-6481-41E6-AF43-603083046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GB" w:eastAsia="en-US" w:bidi="ar-SA"/>
      </w:rPr>
    </w:rPrDefault>
    <w:pPrDefault>
      <w:pPr>
        <w:spacing w:before="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0688"/>
    <w:pPr>
      <w:keepNext/>
      <w:keepLines/>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B7CC5"/>
    <w:pPr>
      <w:keepNext/>
      <w:keepLines/>
      <w:spacing w:before="40"/>
      <w:outlineLvl w:val="1"/>
    </w:pPr>
    <w:rPr>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DB7CC5"/>
    <w:rPr>
      <w:rFonts w:eastAsiaTheme="majorEastAsia" w:cstheme="majorBidi"/>
      <w:sz w:val="26"/>
      <w:szCs w:val="26"/>
    </w:rPr>
  </w:style>
  <w:style w:type="paragraph" w:styleId="NoSpacing">
    <w:name w:val="No Spacing"/>
    <w:uiPriority w:val="1"/>
    <w:qFormat/>
    <w:rsid w:val="00540688"/>
    <w:pPr>
      <w:spacing w:before="0" w:line="240" w:lineRule="auto"/>
    </w:pPr>
  </w:style>
  <w:style w:type="character" w:customStyle="1" w:styleId="Heading1Char">
    <w:name w:val="Heading 1 Char"/>
    <w:basedOn w:val="DefaultParagraphFont"/>
    <w:link w:val="Heading1"/>
    <w:uiPriority w:val="9"/>
    <w:rsid w:val="005406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40688"/>
    <w:pPr>
      <w:spacing w:line="259" w:lineRule="auto"/>
      <w:jc w:val="left"/>
      <w:outlineLvl w:val="9"/>
    </w:pPr>
    <w:rPr>
      <w:lang w:val="en-US"/>
    </w:rPr>
  </w:style>
  <w:style w:type="paragraph" w:styleId="Header">
    <w:name w:val="header"/>
    <w:basedOn w:val="Normal"/>
    <w:link w:val="HeaderChar"/>
    <w:uiPriority w:val="99"/>
    <w:unhideWhenUsed/>
    <w:rsid w:val="00540688"/>
    <w:pPr>
      <w:tabs>
        <w:tab w:val="center" w:pos="4513"/>
        <w:tab w:val="right" w:pos="9026"/>
      </w:tabs>
      <w:spacing w:before="0" w:line="240" w:lineRule="auto"/>
    </w:pPr>
  </w:style>
  <w:style w:type="character" w:customStyle="1" w:styleId="HeaderChar">
    <w:name w:val="Header Char"/>
    <w:basedOn w:val="DefaultParagraphFont"/>
    <w:link w:val="Header"/>
    <w:uiPriority w:val="99"/>
    <w:rsid w:val="00540688"/>
  </w:style>
  <w:style w:type="paragraph" w:styleId="Footer">
    <w:name w:val="footer"/>
    <w:basedOn w:val="Normal"/>
    <w:link w:val="FooterChar"/>
    <w:uiPriority w:val="99"/>
    <w:unhideWhenUsed/>
    <w:rsid w:val="00540688"/>
    <w:pPr>
      <w:tabs>
        <w:tab w:val="center" w:pos="4513"/>
        <w:tab w:val="right" w:pos="9026"/>
      </w:tabs>
      <w:spacing w:before="0" w:line="240" w:lineRule="auto"/>
    </w:pPr>
  </w:style>
  <w:style w:type="character" w:customStyle="1" w:styleId="FooterChar">
    <w:name w:val="Footer Char"/>
    <w:basedOn w:val="DefaultParagraphFont"/>
    <w:link w:val="Footer"/>
    <w:uiPriority w:val="99"/>
    <w:rsid w:val="00540688"/>
  </w:style>
  <w:style w:type="paragraph" w:styleId="TOC1">
    <w:name w:val="toc 1"/>
    <w:basedOn w:val="Normal"/>
    <w:next w:val="Normal"/>
    <w:autoRedefine/>
    <w:uiPriority w:val="39"/>
    <w:unhideWhenUsed/>
    <w:rsid w:val="009E2794"/>
    <w:pPr>
      <w:spacing w:after="100"/>
    </w:pPr>
  </w:style>
  <w:style w:type="character" w:styleId="Hyperlink">
    <w:name w:val="Hyperlink"/>
    <w:basedOn w:val="DefaultParagraphFont"/>
    <w:uiPriority w:val="99"/>
    <w:unhideWhenUsed/>
    <w:rsid w:val="009E2794"/>
    <w:rPr>
      <w:color w:val="0563C1" w:themeColor="hyperlink"/>
      <w:u w:val="single"/>
    </w:rPr>
  </w:style>
  <w:style w:type="paragraph" w:styleId="ListParagraph">
    <w:name w:val="List Paragraph"/>
    <w:basedOn w:val="Normal"/>
    <w:uiPriority w:val="34"/>
    <w:qFormat/>
    <w:rsid w:val="00BC7F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936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EA6CB7-1D7F-4CA9-965D-3819D5D55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2339</Words>
  <Characters>13336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Cristina Solomon</cp:lastModifiedBy>
  <cp:revision>29</cp:revision>
  <dcterms:created xsi:type="dcterms:W3CDTF">2021-11-21T08:10:00Z</dcterms:created>
  <dcterms:modified xsi:type="dcterms:W3CDTF">2021-11-30T10:51:00Z</dcterms:modified>
</cp:coreProperties>
</file>