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D1B74" w14:textId="23A0C731" w:rsidR="007C0F04" w:rsidRDefault="00000000">
      <w:pPr>
        <w:pStyle w:val="Heading3"/>
        <w:spacing w:before="281" w:after="281"/>
        <w:ind w:leftChars="466" w:left="1118" w:firstLineChars="50" w:firstLine="281"/>
        <w:rPr>
          <w:rFonts w:ascii="Aptos" w:eastAsia="Aptos" w:hAnsi="Aptos" w:cs="Aptos"/>
          <w:b/>
          <w:bCs/>
          <w:color w:val="000000" w:themeColor="text1"/>
          <w:sz w:val="56"/>
          <w:szCs w:val="56"/>
        </w:rPr>
      </w:pPr>
      <w:r>
        <w:rPr>
          <w:rFonts w:ascii="Aptos" w:eastAsia="Aptos" w:hAnsi="Aptos" w:cs="Aptos"/>
          <w:b/>
          <w:bCs/>
          <w:color w:val="000000" w:themeColor="text1"/>
          <w:sz w:val="56"/>
          <w:szCs w:val="56"/>
        </w:rPr>
        <w:t xml:space="preserve">BMNS4015 Personal, Academic and    Professional Development    </w:t>
      </w:r>
    </w:p>
    <w:p w14:paraId="71BD1B75" w14:textId="3670DF49" w:rsidR="007C0F04" w:rsidRDefault="00A764D4">
      <w:r>
        <w:t>RODICA DOBRE(1920</w:t>
      </w:r>
      <w:r w:rsidR="00B86C83">
        <w:t>091)</w:t>
      </w:r>
    </w:p>
    <w:p w14:paraId="71BD1B76" w14:textId="7B21DB99" w:rsidR="007C0F04" w:rsidRDefault="00A37690">
      <w:r>
        <w:t>SWOT ANALYSIS ACADEMIC WRITING</w:t>
      </w:r>
    </w:p>
    <w:p w14:paraId="71BD1B77" w14:textId="77777777" w:rsidR="007C0F04" w:rsidRDefault="007C0F04"/>
    <w:p w14:paraId="71BD1B78" w14:textId="77777777" w:rsidR="007C0F04" w:rsidRDefault="007C0F04"/>
    <w:p w14:paraId="71BD1B79" w14:textId="77777777" w:rsidR="007C0F04" w:rsidRDefault="007C0F04"/>
    <w:p w14:paraId="71BD1B7A" w14:textId="77777777" w:rsidR="007C0F04" w:rsidRDefault="007C0F04"/>
    <w:p w14:paraId="71BD1B7B" w14:textId="77777777" w:rsidR="007C0F04" w:rsidRDefault="007C0F04"/>
    <w:p w14:paraId="71BD1B7C" w14:textId="77777777" w:rsidR="007C0F04" w:rsidRDefault="007C0F04"/>
    <w:p w14:paraId="71BD1B7D" w14:textId="77777777" w:rsidR="007C0F04" w:rsidRDefault="007C0F04"/>
    <w:p w14:paraId="71BD1B7E" w14:textId="77777777" w:rsidR="007C0F04" w:rsidRDefault="007C0F04"/>
    <w:p w14:paraId="71BD1B7F" w14:textId="77777777" w:rsidR="007C0F04" w:rsidRDefault="007C0F04"/>
    <w:p w14:paraId="71BD1B80" w14:textId="77777777" w:rsidR="007C0F04" w:rsidRDefault="007C0F04"/>
    <w:p w14:paraId="71BD1B81" w14:textId="77777777" w:rsidR="007C0F04" w:rsidRDefault="007C0F04"/>
    <w:p w14:paraId="71BD1B82" w14:textId="77777777" w:rsidR="007C0F04" w:rsidRDefault="007C0F04"/>
    <w:p w14:paraId="71BD1B83" w14:textId="77777777" w:rsidR="007C0F04" w:rsidRDefault="007C0F04"/>
    <w:p w14:paraId="71BD1B84" w14:textId="77777777" w:rsidR="007C0F04" w:rsidRDefault="007C0F04"/>
    <w:p w14:paraId="71BD1B85" w14:textId="77777777" w:rsidR="007C0F04" w:rsidRDefault="007C0F04"/>
    <w:p w14:paraId="71BD1B86" w14:textId="77777777" w:rsidR="007C0F04" w:rsidRDefault="007C0F04"/>
    <w:p w14:paraId="71BD1B87" w14:textId="77777777" w:rsidR="007C0F04" w:rsidRDefault="007C0F04"/>
    <w:p w14:paraId="71BD1B88" w14:textId="77777777" w:rsidR="007C0F04" w:rsidRDefault="007C0F04"/>
    <w:p w14:paraId="71BD1B89" w14:textId="77777777" w:rsidR="007C0F04" w:rsidRDefault="00000000">
      <w:pPr>
        <w:pStyle w:val="Heading3"/>
        <w:spacing w:before="281" w:after="281"/>
        <w:rPr>
          <w:rFonts w:ascii="Aptos" w:eastAsia="Aptos" w:hAnsi="Aptos" w:cs="Aptos"/>
          <w:b/>
          <w:bCs/>
          <w:color w:val="000000" w:themeColor="text1"/>
        </w:rPr>
      </w:pPr>
      <w:r>
        <w:rPr>
          <w:rFonts w:ascii="Aptos" w:eastAsia="Aptos" w:hAnsi="Aptos" w:cs="Aptos"/>
          <w:b/>
          <w:bCs/>
          <w:color w:val="000000" w:themeColor="text1"/>
        </w:rPr>
        <w:lastRenderedPageBreak/>
        <w:t>Table of Contents</w:t>
      </w:r>
    </w:p>
    <w:p w14:paraId="71BD1B8A" w14:textId="77777777" w:rsidR="007C0F04" w:rsidRDefault="00000000">
      <w:pPr>
        <w:pStyle w:val="ListParagraph"/>
        <w:numPr>
          <w:ilvl w:val="0"/>
          <w:numId w:val="1"/>
        </w:numPr>
        <w:spacing w:before="240" w:after="240"/>
        <w:rPr>
          <w:rFonts w:ascii="Aptos" w:eastAsia="Aptos" w:hAnsi="Aptos" w:cs="Aptos"/>
          <w:b/>
          <w:bCs/>
        </w:rPr>
      </w:pPr>
      <w:r>
        <w:rPr>
          <w:rFonts w:ascii="Aptos" w:eastAsia="Aptos" w:hAnsi="Aptos" w:cs="Aptos"/>
          <w:b/>
          <w:bCs/>
        </w:rPr>
        <w:t>Introduction.................................................…</w:t>
      </w:r>
      <w:r>
        <w:rPr>
          <w:rFonts w:ascii="Aptos" w:eastAsia="Aptos" w:hAnsi="Aptos" w:cs="Aptos"/>
          <w:b/>
          <w:bCs/>
          <w:lang w:val="en-GB"/>
        </w:rPr>
        <w:t>.</w:t>
      </w:r>
      <w:r>
        <w:rPr>
          <w:rFonts w:ascii="Aptos" w:eastAsia="Aptos" w:hAnsi="Aptos" w:cs="Aptos"/>
          <w:b/>
          <w:bCs/>
        </w:rPr>
        <w:t>.............3</w:t>
      </w:r>
    </w:p>
    <w:p w14:paraId="71BD1B8B" w14:textId="77777777" w:rsidR="007C0F04" w:rsidRDefault="00000000">
      <w:pPr>
        <w:pStyle w:val="ListParagraph"/>
        <w:numPr>
          <w:ilvl w:val="0"/>
          <w:numId w:val="1"/>
        </w:numPr>
        <w:spacing w:before="240" w:after="240"/>
        <w:rPr>
          <w:rFonts w:ascii="Aptos" w:eastAsia="Aptos" w:hAnsi="Aptos" w:cs="Aptos"/>
          <w:b/>
          <w:bCs/>
        </w:rPr>
      </w:pPr>
      <w:r>
        <w:rPr>
          <w:rFonts w:ascii="Aptos" w:eastAsia="Aptos" w:hAnsi="Aptos" w:cs="Aptos"/>
          <w:b/>
          <w:bCs/>
        </w:rPr>
        <w:t>Main Body......................................................…</w:t>
      </w:r>
      <w:r>
        <w:rPr>
          <w:rFonts w:ascii="Aptos" w:eastAsia="Aptos" w:hAnsi="Aptos" w:cs="Aptos"/>
          <w:b/>
          <w:bCs/>
          <w:lang w:val="en-GB"/>
        </w:rPr>
        <w:t>.</w:t>
      </w:r>
      <w:r>
        <w:rPr>
          <w:rFonts w:ascii="Aptos" w:eastAsia="Aptos" w:hAnsi="Aptos" w:cs="Aptos"/>
          <w:b/>
          <w:bCs/>
        </w:rPr>
        <w:t>............3</w:t>
      </w:r>
    </w:p>
    <w:p w14:paraId="71BD1B8C" w14:textId="77777777" w:rsidR="007C0F04" w:rsidRDefault="00000000">
      <w:pPr>
        <w:pStyle w:val="ListParagraph"/>
        <w:numPr>
          <w:ilvl w:val="1"/>
          <w:numId w:val="2"/>
        </w:numPr>
        <w:spacing w:before="240" w:after="240"/>
        <w:jc w:val="both"/>
        <w:rPr>
          <w:rFonts w:ascii="Aptos" w:eastAsia="Aptos" w:hAnsi="Aptos" w:cs="Aptos"/>
        </w:rPr>
      </w:pPr>
      <w:r>
        <w:rPr>
          <w:rFonts w:ascii="Aptos" w:eastAsia="Aptos" w:hAnsi="Aptos" w:cs="Aptos"/>
        </w:rPr>
        <w:t>Strengths..............................................................3</w:t>
      </w:r>
    </w:p>
    <w:p w14:paraId="71BD1B8D" w14:textId="77777777" w:rsidR="007C0F04" w:rsidRDefault="00000000">
      <w:pPr>
        <w:pStyle w:val="ListParagraph"/>
        <w:numPr>
          <w:ilvl w:val="1"/>
          <w:numId w:val="2"/>
        </w:numPr>
        <w:spacing w:before="240" w:after="240"/>
        <w:jc w:val="both"/>
        <w:rPr>
          <w:rFonts w:ascii="Aptos" w:eastAsia="Aptos" w:hAnsi="Aptos" w:cs="Aptos"/>
        </w:rPr>
      </w:pPr>
      <w:r>
        <w:rPr>
          <w:rFonts w:ascii="Aptos" w:eastAsia="Aptos" w:hAnsi="Aptos" w:cs="Aptos"/>
        </w:rPr>
        <w:t>Weaknesses....................................…</w:t>
      </w:r>
      <w:r>
        <w:rPr>
          <w:rFonts w:ascii="Aptos" w:eastAsia="Aptos" w:hAnsi="Aptos" w:cs="Aptos"/>
          <w:lang w:val="en-GB"/>
        </w:rPr>
        <w:t>…</w:t>
      </w:r>
      <w:r>
        <w:rPr>
          <w:rFonts w:ascii="Aptos" w:eastAsia="Aptos" w:hAnsi="Aptos" w:cs="Aptos"/>
        </w:rPr>
        <w:t>...................4</w:t>
      </w:r>
    </w:p>
    <w:p w14:paraId="71BD1B8E" w14:textId="77777777" w:rsidR="007C0F04" w:rsidRDefault="00000000">
      <w:pPr>
        <w:pStyle w:val="ListParagraph"/>
        <w:numPr>
          <w:ilvl w:val="1"/>
          <w:numId w:val="2"/>
        </w:numPr>
        <w:spacing w:before="240" w:after="240"/>
        <w:jc w:val="both"/>
        <w:rPr>
          <w:rFonts w:ascii="Aptos" w:eastAsia="Aptos" w:hAnsi="Aptos" w:cs="Aptos"/>
        </w:rPr>
      </w:pPr>
      <w:r>
        <w:rPr>
          <w:rFonts w:ascii="Aptos" w:eastAsia="Aptos" w:hAnsi="Aptos" w:cs="Aptos"/>
        </w:rPr>
        <w:t>Opportunities........................................................5</w:t>
      </w:r>
    </w:p>
    <w:p w14:paraId="71BD1B8F" w14:textId="77777777" w:rsidR="007C0F04" w:rsidRDefault="00000000">
      <w:pPr>
        <w:pStyle w:val="ListParagraph"/>
        <w:numPr>
          <w:ilvl w:val="1"/>
          <w:numId w:val="2"/>
        </w:numPr>
        <w:spacing w:before="240" w:after="240"/>
        <w:jc w:val="both"/>
        <w:rPr>
          <w:rFonts w:ascii="Aptos" w:eastAsia="Aptos" w:hAnsi="Aptos" w:cs="Aptos"/>
        </w:rPr>
      </w:pPr>
      <w:r>
        <w:rPr>
          <w:rFonts w:ascii="Aptos" w:eastAsia="Aptos" w:hAnsi="Aptos" w:cs="Aptos"/>
        </w:rPr>
        <w:t>Threats..............................................…</w:t>
      </w:r>
      <w:r>
        <w:rPr>
          <w:rFonts w:ascii="Aptos" w:eastAsia="Aptos" w:hAnsi="Aptos" w:cs="Aptos"/>
          <w:lang w:val="en-GB"/>
        </w:rPr>
        <w:t>..</w:t>
      </w:r>
      <w:r>
        <w:rPr>
          <w:rFonts w:ascii="Aptos" w:eastAsia="Aptos" w:hAnsi="Aptos" w:cs="Aptos"/>
        </w:rPr>
        <w:t>.................6</w:t>
      </w:r>
    </w:p>
    <w:p w14:paraId="71BD1B90" w14:textId="77777777" w:rsidR="007C0F04" w:rsidRDefault="00000000">
      <w:pPr>
        <w:pStyle w:val="ListParagraph"/>
        <w:numPr>
          <w:ilvl w:val="0"/>
          <w:numId w:val="1"/>
        </w:numPr>
        <w:spacing w:before="240" w:after="240"/>
        <w:rPr>
          <w:rFonts w:ascii="Aptos" w:eastAsia="Aptos" w:hAnsi="Aptos" w:cs="Aptos"/>
          <w:b/>
          <w:bCs/>
        </w:rPr>
      </w:pPr>
      <w:r>
        <w:rPr>
          <w:rFonts w:ascii="Aptos" w:eastAsia="Aptos" w:hAnsi="Aptos" w:cs="Aptos"/>
          <w:b/>
          <w:bCs/>
        </w:rPr>
        <w:t>Conclusion..........................…</w:t>
      </w:r>
      <w:r>
        <w:rPr>
          <w:rFonts w:ascii="Aptos" w:eastAsia="Aptos" w:hAnsi="Aptos" w:cs="Aptos"/>
          <w:b/>
          <w:bCs/>
          <w:lang w:val="en-GB"/>
        </w:rPr>
        <w:t>….</w:t>
      </w:r>
      <w:r>
        <w:rPr>
          <w:rFonts w:ascii="Aptos" w:eastAsia="Aptos" w:hAnsi="Aptos" w:cs="Aptos"/>
          <w:b/>
          <w:bCs/>
        </w:rPr>
        <w:t>.................…</w:t>
      </w:r>
      <w:r>
        <w:rPr>
          <w:rFonts w:ascii="Aptos" w:eastAsia="Aptos" w:hAnsi="Aptos" w:cs="Aptos"/>
          <w:b/>
          <w:bCs/>
          <w:lang w:val="en-GB"/>
        </w:rPr>
        <w:t>.</w:t>
      </w:r>
      <w:r>
        <w:rPr>
          <w:rFonts w:ascii="Aptos" w:eastAsia="Aptos" w:hAnsi="Aptos" w:cs="Aptos"/>
          <w:b/>
          <w:bCs/>
        </w:rPr>
        <w:t>..................8</w:t>
      </w:r>
    </w:p>
    <w:p w14:paraId="71BD1B91" w14:textId="77777777" w:rsidR="007C0F04" w:rsidRDefault="00000000">
      <w:pPr>
        <w:pStyle w:val="ListParagraph"/>
        <w:numPr>
          <w:ilvl w:val="0"/>
          <w:numId w:val="1"/>
        </w:numPr>
        <w:spacing w:before="240" w:after="240"/>
        <w:rPr>
          <w:rFonts w:ascii="Aptos" w:eastAsia="Aptos" w:hAnsi="Aptos" w:cs="Aptos"/>
          <w:b/>
          <w:bCs/>
        </w:rPr>
      </w:pPr>
      <w:r>
        <w:rPr>
          <w:rFonts w:ascii="Aptos" w:eastAsia="Aptos" w:hAnsi="Aptos" w:cs="Aptos"/>
          <w:b/>
          <w:bCs/>
        </w:rPr>
        <w:t>References......................................…</w:t>
      </w:r>
      <w:r>
        <w:rPr>
          <w:rFonts w:ascii="Aptos" w:eastAsia="Aptos" w:hAnsi="Aptos" w:cs="Aptos"/>
          <w:b/>
          <w:bCs/>
          <w:lang w:val="en-GB"/>
        </w:rPr>
        <w:t>….</w:t>
      </w:r>
      <w:r>
        <w:rPr>
          <w:rFonts w:ascii="Aptos" w:eastAsia="Aptos" w:hAnsi="Aptos" w:cs="Aptos"/>
          <w:b/>
          <w:bCs/>
        </w:rPr>
        <w:t>…</w:t>
      </w:r>
      <w:r>
        <w:rPr>
          <w:rFonts w:ascii="Aptos" w:eastAsia="Aptos" w:hAnsi="Aptos" w:cs="Aptos"/>
          <w:b/>
          <w:bCs/>
          <w:lang w:val="en-GB"/>
        </w:rPr>
        <w:t>..</w:t>
      </w:r>
      <w:r>
        <w:rPr>
          <w:rFonts w:ascii="Aptos" w:eastAsia="Aptos" w:hAnsi="Aptos" w:cs="Aptos"/>
          <w:b/>
          <w:bCs/>
        </w:rPr>
        <w:t>......................9</w:t>
      </w:r>
    </w:p>
    <w:p w14:paraId="71BD1B92" w14:textId="77777777" w:rsidR="007C0F04" w:rsidRDefault="007C0F04"/>
    <w:p w14:paraId="71BD1B93" w14:textId="77777777" w:rsidR="007C0F04" w:rsidRDefault="007C0F04"/>
    <w:p w14:paraId="71BD1B94" w14:textId="77777777" w:rsidR="007C0F04" w:rsidRDefault="007C0F04"/>
    <w:p w14:paraId="71BD1B95" w14:textId="77777777" w:rsidR="007C0F04" w:rsidRDefault="007C0F04"/>
    <w:p w14:paraId="71BD1B96" w14:textId="77777777" w:rsidR="007C0F04" w:rsidRDefault="007C0F04"/>
    <w:p w14:paraId="71BD1B97" w14:textId="77777777" w:rsidR="007C0F04" w:rsidRDefault="007C0F04"/>
    <w:p w14:paraId="71BD1B98" w14:textId="77777777" w:rsidR="007C0F04" w:rsidRDefault="00000000">
      <w:pPr>
        <w:pStyle w:val="Heading3"/>
        <w:spacing w:before="281" w:after="281"/>
        <w:rPr>
          <w:rFonts w:ascii="Aptos" w:eastAsia="Aptos" w:hAnsi="Aptos" w:cs="Aptos"/>
          <w:b/>
          <w:bCs/>
          <w:color w:val="000000" w:themeColor="text1"/>
        </w:rPr>
      </w:pPr>
      <w:r>
        <w:rPr>
          <w:rFonts w:ascii="Aptos" w:eastAsia="Aptos" w:hAnsi="Aptos" w:cs="Aptos"/>
          <w:b/>
          <w:bCs/>
          <w:color w:val="000000" w:themeColor="text1"/>
        </w:rPr>
        <w:t>Introduction</w:t>
      </w:r>
    </w:p>
    <w:p w14:paraId="71BD1B99" w14:textId="77777777" w:rsidR="007C0F04" w:rsidRDefault="00000000">
      <w:pPr>
        <w:spacing w:before="240" w:after="240"/>
      </w:pPr>
      <w:r>
        <w:rPr>
          <w:rFonts w:ascii="Aptos" w:eastAsia="Aptos" w:hAnsi="Aptos" w:cs="Aptos"/>
        </w:rPr>
        <w:t>Academic writing is a cornerstone skill for students in higher education, enabling us to communicate complex ideas effectively and contribute to academic discourse. This form of writing is characterized by clarity, objectivity, and the structured presentation of arguments, supported by evidence. In evaluating my abilities, a SWOT analysis (Strengths, Weaknesses, Opportunities, and Threats) provides a structured framework to reflect critically on my skills and areas for improvement. This essay explores my competencies in academic writing, focusing on strengths, weaknesses, and opportunities for development while addressing potential challenges. Through this reflection, I aim to enhance my academic writing capabilities to support my educational and professional aspirations.</w:t>
      </w:r>
    </w:p>
    <w:p w14:paraId="71BD1B9A" w14:textId="77777777" w:rsidR="007C0F04" w:rsidRDefault="007C0F04">
      <w:pPr>
        <w:spacing w:before="240" w:after="240"/>
        <w:rPr>
          <w:rFonts w:ascii="Aptos" w:eastAsia="Aptos" w:hAnsi="Aptos" w:cs="Aptos"/>
        </w:rPr>
      </w:pPr>
    </w:p>
    <w:p w14:paraId="71BD1B9B" w14:textId="77777777" w:rsidR="007C0F04" w:rsidRDefault="007C0F04">
      <w:pPr>
        <w:spacing w:before="240" w:after="240"/>
        <w:rPr>
          <w:rFonts w:ascii="Aptos" w:eastAsia="Aptos" w:hAnsi="Aptos" w:cs="Aptos"/>
        </w:rPr>
      </w:pPr>
    </w:p>
    <w:p w14:paraId="71BD1B9C" w14:textId="77777777" w:rsidR="007C0F04" w:rsidRDefault="007C0F04">
      <w:pPr>
        <w:spacing w:before="240" w:after="240"/>
        <w:rPr>
          <w:rFonts w:ascii="Aptos" w:eastAsia="Aptos" w:hAnsi="Aptos" w:cs="Aptos"/>
        </w:rPr>
      </w:pPr>
    </w:p>
    <w:p w14:paraId="71BD1B9D" w14:textId="77777777" w:rsidR="007C0F04" w:rsidRDefault="007C0F04">
      <w:pPr>
        <w:spacing w:before="240" w:after="240"/>
        <w:rPr>
          <w:rFonts w:ascii="Aptos" w:eastAsia="Aptos" w:hAnsi="Aptos" w:cs="Aptos"/>
        </w:rPr>
      </w:pPr>
    </w:p>
    <w:p w14:paraId="71BD1B9E" w14:textId="77777777" w:rsidR="007C0F04" w:rsidRDefault="00000000">
      <w:pPr>
        <w:pStyle w:val="Heading3"/>
        <w:spacing w:before="281" w:after="281"/>
        <w:rPr>
          <w:rFonts w:ascii="Aptos" w:eastAsia="Aptos" w:hAnsi="Aptos" w:cs="Aptos"/>
          <w:b/>
          <w:bCs/>
          <w:color w:val="000000" w:themeColor="text1"/>
        </w:rPr>
      </w:pPr>
      <w:r>
        <w:rPr>
          <w:rFonts w:ascii="Aptos" w:eastAsia="Aptos" w:hAnsi="Aptos" w:cs="Aptos"/>
          <w:b/>
          <w:bCs/>
          <w:color w:val="000000" w:themeColor="text1"/>
        </w:rPr>
        <w:lastRenderedPageBreak/>
        <w:t>Main Body</w:t>
      </w:r>
    </w:p>
    <w:p w14:paraId="71BD1B9F" w14:textId="77777777" w:rsidR="007C0F04" w:rsidRDefault="00000000">
      <w:pPr>
        <w:pStyle w:val="Heading4"/>
        <w:spacing w:before="319" w:after="319"/>
        <w:rPr>
          <w:rFonts w:ascii="Aptos" w:eastAsia="Aptos" w:hAnsi="Aptos" w:cs="Aptos"/>
          <w:b/>
          <w:bCs/>
          <w:color w:val="000000" w:themeColor="text1"/>
        </w:rPr>
      </w:pPr>
      <w:r>
        <w:rPr>
          <w:rFonts w:ascii="Aptos" w:eastAsia="Aptos" w:hAnsi="Aptos" w:cs="Aptos"/>
          <w:b/>
          <w:bCs/>
          <w:color w:val="000000" w:themeColor="text1"/>
        </w:rPr>
        <w:t>Strengths</w:t>
      </w:r>
    </w:p>
    <w:p w14:paraId="71BD1BA0" w14:textId="77777777" w:rsidR="007C0F04" w:rsidRDefault="00000000">
      <w:pPr>
        <w:spacing w:before="240" w:after="240"/>
      </w:pPr>
      <w:r>
        <w:rPr>
          <w:rFonts w:ascii="Aptos" w:eastAsia="Aptos" w:hAnsi="Aptos" w:cs="Aptos"/>
          <w:b/>
          <w:bCs/>
        </w:rPr>
        <w:t>Clarity and Structure</w:t>
      </w:r>
      <w:r>
        <w:rPr>
          <w:rFonts w:ascii="Aptos" w:eastAsia="Aptos" w:hAnsi="Aptos" w:cs="Aptos"/>
        </w:rPr>
        <w:t xml:space="preserve"> One of my primary strengths in academic writing is my ability to organize thoughts systematically. Academic writing demands clear and coherent presentation of ideas, which I achieve by using structured frameworks such as outlines and templates. For instance, when writing an essay on climate change policy, I divided the content into introduction, analysis, discussion, and conclusion, ensuring that each section was logically connected. This approach aligns with Taylor (2023), who emphasized the importance of structure in enhancing readability and impact.</w:t>
      </w:r>
    </w:p>
    <w:p w14:paraId="71BD1BA1" w14:textId="77777777" w:rsidR="007C0F04" w:rsidRDefault="00000000">
      <w:pPr>
        <w:spacing w:before="240" w:after="240"/>
      </w:pPr>
      <w:r>
        <w:rPr>
          <w:rFonts w:ascii="Aptos" w:eastAsia="Aptos" w:hAnsi="Aptos" w:cs="Aptos"/>
        </w:rPr>
        <w:t>Additionally, my attention to detail ensures that each argument flows logically from the previous one. This skill has helped me maintain coherence in complex assignments, such as a comparative analysis of policy frameworks. Using techniques like reverse outlining during the revision phase allows me to identify and address any gaps in argumentation, further enhancing the clarity of my writing.</w:t>
      </w:r>
    </w:p>
    <w:p w14:paraId="71BD1BA2" w14:textId="77777777" w:rsidR="007C0F04" w:rsidRDefault="00000000">
      <w:pPr>
        <w:spacing w:before="240" w:after="240"/>
      </w:pPr>
      <w:r>
        <w:rPr>
          <w:rFonts w:ascii="Aptos" w:eastAsia="Aptos" w:hAnsi="Aptos" w:cs="Aptos"/>
          <w:b/>
          <w:bCs/>
        </w:rPr>
        <w:t>Research Proficiency</w:t>
      </w:r>
      <w:r>
        <w:rPr>
          <w:rFonts w:ascii="Aptos" w:eastAsia="Aptos" w:hAnsi="Aptos" w:cs="Aptos"/>
        </w:rPr>
        <w:t xml:space="preserve"> My research skills significantly contribute to the quality of my academic writing. I am proficient in using databases such as PubMed, Google Scholar, and JSTOR to source reliable and peer-reviewed articles. My ability to synthesize information ensures that my arguments are well-supported. For example, while working on a literature review about the impact of technology on education, I integrated diverse perspectives to present a balanced argument, as suggested by Smith (2020).</w:t>
      </w:r>
    </w:p>
    <w:p w14:paraId="71BD1BA3" w14:textId="77777777" w:rsidR="007C0F04" w:rsidRDefault="00000000">
      <w:pPr>
        <w:spacing w:before="240" w:after="240"/>
      </w:pPr>
      <w:r>
        <w:rPr>
          <w:rFonts w:ascii="Aptos" w:eastAsia="Aptos" w:hAnsi="Aptos" w:cs="Aptos"/>
        </w:rPr>
        <w:t>Moreover, I have developed the ability to critically appraise sources, distinguishing between high-quality academic work and less credible materials. This skill not only strengthens my arguments but also enhances the credibility of my writing. By maintaining meticulous records of sources and notes, I ensure that my research remains organized and accessible throughout the drafting process.</w:t>
      </w:r>
    </w:p>
    <w:p w14:paraId="71BD1BA4" w14:textId="77777777" w:rsidR="007C0F04" w:rsidRDefault="00000000">
      <w:pPr>
        <w:spacing w:before="240" w:after="240"/>
      </w:pPr>
      <w:r>
        <w:rPr>
          <w:rFonts w:ascii="Aptos" w:eastAsia="Aptos" w:hAnsi="Aptos" w:cs="Aptos"/>
          <w:b/>
          <w:bCs/>
        </w:rPr>
        <w:t>Critical Thinking</w:t>
      </w:r>
      <w:r>
        <w:rPr>
          <w:rFonts w:ascii="Aptos" w:eastAsia="Aptos" w:hAnsi="Aptos" w:cs="Aptos"/>
        </w:rPr>
        <w:t xml:space="preserve"> Critical thinking is integral to my academic writing, and I excel in analyzing and interpreting complex material. This skill enables me to assess the validity of sources, identify gaps in literature, and construct persuasive arguments. Green (2021) highlights the importance of critical thinking in producing high-quality academic work. My essays often demonstrate this strength by presenting nuanced perspectives, as exemplified in a recent assignment on ethical dilemmas in healthcare.</w:t>
      </w:r>
    </w:p>
    <w:p w14:paraId="71BD1BA5" w14:textId="77777777" w:rsidR="007C0F04" w:rsidRDefault="00000000">
      <w:pPr>
        <w:spacing w:before="240" w:after="240"/>
      </w:pPr>
      <w:r>
        <w:rPr>
          <w:rFonts w:ascii="Aptos" w:eastAsia="Aptos" w:hAnsi="Aptos" w:cs="Aptos"/>
        </w:rPr>
        <w:lastRenderedPageBreak/>
        <w:t>Furthermore, my critical thinking extends to the evaluation of my own work. I actively seek to challenge assumptions and refine arguments during the revision process. This iterative approach ensures that my final drafts are polished and reflective of deep engagement with the subject matter, contributing to a more robust academic output.</w:t>
      </w:r>
    </w:p>
    <w:p w14:paraId="71BD1BA6" w14:textId="77777777" w:rsidR="007C0F04" w:rsidRDefault="00000000">
      <w:pPr>
        <w:pStyle w:val="Heading4"/>
        <w:spacing w:before="319" w:after="319"/>
        <w:rPr>
          <w:rFonts w:ascii="Aptos" w:eastAsia="Aptos" w:hAnsi="Aptos" w:cs="Aptos"/>
          <w:b/>
          <w:bCs/>
          <w:color w:val="000000" w:themeColor="text1"/>
        </w:rPr>
      </w:pPr>
      <w:r>
        <w:rPr>
          <w:rFonts w:ascii="Aptos" w:eastAsia="Aptos" w:hAnsi="Aptos" w:cs="Aptos"/>
          <w:b/>
          <w:bCs/>
          <w:color w:val="000000" w:themeColor="text1"/>
        </w:rPr>
        <w:t>Weaknesses</w:t>
      </w:r>
    </w:p>
    <w:p w14:paraId="71BD1BA7" w14:textId="77777777" w:rsidR="007C0F04" w:rsidRDefault="00000000">
      <w:pPr>
        <w:spacing w:before="240" w:after="240"/>
      </w:pPr>
      <w:r>
        <w:rPr>
          <w:rFonts w:ascii="Aptos" w:eastAsia="Aptos" w:hAnsi="Aptos" w:cs="Aptos"/>
          <w:b/>
          <w:bCs/>
        </w:rPr>
        <w:t>Time Management</w:t>
      </w:r>
      <w:r>
        <w:rPr>
          <w:rFonts w:ascii="Aptos" w:eastAsia="Aptos" w:hAnsi="Aptos" w:cs="Aptos"/>
        </w:rPr>
        <w:t xml:space="preserve"> Despite my strengths, I often struggle with managing time effectively when completing academic writing tasks. Balancing research, drafting, and editing can be challenging, especially when multiple deadlines coincide. Alyami et al. (2021) noted that poor time management could compromise the quality of academic work. In a recent instance, I rushed through the editing process for an essay on sustainable development, which resulted in errors that could have been avoided with better planning.</w:t>
      </w:r>
    </w:p>
    <w:p w14:paraId="71BD1BA8" w14:textId="77777777" w:rsidR="007C0F04" w:rsidRDefault="00000000">
      <w:pPr>
        <w:spacing w:before="240" w:after="240"/>
      </w:pPr>
      <w:r>
        <w:rPr>
          <w:rFonts w:ascii="Aptos" w:eastAsia="Aptos" w:hAnsi="Aptos" w:cs="Aptos"/>
        </w:rPr>
        <w:t>To address this, I have started experimenting with time-blocking techniques to allocate dedicated periods for each stage of the writing process. Although still in its early stages, this approach has already shown promise in helping me meet deadlines without compromising the quality of my work. Setting smaller, achievable milestones within larger projects has also been beneficial in maintaining focus and reducing last-minute stress.</w:t>
      </w:r>
    </w:p>
    <w:p w14:paraId="71BD1BA9" w14:textId="77777777" w:rsidR="007C0F04" w:rsidRDefault="00000000">
      <w:pPr>
        <w:spacing w:before="240" w:after="240"/>
      </w:pPr>
      <w:r>
        <w:rPr>
          <w:rFonts w:ascii="Aptos" w:eastAsia="Aptos" w:hAnsi="Aptos" w:cs="Aptos"/>
          <w:b/>
          <w:bCs/>
        </w:rPr>
        <w:t>Over-reliance on Formality</w:t>
      </w:r>
      <w:r>
        <w:rPr>
          <w:rFonts w:ascii="Aptos" w:eastAsia="Aptos" w:hAnsi="Aptos" w:cs="Aptos"/>
        </w:rPr>
        <w:t xml:space="preserve"> Another weakness is my tendency to prioritize formality over accessibility, occasionally making my writing overly dense. Academic writing requires precision, but overly complex language can obscure meaning (Lopez and Carter, 2022). For example, feedback on a policy analysis paper highlighted that some sections were too jargon-heavy, making it difficult for non-specialist readers to follow my arguments.</w:t>
      </w:r>
    </w:p>
    <w:p w14:paraId="71BD1BAA" w14:textId="77777777" w:rsidR="007C0F04" w:rsidRDefault="00000000">
      <w:pPr>
        <w:spacing w:before="240" w:after="240"/>
      </w:pPr>
      <w:r>
        <w:rPr>
          <w:rFonts w:ascii="Aptos" w:eastAsia="Aptos" w:hAnsi="Aptos" w:cs="Aptos"/>
        </w:rPr>
        <w:t>I am actively working to address this by reading widely and analyzing the writing styles of accomplished academics. Paying attention to the balance between formality and clarity in their work has helped me simplify my language without sacrificing depth. Peer feedback sessions have also been instrumental in identifying areas where my writing could be more accessible.</w:t>
      </w:r>
    </w:p>
    <w:p w14:paraId="71BD1BAB" w14:textId="77777777" w:rsidR="007C0F04" w:rsidRDefault="00000000">
      <w:pPr>
        <w:spacing w:before="240" w:after="240"/>
      </w:pPr>
      <w:r>
        <w:rPr>
          <w:rFonts w:ascii="Aptos" w:eastAsia="Aptos" w:hAnsi="Aptos" w:cs="Aptos"/>
          <w:b/>
          <w:bCs/>
        </w:rPr>
        <w:t>Reluctance to Seek Feedback</w:t>
      </w:r>
      <w:r>
        <w:rPr>
          <w:rFonts w:ascii="Aptos" w:eastAsia="Aptos" w:hAnsi="Aptos" w:cs="Aptos"/>
        </w:rPr>
        <w:t xml:space="preserve"> I sometimes hesitate to seek feedback on my drafts, viewing it as an admission of inadequacy. However, feedback is crucial for improvement. According to Brown and Johnson (2019), engaging with peer and mentor feedback enhances academic writing skills. My reluctance has occasionally resulted in missed opportunities to refine my work, as seen in a case study where additional input could have strengthened my conclusions.</w:t>
      </w:r>
    </w:p>
    <w:p w14:paraId="71BD1BAC" w14:textId="77777777" w:rsidR="007C0F04" w:rsidRDefault="00000000">
      <w:pPr>
        <w:spacing w:before="240" w:after="240"/>
      </w:pPr>
      <w:r>
        <w:rPr>
          <w:rFonts w:ascii="Aptos" w:eastAsia="Aptos" w:hAnsi="Aptos" w:cs="Aptos"/>
        </w:rPr>
        <w:lastRenderedPageBreak/>
        <w:t>To overcome this, I have made a conscious effort to view feedback as a collaborative process rather than a critique. Actively seeking input from trusted peers and mentors has not only improved my writing but also boosted my confidence in sharing early drafts. This shift in perspective has been invaluable in fostering continuous learning and development.</w:t>
      </w:r>
    </w:p>
    <w:p w14:paraId="71BD1BAD" w14:textId="77777777" w:rsidR="007C0F04" w:rsidRDefault="00000000">
      <w:pPr>
        <w:pStyle w:val="Heading4"/>
        <w:spacing w:before="319" w:after="319"/>
        <w:rPr>
          <w:rFonts w:ascii="Aptos" w:eastAsia="Aptos" w:hAnsi="Aptos" w:cs="Aptos"/>
          <w:b/>
          <w:bCs/>
          <w:color w:val="000000" w:themeColor="text1"/>
        </w:rPr>
      </w:pPr>
      <w:r>
        <w:rPr>
          <w:rFonts w:ascii="Aptos" w:eastAsia="Aptos" w:hAnsi="Aptos" w:cs="Aptos"/>
          <w:b/>
          <w:bCs/>
          <w:color w:val="000000" w:themeColor="text1"/>
        </w:rPr>
        <w:t>Opportunities</w:t>
      </w:r>
    </w:p>
    <w:p w14:paraId="71BD1BAE" w14:textId="77777777" w:rsidR="007C0F04" w:rsidRDefault="00000000">
      <w:pPr>
        <w:spacing w:before="240" w:after="240"/>
      </w:pPr>
      <w:r>
        <w:rPr>
          <w:rFonts w:ascii="Aptos" w:eastAsia="Aptos" w:hAnsi="Aptos" w:cs="Aptos"/>
          <w:b/>
          <w:bCs/>
        </w:rPr>
        <w:t>Access to Academic Resources</w:t>
      </w:r>
      <w:r>
        <w:rPr>
          <w:rFonts w:ascii="Aptos" w:eastAsia="Aptos" w:hAnsi="Aptos" w:cs="Aptos"/>
        </w:rPr>
        <w:t xml:space="preserve"> My university provides extensive academic resources, including writing workshops, online tutorials, and access to a well-equipped library. Dahlberg and Byars-Winston (2019) emphasize the role of institutional support in fostering academic success. Attending workshops on academic writing strategies has already helped me refine my citation skills and argumentation techniques.</w:t>
      </w:r>
    </w:p>
    <w:p w14:paraId="71BD1BAF" w14:textId="77777777" w:rsidR="007C0F04" w:rsidRDefault="00000000">
      <w:pPr>
        <w:spacing w:before="240" w:after="240"/>
      </w:pPr>
      <w:r>
        <w:rPr>
          <w:rFonts w:ascii="Aptos" w:eastAsia="Aptos" w:hAnsi="Aptos" w:cs="Aptos"/>
        </w:rPr>
        <w:t>Additionally, access to specialized databases and journals provides an opportunity to engage with cutting-edge research. Leveraging these resources enables me to incorporate diverse perspectives into my work, enriching the depth and breadth of my arguments. Scheduled consultations with academic librarians have also proven helpful in navigating complex research topics effectively.</w:t>
      </w:r>
    </w:p>
    <w:p w14:paraId="71BD1BB0" w14:textId="77777777" w:rsidR="007C0F04" w:rsidRDefault="00000000">
      <w:pPr>
        <w:spacing w:before="240" w:after="240"/>
      </w:pPr>
      <w:r>
        <w:rPr>
          <w:rFonts w:ascii="Aptos" w:eastAsia="Aptos" w:hAnsi="Aptos" w:cs="Aptos"/>
          <w:b/>
          <w:bCs/>
        </w:rPr>
        <w:t>Networking Opportunities</w:t>
      </w:r>
      <w:r>
        <w:rPr>
          <w:rFonts w:ascii="Aptos" w:eastAsia="Aptos" w:hAnsi="Aptos" w:cs="Aptos"/>
        </w:rPr>
        <w:t xml:space="preserve"> Building connections with peers and faculty offers valuable opportunities for growth. Collaborating on research projects and engaging in academic discussions can provide diverse perspectives that enrich my writing. Chusniyah et al. (2023) underline the importance of academic networks in skill development. By joining study groups and participating in seminars, I can gain insights into effective writing practices.</w:t>
      </w:r>
    </w:p>
    <w:p w14:paraId="71BD1BB1" w14:textId="77777777" w:rsidR="007C0F04" w:rsidRDefault="00000000">
      <w:pPr>
        <w:spacing w:before="240" w:after="240"/>
      </w:pPr>
      <w:r>
        <w:rPr>
          <w:rFonts w:ascii="Aptos" w:eastAsia="Aptos" w:hAnsi="Aptos" w:cs="Aptos"/>
        </w:rPr>
        <w:t>Furthermore, networking facilitates mentorship opportunities, which can offer personalized guidance on improving writing skills. Engaging with experienced academics has not only enhanced my technical abilities but also provided insights into the nuances of academic discourse. These interactions have reinforced the value of community in fostering growth and learning.</w:t>
      </w:r>
    </w:p>
    <w:p w14:paraId="71BD1BB2" w14:textId="77777777" w:rsidR="007C0F04" w:rsidRDefault="00000000">
      <w:pPr>
        <w:spacing w:before="240" w:after="240"/>
      </w:pPr>
      <w:r>
        <w:rPr>
          <w:rFonts w:ascii="Aptos" w:eastAsia="Aptos" w:hAnsi="Aptos" w:cs="Aptos"/>
          <w:b/>
          <w:bCs/>
        </w:rPr>
        <w:t>Technological Tools</w:t>
      </w:r>
      <w:r>
        <w:rPr>
          <w:rFonts w:ascii="Aptos" w:eastAsia="Aptos" w:hAnsi="Aptos" w:cs="Aptos"/>
        </w:rPr>
        <w:t xml:space="preserve"> Advancements in technology provide tools such as grammar checkers, reference managers, and plagiarism detection software to enhance academic writing. These tools can improve efficiency and accuracy. For example, I recently used a reference manager to organize citations for a research paper, which saved time and ensured consistency.</w:t>
      </w:r>
    </w:p>
    <w:p w14:paraId="71BD1BB3" w14:textId="77777777" w:rsidR="007C0F04" w:rsidRDefault="00000000">
      <w:pPr>
        <w:spacing w:before="240" w:after="240"/>
      </w:pPr>
      <w:r>
        <w:rPr>
          <w:rFonts w:ascii="Aptos" w:eastAsia="Aptos" w:hAnsi="Aptos" w:cs="Aptos"/>
        </w:rPr>
        <w:lastRenderedPageBreak/>
        <w:t>In addition, emerging technologies such as AI-assisted writing platforms offer new possibilities for streamlining the drafting and editing processes. While these tools require critical oversight to ensure originality, they can be valuable aids in managing workload and improving productivity. Staying informed about technological developments ensures that I remain equipped with the best tools to support my writing.</w:t>
      </w:r>
    </w:p>
    <w:p w14:paraId="71BD1BB4" w14:textId="77777777" w:rsidR="007C0F04" w:rsidRDefault="00000000">
      <w:pPr>
        <w:pStyle w:val="Heading4"/>
        <w:spacing w:before="319" w:after="319"/>
        <w:rPr>
          <w:rFonts w:ascii="Aptos" w:eastAsia="Aptos" w:hAnsi="Aptos" w:cs="Aptos"/>
          <w:b/>
          <w:bCs/>
          <w:color w:val="000000" w:themeColor="text1"/>
        </w:rPr>
      </w:pPr>
      <w:r>
        <w:rPr>
          <w:rFonts w:ascii="Aptos" w:eastAsia="Aptos" w:hAnsi="Aptos" w:cs="Aptos"/>
          <w:b/>
          <w:bCs/>
          <w:color w:val="000000" w:themeColor="text1"/>
        </w:rPr>
        <w:t>Threats</w:t>
      </w:r>
    </w:p>
    <w:p w14:paraId="71BD1BB5" w14:textId="77777777" w:rsidR="007C0F04" w:rsidRDefault="00000000">
      <w:pPr>
        <w:spacing w:before="240" w:after="240"/>
      </w:pPr>
      <w:r>
        <w:rPr>
          <w:rFonts w:ascii="Aptos" w:eastAsia="Aptos" w:hAnsi="Aptos" w:cs="Aptos"/>
          <w:b/>
          <w:bCs/>
        </w:rPr>
        <w:t>Academic Integrity Challenges</w:t>
      </w:r>
      <w:r>
        <w:rPr>
          <w:rFonts w:ascii="Aptos" w:eastAsia="Aptos" w:hAnsi="Aptos" w:cs="Aptos"/>
        </w:rPr>
        <w:t xml:space="preserve"> One external threat is the risk of unintentional plagiarism, which can arise from improper citation or paraphrasing. Hussain (2023) stresses the importance of maintaining academic integrity to avoid reputational damage. While I strive to cite sources accurately, the complexity of some referencing styles can occasionally lead to errors.</w:t>
      </w:r>
    </w:p>
    <w:p w14:paraId="71BD1BB6" w14:textId="77777777" w:rsidR="007C0F04" w:rsidRDefault="00000000">
      <w:pPr>
        <w:spacing w:before="240" w:after="240"/>
      </w:pPr>
      <w:r>
        <w:rPr>
          <w:rFonts w:ascii="Aptos" w:eastAsia="Aptos" w:hAnsi="Aptos" w:cs="Aptos"/>
        </w:rPr>
        <w:t>To mitigate this, I have adopted rigorous note-taking practices to ensure accurate attribution of ideas. Regularly reviewing institutional guidelines on academic integrity and attending workshops on citation best practices have further reduced the likelihood of errors. These proactive measures reinforce my commitment to upholding the highest standards of academic honesty.</w:t>
      </w:r>
    </w:p>
    <w:p w14:paraId="71BD1BB7" w14:textId="77777777" w:rsidR="007C0F04" w:rsidRDefault="00000000">
      <w:pPr>
        <w:spacing w:before="240" w:after="240"/>
      </w:pPr>
      <w:r>
        <w:rPr>
          <w:rFonts w:ascii="Aptos" w:eastAsia="Aptos" w:hAnsi="Aptos" w:cs="Aptos"/>
          <w:b/>
          <w:bCs/>
        </w:rPr>
        <w:t>Increased Competition</w:t>
      </w:r>
      <w:r>
        <w:rPr>
          <w:rFonts w:ascii="Aptos" w:eastAsia="Aptos" w:hAnsi="Aptos" w:cs="Aptos"/>
        </w:rPr>
        <w:t xml:space="preserve"> The growing number of students excelling in academic writing creates a competitive environment. To stand out, it is essential to produce high-quality work consistently. Aeon et al. (2021) note that competition can be both motivating and stressful, requiring effective strategies to manage pressure.</w:t>
      </w:r>
    </w:p>
    <w:p w14:paraId="71BD1BB8" w14:textId="77777777" w:rsidR="007C0F04" w:rsidRDefault="00000000">
      <w:pPr>
        <w:spacing w:before="240" w:after="240"/>
      </w:pPr>
      <w:r>
        <w:rPr>
          <w:rFonts w:ascii="Aptos" w:eastAsia="Aptos" w:hAnsi="Aptos" w:cs="Aptos"/>
        </w:rPr>
        <w:t>Developing a unique voice and perspective in my writing has been a key strategy for differentiating myself. By focusing on originality and depth, I aim to contribute meaningfully to academic discourse while maintaining a personal touch in my work. Engaging with diverse sources and fostering interdisciplinary approaches have also helped me carve out a niche within my field of study.</w:t>
      </w:r>
    </w:p>
    <w:p w14:paraId="71BD1BB9" w14:textId="77777777" w:rsidR="007C0F04" w:rsidRDefault="00000000">
      <w:pPr>
        <w:spacing w:before="240" w:after="240"/>
      </w:pPr>
      <w:r>
        <w:rPr>
          <w:rFonts w:ascii="Aptos" w:eastAsia="Aptos" w:hAnsi="Aptos" w:cs="Aptos"/>
          <w:b/>
          <w:bCs/>
        </w:rPr>
        <w:t>External Distractions</w:t>
      </w:r>
      <w:r>
        <w:rPr>
          <w:rFonts w:ascii="Aptos" w:eastAsia="Aptos" w:hAnsi="Aptos" w:cs="Aptos"/>
        </w:rPr>
        <w:t xml:space="preserve"> Balancing academic writing with personal commitments and part-time work can be challenging. According to CFI (2022), external distractions can impact productivity and focus. For example, during a particularly demanding week, I found it difficult to allocate sufficient time for a critical analysis essay, resulting in a hurried submission.</w:t>
      </w:r>
    </w:p>
    <w:p w14:paraId="71BD1BBA" w14:textId="77777777" w:rsidR="007C0F04" w:rsidRDefault="00000000">
      <w:pPr>
        <w:spacing w:before="240" w:after="240"/>
      </w:pPr>
      <w:r>
        <w:rPr>
          <w:rFonts w:ascii="Aptos" w:eastAsia="Aptos" w:hAnsi="Aptos" w:cs="Aptos"/>
        </w:rPr>
        <w:t xml:space="preserve">To address this, I have implemented strategies such as creating dedicated study spaces and establishing clear boundaries between work and academic responsibilities. Practicing </w:t>
      </w:r>
      <w:r>
        <w:rPr>
          <w:rFonts w:ascii="Aptos" w:eastAsia="Aptos" w:hAnsi="Aptos" w:cs="Aptos"/>
        </w:rPr>
        <w:lastRenderedPageBreak/>
        <w:t>mindfulness techniques has also been helpful in maintaining focus and reducing stress. By prioritizing self-care and effective time management, I aim to navigate these challenges more successfully.</w:t>
      </w:r>
    </w:p>
    <w:p w14:paraId="71BD1BBB" w14:textId="77777777" w:rsidR="007C0F04" w:rsidRDefault="007C0F04">
      <w:pPr>
        <w:spacing w:before="240" w:after="240"/>
        <w:rPr>
          <w:rFonts w:ascii="Aptos" w:eastAsia="Aptos" w:hAnsi="Aptos" w:cs="Aptos"/>
        </w:rPr>
      </w:pPr>
    </w:p>
    <w:p w14:paraId="71BD1BBC" w14:textId="77777777" w:rsidR="007C0F04" w:rsidRDefault="007C0F04">
      <w:pPr>
        <w:spacing w:before="240" w:after="240"/>
        <w:rPr>
          <w:rFonts w:ascii="Aptos" w:eastAsia="Aptos" w:hAnsi="Aptos" w:cs="Aptos"/>
        </w:rPr>
      </w:pPr>
    </w:p>
    <w:p w14:paraId="71BD1BBD" w14:textId="77777777" w:rsidR="007C0F04" w:rsidRDefault="007C0F04">
      <w:pPr>
        <w:spacing w:before="240" w:after="240"/>
        <w:rPr>
          <w:rFonts w:ascii="Aptos" w:eastAsia="Aptos" w:hAnsi="Aptos" w:cs="Aptos"/>
        </w:rPr>
      </w:pPr>
    </w:p>
    <w:p w14:paraId="71BD1BBE" w14:textId="77777777" w:rsidR="007C0F04" w:rsidRDefault="00000000">
      <w:pPr>
        <w:pStyle w:val="Heading3"/>
        <w:spacing w:before="281" w:after="281"/>
        <w:rPr>
          <w:rFonts w:ascii="Aptos" w:eastAsia="Aptos" w:hAnsi="Aptos" w:cs="Aptos"/>
          <w:b/>
          <w:bCs/>
          <w:color w:val="000000" w:themeColor="text1"/>
        </w:rPr>
      </w:pPr>
      <w:r>
        <w:rPr>
          <w:rFonts w:ascii="Aptos" w:eastAsia="Aptos" w:hAnsi="Aptos" w:cs="Aptos"/>
          <w:b/>
          <w:bCs/>
          <w:color w:val="000000" w:themeColor="text1"/>
        </w:rPr>
        <w:t>Conclusion</w:t>
      </w:r>
    </w:p>
    <w:p w14:paraId="71BD1BBF" w14:textId="77777777" w:rsidR="007C0F04" w:rsidRDefault="00000000">
      <w:pPr>
        <w:spacing w:before="240" w:after="240"/>
      </w:pPr>
      <w:r>
        <w:rPr>
          <w:rFonts w:ascii="Aptos" w:eastAsia="Aptos" w:hAnsi="Aptos" w:cs="Aptos"/>
        </w:rPr>
        <w:t>Conducting a SWOT analysis of my academic writing has provided valuable insights into my strengths, weaknesses, opportunities, and threats. My clarity, research proficiency, and critical thinking skills are significant assets that support the quality of my work. However, addressing weaknesses such as time management, over-reliance on formality, and reluctance to seek feedback is crucial for continuous improvement. Leveraging opportunities like institutional resources, networking, and technological tools can further enhance my writing capabilities. At the same time, mitigating threats such as plagiarism risks, competition, and external distractions will help me navigate the challenges of academic writing. Through ongoing self-reflection and proactive strategies, I aim to develop as a competent and confident academic writer, contributing meaningfully to my field of study.</w:t>
      </w:r>
    </w:p>
    <w:p w14:paraId="71BD1BC0" w14:textId="77777777" w:rsidR="007C0F04" w:rsidRDefault="007C0F04">
      <w:pPr>
        <w:spacing w:before="240" w:after="240"/>
        <w:rPr>
          <w:rFonts w:ascii="Aptos" w:eastAsia="Aptos" w:hAnsi="Aptos" w:cs="Aptos"/>
        </w:rPr>
      </w:pPr>
    </w:p>
    <w:p w14:paraId="71BD1BC1" w14:textId="77777777" w:rsidR="007C0F04" w:rsidRDefault="007C0F04">
      <w:pPr>
        <w:spacing w:before="240" w:after="240"/>
        <w:rPr>
          <w:rFonts w:ascii="Aptos" w:eastAsia="Aptos" w:hAnsi="Aptos" w:cs="Aptos"/>
        </w:rPr>
      </w:pPr>
    </w:p>
    <w:p w14:paraId="71BD1BC2" w14:textId="77777777" w:rsidR="007C0F04" w:rsidRDefault="007C0F04">
      <w:pPr>
        <w:spacing w:before="240" w:after="240"/>
        <w:rPr>
          <w:rFonts w:ascii="Aptos" w:eastAsia="Aptos" w:hAnsi="Aptos" w:cs="Aptos"/>
        </w:rPr>
      </w:pPr>
    </w:p>
    <w:p w14:paraId="71BD1BC3" w14:textId="77777777" w:rsidR="007C0F04" w:rsidRDefault="007C0F04">
      <w:pPr>
        <w:spacing w:before="240" w:after="240"/>
        <w:rPr>
          <w:rFonts w:ascii="Aptos" w:eastAsia="Aptos" w:hAnsi="Aptos" w:cs="Aptos"/>
        </w:rPr>
      </w:pPr>
    </w:p>
    <w:p w14:paraId="71BD1BC4" w14:textId="77777777" w:rsidR="007C0F04" w:rsidRDefault="00000000">
      <w:pPr>
        <w:pStyle w:val="Heading3"/>
        <w:spacing w:before="281" w:after="281"/>
        <w:rPr>
          <w:rFonts w:ascii="Aptos" w:eastAsia="Aptos" w:hAnsi="Aptos" w:cs="Aptos"/>
          <w:b/>
          <w:bCs/>
          <w:color w:val="000000" w:themeColor="text1"/>
        </w:rPr>
      </w:pPr>
      <w:r>
        <w:rPr>
          <w:rFonts w:ascii="Aptos" w:eastAsia="Aptos" w:hAnsi="Aptos" w:cs="Aptos"/>
          <w:b/>
          <w:bCs/>
          <w:color w:val="000000" w:themeColor="text1"/>
        </w:rPr>
        <w:t>References</w:t>
      </w:r>
    </w:p>
    <w:p w14:paraId="71BD1BC5" w14:textId="77777777" w:rsidR="007C0F04" w:rsidRDefault="00000000">
      <w:pPr>
        <w:spacing w:before="240" w:after="240"/>
        <w:ind w:left="480" w:hangingChars="200" w:hanging="480"/>
      </w:pPr>
      <w:r>
        <w:rPr>
          <w:rFonts w:ascii="Aptos" w:eastAsia="Aptos" w:hAnsi="Aptos" w:cs="Aptos"/>
        </w:rPr>
        <w:t xml:space="preserve">Aeon, B., Faber, A. and Panaccio, A. (2021). Does Time Management work? A meta-   analysis. </w:t>
      </w:r>
      <w:r>
        <w:rPr>
          <w:rFonts w:ascii="Aptos" w:eastAsia="Aptos" w:hAnsi="Aptos" w:cs="Aptos"/>
          <w:i/>
          <w:iCs/>
        </w:rPr>
        <w:t>PLOS ONE</w:t>
      </w:r>
      <w:r>
        <w:rPr>
          <w:rFonts w:ascii="Aptos" w:eastAsia="Aptos" w:hAnsi="Aptos" w:cs="Aptos"/>
        </w:rPr>
        <w:t xml:space="preserve">, 16(1). Available at: </w:t>
      </w:r>
      <w:hyperlink r:id="rId7">
        <w:r>
          <w:rPr>
            <w:rStyle w:val="Hyperlink"/>
            <w:rFonts w:ascii="Aptos" w:eastAsia="Aptos" w:hAnsi="Aptos" w:cs="Aptos"/>
          </w:rPr>
          <w:t>https://doi.org/10.1371/journal.pone.0245066</w:t>
        </w:r>
      </w:hyperlink>
      <w:r>
        <w:rPr>
          <w:rFonts w:ascii="Aptos" w:eastAsia="Aptos" w:hAnsi="Aptos" w:cs="Aptos"/>
        </w:rPr>
        <w:t>.</w:t>
      </w:r>
    </w:p>
    <w:p w14:paraId="71BD1BC6" w14:textId="77777777" w:rsidR="007C0F04" w:rsidRDefault="00000000">
      <w:pPr>
        <w:spacing w:before="240" w:after="240"/>
        <w:ind w:left="480" w:hangingChars="200" w:hanging="480"/>
      </w:pPr>
      <w:r>
        <w:rPr>
          <w:rFonts w:ascii="Aptos" w:eastAsia="Aptos" w:hAnsi="Aptos" w:cs="Aptos"/>
        </w:rPr>
        <w:t xml:space="preserve">Alyami, A., Abdulwahed, A., Azhar, A., Binsaddik, A. and Bafaraj, S.M. (2021). Impact of Time-Management on the Student’s Academic Performance: A Cross-Sectional Study. </w:t>
      </w:r>
      <w:r>
        <w:rPr>
          <w:rFonts w:ascii="Aptos" w:eastAsia="Aptos" w:hAnsi="Aptos" w:cs="Aptos"/>
          <w:i/>
          <w:iCs/>
        </w:rPr>
        <w:lastRenderedPageBreak/>
        <w:t>Creative Education</w:t>
      </w:r>
      <w:r>
        <w:rPr>
          <w:rFonts w:ascii="Aptos" w:eastAsia="Aptos" w:hAnsi="Aptos" w:cs="Aptos"/>
        </w:rPr>
        <w:t xml:space="preserve">, 12(3), pp.471–485. Available at: </w:t>
      </w:r>
      <w:hyperlink r:id="rId8">
        <w:r>
          <w:rPr>
            <w:rStyle w:val="Hyperlink"/>
            <w:rFonts w:ascii="Aptos" w:eastAsia="Aptos" w:hAnsi="Aptos" w:cs="Aptos"/>
          </w:rPr>
          <w:t>https://doi.org/10.4236/ce.2021.123033</w:t>
        </w:r>
      </w:hyperlink>
      <w:r>
        <w:rPr>
          <w:rFonts w:ascii="Aptos" w:eastAsia="Aptos" w:hAnsi="Aptos" w:cs="Aptos"/>
        </w:rPr>
        <w:t>.</w:t>
      </w:r>
    </w:p>
    <w:p w14:paraId="71BD1BC7" w14:textId="77777777" w:rsidR="007C0F04" w:rsidRDefault="00000000">
      <w:pPr>
        <w:spacing w:before="240" w:after="240"/>
        <w:ind w:left="480" w:hangingChars="200" w:hanging="480"/>
      </w:pPr>
      <w:r>
        <w:rPr>
          <w:rFonts w:ascii="Aptos" w:eastAsia="Aptos" w:hAnsi="Aptos" w:cs="Aptos"/>
        </w:rPr>
        <w:t xml:space="preserve">Brown, A. and Johnson, L. (2019). Exploring the Role of Mentorship in Higher Education. </w:t>
      </w:r>
      <w:r>
        <w:rPr>
          <w:rFonts w:ascii="Aptos" w:eastAsia="Aptos" w:hAnsi="Aptos" w:cs="Aptos"/>
          <w:i/>
          <w:iCs/>
        </w:rPr>
        <w:t>Journal of Educational Development</w:t>
      </w:r>
      <w:r>
        <w:rPr>
          <w:rFonts w:ascii="Aptos" w:eastAsia="Aptos" w:hAnsi="Aptos" w:cs="Aptos"/>
        </w:rPr>
        <w:t>, 15(2), pp.135-145.</w:t>
      </w:r>
    </w:p>
    <w:p w14:paraId="71BD1BC8" w14:textId="77777777" w:rsidR="007C0F04" w:rsidRDefault="00000000">
      <w:pPr>
        <w:spacing w:before="240" w:after="240"/>
        <w:ind w:left="480" w:hangingChars="200" w:hanging="480"/>
      </w:pPr>
      <w:r>
        <w:rPr>
          <w:rFonts w:ascii="Aptos" w:eastAsia="Aptos" w:hAnsi="Aptos" w:cs="Aptos"/>
        </w:rPr>
        <w:t xml:space="preserve">CFI (2022). Time management. Corporate Finance Institute. Available at: </w:t>
      </w:r>
      <w:hyperlink r:id="rId9">
        <w:r>
          <w:rPr>
            <w:rStyle w:val="Hyperlink"/>
            <w:rFonts w:ascii="Aptos" w:eastAsia="Aptos" w:hAnsi="Aptos" w:cs="Aptos"/>
          </w:rPr>
          <w:t>https://corporatefinanceinstitute.com/resources/management/time-management-list-tips/</w:t>
        </w:r>
      </w:hyperlink>
      <w:r>
        <w:rPr>
          <w:rFonts w:ascii="Aptos" w:eastAsia="Aptos" w:hAnsi="Aptos" w:cs="Aptos"/>
        </w:rPr>
        <w:t>.</w:t>
      </w:r>
    </w:p>
    <w:p w14:paraId="71BD1BC9" w14:textId="77777777" w:rsidR="007C0F04" w:rsidRDefault="00000000">
      <w:pPr>
        <w:spacing w:before="240" w:after="240"/>
        <w:ind w:left="480" w:hangingChars="200" w:hanging="480"/>
      </w:pPr>
      <w:r>
        <w:rPr>
          <w:rFonts w:ascii="Aptos" w:eastAsia="Aptos" w:hAnsi="Aptos" w:cs="Aptos"/>
        </w:rPr>
        <w:t xml:space="preserve">Chusniyah, A., Akhmad, R.A. and P, H.R.P. (2023). Strategic Planning for Education Quality Improvement Based on SWOT Analysis: A Case Study. </w:t>
      </w:r>
      <w:r>
        <w:rPr>
          <w:rFonts w:ascii="Aptos" w:eastAsia="Aptos" w:hAnsi="Aptos" w:cs="Aptos"/>
          <w:i/>
          <w:iCs/>
        </w:rPr>
        <w:t>Tarbawi: Jurnal Keilmuan Manajemen Pendidikan</w:t>
      </w:r>
      <w:r>
        <w:rPr>
          <w:rFonts w:ascii="Aptos" w:eastAsia="Aptos" w:hAnsi="Aptos" w:cs="Aptos"/>
        </w:rPr>
        <w:t xml:space="preserve">, 9(02), pp.199–20. Available at: </w:t>
      </w:r>
      <w:hyperlink r:id="rId10">
        <w:r>
          <w:rPr>
            <w:rStyle w:val="Hyperlink"/>
            <w:rFonts w:ascii="Aptos" w:eastAsia="Aptos" w:hAnsi="Aptos" w:cs="Aptos"/>
          </w:rPr>
          <w:t>https://doi.org/10.32678/tarbawi.v9i02.8366</w:t>
        </w:r>
      </w:hyperlink>
      <w:r>
        <w:rPr>
          <w:rFonts w:ascii="Aptos" w:eastAsia="Aptos" w:hAnsi="Aptos" w:cs="Aptos"/>
        </w:rPr>
        <w:t>.</w:t>
      </w:r>
    </w:p>
    <w:p w14:paraId="71BD1BCA" w14:textId="77777777" w:rsidR="007C0F04" w:rsidRDefault="00000000">
      <w:pPr>
        <w:spacing w:before="240" w:after="240"/>
        <w:ind w:left="480" w:hangingChars="200" w:hanging="480"/>
      </w:pPr>
      <w:r>
        <w:rPr>
          <w:rFonts w:ascii="Aptos" w:eastAsia="Aptos" w:hAnsi="Aptos" w:cs="Aptos"/>
        </w:rPr>
        <w:t xml:space="preserve">Dahlberg, M.L. and Byars-Winston, A. (2019). The Science of Mentoring Relationships: What Is Mentorship? National Academies Press (US). Available at: </w:t>
      </w:r>
      <w:hyperlink r:id="rId11">
        <w:r>
          <w:rPr>
            <w:rStyle w:val="Hyperlink"/>
            <w:rFonts w:ascii="Aptos" w:eastAsia="Aptos" w:hAnsi="Aptos" w:cs="Aptos"/>
          </w:rPr>
          <w:t>https://www.ncbi.nlm.nih.gov/books/NBK552775/</w:t>
        </w:r>
      </w:hyperlink>
      <w:r>
        <w:rPr>
          <w:rFonts w:ascii="Aptos" w:eastAsia="Aptos" w:hAnsi="Aptos" w:cs="Aptos"/>
        </w:rPr>
        <w:t>.</w:t>
      </w:r>
    </w:p>
    <w:p w14:paraId="71BD1BCB" w14:textId="77777777" w:rsidR="007C0F04" w:rsidRDefault="00000000">
      <w:pPr>
        <w:spacing w:before="240" w:after="240"/>
        <w:ind w:left="360" w:hangingChars="150" w:hanging="360"/>
      </w:pPr>
      <w:r>
        <w:rPr>
          <w:rFonts w:ascii="Aptos" w:eastAsia="Aptos" w:hAnsi="Aptos" w:cs="Aptos"/>
        </w:rPr>
        <w:t xml:space="preserve">Green, T. (2021). Overcoming Academic Challenges Through Self-Reflection. </w:t>
      </w:r>
      <w:r>
        <w:rPr>
          <w:rFonts w:ascii="Aptos" w:eastAsia="Aptos" w:hAnsi="Aptos" w:cs="Aptos"/>
          <w:i/>
          <w:iCs/>
        </w:rPr>
        <w:t>International Journal of Academic Studies</w:t>
      </w:r>
      <w:r>
        <w:rPr>
          <w:rFonts w:ascii="Aptos" w:eastAsia="Aptos" w:hAnsi="Aptos" w:cs="Aptos"/>
        </w:rPr>
        <w:t>, 18(4), pp.87-102.</w:t>
      </w:r>
    </w:p>
    <w:p w14:paraId="71BD1BCC" w14:textId="77777777" w:rsidR="007C0F04" w:rsidRDefault="00000000">
      <w:pPr>
        <w:spacing w:before="240" w:after="240"/>
        <w:ind w:left="360" w:hangingChars="150" w:hanging="360"/>
      </w:pPr>
      <w:r>
        <w:rPr>
          <w:rFonts w:ascii="Aptos" w:eastAsia="Aptos" w:hAnsi="Aptos" w:cs="Aptos"/>
        </w:rPr>
        <w:t xml:space="preserve">Hussain, A. (2023). Role of libraries in Academic Resources of Higher Education Institutions. ResearchGate. Available at: </w:t>
      </w:r>
      <w:hyperlink r:id="rId12">
        <w:r>
          <w:rPr>
            <w:rStyle w:val="Hyperlink"/>
            <w:rFonts w:ascii="Aptos" w:eastAsia="Aptos" w:hAnsi="Aptos" w:cs="Aptos"/>
          </w:rPr>
          <w:t>https://www.researchgate.net/publication/368468513_Role_of_libraries_in_Academic_Resources_of_Higher_Education_Institutions</w:t>
        </w:r>
      </w:hyperlink>
      <w:r>
        <w:rPr>
          <w:rFonts w:ascii="Aptos" w:eastAsia="Aptos" w:hAnsi="Aptos" w:cs="Aptos"/>
        </w:rPr>
        <w:t>.</w:t>
      </w:r>
    </w:p>
    <w:p w14:paraId="71BD1BCD" w14:textId="77777777" w:rsidR="007C0F04" w:rsidRDefault="00000000">
      <w:pPr>
        <w:spacing w:before="240" w:after="240"/>
        <w:ind w:left="240" w:hangingChars="100" w:hanging="240"/>
      </w:pPr>
      <w:r>
        <w:rPr>
          <w:rFonts w:ascii="Aptos" w:eastAsia="Aptos" w:hAnsi="Aptos" w:cs="Aptos"/>
        </w:rPr>
        <w:t xml:space="preserve">Lopez, M. and Carter, D. (2022). The Impact of Academic Resources on Student Performance: A Case Study. </w:t>
      </w:r>
      <w:r>
        <w:rPr>
          <w:rFonts w:ascii="Aptos" w:eastAsia="Aptos" w:hAnsi="Aptos" w:cs="Aptos"/>
          <w:i/>
          <w:iCs/>
        </w:rPr>
        <w:t>Journal of Higher Education Studies</w:t>
      </w:r>
      <w:r>
        <w:rPr>
          <w:rFonts w:ascii="Aptos" w:eastAsia="Aptos" w:hAnsi="Aptos" w:cs="Aptos"/>
        </w:rPr>
        <w:t>, 30(1), pp.25-40.</w:t>
      </w:r>
    </w:p>
    <w:p w14:paraId="71BD1BCE" w14:textId="77777777" w:rsidR="007C0F04" w:rsidRDefault="00000000">
      <w:pPr>
        <w:spacing w:before="240" w:after="240"/>
        <w:ind w:left="360" w:hangingChars="150" w:hanging="360"/>
      </w:pPr>
      <w:r>
        <w:rPr>
          <w:rFonts w:ascii="Aptos" w:eastAsia="Aptos" w:hAnsi="Aptos" w:cs="Aptos"/>
        </w:rPr>
        <w:t>Smith, J. (2020). Effective Time Management Strategies for Academic Success. London: Academic Press.</w:t>
      </w:r>
    </w:p>
    <w:p w14:paraId="71BD1BCF" w14:textId="77777777" w:rsidR="007C0F04" w:rsidRDefault="00000000">
      <w:pPr>
        <w:spacing w:before="240" w:after="240"/>
        <w:ind w:left="360" w:hangingChars="150" w:hanging="360"/>
      </w:pPr>
      <w:r>
        <w:rPr>
          <w:rFonts w:ascii="Aptos" w:eastAsia="Aptos" w:hAnsi="Aptos" w:cs="Aptos"/>
        </w:rPr>
        <w:t xml:space="preserve">Taylor, R. (2023). Developing Research Skills for Undergraduate Students: A Practical Guide. </w:t>
      </w:r>
      <w:r>
        <w:rPr>
          <w:rFonts w:ascii="Aptos" w:eastAsia="Aptos" w:hAnsi="Aptos" w:cs="Aptos"/>
          <w:i/>
          <w:iCs/>
        </w:rPr>
        <w:t>Educational Research Quarterly</w:t>
      </w:r>
      <w:r>
        <w:rPr>
          <w:rFonts w:ascii="Aptos" w:eastAsia="Aptos" w:hAnsi="Aptos" w:cs="Aptos"/>
        </w:rPr>
        <w:t>, 45(3), pp.58-72.</w:t>
      </w:r>
    </w:p>
    <w:p w14:paraId="71BD1BD0" w14:textId="77777777" w:rsidR="007C0F04" w:rsidRDefault="007C0F04"/>
    <w:sectPr w:rsidR="007C0F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566E1" w14:textId="77777777" w:rsidR="00B02166" w:rsidRDefault="00B02166">
      <w:pPr>
        <w:spacing w:line="240" w:lineRule="auto"/>
      </w:pPr>
      <w:r>
        <w:separator/>
      </w:r>
    </w:p>
  </w:endnote>
  <w:endnote w:type="continuationSeparator" w:id="0">
    <w:p w14:paraId="45A4CECC" w14:textId="77777777" w:rsidR="00B02166" w:rsidRDefault="00B02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383F6" w14:textId="77777777" w:rsidR="00B02166" w:rsidRDefault="00B02166">
      <w:pPr>
        <w:spacing w:after="0"/>
      </w:pPr>
      <w:r>
        <w:separator/>
      </w:r>
    </w:p>
  </w:footnote>
  <w:footnote w:type="continuationSeparator" w:id="0">
    <w:p w14:paraId="186E13A5" w14:textId="77777777" w:rsidR="00B02166" w:rsidRDefault="00B021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29489"/>
    <w:multiLevelType w:val="multilevel"/>
    <w:tmpl w:val="1872948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294B52"/>
    <w:multiLevelType w:val="multilevel"/>
    <w:tmpl w:val="2B294B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433063184">
    <w:abstractNumId w:val="0"/>
  </w:num>
  <w:num w:numId="2" w16cid:durableId="362289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2D3D80"/>
    <w:rsid w:val="00602F61"/>
    <w:rsid w:val="007C0F04"/>
    <w:rsid w:val="00A37690"/>
    <w:rsid w:val="00A764D4"/>
    <w:rsid w:val="00B02166"/>
    <w:rsid w:val="00B86C83"/>
    <w:rsid w:val="0E3B0119"/>
    <w:rsid w:val="0EB28E75"/>
    <w:rsid w:val="12F09CB5"/>
    <w:rsid w:val="1381C7C9"/>
    <w:rsid w:val="146591B1"/>
    <w:rsid w:val="1738382E"/>
    <w:rsid w:val="19864B8A"/>
    <w:rsid w:val="1BFAADAB"/>
    <w:rsid w:val="24B75740"/>
    <w:rsid w:val="2D3F36CA"/>
    <w:rsid w:val="3491D8DE"/>
    <w:rsid w:val="3A461775"/>
    <w:rsid w:val="3DAD3155"/>
    <w:rsid w:val="3E4F10BB"/>
    <w:rsid w:val="44161451"/>
    <w:rsid w:val="54D253F2"/>
    <w:rsid w:val="56A3B46E"/>
    <w:rsid w:val="592C798B"/>
    <w:rsid w:val="5D4711A1"/>
    <w:rsid w:val="5D5A4046"/>
    <w:rsid w:val="5E2D3D80"/>
    <w:rsid w:val="60BB2A40"/>
    <w:rsid w:val="65E27B8A"/>
    <w:rsid w:val="686D0350"/>
    <w:rsid w:val="6FB1AF41"/>
    <w:rsid w:val="71EFA694"/>
    <w:rsid w:val="7512F99F"/>
    <w:rsid w:val="7A0B664B"/>
    <w:rsid w:val="7BC43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1B74"/>
  <w15:docId w15:val="{244D90CE-0F24-4D2A-AAE4-E15BE6C5E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9" w:lineRule="auto"/>
    </w:pPr>
    <w:rPr>
      <w:sz w:val="24"/>
      <w:szCs w:val="24"/>
      <w:lang w:val="en-US" w:eastAsia="ja-JP"/>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customStyle="1" w:styleId="IntenseEmphasis1">
    <w:name w:val="Intense Emphasis1"/>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qFormat/>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4236/ce.2021.12303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371/journal.pone.0245066" TargetMode="External"/><Relationship Id="rId12" Type="http://schemas.openxmlformats.org/officeDocument/2006/relationships/hyperlink" Target="https://www.researchgate.net/publication/368468513_Role_of_libraries_in_Academic_Resources_of_Higher_Education_Institu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books/NBK552775/" TargetMode="External"/><Relationship Id="rId5" Type="http://schemas.openxmlformats.org/officeDocument/2006/relationships/footnotes" Target="footnotes.xml"/><Relationship Id="rId10" Type="http://schemas.openxmlformats.org/officeDocument/2006/relationships/hyperlink" Target="https://doi.org/10.32678/tarbawi.v9i02.8366" TargetMode="External"/><Relationship Id="rId4" Type="http://schemas.openxmlformats.org/officeDocument/2006/relationships/webSettings" Target="webSettings.xml"/><Relationship Id="rId9" Type="http://schemas.openxmlformats.org/officeDocument/2006/relationships/hyperlink" Target="https://corporatefinanceinstitute.com/resources/management/time-management-list-ti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2213</Words>
  <Characters>12619</Characters>
  <Application>Microsoft Office Word</Application>
  <DocSecurity>0</DocSecurity>
  <Lines>105</Lines>
  <Paragraphs>29</Paragraphs>
  <ScaleCrop>false</ScaleCrop>
  <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Ciprian Rincu</dc:creator>
  <cp:lastModifiedBy>rodica dobre</cp:lastModifiedBy>
  <cp:revision>4</cp:revision>
  <dcterms:created xsi:type="dcterms:W3CDTF">2024-12-11T20:38:00Z</dcterms:created>
  <dcterms:modified xsi:type="dcterms:W3CDTF">2024-12-12T16:48:00Z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2057-12.2.0.18639</vt:lpwstr>
  </property>
  <property fmtid="{D5CDD505-2E9C-101B-9397-08002B2CF9AE}" pid="3" name="ICV">
    <vt:lpwstr>9944D7B741B84668BD0490014C647041_12</vt:lpwstr>
  </property>
</Properties>
</file>