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CE8F7" w14:textId="77777777" w:rsidR="0061610B" w:rsidRDefault="00B94C9F" w:rsidP="00B94C9F">
      <w:pPr>
        <w:jc w:val="right"/>
      </w:pPr>
      <w:r w:rsidRPr="00B94C9F">
        <w:rPr>
          <w:noProof/>
        </w:rPr>
        <w:drawing>
          <wp:inline distT="0" distB="0" distL="0" distR="0" wp14:anchorId="740CE384" wp14:editId="512A413F">
            <wp:extent cx="1867062" cy="655377"/>
            <wp:effectExtent l="0" t="0" r="0" b="0"/>
            <wp:docPr id="1387426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426151" name=""/>
                    <pic:cNvPicPr/>
                  </pic:nvPicPr>
                  <pic:blipFill>
                    <a:blip r:embed="rId8"/>
                    <a:stretch>
                      <a:fillRect/>
                    </a:stretch>
                  </pic:blipFill>
                  <pic:spPr>
                    <a:xfrm>
                      <a:off x="0" y="0"/>
                      <a:ext cx="1867062" cy="655377"/>
                    </a:xfrm>
                    <a:prstGeom prst="rect">
                      <a:avLst/>
                    </a:prstGeom>
                  </pic:spPr>
                </pic:pic>
              </a:graphicData>
            </a:graphic>
          </wp:inline>
        </w:drawing>
      </w:r>
    </w:p>
    <w:p w14:paraId="33522858" w14:textId="77777777" w:rsidR="0061610B" w:rsidRDefault="0061610B" w:rsidP="0061610B"/>
    <w:p w14:paraId="41972946" w14:textId="77777777" w:rsidR="00E6324C" w:rsidRDefault="00E6324C" w:rsidP="00E6324C"/>
    <w:p w14:paraId="1AB4C621" w14:textId="77777777" w:rsidR="00E6324C" w:rsidRDefault="00E6324C" w:rsidP="00E6324C"/>
    <w:p w14:paraId="3645B7DC" w14:textId="77777777" w:rsidR="00E6324C" w:rsidRDefault="00E6324C" w:rsidP="00E6324C"/>
    <w:p w14:paraId="672AF54F" w14:textId="77777777" w:rsidR="00E6324C" w:rsidRDefault="00E6324C" w:rsidP="00E6324C"/>
    <w:p w14:paraId="23DCBE61" w14:textId="77777777" w:rsidR="00E6324C" w:rsidRDefault="00E6324C" w:rsidP="00E6324C"/>
    <w:p w14:paraId="63FEDBF5" w14:textId="77777777" w:rsidR="00E6324C" w:rsidRDefault="00E6324C" w:rsidP="00E6324C"/>
    <w:p w14:paraId="6A9ECD60" w14:textId="77777777" w:rsidR="00E6324C" w:rsidRDefault="00E6324C" w:rsidP="00E6324C"/>
    <w:p w14:paraId="698F1606" w14:textId="77777777" w:rsidR="00E6324C" w:rsidRDefault="00E6324C" w:rsidP="00E6324C"/>
    <w:p w14:paraId="3BDC0A60" w14:textId="6939CD8A" w:rsidR="00E6324C" w:rsidRPr="00F733D4" w:rsidRDefault="00E6324C" w:rsidP="00E6324C">
      <w:pPr>
        <w:rPr>
          <w:b/>
          <w:bCs/>
          <w:noProof/>
          <w:sz w:val="28"/>
          <w:szCs w:val="28"/>
        </w:rPr>
      </w:pPr>
      <w:r w:rsidRPr="00F733D4">
        <w:rPr>
          <w:b/>
          <w:bCs/>
          <w:noProof/>
          <w:sz w:val="28"/>
          <w:szCs w:val="28"/>
        </w:rPr>
        <w:t>NAME OF STUDENT</w:t>
      </w:r>
      <w:r w:rsidRPr="00F733D4">
        <w:rPr>
          <w:b/>
          <w:bCs/>
          <w:noProof/>
          <w:sz w:val="28"/>
          <w:szCs w:val="28"/>
        </w:rPr>
        <w:tab/>
        <w:t xml:space="preserve">  : SHAHEDABIBI SHAIKH</w:t>
      </w:r>
    </w:p>
    <w:p w14:paraId="0386D3B4" w14:textId="77777777" w:rsidR="00E6324C" w:rsidRPr="00F733D4" w:rsidRDefault="00E6324C" w:rsidP="00E6324C">
      <w:pPr>
        <w:rPr>
          <w:b/>
          <w:bCs/>
          <w:noProof/>
          <w:sz w:val="28"/>
          <w:szCs w:val="28"/>
        </w:rPr>
      </w:pPr>
      <w:r w:rsidRPr="00F733D4">
        <w:rPr>
          <w:b/>
          <w:bCs/>
          <w:noProof/>
          <w:sz w:val="28"/>
          <w:szCs w:val="28"/>
        </w:rPr>
        <w:t xml:space="preserve">STUDENT ID              </w:t>
      </w:r>
      <w:r w:rsidRPr="00F733D4">
        <w:rPr>
          <w:b/>
          <w:bCs/>
          <w:noProof/>
          <w:sz w:val="28"/>
          <w:szCs w:val="28"/>
        </w:rPr>
        <w:tab/>
        <w:t xml:space="preserve">  : 2223092 </w:t>
      </w:r>
      <w:r w:rsidRPr="00F733D4">
        <w:rPr>
          <w:b/>
          <w:bCs/>
          <w:noProof/>
          <w:sz w:val="28"/>
          <w:szCs w:val="28"/>
        </w:rPr>
        <w:tab/>
      </w:r>
      <w:r w:rsidRPr="00F733D4">
        <w:rPr>
          <w:b/>
          <w:bCs/>
          <w:noProof/>
          <w:sz w:val="28"/>
          <w:szCs w:val="28"/>
        </w:rPr>
        <w:tab/>
      </w:r>
    </w:p>
    <w:p w14:paraId="66745729" w14:textId="403C59FE" w:rsidR="00E6324C" w:rsidRPr="00F733D4" w:rsidRDefault="00E6324C" w:rsidP="00E6324C">
      <w:pPr>
        <w:rPr>
          <w:b/>
          <w:bCs/>
          <w:noProof/>
          <w:sz w:val="28"/>
          <w:szCs w:val="28"/>
        </w:rPr>
      </w:pPr>
      <w:r w:rsidRPr="00F733D4">
        <w:rPr>
          <w:b/>
          <w:bCs/>
          <w:noProof/>
          <w:sz w:val="28"/>
          <w:szCs w:val="28"/>
        </w:rPr>
        <w:t xml:space="preserve">MODULE NAME        </w:t>
      </w:r>
      <w:r w:rsidRPr="00F733D4">
        <w:rPr>
          <w:b/>
          <w:bCs/>
          <w:noProof/>
          <w:sz w:val="28"/>
          <w:szCs w:val="28"/>
        </w:rPr>
        <w:tab/>
        <w:t xml:space="preserve">  : </w:t>
      </w:r>
      <w:r w:rsidRPr="00F733D4">
        <w:rPr>
          <w:b/>
          <w:bCs/>
          <w:noProof/>
          <w:sz w:val="28"/>
          <w:szCs w:val="28"/>
        </w:rPr>
        <w:t xml:space="preserve">HUMAN </w:t>
      </w:r>
      <w:r w:rsidR="00F733D4" w:rsidRPr="00F733D4">
        <w:rPr>
          <w:b/>
          <w:bCs/>
          <w:noProof/>
          <w:sz w:val="28"/>
          <w:szCs w:val="28"/>
        </w:rPr>
        <w:t>RESOURCE</w:t>
      </w:r>
      <w:r w:rsidRPr="00F733D4">
        <w:rPr>
          <w:b/>
          <w:bCs/>
          <w:noProof/>
          <w:sz w:val="28"/>
          <w:szCs w:val="28"/>
        </w:rPr>
        <w:t xml:space="preserve"> MANAGEMENT</w:t>
      </w:r>
    </w:p>
    <w:p w14:paraId="1840B7A2" w14:textId="3E50FC05" w:rsidR="00E6324C" w:rsidRPr="00F733D4" w:rsidRDefault="00E6324C" w:rsidP="00E6324C">
      <w:pPr>
        <w:rPr>
          <w:b/>
          <w:bCs/>
          <w:noProof/>
          <w:sz w:val="28"/>
          <w:szCs w:val="28"/>
        </w:rPr>
      </w:pPr>
      <w:r w:rsidRPr="00F733D4">
        <w:rPr>
          <w:b/>
          <w:bCs/>
          <w:noProof/>
          <w:sz w:val="28"/>
          <w:szCs w:val="28"/>
        </w:rPr>
        <w:t>LECTURER NAME</w:t>
      </w:r>
      <w:r w:rsidR="00F733D4">
        <w:rPr>
          <w:b/>
          <w:bCs/>
          <w:noProof/>
          <w:sz w:val="28"/>
          <w:szCs w:val="28"/>
        </w:rPr>
        <w:tab/>
        <w:t xml:space="preserve">  :</w:t>
      </w:r>
      <w:r w:rsidR="004C5DBF">
        <w:rPr>
          <w:b/>
          <w:bCs/>
          <w:noProof/>
          <w:sz w:val="28"/>
          <w:szCs w:val="28"/>
        </w:rPr>
        <w:t xml:space="preserve"> MOHAMMAD ASIM</w:t>
      </w:r>
    </w:p>
    <w:p w14:paraId="05D17F5F" w14:textId="75444764" w:rsidR="00E6324C" w:rsidRPr="00F733D4" w:rsidRDefault="00E6324C" w:rsidP="00E6324C">
      <w:pPr>
        <w:rPr>
          <w:b/>
          <w:bCs/>
          <w:noProof/>
          <w:sz w:val="28"/>
          <w:szCs w:val="28"/>
        </w:rPr>
      </w:pPr>
      <w:r w:rsidRPr="00F733D4">
        <w:rPr>
          <w:b/>
          <w:bCs/>
          <w:noProof/>
          <w:sz w:val="28"/>
          <w:szCs w:val="28"/>
        </w:rPr>
        <w:t>MODULE CODE</w:t>
      </w:r>
      <w:r w:rsidRPr="00F733D4">
        <w:rPr>
          <w:b/>
          <w:bCs/>
          <w:noProof/>
          <w:sz w:val="28"/>
          <w:szCs w:val="28"/>
        </w:rPr>
        <w:tab/>
      </w:r>
      <w:r w:rsidRPr="00F733D4">
        <w:rPr>
          <w:b/>
          <w:bCs/>
          <w:noProof/>
          <w:sz w:val="28"/>
          <w:szCs w:val="28"/>
        </w:rPr>
        <w:tab/>
        <w:t xml:space="preserve">  : LCMB700</w:t>
      </w:r>
      <w:r w:rsidRPr="00F733D4">
        <w:rPr>
          <w:b/>
          <w:bCs/>
          <w:noProof/>
          <w:sz w:val="28"/>
          <w:szCs w:val="28"/>
        </w:rPr>
        <w:t>0</w:t>
      </w:r>
    </w:p>
    <w:p w14:paraId="3407994A" w14:textId="511017DB" w:rsidR="0061610B" w:rsidRPr="00F733D4" w:rsidRDefault="00E6324C" w:rsidP="00E6324C">
      <w:pPr>
        <w:rPr>
          <w:rFonts w:ascii="Arial" w:hAnsi="Arial" w:cs="Arial"/>
          <w:sz w:val="28"/>
          <w:szCs w:val="28"/>
        </w:rPr>
      </w:pPr>
      <w:r w:rsidRPr="00F733D4">
        <w:rPr>
          <w:b/>
          <w:bCs/>
          <w:noProof/>
          <w:sz w:val="28"/>
          <w:szCs w:val="28"/>
        </w:rPr>
        <w:t>ASSIGNMENT TITLE</w:t>
      </w:r>
      <w:r w:rsidRPr="00F733D4">
        <w:rPr>
          <w:b/>
          <w:bCs/>
          <w:noProof/>
          <w:sz w:val="28"/>
          <w:szCs w:val="28"/>
        </w:rPr>
        <w:tab/>
        <w:t xml:space="preserve">  : ASSESSMENT 1  </w:t>
      </w:r>
    </w:p>
    <w:p w14:paraId="2290747E" w14:textId="77777777" w:rsidR="0061610B" w:rsidRPr="00F733D4" w:rsidRDefault="0061610B" w:rsidP="0061610B">
      <w:pPr>
        <w:rPr>
          <w:rFonts w:ascii="Arial" w:hAnsi="Arial" w:cs="Arial"/>
          <w:sz w:val="32"/>
          <w:szCs w:val="32"/>
        </w:rPr>
      </w:pPr>
    </w:p>
    <w:p w14:paraId="1AD1B9A0" w14:textId="77777777" w:rsidR="0061610B" w:rsidRDefault="0061610B" w:rsidP="0061610B"/>
    <w:p w14:paraId="7ACAFD46" w14:textId="77777777" w:rsidR="0061610B" w:rsidRDefault="0061610B" w:rsidP="0061610B"/>
    <w:p w14:paraId="58635193" w14:textId="77777777" w:rsidR="0061610B" w:rsidRDefault="0061610B" w:rsidP="0061610B"/>
    <w:p w14:paraId="259B97B8" w14:textId="26B1556B" w:rsidR="0061610B" w:rsidRPr="003903AD" w:rsidRDefault="0061610B" w:rsidP="0061610B">
      <w:pPr>
        <w:jc w:val="center"/>
        <w:rPr>
          <w:rFonts w:ascii="Algerian" w:hAnsi="Algerian"/>
          <w:b/>
          <w:bCs/>
          <w:sz w:val="56"/>
          <w:szCs w:val="52"/>
        </w:rPr>
      </w:pPr>
    </w:p>
    <w:p w14:paraId="78B3E8E1" w14:textId="77777777" w:rsidR="0061610B" w:rsidRPr="0061610B" w:rsidRDefault="0061610B" w:rsidP="0061610B">
      <w:pPr>
        <w:sectPr w:rsidR="0061610B" w:rsidRPr="0061610B" w:rsidSect="007A5686">
          <w:footerReference w:type="default" r:id="rId9"/>
          <w:type w:val="continuous"/>
          <w:pgSz w:w="12240" w:h="15840"/>
          <w:pgMar w:top="1440" w:right="1440" w:bottom="1440" w:left="1440" w:header="720" w:footer="1009" w:gutter="0"/>
          <w:pgBorders w:offsetFrom="page">
            <w:top w:val="single" w:sz="24" w:space="24" w:color="000009"/>
            <w:left w:val="single" w:sz="24" w:space="24" w:color="000009"/>
            <w:bottom w:val="single" w:sz="24" w:space="24" w:color="000009"/>
            <w:right w:val="single" w:sz="24" w:space="24" w:color="000009"/>
          </w:pgBorders>
          <w:pgNumType w:start="1"/>
          <w:cols w:space="720"/>
          <w:docGrid w:linePitch="299"/>
        </w:sectPr>
      </w:pPr>
    </w:p>
    <w:sdt>
      <w:sdtPr>
        <w:rPr>
          <w:rFonts w:ascii="Times New Roman" w:eastAsia="Times New Roman" w:hAnsi="Times New Roman" w:cs="Times New Roman"/>
          <w:color w:val="000000" w:themeColor="text1"/>
          <w:sz w:val="24"/>
          <w:szCs w:val="22"/>
        </w:rPr>
        <w:id w:val="1503083348"/>
        <w:docPartObj>
          <w:docPartGallery w:val="Table of Contents"/>
          <w:docPartUnique/>
        </w:docPartObj>
      </w:sdtPr>
      <w:sdtEndPr>
        <w:rPr>
          <w:b/>
          <w:bCs/>
          <w:noProof/>
        </w:rPr>
      </w:sdtEndPr>
      <w:sdtContent>
        <w:p w14:paraId="28F9F65A" w14:textId="77777777" w:rsidR="0061610B" w:rsidRDefault="0061610B">
          <w:pPr>
            <w:pStyle w:val="TOCHeading"/>
          </w:pPr>
          <w:r>
            <w:t>Table of Contents</w:t>
          </w:r>
        </w:p>
        <w:p w14:paraId="186CA2DB" w14:textId="77777777" w:rsidR="009470DA" w:rsidRDefault="0061610B">
          <w:pPr>
            <w:pStyle w:val="TOC1"/>
            <w:tabs>
              <w:tab w:val="right" w:leader="dot" w:pos="9350"/>
            </w:tabs>
            <w:rPr>
              <w:rFonts w:asciiTheme="minorHAnsi" w:eastAsiaTheme="minorEastAsia" w:hAnsiTheme="minorHAnsi" w:cstheme="minorBidi"/>
              <w:noProof/>
              <w:color w:val="auto"/>
              <w:sz w:val="22"/>
              <w:szCs w:val="22"/>
              <w:lang w:val="en-IN" w:eastAsia="en-IN"/>
            </w:rPr>
          </w:pPr>
          <w:r>
            <w:fldChar w:fldCharType="begin"/>
          </w:r>
          <w:r>
            <w:instrText xml:space="preserve"> TOC \o "1-3" \h \z \u </w:instrText>
          </w:r>
          <w:r>
            <w:fldChar w:fldCharType="separate"/>
          </w:r>
          <w:hyperlink w:anchor="_Toc133004462" w:history="1">
            <w:r w:rsidR="009470DA" w:rsidRPr="00E14ACE">
              <w:rPr>
                <w:rStyle w:val="Hyperlink"/>
                <w:noProof/>
              </w:rPr>
              <w:t>I.</w:t>
            </w:r>
            <w:r w:rsidR="009470DA">
              <w:rPr>
                <w:rFonts w:asciiTheme="minorHAnsi" w:eastAsiaTheme="minorEastAsia" w:hAnsiTheme="minorHAnsi" w:cstheme="minorBidi"/>
                <w:noProof/>
                <w:color w:val="auto"/>
                <w:sz w:val="22"/>
                <w:szCs w:val="22"/>
                <w:lang w:val="en-IN" w:eastAsia="en-IN"/>
              </w:rPr>
              <w:tab/>
            </w:r>
            <w:r w:rsidR="009470DA" w:rsidRPr="00E14ACE">
              <w:rPr>
                <w:rStyle w:val="Hyperlink"/>
                <w:noProof/>
              </w:rPr>
              <w:t>Introduction</w:t>
            </w:r>
            <w:r w:rsidR="009470DA">
              <w:rPr>
                <w:noProof/>
                <w:webHidden/>
              </w:rPr>
              <w:tab/>
            </w:r>
            <w:r w:rsidR="009470DA">
              <w:rPr>
                <w:noProof/>
                <w:webHidden/>
              </w:rPr>
              <w:fldChar w:fldCharType="begin"/>
            </w:r>
            <w:r w:rsidR="009470DA">
              <w:rPr>
                <w:noProof/>
                <w:webHidden/>
              </w:rPr>
              <w:instrText xml:space="preserve"> PAGEREF _Toc133004462 \h </w:instrText>
            </w:r>
            <w:r w:rsidR="009470DA">
              <w:rPr>
                <w:noProof/>
                <w:webHidden/>
              </w:rPr>
            </w:r>
            <w:r w:rsidR="009470DA">
              <w:rPr>
                <w:noProof/>
                <w:webHidden/>
              </w:rPr>
              <w:fldChar w:fldCharType="separate"/>
            </w:r>
            <w:r w:rsidR="009470DA">
              <w:rPr>
                <w:noProof/>
                <w:webHidden/>
              </w:rPr>
              <w:t>3</w:t>
            </w:r>
            <w:r w:rsidR="009470DA">
              <w:rPr>
                <w:noProof/>
                <w:webHidden/>
              </w:rPr>
              <w:fldChar w:fldCharType="end"/>
            </w:r>
          </w:hyperlink>
        </w:p>
        <w:p w14:paraId="1AB05BF7" w14:textId="77777777" w:rsidR="009470DA" w:rsidRDefault="004C5DBF">
          <w:pPr>
            <w:pStyle w:val="TOC1"/>
            <w:tabs>
              <w:tab w:val="left" w:pos="682"/>
              <w:tab w:val="right" w:leader="dot" w:pos="9350"/>
            </w:tabs>
            <w:rPr>
              <w:rFonts w:asciiTheme="minorHAnsi" w:eastAsiaTheme="minorEastAsia" w:hAnsiTheme="minorHAnsi" w:cstheme="minorBidi"/>
              <w:noProof/>
              <w:color w:val="auto"/>
              <w:sz w:val="22"/>
              <w:szCs w:val="22"/>
              <w:lang w:val="en-IN" w:eastAsia="en-IN"/>
            </w:rPr>
          </w:pPr>
          <w:hyperlink w:anchor="_Toc133004463" w:history="1">
            <w:r w:rsidR="009470DA" w:rsidRPr="00E14ACE">
              <w:rPr>
                <w:rStyle w:val="Hyperlink"/>
                <w:noProof/>
              </w:rPr>
              <w:t>II.</w:t>
            </w:r>
            <w:r w:rsidR="009470DA">
              <w:rPr>
                <w:rFonts w:asciiTheme="minorHAnsi" w:eastAsiaTheme="minorEastAsia" w:hAnsiTheme="minorHAnsi" w:cstheme="minorBidi"/>
                <w:noProof/>
                <w:color w:val="auto"/>
                <w:sz w:val="22"/>
                <w:szCs w:val="22"/>
                <w:lang w:val="en-IN" w:eastAsia="en-IN"/>
              </w:rPr>
              <w:tab/>
            </w:r>
            <w:r w:rsidR="009470DA" w:rsidRPr="00E14ACE">
              <w:rPr>
                <w:rStyle w:val="Hyperlink"/>
                <w:noProof/>
              </w:rPr>
              <w:t>Analysis and discussion</w:t>
            </w:r>
            <w:r w:rsidR="009470DA">
              <w:rPr>
                <w:noProof/>
                <w:webHidden/>
              </w:rPr>
              <w:tab/>
            </w:r>
            <w:r w:rsidR="009470DA">
              <w:rPr>
                <w:noProof/>
                <w:webHidden/>
              </w:rPr>
              <w:fldChar w:fldCharType="begin"/>
            </w:r>
            <w:r w:rsidR="009470DA">
              <w:rPr>
                <w:noProof/>
                <w:webHidden/>
              </w:rPr>
              <w:instrText xml:space="preserve"> PAGEREF _Toc133004463 \h </w:instrText>
            </w:r>
            <w:r w:rsidR="009470DA">
              <w:rPr>
                <w:noProof/>
                <w:webHidden/>
              </w:rPr>
            </w:r>
            <w:r w:rsidR="009470DA">
              <w:rPr>
                <w:noProof/>
                <w:webHidden/>
              </w:rPr>
              <w:fldChar w:fldCharType="separate"/>
            </w:r>
            <w:r w:rsidR="009470DA">
              <w:rPr>
                <w:noProof/>
                <w:webHidden/>
              </w:rPr>
              <w:t>3</w:t>
            </w:r>
            <w:r w:rsidR="009470DA">
              <w:rPr>
                <w:noProof/>
                <w:webHidden/>
              </w:rPr>
              <w:fldChar w:fldCharType="end"/>
            </w:r>
          </w:hyperlink>
        </w:p>
        <w:p w14:paraId="7AC4D33E" w14:textId="2B41F631" w:rsidR="009470DA" w:rsidRDefault="004C5DBF">
          <w:pPr>
            <w:pStyle w:val="TOC2"/>
            <w:tabs>
              <w:tab w:val="left" w:pos="1082"/>
              <w:tab w:val="right" w:leader="dot" w:pos="9350"/>
            </w:tabs>
            <w:rPr>
              <w:rFonts w:asciiTheme="minorHAnsi" w:eastAsiaTheme="minorEastAsia" w:hAnsiTheme="minorHAnsi" w:cstheme="minorBidi"/>
              <w:noProof/>
              <w:color w:val="auto"/>
              <w:sz w:val="22"/>
              <w:szCs w:val="22"/>
              <w:lang w:val="en-IN" w:eastAsia="en-IN"/>
            </w:rPr>
          </w:pPr>
          <w:hyperlink w:anchor="_Toc133004464" w:history="1">
            <w:r w:rsidR="009470DA" w:rsidRPr="00E14ACE">
              <w:rPr>
                <w:rStyle w:val="Hyperlink"/>
                <w:noProof/>
              </w:rPr>
              <w:t>a)</w:t>
            </w:r>
            <w:r w:rsidR="009470DA">
              <w:rPr>
                <w:rFonts w:asciiTheme="minorHAnsi" w:eastAsiaTheme="minorEastAsia" w:hAnsiTheme="minorHAnsi" w:cstheme="minorBidi"/>
                <w:noProof/>
                <w:color w:val="auto"/>
                <w:sz w:val="22"/>
                <w:szCs w:val="22"/>
                <w:lang w:val="en-IN" w:eastAsia="en-IN"/>
              </w:rPr>
              <w:tab/>
            </w:r>
            <w:r w:rsidR="009470DA" w:rsidRPr="00E14ACE">
              <w:rPr>
                <w:rStyle w:val="Hyperlink"/>
                <w:noProof/>
              </w:rPr>
              <w:t>Current</w:t>
            </w:r>
            <w:r w:rsidR="009470DA" w:rsidRPr="00E14ACE">
              <w:rPr>
                <w:rStyle w:val="Hyperlink"/>
                <w:noProof/>
                <w:spacing w:val="-2"/>
              </w:rPr>
              <w:t xml:space="preserve"> </w:t>
            </w:r>
            <w:r w:rsidR="009470DA" w:rsidRPr="00E14ACE">
              <w:rPr>
                <w:rStyle w:val="Hyperlink"/>
                <w:noProof/>
              </w:rPr>
              <w:t>state</w:t>
            </w:r>
            <w:r w:rsidR="009470DA" w:rsidRPr="00E14ACE">
              <w:rPr>
                <w:rStyle w:val="Hyperlink"/>
                <w:noProof/>
                <w:spacing w:val="-2"/>
              </w:rPr>
              <w:t xml:space="preserve"> </w:t>
            </w:r>
            <w:r w:rsidR="009470DA" w:rsidRPr="00E14ACE">
              <w:rPr>
                <w:rStyle w:val="Hyperlink"/>
                <w:noProof/>
              </w:rPr>
              <w:t>of</w:t>
            </w:r>
            <w:r w:rsidR="009470DA" w:rsidRPr="00E14ACE">
              <w:rPr>
                <w:rStyle w:val="Hyperlink"/>
                <w:noProof/>
                <w:spacing w:val="-2"/>
              </w:rPr>
              <w:t xml:space="preserve"> </w:t>
            </w:r>
            <w:r w:rsidR="009E3BDF">
              <w:rPr>
                <w:rStyle w:val="Hyperlink"/>
                <w:noProof/>
                <w:spacing w:val="-2"/>
              </w:rPr>
              <w:t xml:space="preserve">the </w:t>
            </w:r>
            <w:r w:rsidR="009470DA" w:rsidRPr="00E14ACE">
              <w:rPr>
                <w:rStyle w:val="Hyperlink"/>
                <w:noProof/>
              </w:rPr>
              <w:t>labo</w:t>
            </w:r>
            <w:r w:rsidR="00DF056B">
              <w:rPr>
                <w:rStyle w:val="Hyperlink"/>
                <w:noProof/>
              </w:rPr>
              <w:t>r</w:t>
            </w:r>
            <w:r w:rsidR="009470DA" w:rsidRPr="00E14ACE">
              <w:rPr>
                <w:rStyle w:val="Hyperlink"/>
                <w:noProof/>
                <w:spacing w:val="-6"/>
              </w:rPr>
              <w:t xml:space="preserve"> </w:t>
            </w:r>
            <w:r w:rsidR="009470DA" w:rsidRPr="00E14ACE">
              <w:rPr>
                <w:rStyle w:val="Hyperlink"/>
                <w:noProof/>
              </w:rPr>
              <w:t>market</w:t>
            </w:r>
            <w:r w:rsidR="009470DA" w:rsidRPr="00E14ACE">
              <w:rPr>
                <w:rStyle w:val="Hyperlink"/>
                <w:noProof/>
                <w:spacing w:val="-2"/>
              </w:rPr>
              <w:t xml:space="preserve"> within </w:t>
            </w:r>
            <w:r w:rsidR="009E3BDF">
              <w:rPr>
                <w:rStyle w:val="Hyperlink"/>
                <w:noProof/>
                <w:spacing w:val="-2"/>
              </w:rPr>
              <w:t xml:space="preserve">the </w:t>
            </w:r>
            <w:r w:rsidR="009470DA" w:rsidRPr="00E14ACE">
              <w:rPr>
                <w:rStyle w:val="Hyperlink"/>
                <w:noProof/>
                <w:spacing w:val="-2"/>
              </w:rPr>
              <w:t>United Kingdom</w:t>
            </w:r>
            <w:r w:rsidR="009470DA">
              <w:rPr>
                <w:noProof/>
                <w:webHidden/>
              </w:rPr>
              <w:tab/>
            </w:r>
            <w:r w:rsidR="009470DA">
              <w:rPr>
                <w:noProof/>
                <w:webHidden/>
              </w:rPr>
              <w:fldChar w:fldCharType="begin"/>
            </w:r>
            <w:r w:rsidR="009470DA">
              <w:rPr>
                <w:noProof/>
                <w:webHidden/>
              </w:rPr>
              <w:instrText xml:space="preserve"> PAGEREF _Toc133004464 \h </w:instrText>
            </w:r>
            <w:r w:rsidR="009470DA">
              <w:rPr>
                <w:noProof/>
                <w:webHidden/>
              </w:rPr>
            </w:r>
            <w:r w:rsidR="009470DA">
              <w:rPr>
                <w:noProof/>
                <w:webHidden/>
              </w:rPr>
              <w:fldChar w:fldCharType="separate"/>
            </w:r>
            <w:r w:rsidR="009470DA">
              <w:rPr>
                <w:noProof/>
                <w:webHidden/>
              </w:rPr>
              <w:t>3</w:t>
            </w:r>
            <w:r w:rsidR="009470DA">
              <w:rPr>
                <w:noProof/>
                <w:webHidden/>
              </w:rPr>
              <w:fldChar w:fldCharType="end"/>
            </w:r>
          </w:hyperlink>
        </w:p>
        <w:p w14:paraId="6BE8DA6C" w14:textId="77777777" w:rsidR="009470DA" w:rsidRDefault="004C5DBF">
          <w:pPr>
            <w:pStyle w:val="TOC2"/>
            <w:tabs>
              <w:tab w:val="left" w:pos="1082"/>
              <w:tab w:val="right" w:leader="dot" w:pos="9350"/>
            </w:tabs>
            <w:rPr>
              <w:rFonts w:asciiTheme="minorHAnsi" w:eastAsiaTheme="minorEastAsia" w:hAnsiTheme="minorHAnsi" w:cstheme="minorBidi"/>
              <w:noProof/>
              <w:color w:val="auto"/>
              <w:sz w:val="22"/>
              <w:szCs w:val="22"/>
              <w:lang w:val="en-IN" w:eastAsia="en-IN"/>
            </w:rPr>
          </w:pPr>
          <w:hyperlink w:anchor="_Toc133004465" w:history="1">
            <w:r w:rsidR="009470DA" w:rsidRPr="00E14ACE">
              <w:rPr>
                <w:rStyle w:val="Hyperlink"/>
                <w:noProof/>
              </w:rPr>
              <w:t>b)</w:t>
            </w:r>
            <w:r w:rsidR="009470DA">
              <w:rPr>
                <w:rFonts w:asciiTheme="minorHAnsi" w:eastAsiaTheme="minorEastAsia" w:hAnsiTheme="minorHAnsi" w:cstheme="minorBidi"/>
                <w:noProof/>
                <w:color w:val="auto"/>
                <w:sz w:val="22"/>
                <w:szCs w:val="22"/>
                <w:lang w:val="en-IN" w:eastAsia="en-IN"/>
              </w:rPr>
              <w:tab/>
            </w:r>
            <w:r w:rsidR="009470DA" w:rsidRPr="00E14ACE">
              <w:rPr>
                <w:rStyle w:val="Hyperlink"/>
                <w:noProof/>
              </w:rPr>
              <w:t>Human Resource Planning after the COVD Era</w:t>
            </w:r>
            <w:r w:rsidR="009470DA">
              <w:rPr>
                <w:noProof/>
                <w:webHidden/>
              </w:rPr>
              <w:tab/>
            </w:r>
            <w:r w:rsidR="009470DA">
              <w:rPr>
                <w:noProof/>
                <w:webHidden/>
              </w:rPr>
              <w:fldChar w:fldCharType="begin"/>
            </w:r>
            <w:r w:rsidR="009470DA">
              <w:rPr>
                <w:noProof/>
                <w:webHidden/>
              </w:rPr>
              <w:instrText xml:space="preserve"> PAGEREF _Toc133004465 \h </w:instrText>
            </w:r>
            <w:r w:rsidR="009470DA">
              <w:rPr>
                <w:noProof/>
                <w:webHidden/>
              </w:rPr>
            </w:r>
            <w:r w:rsidR="009470DA">
              <w:rPr>
                <w:noProof/>
                <w:webHidden/>
              </w:rPr>
              <w:fldChar w:fldCharType="separate"/>
            </w:r>
            <w:r w:rsidR="009470DA">
              <w:rPr>
                <w:noProof/>
                <w:webHidden/>
              </w:rPr>
              <w:t>5</w:t>
            </w:r>
            <w:r w:rsidR="009470DA">
              <w:rPr>
                <w:noProof/>
                <w:webHidden/>
              </w:rPr>
              <w:fldChar w:fldCharType="end"/>
            </w:r>
          </w:hyperlink>
        </w:p>
        <w:p w14:paraId="5F104676" w14:textId="77777777" w:rsidR="009470DA" w:rsidRDefault="004C5DBF">
          <w:pPr>
            <w:pStyle w:val="TOC2"/>
            <w:tabs>
              <w:tab w:val="left" w:pos="1082"/>
              <w:tab w:val="right" w:leader="dot" w:pos="9350"/>
            </w:tabs>
            <w:rPr>
              <w:rFonts w:asciiTheme="minorHAnsi" w:eastAsiaTheme="minorEastAsia" w:hAnsiTheme="minorHAnsi" w:cstheme="minorBidi"/>
              <w:noProof/>
              <w:color w:val="auto"/>
              <w:sz w:val="22"/>
              <w:szCs w:val="22"/>
              <w:lang w:val="en-IN" w:eastAsia="en-IN"/>
            </w:rPr>
          </w:pPr>
          <w:hyperlink w:anchor="_Toc133004466" w:history="1">
            <w:r w:rsidR="009470DA" w:rsidRPr="00E14ACE">
              <w:rPr>
                <w:rStyle w:val="Hyperlink"/>
                <w:noProof/>
              </w:rPr>
              <w:t>c)</w:t>
            </w:r>
            <w:r w:rsidR="009470DA">
              <w:rPr>
                <w:rFonts w:asciiTheme="minorHAnsi" w:eastAsiaTheme="minorEastAsia" w:hAnsiTheme="minorHAnsi" w:cstheme="minorBidi"/>
                <w:noProof/>
                <w:color w:val="auto"/>
                <w:sz w:val="22"/>
                <w:szCs w:val="22"/>
                <w:lang w:val="en-IN" w:eastAsia="en-IN"/>
              </w:rPr>
              <w:tab/>
            </w:r>
            <w:r w:rsidR="009470DA" w:rsidRPr="00E14ACE">
              <w:rPr>
                <w:rStyle w:val="Hyperlink"/>
                <w:noProof/>
              </w:rPr>
              <w:t>Strategies for Human Resource Sourcing during the Post-Brexit External Setting</w:t>
            </w:r>
            <w:r w:rsidR="009470DA">
              <w:rPr>
                <w:noProof/>
                <w:webHidden/>
              </w:rPr>
              <w:tab/>
            </w:r>
            <w:r w:rsidR="009470DA">
              <w:rPr>
                <w:noProof/>
                <w:webHidden/>
              </w:rPr>
              <w:fldChar w:fldCharType="begin"/>
            </w:r>
            <w:r w:rsidR="009470DA">
              <w:rPr>
                <w:noProof/>
                <w:webHidden/>
              </w:rPr>
              <w:instrText xml:space="preserve"> PAGEREF _Toc133004466 \h </w:instrText>
            </w:r>
            <w:r w:rsidR="009470DA">
              <w:rPr>
                <w:noProof/>
                <w:webHidden/>
              </w:rPr>
            </w:r>
            <w:r w:rsidR="009470DA">
              <w:rPr>
                <w:noProof/>
                <w:webHidden/>
              </w:rPr>
              <w:fldChar w:fldCharType="separate"/>
            </w:r>
            <w:r w:rsidR="009470DA">
              <w:rPr>
                <w:noProof/>
                <w:webHidden/>
              </w:rPr>
              <w:t>7</w:t>
            </w:r>
            <w:r w:rsidR="009470DA">
              <w:rPr>
                <w:noProof/>
                <w:webHidden/>
              </w:rPr>
              <w:fldChar w:fldCharType="end"/>
            </w:r>
          </w:hyperlink>
        </w:p>
        <w:p w14:paraId="0E6C05FF" w14:textId="77777777" w:rsidR="009470DA" w:rsidRDefault="004C5DBF">
          <w:pPr>
            <w:pStyle w:val="TOC1"/>
            <w:tabs>
              <w:tab w:val="left" w:pos="682"/>
              <w:tab w:val="right" w:leader="dot" w:pos="9350"/>
            </w:tabs>
            <w:rPr>
              <w:rFonts w:asciiTheme="minorHAnsi" w:eastAsiaTheme="minorEastAsia" w:hAnsiTheme="minorHAnsi" w:cstheme="minorBidi"/>
              <w:noProof/>
              <w:color w:val="auto"/>
              <w:sz w:val="22"/>
              <w:szCs w:val="22"/>
              <w:lang w:val="en-IN" w:eastAsia="en-IN"/>
            </w:rPr>
          </w:pPr>
          <w:hyperlink w:anchor="_Toc133004467" w:history="1">
            <w:r w:rsidR="009470DA" w:rsidRPr="00E14ACE">
              <w:rPr>
                <w:rStyle w:val="Hyperlink"/>
                <w:noProof/>
              </w:rPr>
              <w:t>III.</w:t>
            </w:r>
            <w:r w:rsidR="009470DA">
              <w:rPr>
                <w:rFonts w:asciiTheme="minorHAnsi" w:eastAsiaTheme="minorEastAsia" w:hAnsiTheme="minorHAnsi" w:cstheme="minorBidi"/>
                <w:noProof/>
                <w:color w:val="auto"/>
                <w:sz w:val="22"/>
                <w:szCs w:val="22"/>
                <w:lang w:val="en-IN" w:eastAsia="en-IN"/>
              </w:rPr>
              <w:tab/>
            </w:r>
            <w:r w:rsidR="009470DA" w:rsidRPr="00E14ACE">
              <w:rPr>
                <w:rStyle w:val="Hyperlink"/>
                <w:noProof/>
              </w:rPr>
              <w:t>Conclusion</w:t>
            </w:r>
            <w:r w:rsidR="009470DA">
              <w:rPr>
                <w:noProof/>
                <w:webHidden/>
              </w:rPr>
              <w:tab/>
            </w:r>
            <w:r w:rsidR="009470DA">
              <w:rPr>
                <w:noProof/>
                <w:webHidden/>
              </w:rPr>
              <w:fldChar w:fldCharType="begin"/>
            </w:r>
            <w:r w:rsidR="009470DA">
              <w:rPr>
                <w:noProof/>
                <w:webHidden/>
              </w:rPr>
              <w:instrText xml:space="preserve"> PAGEREF _Toc133004467 \h </w:instrText>
            </w:r>
            <w:r w:rsidR="009470DA">
              <w:rPr>
                <w:noProof/>
                <w:webHidden/>
              </w:rPr>
            </w:r>
            <w:r w:rsidR="009470DA">
              <w:rPr>
                <w:noProof/>
                <w:webHidden/>
              </w:rPr>
              <w:fldChar w:fldCharType="separate"/>
            </w:r>
            <w:r w:rsidR="009470DA">
              <w:rPr>
                <w:noProof/>
                <w:webHidden/>
              </w:rPr>
              <w:t>8</w:t>
            </w:r>
            <w:r w:rsidR="009470DA">
              <w:rPr>
                <w:noProof/>
                <w:webHidden/>
              </w:rPr>
              <w:fldChar w:fldCharType="end"/>
            </w:r>
          </w:hyperlink>
        </w:p>
        <w:p w14:paraId="612EB50B" w14:textId="77777777" w:rsidR="009470DA" w:rsidRDefault="004C5DBF">
          <w:pPr>
            <w:pStyle w:val="TOC1"/>
            <w:tabs>
              <w:tab w:val="left" w:pos="682"/>
              <w:tab w:val="right" w:leader="dot" w:pos="9350"/>
            </w:tabs>
            <w:rPr>
              <w:rFonts w:asciiTheme="minorHAnsi" w:eastAsiaTheme="minorEastAsia" w:hAnsiTheme="minorHAnsi" w:cstheme="minorBidi"/>
              <w:noProof/>
              <w:color w:val="auto"/>
              <w:sz w:val="22"/>
              <w:szCs w:val="22"/>
              <w:lang w:val="en-IN" w:eastAsia="en-IN"/>
            </w:rPr>
          </w:pPr>
          <w:hyperlink w:anchor="_Toc133004468" w:history="1">
            <w:r w:rsidR="009470DA" w:rsidRPr="00E14ACE">
              <w:rPr>
                <w:rStyle w:val="Hyperlink"/>
                <w:noProof/>
              </w:rPr>
              <w:t>IV.</w:t>
            </w:r>
            <w:r w:rsidR="009470DA">
              <w:rPr>
                <w:rFonts w:asciiTheme="minorHAnsi" w:eastAsiaTheme="minorEastAsia" w:hAnsiTheme="minorHAnsi" w:cstheme="minorBidi"/>
                <w:noProof/>
                <w:color w:val="auto"/>
                <w:sz w:val="22"/>
                <w:szCs w:val="22"/>
                <w:lang w:val="en-IN" w:eastAsia="en-IN"/>
              </w:rPr>
              <w:tab/>
            </w:r>
            <w:r w:rsidR="009470DA" w:rsidRPr="00E14ACE">
              <w:rPr>
                <w:rStyle w:val="Hyperlink"/>
                <w:noProof/>
              </w:rPr>
              <w:t>References</w:t>
            </w:r>
            <w:r w:rsidR="009470DA">
              <w:rPr>
                <w:noProof/>
                <w:webHidden/>
              </w:rPr>
              <w:tab/>
            </w:r>
            <w:r w:rsidR="009470DA">
              <w:rPr>
                <w:noProof/>
                <w:webHidden/>
              </w:rPr>
              <w:fldChar w:fldCharType="begin"/>
            </w:r>
            <w:r w:rsidR="009470DA">
              <w:rPr>
                <w:noProof/>
                <w:webHidden/>
              </w:rPr>
              <w:instrText xml:space="preserve"> PAGEREF _Toc133004468 \h </w:instrText>
            </w:r>
            <w:r w:rsidR="009470DA">
              <w:rPr>
                <w:noProof/>
                <w:webHidden/>
              </w:rPr>
            </w:r>
            <w:r w:rsidR="009470DA">
              <w:rPr>
                <w:noProof/>
                <w:webHidden/>
              </w:rPr>
              <w:fldChar w:fldCharType="separate"/>
            </w:r>
            <w:r w:rsidR="009470DA">
              <w:rPr>
                <w:noProof/>
                <w:webHidden/>
              </w:rPr>
              <w:t>10</w:t>
            </w:r>
            <w:r w:rsidR="009470DA">
              <w:rPr>
                <w:noProof/>
                <w:webHidden/>
              </w:rPr>
              <w:fldChar w:fldCharType="end"/>
            </w:r>
          </w:hyperlink>
        </w:p>
        <w:p w14:paraId="57E443AE" w14:textId="77777777" w:rsidR="0061610B" w:rsidRDefault="0061610B">
          <w:r>
            <w:rPr>
              <w:b/>
              <w:bCs/>
              <w:noProof/>
            </w:rPr>
            <w:fldChar w:fldCharType="end"/>
          </w:r>
        </w:p>
      </w:sdtContent>
    </w:sdt>
    <w:p w14:paraId="6B055E7F" w14:textId="77777777" w:rsidR="00E54475" w:rsidRDefault="00E54475">
      <w:pPr>
        <w:sectPr w:rsidR="00E54475" w:rsidSect="007A5686">
          <w:pgSz w:w="12240" w:h="15840"/>
          <w:pgMar w:top="1440" w:right="1440" w:bottom="1440" w:left="1440" w:header="0" w:footer="1009" w:gutter="0"/>
          <w:pgBorders w:offsetFrom="page">
            <w:top w:val="single" w:sz="24" w:space="24" w:color="000009"/>
            <w:left w:val="single" w:sz="24" w:space="24" w:color="000009"/>
            <w:bottom w:val="single" w:sz="24" w:space="24" w:color="000009"/>
            <w:right w:val="single" w:sz="24" w:space="24" w:color="000009"/>
          </w:pgBorders>
          <w:cols w:space="720"/>
          <w:docGrid w:linePitch="299"/>
        </w:sectPr>
      </w:pPr>
    </w:p>
    <w:p w14:paraId="48072ABE" w14:textId="77777777" w:rsidR="00E54475" w:rsidRPr="0061610B" w:rsidRDefault="006926CD" w:rsidP="0061610B">
      <w:pPr>
        <w:pStyle w:val="Heading1"/>
        <w:numPr>
          <w:ilvl w:val="0"/>
          <w:numId w:val="3"/>
        </w:numPr>
      </w:pPr>
      <w:bookmarkStart w:id="0" w:name="1._Introduction"/>
      <w:bookmarkStart w:id="1" w:name="_bookmark0"/>
      <w:bookmarkStart w:id="2" w:name="_Toc133004462"/>
      <w:bookmarkEnd w:id="0"/>
      <w:bookmarkEnd w:id="1"/>
      <w:r w:rsidRPr="0061610B">
        <w:lastRenderedPageBreak/>
        <w:t>Introduction</w:t>
      </w:r>
      <w:bookmarkEnd w:id="2"/>
    </w:p>
    <w:p w14:paraId="5D79D41C" w14:textId="3073C639" w:rsidR="00D435E9" w:rsidRPr="0061610B" w:rsidRDefault="00D435E9" w:rsidP="00D435E9">
      <w:r w:rsidRPr="00061E37">
        <w:t xml:space="preserve">Human resources management, or HRM, is the standard method of managing an organization's human resources, including the recruitment, selection, and tolerance of workers; the provision of assistance; the influence of arrangement as well as </w:t>
      </w:r>
      <w:r>
        <w:t xml:space="preserve">an </w:t>
      </w:r>
      <w:r w:rsidRPr="00061E37">
        <w:t>enhancement; the evaluation of agents' prevalence; the selection of incur and advantages; the encouragement of workers; the maintenance of genuine relations with workers along with their consultant's connections; the guarantee of delegates' good fortune; government assistance; and feels assessments within compliances alongside work traditions that must be adhered to.</w:t>
      </w:r>
      <w:r w:rsidRPr="00BF5413">
        <w:t xml:space="preserve"> Every employee of a firm is handled and taken care of by the business function known as human resources management (HRM). Its duties include finding prospective workers, hiring them, training them, establishing plans for their future with the company, and rewarding them.</w:t>
      </w:r>
      <w:r w:rsidRPr="00061E37">
        <w:t xml:space="preserve"> Human resource management entails a wide range of activities, such as distributing incentives and rewards, conducting evaluations, keeping records, planning employees' professional development, preventing sexual misconduct in the workplace, and analy</w:t>
      </w:r>
      <w:r>
        <w:t>s</w:t>
      </w:r>
      <w:r w:rsidRPr="00061E37">
        <w:t>ing the company's human resources</w:t>
      </w:r>
      <w:r>
        <w:t xml:space="preserve"> </w:t>
      </w:r>
      <w:r w:rsidRPr="00061E37">
        <w:t xml:space="preserve">(Stone et al., 2020). </w:t>
      </w:r>
      <w:r w:rsidRPr="0005452B">
        <w:t>Every Hundred representatives must have possession of at least one capable at all times Human Resources individual</w:t>
      </w:r>
      <w:r w:rsidRPr="0080381A">
        <w:rPr>
          <w:color w:val="FF0000"/>
        </w:rPr>
        <w:t xml:space="preserve">. </w:t>
      </w:r>
      <w:bookmarkStart w:id="3" w:name="2._Discussion_and_Analysis"/>
      <w:bookmarkStart w:id="4" w:name="_bookmark1"/>
      <w:bookmarkStart w:id="5" w:name="_Toc133004463"/>
      <w:bookmarkEnd w:id="3"/>
      <w:bookmarkEnd w:id="4"/>
      <w:r w:rsidRPr="0061610B">
        <w:t>Analysis</w:t>
      </w:r>
      <w:r>
        <w:t xml:space="preserve"> and discussion</w:t>
      </w:r>
      <w:bookmarkEnd w:id="5"/>
      <w:r>
        <w:t>.</w:t>
      </w:r>
      <w:r w:rsidRPr="007F73D6">
        <w:t xml:space="preserve"> A company's true scope can differ depending on </w:t>
      </w:r>
      <w:r>
        <w:t>several</w:t>
      </w:r>
      <w:r w:rsidRPr="007F73D6">
        <w:t xml:space="preserve"> variables, such as the place of residence of the experts it provides, the specialist knowledge of the workers who work for it, the company's entire difficulty, and its concentration on controlling human resources.</w:t>
      </w:r>
    </w:p>
    <w:p w14:paraId="25CB2046" w14:textId="77777777" w:rsidR="00D435E9" w:rsidRDefault="00D435E9" w:rsidP="00D435E9">
      <w:pPr>
        <w:pStyle w:val="Heading2"/>
        <w:numPr>
          <w:ilvl w:val="0"/>
          <w:numId w:val="7"/>
        </w:numPr>
      </w:pPr>
      <w:bookmarkStart w:id="6" w:name="2.1_Current_state_of_the_labor_market_in"/>
      <w:bookmarkStart w:id="7" w:name="_bookmark2"/>
      <w:bookmarkStart w:id="8" w:name="_Toc133004464"/>
      <w:bookmarkEnd w:id="6"/>
      <w:bookmarkEnd w:id="7"/>
      <w:r>
        <w:lastRenderedPageBreak/>
        <w:t>Current</w:t>
      </w:r>
      <w:r>
        <w:rPr>
          <w:spacing w:val="-2"/>
        </w:rPr>
        <w:t xml:space="preserve"> </w:t>
      </w:r>
      <w:r>
        <w:t>state</w:t>
      </w:r>
      <w:r>
        <w:rPr>
          <w:spacing w:val="-2"/>
        </w:rPr>
        <w:t xml:space="preserve"> </w:t>
      </w:r>
      <w:r>
        <w:t>of</w:t>
      </w:r>
      <w:r>
        <w:rPr>
          <w:spacing w:val="-2"/>
        </w:rPr>
        <w:t xml:space="preserve"> the </w:t>
      </w:r>
      <w:r>
        <w:t>labor market</w:t>
      </w:r>
      <w:r>
        <w:rPr>
          <w:spacing w:val="-2"/>
        </w:rPr>
        <w:t xml:space="preserve"> within the United Kingdom</w:t>
      </w:r>
      <w:bookmarkEnd w:id="8"/>
    </w:p>
    <w:p w14:paraId="40A8B3FA" w14:textId="142BE20B" w:rsidR="00656C0A" w:rsidRDefault="00F574E5" w:rsidP="00D435E9">
      <w:r>
        <w:rPr>
          <w:noProof/>
        </w:rPr>
        <w:drawing>
          <wp:inline distT="0" distB="0" distL="0" distR="0" wp14:anchorId="681D03C6" wp14:editId="621783A0">
            <wp:extent cx="5981700" cy="31927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0">
                      <a:extLst>
                        <a:ext uri="{28A0092B-C50C-407E-A947-70E740481C1C}">
                          <a14:useLocalDpi xmlns:a14="http://schemas.microsoft.com/office/drawing/2010/main" val="0"/>
                        </a:ext>
                      </a:extLst>
                    </a:blip>
                    <a:srcRect l="4102" t="-1" r="3589" b="995"/>
                    <a:stretch/>
                  </pic:blipFill>
                  <pic:spPr bwMode="auto">
                    <a:xfrm>
                      <a:off x="0" y="0"/>
                      <a:ext cx="5981700" cy="3192780"/>
                    </a:xfrm>
                    <a:prstGeom prst="rect">
                      <a:avLst/>
                    </a:prstGeom>
                    <a:ln>
                      <a:noFill/>
                    </a:ln>
                    <a:extLst>
                      <a:ext uri="{53640926-AAD7-44D8-BBD7-CCE9431645EC}">
                        <a14:shadowObscured xmlns:a14="http://schemas.microsoft.com/office/drawing/2010/main"/>
                      </a:ext>
                    </a:extLst>
                  </pic:spPr>
                </pic:pic>
              </a:graphicData>
            </a:graphic>
          </wp:inline>
        </w:drawing>
      </w:r>
      <w:r w:rsidR="00656C0A">
        <w:tab/>
      </w:r>
      <w:r w:rsidR="00656C0A">
        <w:tab/>
      </w:r>
      <w:r w:rsidR="00656C0A">
        <w:tab/>
      </w:r>
      <w:r w:rsidR="00323FEC">
        <w:t xml:space="preserve">source: </w:t>
      </w:r>
      <w:r w:rsidR="00323FEC" w:rsidRPr="00656C0A">
        <w:rPr>
          <w:u w:val="single"/>
        </w:rPr>
        <w:t>OFFICE FOR NATIONAL STATISTIC</w:t>
      </w:r>
      <w:r w:rsidR="00656C0A" w:rsidRPr="00656C0A">
        <w:rPr>
          <w:u w:val="single"/>
        </w:rPr>
        <w:t>S</w:t>
      </w:r>
    </w:p>
    <w:p w14:paraId="7CA1D8B2" w14:textId="155A34CF" w:rsidR="00D435E9" w:rsidRPr="00644AAD" w:rsidRDefault="00323FEC" w:rsidP="00D435E9">
      <w:pPr>
        <w:rPr>
          <w:color w:val="FF0000"/>
        </w:rPr>
      </w:pPr>
      <w:r>
        <w:t xml:space="preserve"> </w:t>
      </w:r>
      <w:r w:rsidR="00B91E80" w:rsidRPr="00B91E80">
        <w:t>The UK economy has eventually begun an impressive recovery, but there is still time to make up after a brief depression and a delayed return to economic growth.</w:t>
      </w:r>
      <w:r w:rsidR="00B91E80" w:rsidRPr="00B91E80">
        <w:t xml:space="preserve"> </w:t>
      </w:r>
      <w:r w:rsidR="00D435E9">
        <w:t>Changes made by the United Kingdom government regarding the labor market beginning in 1979 are often portrayed as part of a 'freedom' process meant to foster a better 'versatile' labour market.</w:t>
      </w:r>
      <w:r w:rsidR="00A1285D">
        <w:t xml:space="preserve"> </w:t>
      </w:r>
      <w:r w:rsidR="00A1285D" w:rsidRPr="00A1285D">
        <w:t xml:space="preserve">According to the most recent labor market graphs, employment is still rising and inflation is falling. But hiring opportunities continued disappearing and employment stayed below pre-pandemic levels. Although nominal pay growth is still significant real pay growth is still poor due to high prices.  </w:t>
      </w:r>
      <w:r w:rsidR="00D435E9">
        <w:t xml:space="preserve"> Although the United Kingdom's labour market was more open than those in comparable European nations in years such as 1979, this does not necessarily suggest that the trend in labour market policy since then has been libertarian. This research may provide insight into the discussion through the EU about the directions in which labour market methods should go since the UK labour market's experiences seem to be misdirected compared to the experiences of different EU member states (</w:t>
      </w:r>
      <w:r w:rsidR="00D435E9" w:rsidRPr="00EF71D9">
        <w:rPr>
          <w:shd w:val="clear" w:color="auto" w:fill="FFFFFF"/>
        </w:rPr>
        <w:t>Wiggan and Knuth</w:t>
      </w:r>
      <w:r w:rsidR="00D435E9">
        <w:rPr>
          <w:shd w:val="clear" w:color="auto" w:fill="FFFFFF"/>
        </w:rPr>
        <w:t xml:space="preserve">, 2023). </w:t>
      </w:r>
      <w:r w:rsidR="00D435E9" w:rsidRPr="0089605C">
        <w:rPr>
          <w:shd w:val="clear" w:color="auto" w:fill="FFFFFF"/>
        </w:rPr>
        <w:t xml:space="preserve">The company's turnover ratio in the United Kingdom jumped by 0.2 per cent to 76.6 per cent in the third quarter, despite it is still far lower than it was before the worldwide outbreak of Covid. </w:t>
      </w:r>
      <w:r w:rsidR="00D435E9" w:rsidRPr="00952D19">
        <w:rPr>
          <w:shd w:val="clear" w:color="auto" w:fill="FFFFFF"/>
        </w:rPr>
        <w:t xml:space="preserve">While the number of exclusive representatives achieved a record high during this time, a drop in the number of contract employees far outweighed this increase. </w:t>
      </w:r>
      <w:r w:rsidR="00D435E9" w:rsidRPr="00952D19">
        <w:rPr>
          <w:color w:val="auto"/>
        </w:rPr>
        <w:lastRenderedPageBreak/>
        <w:t xml:space="preserve">(Fontaine et al., 2020). </w:t>
      </w:r>
      <w:r w:rsidR="00D435E9" w:rsidRPr="00FA4BA8">
        <w:t xml:space="preserve">For Britons aged 15 to 65, the employment rate decreased by 0.1 percentage point over the quarters to 75.5%, which is still lower than it was </w:t>
      </w:r>
      <w:r w:rsidR="00D435E9">
        <w:t>before</w:t>
      </w:r>
      <w:r w:rsidR="00D435E9" w:rsidRPr="00FA4BA8">
        <w:t xml:space="preserve"> the Covid outbreak.</w:t>
      </w:r>
    </w:p>
    <w:p w14:paraId="68031880" w14:textId="77777777" w:rsidR="00D435E9" w:rsidRPr="005A42D2" w:rsidRDefault="00D435E9" w:rsidP="00D435E9">
      <w:pPr>
        <w:rPr>
          <w:color w:val="FF0000"/>
        </w:rPr>
      </w:pPr>
      <w:r>
        <w:t>Regardless, the proportion of people 16 and older who are employed increased by 164,000 over the trimester. Throughout the majority of the current multi-month phase, there was an increase in the total number of delegates working full-time (Boon et al., 2019). Throughout the longest current three-month period, part-time employment grew. June 2022 is the highest number of payrolling delegates recorded to date, at 29.7 million (</w:t>
      </w:r>
      <w:r>
        <w:rPr>
          <w:shd w:val="clear" w:color="auto" w:fill="FFFFFF"/>
        </w:rPr>
        <w:t>Bell and Blanchflower, 2020</w:t>
      </w:r>
      <w:r>
        <w:t>). This is a boost of 90,100. When compared to the reconsidered April 2022 figure</w:t>
      </w:r>
      <w:r w:rsidRPr="00AB1E4B">
        <w:rPr>
          <w:color w:val="auto"/>
        </w:rPr>
        <w:t>.</w:t>
      </w:r>
      <w:r>
        <w:rPr>
          <w:color w:val="auto"/>
        </w:rPr>
        <w:t xml:space="preserve"> </w:t>
      </w:r>
      <w:r w:rsidRPr="00AB1E4B">
        <w:rPr>
          <w:color w:val="auto"/>
        </w:rPr>
        <w:t xml:space="preserve">The number of weeks having at least 1,040,000 hours of time became by 12.3 million hours, or 1.04 billion hours, throughout February and April of 2022. </w:t>
      </w:r>
      <w:r>
        <w:t xml:space="preserve">Still, this represents 7.7 million fewer than before the Covid extinction. The average number of hours performed each week by short specialists is currently higher than it was preceding the outbreak of Covid at 0.6 hours, although it is still lower than it was before the epidemic. </w:t>
      </w:r>
      <w:r w:rsidRPr="00640775">
        <w:t xml:space="preserve">As a result, companies have recruited fewer permanent workers than they did just before the Covid era </w:t>
      </w:r>
      <w:r w:rsidRPr="00640775">
        <w:rPr>
          <w:color w:val="auto"/>
        </w:rPr>
        <w:t xml:space="preserve">(Boon et al., 2019). </w:t>
      </w:r>
      <w:r w:rsidRPr="007A6FAC">
        <w:rPr>
          <w:color w:val="auto"/>
        </w:rPr>
        <w:t>The number of unemployed people decreased in the first quarter of 2022 due to historically low rates for prolonged unemployment and those who had been unemployed for more than a year</w:t>
      </w:r>
      <w:r>
        <w:rPr>
          <w:color w:val="auto"/>
        </w:rPr>
        <w:t xml:space="preserve"> </w:t>
      </w:r>
      <w:r w:rsidRPr="00A21302">
        <w:rPr>
          <w:color w:val="auto"/>
        </w:rPr>
        <w:t>(</w:t>
      </w:r>
      <w:r w:rsidRPr="00A21302">
        <w:rPr>
          <w:color w:val="auto"/>
          <w:shd w:val="clear" w:color="auto" w:fill="FFFFFF"/>
        </w:rPr>
        <w:t>Wiggan and Knuth, 2023</w:t>
      </w:r>
      <w:r w:rsidRPr="00A21302">
        <w:rPr>
          <w:color w:val="auto"/>
        </w:rPr>
        <w:t xml:space="preserve">). </w:t>
      </w:r>
      <w:r>
        <w:t>From February hitting April 2022, the economic inactivity rate fell by 0.1 percentage points, to 21.3 per cent. Those who were economically inactive since they had been students drove the decline in pecuniary idleness between the most recent three months and the previous twelve. When compared with various European nations, the British labour market weathered the Great Recession relatively unscathed. Unemployment rose by approximately three percentage points, fell to a manageable rate very quickly, and has remained below its pre-recession level since sometime before 2016 (</w:t>
      </w:r>
      <w:r w:rsidRPr="003B7382">
        <w:rPr>
          <w:shd w:val="clear" w:color="auto" w:fill="FFFFFF"/>
        </w:rPr>
        <w:t>Collings</w:t>
      </w:r>
      <w:r>
        <w:t xml:space="preserve"> et al., 2021). The flip side of successfully overcoming an illness is a plateau in professional development and compensation. Before 2008, productivity increases averaged roughly two per cent per year. However, the recession caused a prolonged slowdown in that trend. </w:t>
      </w:r>
      <w:r w:rsidRPr="00CC0F99">
        <w:t>This presents enormous challenges for the British government, particularly when considering light of its implications of Brexit.</w:t>
      </w:r>
    </w:p>
    <w:p w14:paraId="59CFDFCF" w14:textId="77777777" w:rsidR="00D435E9" w:rsidRDefault="00D435E9" w:rsidP="00D435E9">
      <w:pPr>
        <w:rPr>
          <w:color w:val="FF0000"/>
        </w:rPr>
      </w:pPr>
    </w:p>
    <w:p w14:paraId="16C9E4F7" w14:textId="77777777" w:rsidR="00D435E9" w:rsidRDefault="00D435E9" w:rsidP="00D435E9">
      <w:pPr>
        <w:rPr>
          <w:color w:val="FF0000"/>
        </w:rPr>
      </w:pPr>
    </w:p>
    <w:p w14:paraId="5A618642" w14:textId="77777777" w:rsidR="00D435E9" w:rsidRDefault="00D435E9" w:rsidP="00D435E9">
      <w:pPr>
        <w:rPr>
          <w:color w:val="FF0000"/>
        </w:rPr>
      </w:pPr>
    </w:p>
    <w:p w14:paraId="6A688A76" w14:textId="77777777" w:rsidR="00D435E9" w:rsidRDefault="00D435E9" w:rsidP="00D435E9">
      <w:pPr>
        <w:rPr>
          <w:color w:val="FF0000"/>
        </w:rPr>
      </w:pPr>
    </w:p>
    <w:p w14:paraId="4794ADB4" w14:textId="71122453" w:rsidR="00D435E9" w:rsidRPr="00D93EDE" w:rsidRDefault="00D435E9" w:rsidP="00D435E9">
      <w:pPr>
        <w:rPr>
          <w:color w:val="FF0000"/>
        </w:rPr>
      </w:pPr>
      <w:r w:rsidRPr="00B85B0F">
        <w:lastRenderedPageBreak/>
        <w:t>The UK's workforce is considered the most American in Europe</w:t>
      </w:r>
      <w:r>
        <w:t xml:space="preserve">. British employees place the lowest importance on job stability in all of Europe (Ngoc Su et al., 2021). Without any question, only a few nations, like the United States, Canada, as well as New Zealand, provide professionals with a lack of safety. The English language also makes the United Kingdom an attractive migration destination, and this is an additional undeniable fact. </w:t>
      </w:r>
      <w:r w:rsidR="00430861" w:rsidRPr="00430861">
        <w:t>The ongoing decrease in long-term unemployment troubles both economists and politicians equally.</w:t>
      </w:r>
      <w:r w:rsidRPr="00FE3BA6">
        <w:t> prolonged unemployment might indicate weaknesses in labor market institutions and the need for transformation. </w:t>
      </w:r>
      <w:r w:rsidRPr="008A2619">
        <w:t>Although temporary unemployment is a critical indicator of the allocation of potential in the labor market,</w:t>
      </w:r>
      <w:r w:rsidRPr="00FE3BA6">
        <w:t xml:space="preserve"> </w:t>
      </w:r>
      <w:r w:rsidRPr="008A2619">
        <w:t>(Paremoer et al., 2021).</w:t>
      </w:r>
      <w:r w:rsidRPr="00DD3A1C">
        <w:t xml:space="preserve"> Chronic unemployment also has adverse consequences for society since a disproportionate number of individuals are affected by a recession.</w:t>
      </w:r>
    </w:p>
    <w:p w14:paraId="2DD8AE41" w14:textId="77777777" w:rsidR="00D435E9" w:rsidRDefault="00D435E9" w:rsidP="00D435E9">
      <w:pPr>
        <w:rPr>
          <w:sz w:val="31"/>
        </w:rPr>
      </w:pPr>
      <w:r w:rsidRPr="009103E4">
        <w:t xml:space="preserve">It drastically influences poverty and has a major adverse impact on people's physical and mental health. </w:t>
      </w:r>
      <w:r>
        <w:t>The longer workers are out of their workforce, the more likely it is that they will experience a decline in overall human resources, making it far more difficult to encourage them to acquire an alternative type of employment in the future (Ngoc Su et al., 2021). This might set off a feedback loop that accelerates the underlying rate of unemployment</w:t>
      </w:r>
      <w:r w:rsidRPr="002B514C">
        <w:t xml:space="preserve">. When the economy was recovering, nearly 40% of UK employees remained without employment for longer than a </w:t>
      </w:r>
      <w:r>
        <w:t>year.</w:t>
      </w:r>
      <w:r w:rsidRPr="004A1F50">
        <w:t xml:space="preserve"> EA18 had higher long-term and very long-term unemployment rates than the UK</w:t>
      </w:r>
      <w:r>
        <w:t xml:space="preserve">, it was </w:t>
      </w:r>
      <w:r w:rsidRPr="00047512">
        <w:t>20</w:t>
      </w:r>
      <w:r>
        <w:t>%</w:t>
      </w:r>
      <w:r w:rsidRPr="00047512">
        <w:t xml:space="preserve"> greater compared to the United Kingdom</w:t>
      </w:r>
      <w:r w:rsidRPr="00080A44">
        <w:rPr>
          <w:color w:val="FF0000"/>
        </w:rPr>
        <w:t xml:space="preserve">. </w:t>
      </w:r>
      <w:r>
        <w:t>Long-term unemployment across EA18 has just recently returned to pre-downturn phases, whereas in the UK it started declining again in 2013 and has since stabilised around 2017 (Mihut,</w:t>
      </w:r>
      <w:r>
        <w:rPr>
          <w:spacing w:val="-1"/>
        </w:rPr>
        <w:t xml:space="preserve"> </w:t>
      </w:r>
      <w:r>
        <w:t>2021). Unemployment among young workers is particularly worrisome since it portends future increases in the unemployment rate. Furthermore, excessive unemployment within this group may be an indication of dwindling potential profits since young unemployed people do not attend a school or get labour market expertise.</w:t>
      </w:r>
    </w:p>
    <w:p w14:paraId="6CA1C19C" w14:textId="77777777" w:rsidR="00D435E9" w:rsidRDefault="00D435E9" w:rsidP="00D435E9">
      <w:pPr>
        <w:pStyle w:val="Heading2"/>
        <w:numPr>
          <w:ilvl w:val="0"/>
          <w:numId w:val="7"/>
        </w:numPr>
      </w:pPr>
      <w:bookmarkStart w:id="9" w:name="2.2_Human_Resourcing_Strategies_in_the_p"/>
      <w:bookmarkStart w:id="10" w:name="_bookmark3"/>
      <w:bookmarkStart w:id="11" w:name="_Toc133004465"/>
      <w:bookmarkEnd w:id="9"/>
      <w:bookmarkEnd w:id="10"/>
      <w:r w:rsidRPr="00E55D5B">
        <w:t>Human Resource Planning after the COVD Era</w:t>
      </w:r>
      <w:bookmarkEnd w:id="11"/>
    </w:p>
    <w:p w14:paraId="148D8140" w14:textId="77777777" w:rsidR="00D435E9" w:rsidRPr="00083D13" w:rsidRDefault="00D435E9" w:rsidP="00D435E9">
      <w:pPr>
        <w:rPr>
          <w:color w:val="FF0000"/>
        </w:rPr>
      </w:pPr>
      <w:r>
        <w:t xml:space="preserve">Human resources strategies constitute a kind of administrative competence that aims to make the most of, persuade, and keep tabs on the people and groups that make up an organisation. It's based on the connections between individuals. Human resources managers are responsible for setting up organisational structures to maximise the effectiveness of their staff in meeting their organization's many goals (Mihut, 2021). includes strategies, procedures, and organisational setups that have an impact on workers' perspectives, leadership, and output. Human resources management is the art and science of using people to accomplish organisational objectives. It is the "people side" of </w:t>
      </w:r>
      <w:r>
        <w:lastRenderedPageBreak/>
        <w:t>corporate governance, dealing with the management of employees and the establishment of policies and procedures that govern their conduct on the job (</w:t>
      </w:r>
      <w:r w:rsidRPr="0067674C">
        <w:rPr>
          <w:shd w:val="clear" w:color="auto" w:fill="FFFFFF"/>
        </w:rPr>
        <w:t>Trondal, Gänzle and Leruth</w:t>
      </w:r>
      <w:r>
        <w:t xml:space="preserve">, 2022). </w:t>
      </w:r>
      <w:r w:rsidRPr="008C40E1">
        <w:t>Human resourcing strategies are things that are done by the organization's HR leadership team to motivate employees to take a greater interest in the long-term prosperity of the organization by offering them the assets that they require to accomplish both their objectives and the objectives of the organization collectively.</w:t>
      </w:r>
    </w:p>
    <w:p w14:paraId="13A4263B" w14:textId="77777777" w:rsidR="00D435E9" w:rsidRDefault="00D435E9" w:rsidP="00D435E9">
      <w:r>
        <w:t>Since February 2020, people all across the globe have been exposed to a horrific disease named COVID-19, which is caused by the virus known as Corona. Companies throughout the world have varying degrees of difficulty in responding to the aftermath of this COVID-19 global pandemic at different points in time. Twenty million jobs were counted as gone by April 6th, more than were lost throughout the whole of the Grand Recession (Bourgeault et al., 2020). Following the COVID-19 period of time, the unemployment rate may rise. To say that the outbreak of COVID-19 is both a test for top-level management and a massive opportunity to promote the kind of trust as well as accountability essential for a Trust-Based tradition (</w:t>
      </w:r>
      <w:r w:rsidRPr="00C06DEC">
        <w:rPr>
          <w:shd w:val="clear" w:color="auto" w:fill="FFFFFF"/>
        </w:rPr>
        <w:t>Zhong</w:t>
      </w:r>
      <w:r>
        <w:rPr>
          <w:shd w:val="clear" w:color="auto" w:fill="FFFFFF"/>
        </w:rPr>
        <w:t xml:space="preserve"> et al.</w:t>
      </w:r>
      <w:r>
        <w:t>, 2021). Recognising and implementing the proper representative approaches and smart methods to cope with remote employment emerges as the most challenging and important, although issues may come at any point, including location, industry, and company growth.</w:t>
      </w:r>
    </w:p>
    <w:p w14:paraId="1B5B5ED5" w14:textId="77777777" w:rsidR="00D435E9" w:rsidRDefault="00D435E9" w:rsidP="00D435E9">
      <w:r>
        <w:t>Organisations are adapting to the recent pandemic circumstance by introducing new practices and recruiting imaginative experts to execute unique aims to shatter every barrier that stands in the way of resilience. The greatest hope for everyone's survival through the current crisis remains a well-developed plan for the future (Wachter, 2020). It'll pave the way for workers and/or customers to improve their efficiency and effectiveness. There is an urgent need for development in HR practices. The key to dealing with and overcoming the challenges posed by the pandemic condition is to come up with unique approaches to manage the employees efficiently and successfully to generate the most productivity while assuring representative satisfaction (Moradlou et al., 2022). Human resource management practices are going to be the primary driver in determining how employees behave inside organisations and reflect the organization's commitment to the success of its stakeholders by 2020.</w:t>
      </w:r>
    </w:p>
    <w:p w14:paraId="1B51CA1A" w14:textId="77777777" w:rsidR="00D435E9" w:rsidRPr="00292CA5" w:rsidRDefault="00D435E9" w:rsidP="00D435E9">
      <w:r>
        <w:t xml:space="preserve">After Covid-19, organisations will be forced to make significant changes to their plans and methods of operation. They require the dedication of their representatives more than ever to get through this challenging time. Employees may experience feelings of isolation, helplessness, and </w:t>
      </w:r>
      <w:r>
        <w:lastRenderedPageBreak/>
        <w:t>frustration (Wachter, 2020). As a result, HR professionals' roles as transition specialists remain crucial. A further challenge for human resources professionals is posed by the widespread use of social culling, which makes it more difficult to implement consistent cycle, strategy, and dedication practises. With so many obstacles to overcome in the wake of the passage of the legislation known as the Covid Final Rule, human resources departments must approach this post-Covid era with a steady hand and a keen eye for detail (</w:t>
      </w:r>
      <w:r w:rsidRPr="000E50DC">
        <w:rPr>
          <w:shd w:val="clear" w:color="auto" w:fill="FFFFFF"/>
        </w:rPr>
        <w:t>Sindakis and Aggarwal</w:t>
      </w:r>
      <w:r>
        <w:rPr>
          <w:shd w:val="clear" w:color="auto" w:fill="FFFFFF"/>
        </w:rPr>
        <w:t>, 2022</w:t>
      </w:r>
      <w:r>
        <w:t>). Significantly, these issues revolve mostly around people's roles in this global epidemic, which will result in a revolutionary shift in HR roles post-Covid.</w:t>
      </w:r>
    </w:p>
    <w:p w14:paraId="2BC30E2E" w14:textId="77777777" w:rsidR="00D435E9" w:rsidRDefault="00D435E9" w:rsidP="00D435E9">
      <w:pPr>
        <w:pStyle w:val="Heading2"/>
        <w:numPr>
          <w:ilvl w:val="0"/>
          <w:numId w:val="7"/>
        </w:numPr>
      </w:pPr>
      <w:bookmarkStart w:id="12" w:name="2.2.1_Human_Resourcing_strategies_in_the"/>
      <w:bookmarkStart w:id="13" w:name="_bookmark4"/>
      <w:bookmarkStart w:id="14" w:name="_Toc133004466"/>
      <w:bookmarkEnd w:id="12"/>
      <w:bookmarkEnd w:id="13"/>
      <w:r w:rsidRPr="00292CA5">
        <w:t>Strategies for Human Resource Sourcing during the Post-Brexit External Setting</w:t>
      </w:r>
      <w:bookmarkEnd w:id="14"/>
    </w:p>
    <w:p w14:paraId="7503C02B" w14:textId="388F2A86" w:rsidR="00D435E9" w:rsidRDefault="00D435E9" w:rsidP="00D435E9">
      <w:r>
        <w:t>Making ends meet in the wake of Brexit seems no easy feat. Although management knows that businesses on both sides of the lake have done their best to prepare for the situation, they also know that unexpected challenges are likely to arise as the real cycle unfolds, despite how long it was initially anticipated</w:t>
      </w:r>
      <w:r w:rsidRPr="00595441">
        <w:t xml:space="preserve">. </w:t>
      </w:r>
      <w:r>
        <w:t>You're either very vulnerable or they understand the pressures that your HR expertise brings to bear for the good of the business.</w:t>
      </w:r>
    </w:p>
    <w:p w14:paraId="2BF01A13" w14:textId="77777777" w:rsidR="00D435E9" w:rsidRDefault="00D435E9" w:rsidP="00D435E9">
      <w:r>
        <w:t>Conversations leading up to the directive focused mostly on public influence, mobility, and the inexpensive, with little emphasis on the environment. Neither can it be missed within the political landscape of 2018 (</w:t>
      </w:r>
      <w:r w:rsidRPr="00DB627B">
        <w:rPr>
          <w:shd w:val="clear" w:color="auto" w:fill="FFFFFF"/>
        </w:rPr>
        <w:t>Fernandez-Reino and Rienzo</w:t>
      </w:r>
      <w:r>
        <w:rPr>
          <w:shd w:val="clear" w:color="auto" w:fill="FFFFFF"/>
        </w:rPr>
        <w:t>, 2021</w:t>
      </w:r>
      <w:r>
        <w:t>). However, the climate has emerged as a major topic since the Brexit process has unfolded. This is due to the United Kingdom's natural technique being heavily shaped by its EU membership. According to a recent government study on the anticipated effects of Brexit upon departments, the Division of Environment, Food, and Rural Affairs would be among the most negatively affected. This is primarily because 79 per cent of its activity is related to the European Union. Several reports have acknowledged the complexity of localising the natural inventory and the associated administrative structure, while others have raised serious concerns about the potential unintended consequences of Brexit on the United Kingdom's climate plan. This has broader party-political repercussions since it allows euro-sceptics to join forces with climate change sceptics by attacking EU environmental restrictions (often known as the "green ribbon") (Azizi et al., 2021). This shift has politicised the ecological approach, which threatens stability in a crucial area where long-term important preparedness and assurance are essential for the achievement of major goals like carbon reductions.</w:t>
      </w:r>
    </w:p>
    <w:p w14:paraId="35250679" w14:textId="48563FF1" w:rsidR="00D435E9" w:rsidRPr="007C05B3" w:rsidRDefault="00D435E9" w:rsidP="00D435E9">
      <w:pPr>
        <w:rPr>
          <w:color w:val="FF0000"/>
        </w:rPr>
      </w:pPr>
      <w:r w:rsidRPr="00B548E6">
        <w:rPr>
          <w:color w:val="auto"/>
        </w:rPr>
        <w:t xml:space="preserve">The concept of the natural strategy being a decrepit approach area also raises crucial broader holy </w:t>
      </w:r>
      <w:r w:rsidRPr="00B548E6">
        <w:rPr>
          <w:color w:val="auto"/>
        </w:rPr>
        <w:lastRenderedPageBreak/>
        <w:t>questions about the relationship between Westminster as well as the backwards nations (</w:t>
      </w:r>
      <w:r w:rsidRPr="00B548E6">
        <w:rPr>
          <w:color w:val="auto"/>
          <w:shd w:val="clear" w:color="auto" w:fill="FFFFFF"/>
        </w:rPr>
        <w:t>Li and Heath</w:t>
      </w:r>
      <w:r w:rsidRPr="00B548E6">
        <w:rPr>
          <w:color w:val="auto"/>
        </w:rPr>
        <w:t xml:space="preserve">, 2020). </w:t>
      </w:r>
      <w:r w:rsidR="00EB23B4" w:rsidRPr="00EB23B4">
        <w:rPr>
          <w:color w:val="auto"/>
        </w:rPr>
        <w:t>Environmental groups highlighted the risk of Brexit resulting in laxer environmental laws, which could lead to managerial cracks within the UK's natural organization, challenging co-appointment, strategy unpredictability, and intentional ecological preservation of strategies. This is due to uncertainty around the outcome of the Brexit exercise, which could lead to managerial cracks, challenging co-appointment, strategy unpredictability, and intentional ecological preservation of strategies.</w:t>
      </w:r>
      <w:r w:rsidR="00EB23B4" w:rsidRPr="00EB23B4">
        <w:rPr>
          <w:color w:val="auto"/>
        </w:rPr>
        <w:t xml:space="preserve"> </w:t>
      </w:r>
      <w:r w:rsidRPr="00740C9B">
        <w:t>(</w:t>
      </w:r>
      <w:r w:rsidRPr="00740C9B">
        <w:rPr>
          <w:shd w:val="clear" w:color="auto" w:fill="FFFFFF"/>
        </w:rPr>
        <w:t>Mayhew and Anand, 2020</w:t>
      </w:r>
      <w:r w:rsidRPr="003104BC">
        <w:t>)</w:t>
      </w:r>
      <w:r>
        <w:t>.</w:t>
      </w:r>
      <w:r w:rsidRPr="007C05B3">
        <w:rPr>
          <w:color w:val="FF0000"/>
        </w:rPr>
        <w:t xml:space="preserve"> </w:t>
      </w:r>
    </w:p>
    <w:p w14:paraId="687612F1" w14:textId="77777777" w:rsidR="00D435E9" w:rsidRDefault="00D435E9" w:rsidP="00D435E9">
      <w:pPr>
        <w:rPr>
          <w:sz w:val="26"/>
        </w:rPr>
      </w:pPr>
      <w:r w:rsidRPr="00D435E9">
        <w:t xml:space="preserve">Brexit might trigger significant natural organisational deficiencies that are close to their anticipated ones. (Moradlou et al., 2021). </w:t>
      </w:r>
      <w:r>
        <w:t>The European Union (EU) is now involved in every stage of the United Kingdom's strategy cycle: strategy development, training and data collection, planning, execution, along with evaluation. The United Kingdom benefits from being able to call on support from the European Administration and a range of organisations, such as the European Atmospheric Activity especially the European Compounding Agency, along with other member states from the European Union (Fitriyani et al., 2020). After Brexit, likely, these records of proficiency or progress will not be easily available.</w:t>
      </w:r>
    </w:p>
    <w:p w14:paraId="14C1903B" w14:textId="77777777" w:rsidR="00D435E9" w:rsidRPr="0061610B" w:rsidRDefault="00D435E9" w:rsidP="00D435E9">
      <w:pPr>
        <w:pStyle w:val="Heading1"/>
        <w:numPr>
          <w:ilvl w:val="0"/>
          <w:numId w:val="3"/>
        </w:numPr>
      </w:pPr>
      <w:bookmarkStart w:id="15" w:name="3._Conclusion"/>
      <w:bookmarkStart w:id="16" w:name="_bookmark5"/>
      <w:bookmarkStart w:id="17" w:name="_Toc133004467"/>
      <w:bookmarkEnd w:id="15"/>
      <w:bookmarkEnd w:id="16"/>
      <w:r w:rsidRPr="0061610B">
        <w:t>Conclusion</w:t>
      </w:r>
      <w:bookmarkEnd w:id="17"/>
    </w:p>
    <w:p w14:paraId="404E7835" w14:textId="60C6D164" w:rsidR="00E54475" w:rsidRDefault="00D435E9" w:rsidP="00D435E9">
      <w:pPr>
        <w:sectPr w:rsidR="00E54475" w:rsidSect="007A5686">
          <w:pgSz w:w="12240" w:h="15840"/>
          <w:pgMar w:top="1440" w:right="1440" w:bottom="1440" w:left="1440" w:header="0" w:footer="1009" w:gutter="0"/>
          <w:pgBorders w:offsetFrom="page">
            <w:top w:val="single" w:sz="24" w:space="24" w:color="000009"/>
            <w:left w:val="single" w:sz="24" w:space="24" w:color="000009"/>
            <w:bottom w:val="single" w:sz="24" w:space="24" w:color="000009"/>
            <w:right w:val="single" w:sz="24" w:space="24" w:color="000009"/>
          </w:pgBorders>
          <w:cols w:space="720"/>
          <w:docGrid w:linePitch="299"/>
        </w:sectPr>
      </w:pPr>
      <w:r w:rsidRPr="00902E74">
        <w:t xml:space="preserve">The post-Coronavirus period has provided pioneers with an unparalleled opportunity for introspection and reflection, both of which may be challenging in the context of the ordinary working world. Many businesses may be prompted by the worldwide pandemic situation to improve work methods to sustain the firm running and quickly adapt to new technologies. </w:t>
      </w:r>
      <w:r w:rsidRPr="001D0B33">
        <w:t>This kind of approach will be utilised in the future on a regular schedule</w:t>
      </w:r>
      <w:r>
        <w:t xml:space="preserve">. </w:t>
      </w:r>
      <w:r w:rsidRPr="00E732C3">
        <w:t>Innovation and taking use of decentralization are key to establishing credibility in today's workplace</w:t>
      </w:r>
      <w:r w:rsidRPr="00BB74D1">
        <w:rPr>
          <w:color w:val="FF0000"/>
        </w:rPr>
        <w:t xml:space="preserve">. </w:t>
      </w:r>
      <w:r w:rsidRPr="00902E74">
        <w:t xml:space="preserve">This 'Grimy Gentleman of Europe' emblem shows that the United Kingdom's adoption of the European Union's natural norms has not always been straightforward. United Kingdom plan makers failed to account for the impact of European Union membership on domestic natural layout, plus the essential cost of implementing ideas necessitated a different form of strategy-making paradigm. The story concerning how </w:t>
      </w:r>
      <w:r>
        <w:t xml:space="preserve">the </w:t>
      </w:r>
      <w:r w:rsidRPr="00902E74">
        <w:t xml:space="preserve">traditional UK's shared aid and priests learned to handle the Brussels process better and sought to influence EU strategies rather </w:t>
      </w:r>
      <w:r w:rsidR="00902E74" w:rsidRPr="00902E74">
        <w:t>consistently, and sometimes fruitlessly, trying to influence EU policy is a crucial component of the history of the Europeanization of the United Kingdom's natural approach.</w:t>
      </w:r>
    </w:p>
    <w:p w14:paraId="1D66541C" w14:textId="77777777" w:rsidR="00E54475" w:rsidRPr="00E71F8B" w:rsidRDefault="006926CD" w:rsidP="0061610B">
      <w:pPr>
        <w:pStyle w:val="Heading1"/>
        <w:numPr>
          <w:ilvl w:val="0"/>
          <w:numId w:val="3"/>
        </w:numPr>
      </w:pPr>
      <w:bookmarkStart w:id="18" w:name="References"/>
      <w:bookmarkStart w:id="19" w:name="_bookmark6"/>
      <w:bookmarkStart w:id="20" w:name="_Toc133004468"/>
      <w:bookmarkEnd w:id="18"/>
      <w:bookmarkEnd w:id="19"/>
      <w:r w:rsidRPr="00E71F8B">
        <w:lastRenderedPageBreak/>
        <w:t>References</w:t>
      </w:r>
      <w:bookmarkEnd w:id="20"/>
    </w:p>
    <w:p w14:paraId="79B57B41" w14:textId="77777777" w:rsidR="0067674C" w:rsidRDefault="0067674C" w:rsidP="00E71F8B">
      <w:pPr>
        <w:spacing w:before="240"/>
        <w:rPr>
          <w:shd w:val="clear" w:color="auto" w:fill="FFFFFF"/>
        </w:rPr>
      </w:pPr>
      <w:r w:rsidRPr="0067674C">
        <w:rPr>
          <w:shd w:val="clear" w:color="auto" w:fill="FFFFFF"/>
        </w:rPr>
        <w:t>Azizi, M.R., Atlasi, R., Ziapour, A., Abbas, J. and Naemi, R., 2021. Innovative human resource management strategies during the COVID-19 pandemic: A systematic narrative review approach. Heliyon, 7(6), p.e07233.</w:t>
      </w:r>
    </w:p>
    <w:p w14:paraId="42465896" w14:textId="2D998DFD" w:rsidR="0067674C" w:rsidRDefault="0067674C" w:rsidP="0067674C">
      <w:pPr>
        <w:spacing w:before="240"/>
        <w:rPr>
          <w:shd w:val="clear" w:color="auto" w:fill="FFFFFF"/>
        </w:rPr>
      </w:pPr>
      <w:r>
        <w:rPr>
          <w:shd w:val="clear" w:color="auto" w:fill="FFFFFF"/>
        </w:rPr>
        <w:t>Bell, D.N. and Blanchflower, D.G., 2020. US and UK labour markets before and during the Covid-19 crash. </w:t>
      </w:r>
      <w:r>
        <w:rPr>
          <w:i/>
          <w:iCs/>
          <w:shd w:val="clear" w:color="auto" w:fill="FFFFFF"/>
        </w:rPr>
        <w:t>National Institute Economic Review</w:t>
      </w:r>
      <w:r>
        <w:rPr>
          <w:shd w:val="clear" w:color="auto" w:fill="FFFFFF"/>
        </w:rPr>
        <w:t>, </w:t>
      </w:r>
      <w:r>
        <w:rPr>
          <w:i/>
          <w:iCs/>
          <w:shd w:val="clear" w:color="auto" w:fill="FFFFFF"/>
        </w:rPr>
        <w:t>252</w:t>
      </w:r>
      <w:r>
        <w:rPr>
          <w:shd w:val="clear" w:color="auto" w:fill="FFFFFF"/>
        </w:rPr>
        <w:t xml:space="preserve">, </w:t>
      </w:r>
      <w:r w:rsidR="00E24D18">
        <w:rPr>
          <w:shd w:val="clear" w:color="auto" w:fill="FFFFFF"/>
        </w:rPr>
        <w:t>pp. R</w:t>
      </w:r>
      <w:r>
        <w:rPr>
          <w:shd w:val="clear" w:color="auto" w:fill="FFFFFF"/>
        </w:rPr>
        <w:t>52-R69.</w:t>
      </w:r>
    </w:p>
    <w:p w14:paraId="1FC14298" w14:textId="52082496" w:rsidR="0067674C" w:rsidRDefault="0067674C" w:rsidP="0067674C">
      <w:pPr>
        <w:spacing w:before="240"/>
        <w:rPr>
          <w:shd w:val="clear" w:color="auto" w:fill="FFFFFF"/>
        </w:rPr>
      </w:pPr>
      <w:r>
        <w:rPr>
          <w:shd w:val="clear" w:color="auto" w:fill="FFFFFF"/>
        </w:rPr>
        <w:t>Boon, C., Den Hartog, D.N. and Lepak, D.P., 2019. A systematic review of human resource management systems and their measurement. </w:t>
      </w:r>
      <w:r>
        <w:rPr>
          <w:i/>
          <w:iCs/>
          <w:shd w:val="clear" w:color="auto" w:fill="FFFFFF"/>
        </w:rPr>
        <w:t xml:space="preserve">Journal of </w:t>
      </w:r>
      <w:r w:rsidR="009655E4">
        <w:rPr>
          <w:i/>
          <w:iCs/>
          <w:shd w:val="clear" w:color="auto" w:fill="FFFFFF"/>
        </w:rPr>
        <w:t>Management</w:t>
      </w:r>
      <w:r>
        <w:rPr>
          <w:shd w:val="clear" w:color="auto" w:fill="FFFFFF"/>
        </w:rPr>
        <w:t>, </w:t>
      </w:r>
      <w:r>
        <w:rPr>
          <w:i/>
          <w:iCs/>
          <w:shd w:val="clear" w:color="auto" w:fill="FFFFFF"/>
        </w:rPr>
        <w:t>45</w:t>
      </w:r>
      <w:r>
        <w:rPr>
          <w:shd w:val="clear" w:color="auto" w:fill="FFFFFF"/>
        </w:rPr>
        <w:t>(6), pp.2498-2537.</w:t>
      </w:r>
    </w:p>
    <w:p w14:paraId="0C1BD812" w14:textId="34AB7D6F" w:rsidR="00713464" w:rsidRDefault="00713464" w:rsidP="0067674C">
      <w:pPr>
        <w:spacing w:before="240"/>
        <w:rPr>
          <w:shd w:val="clear" w:color="auto" w:fill="FFFFFF"/>
        </w:rPr>
      </w:pPr>
      <w:r w:rsidRPr="00713464">
        <w:rPr>
          <w:shd w:val="clear" w:color="auto" w:fill="FFFFFF"/>
        </w:rPr>
        <w:t>Bourgeault, I.L., Maier, C.B., Dieleman, M., Ball, J., MacKenzie, A., Nancarrow, S., Nigenda, G. and Sidat, M., 2020. The COVID-19 pandemic presents an opportunity to develop more sustainable health workforces. </w:t>
      </w:r>
      <w:r w:rsidRPr="00713464">
        <w:rPr>
          <w:i/>
          <w:iCs/>
          <w:shd w:val="clear" w:color="auto" w:fill="FFFFFF"/>
        </w:rPr>
        <w:t>Human resources for health</w:t>
      </w:r>
      <w:r w:rsidRPr="00713464">
        <w:rPr>
          <w:shd w:val="clear" w:color="auto" w:fill="FFFFFF"/>
        </w:rPr>
        <w:t>, </w:t>
      </w:r>
      <w:r w:rsidRPr="00713464">
        <w:rPr>
          <w:i/>
          <w:iCs/>
          <w:shd w:val="clear" w:color="auto" w:fill="FFFFFF"/>
        </w:rPr>
        <w:t>18</w:t>
      </w:r>
      <w:r w:rsidRPr="00713464">
        <w:rPr>
          <w:shd w:val="clear" w:color="auto" w:fill="FFFFFF"/>
        </w:rPr>
        <w:t>(1), pp.1-8.</w:t>
      </w:r>
    </w:p>
    <w:p w14:paraId="36CF4E33" w14:textId="5DE10716" w:rsidR="003B7382" w:rsidRDefault="003B7382" w:rsidP="0067674C">
      <w:pPr>
        <w:spacing w:before="240"/>
        <w:rPr>
          <w:shd w:val="clear" w:color="auto" w:fill="FFFFFF"/>
        </w:rPr>
      </w:pPr>
      <w:r w:rsidRPr="003B7382">
        <w:rPr>
          <w:shd w:val="clear" w:color="auto" w:fill="FFFFFF"/>
        </w:rPr>
        <w:t>Collings, D.G., Nyberg, A.J., Wright, P.M. and McMackin, J., 2021. Leading through paradox in a COVID‐19 world: Human resources comes of age. </w:t>
      </w:r>
      <w:r w:rsidRPr="003B7382">
        <w:rPr>
          <w:i/>
          <w:iCs/>
          <w:shd w:val="clear" w:color="auto" w:fill="FFFFFF"/>
        </w:rPr>
        <w:t>Human Resource Management Journal</w:t>
      </w:r>
      <w:r w:rsidRPr="003B7382">
        <w:rPr>
          <w:shd w:val="clear" w:color="auto" w:fill="FFFFFF"/>
        </w:rPr>
        <w:t>, </w:t>
      </w:r>
      <w:r w:rsidRPr="003B7382">
        <w:rPr>
          <w:i/>
          <w:iCs/>
          <w:shd w:val="clear" w:color="auto" w:fill="FFFFFF"/>
        </w:rPr>
        <w:t>31</w:t>
      </w:r>
      <w:r w:rsidRPr="003B7382">
        <w:rPr>
          <w:shd w:val="clear" w:color="auto" w:fill="FFFFFF"/>
        </w:rPr>
        <w:t>(4), pp.819-833.</w:t>
      </w:r>
    </w:p>
    <w:p w14:paraId="06AE5916" w14:textId="5EA30524" w:rsidR="00DB627B" w:rsidRDefault="00DB627B" w:rsidP="0067674C">
      <w:pPr>
        <w:spacing w:before="240"/>
        <w:rPr>
          <w:shd w:val="clear" w:color="auto" w:fill="FFFFFF"/>
        </w:rPr>
      </w:pPr>
      <w:r w:rsidRPr="00DB627B">
        <w:rPr>
          <w:shd w:val="clear" w:color="auto" w:fill="FFFFFF"/>
        </w:rPr>
        <w:t>Fernandez-Reino, M. and Rienzo, C., 2021. Migrants in the UK labour market: An overview. </w:t>
      </w:r>
      <w:r w:rsidRPr="00DB627B">
        <w:rPr>
          <w:i/>
          <w:iCs/>
          <w:shd w:val="clear" w:color="auto" w:fill="FFFFFF"/>
        </w:rPr>
        <w:t>Migration Observatory briefing. Retrieved on</w:t>
      </w:r>
      <w:r w:rsidRPr="00DB627B">
        <w:rPr>
          <w:shd w:val="clear" w:color="auto" w:fill="FFFFFF"/>
        </w:rPr>
        <w:t>, </w:t>
      </w:r>
      <w:r w:rsidRPr="00DB627B">
        <w:rPr>
          <w:i/>
          <w:iCs/>
          <w:shd w:val="clear" w:color="auto" w:fill="FFFFFF"/>
        </w:rPr>
        <w:t>4</w:t>
      </w:r>
      <w:r w:rsidRPr="00DB627B">
        <w:rPr>
          <w:shd w:val="clear" w:color="auto" w:fill="FFFFFF"/>
        </w:rPr>
        <w:t>.</w:t>
      </w:r>
    </w:p>
    <w:p w14:paraId="54247B5D" w14:textId="77777777" w:rsidR="0067674C" w:rsidRDefault="0067674C" w:rsidP="0067674C">
      <w:pPr>
        <w:spacing w:before="240"/>
        <w:rPr>
          <w:shd w:val="clear" w:color="auto" w:fill="FFFFFF"/>
        </w:rPr>
      </w:pPr>
      <w:r>
        <w:rPr>
          <w:shd w:val="clear" w:color="auto" w:fill="FFFFFF"/>
        </w:rPr>
        <w:t>Fitriyani, I., Sudiyarti, N. and Fietroh, M.N., 2020. Strategi manajemen bisnis pasca pandemi covid-19. </w:t>
      </w:r>
      <w:r>
        <w:rPr>
          <w:i/>
          <w:iCs/>
          <w:shd w:val="clear" w:color="auto" w:fill="FFFFFF"/>
        </w:rPr>
        <w:t>Indonesian Journal of Social Sciences and Humanities</w:t>
      </w:r>
      <w:r>
        <w:rPr>
          <w:shd w:val="clear" w:color="auto" w:fill="FFFFFF"/>
        </w:rPr>
        <w:t>, </w:t>
      </w:r>
      <w:r>
        <w:rPr>
          <w:i/>
          <w:iCs/>
          <w:shd w:val="clear" w:color="auto" w:fill="FFFFFF"/>
        </w:rPr>
        <w:t>1</w:t>
      </w:r>
      <w:r>
        <w:rPr>
          <w:shd w:val="clear" w:color="auto" w:fill="FFFFFF"/>
        </w:rPr>
        <w:t>(2), pp.87-95.</w:t>
      </w:r>
    </w:p>
    <w:p w14:paraId="100DC99E" w14:textId="1D706663" w:rsidR="00A454CA" w:rsidRDefault="00A454CA" w:rsidP="0067674C">
      <w:pPr>
        <w:spacing w:before="240"/>
        <w:rPr>
          <w:shd w:val="clear" w:color="auto" w:fill="FFFFFF"/>
        </w:rPr>
      </w:pPr>
      <w:r w:rsidRPr="00A454CA">
        <w:rPr>
          <w:shd w:val="clear" w:color="auto" w:fill="FFFFFF"/>
        </w:rPr>
        <w:t>Fontaine, I., Galvez-Iniesta, I., Gomes, P. and Vila-Martin, D., 2020. Labour market flows Accounting for the public sector. </w:t>
      </w:r>
      <w:r w:rsidRPr="00A454CA">
        <w:rPr>
          <w:i/>
          <w:iCs/>
          <w:shd w:val="clear" w:color="auto" w:fill="FFFFFF"/>
        </w:rPr>
        <w:t>Labour Economics</w:t>
      </w:r>
      <w:r w:rsidRPr="00A454CA">
        <w:rPr>
          <w:shd w:val="clear" w:color="auto" w:fill="FFFFFF"/>
        </w:rPr>
        <w:t>, </w:t>
      </w:r>
      <w:r w:rsidRPr="00A454CA">
        <w:rPr>
          <w:i/>
          <w:iCs/>
          <w:shd w:val="clear" w:color="auto" w:fill="FFFFFF"/>
        </w:rPr>
        <w:t>62</w:t>
      </w:r>
      <w:r w:rsidRPr="00A454CA">
        <w:rPr>
          <w:shd w:val="clear" w:color="auto" w:fill="FFFFFF"/>
        </w:rPr>
        <w:t>, p.101770.</w:t>
      </w:r>
    </w:p>
    <w:p w14:paraId="342408B2" w14:textId="5ED2ADB8" w:rsidR="00B52E38" w:rsidRDefault="00B52E38" w:rsidP="0067674C">
      <w:pPr>
        <w:spacing w:before="240"/>
        <w:rPr>
          <w:shd w:val="clear" w:color="auto" w:fill="FFFFFF"/>
        </w:rPr>
      </w:pPr>
      <w:r w:rsidRPr="00B52E38">
        <w:rPr>
          <w:shd w:val="clear" w:color="auto" w:fill="FFFFFF"/>
        </w:rPr>
        <w:t>Li, Y. and Heath, A., 2020. Persisting disadvantages: a study of labour market dynamics of ethnic unemployment and earnings in the UK (2009–2015). </w:t>
      </w:r>
      <w:r w:rsidRPr="00B52E38">
        <w:rPr>
          <w:i/>
          <w:iCs/>
          <w:shd w:val="clear" w:color="auto" w:fill="FFFFFF"/>
        </w:rPr>
        <w:t>Journal of Ethnic and Migration Studies</w:t>
      </w:r>
      <w:r w:rsidRPr="00B52E38">
        <w:rPr>
          <w:shd w:val="clear" w:color="auto" w:fill="FFFFFF"/>
        </w:rPr>
        <w:t>, </w:t>
      </w:r>
      <w:r w:rsidRPr="00B52E38">
        <w:rPr>
          <w:i/>
          <w:iCs/>
          <w:shd w:val="clear" w:color="auto" w:fill="FFFFFF"/>
        </w:rPr>
        <w:t>46</w:t>
      </w:r>
      <w:r w:rsidRPr="00B52E38">
        <w:rPr>
          <w:shd w:val="clear" w:color="auto" w:fill="FFFFFF"/>
        </w:rPr>
        <w:t>(5), pp.857-878.</w:t>
      </w:r>
    </w:p>
    <w:p w14:paraId="15BC79BF" w14:textId="59493815" w:rsidR="00445C86" w:rsidRDefault="00445C86" w:rsidP="0067674C">
      <w:pPr>
        <w:spacing w:before="240"/>
        <w:rPr>
          <w:shd w:val="clear" w:color="auto" w:fill="FFFFFF"/>
        </w:rPr>
      </w:pPr>
      <w:r w:rsidRPr="00445C86">
        <w:rPr>
          <w:shd w:val="clear" w:color="auto" w:fill="FFFFFF"/>
        </w:rPr>
        <w:t>Mayhew, K. and Anand, P., 2020. COVID-19 and the UK labour market. </w:t>
      </w:r>
      <w:r w:rsidRPr="00445C86">
        <w:rPr>
          <w:i/>
          <w:iCs/>
          <w:shd w:val="clear" w:color="auto" w:fill="FFFFFF"/>
        </w:rPr>
        <w:t>Oxford Review of Economic Policy</w:t>
      </w:r>
      <w:r w:rsidRPr="00445C86">
        <w:rPr>
          <w:shd w:val="clear" w:color="auto" w:fill="FFFFFF"/>
        </w:rPr>
        <w:t>, </w:t>
      </w:r>
      <w:r w:rsidRPr="00445C86">
        <w:rPr>
          <w:i/>
          <w:iCs/>
          <w:shd w:val="clear" w:color="auto" w:fill="FFFFFF"/>
        </w:rPr>
        <w:t>36</w:t>
      </w:r>
      <w:r w:rsidRPr="00445C86">
        <w:rPr>
          <w:shd w:val="clear" w:color="auto" w:fill="FFFFFF"/>
        </w:rPr>
        <w:t>(Supplement_1), pp.S215-S224.</w:t>
      </w:r>
    </w:p>
    <w:p w14:paraId="169D76D4" w14:textId="22E43EC0" w:rsidR="0067674C" w:rsidRDefault="0067674C" w:rsidP="0067674C">
      <w:pPr>
        <w:spacing w:before="240"/>
        <w:rPr>
          <w:shd w:val="clear" w:color="auto" w:fill="FFFFFF"/>
        </w:rPr>
      </w:pPr>
      <w:r>
        <w:rPr>
          <w:shd w:val="clear" w:color="auto" w:fill="FFFFFF"/>
        </w:rPr>
        <w:lastRenderedPageBreak/>
        <w:t xml:space="preserve">Mihut, G., 2022. Does university prestige lead to discrimination in the </w:t>
      </w:r>
      <w:r w:rsidR="009655E4">
        <w:rPr>
          <w:shd w:val="clear" w:color="auto" w:fill="FFFFFF"/>
        </w:rPr>
        <w:t>labour</w:t>
      </w:r>
      <w:r>
        <w:rPr>
          <w:shd w:val="clear" w:color="auto" w:fill="FFFFFF"/>
        </w:rPr>
        <w:t xml:space="preserve"> market? Evidence from a labor market field experiment in three countries. </w:t>
      </w:r>
      <w:r>
        <w:rPr>
          <w:i/>
          <w:iCs/>
          <w:shd w:val="clear" w:color="auto" w:fill="FFFFFF"/>
        </w:rPr>
        <w:t>Studies in Higher Education</w:t>
      </w:r>
      <w:r>
        <w:rPr>
          <w:shd w:val="clear" w:color="auto" w:fill="FFFFFF"/>
        </w:rPr>
        <w:t>, </w:t>
      </w:r>
      <w:r>
        <w:rPr>
          <w:i/>
          <w:iCs/>
          <w:shd w:val="clear" w:color="auto" w:fill="FFFFFF"/>
        </w:rPr>
        <w:t>47</w:t>
      </w:r>
      <w:r>
        <w:rPr>
          <w:shd w:val="clear" w:color="auto" w:fill="FFFFFF"/>
        </w:rPr>
        <w:t>(6), pp.1227-1242.</w:t>
      </w:r>
    </w:p>
    <w:p w14:paraId="31E466E7" w14:textId="77777777" w:rsidR="0067674C" w:rsidRDefault="0067674C" w:rsidP="0067674C">
      <w:pPr>
        <w:spacing w:before="240"/>
        <w:rPr>
          <w:shd w:val="clear" w:color="auto" w:fill="FFFFFF"/>
        </w:rPr>
      </w:pPr>
      <w:r>
        <w:rPr>
          <w:shd w:val="clear" w:color="auto" w:fill="FFFFFF"/>
        </w:rPr>
        <w:t>Moradlou, H., Fratocchi, L., Skipworth, H. and Ghadge, A., 2022. Post-Brexit back-shoring strategies: what UK manufacturing companies could learn from the past?. </w:t>
      </w:r>
      <w:r>
        <w:rPr>
          <w:i/>
          <w:iCs/>
          <w:shd w:val="clear" w:color="auto" w:fill="FFFFFF"/>
        </w:rPr>
        <w:t>Production Planning &amp; Control</w:t>
      </w:r>
      <w:r>
        <w:rPr>
          <w:shd w:val="clear" w:color="auto" w:fill="FFFFFF"/>
        </w:rPr>
        <w:t>, </w:t>
      </w:r>
      <w:r>
        <w:rPr>
          <w:i/>
          <w:iCs/>
          <w:shd w:val="clear" w:color="auto" w:fill="FFFFFF"/>
        </w:rPr>
        <w:t>33</w:t>
      </w:r>
      <w:r>
        <w:rPr>
          <w:shd w:val="clear" w:color="auto" w:fill="FFFFFF"/>
        </w:rPr>
        <w:t>(14), pp.1319-1336.</w:t>
      </w:r>
    </w:p>
    <w:p w14:paraId="224C7520" w14:textId="77777777" w:rsidR="0067674C" w:rsidRDefault="0067674C" w:rsidP="0067674C">
      <w:pPr>
        <w:spacing w:before="240"/>
        <w:rPr>
          <w:shd w:val="clear" w:color="auto" w:fill="FFFFFF"/>
        </w:rPr>
      </w:pPr>
      <w:r>
        <w:rPr>
          <w:shd w:val="clear" w:color="auto" w:fill="FFFFFF"/>
        </w:rPr>
        <w:t>Ngoc Su, D., Luc Tra, D., Thi Huynh, H.M., Nguyen, H.H.T. and O’Mahony, B., 2021. Enhancing resilience in the Covid-19 crisis: lessons from human resource management practices in Vietnam. </w:t>
      </w:r>
      <w:r>
        <w:rPr>
          <w:i/>
          <w:iCs/>
          <w:shd w:val="clear" w:color="auto" w:fill="FFFFFF"/>
        </w:rPr>
        <w:t>Current Issues in Tourism</w:t>
      </w:r>
      <w:r>
        <w:rPr>
          <w:shd w:val="clear" w:color="auto" w:fill="FFFFFF"/>
        </w:rPr>
        <w:t>, </w:t>
      </w:r>
      <w:r>
        <w:rPr>
          <w:i/>
          <w:iCs/>
          <w:shd w:val="clear" w:color="auto" w:fill="FFFFFF"/>
        </w:rPr>
        <w:t>24</w:t>
      </w:r>
      <w:r>
        <w:rPr>
          <w:shd w:val="clear" w:color="auto" w:fill="FFFFFF"/>
        </w:rPr>
        <w:t>(22), pp.3189-3205.</w:t>
      </w:r>
    </w:p>
    <w:p w14:paraId="2547ABF0" w14:textId="3A76B930" w:rsidR="006A1C32" w:rsidRDefault="006A1C32" w:rsidP="0067674C">
      <w:pPr>
        <w:spacing w:before="240"/>
        <w:rPr>
          <w:shd w:val="clear" w:color="auto" w:fill="FFFFFF"/>
        </w:rPr>
      </w:pPr>
      <w:r w:rsidRPr="006A1C32">
        <w:rPr>
          <w:shd w:val="clear" w:color="auto" w:fill="FFFFFF"/>
        </w:rPr>
        <w:t>Paremoer, L., Nandi, S., Serag, H. and Baum, F., 2021. Covid-19 pandemic and the social determinants of health. </w:t>
      </w:r>
      <w:r w:rsidRPr="006A1C32">
        <w:rPr>
          <w:i/>
          <w:iCs/>
          <w:shd w:val="clear" w:color="auto" w:fill="FFFFFF"/>
        </w:rPr>
        <w:t>bmj</w:t>
      </w:r>
      <w:r w:rsidRPr="006A1C32">
        <w:rPr>
          <w:shd w:val="clear" w:color="auto" w:fill="FFFFFF"/>
        </w:rPr>
        <w:t>, </w:t>
      </w:r>
      <w:r w:rsidRPr="006A1C32">
        <w:rPr>
          <w:i/>
          <w:iCs/>
          <w:shd w:val="clear" w:color="auto" w:fill="FFFFFF"/>
        </w:rPr>
        <w:t>372</w:t>
      </w:r>
      <w:r w:rsidRPr="006A1C32">
        <w:rPr>
          <w:shd w:val="clear" w:color="auto" w:fill="FFFFFF"/>
        </w:rPr>
        <w:t>.</w:t>
      </w:r>
    </w:p>
    <w:p w14:paraId="6A3611DB" w14:textId="77777777" w:rsidR="000E50DC" w:rsidRDefault="000E50DC" w:rsidP="00E71F8B">
      <w:pPr>
        <w:spacing w:before="240"/>
        <w:rPr>
          <w:shd w:val="clear" w:color="auto" w:fill="FFFFFF"/>
        </w:rPr>
      </w:pPr>
      <w:r w:rsidRPr="000E50DC">
        <w:rPr>
          <w:shd w:val="clear" w:color="auto" w:fill="FFFFFF"/>
        </w:rPr>
        <w:t>Sindakis, S. and Aggarwal, S., 2022. The Implications of Brexit for Small Businesses in the UK. In </w:t>
      </w:r>
      <w:r w:rsidRPr="000E50DC">
        <w:rPr>
          <w:i/>
          <w:iCs/>
          <w:shd w:val="clear" w:color="auto" w:fill="FFFFFF"/>
        </w:rPr>
        <w:t>Small Business Management and Control of the Uncertain External Environment</w:t>
      </w:r>
      <w:r w:rsidRPr="000E50DC">
        <w:rPr>
          <w:shd w:val="clear" w:color="auto" w:fill="FFFFFF"/>
        </w:rPr>
        <w:t>. Emerald Publishing Limited.</w:t>
      </w:r>
    </w:p>
    <w:p w14:paraId="3757F878" w14:textId="77777777" w:rsidR="0067674C" w:rsidRDefault="0067674C" w:rsidP="0067674C">
      <w:pPr>
        <w:spacing w:before="240"/>
        <w:rPr>
          <w:shd w:val="clear" w:color="auto" w:fill="FFFFFF"/>
        </w:rPr>
      </w:pPr>
      <w:r>
        <w:rPr>
          <w:shd w:val="clear" w:color="auto" w:fill="FFFFFF"/>
        </w:rPr>
        <w:t>Smith, M., 2019. The European Union and the global arena: In search of post-Brexit roles. </w:t>
      </w:r>
      <w:r>
        <w:rPr>
          <w:i/>
          <w:iCs/>
          <w:shd w:val="clear" w:color="auto" w:fill="FFFFFF"/>
        </w:rPr>
        <w:t>Politics and Governance</w:t>
      </w:r>
      <w:r>
        <w:rPr>
          <w:shd w:val="clear" w:color="auto" w:fill="FFFFFF"/>
        </w:rPr>
        <w:t>, </w:t>
      </w:r>
      <w:r>
        <w:rPr>
          <w:i/>
          <w:iCs/>
          <w:shd w:val="clear" w:color="auto" w:fill="FFFFFF"/>
        </w:rPr>
        <w:t>7</w:t>
      </w:r>
      <w:r>
        <w:rPr>
          <w:shd w:val="clear" w:color="auto" w:fill="FFFFFF"/>
        </w:rPr>
        <w:t>(3), pp.83-92.</w:t>
      </w:r>
    </w:p>
    <w:p w14:paraId="44E3DB60" w14:textId="77777777" w:rsidR="0067674C" w:rsidRDefault="0067674C" w:rsidP="0067674C">
      <w:pPr>
        <w:spacing w:before="240"/>
        <w:rPr>
          <w:shd w:val="clear" w:color="auto" w:fill="FFFFFF"/>
        </w:rPr>
      </w:pPr>
      <w:r>
        <w:rPr>
          <w:shd w:val="clear" w:color="auto" w:fill="FFFFFF"/>
        </w:rPr>
        <w:t>Stone, R.J., Cox, A. and Gavin, M., 2020. </w:t>
      </w:r>
      <w:r>
        <w:rPr>
          <w:i/>
          <w:iCs/>
          <w:shd w:val="clear" w:color="auto" w:fill="FFFFFF"/>
        </w:rPr>
        <w:t>Human resource management</w:t>
      </w:r>
      <w:r>
        <w:rPr>
          <w:shd w:val="clear" w:color="auto" w:fill="FFFFFF"/>
        </w:rPr>
        <w:t>. John Wiley &amp; Sons.</w:t>
      </w:r>
    </w:p>
    <w:p w14:paraId="7463CC29" w14:textId="77777777" w:rsidR="0067674C" w:rsidRDefault="0067674C" w:rsidP="0067674C">
      <w:pPr>
        <w:spacing w:before="240"/>
        <w:rPr>
          <w:shd w:val="clear" w:color="auto" w:fill="FFFFFF"/>
        </w:rPr>
      </w:pPr>
      <w:r w:rsidRPr="0067674C">
        <w:rPr>
          <w:shd w:val="clear" w:color="auto" w:fill="FFFFFF"/>
        </w:rPr>
        <w:t>Trondal, J., Gänzle, S. and Leruth, B., 2022. Differentiation in the European Union in Post-Brexit and-Pandemic Times: Macro-Level Developments with Meso-Level Consequences. </w:t>
      </w:r>
      <w:r w:rsidRPr="0067674C">
        <w:rPr>
          <w:i/>
          <w:iCs/>
          <w:shd w:val="clear" w:color="auto" w:fill="FFFFFF"/>
        </w:rPr>
        <w:t>Journal of Common Market Studies</w:t>
      </w:r>
      <w:r w:rsidRPr="0067674C">
        <w:rPr>
          <w:shd w:val="clear" w:color="auto" w:fill="FFFFFF"/>
        </w:rPr>
        <w:t>.</w:t>
      </w:r>
    </w:p>
    <w:p w14:paraId="339C3C61" w14:textId="77777777" w:rsidR="00E71F8B" w:rsidRDefault="00E71F8B" w:rsidP="00E71F8B">
      <w:pPr>
        <w:spacing w:before="240"/>
        <w:rPr>
          <w:shd w:val="clear" w:color="auto" w:fill="FFFFFF"/>
        </w:rPr>
      </w:pPr>
      <w:r>
        <w:rPr>
          <w:shd w:val="clear" w:color="auto" w:fill="FFFFFF"/>
        </w:rPr>
        <w:t>Wachter, T.V., 2020. The persistent effects of initial labor market conditions for young adults and their sources. </w:t>
      </w:r>
      <w:r>
        <w:rPr>
          <w:i/>
          <w:iCs/>
          <w:shd w:val="clear" w:color="auto" w:fill="FFFFFF"/>
        </w:rPr>
        <w:t>Journal of Economic Perspectives</w:t>
      </w:r>
      <w:r>
        <w:rPr>
          <w:shd w:val="clear" w:color="auto" w:fill="FFFFFF"/>
        </w:rPr>
        <w:t>, </w:t>
      </w:r>
      <w:r>
        <w:rPr>
          <w:i/>
          <w:iCs/>
          <w:shd w:val="clear" w:color="auto" w:fill="FFFFFF"/>
        </w:rPr>
        <w:t>34</w:t>
      </w:r>
      <w:r>
        <w:rPr>
          <w:shd w:val="clear" w:color="auto" w:fill="FFFFFF"/>
        </w:rPr>
        <w:t>(4), pp.168-194.</w:t>
      </w:r>
    </w:p>
    <w:p w14:paraId="7735C7CF" w14:textId="24E53BF5" w:rsidR="00EF71D9" w:rsidRDefault="00EF71D9" w:rsidP="00E71F8B">
      <w:pPr>
        <w:spacing w:before="240"/>
        <w:rPr>
          <w:shd w:val="clear" w:color="auto" w:fill="FFFFFF"/>
        </w:rPr>
      </w:pPr>
      <w:r w:rsidRPr="00EF71D9">
        <w:rPr>
          <w:shd w:val="clear" w:color="auto" w:fill="FFFFFF"/>
        </w:rPr>
        <w:t>Wiggan, J. and Knuth, M., 2023. Active labour market programmes and employer engagement in the UK and Germany. In </w:t>
      </w:r>
      <w:r w:rsidRPr="00EF71D9">
        <w:rPr>
          <w:i/>
          <w:iCs/>
          <w:shd w:val="clear" w:color="auto" w:fill="FFFFFF"/>
        </w:rPr>
        <w:t>Employer Engagement</w:t>
      </w:r>
      <w:r w:rsidRPr="00EF71D9">
        <w:rPr>
          <w:shd w:val="clear" w:color="auto" w:fill="FFFFFF"/>
        </w:rPr>
        <w:t> (pp. 126-144). Bristol University Press.</w:t>
      </w:r>
    </w:p>
    <w:p w14:paraId="25BB4B9E" w14:textId="796D6F36" w:rsidR="00C06DEC" w:rsidRDefault="00C06DEC" w:rsidP="00E71F8B">
      <w:pPr>
        <w:spacing w:before="240"/>
        <w:rPr>
          <w:shd w:val="clear" w:color="auto" w:fill="FFFFFF"/>
        </w:rPr>
      </w:pPr>
      <w:r w:rsidRPr="00C06DEC">
        <w:rPr>
          <w:shd w:val="clear" w:color="auto" w:fill="FFFFFF"/>
        </w:rPr>
        <w:t xml:space="preserve">Zhong, Y., Li, Y., Ding, J. and Liao, Y., 2021. Risk management: Exploring emerging Human </w:t>
      </w:r>
      <w:r w:rsidRPr="00C06DEC">
        <w:rPr>
          <w:shd w:val="clear" w:color="auto" w:fill="FFFFFF"/>
        </w:rPr>
        <w:lastRenderedPageBreak/>
        <w:t>Resource issues during the COVID-19 pandemic. </w:t>
      </w:r>
      <w:r w:rsidRPr="00C06DEC">
        <w:rPr>
          <w:i/>
          <w:iCs/>
          <w:shd w:val="clear" w:color="auto" w:fill="FFFFFF"/>
        </w:rPr>
        <w:t>Journal of Risk and Financial Management</w:t>
      </w:r>
      <w:r w:rsidRPr="00C06DEC">
        <w:rPr>
          <w:shd w:val="clear" w:color="auto" w:fill="FFFFFF"/>
        </w:rPr>
        <w:t>, </w:t>
      </w:r>
      <w:r w:rsidRPr="00C06DEC">
        <w:rPr>
          <w:i/>
          <w:iCs/>
          <w:shd w:val="clear" w:color="auto" w:fill="FFFFFF"/>
        </w:rPr>
        <w:t>14</w:t>
      </w:r>
      <w:r w:rsidRPr="00C06DEC">
        <w:rPr>
          <w:shd w:val="clear" w:color="auto" w:fill="FFFFFF"/>
        </w:rPr>
        <w:t>(5), p.228.</w:t>
      </w:r>
    </w:p>
    <w:p w14:paraId="0BC515E8" w14:textId="77777777" w:rsidR="00E71F8B" w:rsidRDefault="00E71F8B" w:rsidP="00E71F8B">
      <w:pPr>
        <w:pStyle w:val="BodyText"/>
        <w:spacing w:before="60"/>
        <w:ind w:left="254"/>
        <w:jc w:val="left"/>
      </w:pPr>
    </w:p>
    <w:sectPr w:rsidR="00E71F8B" w:rsidSect="007A5686">
      <w:pgSz w:w="12240" w:h="15840"/>
      <w:pgMar w:top="1440" w:right="1440" w:bottom="1440" w:left="1440" w:header="0" w:footer="1009" w:gutter="0"/>
      <w:pgBorders w:offsetFrom="page">
        <w:top w:val="single" w:sz="24" w:space="24" w:color="000009"/>
        <w:left w:val="single" w:sz="24" w:space="24" w:color="000009"/>
        <w:bottom w:val="single" w:sz="24" w:space="24" w:color="000009"/>
        <w:right w:val="single" w:sz="24" w:space="24" w:color="000009"/>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182DD" w14:textId="77777777" w:rsidR="00C655DC" w:rsidRDefault="00C655DC">
      <w:pPr>
        <w:spacing w:line="240" w:lineRule="auto"/>
      </w:pPr>
      <w:r>
        <w:separator/>
      </w:r>
    </w:p>
  </w:endnote>
  <w:endnote w:type="continuationSeparator" w:id="0">
    <w:p w14:paraId="2BA61E0C" w14:textId="77777777" w:rsidR="00C655DC" w:rsidRDefault="00C655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C02CB" w14:textId="77777777" w:rsidR="00E54475" w:rsidRDefault="00E54475">
    <w:pPr>
      <w:pStyle w:val="BodyText"/>
      <w:spacing w:line="14" w:lineRule="auto"/>
      <w:ind w:left="0"/>
      <w:jc w:val="left"/>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60F65" w14:textId="77777777" w:rsidR="00C655DC" w:rsidRDefault="00C655DC">
      <w:pPr>
        <w:spacing w:line="240" w:lineRule="auto"/>
      </w:pPr>
      <w:r>
        <w:separator/>
      </w:r>
    </w:p>
  </w:footnote>
  <w:footnote w:type="continuationSeparator" w:id="0">
    <w:p w14:paraId="6EE94C50" w14:textId="77777777" w:rsidR="00C655DC" w:rsidRDefault="00C655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C532E"/>
    <w:multiLevelType w:val="hybridMultilevel"/>
    <w:tmpl w:val="5D889E7C"/>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A2E7E7A"/>
    <w:multiLevelType w:val="multilevel"/>
    <w:tmpl w:val="438CD2B2"/>
    <w:lvl w:ilvl="0">
      <w:start w:val="1"/>
      <w:numFmt w:val="decimal"/>
      <w:lvlText w:val="%1."/>
      <w:lvlJc w:val="left"/>
      <w:pPr>
        <w:ind w:left="342" w:hanging="240"/>
        <w:jc w:val="left"/>
      </w:pPr>
      <w:rPr>
        <w:rFonts w:ascii="Times New Roman" w:eastAsia="Times New Roman" w:hAnsi="Times New Roman" w:cs="Times New Roman" w:hint="default"/>
        <w:w w:val="100"/>
        <w:sz w:val="24"/>
        <w:szCs w:val="24"/>
        <w:lang w:val="en-US" w:eastAsia="en-US" w:bidi="ar-SA"/>
      </w:rPr>
    </w:lvl>
    <w:lvl w:ilvl="1">
      <w:start w:val="1"/>
      <w:numFmt w:val="decimal"/>
      <w:lvlText w:val="%1.%2"/>
      <w:lvlJc w:val="left"/>
      <w:pPr>
        <w:ind w:left="682" w:hanging="360"/>
        <w:jc w:val="left"/>
      </w:pPr>
      <w:rPr>
        <w:rFonts w:ascii="Times New Roman" w:eastAsia="Times New Roman" w:hAnsi="Times New Roman" w:cs="Times New Roman" w:hint="default"/>
        <w:w w:val="100"/>
        <w:sz w:val="24"/>
        <w:szCs w:val="24"/>
        <w:lang w:val="en-US" w:eastAsia="en-US" w:bidi="ar-SA"/>
      </w:rPr>
    </w:lvl>
    <w:lvl w:ilvl="2">
      <w:start w:val="1"/>
      <w:numFmt w:val="decimal"/>
      <w:lvlText w:val="%1.%2.%3"/>
      <w:lvlJc w:val="left"/>
      <w:pPr>
        <w:ind w:left="1082" w:hanging="540"/>
        <w:jc w:val="left"/>
      </w:pPr>
      <w:rPr>
        <w:rFonts w:ascii="Times New Roman" w:eastAsia="Times New Roman" w:hAnsi="Times New Roman" w:cs="Times New Roman" w:hint="default"/>
        <w:w w:val="100"/>
        <w:sz w:val="24"/>
        <w:szCs w:val="24"/>
        <w:lang w:val="en-US" w:eastAsia="en-US" w:bidi="ar-SA"/>
      </w:rPr>
    </w:lvl>
    <w:lvl w:ilvl="3">
      <w:numFmt w:val="bullet"/>
      <w:lvlText w:val="•"/>
      <w:lvlJc w:val="left"/>
      <w:pPr>
        <w:ind w:left="2142" w:hanging="540"/>
      </w:pPr>
      <w:rPr>
        <w:rFonts w:hint="default"/>
        <w:lang w:val="en-US" w:eastAsia="en-US" w:bidi="ar-SA"/>
      </w:rPr>
    </w:lvl>
    <w:lvl w:ilvl="4">
      <w:numFmt w:val="bullet"/>
      <w:lvlText w:val="•"/>
      <w:lvlJc w:val="left"/>
      <w:pPr>
        <w:ind w:left="3205" w:hanging="540"/>
      </w:pPr>
      <w:rPr>
        <w:rFonts w:hint="default"/>
        <w:lang w:val="en-US" w:eastAsia="en-US" w:bidi="ar-SA"/>
      </w:rPr>
    </w:lvl>
    <w:lvl w:ilvl="5">
      <w:numFmt w:val="bullet"/>
      <w:lvlText w:val="•"/>
      <w:lvlJc w:val="left"/>
      <w:pPr>
        <w:ind w:left="4267" w:hanging="540"/>
      </w:pPr>
      <w:rPr>
        <w:rFonts w:hint="default"/>
        <w:lang w:val="en-US" w:eastAsia="en-US" w:bidi="ar-SA"/>
      </w:rPr>
    </w:lvl>
    <w:lvl w:ilvl="6">
      <w:numFmt w:val="bullet"/>
      <w:lvlText w:val="•"/>
      <w:lvlJc w:val="left"/>
      <w:pPr>
        <w:ind w:left="5330" w:hanging="540"/>
      </w:pPr>
      <w:rPr>
        <w:rFonts w:hint="default"/>
        <w:lang w:val="en-US" w:eastAsia="en-US" w:bidi="ar-SA"/>
      </w:rPr>
    </w:lvl>
    <w:lvl w:ilvl="7">
      <w:numFmt w:val="bullet"/>
      <w:lvlText w:val="•"/>
      <w:lvlJc w:val="left"/>
      <w:pPr>
        <w:ind w:left="6392" w:hanging="540"/>
      </w:pPr>
      <w:rPr>
        <w:rFonts w:hint="default"/>
        <w:lang w:val="en-US" w:eastAsia="en-US" w:bidi="ar-SA"/>
      </w:rPr>
    </w:lvl>
    <w:lvl w:ilvl="8">
      <w:numFmt w:val="bullet"/>
      <w:lvlText w:val="•"/>
      <w:lvlJc w:val="left"/>
      <w:pPr>
        <w:ind w:left="7455" w:hanging="540"/>
      </w:pPr>
      <w:rPr>
        <w:rFonts w:hint="default"/>
        <w:lang w:val="en-US" w:eastAsia="en-US" w:bidi="ar-SA"/>
      </w:rPr>
    </w:lvl>
  </w:abstractNum>
  <w:abstractNum w:abstractNumId="2" w15:restartNumberingAfterBreak="0">
    <w:nsid w:val="275A6C3B"/>
    <w:multiLevelType w:val="hybridMultilevel"/>
    <w:tmpl w:val="B0E2499E"/>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0F72B61"/>
    <w:multiLevelType w:val="hybridMultilevel"/>
    <w:tmpl w:val="C4A0E70C"/>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4BC3EF8"/>
    <w:multiLevelType w:val="hybridMultilevel"/>
    <w:tmpl w:val="F13C0EF4"/>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BB25801"/>
    <w:multiLevelType w:val="hybridMultilevel"/>
    <w:tmpl w:val="6810C2A0"/>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A321C8D"/>
    <w:multiLevelType w:val="hybridMultilevel"/>
    <w:tmpl w:val="2D686862"/>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20E5CDE"/>
    <w:multiLevelType w:val="multilevel"/>
    <w:tmpl w:val="74C63F52"/>
    <w:lvl w:ilvl="0">
      <w:start w:val="1"/>
      <w:numFmt w:val="decimal"/>
      <w:lvlText w:val="%1."/>
      <w:lvlJc w:val="left"/>
      <w:pPr>
        <w:ind w:left="342" w:hanging="240"/>
        <w:jc w:val="left"/>
      </w:pPr>
      <w:rPr>
        <w:rFonts w:ascii="Times New Roman" w:eastAsia="Times New Roman" w:hAnsi="Times New Roman" w:cs="Times New Roman" w:hint="default"/>
        <w:b/>
        <w:bCs/>
        <w:w w:val="100"/>
        <w:sz w:val="24"/>
        <w:szCs w:val="24"/>
        <w:lang w:val="en-US" w:eastAsia="en-US" w:bidi="ar-SA"/>
      </w:rPr>
    </w:lvl>
    <w:lvl w:ilvl="1">
      <w:start w:val="1"/>
      <w:numFmt w:val="decimal"/>
      <w:lvlText w:val="%1.%2"/>
      <w:lvlJc w:val="left"/>
      <w:pPr>
        <w:ind w:left="462" w:hanging="360"/>
        <w:jc w:val="left"/>
      </w:pPr>
      <w:rPr>
        <w:rFonts w:ascii="Times New Roman" w:eastAsia="Times New Roman" w:hAnsi="Times New Roman" w:cs="Times New Roman" w:hint="default"/>
        <w:b/>
        <w:bCs/>
        <w:w w:val="100"/>
        <w:sz w:val="24"/>
        <w:szCs w:val="24"/>
        <w:lang w:val="en-US" w:eastAsia="en-US" w:bidi="ar-SA"/>
      </w:rPr>
    </w:lvl>
    <w:lvl w:ilvl="2">
      <w:start w:val="1"/>
      <w:numFmt w:val="decimal"/>
      <w:lvlText w:val="%1.%2.%3"/>
      <w:lvlJc w:val="left"/>
      <w:pPr>
        <w:ind w:left="642" w:hanging="540"/>
        <w:jc w:val="left"/>
      </w:pPr>
      <w:rPr>
        <w:rFonts w:ascii="Times New Roman" w:eastAsia="Times New Roman" w:hAnsi="Times New Roman" w:cs="Times New Roman" w:hint="default"/>
        <w:b/>
        <w:bCs/>
        <w:w w:val="100"/>
        <w:sz w:val="24"/>
        <w:szCs w:val="24"/>
        <w:lang w:val="en-US" w:eastAsia="en-US" w:bidi="ar-SA"/>
      </w:rPr>
    </w:lvl>
    <w:lvl w:ilvl="3">
      <w:numFmt w:val="bullet"/>
      <w:lvlText w:val="•"/>
      <w:lvlJc w:val="left"/>
      <w:pPr>
        <w:ind w:left="1757" w:hanging="540"/>
      </w:pPr>
      <w:rPr>
        <w:rFonts w:hint="default"/>
        <w:lang w:val="en-US" w:eastAsia="en-US" w:bidi="ar-SA"/>
      </w:rPr>
    </w:lvl>
    <w:lvl w:ilvl="4">
      <w:numFmt w:val="bullet"/>
      <w:lvlText w:val="•"/>
      <w:lvlJc w:val="left"/>
      <w:pPr>
        <w:ind w:left="2875" w:hanging="540"/>
      </w:pPr>
      <w:rPr>
        <w:rFonts w:hint="default"/>
        <w:lang w:val="en-US" w:eastAsia="en-US" w:bidi="ar-SA"/>
      </w:rPr>
    </w:lvl>
    <w:lvl w:ilvl="5">
      <w:numFmt w:val="bullet"/>
      <w:lvlText w:val="•"/>
      <w:lvlJc w:val="left"/>
      <w:pPr>
        <w:ind w:left="3992" w:hanging="540"/>
      </w:pPr>
      <w:rPr>
        <w:rFonts w:hint="default"/>
        <w:lang w:val="en-US" w:eastAsia="en-US" w:bidi="ar-SA"/>
      </w:rPr>
    </w:lvl>
    <w:lvl w:ilvl="6">
      <w:numFmt w:val="bullet"/>
      <w:lvlText w:val="•"/>
      <w:lvlJc w:val="left"/>
      <w:pPr>
        <w:ind w:left="5110" w:hanging="540"/>
      </w:pPr>
      <w:rPr>
        <w:rFonts w:hint="default"/>
        <w:lang w:val="en-US" w:eastAsia="en-US" w:bidi="ar-SA"/>
      </w:rPr>
    </w:lvl>
    <w:lvl w:ilvl="7">
      <w:numFmt w:val="bullet"/>
      <w:lvlText w:val="•"/>
      <w:lvlJc w:val="left"/>
      <w:pPr>
        <w:ind w:left="6227" w:hanging="540"/>
      </w:pPr>
      <w:rPr>
        <w:rFonts w:hint="default"/>
        <w:lang w:val="en-US" w:eastAsia="en-US" w:bidi="ar-SA"/>
      </w:rPr>
    </w:lvl>
    <w:lvl w:ilvl="8">
      <w:numFmt w:val="bullet"/>
      <w:lvlText w:val="•"/>
      <w:lvlJc w:val="left"/>
      <w:pPr>
        <w:ind w:left="7345" w:hanging="540"/>
      </w:pPr>
      <w:rPr>
        <w:rFonts w:hint="default"/>
        <w:lang w:val="en-US" w:eastAsia="en-US" w:bidi="ar-SA"/>
      </w:rPr>
    </w:lvl>
  </w:abstractNum>
  <w:abstractNum w:abstractNumId="8" w15:restartNumberingAfterBreak="0">
    <w:nsid w:val="7A6A76A7"/>
    <w:multiLevelType w:val="hybridMultilevel"/>
    <w:tmpl w:val="5FC209C2"/>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10485812">
    <w:abstractNumId w:val="7"/>
  </w:num>
  <w:num w:numId="2" w16cid:durableId="1544094004">
    <w:abstractNumId w:val="1"/>
  </w:num>
  <w:num w:numId="3" w16cid:durableId="1152406306">
    <w:abstractNumId w:val="0"/>
  </w:num>
  <w:num w:numId="4" w16cid:durableId="62025069">
    <w:abstractNumId w:val="3"/>
  </w:num>
  <w:num w:numId="5" w16cid:durableId="1279070842">
    <w:abstractNumId w:val="8"/>
  </w:num>
  <w:num w:numId="6" w16cid:durableId="822701658">
    <w:abstractNumId w:val="6"/>
  </w:num>
  <w:num w:numId="7" w16cid:durableId="529881969">
    <w:abstractNumId w:val="5"/>
  </w:num>
  <w:num w:numId="8" w16cid:durableId="1635476987">
    <w:abstractNumId w:val="2"/>
  </w:num>
  <w:num w:numId="9" w16cid:durableId="9757679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475"/>
    <w:rsid w:val="00047512"/>
    <w:rsid w:val="0005452B"/>
    <w:rsid w:val="00061E37"/>
    <w:rsid w:val="00072ECA"/>
    <w:rsid w:val="00080A44"/>
    <w:rsid w:val="00083D13"/>
    <w:rsid w:val="00086FED"/>
    <w:rsid w:val="000B0352"/>
    <w:rsid w:val="000C53DB"/>
    <w:rsid w:val="000E50DC"/>
    <w:rsid w:val="00102345"/>
    <w:rsid w:val="00181624"/>
    <w:rsid w:val="001D0B33"/>
    <w:rsid w:val="001F27D6"/>
    <w:rsid w:val="00243008"/>
    <w:rsid w:val="002857D7"/>
    <w:rsid w:val="00292CA5"/>
    <w:rsid w:val="0029509C"/>
    <w:rsid w:val="00296F59"/>
    <w:rsid w:val="002B32D3"/>
    <w:rsid w:val="002B514C"/>
    <w:rsid w:val="002C55E5"/>
    <w:rsid w:val="002F1F59"/>
    <w:rsid w:val="003104BC"/>
    <w:rsid w:val="00323FEC"/>
    <w:rsid w:val="00347E89"/>
    <w:rsid w:val="0038149A"/>
    <w:rsid w:val="003903AD"/>
    <w:rsid w:val="003B7382"/>
    <w:rsid w:val="00406E3E"/>
    <w:rsid w:val="004101F1"/>
    <w:rsid w:val="0042762E"/>
    <w:rsid w:val="00430434"/>
    <w:rsid w:val="00430861"/>
    <w:rsid w:val="0044007D"/>
    <w:rsid w:val="00445C86"/>
    <w:rsid w:val="004A1F50"/>
    <w:rsid w:val="004A7A6D"/>
    <w:rsid w:val="004C5DBF"/>
    <w:rsid w:val="00504305"/>
    <w:rsid w:val="00595441"/>
    <w:rsid w:val="005A42D2"/>
    <w:rsid w:val="005B73B2"/>
    <w:rsid w:val="005D13E7"/>
    <w:rsid w:val="0061610B"/>
    <w:rsid w:val="00632FF6"/>
    <w:rsid w:val="006376AE"/>
    <w:rsid w:val="00640775"/>
    <w:rsid w:val="00644AAD"/>
    <w:rsid w:val="00656C0A"/>
    <w:rsid w:val="0067674C"/>
    <w:rsid w:val="0068468D"/>
    <w:rsid w:val="006926CD"/>
    <w:rsid w:val="006A1C32"/>
    <w:rsid w:val="006D4EAE"/>
    <w:rsid w:val="00713464"/>
    <w:rsid w:val="00740C9B"/>
    <w:rsid w:val="00745501"/>
    <w:rsid w:val="00763D06"/>
    <w:rsid w:val="00790B37"/>
    <w:rsid w:val="007A5686"/>
    <w:rsid w:val="007A6FAC"/>
    <w:rsid w:val="007B4545"/>
    <w:rsid w:val="007B7468"/>
    <w:rsid w:val="007C05B3"/>
    <w:rsid w:val="007C37B3"/>
    <w:rsid w:val="007F73D6"/>
    <w:rsid w:val="0080381A"/>
    <w:rsid w:val="00805EA6"/>
    <w:rsid w:val="008565E4"/>
    <w:rsid w:val="00885967"/>
    <w:rsid w:val="0089605C"/>
    <w:rsid w:val="008A20C9"/>
    <w:rsid w:val="008A2619"/>
    <w:rsid w:val="008A373B"/>
    <w:rsid w:val="008C40E1"/>
    <w:rsid w:val="00902E74"/>
    <w:rsid w:val="009103E4"/>
    <w:rsid w:val="009125CF"/>
    <w:rsid w:val="009470DA"/>
    <w:rsid w:val="00952D19"/>
    <w:rsid w:val="009655E4"/>
    <w:rsid w:val="0097175F"/>
    <w:rsid w:val="009A4ADF"/>
    <w:rsid w:val="009E3BDF"/>
    <w:rsid w:val="009F7925"/>
    <w:rsid w:val="00A1285D"/>
    <w:rsid w:val="00A21302"/>
    <w:rsid w:val="00A25C3C"/>
    <w:rsid w:val="00A37FD0"/>
    <w:rsid w:val="00A454CA"/>
    <w:rsid w:val="00A96C46"/>
    <w:rsid w:val="00AB1E4B"/>
    <w:rsid w:val="00AC4DDF"/>
    <w:rsid w:val="00AE3A72"/>
    <w:rsid w:val="00B13FD0"/>
    <w:rsid w:val="00B157B0"/>
    <w:rsid w:val="00B40E68"/>
    <w:rsid w:val="00B52E38"/>
    <w:rsid w:val="00B53D69"/>
    <w:rsid w:val="00B548E6"/>
    <w:rsid w:val="00B67D4D"/>
    <w:rsid w:val="00B73644"/>
    <w:rsid w:val="00B85B0F"/>
    <w:rsid w:val="00B91E80"/>
    <w:rsid w:val="00B94C9F"/>
    <w:rsid w:val="00BB74D1"/>
    <w:rsid w:val="00BC2128"/>
    <w:rsid w:val="00BF5413"/>
    <w:rsid w:val="00C01091"/>
    <w:rsid w:val="00C06DEC"/>
    <w:rsid w:val="00C1068C"/>
    <w:rsid w:val="00C132FB"/>
    <w:rsid w:val="00C35E70"/>
    <w:rsid w:val="00C655DC"/>
    <w:rsid w:val="00C85FD5"/>
    <w:rsid w:val="00CC0F99"/>
    <w:rsid w:val="00CF5E6C"/>
    <w:rsid w:val="00D27598"/>
    <w:rsid w:val="00D435E9"/>
    <w:rsid w:val="00D573DE"/>
    <w:rsid w:val="00D74FFD"/>
    <w:rsid w:val="00D91E6F"/>
    <w:rsid w:val="00D93EDE"/>
    <w:rsid w:val="00DB627B"/>
    <w:rsid w:val="00DD3A1C"/>
    <w:rsid w:val="00DF056B"/>
    <w:rsid w:val="00E24D18"/>
    <w:rsid w:val="00E27569"/>
    <w:rsid w:val="00E45168"/>
    <w:rsid w:val="00E52DA1"/>
    <w:rsid w:val="00E54475"/>
    <w:rsid w:val="00E55D5B"/>
    <w:rsid w:val="00E6324C"/>
    <w:rsid w:val="00E71F8B"/>
    <w:rsid w:val="00E732C3"/>
    <w:rsid w:val="00EB1AB9"/>
    <w:rsid w:val="00EB23B4"/>
    <w:rsid w:val="00EB426A"/>
    <w:rsid w:val="00EC5E3D"/>
    <w:rsid w:val="00EC6EE7"/>
    <w:rsid w:val="00EE1637"/>
    <w:rsid w:val="00EF71D9"/>
    <w:rsid w:val="00F12C6D"/>
    <w:rsid w:val="00F21ED2"/>
    <w:rsid w:val="00F574E5"/>
    <w:rsid w:val="00F715CC"/>
    <w:rsid w:val="00F733D4"/>
    <w:rsid w:val="00F77A6A"/>
    <w:rsid w:val="00F85407"/>
    <w:rsid w:val="00F868C0"/>
    <w:rsid w:val="00F93E77"/>
    <w:rsid w:val="00FA4BA8"/>
    <w:rsid w:val="00FA51E3"/>
    <w:rsid w:val="00FB348C"/>
    <w:rsid w:val="00FD3D1E"/>
    <w:rsid w:val="00FE3BA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553D63"/>
  <w15:docId w15:val="{35E31E89-E064-48F5-97F5-ADD2596BD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F8B"/>
    <w:pPr>
      <w:spacing w:line="360" w:lineRule="auto"/>
      <w:jc w:val="both"/>
    </w:pPr>
    <w:rPr>
      <w:rFonts w:ascii="Times New Roman" w:eastAsia="Times New Roman" w:hAnsi="Times New Roman" w:cs="Times New Roman"/>
      <w:color w:val="000000" w:themeColor="text1"/>
      <w:sz w:val="24"/>
      <w:lang w:val="en-GB"/>
    </w:rPr>
  </w:style>
  <w:style w:type="paragraph" w:styleId="Heading1">
    <w:name w:val="heading 1"/>
    <w:basedOn w:val="Normal"/>
    <w:uiPriority w:val="9"/>
    <w:qFormat/>
    <w:rsid w:val="009470DA"/>
    <w:pPr>
      <w:spacing w:before="120" w:after="120"/>
      <w:ind w:left="241" w:hanging="241"/>
      <w:outlineLvl w:val="0"/>
    </w:pPr>
    <w:rPr>
      <w:b/>
      <w:bCs/>
      <w:sz w:val="32"/>
      <w:szCs w:val="24"/>
    </w:rPr>
  </w:style>
  <w:style w:type="paragraph" w:styleId="Heading2">
    <w:name w:val="heading 2"/>
    <w:basedOn w:val="Normal"/>
    <w:next w:val="Normal"/>
    <w:link w:val="Heading2Char"/>
    <w:uiPriority w:val="9"/>
    <w:unhideWhenUsed/>
    <w:qFormat/>
    <w:rsid w:val="00430434"/>
    <w:pPr>
      <w:keepNext/>
      <w:keepLines/>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238"/>
      <w:ind w:left="342" w:hanging="241"/>
    </w:pPr>
    <w:rPr>
      <w:szCs w:val="24"/>
      <w:lang w:val="en-US"/>
    </w:rPr>
  </w:style>
  <w:style w:type="paragraph" w:styleId="TOC2">
    <w:name w:val="toc 2"/>
    <w:basedOn w:val="Normal"/>
    <w:uiPriority w:val="39"/>
    <w:qFormat/>
    <w:pPr>
      <w:spacing w:before="238"/>
      <w:ind w:left="682" w:hanging="361"/>
    </w:pPr>
    <w:rPr>
      <w:szCs w:val="24"/>
      <w:lang w:val="en-US"/>
    </w:rPr>
  </w:style>
  <w:style w:type="paragraph" w:styleId="TOC3">
    <w:name w:val="toc 3"/>
    <w:basedOn w:val="Normal"/>
    <w:uiPriority w:val="1"/>
    <w:qFormat/>
    <w:pPr>
      <w:spacing w:before="238"/>
      <w:ind w:left="1082" w:hanging="541"/>
    </w:pPr>
    <w:rPr>
      <w:szCs w:val="24"/>
      <w:lang w:val="en-US"/>
    </w:rPr>
  </w:style>
  <w:style w:type="paragraph" w:styleId="BodyText">
    <w:name w:val="Body Text"/>
    <w:basedOn w:val="Normal"/>
    <w:uiPriority w:val="1"/>
    <w:qFormat/>
    <w:pPr>
      <w:ind w:left="101"/>
    </w:pPr>
    <w:rPr>
      <w:szCs w:val="24"/>
      <w:lang w:val="en-US"/>
    </w:rPr>
  </w:style>
  <w:style w:type="paragraph" w:styleId="ListParagraph">
    <w:name w:val="List Paragraph"/>
    <w:basedOn w:val="Normal"/>
    <w:uiPriority w:val="1"/>
    <w:qFormat/>
    <w:pPr>
      <w:ind w:left="342" w:hanging="241"/>
    </w:pPr>
    <w:rPr>
      <w:lang w:val="en-US"/>
    </w:rPr>
  </w:style>
  <w:style w:type="paragraph" w:customStyle="1" w:styleId="TableParagraph">
    <w:name w:val="Table Paragraph"/>
    <w:basedOn w:val="Normal"/>
    <w:uiPriority w:val="1"/>
    <w:qFormat/>
    <w:rPr>
      <w:lang w:val="en-US"/>
    </w:rPr>
  </w:style>
  <w:style w:type="character" w:customStyle="1" w:styleId="Heading2Char">
    <w:name w:val="Heading 2 Char"/>
    <w:basedOn w:val="DefaultParagraphFont"/>
    <w:link w:val="Heading2"/>
    <w:uiPriority w:val="9"/>
    <w:rsid w:val="00430434"/>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61610B"/>
    <w:pPr>
      <w:tabs>
        <w:tab w:val="center" w:pos="4513"/>
        <w:tab w:val="right" w:pos="9026"/>
      </w:tabs>
      <w:spacing w:line="240" w:lineRule="auto"/>
    </w:pPr>
  </w:style>
  <w:style w:type="character" w:customStyle="1" w:styleId="HeaderChar">
    <w:name w:val="Header Char"/>
    <w:basedOn w:val="DefaultParagraphFont"/>
    <w:link w:val="Header"/>
    <w:uiPriority w:val="99"/>
    <w:rsid w:val="0061610B"/>
    <w:rPr>
      <w:rFonts w:ascii="Times New Roman" w:eastAsia="Times New Roman" w:hAnsi="Times New Roman" w:cs="Times New Roman"/>
      <w:color w:val="000000" w:themeColor="text1"/>
      <w:sz w:val="24"/>
    </w:rPr>
  </w:style>
  <w:style w:type="paragraph" w:styleId="Footer">
    <w:name w:val="footer"/>
    <w:basedOn w:val="Normal"/>
    <w:link w:val="FooterChar"/>
    <w:uiPriority w:val="99"/>
    <w:unhideWhenUsed/>
    <w:rsid w:val="0061610B"/>
    <w:pPr>
      <w:tabs>
        <w:tab w:val="center" w:pos="4513"/>
        <w:tab w:val="right" w:pos="9026"/>
      </w:tabs>
      <w:spacing w:line="240" w:lineRule="auto"/>
    </w:pPr>
  </w:style>
  <w:style w:type="character" w:customStyle="1" w:styleId="FooterChar">
    <w:name w:val="Footer Char"/>
    <w:basedOn w:val="DefaultParagraphFont"/>
    <w:link w:val="Footer"/>
    <w:uiPriority w:val="99"/>
    <w:rsid w:val="0061610B"/>
    <w:rPr>
      <w:rFonts w:ascii="Times New Roman" w:eastAsia="Times New Roman" w:hAnsi="Times New Roman" w:cs="Times New Roman"/>
      <w:color w:val="000000" w:themeColor="text1"/>
      <w:sz w:val="24"/>
    </w:rPr>
  </w:style>
  <w:style w:type="paragraph" w:styleId="TOCHeading">
    <w:name w:val="TOC Heading"/>
    <w:basedOn w:val="Heading1"/>
    <w:next w:val="Normal"/>
    <w:uiPriority w:val="39"/>
    <w:unhideWhenUsed/>
    <w:qFormat/>
    <w:rsid w:val="0061610B"/>
    <w:pPr>
      <w:keepNext/>
      <w:keepLines/>
      <w:widowControl/>
      <w:autoSpaceDE/>
      <w:autoSpaceDN/>
      <w:spacing w:before="240" w:line="259" w:lineRule="auto"/>
      <w:ind w:left="0" w:firstLine="0"/>
      <w:jc w:val="left"/>
      <w:outlineLvl w:val="9"/>
    </w:pPr>
    <w:rPr>
      <w:rFonts w:asciiTheme="majorHAnsi" w:eastAsiaTheme="majorEastAsia" w:hAnsiTheme="majorHAnsi" w:cstheme="majorBidi"/>
      <w:b w:val="0"/>
      <w:bCs w:val="0"/>
      <w:color w:val="365F91" w:themeColor="accent1" w:themeShade="BF"/>
      <w:szCs w:val="32"/>
    </w:rPr>
  </w:style>
  <w:style w:type="character" w:styleId="Hyperlink">
    <w:name w:val="Hyperlink"/>
    <w:basedOn w:val="DefaultParagraphFont"/>
    <w:uiPriority w:val="99"/>
    <w:unhideWhenUsed/>
    <w:rsid w:val="006161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08CF4-3BD4-4022-A2D6-A535D5726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TotalTime>
  <Pages>12</Pages>
  <Words>3244</Words>
  <Characters>18233</Characters>
  <Application>Microsoft Office Word</Application>
  <DocSecurity>0</DocSecurity>
  <Lines>272</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 sharma</dc:creator>
  <cp:lastModifiedBy>shaikhjuned9558@outlook.com</cp:lastModifiedBy>
  <cp:revision>116</cp:revision>
  <dcterms:created xsi:type="dcterms:W3CDTF">2023-04-22T17:32:00Z</dcterms:created>
  <dcterms:modified xsi:type="dcterms:W3CDTF">2023-04-23T01:09:00Z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2023-01-17T00:00:00Z</vt:filetime>
  </property>
  <property fmtid="{D5CDD505-2E9C-101B-9397-08002B2CF9AE}" pid="3" name="Creator">
    <vt:lpwstr>Writer</vt:lpwstr>
  </property>
  <property fmtid="{D5CDD505-2E9C-101B-9397-08002B2CF9AE}" pid="4" name="LastSaved">
    <vt:filetime>2023-01-17T00:00:00Z</vt:filetime>
  </property>
  <property fmtid="{D5CDD505-2E9C-101B-9397-08002B2CF9AE}" pid="5" name="GrammarlyDocumentId">
    <vt:lpwstr>b61e15c04bb3863289ce37737a45a26b78611b4e102671ebfb0280b8894ae452</vt:lpwstr>
  </property>
</Properties>
</file>