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C7BC9" w14:textId="3DFA3E27" w:rsidR="007A08C6" w:rsidRPr="003E3862" w:rsidRDefault="003C71DA" w:rsidP="007A08C6">
      <w:pPr>
        <w:jc w:val="center"/>
        <w:rPr>
          <w:rFonts w:ascii="Times New Roman" w:hAnsi="Times New Roman" w:cs="Times New Roman"/>
          <w:b/>
          <w:bCs/>
          <w:sz w:val="24"/>
          <w:szCs w:val="24"/>
        </w:rPr>
      </w:pPr>
      <w:r w:rsidRPr="003E3862">
        <w:rPr>
          <w:rFonts w:ascii="Times New Roman" w:hAnsi="Times New Roman" w:cs="Times New Roman"/>
          <w:b/>
          <w:bCs/>
          <w:sz w:val="24"/>
          <w:szCs w:val="24"/>
        </w:rPr>
        <w:t>HEALTH PROMOTION AND OBESITY: A FOCUS ON CHANGE4LIFE</w:t>
      </w:r>
    </w:p>
    <w:p w14:paraId="34D43FB3" w14:textId="77777777" w:rsidR="007A08C6" w:rsidRPr="00A8779E" w:rsidRDefault="007A08C6" w:rsidP="007A08C6">
      <w:pPr>
        <w:jc w:val="both"/>
        <w:rPr>
          <w:rFonts w:ascii="Times New Roman" w:hAnsi="Times New Roman" w:cs="Times New Roman"/>
          <w:b/>
          <w:bCs/>
          <w:sz w:val="24"/>
          <w:szCs w:val="24"/>
        </w:rPr>
      </w:pPr>
    </w:p>
    <w:p w14:paraId="7319FD1F" w14:textId="5212C31E" w:rsidR="00C51203" w:rsidRPr="00A8779E" w:rsidRDefault="00C51203" w:rsidP="007A08C6">
      <w:pPr>
        <w:jc w:val="both"/>
        <w:rPr>
          <w:rFonts w:ascii="Times New Roman" w:hAnsi="Times New Roman" w:cs="Times New Roman"/>
          <w:b/>
          <w:bCs/>
          <w:sz w:val="24"/>
          <w:szCs w:val="24"/>
        </w:rPr>
      </w:pPr>
      <w:r w:rsidRPr="00A8779E">
        <w:rPr>
          <w:rFonts w:ascii="Times New Roman" w:hAnsi="Times New Roman" w:cs="Times New Roman"/>
          <w:b/>
          <w:bCs/>
          <w:sz w:val="24"/>
          <w:szCs w:val="24"/>
        </w:rPr>
        <w:t>Introduction</w:t>
      </w:r>
    </w:p>
    <w:p w14:paraId="2215A8AB" w14:textId="476627F0" w:rsidR="006222BD" w:rsidRPr="00A8779E" w:rsidRDefault="006222BD" w:rsidP="007A08C6">
      <w:pPr>
        <w:jc w:val="both"/>
        <w:rPr>
          <w:rFonts w:ascii="Times New Roman" w:hAnsi="Times New Roman" w:cs="Times New Roman"/>
          <w:sz w:val="24"/>
          <w:szCs w:val="24"/>
        </w:rPr>
      </w:pPr>
      <w:r w:rsidRPr="00A8779E">
        <w:rPr>
          <w:rFonts w:ascii="Times New Roman" w:hAnsi="Times New Roman" w:cs="Times New Roman"/>
          <w:sz w:val="24"/>
          <w:szCs w:val="24"/>
        </w:rPr>
        <w:t>Health promotion, a cornerstone in contemporary healthcare, plays a pivotal role in enhancing the well-being of populations. This paper delves into the realm of health promotion with a specific focus on obesity, a burgeoning public health concern globally. The structure of this paper will first define health promotion, followed by an in-depth examination of a particular health promotion intervention aimed at combating obesity</w:t>
      </w:r>
      <w:r w:rsidR="000F3C85" w:rsidRPr="00A8779E">
        <w:rPr>
          <w:rFonts w:ascii="Times New Roman" w:hAnsi="Times New Roman" w:cs="Times New Roman"/>
          <w:sz w:val="24"/>
          <w:szCs w:val="24"/>
        </w:rPr>
        <w:t>, and</w:t>
      </w:r>
      <w:r w:rsidR="001D2155" w:rsidRPr="00A8779E">
        <w:rPr>
          <w:rFonts w:ascii="Times New Roman" w:hAnsi="Times New Roman" w:cs="Times New Roman"/>
          <w:sz w:val="24"/>
          <w:szCs w:val="24"/>
        </w:rPr>
        <w:t xml:space="preserve"> </w:t>
      </w:r>
      <w:r w:rsidRPr="00A8779E">
        <w:rPr>
          <w:rFonts w:ascii="Times New Roman" w:hAnsi="Times New Roman" w:cs="Times New Roman"/>
          <w:sz w:val="24"/>
          <w:szCs w:val="24"/>
        </w:rPr>
        <w:t>will detail the intervention's objectives, target audience, anticipated outcomes, and the critical role of research in underpinning these health promotion strategies.</w:t>
      </w:r>
    </w:p>
    <w:p w14:paraId="22242A77" w14:textId="4E049D5C" w:rsidR="00C51203" w:rsidRPr="00A8779E" w:rsidRDefault="00C51203" w:rsidP="007A08C6">
      <w:pPr>
        <w:jc w:val="both"/>
        <w:rPr>
          <w:rFonts w:ascii="Times New Roman" w:hAnsi="Times New Roman" w:cs="Times New Roman"/>
          <w:b/>
          <w:bCs/>
          <w:sz w:val="24"/>
          <w:szCs w:val="24"/>
        </w:rPr>
      </w:pPr>
      <w:r w:rsidRPr="00A8779E">
        <w:rPr>
          <w:rFonts w:ascii="Times New Roman" w:hAnsi="Times New Roman" w:cs="Times New Roman"/>
          <w:b/>
          <w:bCs/>
          <w:sz w:val="24"/>
          <w:szCs w:val="24"/>
        </w:rPr>
        <w:t>What is Health Promotion?</w:t>
      </w:r>
    </w:p>
    <w:p w14:paraId="64D262AB" w14:textId="1F7AC06C" w:rsidR="00C51203"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Health promotion is a comprehensive approach aimed at fostering better health and well-being among individuals and communities. Defined by the World Health Organization (WHO) as "the process of enabling people to increase control over, and to improve, their health," health promotion transcends beyond individual </w:t>
      </w:r>
      <w:r w:rsidR="00D101EC" w:rsidRPr="00A8779E">
        <w:rPr>
          <w:rFonts w:ascii="Times New Roman" w:hAnsi="Times New Roman" w:cs="Times New Roman"/>
          <w:sz w:val="24"/>
          <w:szCs w:val="24"/>
        </w:rPr>
        <w:t>behaviour</w:t>
      </w:r>
      <w:r w:rsidRPr="00A8779E">
        <w:rPr>
          <w:rFonts w:ascii="Times New Roman" w:hAnsi="Times New Roman" w:cs="Times New Roman"/>
          <w:sz w:val="24"/>
          <w:szCs w:val="24"/>
        </w:rPr>
        <w:t xml:space="preserve"> change to encompass a wide range of social and environmental interventions (World Health Organization, 1986). This holistic approach is crucial in preventing diseases, particularly lifestyle-related conditions such as obesity.</w:t>
      </w:r>
    </w:p>
    <w:p w14:paraId="4AE670CB" w14:textId="488EFD35" w:rsidR="00C51203"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The concept of health promotion is not limited to the prevention of specific diseases but extends to improving the overall health and quality of life. For instance, </w:t>
      </w:r>
      <w:proofErr w:type="spellStart"/>
      <w:r w:rsidRPr="00A8779E">
        <w:rPr>
          <w:rFonts w:ascii="Times New Roman" w:hAnsi="Times New Roman" w:cs="Times New Roman"/>
          <w:sz w:val="24"/>
          <w:szCs w:val="24"/>
        </w:rPr>
        <w:t>Patestos</w:t>
      </w:r>
      <w:proofErr w:type="spellEnd"/>
      <w:r w:rsidRPr="00A8779E">
        <w:rPr>
          <w:rFonts w:ascii="Times New Roman" w:hAnsi="Times New Roman" w:cs="Times New Roman"/>
          <w:sz w:val="24"/>
          <w:szCs w:val="24"/>
        </w:rPr>
        <w:t xml:space="preserve"> (2019) discusses faith-based health promotion, highlighting its multidisciplinary nature and its importance in various sectors including nursing, public health, and social work. This underscores the versatility of health promotion strategies, which can be tailored to different contexts and populations.</w:t>
      </w:r>
    </w:p>
    <w:p w14:paraId="365627F1" w14:textId="0581F7B0" w:rsidR="002F4815"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In the context of obesity, health promotion involves creating environments that support healthy lifestyle choices, implementing policies that facilitate access to healthy foods and physical activity, and educating the public about the importance of maintaining a healthy weight. The goal is not only to prevent obesity but also to enhance overall well-being, acknowledging that health is a complete state of physical, mental, and social well-being, and not merely the absence of disease or infirmity.</w:t>
      </w:r>
    </w:p>
    <w:p w14:paraId="6240E838" w14:textId="77777777" w:rsidR="00C51203" w:rsidRPr="00A8779E" w:rsidRDefault="00C51203" w:rsidP="007A08C6">
      <w:pPr>
        <w:jc w:val="both"/>
        <w:rPr>
          <w:rFonts w:ascii="Times New Roman" w:hAnsi="Times New Roman" w:cs="Times New Roman"/>
          <w:sz w:val="24"/>
          <w:szCs w:val="24"/>
        </w:rPr>
      </w:pPr>
    </w:p>
    <w:p w14:paraId="49F7A79A" w14:textId="61ECD15E" w:rsidR="00C51203" w:rsidRPr="00A8779E" w:rsidRDefault="00C51203" w:rsidP="007A08C6">
      <w:pPr>
        <w:jc w:val="both"/>
        <w:rPr>
          <w:rFonts w:ascii="Times New Roman" w:hAnsi="Times New Roman" w:cs="Times New Roman"/>
          <w:b/>
          <w:bCs/>
          <w:sz w:val="24"/>
          <w:szCs w:val="24"/>
        </w:rPr>
      </w:pPr>
      <w:r w:rsidRPr="00A8779E">
        <w:rPr>
          <w:rFonts w:ascii="Times New Roman" w:hAnsi="Times New Roman" w:cs="Times New Roman"/>
          <w:b/>
          <w:bCs/>
          <w:sz w:val="24"/>
          <w:szCs w:val="24"/>
        </w:rPr>
        <w:t>Health Promotion Intervention on Obesity</w:t>
      </w:r>
    </w:p>
    <w:p w14:paraId="7B240DA0" w14:textId="65CA5FBE" w:rsidR="00790889"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The intervention in focus is a comprehensive public health campaign titled "</w:t>
      </w:r>
      <w:r w:rsidR="006222BD" w:rsidRPr="00A8779E">
        <w:rPr>
          <w:rFonts w:ascii="Times New Roman" w:hAnsi="Times New Roman" w:cs="Times New Roman"/>
          <w:sz w:val="24"/>
          <w:szCs w:val="24"/>
        </w:rPr>
        <w:t>Change4Life”</w:t>
      </w:r>
      <w:r w:rsidRPr="00A8779E">
        <w:rPr>
          <w:rFonts w:ascii="Times New Roman" w:hAnsi="Times New Roman" w:cs="Times New Roman"/>
          <w:sz w:val="24"/>
          <w:szCs w:val="24"/>
        </w:rPr>
        <w:t xml:space="preserve"> which </w:t>
      </w:r>
      <w:r w:rsidR="006222BD" w:rsidRPr="00A8779E">
        <w:rPr>
          <w:rFonts w:ascii="Times New Roman" w:hAnsi="Times New Roman" w:cs="Times New Roman"/>
          <w:sz w:val="24"/>
          <w:szCs w:val="24"/>
        </w:rPr>
        <w:t xml:space="preserve">is a public health campaign in the UK, launched in 2009 by the </w:t>
      </w:r>
      <w:r w:rsidR="0002481B" w:rsidRPr="00A8779E">
        <w:rPr>
          <w:rFonts w:ascii="Times New Roman" w:hAnsi="Times New Roman" w:cs="Times New Roman"/>
          <w:sz w:val="24"/>
          <w:szCs w:val="24"/>
        </w:rPr>
        <w:t xml:space="preserve">National Health Service </w:t>
      </w:r>
      <w:r w:rsidR="00A367DA" w:rsidRPr="00A8779E">
        <w:rPr>
          <w:rFonts w:ascii="Times New Roman" w:hAnsi="Times New Roman" w:cs="Times New Roman"/>
          <w:sz w:val="24"/>
          <w:szCs w:val="24"/>
        </w:rPr>
        <w:t>(</w:t>
      </w:r>
      <w:r w:rsidR="006222BD" w:rsidRPr="00A8779E">
        <w:rPr>
          <w:rFonts w:ascii="Times New Roman" w:hAnsi="Times New Roman" w:cs="Times New Roman"/>
          <w:sz w:val="24"/>
          <w:szCs w:val="24"/>
        </w:rPr>
        <w:t>NHS</w:t>
      </w:r>
      <w:r w:rsidR="00A367DA" w:rsidRPr="00A8779E">
        <w:rPr>
          <w:rFonts w:ascii="Times New Roman" w:hAnsi="Times New Roman" w:cs="Times New Roman"/>
          <w:sz w:val="24"/>
          <w:szCs w:val="24"/>
        </w:rPr>
        <w:t>)</w:t>
      </w:r>
      <w:r w:rsidR="006222BD" w:rsidRPr="00A8779E">
        <w:rPr>
          <w:rFonts w:ascii="Times New Roman" w:hAnsi="Times New Roman" w:cs="Times New Roman"/>
          <w:sz w:val="24"/>
          <w:szCs w:val="24"/>
        </w:rPr>
        <w:t>. The campaign aims to combat obesity and encourage healthier living among children and families</w:t>
      </w:r>
      <w:r w:rsidR="0041134E" w:rsidRPr="00A8779E">
        <w:rPr>
          <w:rFonts w:ascii="Times New Roman" w:hAnsi="Times New Roman" w:cs="Times New Roman"/>
          <w:sz w:val="24"/>
          <w:szCs w:val="24"/>
        </w:rPr>
        <w:t>, which</w:t>
      </w:r>
      <w:r w:rsidR="006222BD" w:rsidRPr="00A8779E">
        <w:rPr>
          <w:rFonts w:ascii="Times New Roman" w:hAnsi="Times New Roman" w:cs="Times New Roman"/>
          <w:sz w:val="24"/>
          <w:szCs w:val="24"/>
        </w:rPr>
        <w:t xml:space="preserve"> focuses on simple messages to improve diet and increase physical activity</w:t>
      </w:r>
      <w:r w:rsidR="0041134E" w:rsidRPr="00A8779E">
        <w:rPr>
          <w:rFonts w:ascii="Times New Roman" w:hAnsi="Times New Roman" w:cs="Times New Roman"/>
          <w:sz w:val="24"/>
          <w:szCs w:val="24"/>
        </w:rPr>
        <w:t xml:space="preserve"> (NHS, 2022)</w:t>
      </w:r>
      <w:r w:rsidR="006222BD" w:rsidRPr="00A8779E">
        <w:rPr>
          <w:rFonts w:ascii="Times New Roman" w:hAnsi="Times New Roman" w:cs="Times New Roman"/>
          <w:sz w:val="24"/>
          <w:szCs w:val="24"/>
        </w:rPr>
        <w:t xml:space="preserve">. </w:t>
      </w:r>
    </w:p>
    <w:p w14:paraId="52473B3B" w14:textId="77777777" w:rsidR="0041134E" w:rsidRPr="00A8779E" w:rsidRDefault="0041134E" w:rsidP="007A08C6">
      <w:pPr>
        <w:jc w:val="both"/>
        <w:rPr>
          <w:rFonts w:ascii="Times New Roman" w:hAnsi="Times New Roman" w:cs="Times New Roman"/>
          <w:sz w:val="24"/>
          <w:szCs w:val="24"/>
        </w:rPr>
      </w:pPr>
    </w:p>
    <w:p w14:paraId="5F64B2FB" w14:textId="77777777" w:rsidR="0041134E" w:rsidRPr="00A8779E" w:rsidRDefault="0041134E" w:rsidP="007A08C6">
      <w:pPr>
        <w:jc w:val="both"/>
        <w:rPr>
          <w:rFonts w:ascii="Times New Roman" w:hAnsi="Times New Roman" w:cs="Times New Roman"/>
          <w:sz w:val="24"/>
          <w:szCs w:val="24"/>
        </w:rPr>
      </w:pPr>
    </w:p>
    <w:p w14:paraId="1AD20067" w14:textId="4A8FC6B5" w:rsidR="00C51203" w:rsidRPr="00A8779E" w:rsidRDefault="00497DE9" w:rsidP="007A08C6">
      <w:pPr>
        <w:jc w:val="both"/>
        <w:rPr>
          <w:rFonts w:ascii="Times New Roman" w:hAnsi="Times New Roman" w:cs="Times New Roman"/>
          <w:sz w:val="24"/>
          <w:szCs w:val="24"/>
        </w:rPr>
      </w:pPr>
      <w:r w:rsidRPr="00A8779E">
        <w:rPr>
          <w:rFonts w:ascii="Times New Roman" w:hAnsi="Times New Roman" w:cs="Times New Roman"/>
          <w:sz w:val="24"/>
          <w:szCs w:val="24"/>
        </w:rPr>
        <w:lastRenderedPageBreak/>
        <w:t xml:space="preserve">The </w:t>
      </w:r>
      <w:r w:rsidR="006222BD" w:rsidRPr="00A8779E">
        <w:rPr>
          <w:rFonts w:ascii="Times New Roman" w:hAnsi="Times New Roman" w:cs="Times New Roman"/>
          <w:sz w:val="24"/>
          <w:szCs w:val="24"/>
        </w:rPr>
        <w:t>key components are as follows:</w:t>
      </w:r>
    </w:p>
    <w:p w14:paraId="463FF078" w14:textId="0AD6DF9C" w:rsidR="006222BD" w:rsidRPr="00A8779E" w:rsidRDefault="00B43AFA" w:rsidP="007A08C6">
      <w:pPr>
        <w:jc w:val="both"/>
        <w:rPr>
          <w:rFonts w:ascii="Times New Roman" w:hAnsi="Times New Roman" w:cs="Times New Roman"/>
          <w:sz w:val="24"/>
          <w:szCs w:val="24"/>
        </w:rPr>
      </w:pPr>
      <w:r w:rsidRPr="00A8779E">
        <w:rPr>
          <w:rFonts w:ascii="Times New Roman" w:hAnsi="Times New Roman" w:cs="Times New Roman"/>
          <w:sz w:val="24"/>
          <w:szCs w:val="24"/>
        </w:rPr>
        <w:t>E</w:t>
      </w:r>
      <w:r w:rsidR="006222BD" w:rsidRPr="00A8779E">
        <w:rPr>
          <w:rFonts w:ascii="Times New Roman" w:hAnsi="Times New Roman" w:cs="Times New Roman"/>
          <w:sz w:val="24"/>
          <w:szCs w:val="24"/>
        </w:rPr>
        <w:t xml:space="preserve">ducational Materials: </w:t>
      </w:r>
      <w:r w:rsidR="0074523F" w:rsidRPr="00A8779E">
        <w:rPr>
          <w:rFonts w:ascii="Times New Roman" w:hAnsi="Times New Roman" w:cs="Times New Roman"/>
        </w:rPr>
        <w:t>The campaign provides a range of resources, including leaflets, online tools, and apps, offering advice on healthier eating and physical activities. This approach aligns with the findings of Croker, Lucas, and Wardle (2012), who evaluated the ‘Change for Life’ mass media</w:t>
      </w:r>
      <w:r w:rsidR="00DC1F91" w:rsidRPr="00A8779E">
        <w:rPr>
          <w:rFonts w:ascii="Times New Roman" w:hAnsi="Times New Roman" w:cs="Times New Roman"/>
        </w:rPr>
        <w:t xml:space="preserve">, </w:t>
      </w:r>
      <w:r w:rsidR="0074523F" w:rsidRPr="00A8779E">
        <w:rPr>
          <w:rFonts w:ascii="Times New Roman" w:hAnsi="Times New Roman" w:cs="Times New Roman"/>
        </w:rPr>
        <w:t>social marketing campaign in the UK, highlighting the significance of educational materials in influencing parents' attitudes and behavio</w:t>
      </w:r>
      <w:r w:rsidR="00A70991" w:rsidRPr="00A8779E">
        <w:rPr>
          <w:rFonts w:ascii="Times New Roman" w:hAnsi="Times New Roman" w:cs="Times New Roman"/>
        </w:rPr>
        <w:t>u</w:t>
      </w:r>
      <w:r w:rsidR="0074523F" w:rsidRPr="00A8779E">
        <w:rPr>
          <w:rFonts w:ascii="Times New Roman" w:hAnsi="Times New Roman" w:cs="Times New Roman"/>
        </w:rPr>
        <w:t>rs towards their children's health.</w:t>
      </w:r>
    </w:p>
    <w:p w14:paraId="1DF90BA7" w14:textId="769CFA15" w:rsidR="006222BD" w:rsidRPr="00A8779E" w:rsidRDefault="006222BD"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Marketing Campaigns: </w:t>
      </w:r>
      <w:r w:rsidR="004B6A18" w:rsidRPr="00A8779E">
        <w:rPr>
          <w:rFonts w:ascii="Times New Roman" w:hAnsi="Times New Roman" w:cs="Times New Roman"/>
          <w:sz w:val="24"/>
          <w:szCs w:val="24"/>
        </w:rPr>
        <w:t xml:space="preserve">Utilizing TV adverts, digital marketing, and partnerships with schools and local organizations, "Change4Life" reaches a wide audience with its health messages. </w:t>
      </w:r>
      <w:r w:rsidR="003E2A26" w:rsidRPr="00A8779E">
        <w:rPr>
          <w:rFonts w:ascii="Times New Roman" w:hAnsi="Times New Roman" w:cs="Times New Roman"/>
          <w:sz w:val="24"/>
          <w:szCs w:val="24"/>
        </w:rPr>
        <w:t>Gielen et al (2016) demonstrated the effectiveness of social marketing strategies in public health initiatives, demonstrating the impact of well-planned campaigns on reducing pedestrian injury risk.</w:t>
      </w:r>
    </w:p>
    <w:p w14:paraId="567D3200" w14:textId="77777777" w:rsidR="006222BD" w:rsidRPr="00A8779E" w:rsidRDefault="006222BD" w:rsidP="007A08C6">
      <w:pPr>
        <w:jc w:val="both"/>
        <w:rPr>
          <w:rFonts w:ascii="Times New Roman" w:hAnsi="Times New Roman" w:cs="Times New Roman"/>
          <w:sz w:val="24"/>
          <w:szCs w:val="24"/>
        </w:rPr>
      </w:pPr>
      <w:r w:rsidRPr="00A8779E">
        <w:rPr>
          <w:rFonts w:ascii="Times New Roman" w:hAnsi="Times New Roman" w:cs="Times New Roman"/>
          <w:sz w:val="24"/>
          <w:szCs w:val="24"/>
        </w:rPr>
        <w:t>Community Engagement: The program involves local communities and schools in promoting healthy habits, organizing events, and providing support networks.</w:t>
      </w:r>
    </w:p>
    <w:p w14:paraId="3CE59F61" w14:textId="7675E9B0" w:rsidR="00C51203"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Similar interventions have been documented, such as </w:t>
      </w:r>
      <w:r w:rsidR="006222BD" w:rsidRPr="00A8779E">
        <w:rPr>
          <w:rFonts w:ascii="Times New Roman" w:hAnsi="Times New Roman" w:cs="Times New Roman"/>
          <w:sz w:val="24"/>
          <w:szCs w:val="24"/>
        </w:rPr>
        <w:t>Healthy Schoolhouse 2.0, which aimed to improve nutrition literacy among elementary school students in the U.S</w:t>
      </w:r>
      <w:r w:rsidR="00B43AFA" w:rsidRPr="00A8779E">
        <w:rPr>
          <w:rFonts w:ascii="Times New Roman" w:hAnsi="Times New Roman" w:cs="Times New Roman"/>
          <w:sz w:val="24"/>
          <w:szCs w:val="24"/>
        </w:rPr>
        <w:t>.</w:t>
      </w:r>
      <w:r w:rsidR="006222BD" w:rsidRPr="00A8779E">
        <w:rPr>
          <w:rFonts w:ascii="Times New Roman" w:hAnsi="Times New Roman" w:cs="Times New Roman"/>
          <w:sz w:val="24"/>
          <w:szCs w:val="24"/>
        </w:rPr>
        <w:t xml:space="preserve"> (Hawkins et al, 2021)</w:t>
      </w:r>
      <w:r w:rsidR="00B43AFA" w:rsidRPr="00A8779E">
        <w:rPr>
          <w:rFonts w:ascii="Times New Roman" w:hAnsi="Times New Roman" w:cs="Times New Roman"/>
          <w:sz w:val="24"/>
          <w:szCs w:val="24"/>
        </w:rPr>
        <w:t>, and "Have Fun — Be Healthy" which was designed for children under 5 years in Australia</w:t>
      </w:r>
      <w:r w:rsidR="005E653C" w:rsidRPr="00A8779E">
        <w:rPr>
          <w:rFonts w:ascii="Times New Roman" w:hAnsi="Times New Roman" w:cs="Times New Roman"/>
          <w:sz w:val="24"/>
          <w:szCs w:val="24"/>
        </w:rPr>
        <w:t xml:space="preserve"> (Pathirana et al, 201</w:t>
      </w:r>
      <w:r w:rsidR="007624CA" w:rsidRPr="00A8779E">
        <w:rPr>
          <w:rFonts w:ascii="Times New Roman" w:hAnsi="Times New Roman" w:cs="Times New Roman"/>
          <w:sz w:val="24"/>
          <w:szCs w:val="24"/>
        </w:rPr>
        <w:t>7</w:t>
      </w:r>
      <w:r w:rsidR="005E653C" w:rsidRPr="00A8779E">
        <w:rPr>
          <w:rFonts w:ascii="Times New Roman" w:hAnsi="Times New Roman" w:cs="Times New Roman"/>
          <w:sz w:val="24"/>
          <w:szCs w:val="24"/>
        </w:rPr>
        <w:t>)</w:t>
      </w:r>
      <w:r w:rsidR="00B43AFA" w:rsidRPr="00A8779E">
        <w:rPr>
          <w:rFonts w:ascii="Times New Roman" w:hAnsi="Times New Roman" w:cs="Times New Roman"/>
          <w:sz w:val="24"/>
          <w:szCs w:val="24"/>
        </w:rPr>
        <w:t xml:space="preserve">. </w:t>
      </w:r>
    </w:p>
    <w:p w14:paraId="4DB42417" w14:textId="77777777" w:rsidR="00C51203"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Aim of the Intervention</w:t>
      </w:r>
    </w:p>
    <w:p w14:paraId="4B8D3785" w14:textId="511E8DF3" w:rsidR="005119F6" w:rsidRPr="00A8779E" w:rsidRDefault="005119F6" w:rsidP="007A08C6">
      <w:pPr>
        <w:jc w:val="both"/>
        <w:rPr>
          <w:rFonts w:ascii="Times New Roman" w:hAnsi="Times New Roman" w:cs="Times New Roman"/>
          <w:sz w:val="24"/>
          <w:szCs w:val="24"/>
        </w:rPr>
      </w:pPr>
      <w:r w:rsidRPr="00A8779E">
        <w:rPr>
          <w:rFonts w:ascii="Times New Roman" w:hAnsi="Times New Roman" w:cs="Times New Roman"/>
          <w:sz w:val="24"/>
          <w:szCs w:val="24"/>
        </w:rPr>
        <w:t>Change4Life'</w:t>
      </w:r>
      <w:r w:rsidR="00C235E3" w:rsidRPr="00A8779E">
        <w:rPr>
          <w:rFonts w:ascii="Times New Roman" w:hAnsi="Times New Roman" w:cs="Times New Roman"/>
          <w:sz w:val="24"/>
          <w:szCs w:val="24"/>
        </w:rPr>
        <w:t>s</w:t>
      </w:r>
      <w:r w:rsidRPr="00A8779E">
        <w:rPr>
          <w:rFonts w:ascii="Times New Roman" w:hAnsi="Times New Roman" w:cs="Times New Roman"/>
          <w:sz w:val="24"/>
          <w:szCs w:val="24"/>
        </w:rPr>
        <w:t xml:space="preserve"> aims to reduce childhood obesity by promoting long-term changes in diet and physical activity among families, highlighting the crucial role of parent involvement in preventing obesity.</w:t>
      </w:r>
      <w:r w:rsidR="00C235E3" w:rsidRPr="00A8779E">
        <w:rPr>
          <w:rFonts w:ascii="Times New Roman" w:hAnsi="Times New Roman" w:cs="Times New Roman"/>
          <w:sz w:val="24"/>
          <w:szCs w:val="24"/>
        </w:rPr>
        <w:t xml:space="preserve"> Tomayko et al (2021) highlighted the crucial role of parent involvement in diet and physical activity interventions in preventing childhood obesity and promoting healthy behaviours.</w:t>
      </w:r>
    </w:p>
    <w:p w14:paraId="15640DA7" w14:textId="292AA3FA" w:rsidR="00C51203"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Target Audience</w:t>
      </w:r>
    </w:p>
    <w:p w14:paraId="6C258155" w14:textId="6795C2A7" w:rsidR="00375081" w:rsidRPr="00A8779E" w:rsidRDefault="00375081"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The campaign primarily targets families with young children, aiming to </w:t>
      </w:r>
      <w:r w:rsidR="005E653C" w:rsidRPr="00A8779E">
        <w:rPr>
          <w:rFonts w:ascii="Times New Roman" w:hAnsi="Times New Roman" w:cs="Times New Roman"/>
          <w:sz w:val="24"/>
          <w:szCs w:val="24"/>
        </w:rPr>
        <w:t>instil</w:t>
      </w:r>
      <w:r w:rsidRPr="00A8779E">
        <w:rPr>
          <w:rFonts w:ascii="Times New Roman" w:hAnsi="Times New Roman" w:cs="Times New Roman"/>
          <w:sz w:val="24"/>
          <w:szCs w:val="24"/>
        </w:rPr>
        <w:t xml:space="preserve"> healthy habits from an early age. Targeting families, particularly those with young children, is effective because health </w:t>
      </w:r>
      <w:r w:rsidR="005E653C" w:rsidRPr="00A8779E">
        <w:rPr>
          <w:rFonts w:ascii="Times New Roman" w:hAnsi="Times New Roman" w:cs="Times New Roman"/>
          <w:sz w:val="24"/>
          <w:szCs w:val="24"/>
        </w:rPr>
        <w:t>behaviours</w:t>
      </w:r>
      <w:r w:rsidRPr="00A8779E">
        <w:rPr>
          <w:rFonts w:ascii="Times New Roman" w:hAnsi="Times New Roman" w:cs="Times New Roman"/>
          <w:sz w:val="24"/>
          <w:szCs w:val="24"/>
        </w:rPr>
        <w:t xml:space="preserve"> are often shared within families (Birch &amp; Ventura, 2009). By engaging parents and caregivers, "Change4Life" not only influences the children's health </w:t>
      </w:r>
      <w:r w:rsidR="005E653C" w:rsidRPr="00A8779E">
        <w:rPr>
          <w:rFonts w:ascii="Times New Roman" w:hAnsi="Times New Roman" w:cs="Times New Roman"/>
          <w:sz w:val="24"/>
          <w:szCs w:val="24"/>
        </w:rPr>
        <w:t>behaviours</w:t>
      </w:r>
      <w:r w:rsidRPr="00A8779E">
        <w:rPr>
          <w:rFonts w:ascii="Times New Roman" w:hAnsi="Times New Roman" w:cs="Times New Roman"/>
          <w:sz w:val="24"/>
          <w:szCs w:val="24"/>
        </w:rPr>
        <w:t xml:space="preserve"> but also encourages a whole-family approach to healthier living. </w:t>
      </w:r>
    </w:p>
    <w:p w14:paraId="1BD13F07" w14:textId="77777777" w:rsidR="00C51203"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Intervention Outcomes</w:t>
      </w:r>
    </w:p>
    <w:p w14:paraId="70C1A3D1" w14:textId="0E6E6CD6" w:rsidR="00C51203" w:rsidRPr="00A8779E" w:rsidRDefault="00375081"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Change4Life" has been credited with raising awareness about obesity and healthy living in the UK. It has successfully engaged millions of families and has been linked to positive changes in attitudes and </w:t>
      </w:r>
      <w:r w:rsidR="005E653C" w:rsidRPr="00A8779E">
        <w:rPr>
          <w:rFonts w:ascii="Times New Roman" w:hAnsi="Times New Roman" w:cs="Times New Roman"/>
          <w:sz w:val="24"/>
          <w:szCs w:val="24"/>
        </w:rPr>
        <w:t>behaviours</w:t>
      </w:r>
      <w:r w:rsidRPr="00A8779E">
        <w:rPr>
          <w:rFonts w:ascii="Times New Roman" w:hAnsi="Times New Roman" w:cs="Times New Roman"/>
          <w:sz w:val="24"/>
          <w:szCs w:val="24"/>
        </w:rPr>
        <w:t xml:space="preserve"> regarding diet and exercise</w:t>
      </w:r>
      <w:r w:rsidR="005E653C" w:rsidRPr="00A8779E">
        <w:rPr>
          <w:rFonts w:ascii="Times New Roman" w:hAnsi="Times New Roman" w:cs="Times New Roman"/>
          <w:sz w:val="24"/>
          <w:szCs w:val="24"/>
        </w:rPr>
        <w:t xml:space="preserve"> (The National Social Marketing Centre, 202</w:t>
      </w:r>
      <w:r w:rsidR="00C3682F" w:rsidRPr="00A8779E">
        <w:rPr>
          <w:rFonts w:ascii="Times New Roman" w:hAnsi="Times New Roman" w:cs="Times New Roman"/>
          <w:sz w:val="24"/>
          <w:szCs w:val="24"/>
        </w:rPr>
        <w:t>0</w:t>
      </w:r>
      <w:r w:rsidR="005E653C" w:rsidRPr="00A8779E">
        <w:rPr>
          <w:rFonts w:ascii="Times New Roman" w:hAnsi="Times New Roman" w:cs="Times New Roman"/>
          <w:sz w:val="24"/>
          <w:szCs w:val="24"/>
        </w:rPr>
        <w:t>)</w:t>
      </w:r>
      <w:r w:rsidRPr="00A8779E">
        <w:rPr>
          <w:rFonts w:ascii="Times New Roman" w:hAnsi="Times New Roman" w:cs="Times New Roman"/>
          <w:sz w:val="24"/>
          <w:szCs w:val="24"/>
        </w:rPr>
        <w:t xml:space="preserve">. </w:t>
      </w:r>
    </w:p>
    <w:p w14:paraId="43637062" w14:textId="77777777" w:rsidR="00C51203" w:rsidRPr="00A8779E" w:rsidRDefault="00C51203" w:rsidP="007A08C6">
      <w:pPr>
        <w:jc w:val="both"/>
        <w:rPr>
          <w:rFonts w:ascii="Times New Roman" w:hAnsi="Times New Roman" w:cs="Times New Roman"/>
          <w:b/>
          <w:bCs/>
          <w:sz w:val="24"/>
          <w:szCs w:val="24"/>
        </w:rPr>
      </w:pPr>
      <w:r w:rsidRPr="00A8779E">
        <w:rPr>
          <w:rFonts w:ascii="Times New Roman" w:hAnsi="Times New Roman" w:cs="Times New Roman"/>
          <w:b/>
          <w:bCs/>
          <w:sz w:val="24"/>
          <w:szCs w:val="24"/>
        </w:rPr>
        <w:t>Need for Health Promotion Research on Obesity</w:t>
      </w:r>
    </w:p>
    <w:p w14:paraId="6DEDB70A" w14:textId="5A659D93" w:rsidR="00C51203" w:rsidRPr="00A8779E" w:rsidRDefault="00375081"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Associated Health Risks: </w:t>
      </w:r>
      <w:r w:rsidR="00C51203" w:rsidRPr="00A8779E">
        <w:rPr>
          <w:rFonts w:ascii="Times New Roman" w:hAnsi="Times New Roman" w:cs="Times New Roman"/>
          <w:sz w:val="24"/>
          <w:szCs w:val="24"/>
        </w:rPr>
        <w:t xml:space="preserve">Research is a cornerstone in developing effective health promotion interventions. The necessity for such research in the context of obesity is underscored by studies highlighting its rising prevalence and associated health risks, such as diabetes and heart disease </w:t>
      </w:r>
      <w:r w:rsidR="00C51203" w:rsidRPr="00A8779E">
        <w:rPr>
          <w:rFonts w:ascii="Times New Roman" w:hAnsi="Times New Roman" w:cs="Times New Roman"/>
          <w:sz w:val="24"/>
          <w:szCs w:val="24"/>
        </w:rPr>
        <w:lastRenderedPageBreak/>
        <w:t>(NCD Risk Factor Collaboration, 2017). This research informs the development of targeted interventions, ensuring they are grounded in evidence-based practices.</w:t>
      </w:r>
    </w:p>
    <w:p w14:paraId="497C744B" w14:textId="061953BF" w:rsidR="00375081" w:rsidRPr="00A8779E" w:rsidRDefault="00375081"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Understanding Complex Causes: Obesity is a multifaceted issue influenced by genetic, environmental, social, and </w:t>
      </w:r>
      <w:r w:rsidR="005E653C" w:rsidRPr="00A8779E">
        <w:rPr>
          <w:rFonts w:ascii="Times New Roman" w:hAnsi="Times New Roman" w:cs="Times New Roman"/>
          <w:sz w:val="24"/>
          <w:szCs w:val="24"/>
        </w:rPr>
        <w:t>behavioural</w:t>
      </w:r>
      <w:r w:rsidRPr="00A8779E">
        <w:rPr>
          <w:rFonts w:ascii="Times New Roman" w:hAnsi="Times New Roman" w:cs="Times New Roman"/>
          <w:sz w:val="24"/>
          <w:szCs w:val="24"/>
        </w:rPr>
        <w:t xml:space="preserve"> factors. Research in health promotion helps to unravel these complex causes, providing insights into how different factors contribute to obesity. This understanding is crucial for developing effective interventions (Palacios et al, 2021).</w:t>
      </w:r>
    </w:p>
    <w:p w14:paraId="56B5B4D8" w14:textId="14AE8421" w:rsidR="00375081" w:rsidRPr="00A8779E" w:rsidRDefault="00375081" w:rsidP="007A08C6">
      <w:pPr>
        <w:jc w:val="both"/>
        <w:rPr>
          <w:rFonts w:ascii="Times New Roman" w:hAnsi="Times New Roman" w:cs="Times New Roman"/>
          <w:sz w:val="24"/>
          <w:szCs w:val="24"/>
        </w:rPr>
      </w:pPr>
      <w:r w:rsidRPr="00A8779E">
        <w:rPr>
          <w:rFonts w:ascii="Times New Roman" w:hAnsi="Times New Roman" w:cs="Times New Roman"/>
          <w:sz w:val="24"/>
          <w:szCs w:val="24"/>
        </w:rPr>
        <w:t>Tailoring Interventions: Health promotion research identifies which interventions are most effective for different populations. For instance, strategies that work for adults may not be suitable for children. Research helps in tailoring interventions to specific groups, such as children, adolescents, adults, or populations with specific health conditions (Lee et al, 2022).</w:t>
      </w:r>
    </w:p>
    <w:p w14:paraId="085077D1" w14:textId="3B88093D" w:rsidR="00375081" w:rsidRPr="00A8779E" w:rsidRDefault="00375081" w:rsidP="007A08C6">
      <w:pPr>
        <w:jc w:val="both"/>
        <w:rPr>
          <w:rFonts w:ascii="Times New Roman" w:hAnsi="Times New Roman" w:cs="Times New Roman"/>
          <w:sz w:val="24"/>
          <w:szCs w:val="24"/>
        </w:rPr>
      </w:pPr>
      <w:r w:rsidRPr="00A8779E">
        <w:rPr>
          <w:rFonts w:ascii="Times New Roman" w:hAnsi="Times New Roman" w:cs="Times New Roman"/>
          <w:sz w:val="24"/>
          <w:szCs w:val="24"/>
        </w:rPr>
        <w:t>Evaluating Impact: Research is essential for evaluating the impact of health promotion interventions</w:t>
      </w:r>
      <w:r w:rsidR="006513AE" w:rsidRPr="00A8779E">
        <w:rPr>
          <w:rFonts w:ascii="Times New Roman" w:hAnsi="Times New Roman" w:cs="Times New Roman"/>
          <w:sz w:val="24"/>
          <w:szCs w:val="24"/>
        </w:rPr>
        <w:t xml:space="preserve">, because </w:t>
      </w:r>
      <w:r w:rsidRPr="00A8779E">
        <w:rPr>
          <w:rFonts w:ascii="Times New Roman" w:hAnsi="Times New Roman" w:cs="Times New Roman"/>
          <w:sz w:val="24"/>
          <w:szCs w:val="24"/>
        </w:rPr>
        <w:t>helps in determining whether strategies are effective in reducing obesity prevalence, improving dietary habits, and increasing physical activity. This evaluation is crucial for justifying the allocation of resources to certain programs (Blake et al, 2021).</w:t>
      </w:r>
    </w:p>
    <w:p w14:paraId="25F0815A" w14:textId="2C309CD7" w:rsidR="00B43AFA" w:rsidRPr="00A8779E" w:rsidRDefault="00B43AFA" w:rsidP="007A08C6">
      <w:pPr>
        <w:jc w:val="both"/>
        <w:rPr>
          <w:rFonts w:ascii="Times New Roman" w:hAnsi="Times New Roman" w:cs="Times New Roman"/>
          <w:sz w:val="24"/>
          <w:szCs w:val="24"/>
        </w:rPr>
      </w:pPr>
      <w:r w:rsidRPr="00A8779E">
        <w:rPr>
          <w:rFonts w:ascii="Times New Roman" w:hAnsi="Times New Roman" w:cs="Times New Roman"/>
          <w:sz w:val="24"/>
          <w:szCs w:val="24"/>
        </w:rPr>
        <w:t xml:space="preserve">Informing Policy: Health promotion research provides evidence that can inform public health policies. For example, studies on the effectiveness of sugar-sweetened beverage taxes or front-of-package </w:t>
      </w:r>
      <w:r w:rsidR="00097DE0" w:rsidRPr="00A8779E">
        <w:rPr>
          <w:rFonts w:ascii="Times New Roman" w:hAnsi="Times New Roman" w:cs="Times New Roman"/>
          <w:sz w:val="24"/>
          <w:szCs w:val="24"/>
        </w:rPr>
        <w:t>labelling</w:t>
      </w:r>
      <w:r w:rsidRPr="00A8779E">
        <w:rPr>
          <w:rFonts w:ascii="Times New Roman" w:hAnsi="Times New Roman" w:cs="Times New Roman"/>
          <w:sz w:val="24"/>
          <w:szCs w:val="24"/>
        </w:rPr>
        <w:t xml:space="preserve"> can guide policy decisions and regulatory measures (Varshney, 2020).</w:t>
      </w:r>
    </w:p>
    <w:p w14:paraId="2E0A545F" w14:textId="77777777" w:rsidR="00C51203" w:rsidRPr="00A8779E" w:rsidRDefault="00C51203" w:rsidP="007A08C6">
      <w:pPr>
        <w:jc w:val="both"/>
        <w:rPr>
          <w:rFonts w:ascii="Times New Roman" w:hAnsi="Times New Roman" w:cs="Times New Roman"/>
          <w:b/>
          <w:bCs/>
          <w:sz w:val="24"/>
          <w:szCs w:val="24"/>
        </w:rPr>
      </w:pPr>
      <w:r w:rsidRPr="00A8779E">
        <w:rPr>
          <w:rFonts w:ascii="Times New Roman" w:hAnsi="Times New Roman" w:cs="Times New Roman"/>
          <w:b/>
          <w:bCs/>
          <w:sz w:val="24"/>
          <w:szCs w:val="24"/>
        </w:rPr>
        <w:t>Conclusion</w:t>
      </w:r>
    </w:p>
    <w:p w14:paraId="265EC3D7" w14:textId="2C0E2D6E" w:rsidR="00C51203" w:rsidRPr="00A8779E" w:rsidRDefault="00C51203" w:rsidP="007A08C6">
      <w:pPr>
        <w:jc w:val="both"/>
        <w:rPr>
          <w:rFonts w:ascii="Times New Roman" w:hAnsi="Times New Roman" w:cs="Times New Roman"/>
          <w:sz w:val="24"/>
          <w:szCs w:val="24"/>
        </w:rPr>
      </w:pPr>
      <w:r w:rsidRPr="00A8779E">
        <w:rPr>
          <w:rFonts w:ascii="Times New Roman" w:hAnsi="Times New Roman" w:cs="Times New Roman"/>
          <w:sz w:val="24"/>
          <w:szCs w:val="24"/>
        </w:rPr>
        <w:t>This paper has outlined the critical role of health promotion in addressing the global challenge of obesity. Through the detailed examination of the "</w:t>
      </w:r>
      <w:r w:rsidR="00F46117" w:rsidRPr="00A8779E">
        <w:rPr>
          <w:rFonts w:ascii="Times New Roman" w:hAnsi="Times New Roman" w:cs="Times New Roman"/>
          <w:sz w:val="24"/>
          <w:szCs w:val="24"/>
        </w:rPr>
        <w:t>Change4Life</w:t>
      </w:r>
      <w:r w:rsidRPr="00A8779E">
        <w:rPr>
          <w:rFonts w:ascii="Times New Roman" w:hAnsi="Times New Roman" w:cs="Times New Roman"/>
          <w:sz w:val="24"/>
          <w:szCs w:val="24"/>
        </w:rPr>
        <w:t>" campaign, it has highlighted how targeted interventions can effectively combat obesity. The integration of research in developing these strategies is essential for ensuring their success and sustainability. As obesity continues to pose significant health risks, such initiatives become increasingly vital in promoting healthier societies.</w:t>
      </w:r>
    </w:p>
    <w:p w14:paraId="4F01643B" w14:textId="17A877D5" w:rsidR="00C51203" w:rsidRPr="00A8779E" w:rsidRDefault="00C51203" w:rsidP="007A08C6">
      <w:pPr>
        <w:jc w:val="both"/>
        <w:rPr>
          <w:rFonts w:ascii="Times New Roman" w:hAnsi="Times New Roman" w:cs="Times New Roman"/>
          <w:sz w:val="24"/>
          <w:szCs w:val="24"/>
        </w:rPr>
      </w:pPr>
    </w:p>
    <w:p w14:paraId="5F7F445F" w14:textId="77777777" w:rsidR="002511E9" w:rsidRPr="00A8779E" w:rsidRDefault="002511E9" w:rsidP="002511E9">
      <w:pPr>
        <w:widowControl w:val="0"/>
        <w:autoSpaceDE w:val="0"/>
        <w:autoSpaceDN w:val="0"/>
        <w:adjustRightInd w:val="0"/>
        <w:spacing w:after="240" w:line="36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Reference list:</w:t>
      </w:r>
    </w:p>
    <w:p w14:paraId="306ED2AB"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Abarca-Gómez, L., Abdeen, Z.A., Hamid, Z.A., Abu-</w:t>
      </w:r>
      <w:proofErr w:type="spellStart"/>
      <w:r w:rsidRPr="00A8779E">
        <w:rPr>
          <w:rFonts w:ascii="Times New Roman" w:hAnsi="Times New Roman" w:cs="Times New Roman"/>
          <w:kern w:val="0"/>
          <w:sz w:val="24"/>
          <w:szCs w:val="24"/>
        </w:rPr>
        <w:t>Rmeileh</w:t>
      </w:r>
      <w:proofErr w:type="spellEnd"/>
      <w:r w:rsidRPr="00A8779E">
        <w:rPr>
          <w:rFonts w:ascii="Times New Roman" w:hAnsi="Times New Roman" w:cs="Times New Roman"/>
          <w:kern w:val="0"/>
          <w:sz w:val="24"/>
          <w:szCs w:val="24"/>
        </w:rPr>
        <w:t xml:space="preserve">, N.M., Acosta-Cazares, B., </w:t>
      </w:r>
      <w:proofErr w:type="spellStart"/>
      <w:r w:rsidRPr="00A8779E">
        <w:rPr>
          <w:rFonts w:ascii="Times New Roman" w:hAnsi="Times New Roman" w:cs="Times New Roman"/>
          <w:kern w:val="0"/>
          <w:sz w:val="24"/>
          <w:szCs w:val="24"/>
        </w:rPr>
        <w:t>Acuin</w:t>
      </w:r>
      <w:proofErr w:type="spellEnd"/>
      <w:r w:rsidRPr="00A8779E">
        <w:rPr>
          <w:rFonts w:ascii="Times New Roman" w:hAnsi="Times New Roman" w:cs="Times New Roman"/>
          <w:kern w:val="0"/>
          <w:sz w:val="24"/>
          <w:szCs w:val="24"/>
        </w:rPr>
        <w:t xml:space="preserve">, C., Adams, R.J., </w:t>
      </w:r>
      <w:proofErr w:type="spellStart"/>
      <w:r w:rsidRPr="00A8779E">
        <w:rPr>
          <w:rFonts w:ascii="Times New Roman" w:hAnsi="Times New Roman" w:cs="Times New Roman"/>
          <w:kern w:val="0"/>
          <w:sz w:val="24"/>
          <w:szCs w:val="24"/>
        </w:rPr>
        <w:t>Aekplakorn</w:t>
      </w:r>
      <w:proofErr w:type="spellEnd"/>
      <w:r w:rsidRPr="00A8779E">
        <w:rPr>
          <w:rFonts w:ascii="Times New Roman" w:hAnsi="Times New Roman" w:cs="Times New Roman"/>
          <w:kern w:val="0"/>
          <w:sz w:val="24"/>
          <w:szCs w:val="24"/>
        </w:rPr>
        <w:t xml:space="preserve">, W., Afsana, K., Aguilar-Salinas, C.A., Agyemang, C., Ahmadvand, A., Ahrens, W., </w:t>
      </w:r>
      <w:proofErr w:type="spellStart"/>
      <w:r w:rsidRPr="00A8779E">
        <w:rPr>
          <w:rFonts w:ascii="Times New Roman" w:hAnsi="Times New Roman" w:cs="Times New Roman"/>
          <w:kern w:val="0"/>
          <w:sz w:val="24"/>
          <w:szCs w:val="24"/>
        </w:rPr>
        <w:t>Ajlouni</w:t>
      </w:r>
      <w:proofErr w:type="spellEnd"/>
      <w:r w:rsidRPr="00A8779E">
        <w:rPr>
          <w:rFonts w:ascii="Times New Roman" w:hAnsi="Times New Roman" w:cs="Times New Roman"/>
          <w:kern w:val="0"/>
          <w:sz w:val="24"/>
          <w:szCs w:val="24"/>
        </w:rPr>
        <w:t xml:space="preserve">, K., </w:t>
      </w:r>
      <w:proofErr w:type="spellStart"/>
      <w:r w:rsidRPr="00A8779E">
        <w:rPr>
          <w:rFonts w:ascii="Times New Roman" w:hAnsi="Times New Roman" w:cs="Times New Roman"/>
          <w:kern w:val="0"/>
          <w:sz w:val="24"/>
          <w:szCs w:val="24"/>
        </w:rPr>
        <w:t>Akhtaeva</w:t>
      </w:r>
      <w:proofErr w:type="spellEnd"/>
      <w:r w:rsidRPr="00A8779E">
        <w:rPr>
          <w:rFonts w:ascii="Times New Roman" w:hAnsi="Times New Roman" w:cs="Times New Roman"/>
          <w:kern w:val="0"/>
          <w:sz w:val="24"/>
          <w:szCs w:val="24"/>
        </w:rPr>
        <w:t>, N., Al-</w:t>
      </w:r>
      <w:proofErr w:type="spellStart"/>
      <w:r w:rsidRPr="00A8779E">
        <w:rPr>
          <w:rFonts w:ascii="Times New Roman" w:hAnsi="Times New Roman" w:cs="Times New Roman"/>
          <w:kern w:val="0"/>
          <w:sz w:val="24"/>
          <w:szCs w:val="24"/>
        </w:rPr>
        <w:t>Hazzaa</w:t>
      </w:r>
      <w:proofErr w:type="spellEnd"/>
      <w:r w:rsidRPr="00A8779E">
        <w:rPr>
          <w:rFonts w:ascii="Times New Roman" w:hAnsi="Times New Roman" w:cs="Times New Roman"/>
          <w:kern w:val="0"/>
          <w:sz w:val="24"/>
          <w:szCs w:val="24"/>
        </w:rPr>
        <w:t>, H.M., Al-Othman, A.R., Al-</w:t>
      </w:r>
      <w:proofErr w:type="spellStart"/>
      <w:r w:rsidRPr="00A8779E">
        <w:rPr>
          <w:rFonts w:ascii="Times New Roman" w:hAnsi="Times New Roman" w:cs="Times New Roman"/>
          <w:kern w:val="0"/>
          <w:sz w:val="24"/>
          <w:szCs w:val="24"/>
        </w:rPr>
        <w:t>Raddadi</w:t>
      </w:r>
      <w:proofErr w:type="spellEnd"/>
      <w:r w:rsidRPr="00A8779E">
        <w:rPr>
          <w:rFonts w:ascii="Times New Roman" w:hAnsi="Times New Roman" w:cs="Times New Roman"/>
          <w:kern w:val="0"/>
          <w:sz w:val="24"/>
          <w:szCs w:val="24"/>
        </w:rPr>
        <w:t xml:space="preserve">, R., Al </w:t>
      </w:r>
      <w:proofErr w:type="spellStart"/>
      <w:r w:rsidRPr="00A8779E">
        <w:rPr>
          <w:rFonts w:ascii="Times New Roman" w:hAnsi="Times New Roman" w:cs="Times New Roman"/>
          <w:kern w:val="0"/>
          <w:sz w:val="24"/>
          <w:szCs w:val="24"/>
        </w:rPr>
        <w:t>Buhairan</w:t>
      </w:r>
      <w:proofErr w:type="spellEnd"/>
      <w:r w:rsidRPr="00A8779E">
        <w:rPr>
          <w:rFonts w:ascii="Times New Roman" w:hAnsi="Times New Roman" w:cs="Times New Roman"/>
          <w:kern w:val="0"/>
          <w:sz w:val="24"/>
          <w:szCs w:val="24"/>
        </w:rPr>
        <w:t xml:space="preserve">, F. and Al </w:t>
      </w:r>
      <w:proofErr w:type="spellStart"/>
      <w:r w:rsidRPr="00A8779E">
        <w:rPr>
          <w:rFonts w:ascii="Times New Roman" w:hAnsi="Times New Roman" w:cs="Times New Roman"/>
          <w:kern w:val="0"/>
          <w:sz w:val="24"/>
          <w:szCs w:val="24"/>
        </w:rPr>
        <w:t>Dhukair</w:t>
      </w:r>
      <w:proofErr w:type="spellEnd"/>
      <w:r w:rsidRPr="00A8779E">
        <w:rPr>
          <w:rFonts w:ascii="Times New Roman" w:hAnsi="Times New Roman" w:cs="Times New Roman"/>
          <w:kern w:val="0"/>
          <w:sz w:val="24"/>
          <w:szCs w:val="24"/>
        </w:rPr>
        <w:t xml:space="preserve">, S. (2017), ‘Worldwide trends in body-mass index, underweight, overweight, and obesity from 1975 to 2016: a pooled analysis of 2416 population-based measurement studies in 128·9 million children, adolescents, and adults’ </w:t>
      </w:r>
      <w:r w:rsidRPr="00A8779E">
        <w:rPr>
          <w:rFonts w:ascii="Times New Roman" w:hAnsi="Times New Roman" w:cs="Times New Roman"/>
          <w:i/>
          <w:iCs/>
          <w:kern w:val="0"/>
          <w:sz w:val="24"/>
          <w:szCs w:val="24"/>
        </w:rPr>
        <w:t>The Lancet</w:t>
      </w:r>
      <w:r w:rsidRPr="00A8779E">
        <w:rPr>
          <w:rFonts w:ascii="Times New Roman" w:hAnsi="Times New Roman" w:cs="Times New Roman"/>
          <w:kern w:val="0"/>
          <w:sz w:val="24"/>
          <w:szCs w:val="24"/>
        </w:rPr>
        <w:t xml:space="preserve">, 390(10113), pp 2627–2642. Available to:  </w:t>
      </w:r>
      <w:hyperlink r:id="rId7" w:history="1">
        <w:r w:rsidRPr="00A8779E">
          <w:rPr>
            <w:rFonts w:ascii="Times New Roman" w:hAnsi="Times New Roman" w:cs="Times New Roman"/>
            <w:kern w:val="0"/>
            <w:sz w:val="24"/>
            <w:szCs w:val="24"/>
          </w:rPr>
          <w:t>https://doi.org/10.1016/s0140-6736(17)32129-3</w:t>
        </w:r>
      </w:hyperlink>
      <w:r w:rsidRPr="00A8779E">
        <w:rPr>
          <w:rFonts w:ascii="Times New Roman" w:hAnsi="Times New Roman" w:cs="Times New Roman"/>
          <w:kern w:val="0"/>
          <w:sz w:val="24"/>
          <w:szCs w:val="24"/>
        </w:rPr>
        <w:t>.</w:t>
      </w:r>
    </w:p>
    <w:p w14:paraId="2694C204"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Birch, L.L. and Ventura, A.K. (2009). ‘Preventing childhood obesity: what works?’, </w:t>
      </w:r>
      <w:r w:rsidRPr="00A8779E">
        <w:rPr>
          <w:rFonts w:ascii="Times New Roman" w:hAnsi="Times New Roman" w:cs="Times New Roman"/>
          <w:i/>
          <w:iCs/>
          <w:kern w:val="0"/>
          <w:sz w:val="24"/>
          <w:szCs w:val="24"/>
        </w:rPr>
        <w:t>International Journal of Obesity</w:t>
      </w:r>
      <w:r w:rsidRPr="00A8779E">
        <w:rPr>
          <w:rFonts w:ascii="Times New Roman" w:hAnsi="Times New Roman" w:cs="Times New Roman"/>
          <w:kern w:val="0"/>
          <w:sz w:val="24"/>
          <w:szCs w:val="24"/>
        </w:rPr>
        <w:t xml:space="preserve">, 33(S1), pp S74–S81. Available to: </w:t>
      </w:r>
      <w:hyperlink r:id="rId8" w:history="1">
        <w:r w:rsidRPr="00A8779E">
          <w:rPr>
            <w:rFonts w:ascii="Times New Roman" w:hAnsi="Times New Roman" w:cs="Times New Roman"/>
            <w:kern w:val="0"/>
            <w:sz w:val="24"/>
            <w:szCs w:val="24"/>
          </w:rPr>
          <w:t>https://doi.org/10.1038/ijo.2009.22</w:t>
        </w:r>
      </w:hyperlink>
      <w:r w:rsidRPr="00A8779E">
        <w:rPr>
          <w:rFonts w:ascii="Times New Roman" w:hAnsi="Times New Roman" w:cs="Times New Roman"/>
          <w:kern w:val="0"/>
          <w:sz w:val="24"/>
          <w:szCs w:val="24"/>
        </w:rPr>
        <w:t>.</w:t>
      </w:r>
    </w:p>
    <w:p w14:paraId="33E3C967"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Blake, H., Watkins, K., Middleton, M. and </w:t>
      </w:r>
      <w:proofErr w:type="spellStart"/>
      <w:r w:rsidRPr="00A8779E">
        <w:rPr>
          <w:rFonts w:ascii="Times New Roman" w:hAnsi="Times New Roman" w:cs="Times New Roman"/>
          <w:kern w:val="0"/>
          <w:sz w:val="24"/>
          <w:szCs w:val="24"/>
        </w:rPr>
        <w:t>Stanulewicz</w:t>
      </w:r>
      <w:proofErr w:type="spellEnd"/>
      <w:r w:rsidRPr="00A8779E">
        <w:rPr>
          <w:rFonts w:ascii="Times New Roman" w:hAnsi="Times New Roman" w:cs="Times New Roman"/>
          <w:kern w:val="0"/>
          <w:sz w:val="24"/>
          <w:szCs w:val="24"/>
        </w:rPr>
        <w:t xml:space="preserve">, N. (2021), ‘Obesity and Diet </w:t>
      </w:r>
      <w:r w:rsidRPr="00A8779E">
        <w:rPr>
          <w:rFonts w:ascii="Times New Roman" w:hAnsi="Times New Roman" w:cs="Times New Roman"/>
          <w:kern w:val="0"/>
          <w:sz w:val="24"/>
          <w:szCs w:val="24"/>
        </w:rPr>
        <w:lastRenderedPageBreak/>
        <w:t xml:space="preserve">Predict Attitudes towards Health Promotion in Pre-Registered Nurses and Midwives’, </w:t>
      </w:r>
      <w:r w:rsidRPr="00A8779E">
        <w:rPr>
          <w:rFonts w:ascii="Times New Roman" w:hAnsi="Times New Roman" w:cs="Times New Roman"/>
          <w:i/>
          <w:iCs/>
          <w:kern w:val="0"/>
          <w:sz w:val="24"/>
          <w:szCs w:val="24"/>
        </w:rPr>
        <w:t>International Journal of Environmental Research and Public Health</w:t>
      </w:r>
      <w:r w:rsidRPr="00A8779E">
        <w:rPr>
          <w:rFonts w:ascii="Times New Roman" w:hAnsi="Times New Roman" w:cs="Times New Roman"/>
          <w:kern w:val="0"/>
          <w:sz w:val="24"/>
          <w:szCs w:val="24"/>
        </w:rPr>
        <w:t xml:space="preserve">, 18(24), pp 13419. Available to: </w:t>
      </w:r>
      <w:hyperlink r:id="rId9" w:history="1">
        <w:r w:rsidRPr="00A8779E">
          <w:rPr>
            <w:rFonts w:ascii="Times New Roman" w:hAnsi="Times New Roman" w:cs="Times New Roman"/>
            <w:kern w:val="0"/>
            <w:sz w:val="24"/>
            <w:szCs w:val="24"/>
          </w:rPr>
          <w:t>https://doi.org/10.3390/ijerph182413419</w:t>
        </w:r>
      </w:hyperlink>
      <w:r w:rsidRPr="00A8779E">
        <w:rPr>
          <w:rFonts w:ascii="Times New Roman" w:hAnsi="Times New Roman" w:cs="Times New Roman"/>
          <w:kern w:val="0"/>
          <w:sz w:val="24"/>
          <w:szCs w:val="24"/>
        </w:rPr>
        <w:t>.</w:t>
      </w:r>
    </w:p>
    <w:p w14:paraId="683F78B8" w14:textId="77777777" w:rsidR="00684314" w:rsidRPr="00A8779E" w:rsidRDefault="00684314" w:rsidP="00684314">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sz w:val="24"/>
          <w:szCs w:val="24"/>
        </w:rPr>
      </w:pPr>
      <w:r w:rsidRPr="00A8779E">
        <w:rPr>
          <w:rFonts w:ascii="Times New Roman" w:hAnsi="Times New Roman" w:cs="Times New Roman"/>
          <w:sz w:val="24"/>
          <w:szCs w:val="24"/>
        </w:rPr>
        <w:t xml:space="preserve">Croker, H., Lucas, R., </w:t>
      </w:r>
      <w:r>
        <w:rPr>
          <w:rFonts w:ascii="Times New Roman" w:hAnsi="Times New Roman" w:cs="Times New Roman"/>
          <w:sz w:val="24"/>
          <w:szCs w:val="24"/>
        </w:rPr>
        <w:t>and</w:t>
      </w:r>
      <w:r w:rsidRPr="00A8779E">
        <w:rPr>
          <w:rFonts w:ascii="Times New Roman" w:hAnsi="Times New Roman" w:cs="Times New Roman"/>
          <w:sz w:val="24"/>
          <w:szCs w:val="24"/>
        </w:rPr>
        <w:t xml:space="preserve"> Wardle, J. (2012)</w:t>
      </w:r>
      <w:r>
        <w:rPr>
          <w:rFonts w:ascii="Times New Roman" w:hAnsi="Times New Roman" w:cs="Times New Roman"/>
          <w:sz w:val="24"/>
          <w:szCs w:val="24"/>
        </w:rPr>
        <w:t>,</w:t>
      </w:r>
      <w:r w:rsidRPr="00A8779E">
        <w:rPr>
          <w:rFonts w:ascii="Times New Roman" w:hAnsi="Times New Roman" w:cs="Times New Roman"/>
          <w:sz w:val="24"/>
          <w:szCs w:val="24"/>
        </w:rPr>
        <w:t xml:space="preserve"> </w:t>
      </w:r>
      <w:r>
        <w:rPr>
          <w:rFonts w:ascii="Times New Roman" w:hAnsi="Times New Roman" w:cs="Times New Roman"/>
          <w:sz w:val="24"/>
          <w:szCs w:val="24"/>
        </w:rPr>
        <w:t>‘</w:t>
      </w:r>
      <w:r w:rsidRPr="00A8779E">
        <w:rPr>
          <w:rFonts w:ascii="Times New Roman" w:hAnsi="Times New Roman" w:cs="Times New Roman"/>
          <w:sz w:val="24"/>
          <w:szCs w:val="24"/>
        </w:rPr>
        <w:t>Cluster-randomised trial to evaluate the ‘Change for Life’ mass media/social marketing campaign in the UK</w:t>
      </w:r>
      <w:r>
        <w:rPr>
          <w:rFonts w:ascii="Times New Roman" w:hAnsi="Times New Roman" w:cs="Times New Roman"/>
          <w:sz w:val="24"/>
          <w:szCs w:val="24"/>
        </w:rPr>
        <w:t>’,</w:t>
      </w:r>
      <w:r w:rsidRPr="00A8779E">
        <w:rPr>
          <w:rFonts w:ascii="Times New Roman" w:hAnsi="Times New Roman" w:cs="Times New Roman"/>
          <w:sz w:val="24"/>
          <w:szCs w:val="24"/>
        </w:rPr>
        <w:t xml:space="preserve"> </w:t>
      </w:r>
      <w:r w:rsidRPr="00A8779E">
        <w:rPr>
          <w:rStyle w:val="Emphasis"/>
          <w:rFonts w:ascii="Times New Roman" w:hAnsi="Times New Roman" w:cs="Times New Roman"/>
          <w:sz w:val="24"/>
          <w:szCs w:val="24"/>
        </w:rPr>
        <w:t>BMC Public Health, 12</w:t>
      </w:r>
      <w:r w:rsidRPr="00A8779E">
        <w:rPr>
          <w:rFonts w:ascii="Times New Roman" w:hAnsi="Times New Roman" w:cs="Times New Roman"/>
          <w:sz w:val="24"/>
          <w:szCs w:val="24"/>
        </w:rPr>
        <w:t xml:space="preserve">(1), 404. Available to: </w:t>
      </w:r>
      <w:r w:rsidRPr="00A8779E">
        <w:t>https://bmcpublichealth.biomedcentral.com/articles/10.1186/1471-2458-12-404</w:t>
      </w:r>
      <w:r w:rsidRPr="00A8779E">
        <w:rPr>
          <w:rFonts w:ascii="Times New Roman" w:hAnsi="Times New Roman" w:cs="Times New Roman"/>
          <w:sz w:val="24"/>
          <w:szCs w:val="24"/>
        </w:rPr>
        <w:t xml:space="preserve">. </w:t>
      </w:r>
    </w:p>
    <w:p w14:paraId="200C788F" w14:textId="77777777" w:rsidR="00684314" w:rsidRPr="00A8779E" w:rsidRDefault="00684314" w:rsidP="00684314">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sz w:val="24"/>
          <w:szCs w:val="24"/>
        </w:rPr>
      </w:pPr>
      <w:r w:rsidRPr="00A8779E">
        <w:rPr>
          <w:rFonts w:ascii="Times New Roman" w:hAnsi="Times New Roman" w:cs="Times New Roman"/>
          <w:sz w:val="24"/>
          <w:szCs w:val="24"/>
        </w:rPr>
        <w:t xml:space="preserve">Gielen, A., Bailey, M., Pollack, K. M., McDonald, E., </w:t>
      </w:r>
      <w:r>
        <w:rPr>
          <w:rFonts w:ascii="Times New Roman" w:hAnsi="Times New Roman" w:cs="Times New Roman"/>
          <w:sz w:val="24"/>
          <w:szCs w:val="24"/>
        </w:rPr>
        <w:t>and</w:t>
      </w:r>
      <w:r w:rsidRPr="00A8779E">
        <w:rPr>
          <w:rFonts w:ascii="Times New Roman" w:hAnsi="Times New Roman" w:cs="Times New Roman"/>
          <w:sz w:val="24"/>
          <w:szCs w:val="24"/>
        </w:rPr>
        <w:t xml:space="preserve"> Williams, J. (2016)</w:t>
      </w:r>
      <w:r>
        <w:rPr>
          <w:rFonts w:ascii="Times New Roman" w:hAnsi="Times New Roman" w:cs="Times New Roman"/>
          <w:sz w:val="24"/>
          <w:szCs w:val="24"/>
        </w:rPr>
        <w:t>,</w:t>
      </w:r>
      <w:r w:rsidRPr="00A8779E">
        <w:rPr>
          <w:rFonts w:ascii="Times New Roman" w:hAnsi="Times New Roman" w:cs="Times New Roman"/>
          <w:sz w:val="24"/>
          <w:szCs w:val="24"/>
        </w:rPr>
        <w:t xml:space="preserve"> </w:t>
      </w:r>
      <w:r>
        <w:rPr>
          <w:rFonts w:ascii="Times New Roman" w:hAnsi="Times New Roman" w:cs="Times New Roman"/>
          <w:sz w:val="24"/>
          <w:szCs w:val="24"/>
        </w:rPr>
        <w:t>‘</w:t>
      </w:r>
      <w:r w:rsidRPr="00A8779E">
        <w:rPr>
          <w:rFonts w:ascii="Times New Roman" w:hAnsi="Times New Roman" w:cs="Times New Roman"/>
          <w:sz w:val="24"/>
          <w:szCs w:val="24"/>
        </w:rPr>
        <w:t>Development and evaluation of a social marketing approach to reduce pedestrian injury risk</w:t>
      </w:r>
      <w:r>
        <w:rPr>
          <w:rFonts w:ascii="Times New Roman" w:hAnsi="Times New Roman" w:cs="Times New Roman"/>
          <w:sz w:val="24"/>
          <w:szCs w:val="24"/>
        </w:rPr>
        <w:t xml:space="preserve">’, </w:t>
      </w:r>
      <w:r w:rsidRPr="00A8779E">
        <w:rPr>
          <w:rStyle w:val="Emphasis"/>
          <w:rFonts w:ascii="Times New Roman" w:hAnsi="Times New Roman" w:cs="Times New Roman"/>
          <w:sz w:val="24"/>
          <w:szCs w:val="24"/>
        </w:rPr>
        <w:t>Injury Prevention, 22</w:t>
      </w:r>
      <w:r>
        <w:rPr>
          <w:rStyle w:val="Emphasis"/>
          <w:rFonts w:ascii="Times New Roman" w:hAnsi="Times New Roman" w:cs="Times New Roman"/>
          <w:sz w:val="24"/>
          <w:szCs w:val="24"/>
        </w:rPr>
        <w:t xml:space="preserve"> </w:t>
      </w:r>
      <w:r w:rsidRPr="00A8779E">
        <w:rPr>
          <w:rFonts w:ascii="Times New Roman" w:hAnsi="Times New Roman" w:cs="Times New Roman"/>
          <w:sz w:val="24"/>
          <w:szCs w:val="24"/>
        </w:rPr>
        <w:t>(</w:t>
      </w:r>
      <w:proofErr w:type="spellStart"/>
      <w:r w:rsidRPr="00A8779E">
        <w:rPr>
          <w:rFonts w:ascii="Times New Roman" w:hAnsi="Times New Roman" w:cs="Times New Roman"/>
          <w:sz w:val="24"/>
          <w:szCs w:val="24"/>
        </w:rPr>
        <w:t>Suppl</w:t>
      </w:r>
      <w:proofErr w:type="spellEnd"/>
      <w:r w:rsidRPr="00A8779E">
        <w:rPr>
          <w:rFonts w:ascii="Times New Roman" w:hAnsi="Times New Roman" w:cs="Times New Roman"/>
          <w:sz w:val="24"/>
          <w:szCs w:val="24"/>
        </w:rPr>
        <w:t xml:space="preserve"> 2), A106.2-A106. Available to: https://doi.org/10.1136/injuryprev-2016-042156.290.</w:t>
      </w:r>
    </w:p>
    <w:p w14:paraId="44B245DD"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Hawkins, M., Belson, S.I., McClave, R., Kohls, L., Little, S. and Snelling, A. (2021),  ‘Healthy Schoolhouse 2.0 Health Promotion Intervention to Reduce Childhood Obesity in Washington, DC: A Feasibility Study’, </w:t>
      </w:r>
      <w:r w:rsidRPr="00A8779E">
        <w:rPr>
          <w:rFonts w:ascii="Times New Roman" w:hAnsi="Times New Roman" w:cs="Times New Roman"/>
          <w:i/>
          <w:iCs/>
          <w:kern w:val="0"/>
          <w:sz w:val="24"/>
          <w:szCs w:val="24"/>
        </w:rPr>
        <w:t>Nutrients</w:t>
      </w:r>
      <w:r w:rsidRPr="00A8779E">
        <w:rPr>
          <w:rFonts w:ascii="Times New Roman" w:hAnsi="Times New Roman" w:cs="Times New Roman"/>
          <w:kern w:val="0"/>
          <w:sz w:val="24"/>
          <w:szCs w:val="24"/>
        </w:rPr>
        <w:t xml:space="preserve">, 13(9), pp 2935.  Available to: </w:t>
      </w:r>
      <w:hyperlink r:id="rId10" w:history="1">
        <w:r w:rsidRPr="00A8779E">
          <w:rPr>
            <w:rFonts w:ascii="Times New Roman" w:hAnsi="Times New Roman" w:cs="Times New Roman"/>
            <w:kern w:val="0"/>
            <w:sz w:val="24"/>
            <w:szCs w:val="24"/>
          </w:rPr>
          <w:t>https://doi.org/10.3390/nu13092935</w:t>
        </w:r>
      </w:hyperlink>
      <w:r w:rsidRPr="00A8779E">
        <w:rPr>
          <w:rFonts w:ascii="Times New Roman" w:hAnsi="Times New Roman" w:cs="Times New Roman"/>
          <w:kern w:val="0"/>
          <w:sz w:val="24"/>
          <w:szCs w:val="24"/>
        </w:rPr>
        <w:t>.</w:t>
      </w:r>
    </w:p>
    <w:p w14:paraId="062F1A23"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Lee, Y., Kim, T. and Jung, H. (2022), ‘The Relationships between Food Literacy, Health Promotion Literacy and Healthy Eating Habits among Young Adults in South Korea’, </w:t>
      </w:r>
      <w:r w:rsidRPr="00A8779E">
        <w:rPr>
          <w:rFonts w:ascii="Times New Roman" w:hAnsi="Times New Roman" w:cs="Times New Roman"/>
          <w:i/>
          <w:iCs/>
          <w:kern w:val="0"/>
          <w:sz w:val="24"/>
          <w:szCs w:val="24"/>
        </w:rPr>
        <w:t>Foods</w:t>
      </w:r>
      <w:r w:rsidRPr="00A8779E">
        <w:rPr>
          <w:rFonts w:ascii="Times New Roman" w:hAnsi="Times New Roman" w:cs="Times New Roman"/>
          <w:kern w:val="0"/>
          <w:sz w:val="24"/>
          <w:szCs w:val="24"/>
        </w:rPr>
        <w:t xml:space="preserve">, 11(16), pp 2467. Available to: </w:t>
      </w:r>
      <w:hyperlink r:id="rId11" w:history="1">
        <w:r w:rsidRPr="00A8779E">
          <w:rPr>
            <w:rFonts w:ascii="Times New Roman" w:hAnsi="Times New Roman" w:cs="Times New Roman"/>
            <w:kern w:val="0"/>
            <w:sz w:val="24"/>
            <w:szCs w:val="24"/>
          </w:rPr>
          <w:t>https://doi.org/10.3390/foods11162467</w:t>
        </w:r>
      </w:hyperlink>
      <w:r w:rsidRPr="00A8779E">
        <w:rPr>
          <w:rFonts w:ascii="Times New Roman" w:hAnsi="Times New Roman" w:cs="Times New Roman"/>
          <w:kern w:val="0"/>
          <w:sz w:val="24"/>
          <w:szCs w:val="24"/>
        </w:rPr>
        <w:t>.</w:t>
      </w:r>
    </w:p>
    <w:p w14:paraId="580A64F0"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NHS (2022), </w:t>
      </w:r>
      <w:r w:rsidRPr="00A8779E">
        <w:rPr>
          <w:rFonts w:ascii="Times New Roman" w:hAnsi="Times New Roman" w:cs="Times New Roman"/>
          <w:i/>
          <w:iCs/>
          <w:kern w:val="0"/>
          <w:sz w:val="24"/>
          <w:szCs w:val="24"/>
        </w:rPr>
        <w:t>Healthier Families – Home</w:t>
      </w:r>
      <w:r w:rsidRPr="00A8779E">
        <w:rPr>
          <w:rFonts w:ascii="Times New Roman" w:hAnsi="Times New Roman" w:cs="Times New Roman"/>
          <w:kern w:val="0"/>
          <w:sz w:val="24"/>
          <w:szCs w:val="24"/>
        </w:rPr>
        <w:t xml:space="preserve">, NHS.uk. Available at: </w:t>
      </w:r>
      <w:hyperlink r:id="rId12" w:history="1">
        <w:r w:rsidRPr="00A8779E">
          <w:rPr>
            <w:rFonts w:ascii="Times New Roman" w:hAnsi="Times New Roman" w:cs="Times New Roman"/>
            <w:kern w:val="0"/>
            <w:sz w:val="24"/>
            <w:szCs w:val="24"/>
          </w:rPr>
          <w:t>https://www.nhs.uk/healthier-families/</w:t>
        </w:r>
      </w:hyperlink>
      <w:r w:rsidRPr="00A8779E">
        <w:rPr>
          <w:rFonts w:ascii="Times New Roman" w:hAnsi="Times New Roman" w:cs="Times New Roman"/>
          <w:kern w:val="0"/>
          <w:sz w:val="24"/>
          <w:szCs w:val="24"/>
        </w:rPr>
        <w:t>.</w:t>
      </w:r>
    </w:p>
    <w:p w14:paraId="21CF3C2E"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NSMC (2020), </w:t>
      </w:r>
      <w:r w:rsidRPr="00A8779E">
        <w:rPr>
          <w:rFonts w:ascii="Times New Roman" w:hAnsi="Times New Roman" w:cs="Times New Roman"/>
          <w:i/>
          <w:iCs/>
          <w:kern w:val="0"/>
          <w:sz w:val="24"/>
          <w:szCs w:val="24"/>
        </w:rPr>
        <w:t>Change4Life | the NSMC</w:t>
      </w:r>
      <w:r w:rsidRPr="00A8779E">
        <w:rPr>
          <w:rFonts w:ascii="Times New Roman" w:hAnsi="Times New Roman" w:cs="Times New Roman"/>
          <w:kern w:val="0"/>
          <w:sz w:val="24"/>
          <w:szCs w:val="24"/>
        </w:rPr>
        <w:t xml:space="preserve">, Thensmc.com. Available at: </w:t>
      </w:r>
      <w:hyperlink r:id="rId13" w:history="1">
        <w:r w:rsidRPr="00A8779E">
          <w:rPr>
            <w:rFonts w:ascii="Times New Roman" w:hAnsi="Times New Roman" w:cs="Times New Roman"/>
            <w:kern w:val="0"/>
            <w:sz w:val="24"/>
            <w:szCs w:val="24"/>
          </w:rPr>
          <w:t>https://www.thensmc.com/resources/showcase/change4life</w:t>
        </w:r>
      </w:hyperlink>
      <w:r w:rsidRPr="00A8779E">
        <w:rPr>
          <w:rFonts w:ascii="Times New Roman" w:hAnsi="Times New Roman" w:cs="Times New Roman"/>
          <w:kern w:val="0"/>
          <w:sz w:val="24"/>
          <w:szCs w:val="24"/>
        </w:rPr>
        <w:t>.</w:t>
      </w:r>
    </w:p>
    <w:p w14:paraId="26448741"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proofErr w:type="spellStart"/>
      <w:r w:rsidRPr="00A8779E">
        <w:rPr>
          <w:rFonts w:ascii="Times New Roman" w:hAnsi="Times New Roman" w:cs="Times New Roman"/>
          <w:kern w:val="0"/>
          <w:sz w:val="24"/>
          <w:szCs w:val="24"/>
        </w:rPr>
        <w:t>Patestos</w:t>
      </w:r>
      <w:proofErr w:type="spellEnd"/>
      <w:r w:rsidRPr="00A8779E">
        <w:rPr>
          <w:rFonts w:ascii="Times New Roman" w:hAnsi="Times New Roman" w:cs="Times New Roman"/>
          <w:kern w:val="0"/>
          <w:sz w:val="24"/>
          <w:szCs w:val="24"/>
        </w:rPr>
        <w:t xml:space="preserve">, C. (2019), ‘What Is Faith-Based Health Promotion? A Working Definition’, </w:t>
      </w:r>
      <w:r w:rsidRPr="00A8779E">
        <w:rPr>
          <w:rFonts w:ascii="Times New Roman" w:hAnsi="Times New Roman" w:cs="Times New Roman"/>
          <w:i/>
          <w:iCs/>
          <w:kern w:val="0"/>
          <w:sz w:val="24"/>
          <w:szCs w:val="24"/>
        </w:rPr>
        <w:t>Journal of Christian Nursing</w:t>
      </w:r>
      <w:r w:rsidRPr="00A8779E">
        <w:rPr>
          <w:rFonts w:ascii="Times New Roman" w:hAnsi="Times New Roman" w:cs="Times New Roman"/>
          <w:kern w:val="0"/>
          <w:sz w:val="24"/>
          <w:szCs w:val="24"/>
        </w:rPr>
        <w:t xml:space="preserve">, 36(1), pp 31–37. Available to: </w:t>
      </w:r>
      <w:hyperlink r:id="rId14" w:history="1">
        <w:r w:rsidRPr="00A8779E">
          <w:rPr>
            <w:rFonts w:ascii="Times New Roman" w:hAnsi="Times New Roman" w:cs="Times New Roman"/>
            <w:kern w:val="0"/>
            <w:sz w:val="24"/>
            <w:szCs w:val="24"/>
          </w:rPr>
          <w:t>https://doi.org/10.1097/cnj.0000000000000558</w:t>
        </w:r>
      </w:hyperlink>
      <w:r w:rsidRPr="00A8779E">
        <w:rPr>
          <w:rFonts w:ascii="Times New Roman" w:hAnsi="Times New Roman" w:cs="Times New Roman"/>
          <w:kern w:val="0"/>
          <w:sz w:val="24"/>
          <w:szCs w:val="24"/>
        </w:rPr>
        <w:t>.</w:t>
      </w:r>
    </w:p>
    <w:p w14:paraId="2E059A96"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Pathirana, T., Stoneman, R., Lamont, A., Harris, N. and Lee, P. (2017), ‘Impact evaluation of ‘Have Fun — Be Healthy’ program: A community based health promotion intervention to prevent childhood obesity’, </w:t>
      </w:r>
      <w:r w:rsidRPr="00A8779E">
        <w:rPr>
          <w:rFonts w:ascii="Times New Roman" w:hAnsi="Times New Roman" w:cs="Times New Roman"/>
          <w:i/>
          <w:iCs/>
          <w:kern w:val="0"/>
          <w:sz w:val="24"/>
          <w:szCs w:val="24"/>
        </w:rPr>
        <w:t>Health Promotion Journal of Australia</w:t>
      </w:r>
      <w:r w:rsidRPr="00A8779E">
        <w:rPr>
          <w:rFonts w:ascii="Times New Roman" w:hAnsi="Times New Roman" w:cs="Times New Roman"/>
          <w:kern w:val="0"/>
          <w:sz w:val="24"/>
          <w:szCs w:val="24"/>
        </w:rPr>
        <w:t xml:space="preserve">, 29(1), pp 100–104. Available to: </w:t>
      </w:r>
      <w:hyperlink r:id="rId15" w:history="1">
        <w:r w:rsidRPr="00A8779E">
          <w:rPr>
            <w:rFonts w:ascii="Times New Roman" w:hAnsi="Times New Roman" w:cs="Times New Roman"/>
            <w:kern w:val="0"/>
            <w:sz w:val="24"/>
            <w:szCs w:val="24"/>
          </w:rPr>
          <w:t>https://doi.org/10.1002/hpja.17</w:t>
        </w:r>
      </w:hyperlink>
      <w:r w:rsidRPr="00A8779E">
        <w:rPr>
          <w:rFonts w:ascii="Times New Roman" w:hAnsi="Times New Roman" w:cs="Times New Roman"/>
          <w:kern w:val="0"/>
          <w:sz w:val="24"/>
          <w:szCs w:val="24"/>
        </w:rPr>
        <w:t>.</w:t>
      </w:r>
    </w:p>
    <w:p w14:paraId="258955F5" w14:textId="77777777" w:rsidR="00042260" w:rsidRPr="00A8779E" w:rsidRDefault="00042260" w:rsidP="00042260">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sz w:val="24"/>
          <w:szCs w:val="24"/>
        </w:rPr>
      </w:pPr>
      <w:r w:rsidRPr="00A8779E">
        <w:rPr>
          <w:rFonts w:ascii="Times New Roman" w:hAnsi="Times New Roman" w:cs="Times New Roman"/>
          <w:sz w:val="24"/>
          <w:szCs w:val="24"/>
        </w:rPr>
        <w:t xml:space="preserve">Tomayko, E., Tovar, A., Fitzgerald, N., Howe, C., Hingle, M., Murphy, M. P., Muzaffar, H., Going, S., </w:t>
      </w:r>
      <w:r>
        <w:rPr>
          <w:rFonts w:ascii="Times New Roman" w:hAnsi="Times New Roman" w:cs="Times New Roman"/>
          <w:sz w:val="24"/>
          <w:szCs w:val="24"/>
        </w:rPr>
        <w:t>and</w:t>
      </w:r>
      <w:r w:rsidRPr="00A8779E">
        <w:rPr>
          <w:rFonts w:ascii="Times New Roman" w:hAnsi="Times New Roman" w:cs="Times New Roman"/>
          <w:sz w:val="24"/>
          <w:szCs w:val="24"/>
        </w:rPr>
        <w:t xml:space="preserve"> Hubbs-Tait, L. (2021)</w:t>
      </w:r>
      <w:r>
        <w:rPr>
          <w:rFonts w:ascii="Times New Roman" w:hAnsi="Times New Roman" w:cs="Times New Roman"/>
          <w:sz w:val="24"/>
          <w:szCs w:val="24"/>
        </w:rPr>
        <w:t>, ‘</w:t>
      </w:r>
      <w:r w:rsidRPr="00A8779E">
        <w:rPr>
          <w:rFonts w:ascii="Times New Roman" w:hAnsi="Times New Roman" w:cs="Times New Roman"/>
          <w:sz w:val="24"/>
          <w:szCs w:val="24"/>
        </w:rPr>
        <w:t>Parent Involvement in Diet or Physical Activity Interventions to Treat or Prevent Childhood Obesity: An Umbrella Review</w:t>
      </w:r>
      <w:r>
        <w:rPr>
          <w:rFonts w:ascii="Times New Roman" w:hAnsi="Times New Roman" w:cs="Times New Roman"/>
          <w:sz w:val="24"/>
          <w:szCs w:val="24"/>
        </w:rPr>
        <w:t xml:space="preserve">’, </w:t>
      </w:r>
      <w:r w:rsidRPr="00A8779E">
        <w:rPr>
          <w:rStyle w:val="Emphasis"/>
          <w:rFonts w:ascii="Times New Roman" w:hAnsi="Times New Roman" w:cs="Times New Roman"/>
          <w:sz w:val="24"/>
          <w:szCs w:val="24"/>
        </w:rPr>
        <w:t>Nutrients, 13</w:t>
      </w:r>
      <w:r w:rsidRPr="00A8779E">
        <w:rPr>
          <w:rFonts w:ascii="Times New Roman" w:hAnsi="Times New Roman" w:cs="Times New Roman"/>
          <w:sz w:val="24"/>
          <w:szCs w:val="24"/>
        </w:rPr>
        <w:t>(9), 3227. Available to: https://doi.org/10.3390/nu13093227</w:t>
      </w:r>
    </w:p>
    <w:p w14:paraId="28083B65"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Varshney, N. (2020), ‘Cancer Research UK’S obesity campaign in 2018 and 2019: effective health promotion or perpetuating the stigmatisation of obesity?’, </w:t>
      </w:r>
      <w:r w:rsidRPr="00A8779E">
        <w:rPr>
          <w:rFonts w:ascii="Times New Roman" w:hAnsi="Times New Roman" w:cs="Times New Roman"/>
          <w:i/>
          <w:iCs/>
          <w:kern w:val="0"/>
          <w:sz w:val="24"/>
          <w:szCs w:val="24"/>
        </w:rPr>
        <w:t>Journal of Medical Ethics</w:t>
      </w:r>
      <w:r w:rsidRPr="00A8779E">
        <w:rPr>
          <w:rFonts w:ascii="Times New Roman" w:hAnsi="Times New Roman" w:cs="Times New Roman"/>
          <w:kern w:val="0"/>
          <w:sz w:val="24"/>
          <w:szCs w:val="24"/>
        </w:rPr>
        <w:t xml:space="preserve">, 47(11), p.medethics-2020-106192. </w:t>
      </w:r>
      <w:r w:rsidRPr="00A8779E">
        <w:rPr>
          <w:rFonts w:ascii="Times New Roman" w:hAnsi="Times New Roman" w:cs="Times New Roman"/>
          <w:kern w:val="0"/>
          <w:sz w:val="24"/>
          <w:szCs w:val="24"/>
          <w:lang w:val="en-US"/>
        </w:rPr>
        <w:t xml:space="preserve">Available to: </w:t>
      </w:r>
      <w:hyperlink r:id="rId16" w:history="1">
        <w:r w:rsidRPr="00A8779E">
          <w:rPr>
            <w:rFonts w:ascii="Times New Roman" w:hAnsi="Times New Roman" w:cs="Times New Roman"/>
            <w:kern w:val="0"/>
            <w:sz w:val="24"/>
            <w:szCs w:val="24"/>
          </w:rPr>
          <w:t>https://doi.org/10.1136/medethics-2020-106192</w:t>
        </w:r>
      </w:hyperlink>
      <w:r w:rsidRPr="00A8779E">
        <w:rPr>
          <w:rFonts w:ascii="Times New Roman" w:hAnsi="Times New Roman" w:cs="Times New Roman"/>
          <w:kern w:val="0"/>
          <w:sz w:val="24"/>
          <w:szCs w:val="24"/>
        </w:rPr>
        <w:t>.</w:t>
      </w:r>
    </w:p>
    <w:p w14:paraId="5EDB4F6E" w14:textId="77777777" w:rsidR="002511E9" w:rsidRPr="00A8779E" w:rsidRDefault="002511E9" w:rsidP="00423549">
      <w:pPr>
        <w:pStyle w:val="ListParagraph"/>
        <w:widowControl w:val="0"/>
        <w:numPr>
          <w:ilvl w:val="0"/>
          <w:numId w:val="3"/>
        </w:numPr>
        <w:autoSpaceDE w:val="0"/>
        <w:autoSpaceDN w:val="0"/>
        <w:adjustRightInd w:val="0"/>
        <w:spacing w:after="240" w:line="240" w:lineRule="auto"/>
        <w:jc w:val="both"/>
        <w:rPr>
          <w:rFonts w:ascii="Times New Roman" w:hAnsi="Times New Roman" w:cs="Times New Roman"/>
          <w:kern w:val="0"/>
          <w:sz w:val="24"/>
          <w:szCs w:val="24"/>
        </w:rPr>
      </w:pPr>
      <w:r w:rsidRPr="00A8779E">
        <w:rPr>
          <w:rFonts w:ascii="Times New Roman" w:hAnsi="Times New Roman" w:cs="Times New Roman"/>
          <w:kern w:val="0"/>
          <w:sz w:val="24"/>
          <w:szCs w:val="24"/>
        </w:rPr>
        <w:t xml:space="preserve">World Health Organization (1986), </w:t>
      </w:r>
      <w:r w:rsidRPr="00A8779E">
        <w:rPr>
          <w:rFonts w:ascii="Times New Roman" w:hAnsi="Times New Roman" w:cs="Times New Roman"/>
          <w:i/>
          <w:iCs/>
          <w:kern w:val="0"/>
          <w:sz w:val="24"/>
          <w:szCs w:val="24"/>
        </w:rPr>
        <w:t>First International Conference on Health Promotion, Ottawa, 21 November 1986</w:t>
      </w:r>
      <w:r w:rsidRPr="00A8779E">
        <w:rPr>
          <w:rFonts w:ascii="Times New Roman" w:hAnsi="Times New Roman" w:cs="Times New Roman"/>
          <w:kern w:val="0"/>
          <w:sz w:val="24"/>
          <w:szCs w:val="24"/>
        </w:rPr>
        <w:t xml:space="preserve">, World Health Organization. Available at: </w:t>
      </w:r>
      <w:hyperlink r:id="rId17" w:history="1">
        <w:r w:rsidRPr="00A8779E">
          <w:rPr>
            <w:rFonts w:ascii="Times New Roman" w:hAnsi="Times New Roman" w:cs="Times New Roman"/>
            <w:kern w:val="0"/>
            <w:sz w:val="24"/>
            <w:szCs w:val="24"/>
          </w:rPr>
          <w:t>https://www.who.int/teams/health-promotion/enhanced-wellbeing/first-global-conference</w:t>
        </w:r>
      </w:hyperlink>
      <w:r w:rsidRPr="00A8779E">
        <w:rPr>
          <w:rFonts w:ascii="Times New Roman" w:hAnsi="Times New Roman" w:cs="Times New Roman"/>
          <w:kern w:val="0"/>
          <w:sz w:val="24"/>
          <w:szCs w:val="24"/>
        </w:rPr>
        <w:t>.</w:t>
      </w:r>
    </w:p>
    <w:p w14:paraId="627BB91D" w14:textId="77777777" w:rsidR="00D101EC" w:rsidRPr="00A8779E" w:rsidRDefault="00D101EC" w:rsidP="00423549">
      <w:pPr>
        <w:spacing w:line="240" w:lineRule="auto"/>
        <w:jc w:val="both"/>
        <w:rPr>
          <w:rFonts w:ascii="Times New Roman" w:hAnsi="Times New Roman" w:cs="Times New Roman"/>
          <w:sz w:val="24"/>
          <w:szCs w:val="24"/>
        </w:rPr>
      </w:pPr>
    </w:p>
    <w:sectPr w:rsidR="00D101EC" w:rsidRPr="00A8779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B3D0B" w14:textId="77777777" w:rsidR="00232091" w:rsidRDefault="00232091" w:rsidP="002511E9">
      <w:pPr>
        <w:spacing w:after="0" w:line="240" w:lineRule="auto"/>
      </w:pPr>
      <w:r>
        <w:separator/>
      </w:r>
    </w:p>
  </w:endnote>
  <w:endnote w:type="continuationSeparator" w:id="0">
    <w:p w14:paraId="5BC1FAD2" w14:textId="77777777" w:rsidR="00232091" w:rsidRDefault="00232091" w:rsidP="00251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100887"/>
      <w:docPartObj>
        <w:docPartGallery w:val="Page Numbers (Bottom of Page)"/>
        <w:docPartUnique/>
      </w:docPartObj>
    </w:sdtPr>
    <w:sdtContent>
      <w:p w14:paraId="149320AF" w14:textId="23C89005" w:rsidR="002511E9" w:rsidRDefault="002511E9">
        <w:pPr>
          <w:pStyle w:val="Footer"/>
          <w:jc w:val="right"/>
        </w:pPr>
        <w:r>
          <w:fldChar w:fldCharType="begin"/>
        </w:r>
        <w:r>
          <w:instrText>PAGE   \* MERGEFORMAT</w:instrText>
        </w:r>
        <w:r>
          <w:fldChar w:fldCharType="separate"/>
        </w:r>
        <w:r>
          <w:t>2</w:t>
        </w:r>
        <w:r>
          <w:fldChar w:fldCharType="end"/>
        </w:r>
      </w:p>
    </w:sdtContent>
  </w:sdt>
  <w:p w14:paraId="5D1ED2A4" w14:textId="77777777" w:rsidR="002511E9" w:rsidRDefault="00251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8A1DB" w14:textId="77777777" w:rsidR="00232091" w:rsidRDefault="00232091" w:rsidP="002511E9">
      <w:pPr>
        <w:spacing w:after="0" w:line="240" w:lineRule="auto"/>
      </w:pPr>
      <w:r>
        <w:separator/>
      </w:r>
    </w:p>
  </w:footnote>
  <w:footnote w:type="continuationSeparator" w:id="0">
    <w:p w14:paraId="41A04554" w14:textId="77777777" w:rsidR="00232091" w:rsidRDefault="00232091" w:rsidP="00251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2352"/>
    <w:multiLevelType w:val="hybridMultilevel"/>
    <w:tmpl w:val="54861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4C701B"/>
    <w:multiLevelType w:val="multilevel"/>
    <w:tmpl w:val="0A027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0D70CF"/>
    <w:multiLevelType w:val="hybridMultilevel"/>
    <w:tmpl w:val="F6FCE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7534445">
    <w:abstractNumId w:val="1"/>
  </w:num>
  <w:num w:numId="2" w16cid:durableId="1528105813">
    <w:abstractNumId w:val="0"/>
  </w:num>
  <w:num w:numId="3" w16cid:durableId="8736155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203"/>
    <w:rsid w:val="0002481B"/>
    <w:rsid w:val="00042260"/>
    <w:rsid w:val="00081656"/>
    <w:rsid w:val="00097DE0"/>
    <w:rsid w:val="000F3C85"/>
    <w:rsid w:val="001D2155"/>
    <w:rsid w:val="001F08D0"/>
    <w:rsid w:val="00225A64"/>
    <w:rsid w:val="00232091"/>
    <w:rsid w:val="002511E9"/>
    <w:rsid w:val="002B448F"/>
    <w:rsid w:val="002F4815"/>
    <w:rsid w:val="003111B5"/>
    <w:rsid w:val="00375081"/>
    <w:rsid w:val="003C71DA"/>
    <w:rsid w:val="003E2A26"/>
    <w:rsid w:val="003E3862"/>
    <w:rsid w:val="0041134E"/>
    <w:rsid w:val="00421A1B"/>
    <w:rsid w:val="00423549"/>
    <w:rsid w:val="00497DE9"/>
    <w:rsid w:val="004B6A18"/>
    <w:rsid w:val="004E3896"/>
    <w:rsid w:val="005119F6"/>
    <w:rsid w:val="00530114"/>
    <w:rsid w:val="005C3C00"/>
    <w:rsid w:val="005E653C"/>
    <w:rsid w:val="006222BD"/>
    <w:rsid w:val="00643024"/>
    <w:rsid w:val="006435AF"/>
    <w:rsid w:val="006513AE"/>
    <w:rsid w:val="00670806"/>
    <w:rsid w:val="00684314"/>
    <w:rsid w:val="006A7102"/>
    <w:rsid w:val="006D4E95"/>
    <w:rsid w:val="006F6996"/>
    <w:rsid w:val="00705EAD"/>
    <w:rsid w:val="007101AC"/>
    <w:rsid w:val="0074523F"/>
    <w:rsid w:val="007624CA"/>
    <w:rsid w:val="00776A3E"/>
    <w:rsid w:val="00790889"/>
    <w:rsid w:val="007A08C6"/>
    <w:rsid w:val="007F4F6C"/>
    <w:rsid w:val="00814AB8"/>
    <w:rsid w:val="00893D57"/>
    <w:rsid w:val="008F1284"/>
    <w:rsid w:val="009336B2"/>
    <w:rsid w:val="00943E61"/>
    <w:rsid w:val="00A21985"/>
    <w:rsid w:val="00A367DA"/>
    <w:rsid w:val="00A70991"/>
    <w:rsid w:val="00A8779E"/>
    <w:rsid w:val="00AB0C92"/>
    <w:rsid w:val="00B148BA"/>
    <w:rsid w:val="00B43AFA"/>
    <w:rsid w:val="00B92E54"/>
    <w:rsid w:val="00B95763"/>
    <w:rsid w:val="00BB4BC2"/>
    <w:rsid w:val="00BC2996"/>
    <w:rsid w:val="00C235E3"/>
    <w:rsid w:val="00C3682F"/>
    <w:rsid w:val="00C51203"/>
    <w:rsid w:val="00C77215"/>
    <w:rsid w:val="00CF46B6"/>
    <w:rsid w:val="00D101EC"/>
    <w:rsid w:val="00D94305"/>
    <w:rsid w:val="00DC1F91"/>
    <w:rsid w:val="00EA0B8A"/>
    <w:rsid w:val="00ED5340"/>
    <w:rsid w:val="00F461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FAE48"/>
  <w15:chartTrackingRefBased/>
  <w15:docId w15:val="{A9531F6E-2628-4A63-BEC2-273D13154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1203"/>
    <w:rPr>
      <w:color w:val="0563C1" w:themeColor="hyperlink"/>
      <w:u w:val="single"/>
    </w:rPr>
  </w:style>
  <w:style w:type="character" w:styleId="UnresolvedMention">
    <w:name w:val="Unresolved Mention"/>
    <w:basedOn w:val="DefaultParagraphFont"/>
    <w:uiPriority w:val="99"/>
    <w:semiHidden/>
    <w:unhideWhenUsed/>
    <w:rsid w:val="00C51203"/>
    <w:rPr>
      <w:color w:val="605E5C"/>
      <w:shd w:val="clear" w:color="auto" w:fill="E1DFDD"/>
    </w:rPr>
  </w:style>
  <w:style w:type="character" w:styleId="FollowedHyperlink">
    <w:name w:val="FollowedHyperlink"/>
    <w:basedOn w:val="DefaultParagraphFont"/>
    <w:uiPriority w:val="99"/>
    <w:semiHidden/>
    <w:unhideWhenUsed/>
    <w:rsid w:val="00B43AFA"/>
    <w:rPr>
      <w:color w:val="954F72" w:themeColor="followedHyperlink"/>
      <w:u w:val="single"/>
    </w:rPr>
  </w:style>
  <w:style w:type="paragraph" w:styleId="ListParagraph">
    <w:name w:val="List Paragraph"/>
    <w:basedOn w:val="Normal"/>
    <w:uiPriority w:val="34"/>
    <w:qFormat/>
    <w:rsid w:val="00CF46B6"/>
    <w:pPr>
      <w:ind w:left="720"/>
      <w:contextualSpacing/>
    </w:pPr>
  </w:style>
  <w:style w:type="paragraph" w:styleId="Header">
    <w:name w:val="header"/>
    <w:basedOn w:val="Normal"/>
    <w:link w:val="HeaderChar"/>
    <w:uiPriority w:val="99"/>
    <w:unhideWhenUsed/>
    <w:rsid w:val="00251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1E9"/>
    <w:rPr>
      <w:lang w:val="en-GB"/>
    </w:rPr>
  </w:style>
  <w:style w:type="paragraph" w:styleId="Footer">
    <w:name w:val="footer"/>
    <w:basedOn w:val="Normal"/>
    <w:link w:val="FooterChar"/>
    <w:uiPriority w:val="99"/>
    <w:unhideWhenUsed/>
    <w:rsid w:val="00251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1E9"/>
    <w:rPr>
      <w:lang w:val="en-GB"/>
    </w:rPr>
  </w:style>
  <w:style w:type="character" w:styleId="Emphasis">
    <w:name w:val="Emphasis"/>
    <w:basedOn w:val="DefaultParagraphFont"/>
    <w:uiPriority w:val="20"/>
    <w:qFormat/>
    <w:rsid w:val="00225A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232348">
      <w:bodyDiv w:val="1"/>
      <w:marLeft w:val="0"/>
      <w:marRight w:val="0"/>
      <w:marTop w:val="0"/>
      <w:marBottom w:val="0"/>
      <w:divBdr>
        <w:top w:val="none" w:sz="0" w:space="0" w:color="auto"/>
        <w:left w:val="none" w:sz="0" w:space="0" w:color="auto"/>
        <w:bottom w:val="none" w:sz="0" w:space="0" w:color="auto"/>
        <w:right w:val="none" w:sz="0" w:space="0" w:color="auto"/>
      </w:divBdr>
      <w:divsChild>
        <w:div w:id="55125990">
          <w:marLeft w:val="0"/>
          <w:marRight w:val="0"/>
          <w:marTop w:val="0"/>
          <w:marBottom w:val="0"/>
          <w:divBdr>
            <w:top w:val="single" w:sz="2" w:space="0" w:color="D9D9E3"/>
            <w:left w:val="single" w:sz="2" w:space="0" w:color="D9D9E3"/>
            <w:bottom w:val="single" w:sz="2" w:space="0" w:color="D9D9E3"/>
            <w:right w:val="single" w:sz="2" w:space="0" w:color="D9D9E3"/>
          </w:divBdr>
          <w:divsChild>
            <w:div w:id="908152177">
              <w:marLeft w:val="0"/>
              <w:marRight w:val="0"/>
              <w:marTop w:val="0"/>
              <w:marBottom w:val="0"/>
              <w:divBdr>
                <w:top w:val="single" w:sz="2" w:space="0" w:color="D9D9E3"/>
                <w:left w:val="single" w:sz="2" w:space="0" w:color="D9D9E3"/>
                <w:bottom w:val="single" w:sz="2" w:space="0" w:color="D9D9E3"/>
                <w:right w:val="single" w:sz="2" w:space="0" w:color="D9D9E3"/>
              </w:divBdr>
              <w:divsChild>
                <w:div w:id="2052531501">
                  <w:marLeft w:val="0"/>
                  <w:marRight w:val="0"/>
                  <w:marTop w:val="0"/>
                  <w:marBottom w:val="0"/>
                  <w:divBdr>
                    <w:top w:val="single" w:sz="2" w:space="0" w:color="D9D9E3"/>
                    <w:left w:val="single" w:sz="2" w:space="0" w:color="D9D9E3"/>
                    <w:bottom w:val="single" w:sz="2" w:space="0" w:color="D9D9E3"/>
                    <w:right w:val="single" w:sz="2" w:space="0" w:color="D9D9E3"/>
                  </w:divBdr>
                  <w:divsChild>
                    <w:div w:id="313722270">
                      <w:marLeft w:val="0"/>
                      <w:marRight w:val="0"/>
                      <w:marTop w:val="0"/>
                      <w:marBottom w:val="0"/>
                      <w:divBdr>
                        <w:top w:val="single" w:sz="2" w:space="0" w:color="D9D9E3"/>
                        <w:left w:val="single" w:sz="2" w:space="0" w:color="D9D9E3"/>
                        <w:bottom w:val="single" w:sz="2" w:space="0" w:color="D9D9E3"/>
                        <w:right w:val="single" w:sz="2" w:space="0" w:color="D9D9E3"/>
                      </w:divBdr>
                      <w:divsChild>
                        <w:div w:id="16070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3877105">
          <w:marLeft w:val="0"/>
          <w:marRight w:val="0"/>
          <w:marTop w:val="0"/>
          <w:marBottom w:val="0"/>
          <w:divBdr>
            <w:top w:val="single" w:sz="2" w:space="0" w:color="D9D9E3"/>
            <w:left w:val="single" w:sz="2" w:space="0" w:color="D9D9E3"/>
            <w:bottom w:val="single" w:sz="2" w:space="0" w:color="D9D9E3"/>
            <w:right w:val="single" w:sz="2" w:space="0" w:color="D9D9E3"/>
          </w:divBdr>
          <w:divsChild>
            <w:div w:id="873541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8327780">
      <w:bodyDiv w:val="1"/>
      <w:marLeft w:val="0"/>
      <w:marRight w:val="0"/>
      <w:marTop w:val="0"/>
      <w:marBottom w:val="0"/>
      <w:divBdr>
        <w:top w:val="none" w:sz="0" w:space="0" w:color="auto"/>
        <w:left w:val="none" w:sz="0" w:space="0" w:color="auto"/>
        <w:bottom w:val="none" w:sz="0" w:space="0" w:color="auto"/>
        <w:right w:val="none" w:sz="0" w:space="0" w:color="auto"/>
      </w:divBdr>
    </w:div>
    <w:div w:id="258948416">
      <w:bodyDiv w:val="1"/>
      <w:marLeft w:val="0"/>
      <w:marRight w:val="0"/>
      <w:marTop w:val="0"/>
      <w:marBottom w:val="0"/>
      <w:divBdr>
        <w:top w:val="none" w:sz="0" w:space="0" w:color="auto"/>
        <w:left w:val="none" w:sz="0" w:space="0" w:color="auto"/>
        <w:bottom w:val="none" w:sz="0" w:space="0" w:color="auto"/>
        <w:right w:val="none" w:sz="0" w:space="0" w:color="auto"/>
      </w:divBdr>
    </w:div>
    <w:div w:id="382486462">
      <w:bodyDiv w:val="1"/>
      <w:marLeft w:val="0"/>
      <w:marRight w:val="0"/>
      <w:marTop w:val="0"/>
      <w:marBottom w:val="0"/>
      <w:divBdr>
        <w:top w:val="none" w:sz="0" w:space="0" w:color="auto"/>
        <w:left w:val="none" w:sz="0" w:space="0" w:color="auto"/>
        <w:bottom w:val="none" w:sz="0" w:space="0" w:color="auto"/>
        <w:right w:val="none" w:sz="0" w:space="0" w:color="auto"/>
      </w:divBdr>
    </w:div>
    <w:div w:id="399014110">
      <w:bodyDiv w:val="1"/>
      <w:marLeft w:val="0"/>
      <w:marRight w:val="0"/>
      <w:marTop w:val="0"/>
      <w:marBottom w:val="0"/>
      <w:divBdr>
        <w:top w:val="none" w:sz="0" w:space="0" w:color="auto"/>
        <w:left w:val="none" w:sz="0" w:space="0" w:color="auto"/>
        <w:bottom w:val="none" w:sz="0" w:space="0" w:color="auto"/>
        <w:right w:val="none" w:sz="0" w:space="0" w:color="auto"/>
      </w:divBdr>
    </w:div>
    <w:div w:id="487943436">
      <w:bodyDiv w:val="1"/>
      <w:marLeft w:val="0"/>
      <w:marRight w:val="0"/>
      <w:marTop w:val="0"/>
      <w:marBottom w:val="0"/>
      <w:divBdr>
        <w:top w:val="none" w:sz="0" w:space="0" w:color="auto"/>
        <w:left w:val="none" w:sz="0" w:space="0" w:color="auto"/>
        <w:bottom w:val="none" w:sz="0" w:space="0" w:color="auto"/>
        <w:right w:val="none" w:sz="0" w:space="0" w:color="auto"/>
      </w:divBdr>
    </w:div>
    <w:div w:id="623463604">
      <w:bodyDiv w:val="1"/>
      <w:marLeft w:val="0"/>
      <w:marRight w:val="0"/>
      <w:marTop w:val="0"/>
      <w:marBottom w:val="0"/>
      <w:divBdr>
        <w:top w:val="none" w:sz="0" w:space="0" w:color="auto"/>
        <w:left w:val="none" w:sz="0" w:space="0" w:color="auto"/>
        <w:bottom w:val="none" w:sz="0" w:space="0" w:color="auto"/>
        <w:right w:val="none" w:sz="0" w:space="0" w:color="auto"/>
      </w:divBdr>
    </w:div>
    <w:div w:id="982664470">
      <w:bodyDiv w:val="1"/>
      <w:marLeft w:val="0"/>
      <w:marRight w:val="0"/>
      <w:marTop w:val="0"/>
      <w:marBottom w:val="0"/>
      <w:divBdr>
        <w:top w:val="none" w:sz="0" w:space="0" w:color="auto"/>
        <w:left w:val="none" w:sz="0" w:space="0" w:color="auto"/>
        <w:bottom w:val="none" w:sz="0" w:space="0" w:color="auto"/>
        <w:right w:val="none" w:sz="0" w:space="0" w:color="auto"/>
      </w:divBdr>
    </w:div>
    <w:div w:id="995500802">
      <w:bodyDiv w:val="1"/>
      <w:marLeft w:val="0"/>
      <w:marRight w:val="0"/>
      <w:marTop w:val="0"/>
      <w:marBottom w:val="0"/>
      <w:divBdr>
        <w:top w:val="none" w:sz="0" w:space="0" w:color="auto"/>
        <w:left w:val="none" w:sz="0" w:space="0" w:color="auto"/>
        <w:bottom w:val="none" w:sz="0" w:space="0" w:color="auto"/>
        <w:right w:val="none" w:sz="0" w:space="0" w:color="auto"/>
      </w:divBdr>
    </w:div>
    <w:div w:id="1019624555">
      <w:bodyDiv w:val="1"/>
      <w:marLeft w:val="0"/>
      <w:marRight w:val="0"/>
      <w:marTop w:val="0"/>
      <w:marBottom w:val="0"/>
      <w:divBdr>
        <w:top w:val="none" w:sz="0" w:space="0" w:color="auto"/>
        <w:left w:val="none" w:sz="0" w:space="0" w:color="auto"/>
        <w:bottom w:val="none" w:sz="0" w:space="0" w:color="auto"/>
        <w:right w:val="none" w:sz="0" w:space="0" w:color="auto"/>
      </w:divBdr>
    </w:div>
    <w:div w:id="1174957085">
      <w:bodyDiv w:val="1"/>
      <w:marLeft w:val="0"/>
      <w:marRight w:val="0"/>
      <w:marTop w:val="0"/>
      <w:marBottom w:val="0"/>
      <w:divBdr>
        <w:top w:val="none" w:sz="0" w:space="0" w:color="auto"/>
        <w:left w:val="none" w:sz="0" w:space="0" w:color="auto"/>
        <w:bottom w:val="none" w:sz="0" w:space="0" w:color="auto"/>
        <w:right w:val="none" w:sz="0" w:space="0" w:color="auto"/>
      </w:divBdr>
    </w:div>
    <w:div w:id="1210611938">
      <w:bodyDiv w:val="1"/>
      <w:marLeft w:val="0"/>
      <w:marRight w:val="0"/>
      <w:marTop w:val="0"/>
      <w:marBottom w:val="0"/>
      <w:divBdr>
        <w:top w:val="none" w:sz="0" w:space="0" w:color="auto"/>
        <w:left w:val="none" w:sz="0" w:space="0" w:color="auto"/>
        <w:bottom w:val="none" w:sz="0" w:space="0" w:color="auto"/>
        <w:right w:val="none" w:sz="0" w:space="0" w:color="auto"/>
      </w:divBdr>
    </w:div>
    <w:div w:id="1214997958">
      <w:bodyDiv w:val="1"/>
      <w:marLeft w:val="0"/>
      <w:marRight w:val="0"/>
      <w:marTop w:val="0"/>
      <w:marBottom w:val="0"/>
      <w:divBdr>
        <w:top w:val="none" w:sz="0" w:space="0" w:color="auto"/>
        <w:left w:val="none" w:sz="0" w:space="0" w:color="auto"/>
        <w:bottom w:val="none" w:sz="0" w:space="0" w:color="auto"/>
        <w:right w:val="none" w:sz="0" w:space="0" w:color="auto"/>
      </w:divBdr>
    </w:div>
    <w:div w:id="1310942340">
      <w:bodyDiv w:val="1"/>
      <w:marLeft w:val="0"/>
      <w:marRight w:val="0"/>
      <w:marTop w:val="0"/>
      <w:marBottom w:val="0"/>
      <w:divBdr>
        <w:top w:val="none" w:sz="0" w:space="0" w:color="auto"/>
        <w:left w:val="none" w:sz="0" w:space="0" w:color="auto"/>
        <w:bottom w:val="none" w:sz="0" w:space="0" w:color="auto"/>
        <w:right w:val="none" w:sz="0" w:space="0" w:color="auto"/>
      </w:divBdr>
    </w:div>
    <w:div w:id="1387531349">
      <w:bodyDiv w:val="1"/>
      <w:marLeft w:val="0"/>
      <w:marRight w:val="0"/>
      <w:marTop w:val="0"/>
      <w:marBottom w:val="0"/>
      <w:divBdr>
        <w:top w:val="none" w:sz="0" w:space="0" w:color="auto"/>
        <w:left w:val="none" w:sz="0" w:space="0" w:color="auto"/>
        <w:bottom w:val="none" w:sz="0" w:space="0" w:color="auto"/>
        <w:right w:val="none" w:sz="0" w:space="0" w:color="auto"/>
      </w:divBdr>
    </w:div>
    <w:div w:id="1523475949">
      <w:bodyDiv w:val="1"/>
      <w:marLeft w:val="0"/>
      <w:marRight w:val="0"/>
      <w:marTop w:val="0"/>
      <w:marBottom w:val="0"/>
      <w:divBdr>
        <w:top w:val="none" w:sz="0" w:space="0" w:color="auto"/>
        <w:left w:val="none" w:sz="0" w:space="0" w:color="auto"/>
        <w:bottom w:val="none" w:sz="0" w:space="0" w:color="auto"/>
        <w:right w:val="none" w:sz="0" w:space="0" w:color="auto"/>
      </w:divBdr>
    </w:div>
    <w:div w:id="1597179088">
      <w:bodyDiv w:val="1"/>
      <w:marLeft w:val="0"/>
      <w:marRight w:val="0"/>
      <w:marTop w:val="0"/>
      <w:marBottom w:val="0"/>
      <w:divBdr>
        <w:top w:val="none" w:sz="0" w:space="0" w:color="auto"/>
        <w:left w:val="none" w:sz="0" w:space="0" w:color="auto"/>
        <w:bottom w:val="none" w:sz="0" w:space="0" w:color="auto"/>
        <w:right w:val="none" w:sz="0" w:space="0" w:color="auto"/>
      </w:divBdr>
    </w:div>
    <w:div w:id="1701202490">
      <w:bodyDiv w:val="1"/>
      <w:marLeft w:val="0"/>
      <w:marRight w:val="0"/>
      <w:marTop w:val="0"/>
      <w:marBottom w:val="0"/>
      <w:divBdr>
        <w:top w:val="none" w:sz="0" w:space="0" w:color="auto"/>
        <w:left w:val="none" w:sz="0" w:space="0" w:color="auto"/>
        <w:bottom w:val="none" w:sz="0" w:space="0" w:color="auto"/>
        <w:right w:val="none" w:sz="0" w:space="0" w:color="auto"/>
      </w:divBdr>
    </w:div>
    <w:div w:id="1913468905">
      <w:bodyDiv w:val="1"/>
      <w:marLeft w:val="0"/>
      <w:marRight w:val="0"/>
      <w:marTop w:val="0"/>
      <w:marBottom w:val="0"/>
      <w:divBdr>
        <w:top w:val="none" w:sz="0" w:space="0" w:color="auto"/>
        <w:left w:val="none" w:sz="0" w:space="0" w:color="auto"/>
        <w:bottom w:val="none" w:sz="0" w:space="0" w:color="auto"/>
        <w:right w:val="none" w:sz="0" w:space="0" w:color="auto"/>
      </w:divBdr>
    </w:div>
    <w:div w:id="2107187313">
      <w:bodyDiv w:val="1"/>
      <w:marLeft w:val="0"/>
      <w:marRight w:val="0"/>
      <w:marTop w:val="0"/>
      <w:marBottom w:val="0"/>
      <w:divBdr>
        <w:top w:val="none" w:sz="0" w:space="0" w:color="auto"/>
        <w:left w:val="none" w:sz="0" w:space="0" w:color="auto"/>
        <w:bottom w:val="none" w:sz="0" w:space="0" w:color="auto"/>
        <w:right w:val="none" w:sz="0" w:space="0" w:color="auto"/>
      </w:divBdr>
    </w:div>
    <w:div w:id="2136605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ijo.2009.22" TargetMode="External"/><Relationship Id="rId13" Type="http://schemas.openxmlformats.org/officeDocument/2006/relationships/hyperlink" Target="https://www.thensmc.com/resources/showcase/change4lif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s0140-6736(17)32129-3" TargetMode="External"/><Relationship Id="rId12" Type="http://schemas.openxmlformats.org/officeDocument/2006/relationships/hyperlink" Target="https://www.nhs.uk/healthier-families/" TargetMode="External"/><Relationship Id="rId17" Type="http://schemas.openxmlformats.org/officeDocument/2006/relationships/hyperlink" Target="https://www.who.int/teams/health-promotion/enhanced-wellbeing/first-global-conference" TargetMode="External"/><Relationship Id="rId2" Type="http://schemas.openxmlformats.org/officeDocument/2006/relationships/styles" Target="styles.xml"/><Relationship Id="rId16" Type="http://schemas.openxmlformats.org/officeDocument/2006/relationships/hyperlink" Target="https://doi.org/10.1136/medethics-2020-10619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foods11162467" TargetMode="External"/><Relationship Id="rId5" Type="http://schemas.openxmlformats.org/officeDocument/2006/relationships/footnotes" Target="footnotes.xml"/><Relationship Id="rId15" Type="http://schemas.openxmlformats.org/officeDocument/2006/relationships/hyperlink" Target="https://doi.org/10.1002/hpja.17" TargetMode="External"/><Relationship Id="rId10" Type="http://schemas.openxmlformats.org/officeDocument/2006/relationships/hyperlink" Target="https://doi.org/10.3390/nu1309293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ijerph182413419" TargetMode="External"/><Relationship Id="rId14" Type="http://schemas.openxmlformats.org/officeDocument/2006/relationships/hyperlink" Target="https://doi.org/10.1097/cnj.00000000000005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4</Pages>
  <Words>1792</Words>
  <Characters>10220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Tami Biban</cp:lastModifiedBy>
  <cp:revision>46</cp:revision>
  <dcterms:created xsi:type="dcterms:W3CDTF">2023-12-11T22:17:00Z</dcterms:created>
  <dcterms:modified xsi:type="dcterms:W3CDTF">2023-12-13T21:17:00Z</dcterms:modified>
</cp:coreProperties>
</file>