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9EB7E" w14:textId="77777777" w:rsidR="0006042C" w:rsidRDefault="0006042C" w:rsidP="00845F2F">
      <w:pPr>
        <w:rPr>
          <w:rFonts w:ascii="HelveticaNeue" w:hAnsi="HelveticaNeue"/>
          <w:color w:val="212121"/>
          <w:sz w:val="96"/>
          <w:szCs w:val="96"/>
        </w:rPr>
      </w:pPr>
    </w:p>
    <w:p w14:paraId="7A350E02" w14:textId="77777777" w:rsidR="0006042C" w:rsidRPr="00785086" w:rsidRDefault="0006042C" w:rsidP="00845F2F">
      <w:pPr>
        <w:rPr>
          <w:rFonts w:ascii="Arial" w:hAnsi="Arial" w:cs="Arial"/>
          <w:color w:val="000000" w:themeColor="text1"/>
          <w:sz w:val="96"/>
          <w:szCs w:val="96"/>
        </w:rPr>
      </w:pPr>
    </w:p>
    <w:p w14:paraId="7CD3DBC1" w14:textId="30059A32" w:rsidR="00845F2F" w:rsidRPr="00785086" w:rsidRDefault="00845F2F" w:rsidP="00845F2F">
      <w:pPr>
        <w:rPr>
          <w:rFonts w:ascii="Arial" w:hAnsi="Arial" w:cs="Arial"/>
          <w:color w:val="000000" w:themeColor="text1"/>
          <w:sz w:val="160"/>
          <w:szCs w:val="160"/>
        </w:rPr>
      </w:pPr>
      <w:r w:rsidRPr="00785086">
        <w:rPr>
          <w:rFonts w:ascii="Arial" w:hAnsi="Arial" w:cs="Arial"/>
          <w:color w:val="000000" w:themeColor="text1"/>
          <w:sz w:val="96"/>
          <w:szCs w:val="96"/>
        </w:rPr>
        <w:t xml:space="preserve">How do year 5/6 pupils perceive emotional </w:t>
      </w:r>
      <w:r w:rsidR="00AC6FDF" w:rsidRPr="00785086">
        <w:rPr>
          <w:rFonts w:ascii="Arial" w:hAnsi="Arial" w:cs="Arial"/>
          <w:color w:val="000000" w:themeColor="text1"/>
          <w:sz w:val="96"/>
          <w:szCs w:val="96"/>
        </w:rPr>
        <w:t>check-ins</w:t>
      </w:r>
      <w:r w:rsidRPr="00785086">
        <w:rPr>
          <w:rFonts w:ascii="Arial" w:hAnsi="Arial" w:cs="Arial"/>
          <w:color w:val="000000" w:themeColor="text1"/>
          <w:sz w:val="96"/>
          <w:szCs w:val="96"/>
        </w:rPr>
        <w:t xml:space="preserve"> on pupil wellbeing?</w:t>
      </w:r>
    </w:p>
    <w:p w14:paraId="424796D8" w14:textId="77777777" w:rsidR="00396EEE" w:rsidRPr="00785086" w:rsidRDefault="00396EEE">
      <w:pPr>
        <w:rPr>
          <w:rFonts w:ascii="Arial" w:hAnsi="Arial" w:cs="Arial"/>
          <w:color w:val="000000" w:themeColor="text1"/>
          <w:sz w:val="72"/>
          <w:szCs w:val="72"/>
        </w:rPr>
      </w:pPr>
    </w:p>
    <w:p w14:paraId="7927960B" w14:textId="515246A0" w:rsidR="00396EEE" w:rsidRPr="00785086" w:rsidRDefault="00396EEE">
      <w:pPr>
        <w:rPr>
          <w:rFonts w:ascii="Arial" w:hAnsi="Arial" w:cs="Arial"/>
          <w:color w:val="000000" w:themeColor="text1"/>
          <w:sz w:val="72"/>
          <w:szCs w:val="72"/>
        </w:rPr>
      </w:pPr>
      <w:r w:rsidRPr="00785086">
        <w:rPr>
          <w:rFonts w:ascii="Arial" w:hAnsi="Arial" w:cs="Arial"/>
          <w:color w:val="000000" w:themeColor="text1"/>
          <w:sz w:val="72"/>
          <w:szCs w:val="72"/>
        </w:rPr>
        <w:t xml:space="preserve">2012008 </w:t>
      </w:r>
    </w:p>
    <w:p w14:paraId="3FC8A6D6" w14:textId="24EA3E17" w:rsidR="00CA74DC" w:rsidRPr="00785086" w:rsidRDefault="00396EEE">
      <w:pPr>
        <w:rPr>
          <w:rFonts w:ascii="Arial" w:hAnsi="Arial" w:cs="Arial"/>
          <w:color w:val="000000" w:themeColor="text1"/>
          <w:sz w:val="72"/>
          <w:szCs w:val="72"/>
        </w:rPr>
      </w:pPr>
      <w:r w:rsidRPr="00785086">
        <w:rPr>
          <w:rFonts w:ascii="Arial" w:hAnsi="Arial" w:cs="Arial"/>
          <w:color w:val="000000" w:themeColor="text1"/>
          <w:sz w:val="72"/>
          <w:szCs w:val="72"/>
        </w:rPr>
        <w:t>Lauren Greenhill</w:t>
      </w:r>
    </w:p>
    <w:p w14:paraId="495CCE00" w14:textId="0857A115" w:rsidR="00CA74DC" w:rsidRPr="00785086" w:rsidRDefault="00CA74DC">
      <w:pPr>
        <w:rPr>
          <w:rFonts w:ascii="Arial" w:hAnsi="Arial" w:cs="Arial"/>
          <w:color w:val="000000" w:themeColor="text1"/>
          <w:sz w:val="72"/>
          <w:szCs w:val="72"/>
        </w:rPr>
      </w:pPr>
    </w:p>
    <w:p w14:paraId="24CB5642" w14:textId="27B8DB39" w:rsidR="00CA74DC" w:rsidRPr="00785086" w:rsidRDefault="00CA74DC">
      <w:pPr>
        <w:rPr>
          <w:rFonts w:ascii="Arial" w:hAnsi="Arial" w:cs="Arial"/>
          <w:color w:val="000000" w:themeColor="text1"/>
          <w:sz w:val="72"/>
          <w:szCs w:val="72"/>
        </w:rPr>
      </w:pPr>
    </w:p>
    <w:p w14:paraId="79BEEADA" w14:textId="2C44A289" w:rsidR="00CA74DC" w:rsidRPr="00785086" w:rsidRDefault="00CA74DC">
      <w:pPr>
        <w:rPr>
          <w:rFonts w:ascii="Arial" w:hAnsi="Arial" w:cs="Arial"/>
          <w:color w:val="000000" w:themeColor="text1"/>
          <w:sz w:val="72"/>
          <w:szCs w:val="72"/>
        </w:rPr>
      </w:pPr>
    </w:p>
    <w:p w14:paraId="343744FD" w14:textId="61F93CE4" w:rsidR="0006042C" w:rsidRPr="00785086" w:rsidRDefault="0006042C">
      <w:pPr>
        <w:rPr>
          <w:rFonts w:ascii="Arial" w:hAnsi="Arial" w:cs="Arial"/>
          <w:color w:val="000000" w:themeColor="text1"/>
          <w:sz w:val="72"/>
          <w:szCs w:val="72"/>
        </w:rPr>
      </w:pPr>
    </w:p>
    <w:p w14:paraId="798DF1BD" w14:textId="77777777" w:rsidR="00785086" w:rsidRDefault="00785086">
      <w:pPr>
        <w:rPr>
          <w:rFonts w:ascii="Arial" w:hAnsi="Arial" w:cs="Arial"/>
          <w:color w:val="000000" w:themeColor="text1"/>
          <w:sz w:val="72"/>
          <w:szCs w:val="72"/>
        </w:rPr>
      </w:pPr>
    </w:p>
    <w:p w14:paraId="6B53CB93" w14:textId="77777777" w:rsidR="001B643A" w:rsidRDefault="001B643A">
      <w:pPr>
        <w:rPr>
          <w:rFonts w:ascii="Arial" w:hAnsi="Arial" w:cs="Arial"/>
          <w:color w:val="000000" w:themeColor="text1"/>
          <w:sz w:val="72"/>
          <w:szCs w:val="72"/>
        </w:rPr>
      </w:pPr>
    </w:p>
    <w:p w14:paraId="1FE00F53" w14:textId="4CB8DF1A" w:rsidR="00CA74DC" w:rsidRPr="00785086" w:rsidRDefault="00CA74DC">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Aim, focus and purpose of the research question/context? </w:t>
      </w:r>
    </w:p>
    <w:p w14:paraId="3CDC6A4F" w14:textId="13130048" w:rsidR="00DB12B1" w:rsidRPr="00785086" w:rsidRDefault="00DB12B1" w:rsidP="00DB12B1">
      <w:pPr>
        <w:rPr>
          <w:rFonts w:ascii="Arial" w:hAnsi="Arial" w:cs="Arial"/>
          <w:color w:val="000000" w:themeColor="text1"/>
        </w:rPr>
      </w:pPr>
      <w:r w:rsidRPr="00785086">
        <w:rPr>
          <w:rFonts w:ascii="Arial" w:hAnsi="Arial" w:cs="Arial"/>
          <w:color w:val="000000" w:themeColor="text1"/>
        </w:rPr>
        <w:br/>
        <w:t>The overarching aim of this assignment is to conduct an evaluative exploration into the perceptions held by Year 5/6 pupils regarding the practice of check-ins on pupil wellbeing within the educational setting. This entails a comprehensive examination of how students conceptualize, engage with, and assess the efficacy of check-in procedures designed to monitor and support the emotional and mental health needs of pupils.</w:t>
      </w:r>
    </w:p>
    <w:p w14:paraId="4683A8B3" w14:textId="77777777" w:rsidR="00DB12B1" w:rsidRPr="00785086" w:rsidRDefault="00DB12B1" w:rsidP="00DB12B1">
      <w:pPr>
        <w:rPr>
          <w:rFonts w:ascii="Arial" w:hAnsi="Arial" w:cs="Arial"/>
          <w:color w:val="000000" w:themeColor="text1"/>
        </w:rPr>
      </w:pPr>
    </w:p>
    <w:p w14:paraId="6EE732B0" w14:textId="38C9C8CF" w:rsidR="00DB12B1" w:rsidRPr="00785086" w:rsidRDefault="00DB12B1" w:rsidP="00DB12B1">
      <w:pPr>
        <w:rPr>
          <w:rFonts w:ascii="Arial" w:hAnsi="Arial" w:cs="Arial"/>
          <w:color w:val="000000" w:themeColor="text1"/>
        </w:rPr>
      </w:pPr>
      <w:r w:rsidRPr="00785086">
        <w:rPr>
          <w:rFonts w:ascii="Arial" w:hAnsi="Arial" w:cs="Arial"/>
          <w:color w:val="000000" w:themeColor="text1"/>
        </w:rPr>
        <w:t xml:space="preserve">The investigation seeks to delve into the multifaceted dimensions of this phenomenon by scrutinizing various aspects, including the frequency and </w:t>
      </w:r>
      <w:proofErr w:type="gramStart"/>
      <w:r w:rsidRPr="00785086">
        <w:rPr>
          <w:rFonts w:ascii="Arial" w:hAnsi="Arial" w:cs="Arial"/>
          <w:color w:val="000000" w:themeColor="text1"/>
        </w:rPr>
        <w:t>manner in which</w:t>
      </w:r>
      <w:proofErr w:type="gramEnd"/>
      <w:r w:rsidRPr="00785086">
        <w:rPr>
          <w:rFonts w:ascii="Arial" w:hAnsi="Arial" w:cs="Arial"/>
          <w:color w:val="000000" w:themeColor="text1"/>
        </w:rPr>
        <w:t xml:space="preserve"> check-ins are conducted, the extent to which they are perceived as beneficial or otherwise impactful by different stakeholders, and the potential areas for improvement identified by participants. Central to this endeavour is the recognition of the diverse perspectives and experiences that inform individuals' attitudes and opinions towards check-ins on pupil wellbeing.</w:t>
      </w:r>
    </w:p>
    <w:p w14:paraId="471B9C93" w14:textId="77777777" w:rsidR="00DB12B1" w:rsidRPr="00785086" w:rsidRDefault="00DB12B1" w:rsidP="00DB12B1">
      <w:pPr>
        <w:rPr>
          <w:rFonts w:ascii="Arial" w:hAnsi="Arial" w:cs="Arial"/>
          <w:color w:val="000000" w:themeColor="text1"/>
        </w:rPr>
      </w:pPr>
    </w:p>
    <w:p w14:paraId="092E30CF" w14:textId="7A378E45" w:rsidR="00604D9C" w:rsidRPr="00785086" w:rsidRDefault="00DB12B1" w:rsidP="00DB12B1">
      <w:pPr>
        <w:rPr>
          <w:rFonts w:ascii="Arial" w:hAnsi="Arial" w:cs="Arial"/>
          <w:color w:val="000000" w:themeColor="text1"/>
        </w:rPr>
      </w:pPr>
      <w:r w:rsidRPr="00785086">
        <w:rPr>
          <w:rFonts w:ascii="Arial" w:hAnsi="Arial" w:cs="Arial"/>
          <w:color w:val="000000" w:themeColor="text1"/>
        </w:rPr>
        <w:t xml:space="preserve">By adopting a holistic approach that encompasses the viewpoints of </w:t>
      </w:r>
      <w:r w:rsidR="00604D9C" w:rsidRPr="00785086">
        <w:rPr>
          <w:rFonts w:ascii="Arial" w:hAnsi="Arial" w:cs="Arial"/>
          <w:color w:val="000000" w:themeColor="text1"/>
        </w:rPr>
        <w:t>pupils</w:t>
      </w:r>
      <w:r w:rsidRPr="00785086">
        <w:rPr>
          <w:rFonts w:ascii="Arial" w:hAnsi="Arial" w:cs="Arial"/>
          <w:color w:val="000000" w:themeColor="text1"/>
        </w:rPr>
        <w:t>, this evaluation endeavours to generate insights into the effectiveness of current practices, identify potential challenges or barriers to their implementation, and illuminate opportunities for enhancing the provision of support for pupil wellbeing within the educational context. Moreover, it aims to contribute to the ongoing discourse surrounding the promotion of holistic approaches to education that prioritize the social, emotional, and mental health needs of students, thereby fostering a conducive learning environment that nurtures the overall wellbeing and development of all individuals involved.</w:t>
      </w:r>
    </w:p>
    <w:p w14:paraId="3292057C" w14:textId="77777777" w:rsidR="003470DC" w:rsidRPr="00785086" w:rsidRDefault="00604D9C" w:rsidP="00604D9C">
      <w:pPr>
        <w:rPr>
          <w:rFonts w:ascii="Arial" w:hAnsi="Arial" w:cs="Arial"/>
          <w:color w:val="000000" w:themeColor="text1"/>
        </w:rPr>
      </w:pPr>
      <w:r w:rsidRPr="00785086">
        <w:rPr>
          <w:rFonts w:ascii="Arial" w:hAnsi="Arial" w:cs="Arial"/>
          <w:color w:val="000000" w:themeColor="text1"/>
        </w:rPr>
        <w:br/>
        <w:t>The study was carried out in a composite Year 5/6 classroom within a mainstream primary school located in South Wales. Within this setting, one student in the class was identified as having Additional Learning Needs (ALN). Situated in an affluent geographical area, the school provided a context perceived to be supportive of academic achievement.</w:t>
      </w:r>
      <w:r w:rsidR="00593AA8" w:rsidRPr="00785086">
        <w:rPr>
          <w:rFonts w:ascii="Arial" w:hAnsi="Arial" w:cs="Arial"/>
          <w:color w:val="000000" w:themeColor="text1"/>
        </w:rPr>
        <w:t xml:space="preserve"> </w:t>
      </w:r>
    </w:p>
    <w:p w14:paraId="0919E582" w14:textId="0A240813" w:rsidR="003470DC" w:rsidRPr="00785086" w:rsidRDefault="003470DC" w:rsidP="00604D9C">
      <w:pPr>
        <w:rPr>
          <w:rFonts w:ascii="Arial" w:hAnsi="Arial" w:cs="Arial"/>
          <w:color w:val="000000" w:themeColor="text1"/>
        </w:rPr>
      </w:pPr>
      <w:r w:rsidRPr="00785086">
        <w:rPr>
          <w:rFonts w:ascii="Arial" w:hAnsi="Arial" w:cs="Arial"/>
          <w:color w:val="000000" w:themeColor="text1"/>
        </w:rPr>
        <w:br/>
      </w:r>
      <w:r w:rsidRPr="00785086">
        <w:rPr>
          <w:rFonts w:ascii="Arial" w:hAnsi="Arial" w:cs="Arial"/>
          <w:color w:val="000000" w:themeColor="text1"/>
          <w:shd w:val="clear" w:color="auto" w:fill="FFFFFF"/>
        </w:rPr>
        <w:t>The emotional check-in board utilized by the participants in this study featured pegs labelled with the children's names and four laminated pages representing different emotions. Children would approach the board and place their peg on one of the four laminated pages. The bottom four pages depicted coloured zones associated with specific emotions: the red zone encompassed feelings of anger, frustration, panic, loss of control, fear, and insecurity; followed by the blue zone, which included emotions such as sadness, fatigue, boredom, sickness, and withdrawal. The yellow zone comprised emotions like nervousness, excitement, worry, stress, confusion, and a lack of readiness to learn. Lastly, the green zone encompassed emotions of happiness, positivity, calmness, and focus.</w:t>
      </w:r>
      <w:r w:rsidRPr="00785086">
        <w:rPr>
          <w:rFonts w:ascii="Arial" w:hAnsi="Arial" w:cs="Arial"/>
          <w:color w:val="000000" w:themeColor="text1"/>
        </w:rPr>
        <w:t xml:space="preserve"> </w:t>
      </w:r>
    </w:p>
    <w:p w14:paraId="5DA1B093" w14:textId="77777777" w:rsidR="003470DC" w:rsidRPr="00785086" w:rsidRDefault="003470DC" w:rsidP="00604D9C">
      <w:pPr>
        <w:rPr>
          <w:rFonts w:ascii="Arial" w:hAnsi="Arial" w:cs="Arial"/>
          <w:color w:val="000000" w:themeColor="text1"/>
        </w:rPr>
      </w:pPr>
    </w:p>
    <w:p w14:paraId="4A4E9D22" w14:textId="418670C9" w:rsidR="00604D9C" w:rsidRPr="00785086" w:rsidRDefault="00604D9C" w:rsidP="00604D9C">
      <w:pPr>
        <w:rPr>
          <w:rFonts w:ascii="Arial" w:hAnsi="Arial" w:cs="Arial"/>
          <w:color w:val="000000" w:themeColor="text1"/>
        </w:rPr>
      </w:pPr>
      <w:r w:rsidRPr="00785086">
        <w:rPr>
          <w:rFonts w:ascii="Arial" w:hAnsi="Arial" w:cs="Arial"/>
          <w:color w:val="000000" w:themeColor="text1"/>
        </w:rPr>
        <w:t xml:space="preserve">My research question is ‘How do year 5/6 pupils perceive emotional check-ins on pupil </w:t>
      </w:r>
      <w:proofErr w:type="gramStart"/>
      <w:r w:rsidRPr="00785086">
        <w:rPr>
          <w:rFonts w:ascii="Arial" w:hAnsi="Arial" w:cs="Arial"/>
          <w:color w:val="000000" w:themeColor="text1"/>
        </w:rPr>
        <w:t>wellbeing?‘</w:t>
      </w:r>
      <w:proofErr w:type="gramEnd"/>
      <w:r w:rsidRPr="00785086">
        <w:rPr>
          <w:rFonts w:ascii="Arial" w:hAnsi="Arial" w:cs="Arial"/>
          <w:color w:val="000000" w:themeColor="text1"/>
        </w:rPr>
        <w:t xml:space="preserve">. </w:t>
      </w:r>
    </w:p>
    <w:p w14:paraId="5B15FA54" w14:textId="77777777" w:rsidR="00785086" w:rsidRDefault="00785086">
      <w:pPr>
        <w:rPr>
          <w:rFonts w:ascii="Arial" w:hAnsi="Arial" w:cs="Arial"/>
          <w:color w:val="000000" w:themeColor="text1"/>
        </w:rPr>
      </w:pPr>
    </w:p>
    <w:p w14:paraId="4450EA84" w14:textId="6FA2FECD" w:rsidR="00CA74DC" w:rsidRPr="00785086" w:rsidRDefault="00CA74DC">
      <w:pPr>
        <w:rPr>
          <w:rFonts w:ascii="Arial" w:hAnsi="Arial" w:cs="Arial"/>
          <w:b/>
          <w:bCs/>
          <w:color w:val="000000" w:themeColor="text1"/>
          <w:sz w:val="28"/>
          <w:szCs w:val="28"/>
        </w:rPr>
      </w:pPr>
      <w:r w:rsidRPr="00785086">
        <w:rPr>
          <w:rFonts w:ascii="Arial" w:hAnsi="Arial" w:cs="Arial"/>
          <w:b/>
          <w:bCs/>
          <w:color w:val="000000" w:themeColor="text1"/>
          <w:sz w:val="28"/>
          <w:szCs w:val="28"/>
        </w:rPr>
        <w:lastRenderedPageBreak/>
        <w:t xml:space="preserve">Overview of relevant literature </w:t>
      </w:r>
    </w:p>
    <w:p w14:paraId="60B4E98D" w14:textId="1770A8AE" w:rsidR="00FC73E1" w:rsidRPr="00785086" w:rsidRDefault="00FC73E1">
      <w:pPr>
        <w:rPr>
          <w:rFonts w:ascii="Arial" w:hAnsi="Arial" w:cs="Arial"/>
          <w:b/>
          <w:bCs/>
          <w:color w:val="000000" w:themeColor="text1"/>
          <w:sz w:val="28"/>
          <w:szCs w:val="28"/>
        </w:rPr>
      </w:pPr>
    </w:p>
    <w:p w14:paraId="613CCFA0" w14:textId="1409585D" w:rsidR="00ED6C13" w:rsidRPr="00785086" w:rsidRDefault="00ED6C13" w:rsidP="00ED6C13">
      <w:pPr>
        <w:rPr>
          <w:rFonts w:ascii="Arial" w:hAnsi="Arial" w:cs="Arial"/>
          <w:color w:val="000000" w:themeColor="text1"/>
        </w:rPr>
      </w:pPr>
      <w:r w:rsidRPr="00785086">
        <w:rPr>
          <w:rFonts w:ascii="Arial" w:hAnsi="Arial" w:cs="Arial"/>
          <w:color w:val="000000" w:themeColor="text1"/>
        </w:rPr>
        <w:t>In the context of government policy, the Welsh Government has provided its own definition of wellbeing within the framework of the Well-being of Future Generations (Wales) Act 2015. According to this legislation, wellbeing extends beyond individual happiness to encompass broader societal and environmental concerns (Welsh Government, 2015).</w:t>
      </w:r>
    </w:p>
    <w:p w14:paraId="1871944B" w14:textId="77777777" w:rsidR="00ED6C13" w:rsidRPr="00785086" w:rsidRDefault="00ED6C13" w:rsidP="00ED6C13">
      <w:pPr>
        <w:rPr>
          <w:rFonts w:ascii="Arial" w:hAnsi="Arial" w:cs="Arial"/>
          <w:color w:val="000000" w:themeColor="text1"/>
        </w:rPr>
      </w:pPr>
    </w:p>
    <w:p w14:paraId="74F6187F" w14:textId="5852B0AD" w:rsidR="00ED6C13" w:rsidRPr="00785086" w:rsidRDefault="00ED6C13" w:rsidP="00ED6C13">
      <w:pPr>
        <w:rPr>
          <w:rFonts w:ascii="Arial" w:hAnsi="Arial" w:cs="Arial"/>
          <w:color w:val="000000" w:themeColor="text1"/>
        </w:rPr>
      </w:pPr>
      <w:r w:rsidRPr="00785086">
        <w:rPr>
          <w:rFonts w:ascii="Arial" w:hAnsi="Arial" w:cs="Arial"/>
          <w:color w:val="000000" w:themeColor="text1"/>
        </w:rPr>
        <w:t>The Act outlines seven key wellbeing goals for Wales, reflecting a holistic approach to societal progress and development. These goals include fostering a prosperous and resilient economy, nurturing healthy and prosperous communities, striving for a more equal Wales, promoting a vibrant culture and a thriving Welsh language, embracing global responsibility, fostering resilience, and nurturing cohesive communities (Welsh Government, 2015).</w:t>
      </w:r>
    </w:p>
    <w:p w14:paraId="7750B5DC" w14:textId="77777777" w:rsidR="00ED6C13" w:rsidRPr="00785086" w:rsidRDefault="00ED6C13" w:rsidP="00ED6C13">
      <w:pPr>
        <w:rPr>
          <w:rFonts w:ascii="Arial" w:hAnsi="Arial" w:cs="Arial"/>
          <w:color w:val="000000" w:themeColor="text1"/>
        </w:rPr>
      </w:pPr>
    </w:p>
    <w:p w14:paraId="2016A524" w14:textId="77777777" w:rsidR="00ED6C13" w:rsidRPr="00785086" w:rsidRDefault="00ED6C13" w:rsidP="00ED6C13">
      <w:pPr>
        <w:rPr>
          <w:rFonts w:ascii="Arial" w:hAnsi="Arial" w:cs="Arial"/>
          <w:color w:val="000000" w:themeColor="text1"/>
        </w:rPr>
      </w:pPr>
      <w:r w:rsidRPr="00785086">
        <w:rPr>
          <w:rFonts w:ascii="Arial" w:hAnsi="Arial" w:cs="Arial"/>
          <w:color w:val="000000" w:themeColor="text1"/>
        </w:rPr>
        <w:t>The overarching aim of these wellbeing goals is to ensure the welfare and prosperity of both present and future generations in Wales. By addressing various aspects of social, economic, environmental, and cultural wellbeing, the legislation aims to promote sustainable development and improve overall conditions within Welsh society (Welsh Government, 2015). Through these comprehensive objectives, the Welsh Government seeks to create a more inclusive, equitable, and resilient society for all its citizens.</w:t>
      </w:r>
    </w:p>
    <w:p w14:paraId="0EE288CD" w14:textId="5A7767FD" w:rsidR="00805035" w:rsidRPr="00785086" w:rsidRDefault="00805035" w:rsidP="008006F7">
      <w:pPr>
        <w:rPr>
          <w:rFonts w:ascii="Arial" w:hAnsi="Arial" w:cs="Arial"/>
          <w:color w:val="000000" w:themeColor="text1"/>
          <w:shd w:val="clear" w:color="auto" w:fill="FFFFFF"/>
        </w:rPr>
      </w:pPr>
      <w:r w:rsidRPr="00785086">
        <w:rPr>
          <w:rFonts w:ascii="Arial" w:hAnsi="Arial" w:cs="Arial"/>
          <w:color w:val="000000" w:themeColor="text1"/>
        </w:rPr>
        <w:br/>
      </w:r>
      <w:r w:rsidRPr="00785086">
        <w:rPr>
          <w:rFonts w:ascii="Arial" w:hAnsi="Arial" w:cs="Arial"/>
          <w:color w:val="000000" w:themeColor="text1"/>
          <w:shd w:val="clear" w:color="auto" w:fill="FFFFFF"/>
        </w:rPr>
        <w:t>Prioriti</w:t>
      </w:r>
      <w:r w:rsidR="00000E2D">
        <w:rPr>
          <w:rFonts w:ascii="Arial" w:hAnsi="Arial" w:cs="Arial"/>
          <w:color w:val="000000" w:themeColor="text1"/>
          <w:shd w:val="clear" w:color="auto" w:fill="FFFFFF"/>
        </w:rPr>
        <w:t>s</w:t>
      </w:r>
      <w:r w:rsidRPr="00785086">
        <w:rPr>
          <w:rFonts w:ascii="Arial" w:hAnsi="Arial" w:cs="Arial"/>
          <w:color w:val="000000" w:themeColor="text1"/>
          <w:shd w:val="clear" w:color="auto" w:fill="FFFFFF"/>
        </w:rPr>
        <w:t>ing the wellbeing of children aged 9-11 is paramount as it significantly impacts their overall development and future outcomes. This age group experiences substantial social and emotional changes, making it crucial to focus on emotional intelligence, resilience, and positive coping strategies (Luthar, 2006</w:t>
      </w:r>
      <w:r w:rsidR="008E0303" w:rsidRPr="00785086">
        <w:rPr>
          <w:rFonts w:ascii="Arial" w:hAnsi="Arial" w:cs="Arial"/>
          <w:color w:val="000000" w:themeColor="text1"/>
          <w:shd w:val="clear" w:color="auto" w:fill="FFFFFF"/>
        </w:rPr>
        <w:t>)</w:t>
      </w:r>
      <w:r w:rsidRPr="00785086">
        <w:rPr>
          <w:rFonts w:ascii="Arial" w:hAnsi="Arial" w:cs="Arial"/>
          <w:color w:val="000000" w:themeColor="text1"/>
          <w:shd w:val="clear" w:color="auto" w:fill="FFFFFF"/>
        </w:rPr>
        <w:t xml:space="preserve"> By promoting wellbeing, educators can create an optimal learning environment that enhances academic success. Furthermore, interventions aimed at fostering wellbeing can help children develop </w:t>
      </w:r>
      <w:r w:rsidR="00C752D8" w:rsidRPr="00785086">
        <w:rPr>
          <w:rFonts w:ascii="Arial" w:hAnsi="Arial" w:cs="Arial"/>
          <w:color w:val="000000" w:themeColor="text1"/>
          <w:shd w:val="clear" w:color="auto" w:fill="FFFFFF"/>
        </w:rPr>
        <w:t>behavioural</w:t>
      </w:r>
      <w:r w:rsidRPr="00785086">
        <w:rPr>
          <w:rFonts w:ascii="Arial" w:hAnsi="Arial" w:cs="Arial"/>
          <w:color w:val="000000" w:themeColor="text1"/>
          <w:shd w:val="clear" w:color="auto" w:fill="FFFFFF"/>
        </w:rPr>
        <w:t xml:space="preserve"> regulation and self-control, empowering them to navigate challenges effectively (Roeser et al., 201</w:t>
      </w:r>
      <w:r w:rsidR="00A23218" w:rsidRPr="00785086">
        <w:rPr>
          <w:rFonts w:ascii="Arial" w:hAnsi="Arial" w:cs="Arial"/>
          <w:color w:val="000000" w:themeColor="text1"/>
          <w:shd w:val="clear" w:color="auto" w:fill="FFFFFF"/>
        </w:rPr>
        <w:t>2</w:t>
      </w:r>
      <w:r w:rsidRPr="00785086">
        <w:rPr>
          <w:rFonts w:ascii="Arial" w:hAnsi="Arial" w:cs="Arial"/>
          <w:color w:val="000000" w:themeColor="text1"/>
          <w:shd w:val="clear" w:color="auto" w:fill="FFFFFF"/>
        </w:rPr>
        <w:t xml:space="preserve">). Finally, building resilience during this period is crucial for adapting to change and overcoming obstacles, equipping children with the skills they need to thrive </w:t>
      </w:r>
      <w:r w:rsidR="00ED6C13" w:rsidRPr="00785086">
        <w:rPr>
          <w:rFonts w:ascii="Arial" w:hAnsi="Arial" w:cs="Arial"/>
          <w:color w:val="000000" w:themeColor="text1"/>
        </w:rPr>
        <w:t>(Cicchetti, 2016)</w:t>
      </w:r>
      <w:r w:rsidRPr="00785086">
        <w:rPr>
          <w:rFonts w:ascii="Arial" w:hAnsi="Arial" w:cs="Arial"/>
          <w:color w:val="000000" w:themeColor="text1"/>
          <w:shd w:val="clear" w:color="auto" w:fill="FFFFFF"/>
        </w:rPr>
        <w:t>.</w:t>
      </w:r>
    </w:p>
    <w:p w14:paraId="76CA8AAA" w14:textId="77777777" w:rsidR="008E0303" w:rsidRPr="00785086" w:rsidRDefault="008E0303" w:rsidP="008006F7">
      <w:pPr>
        <w:rPr>
          <w:rFonts w:ascii="Arial" w:hAnsi="Arial" w:cs="Arial"/>
          <w:color w:val="000000" w:themeColor="text1"/>
          <w:shd w:val="clear" w:color="auto" w:fill="FFFFFF"/>
        </w:rPr>
      </w:pPr>
    </w:p>
    <w:p w14:paraId="31CF7A06" w14:textId="7EAE0508" w:rsidR="00CA74DC" w:rsidRPr="00785086" w:rsidRDefault="008E0303" w:rsidP="008006F7">
      <w:pPr>
        <w:rPr>
          <w:rFonts w:ascii="Arial" w:hAnsi="Arial" w:cs="Arial"/>
          <w:color w:val="000000" w:themeColor="text1"/>
          <w:shd w:val="clear" w:color="auto" w:fill="FFFFFF"/>
        </w:rPr>
      </w:pPr>
      <w:r w:rsidRPr="00785086">
        <w:rPr>
          <w:rFonts w:ascii="Arial" w:hAnsi="Arial" w:cs="Arial"/>
          <w:color w:val="000000" w:themeColor="text1"/>
          <w:shd w:val="clear" w:color="auto" w:fill="FFFFFF"/>
        </w:rPr>
        <w:t>Extensive research indicates that students with higher levels of wellbeing often exhibit superior academic performance. Positive mental health and emotional stability have been consistently linked to enhanced concentration, motivation, and cognitive abilities, all crucial components for effective learning and academic achievement</w:t>
      </w:r>
      <w:r w:rsidR="00F32FC3" w:rsidRPr="00785086">
        <w:rPr>
          <w:rFonts w:ascii="Arial" w:hAnsi="Arial" w:cs="Arial"/>
          <w:color w:val="000000" w:themeColor="text1"/>
          <w:shd w:val="clear" w:color="auto" w:fill="FFFFFF"/>
        </w:rPr>
        <w:t xml:space="preserve"> </w:t>
      </w:r>
      <w:r w:rsidR="00F32FC3" w:rsidRPr="00785086">
        <w:rPr>
          <w:rFonts w:ascii="Arial" w:hAnsi="Arial" w:cs="Arial"/>
          <w:color w:val="000000" w:themeColor="text1"/>
        </w:rPr>
        <w:t>(Huppert and So, 2013)</w:t>
      </w:r>
      <w:r w:rsidRPr="00785086">
        <w:rPr>
          <w:rFonts w:ascii="Arial" w:hAnsi="Arial" w:cs="Arial"/>
          <w:color w:val="000000" w:themeColor="text1"/>
          <w:shd w:val="clear" w:color="auto" w:fill="FFFFFF"/>
        </w:rPr>
        <w:t>. Moreover, students who perceive psychological and emotional support within their educational environments are more inclined to actively engage in classroom activities, participate in discussions, and persevere through academic obstacles (Suldo &amp; Shaffer, 2008). Therefore, nurturing a positive and supportive school atmosphere that prioritizes student wellbeing can yield significant benefits for academic outcomes.</w:t>
      </w:r>
    </w:p>
    <w:p w14:paraId="750401C8" w14:textId="35C55BDB" w:rsidR="00F32FC3" w:rsidRPr="00785086" w:rsidRDefault="00F32FC3" w:rsidP="00F32FC3">
      <w:pPr>
        <w:rPr>
          <w:rFonts w:ascii="Arial" w:hAnsi="Arial" w:cs="Arial"/>
          <w:color w:val="000000" w:themeColor="text1"/>
        </w:rPr>
      </w:pPr>
    </w:p>
    <w:p w14:paraId="6200B6C6" w14:textId="740BAAAE" w:rsidR="00F32FC3" w:rsidRPr="00785086" w:rsidRDefault="00F32FC3" w:rsidP="00F32FC3">
      <w:pPr>
        <w:rPr>
          <w:rFonts w:ascii="Arial" w:hAnsi="Arial" w:cs="Arial"/>
          <w:color w:val="000000" w:themeColor="text1"/>
        </w:rPr>
      </w:pPr>
      <w:r w:rsidRPr="00785086">
        <w:rPr>
          <w:rFonts w:ascii="Arial" w:hAnsi="Arial" w:cs="Arial"/>
          <w:color w:val="000000" w:themeColor="text1"/>
        </w:rPr>
        <w:t xml:space="preserve">Social-Emotional Learning (SEL) theory underscores the significance of nurturing social and emotional competencies in children and adolescents. According to Durlak et al. (2011), emotional check-ins represent a practical application of SEL principles, providing students with structured opportunities to identify, understand, and regulate their emotions within the classroom environment. By incorporating SEL practices like </w:t>
      </w:r>
      <w:r w:rsidRPr="00785086">
        <w:rPr>
          <w:rFonts w:ascii="Arial" w:hAnsi="Arial" w:cs="Arial"/>
          <w:color w:val="000000" w:themeColor="text1"/>
        </w:rPr>
        <w:lastRenderedPageBreak/>
        <w:t>emotional check-ins into everyday routines, educators facilitate the development of crucial social and emotional skills, ultimately fostering improved wellbeing and academic achievement among students.</w:t>
      </w:r>
      <w:r w:rsidR="00412F16" w:rsidRPr="00785086">
        <w:rPr>
          <w:rFonts w:ascii="Arial" w:hAnsi="Arial" w:cs="Arial"/>
          <w:color w:val="000000" w:themeColor="text1"/>
        </w:rPr>
        <w:t xml:space="preserve"> (Durlak et al,2011) </w:t>
      </w:r>
    </w:p>
    <w:p w14:paraId="7B1E86BE" w14:textId="77777777" w:rsidR="00F32FC3" w:rsidRPr="00785086" w:rsidRDefault="00F32FC3" w:rsidP="00F32FC3">
      <w:pPr>
        <w:rPr>
          <w:rFonts w:ascii="Arial" w:hAnsi="Arial" w:cs="Arial"/>
          <w:color w:val="000000" w:themeColor="text1"/>
        </w:rPr>
      </w:pPr>
    </w:p>
    <w:p w14:paraId="5070AE68" w14:textId="645260D2" w:rsidR="00F32FC3" w:rsidRPr="00785086" w:rsidRDefault="00F32FC3" w:rsidP="00F32FC3">
      <w:pPr>
        <w:rPr>
          <w:rFonts w:ascii="Arial" w:hAnsi="Arial" w:cs="Arial"/>
          <w:color w:val="000000" w:themeColor="text1"/>
        </w:rPr>
      </w:pPr>
      <w:r w:rsidRPr="00785086">
        <w:rPr>
          <w:rFonts w:ascii="Arial" w:hAnsi="Arial" w:cs="Arial"/>
          <w:color w:val="000000" w:themeColor="text1"/>
        </w:rPr>
        <w:t>Attachment theory, as proposed by Bowlby (19</w:t>
      </w:r>
      <w:r w:rsidR="00412F16" w:rsidRPr="00785086">
        <w:rPr>
          <w:rFonts w:ascii="Arial" w:hAnsi="Arial" w:cs="Arial"/>
          <w:color w:val="000000" w:themeColor="text1"/>
        </w:rPr>
        <w:t>97</w:t>
      </w:r>
      <w:r w:rsidRPr="00785086">
        <w:rPr>
          <w:rFonts w:ascii="Arial" w:hAnsi="Arial" w:cs="Arial"/>
          <w:color w:val="000000" w:themeColor="text1"/>
        </w:rPr>
        <w:t>), highlights the profound influence of early caregiver relationships on individuals' social and emotional development. Emotional check-ins in educational settings serve as platforms for students to establish secure attachments with trusted adults, particularly teachers, who serve as sources of support and comfort. Through these interactions, emotional check-ins contribute to students' sense of safety, belonging, and emotional wellbeing within the classroom context, reinforcing the importance of relational connections in promoting positive developmental outcomes.</w:t>
      </w:r>
      <w:r w:rsidR="00412F16" w:rsidRPr="00785086">
        <w:rPr>
          <w:rFonts w:ascii="Arial" w:hAnsi="Arial" w:cs="Arial"/>
          <w:color w:val="000000" w:themeColor="text1"/>
        </w:rPr>
        <w:t xml:space="preserve"> (Bowlby, 1997) </w:t>
      </w:r>
    </w:p>
    <w:p w14:paraId="17676178" w14:textId="77777777" w:rsidR="00412F16" w:rsidRPr="00785086" w:rsidRDefault="00412F16" w:rsidP="00F32FC3">
      <w:pPr>
        <w:rPr>
          <w:rFonts w:ascii="Arial" w:hAnsi="Arial" w:cs="Arial"/>
          <w:color w:val="000000" w:themeColor="text1"/>
        </w:rPr>
      </w:pPr>
    </w:p>
    <w:p w14:paraId="0DDFBBE1" w14:textId="7412FA9A" w:rsidR="00F32FC3" w:rsidRPr="00785086" w:rsidRDefault="00F32FC3" w:rsidP="00F32FC3">
      <w:pPr>
        <w:rPr>
          <w:rFonts w:ascii="Arial" w:hAnsi="Arial" w:cs="Arial"/>
          <w:color w:val="000000" w:themeColor="text1"/>
        </w:rPr>
      </w:pPr>
      <w:r w:rsidRPr="00785086">
        <w:rPr>
          <w:rFonts w:ascii="Arial" w:hAnsi="Arial" w:cs="Arial"/>
          <w:color w:val="000000" w:themeColor="text1"/>
        </w:rPr>
        <w:t>Self-Determination Theory (SDT) emphasizes the role of intrinsic motivation, autonomy, and relatedness in facilitating optimal human functioning. Deci and Ryan (2000) suggest that emotional check-ins align with the principles of SDT by providing students with opportunities to express their emotions authentically, make choices about regulating their feelings, and connect with others in a supportive environment. By addressing students' psychological needs for autonomy, competence, and relatedness, emotional check-ins promote intrinsic motivation, engagement, and overall wellbeing, underscoring their value as a practical tool for enhancing students' socio-emotional development within educational settings.</w:t>
      </w:r>
      <w:r w:rsidR="00412F16" w:rsidRPr="00785086">
        <w:rPr>
          <w:rFonts w:ascii="Arial" w:hAnsi="Arial" w:cs="Arial"/>
          <w:color w:val="000000" w:themeColor="text1"/>
        </w:rPr>
        <w:t xml:space="preserve"> (Deci and Ryan, 2000)</w:t>
      </w:r>
    </w:p>
    <w:p w14:paraId="6F61A052" w14:textId="5B6FDDD5" w:rsidR="00F32FC3" w:rsidRPr="00785086" w:rsidRDefault="007B01A0" w:rsidP="00F32FC3">
      <w:pPr>
        <w:rPr>
          <w:rFonts w:ascii="Arial" w:hAnsi="Arial" w:cs="Arial"/>
          <w:color w:val="000000" w:themeColor="text1"/>
        </w:rPr>
      </w:pPr>
      <w:r w:rsidRPr="00785086">
        <w:rPr>
          <w:rFonts w:ascii="Arial" w:hAnsi="Arial" w:cs="Arial"/>
          <w:color w:val="000000" w:themeColor="text1"/>
        </w:rPr>
        <w:br/>
      </w:r>
      <w:r w:rsidRPr="00785086">
        <w:rPr>
          <w:rFonts w:ascii="Arial" w:hAnsi="Arial" w:cs="Arial"/>
          <w:color w:val="000000" w:themeColor="text1"/>
          <w:shd w:val="clear" w:color="auto" w:fill="FFFFFF"/>
        </w:rPr>
        <w:t>Emotional check-ins play a crucial role in promoting a positive classroom environment, as highlighted by Maslow (1943). By fostering a sense of safety and belonging, emotional check-ins create a foundation for positive wellbeing among students. Wentzel (1998) emphasizes that when students perceive their emotions as acknowledged and valued by teachers and peers, they are more likely to feel supported and accepted, leading to higher levels of psychological wellbeing. Additionally, emotional check-ins, as noted by Fredricks, Blumenfeld, and Paris (2004), provide opportunities for students to connect with others, share their experiences, and receive validation and support. These interactions contribute to the cultivation of a supportive and inclusive classroom climate, further enhancing student wellbeing.</w:t>
      </w:r>
    </w:p>
    <w:p w14:paraId="7873494D" w14:textId="77777777" w:rsidR="00412F16" w:rsidRPr="00785086" w:rsidRDefault="00412F16" w:rsidP="00412F16">
      <w:pPr>
        <w:pStyle w:val="z-BottomofForm"/>
        <w:jc w:val="left"/>
        <w:rPr>
          <w:color w:val="000000" w:themeColor="text1"/>
        </w:rPr>
      </w:pPr>
      <w:r w:rsidRPr="00785086">
        <w:rPr>
          <w:color w:val="000000" w:themeColor="text1"/>
        </w:rPr>
        <w:t>Bottom of Form</w:t>
      </w:r>
    </w:p>
    <w:p w14:paraId="5C1B5A68" w14:textId="6070F685" w:rsidR="001206CD" w:rsidRPr="00785086" w:rsidRDefault="007B01A0">
      <w:pPr>
        <w:rPr>
          <w:rFonts w:ascii="Arial" w:hAnsi="Arial" w:cs="Arial"/>
          <w:color w:val="000000" w:themeColor="text1"/>
        </w:rPr>
      </w:pPr>
      <w:r w:rsidRPr="00785086">
        <w:rPr>
          <w:rFonts w:ascii="Arial" w:hAnsi="Arial" w:cs="Arial"/>
          <w:color w:val="000000" w:themeColor="text1"/>
        </w:rPr>
        <w:br/>
      </w:r>
      <w:r w:rsidRPr="00785086">
        <w:rPr>
          <w:rFonts w:ascii="Arial" w:hAnsi="Arial" w:cs="Arial"/>
          <w:color w:val="000000" w:themeColor="text1"/>
          <w:shd w:val="clear" w:color="auto" w:fill="FFFFFF"/>
        </w:rPr>
        <w:t>Emotional check-ins are closely tied to the Curriculum for Wales, which prioritizes holistic education and fostering learners' emotional intelligence. The curriculum recognizes that education involves more than just academics and seeks to cultivate students who are emotionally resilient, socially skilled, and ready to succeed in a dynamic world. (Welsh Government, 2022)</w:t>
      </w:r>
    </w:p>
    <w:p w14:paraId="5665BC5B" w14:textId="235689BC" w:rsidR="001206CD" w:rsidRPr="00785086" w:rsidRDefault="001206CD">
      <w:pPr>
        <w:rPr>
          <w:rFonts w:ascii="Arial" w:hAnsi="Arial" w:cs="Arial"/>
          <w:color w:val="000000" w:themeColor="text1"/>
        </w:rPr>
      </w:pPr>
    </w:p>
    <w:p w14:paraId="3D07C23B" w14:textId="57BDACF8" w:rsidR="00CA74DC" w:rsidRPr="00785086" w:rsidRDefault="00CA74DC">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Explanation of case study </w:t>
      </w:r>
    </w:p>
    <w:p w14:paraId="0389C72A" w14:textId="17F7C694" w:rsidR="00CA74DC" w:rsidRPr="00785086" w:rsidRDefault="00CA74DC">
      <w:pPr>
        <w:rPr>
          <w:rFonts w:ascii="Arial" w:hAnsi="Arial" w:cs="Arial"/>
          <w:color w:val="000000" w:themeColor="text1"/>
        </w:rPr>
      </w:pPr>
    </w:p>
    <w:p w14:paraId="4D5DDCCB" w14:textId="77777777" w:rsidR="0006042C" w:rsidRPr="00785086" w:rsidRDefault="0006042C" w:rsidP="0006042C">
      <w:pPr>
        <w:rPr>
          <w:rFonts w:ascii="Arial" w:hAnsi="Arial" w:cs="Arial"/>
          <w:color w:val="000000" w:themeColor="text1"/>
        </w:rPr>
      </w:pPr>
      <w:r w:rsidRPr="00785086">
        <w:rPr>
          <w:rFonts w:ascii="Arial" w:hAnsi="Arial" w:cs="Arial"/>
          <w:color w:val="000000" w:themeColor="text1"/>
        </w:rPr>
        <w:t>Case study research is a qualitative research method that involves an in-depth and detailed examination of a single instance or a small number of cases within a real-life context (Yin, 2018). It aims to understand complex phenomena within their natural settings and is often used to explore issues where limited prior research exists or when the focus is on understanding the intricacies of a particular situation.</w:t>
      </w:r>
    </w:p>
    <w:p w14:paraId="156D8B33" w14:textId="694E9005" w:rsidR="0006042C" w:rsidRPr="00785086" w:rsidRDefault="0006042C" w:rsidP="0006042C">
      <w:pPr>
        <w:rPr>
          <w:rFonts w:ascii="Arial" w:hAnsi="Arial" w:cs="Arial"/>
          <w:color w:val="000000" w:themeColor="text1"/>
        </w:rPr>
      </w:pPr>
      <w:r w:rsidRPr="00785086">
        <w:rPr>
          <w:rFonts w:ascii="Arial" w:hAnsi="Arial" w:cs="Arial"/>
          <w:color w:val="000000" w:themeColor="text1"/>
        </w:rPr>
        <w:t xml:space="preserve">Case study research typically involves multiple sources of data, such as interviews, observations, documents, and artifacts, which are collected over an extended period </w:t>
      </w:r>
      <w:r w:rsidRPr="00785086">
        <w:rPr>
          <w:rFonts w:ascii="Arial" w:hAnsi="Arial" w:cs="Arial"/>
          <w:color w:val="000000" w:themeColor="text1"/>
        </w:rPr>
        <w:lastRenderedPageBreak/>
        <w:t>(Stake, 1995). Researchers immerse themselves in the context of the case to gather rich and comprehensive data, allowing for a nuanced understanding of the phenomenon under investigation. Case studies can take various forms, including descriptive, exploratory, explanatory, or instrumental, depending on the research objectives and the depth of analysis required (Creswell, 2013). They are commonly used in fields such as psychology, sociology, education, business, and medicine, among others.</w:t>
      </w:r>
    </w:p>
    <w:p w14:paraId="401762D0" w14:textId="6B89789E" w:rsidR="00363223" w:rsidRPr="00785086" w:rsidRDefault="00363223" w:rsidP="00363223">
      <w:pPr>
        <w:rPr>
          <w:rFonts w:ascii="Arial" w:hAnsi="Arial" w:cs="Arial"/>
          <w:color w:val="000000" w:themeColor="text1"/>
        </w:rPr>
      </w:pPr>
      <w:r w:rsidRPr="00785086">
        <w:rPr>
          <w:rFonts w:ascii="Arial" w:hAnsi="Arial" w:cs="Arial"/>
          <w:color w:val="000000" w:themeColor="text1"/>
        </w:rPr>
        <w:br/>
        <w:t>The case study approach offers strengths such as contextual understanding, flexibility, and theory development. Conducted within real-life contexts, case studies allow researchers to grasp phenomena within their natural settings, capturing the intricacies and subtleties of real-world dynamics (Stake, 1995). This contextual understanding enhances the validity and relevance of findings. Additionally, case study research provides flexibility to adapt to various research questions and settings, enabling researchers to employ diverse data collection methods and analytical techniques tailored to specific research objectives and contextual nuances (Merriam, 2009). Furthermore, case studies play a vital role in theory development by offering empirical evidence to support, refine, or challenge existing theoretical frameworks. Through detailed analysis of real-life cases, researchers can generate novel insights and hypotheses, advancing knowledge within their field (Eisenhardt, 1989).</w:t>
      </w:r>
    </w:p>
    <w:p w14:paraId="13E54082" w14:textId="77777777" w:rsidR="00363223" w:rsidRPr="00785086" w:rsidRDefault="00363223" w:rsidP="00363223">
      <w:pPr>
        <w:rPr>
          <w:rFonts w:ascii="Arial" w:hAnsi="Arial" w:cs="Arial"/>
          <w:color w:val="000000" w:themeColor="text1"/>
        </w:rPr>
      </w:pPr>
    </w:p>
    <w:p w14:paraId="5C3694E9" w14:textId="0EE21CF3" w:rsidR="00363223" w:rsidRPr="00785086" w:rsidRDefault="00363223" w:rsidP="00363223">
      <w:pPr>
        <w:rPr>
          <w:rFonts w:ascii="Arial" w:hAnsi="Arial" w:cs="Arial"/>
          <w:color w:val="000000" w:themeColor="text1"/>
        </w:rPr>
      </w:pPr>
      <w:r w:rsidRPr="00785086">
        <w:rPr>
          <w:rFonts w:ascii="Arial" w:hAnsi="Arial" w:cs="Arial"/>
          <w:color w:val="000000" w:themeColor="text1"/>
        </w:rPr>
        <w:t>However, the case study approach also comes with limitations. Findings from case studies may have limited generalizability due to their focus on specific cases, making it challenging to extrapolate findings to broader populations or contexts (Yin, 2018). Each case's uniqueness may constrain the applicability of findings beyond the studied context. Moreover, case study research is susceptible to researcher subjectivity and bias, particularly in data collection, interpretation, and analysis. Researchers' personal perspectives, preconceptions, and values may influence case selection, data collection methods, and interpretation of findings (Merriam, 2009). Additionally, case studies often demand significant time, resources, and effort, especially when collecting and analysing extensive qualitative data. Researchers must invest substantial time in establishing rapport with participants, gathering data, and conducting detailed analysis, making case studies resource-intensive endeavours (Stake, 1995). Furthermore, the unique and context-specific nature of case studies poses challenges for replication, unlike experimental or survey research, where replication is relatively straightforward (Eisenhardt, 1989). Each case's idiosyncratic nature may hinder replication efforts.</w:t>
      </w:r>
    </w:p>
    <w:p w14:paraId="7C1C7598" w14:textId="77777777" w:rsidR="00363223" w:rsidRPr="00785086" w:rsidRDefault="00363223" w:rsidP="00363223">
      <w:pPr>
        <w:rPr>
          <w:rFonts w:ascii="Arial" w:hAnsi="Arial" w:cs="Arial"/>
          <w:color w:val="000000" w:themeColor="text1"/>
        </w:rPr>
      </w:pPr>
    </w:p>
    <w:p w14:paraId="4C96D030" w14:textId="33693250" w:rsidR="003470DC" w:rsidRDefault="00363223">
      <w:pPr>
        <w:rPr>
          <w:rFonts w:ascii="Arial" w:hAnsi="Arial" w:cs="Arial"/>
          <w:color w:val="000000" w:themeColor="text1"/>
        </w:rPr>
      </w:pPr>
      <w:r w:rsidRPr="00785086">
        <w:rPr>
          <w:rFonts w:ascii="Arial" w:hAnsi="Arial" w:cs="Arial"/>
          <w:color w:val="000000" w:themeColor="text1"/>
        </w:rPr>
        <w:t>In conclusion, while case study research offers valuable insights, researchers should be mindful of its strengths and limitations, ensuring careful consideration and appropriate application in research endeavours.</w:t>
      </w:r>
    </w:p>
    <w:p w14:paraId="65BBEC98" w14:textId="77777777" w:rsidR="00037921" w:rsidRPr="00037921" w:rsidRDefault="00037921">
      <w:pPr>
        <w:rPr>
          <w:rFonts w:ascii="Arial" w:hAnsi="Arial" w:cs="Arial"/>
          <w:color w:val="000000" w:themeColor="text1"/>
        </w:rPr>
      </w:pPr>
    </w:p>
    <w:p w14:paraId="2736FFBE" w14:textId="0EB025E4" w:rsidR="001206CD" w:rsidRPr="00785086" w:rsidRDefault="007C2598">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Research methods </w:t>
      </w:r>
    </w:p>
    <w:p w14:paraId="68BA9A99" w14:textId="264E7D5D" w:rsidR="00DE5459" w:rsidRPr="00785086" w:rsidRDefault="00DE5459" w:rsidP="00DE5459">
      <w:pPr>
        <w:rPr>
          <w:rFonts w:ascii="Arial" w:hAnsi="Arial" w:cs="Arial"/>
          <w:color w:val="000000" w:themeColor="text1"/>
        </w:rPr>
      </w:pPr>
      <w:r w:rsidRPr="00785086">
        <w:rPr>
          <w:rFonts w:ascii="Arial" w:hAnsi="Arial" w:cs="Arial"/>
          <w:color w:val="000000" w:themeColor="text1"/>
        </w:rPr>
        <w:t xml:space="preserve"> </w:t>
      </w:r>
      <w:r w:rsidRPr="00785086">
        <w:rPr>
          <w:rFonts w:ascii="Arial" w:hAnsi="Arial" w:cs="Arial"/>
          <w:color w:val="000000" w:themeColor="text1"/>
        </w:rPr>
        <w:br/>
        <w:t xml:space="preserve">In this research endeavour, the utilization of questionnaires was selected as the primary methodological approach. Initially, the intent was to administer these questionnaires digitally, thereby ensuring anonymity among respondents. However, constraints in resource availability precluded this digital implementation, necessitating the administration of paper-based questionnaires instead. Despite this </w:t>
      </w:r>
      <w:r w:rsidRPr="00785086">
        <w:rPr>
          <w:rFonts w:ascii="Arial" w:hAnsi="Arial" w:cs="Arial"/>
          <w:color w:val="000000" w:themeColor="text1"/>
        </w:rPr>
        <w:lastRenderedPageBreak/>
        <w:t>shift, measures were taken to uphold anonymity, with participants refraining from disclosing their identities on the questionnaires. Moreover, a deliberate procedure was enacted wherein participants independently placed their completed questionnaires into a designated receptacle, thereby further safeguarding anonymity.</w:t>
      </w:r>
    </w:p>
    <w:p w14:paraId="2C2C16DD" w14:textId="77777777" w:rsidR="00DE5459" w:rsidRPr="00785086" w:rsidRDefault="00DE5459" w:rsidP="00DE5459">
      <w:pPr>
        <w:rPr>
          <w:rFonts w:ascii="Arial" w:hAnsi="Arial" w:cs="Arial"/>
          <w:color w:val="000000" w:themeColor="text1"/>
        </w:rPr>
      </w:pPr>
    </w:p>
    <w:p w14:paraId="59C9BEAA" w14:textId="1B045E10" w:rsidR="00DE5459" w:rsidRPr="00785086" w:rsidRDefault="00DE5459" w:rsidP="00DE5459">
      <w:pPr>
        <w:rPr>
          <w:rFonts w:ascii="Arial" w:hAnsi="Arial" w:cs="Arial"/>
          <w:color w:val="000000" w:themeColor="text1"/>
        </w:rPr>
      </w:pPr>
      <w:r w:rsidRPr="00785086">
        <w:rPr>
          <w:rFonts w:ascii="Arial" w:hAnsi="Arial" w:cs="Arial"/>
          <w:color w:val="000000" w:themeColor="text1"/>
        </w:rPr>
        <w:t>The study targeted Year 5/6 pupils and centred on the exploration of their perceptions regarding the implementation of an emotional check-in board. Through the administration of questionnaires, participants were encouraged to provide candid responses. Despite the transition to paper-based administration, meticulous efforts were undertaken to maintain the integrity of anonymity throughout the data collection process. Participants were assured of confidentiality, and steps were taken to minimize any potential breaches of privacy. By employing this methodological framework, the study aimed to glean nuanced insights into the efficacy and reception of emotional check-in practices among primary school students.</w:t>
      </w:r>
    </w:p>
    <w:p w14:paraId="72602C01" w14:textId="6E852599" w:rsidR="00DE5459" w:rsidRPr="00785086" w:rsidRDefault="00DE5459" w:rsidP="00DE5459">
      <w:pPr>
        <w:rPr>
          <w:rFonts w:ascii="Arial" w:hAnsi="Arial" w:cs="Arial"/>
          <w:color w:val="000000" w:themeColor="text1"/>
        </w:rPr>
      </w:pPr>
    </w:p>
    <w:p w14:paraId="33C1F23E" w14:textId="0DA4E9EF" w:rsidR="000C3D50" w:rsidRPr="00785086" w:rsidRDefault="00DE5459" w:rsidP="000C3D50">
      <w:pPr>
        <w:rPr>
          <w:rFonts w:ascii="Arial" w:hAnsi="Arial" w:cs="Arial"/>
          <w:color w:val="000000" w:themeColor="text1"/>
        </w:rPr>
      </w:pPr>
      <w:r w:rsidRPr="00785086">
        <w:rPr>
          <w:rFonts w:ascii="Arial" w:hAnsi="Arial" w:cs="Arial"/>
          <w:color w:val="000000" w:themeColor="text1"/>
        </w:rPr>
        <w:t xml:space="preserve">Research suggests that questionnaires are widely employed in various fields, including education, psychology, and social sciences, due to their versatility, efficiency, and ability to collect data from </w:t>
      </w:r>
      <w:proofErr w:type="gramStart"/>
      <w:r w:rsidRPr="00785086">
        <w:rPr>
          <w:rFonts w:ascii="Arial" w:hAnsi="Arial" w:cs="Arial"/>
          <w:color w:val="000000" w:themeColor="text1"/>
        </w:rPr>
        <w:t>a large number of</w:t>
      </w:r>
      <w:proofErr w:type="gramEnd"/>
      <w:r w:rsidRPr="00785086">
        <w:rPr>
          <w:rFonts w:ascii="Arial" w:hAnsi="Arial" w:cs="Arial"/>
          <w:color w:val="000000" w:themeColor="text1"/>
        </w:rPr>
        <w:t xml:space="preserve"> participants</w:t>
      </w:r>
      <w:r w:rsidR="00D15D43" w:rsidRPr="00785086">
        <w:rPr>
          <w:rFonts w:ascii="Arial" w:hAnsi="Arial" w:cs="Arial"/>
          <w:color w:val="000000" w:themeColor="text1"/>
        </w:rPr>
        <w:t xml:space="preserve"> (Dillman, Smyth and Christian, 2014)</w:t>
      </w:r>
      <w:r w:rsidRPr="00785086">
        <w:rPr>
          <w:rFonts w:ascii="Arial" w:hAnsi="Arial" w:cs="Arial"/>
          <w:color w:val="000000" w:themeColor="text1"/>
        </w:rPr>
        <w:t xml:space="preserve">. They offer a structured approach to data collection, allowing researchers to gather standardized responses to predefined questions, which can be </w:t>
      </w:r>
      <w:r w:rsidR="00000E2D" w:rsidRPr="00785086">
        <w:rPr>
          <w:rFonts w:ascii="Arial" w:hAnsi="Arial" w:cs="Arial"/>
          <w:color w:val="000000" w:themeColor="text1"/>
        </w:rPr>
        <w:t>analysed</w:t>
      </w:r>
      <w:r w:rsidRPr="00785086">
        <w:rPr>
          <w:rFonts w:ascii="Arial" w:hAnsi="Arial" w:cs="Arial"/>
          <w:color w:val="000000" w:themeColor="text1"/>
        </w:rPr>
        <w:t xml:space="preserve"> quantitatively (Babbie, 2016).</w:t>
      </w:r>
    </w:p>
    <w:p w14:paraId="2EE1F6F9" w14:textId="3276F929" w:rsidR="000C3D50" w:rsidRPr="00785086" w:rsidRDefault="000C3D50" w:rsidP="000C3D50">
      <w:pPr>
        <w:rPr>
          <w:rFonts w:ascii="Arial" w:hAnsi="Arial" w:cs="Arial"/>
          <w:color w:val="000000" w:themeColor="text1"/>
        </w:rPr>
      </w:pPr>
      <w:r w:rsidRPr="00785086">
        <w:rPr>
          <w:rFonts w:ascii="Arial" w:hAnsi="Arial" w:cs="Arial"/>
          <w:color w:val="000000" w:themeColor="text1"/>
        </w:rPr>
        <w:br/>
        <w:t>Moreover, research underscores the significance of questionnaire design in upholding the validity and reliability of collected data. Well-constructed questionnaires are characterized by clear, unambiguous inquiries, devoid of leading or biased language, and encompassing suitable response formats (Fowler, 2009). Pilot testing and validation procedures are also advocated to refine questionnaire items and ascertain their efficacy in measuring the intended constructs (DeVellis, 2016). Regrettably, due to time constraints, these protocols were not feasible in the present study, which, given its small-scale nature involving only 23 participants, led the researcher to deem them unnecessary.</w:t>
      </w:r>
    </w:p>
    <w:p w14:paraId="19415C0F" w14:textId="77777777" w:rsidR="000C3D50" w:rsidRPr="00785086" w:rsidRDefault="000C3D50" w:rsidP="000C3D50">
      <w:pPr>
        <w:rPr>
          <w:rFonts w:ascii="Arial" w:hAnsi="Arial" w:cs="Arial"/>
          <w:color w:val="000000" w:themeColor="text1"/>
        </w:rPr>
      </w:pPr>
    </w:p>
    <w:p w14:paraId="2DCC6874" w14:textId="3EAD7069" w:rsidR="000C3D50" w:rsidRPr="00785086" w:rsidRDefault="000C3D50" w:rsidP="000C3D50">
      <w:pPr>
        <w:rPr>
          <w:rFonts w:ascii="Arial" w:hAnsi="Arial" w:cs="Arial"/>
          <w:color w:val="000000" w:themeColor="text1"/>
        </w:rPr>
      </w:pPr>
      <w:r w:rsidRPr="00785086">
        <w:rPr>
          <w:rFonts w:ascii="Arial" w:hAnsi="Arial" w:cs="Arial"/>
          <w:color w:val="000000" w:themeColor="text1"/>
        </w:rPr>
        <w:t xml:space="preserve">Nonetheless, the literature also acknowledges inherent limitations associated with questionnaire-based inquiries. These encompass potential response biases, such as social desirability bias, where respondents may tailor their answers to align with perceived societal norms rather than reflecting genuine opinions or </w:t>
      </w:r>
      <w:r w:rsidR="00000E2D" w:rsidRPr="00785086">
        <w:rPr>
          <w:rFonts w:ascii="Arial" w:hAnsi="Arial" w:cs="Arial"/>
          <w:color w:val="000000" w:themeColor="text1"/>
        </w:rPr>
        <w:t>behaviour’s</w:t>
      </w:r>
      <w:r w:rsidRPr="00785086">
        <w:rPr>
          <w:rFonts w:ascii="Arial" w:hAnsi="Arial" w:cs="Arial"/>
          <w:color w:val="000000" w:themeColor="text1"/>
        </w:rPr>
        <w:t xml:space="preserve"> (Podsakoff et al., 2003). Concerns regarding this bias were acknowledged in the study, with the researcher expressing apprehension that participants might provide socially desirable responses. Consequently, measures were taken to emphasize the importance of honest responses and to ensure anonymity.</w:t>
      </w:r>
    </w:p>
    <w:p w14:paraId="63038208" w14:textId="77777777" w:rsidR="000C3D50" w:rsidRPr="00785086" w:rsidRDefault="000C3D50" w:rsidP="000C3D50">
      <w:pPr>
        <w:rPr>
          <w:rFonts w:ascii="Arial" w:hAnsi="Arial" w:cs="Arial"/>
          <w:color w:val="000000" w:themeColor="text1"/>
        </w:rPr>
      </w:pPr>
    </w:p>
    <w:p w14:paraId="15CFF43F" w14:textId="29FDD4F7" w:rsidR="000C3D50" w:rsidRPr="00785086" w:rsidRDefault="000C3D50" w:rsidP="000C3D50">
      <w:pPr>
        <w:rPr>
          <w:rFonts w:ascii="Arial" w:hAnsi="Arial" w:cs="Arial"/>
          <w:color w:val="000000" w:themeColor="text1"/>
        </w:rPr>
      </w:pPr>
      <w:r w:rsidRPr="00785086">
        <w:rPr>
          <w:rFonts w:ascii="Arial" w:hAnsi="Arial" w:cs="Arial"/>
          <w:color w:val="000000" w:themeColor="text1"/>
        </w:rPr>
        <w:t>Furthermore, questionnaire data may be susceptible to interpretation errors or misinterpretation by respondents, resulting in inaccurate or incomplete responses (Dillman et al., 2014). To mitigate this risk, the researcher predominantly utilized tick-box questions, see appendix A, aiming to facilitate straightforward interpretation and minimize potential errors.</w:t>
      </w:r>
    </w:p>
    <w:p w14:paraId="3FACB022" w14:textId="757072A2" w:rsidR="007C2598" w:rsidRDefault="007C2598" w:rsidP="007C2598">
      <w:pPr>
        <w:rPr>
          <w:rFonts w:ascii="Arial" w:hAnsi="Arial" w:cs="Arial"/>
          <w:b/>
          <w:bCs/>
          <w:color w:val="000000" w:themeColor="text1"/>
          <w:sz w:val="28"/>
          <w:szCs w:val="28"/>
        </w:rPr>
      </w:pPr>
    </w:p>
    <w:p w14:paraId="75EAB4DF" w14:textId="4829D150" w:rsidR="00037921" w:rsidRDefault="00037921" w:rsidP="007C2598">
      <w:pPr>
        <w:rPr>
          <w:rFonts w:ascii="Arial" w:hAnsi="Arial" w:cs="Arial"/>
          <w:b/>
          <w:bCs/>
          <w:color w:val="000000" w:themeColor="text1"/>
          <w:sz w:val="28"/>
          <w:szCs w:val="28"/>
        </w:rPr>
      </w:pPr>
    </w:p>
    <w:p w14:paraId="074FBF1C" w14:textId="77777777" w:rsidR="00037921" w:rsidRPr="00785086" w:rsidRDefault="00037921" w:rsidP="007C2598">
      <w:pPr>
        <w:rPr>
          <w:rFonts w:ascii="Arial" w:hAnsi="Arial" w:cs="Arial"/>
          <w:b/>
          <w:bCs/>
          <w:color w:val="000000" w:themeColor="text1"/>
          <w:sz w:val="28"/>
          <w:szCs w:val="28"/>
        </w:rPr>
      </w:pPr>
    </w:p>
    <w:p w14:paraId="51AFCBD1" w14:textId="543B02BD" w:rsidR="00E13744" w:rsidRPr="00785086" w:rsidRDefault="007C2598">
      <w:pPr>
        <w:rPr>
          <w:rFonts w:ascii="Arial" w:hAnsi="Arial" w:cs="Arial"/>
          <w:b/>
          <w:bCs/>
          <w:color w:val="000000" w:themeColor="text1"/>
          <w:sz w:val="28"/>
          <w:szCs w:val="28"/>
        </w:rPr>
      </w:pPr>
      <w:r w:rsidRPr="00785086">
        <w:rPr>
          <w:rFonts w:ascii="Arial" w:hAnsi="Arial" w:cs="Arial"/>
          <w:b/>
          <w:bCs/>
          <w:color w:val="000000" w:themeColor="text1"/>
          <w:sz w:val="28"/>
          <w:szCs w:val="28"/>
        </w:rPr>
        <w:lastRenderedPageBreak/>
        <w:t xml:space="preserve">Data presentation and analysis method </w:t>
      </w:r>
    </w:p>
    <w:p w14:paraId="5E509397" w14:textId="77777777" w:rsidR="007378DB" w:rsidRPr="00785086" w:rsidRDefault="007378DB" w:rsidP="007378DB">
      <w:pPr>
        <w:rPr>
          <w:rFonts w:ascii="Arial" w:hAnsi="Arial" w:cs="Arial"/>
          <w:color w:val="000000" w:themeColor="text1"/>
        </w:rPr>
      </w:pPr>
    </w:p>
    <w:p w14:paraId="2544EE8F" w14:textId="608ADF44" w:rsidR="007378DB" w:rsidRPr="00785086" w:rsidRDefault="007378DB" w:rsidP="007378DB">
      <w:pPr>
        <w:rPr>
          <w:rFonts w:ascii="Arial" w:hAnsi="Arial" w:cs="Arial"/>
          <w:color w:val="000000" w:themeColor="text1"/>
        </w:rPr>
      </w:pPr>
      <w:r w:rsidRPr="00785086">
        <w:rPr>
          <w:rFonts w:ascii="Arial" w:hAnsi="Arial" w:cs="Arial"/>
          <w:color w:val="000000" w:themeColor="text1"/>
        </w:rPr>
        <w:t>The researcher acknowledges the paramount importance of effective data visualization in conveying the results of the research study comprehensively and intelligibly. To achieve this, a multifaceted approach incorporating various visual aids such as graphs, pie charts, and pictograms will be employed. By integrating these diverse visual elements, the researcher aims to enrich the presentation of the gathered data, facilitating a deeper understanding and analysis by the intended audience.</w:t>
      </w:r>
    </w:p>
    <w:p w14:paraId="4AA42332" w14:textId="77777777" w:rsidR="007378DB" w:rsidRPr="00785086" w:rsidRDefault="007378DB" w:rsidP="007378DB">
      <w:pPr>
        <w:rPr>
          <w:rFonts w:ascii="Arial" w:hAnsi="Arial" w:cs="Arial"/>
          <w:color w:val="000000" w:themeColor="text1"/>
        </w:rPr>
      </w:pPr>
    </w:p>
    <w:p w14:paraId="6080AF1A" w14:textId="4035BF67" w:rsidR="007378DB" w:rsidRPr="00785086" w:rsidRDefault="007378DB" w:rsidP="007378DB">
      <w:pPr>
        <w:rPr>
          <w:rFonts w:ascii="Arial" w:hAnsi="Arial" w:cs="Arial"/>
          <w:color w:val="000000" w:themeColor="text1"/>
        </w:rPr>
      </w:pPr>
      <w:r w:rsidRPr="00785086">
        <w:rPr>
          <w:rFonts w:ascii="Arial" w:hAnsi="Arial" w:cs="Arial"/>
          <w:color w:val="000000" w:themeColor="text1"/>
        </w:rPr>
        <w:t>Graphs, including both bar graphs and line graphs, will serve as powerful tools for visually representing numerical data and highlighting trends and patterns observed within the dataset. As suggested by Bryman (2016), the utilization of graphs allows for the clear and concise depiction of quantitative information, enabling viewers to discern relationships and fluctuations in the data with ease. Through the strategic use of colour, scale, and labelling, the researcher endeavours to create visually compelling graphs that effectively communicate key findings and insights derived from the research.</w:t>
      </w:r>
    </w:p>
    <w:p w14:paraId="134BDDDB" w14:textId="77777777" w:rsidR="007378DB" w:rsidRPr="00785086" w:rsidRDefault="007378DB" w:rsidP="007378DB">
      <w:pPr>
        <w:rPr>
          <w:rFonts w:ascii="Arial" w:hAnsi="Arial" w:cs="Arial"/>
          <w:color w:val="000000" w:themeColor="text1"/>
        </w:rPr>
      </w:pPr>
    </w:p>
    <w:p w14:paraId="43CA5967" w14:textId="51C947DA" w:rsidR="007378DB" w:rsidRPr="00785086" w:rsidRDefault="007378DB" w:rsidP="007378DB">
      <w:pPr>
        <w:rPr>
          <w:rFonts w:ascii="Arial" w:hAnsi="Arial" w:cs="Arial"/>
          <w:color w:val="000000" w:themeColor="text1"/>
        </w:rPr>
      </w:pPr>
      <w:r w:rsidRPr="00785086">
        <w:rPr>
          <w:rFonts w:ascii="Arial" w:hAnsi="Arial" w:cs="Arial"/>
          <w:color w:val="000000" w:themeColor="text1"/>
        </w:rPr>
        <w:t xml:space="preserve">In addition to graphs, pie charts will be employed to illustrate proportions and percentages, offering a visually intuitive representation of the distribution of variables within the dataset. Drawing from the insights of Field (2013), pie charts provide a succinct overview of categorical data, enabling viewers to grasp the relative significance of different components within the dataset </w:t>
      </w:r>
      <w:proofErr w:type="gramStart"/>
      <w:r w:rsidRPr="00785086">
        <w:rPr>
          <w:rFonts w:ascii="Arial" w:hAnsi="Arial" w:cs="Arial"/>
          <w:color w:val="000000" w:themeColor="text1"/>
        </w:rPr>
        <w:t>at a glance</w:t>
      </w:r>
      <w:proofErr w:type="gramEnd"/>
      <w:r w:rsidRPr="00785086">
        <w:rPr>
          <w:rFonts w:ascii="Arial" w:hAnsi="Arial" w:cs="Arial"/>
          <w:color w:val="000000" w:themeColor="text1"/>
        </w:rPr>
        <w:t>. By organizing data into distinct segments and employing contrasting colours or patterns, the researcher seeks to enhance the clarity and accessibility of information presented in the pie charts, facilitating rapid interpretation and comparison of data subsets.</w:t>
      </w:r>
    </w:p>
    <w:p w14:paraId="5DD55869" w14:textId="77777777" w:rsidR="007378DB" w:rsidRPr="00785086" w:rsidRDefault="007378DB" w:rsidP="007378DB">
      <w:pPr>
        <w:rPr>
          <w:rFonts w:ascii="Arial" w:hAnsi="Arial" w:cs="Arial"/>
          <w:color w:val="000000" w:themeColor="text1"/>
        </w:rPr>
      </w:pPr>
    </w:p>
    <w:p w14:paraId="44D49FE8" w14:textId="4F06B1AC" w:rsidR="007378DB" w:rsidRPr="00785086" w:rsidRDefault="007378DB" w:rsidP="007378DB">
      <w:pPr>
        <w:rPr>
          <w:rFonts w:ascii="Arial" w:hAnsi="Arial" w:cs="Arial"/>
          <w:color w:val="000000" w:themeColor="text1"/>
        </w:rPr>
      </w:pPr>
      <w:r w:rsidRPr="00785086">
        <w:rPr>
          <w:rFonts w:ascii="Arial" w:hAnsi="Arial" w:cs="Arial"/>
          <w:color w:val="000000" w:themeColor="text1"/>
        </w:rPr>
        <w:t>Furthermore, the researcher will incorporate pictograms as a means of conveying complex information in an easily understandable format. Building upon the principles outlined by Tufte (2001), pictograms offer simplified visual representations of data using images or symbols, making them particularly effective for communicating abstract or multifaceted concepts. By selecting appropriate icons or symbols and arranging them in a logical and coherent manner, the researcher endeavours to create visually engaging pictograms that elucidate key insights and trends within the dataset, thereby enhancing the audience's comprehension and retention of information.</w:t>
      </w:r>
    </w:p>
    <w:p w14:paraId="49277CFB" w14:textId="77777777" w:rsidR="007378DB" w:rsidRPr="00785086" w:rsidRDefault="007378DB" w:rsidP="007378DB">
      <w:pPr>
        <w:rPr>
          <w:rFonts w:ascii="Arial" w:hAnsi="Arial" w:cs="Arial"/>
          <w:color w:val="000000" w:themeColor="text1"/>
        </w:rPr>
      </w:pPr>
    </w:p>
    <w:p w14:paraId="2C0758CE" w14:textId="77777777" w:rsidR="007378DB" w:rsidRPr="00785086" w:rsidRDefault="007378DB" w:rsidP="007378DB">
      <w:pPr>
        <w:rPr>
          <w:rFonts w:ascii="Arial" w:hAnsi="Arial" w:cs="Arial"/>
          <w:color w:val="000000" w:themeColor="text1"/>
        </w:rPr>
      </w:pPr>
      <w:r w:rsidRPr="00785086">
        <w:rPr>
          <w:rFonts w:ascii="Arial" w:hAnsi="Arial" w:cs="Arial"/>
          <w:color w:val="000000" w:themeColor="text1"/>
        </w:rPr>
        <w:t>Ultimately, by harnessing the collective power of graphs, pie charts, and pictograms, the researcher aims to enhance the accessibility and clarity of the research findings, enabling comprehensive interpretation and analysis by the intended audience. As advocated by Few (2004), the strategic integration of diverse visual elements fosters a more engaging and impactful presentation of data, empowering viewers to extract meaningful insights and draw informed conclusions from the research outcomes.</w:t>
      </w:r>
    </w:p>
    <w:p w14:paraId="08A892B4" w14:textId="5DADD2D9" w:rsidR="007378DB" w:rsidRPr="00785086" w:rsidRDefault="007378DB" w:rsidP="007378DB">
      <w:pPr>
        <w:rPr>
          <w:rFonts w:ascii="Arial" w:hAnsi="Arial" w:cs="Arial"/>
          <w:color w:val="000000" w:themeColor="text1"/>
        </w:rPr>
      </w:pPr>
    </w:p>
    <w:p w14:paraId="481E647A" w14:textId="19634EDF" w:rsidR="00785086" w:rsidRDefault="00785086">
      <w:pPr>
        <w:rPr>
          <w:rFonts w:ascii="Arial" w:hAnsi="Arial" w:cs="Arial"/>
          <w:color w:val="000000" w:themeColor="text1"/>
        </w:rPr>
      </w:pPr>
    </w:p>
    <w:p w14:paraId="11D56F3F" w14:textId="44197A23" w:rsidR="00037921" w:rsidRDefault="00037921">
      <w:pPr>
        <w:rPr>
          <w:rFonts w:ascii="Arial" w:hAnsi="Arial" w:cs="Arial"/>
          <w:color w:val="000000" w:themeColor="text1"/>
        </w:rPr>
      </w:pPr>
    </w:p>
    <w:p w14:paraId="206F57AD" w14:textId="6A833BD8" w:rsidR="00037921" w:rsidRDefault="00037921">
      <w:pPr>
        <w:rPr>
          <w:rFonts w:ascii="Arial" w:hAnsi="Arial" w:cs="Arial"/>
          <w:color w:val="000000" w:themeColor="text1"/>
        </w:rPr>
      </w:pPr>
    </w:p>
    <w:p w14:paraId="479BCFEB" w14:textId="3F844D47" w:rsidR="00037921" w:rsidRDefault="00037921">
      <w:pPr>
        <w:rPr>
          <w:rFonts w:ascii="Arial" w:hAnsi="Arial" w:cs="Arial"/>
          <w:color w:val="000000" w:themeColor="text1"/>
        </w:rPr>
      </w:pPr>
    </w:p>
    <w:p w14:paraId="51956DA4" w14:textId="77777777" w:rsidR="00037921" w:rsidRDefault="00037921">
      <w:pPr>
        <w:rPr>
          <w:rFonts w:ascii="Arial" w:hAnsi="Arial" w:cs="Arial"/>
          <w:color w:val="000000" w:themeColor="text1"/>
        </w:rPr>
      </w:pPr>
    </w:p>
    <w:p w14:paraId="63BCF7BA" w14:textId="6C9C060A" w:rsidR="00CA74DC" w:rsidRPr="00785086" w:rsidRDefault="00CA74DC">
      <w:pPr>
        <w:rPr>
          <w:rFonts w:ascii="Arial" w:hAnsi="Arial" w:cs="Arial"/>
          <w:b/>
          <w:bCs/>
          <w:color w:val="000000" w:themeColor="text1"/>
          <w:sz w:val="28"/>
          <w:szCs w:val="28"/>
        </w:rPr>
      </w:pPr>
      <w:r w:rsidRPr="00785086">
        <w:rPr>
          <w:rFonts w:ascii="Arial" w:hAnsi="Arial" w:cs="Arial"/>
          <w:b/>
          <w:bCs/>
          <w:color w:val="000000" w:themeColor="text1"/>
          <w:sz w:val="28"/>
          <w:szCs w:val="28"/>
        </w:rPr>
        <w:lastRenderedPageBreak/>
        <w:t>Ethic</w:t>
      </w:r>
      <w:r w:rsidR="00037921">
        <w:rPr>
          <w:rFonts w:ascii="Arial" w:hAnsi="Arial" w:cs="Arial"/>
          <w:b/>
          <w:bCs/>
          <w:color w:val="000000" w:themeColor="text1"/>
          <w:sz w:val="28"/>
          <w:szCs w:val="28"/>
        </w:rPr>
        <w:t>s</w:t>
      </w:r>
      <w:r w:rsidRPr="00785086">
        <w:rPr>
          <w:rFonts w:ascii="Arial" w:hAnsi="Arial" w:cs="Arial"/>
          <w:b/>
          <w:bCs/>
          <w:color w:val="000000" w:themeColor="text1"/>
          <w:sz w:val="28"/>
          <w:szCs w:val="28"/>
        </w:rPr>
        <w:t xml:space="preserve"> considerations </w:t>
      </w:r>
    </w:p>
    <w:p w14:paraId="05DE9D3C" w14:textId="77777777" w:rsidR="001206CD" w:rsidRPr="00785086" w:rsidRDefault="001206CD">
      <w:pPr>
        <w:rPr>
          <w:rFonts w:ascii="Arial" w:hAnsi="Arial" w:cs="Arial"/>
          <w:color w:val="000000" w:themeColor="text1"/>
        </w:rPr>
      </w:pPr>
    </w:p>
    <w:p w14:paraId="7E82283E" w14:textId="01718B04" w:rsidR="001206CD" w:rsidRPr="00785086" w:rsidRDefault="001206CD">
      <w:pPr>
        <w:rPr>
          <w:rFonts w:ascii="Arial" w:hAnsi="Arial" w:cs="Arial"/>
          <w:color w:val="000000" w:themeColor="text1"/>
          <w:shd w:val="clear" w:color="auto" w:fill="FFFFFF"/>
        </w:rPr>
      </w:pPr>
      <w:r w:rsidRPr="00785086">
        <w:rPr>
          <w:rFonts w:ascii="Arial" w:hAnsi="Arial" w:cs="Arial"/>
          <w:color w:val="000000" w:themeColor="text1"/>
          <w:shd w:val="clear" w:color="auto" w:fill="FFFFFF"/>
        </w:rPr>
        <w:t xml:space="preserve">In the context of educational research, ethics are the moral principles that guide behaviour and decision-making. When writing this research paper, the researcher will consider ethics at every stage of the process. This includes how data is gathered, findings are presented, and results are interpreted. Ethical considerations may involve obtaining informed consent from participants, ensuring confidentiality, avoiding plagiarism, citing sources accurately, and disclosing any conflicts of interest. By incorporating ethical practices into the research, the researcher upholds the principles of honesty, respect, and fairness that are vital to the academic community and the advancement of knowledge. </w:t>
      </w:r>
    </w:p>
    <w:p w14:paraId="39CE58D3" w14:textId="52173A4B" w:rsidR="00DF2BF5" w:rsidRPr="00037921" w:rsidRDefault="00DF2BF5" w:rsidP="00DF2BF5">
      <w:pPr>
        <w:rPr>
          <w:rFonts w:ascii="Arial" w:hAnsi="Arial" w:cs="Arial"/>
          <w:color w:val="000000" w:themeColor="text1"/>
        </w:rPr>
      </w:pPr>
      <w:r w:rsidRPr="00785086">
        <w:rPr>
          <w:rFonts w:ascii="Arial" w:hAnsi="Arial" w:cs="Arial"/>
          <w:color w:val="000000" w:themeColor="text1"/>
        </w:rPr>
        <w:br/>
        <w:t xml:space="preserve">The researcher obtained ethical approval, as outlined in the UWTSD Research Ethics &amp; Integrity Code of Practice. Appropriate advice was sought if there were any doubts regarding ethical implications or data protection in the research. Anonymity and confidentiality of participants were maintained by concealing their identities in all research documents. The principles of privacy were adhered to, respecting the expectations of individuals who had entrusted their information. Unforeseen ethical implications that arose during the research process were addressed, and the researcher was prepared to resubmit the project if the nature of the research changed. Data </w:t>
      </w:r>
      <w:r w:rsidRPr="00037921">
        <w:rPr>
          <w:rFonts w:ascii="Arial" w:hAnsi="Arial" w:cs="Arial"/>
          <w:color w:val="000000" w:themeColor="text1"/>
        </w:rPr>
        <w:t>protection legislation was familiarized with to ensure the confidentiality of the data provided by participants.</w:t>
      </w:r>
    </w:p>
    <w:p w14:paraId="3C325CB6" w14:textId="54081313" w:rsidR="00DF2BF5" w:rsidRPr="00037921" w:rsidRDefault="00DF2BF5" w:rsidP="00DF2BF5">
      <w:pPr>
        <w:rPr>
          <w:rFonts w:ascii="Arial" w:hAnsi="Arial" w:cs="Arial"/>
          <w:color w:val="000000" w:themeColor="text1"/>
        </w:rPr>
      </w:pPr>
      <w:r w:rsidRPr="00037921">
        <w:rPr>
          <w:rFonts w:ascii="Arial" w:hAnsi="Arial" w:cs="Arial"/>
          <w:color w:val="000000" w:themeColor="text1"/>
        </w:rPr>
        <w:t xml:space="preserve">The pre-eminent ethical driver of privacy in western societies was considered, and the protection of participants' rights was prioritized. </w:t>
      </w:r>
      <w:r w:rsidR="00037921" w:rsidRPr="00037921">
        <w:rPr>
          <w:rFonts w:ascii="Arial" w:hAnsi="Arial" w:cs="Arial"/>
        </w:rPr>
        <w:t>(UWTSD, 2022)</w:t>
      </w:r>
    </w:p>
    <w:p w14:paraId="16929BE8" w14:textId="2E08D4A7" w:rsidR="006A65F9" w:rsidRPr="00785086" w:rsidRDefault="00450650">
      <w:pPr>
        <w:rPr>
          <w:rFonts w:ascii="Arial" w:hAnsi="Arial" w:cs="Arial"/>
          <w:color w:val="000000" w:themeColor="text1"/>
          <w:shd w:val="clear" w:color="auto" w:fill="FFFFFF"/>
        </w:rPr>
      </w:pPr>
      <w:r w:rsidRPr="00785086">
        <w:rPr>
          <w:rFonts w:ascii="Arial" w:hAnsi="Arial" w:cs="Arial"/>
          <w:color w:val="000000" w:themeColor="text1"/>
        </w:rPr>
        <w:br/>
        <w:t xml:space="preserve">Trust and responsibility were essential elements in the relationship between researcher and researched. The researcher accepted responsibility for their actions and prioritized the wellbeing and development of participants. The implications of the research on individuals who might be identifiable through their relationship with the researcher or other participants were considered. In some cases, consent needed to be sought from these individuals. Researchers had </w:t>
      </w:r>
      <w:r w:rsidRPr="00627E97">
        <w:rPr>
          <w:rFonts w:ascii="Arial" w:hAnsi="Arial" w:cs="Arial"/>
          <w:color w:val="000000" w:themeColor="text1"/>
        </w:rPr>
        <w:t xml:space="preserve">responsibilities to sponsors, clients, and stakeholders in the research as stated in the </w:t>
      </w:r>
      <w:r w:rsidR="00627E97" w:rsidRPr="00627E97">
        <w:rPr>
          <w:rFonts w:ascii="Arial" w:hAnsi="Arial" w:cs="Arial"/>
          <w:color w:val="000000" w:themeColor="text1"/>
        </w:rPr>
        <w:t xml:space="preserve">BERA guidelines </w:t>
      </w:r>
      <w:r w:rsidR="00627E97" w:rsidRPr="00627E97">
        <w:rPr>
          <w:rFonts w:ascii="Arial" w:hAnsi="Arial" w:cs="Arial"/>
        </w:rPr>
        <w:t>(British Educational Research Association, 2024</w:t>
      </w:r>
      <w:proofErr w:type="gramStart"/>
      <w:r w:rsidR="00627E97" w:rsidRPr="00627E97">
        <w:rPr>
          <w:rFonts w:ascii="Arial" w:hAnsi="Arial" w:cs="Arial"/>
        </w:rPr>
        <w:t>),</w:t>
      </w:r>
      <w:r w:rsidRPr="00627E97">
        <w:rPr>
          <w:rFonts w:ascii="Arial" w:hAnsi="Arial" w:cs="Arial"/>
          <w:color w:val="000000" w:themeColor="text1"/>
        </w:rPr>
        <w:t>this</w:t>
      </w:r>
      <w:proofErr w:type="gramEnd"/>
      <w:r w:rsidRPr="00627E97">
        <w:rPr>
          <w:rFonts w:ascii="Arial" w:hAnsi="Arial" w:cs="Arial"/>
          <w:color w:val="000000" w:themeColor="text1"/>
        </w:rPr>
        <w:t xml:space="preserve"> links closely to the </w:t>
      </w:r>
      <w:r w:rsidR="00C72F73" w:rsidRPr="00627E97">
        <w:rPr>
          <w:rFonts w:ascii="Arial" w:hAnsi="Arial" w:cs="Arial"/>
          <w:color w:val="000000" w:themeColor="text1"/>
          <w:shd w:val="clear" w:color="auto" w:fill="FFFFFF"/>
        </w:rPr>
        <w:t>UNCRC article 12</w:t>
      </w:r>
      <w:r w:rsidRPr="00627E97">
        <w:rPr>
          <w:rFonts w:ascii="Arial" w:hAnsi="Arial" w:cs="Arial"/>
          <w:color w:val="000000" w:themeColor="text1"/>
          <w:shd w:val="clear" w:color="auto" w:fill="FFFFFF"/>
        </w:rPr>
        <w:t xml:space="preserve"> of the rights of the child</w:t>
      </w:r>
      <w:r w:rsidR="00C72F73" w:rsidRPr="00627E97">
        <w:rPr>
          <w:rFonts w:ascii="Arial" w:hAnsi="Arial" w:cs="Arial"/>
          <w:color w:val="000000" w:themeColor="text1"/>
          <w:shd w:val="clear" w:color="auto" w:fill="FFFFFF"/>
        </w:rPr>
        <w:t xml:space="preserve">, </w:t>
      </w:r>
      <w:r w:rsidR="00AF3FA5" w:rsidRPr="00627E97">
        <w:rPr>
          <w:rFonts w:ascii="Arial" w:hAnsi="Arial" w:cs="Arial"/>
          <w:color w:val="000000" w:themeColor="text1"/>
          <w:shd w:val="clear" w:color="auto" w:fill="FFFFFF"/>
        </w:rPr>
        <w:t>‘</w:t>
      </w:r>
      <w:r w:rsidR="00C72F73" w:rsidRPr="00627E97">
        <w:rPr>
          <w:rFonts w:ascii="Arial" w:hAnsi="Arial" w:cs="Arial"/>
          <w:color w:val="000000" w:themeColor="text1"/>
          <w:shd w:val="clear" w:color="auto" w:fill="FFFFFF"/>
        </w:rPr>
        <w:t>Every child has the right to express their views on matters that affect them, and for these views to be taken into consideration</w:t>
      </w:r>
      <w:r w:rsidR="00AF3FA5" w:rsidRPr="00627E97">
        <w:rPr>
          <w:rFonts w:ascii="Arial" w:hAnsi="Arial" w:cs="Arial"/>
          <w:color w:val="000000" w:themeColor="text1"/>
          <w:shd w:val="clear" w:color="auto" w:fill="FFFFFF"/>
        </w:rPr>
        <w:t>’</w:t>
      </w:r>
      <w:r w:rsidR="00627E97" w:rsidRPr="00627E97">
        <w:rPr>
          <w:rFonts w:ascii="Arial" w:hAnsi="Arial" w:cs="Arial"/>
          <w:color w:val="000000" w:themeColor="text1"/>
          <w:shd w:val="clear" w:color="auto" w:fill="FFFFFF"/>
        </w:rPr>
        <w:t xml:space="preserve"> </w:t>
      </w:r>
      <w:r w:rsidR="00627E97" w:rsidRPr="00627E97">
        <w:rPr>
          <w:rFonts w:ascii="Arial" w:hAnsi="Arial" w:cs="Arial"/>
        </w:rPr>
        <w:t>(United Nations, 1989)</w:t>
      </w:r>
    </w:p>
    <w:p w14:paraId="7010B87A" w14:textId="77777777" w:rsidR="001206CD" w:rsidRPr="00785086" w:rsidRDefault="001206CD">
      <w:pPr>
        <w:rPr>
          <w:rFonts w:ascii="Arial" w:hAnsi="Arial" w:cs="Arial"/>
          <w:color w:val="000000" w:themeColor="text1"/>
        </w:rPr>
      </w:pPr>
    </w:p>
    <w:p w14:paraId="582E91EA" w14:textId="7EFC925B" w:rsidR="00CA74DC" w:rsidRPr="00785086" w:rsidRDefault="00CA74DC">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Results/analysis of results/ discussion </w:t>
      </w:r>
    </w:p>
    <w:p w14:paraId="3701ABE2" w14:textId="77777777" w:rsidR="0046111B" w:rsidRPr="00785086" w:rsidRDefault="0046111B">
      <w:pPr>
        <w:rPr>
          <w:rFonts w:ascii="Arial" w:hAnsi="Arial" w:cs="Arial"/>
          <w:b/>
          <w:bCs/>
          <w:color w:val="000000" w:themeColor="text1"/>
          <w:sz w:val="28"/>
          <w:szCs w:val="28"/>
        </w:rPr>
      </w:pPr>
    </w:p>
    <w:p w14:paraId="663628A5" w14:textId="77777777" w:rsidR="00027A6A" w:rsidRPr="00785086" w:rsidRDefault="00027A6A" w:rsidP="00027A6A">
      <w:pPr>
        <w:rPr>
          <w:rFonts w:ascii="Arial" w:hAnsi="Arial" w:cs="Arial"/>
          <w:color w:val="000000" w:themeColor="text1"/>
        </w:rPr>
      </w:pPr>
      <w:r w:rsidRPr="00785086">
        <w:rPr>
          <w:rFonts w:ascii="Arial" w:hAnsi="Arial" w:cs="Arial"/>
          <w:color w:val="000000" w:themeColor="text1"/>
        </w:rPr>
        <w:t>Here are the findings derived from a research study conducted in a Year 5/6 mainstream classroom situated in South Wales, focusing on observations and questionnaire responses obtained from a cohort of 29 children, one of whom had been diagnosed with Additional Learning Needs (ALN). The data were collected on a day when 27 children were present, with 23 of them having provided consent to participate in the study.</w:t>
      </w:r>
    </w:p>
    <w:p w14:paraId="46C22F69" w14:textId="77777777" w:rsidR="00027A6A" w:rsidRPr="00785086" w:rsidRDefault="00027A6A" w:rsidP="00027A6A">
      <w:pPr>
        <w:rPr>
          <w:rFonts w:ascii="Arial" w:hAnsi="Arial" w:cs="Arial"/>
          <w:color w:val="000000" w:themeColor="text1"/>
        </w:rPr>
      </w:pPr>
    </w:p>
    <w:p w14:paraId="22A1B772" w14:textId="6C6BB8C2" w:rsidR="00027A6A" w:rsidRPr="00785086" w:rsidRDefault="00027A6A" w:rsidP="00027A6A">
      <w:pPr>
        <w:rPr>
          <w:rFonts w:ascii="Arial" w:hAnsi="Arial" w:cs="Arial"/>
          <w:color w:val="000000" w:themeColor="text1"/>
        </w:rPr>
      </w:pPr>
      <w:r w:rsidRPr="00785086">
        <w:rPr>
          <w:rFonts w:ascii="Arial" w:hAnsi="Arial" w:cs="Arial"/>
          <w:color w:val="000000" w:themeColor="text1"/>
        </w:rPr>
        <w:t>Among the respondents, 16 children indicated their utilization of the emotional check-in board, while 6 reported non-</w:t>
      </w:r>
      <w:proofErr w:type="gramStart"/>
      <w:r w:rsidRPr="00785086">
        <w:rPr>
          <w:rFonts w:ascii="Arial" w:hAnsi="Arial" w:cs="Arial"/>
          <w:color w:val="000000" w:themeColor="text1"/>
        </w:rPr>
        <w:t>utili</w:t>
      </w:r>
      <w:r w:rsidR="00000E2D">
        <w:rPr>
          <w:rFonts w:ascii="Arial" w:hAnsi="Arial" w:cs="Arial"/>
          <w:color w:val="000000" w:themeColor="text1"/>
        </w:rPr>
        <w:t>s</w:t>
      </w:r>
      <w:r w:rsidRPr="00785086">
        <w:rPr>
          <w:rFonts w:ascii="Arial" w:hAnsi="Arial" w:cs="Arial"/>
          <w:color w:val="000000" w:themeColor="text1"/>
        </w:rPr>
        <w:t>ation</w:t>
      </w:r>
      <w:proofErr w:type="gramEnd"/>
      <w:r w:rsidRPr="00785086">
        <w:rPr>
          <w:rFonts w:ascii="Arial" w:hAnsi="Arial" w:cs="Arial"/>
          <w:color w:val="000000" w:themeColor="text1"/>
        </w:rPr>
        <w:t xml:space="preserve">, with one child occasionally engaging with it. Notably, 16 children mentioned using the board for both positive and negative emotions, while 6 stated usages exclusively for happiness. Only 2 children claimed </w:t>
      </w:r>
      <w:r w:rsidRPr="00785086">
        <w:rPr>
          <w:rFonts w:ascii="Arial" w:hAnsi="Arial" w:cs="Arial"/>
          <w:color w:val="000000" w:themeColor="text1"/>
        </w:rPr>
        <w:lastRenderedPageBreak/>
        <w:t>daily utilization, whereas 12 reported doing so on most days, and 8 acknowledged hardly ever using it, with one explicitly stating "never."</w:t>
      </w:r>
    </w:p>
    <w:p w14:paraId="31076443" w14:textId="77777777" w:rsidR="00027A6A" w:rsidRPr="00785086" w:rsidRDefault="00027A6A" w:rsidP="00027A6A">
      <w:pPr>
        <w:rPr>
          <w:rFonts w:ascii="Arial" w:hAnsi="Arial" w:cs="Arial"/>
          <w:color w:val="000000" w:themeColor="text1"/>
        </w:rPr>
      </w:pPr>
    </w:p>
    <w:p w14:paraId="039E1BA3" w14:textId="77777777" w:rsidR="00027A6A" w:rsidRPr="00785086" w:rsidRDefault="00027A6A" w:rsidP="00027A6A">
      <w:pPr>
        <w:rPr>
          <w:rFonts w:ascii="Arial" w:hAnsi="Arial" w:cs="Arial"/>
          <w:color w:val="000000" w:themeColor="text1"/>
        </w:rPr>
      </w:pPr>
      <w:r w:rsidRPr="00785086">
        <w:rPr>
          <w:rFonts w:ascii="Arial" w:hAnsi="Arial" w:cs="Arial"/>
          <w:color w:val="000000" w:themeColor="text1"/>
        </w:rPr>
        <w:t>In terms of perceived usefulness, 13 children affirmed the utility of the emotional check-in board, while 10 expressed the contrary view. Regarding teacher-initiated check-ins prompted by children indicating negative emotions on the board, 10 children confirmed such engagements, 3 reported occasional instances, and 10 stated no occurrences. Notably, some respondents mentioned peer-initiated check-ins as substitutes for teacher interactions.</w:t>
      </w:r>
    </w:p>
    <w:p w14:paraId="6396DFA7" w14:textId="77777777" w:rsidR="00027A6A" w:rsidRPr="00785086" w:rsidRDefault="00027A6A" w:rsidP="00027A6A">
      <w:pPr>
        <w:rPr>
          <w:rFonts w:ascii="Arial" w:hAnsi="Arial" w:cs="Arial"/>
          <w:color w:val="000000" w:themeColor="text1"/>
        </w:rPr>
      </w:pPr>
    </w:p>
    <w:p w14:paraId="2E0F06A6" w14:textId="77777777" w:rsidR="00027A6A" w:rsidRPr="00785086" w:rsidRDefault="00027A6A" w:rsidP="00027A6A">
      <w:pPr>
        <w:rPr>
          <w:rFonts w:ascii="Arial" w:hAnsi="Arial" w:cs="Arial"/>
          <w:color w:val="000000" w:themeColor="text1"/>
        </w:rPr>
      </w:pPr>
      <w:r w:rsidRPr="00785086">
        <w:rPr>
          <w:rFonts w:ascii="Arial" w:hAnsi="Arial" w:cs="Arial"/>
          <w:color w:val="000000" w:themeColor="text1"/>
        </w:rPr>
        <w:t>Regarding the sensible use of the emotional check-in board, opinions were divided, with 12 children affirming its sensible application and 11 dissenting. Furthermore, when queried about using the board specifically during periods of sadness or anger, responses varied, with 3 indicating consistent usage, 5 reporting non-utilization, and 15 citing occasional engagement.</w:t>
      </w:r>
    </w:p>
    <w:p w14:paraId="117EE73F" w14:textId="77777777" w:rsidR="00027A6A" w:rsidRPr="00785086" w:rsidRDefault="00027A6A" w:rsidP="00027A6A">
      <w:pPr>
        <w:rPr>
          <w:rFonts w:ascii="Arial" w:hAnsi="Arial" w:cs="Arial"/>
          <w:color w:val="000000" w:themeColor="text1"/>
        </w:rPr>
      </w:pPr>
    </w:p>
    <w:p w14:paraId="4C7A26AA" w14:textId="582D8EDB" w:rsidR="00027A6A" w:rsidRPr="00785086" w:rsidRDefault="00027A6A" w:rsidP="00027A6A">
      <w:pPr>
        <w:rPr>
          <w:rFonts w:ascii="Arial" w:hAnsi="Arial" w:cs="Arial"/>
          <w:color w:val="000000" w:themeColor="text1"/>
        </w:rPr>
      </w:pPr>
      <w:r w:rsidRPr="00785086">
        <w:rPr>
          <w:rFonts w:ascii="Arial" w:hAnsi="Arial" w:cs="Arial"/>
          <w:color w:val="000000" w:themeColor="text1"/>
        </w:rPr>
        <w:t>Suggestions for improvement included expanding the range of emotions represented on the board, incorporating teacher-initiated check-ins, facilitating private review of children's emotional expressions by the teacher, and addressing potential reluctance among children to openly share their feelings.</w:t>
      </w:r>
    </w:p>
    <w:p w14:paraId="66CE55B3" w14:textId="14BAB4AF" w:rsidR="00593AA8" w:rsidRPr="00785086" w:rsidRDefault="00593AA8" w:rsidP="00027A6A">
      <w:pPr>
        <w:rPr>
          <w:rFonts w:ascii="Arial" w:hAnsi="Arial" w:cs="Arial"/>
          <w:color w:val="000000" w:themeColor="text1"/>
        </w:rPr>
      </w:pPr>
    </w:p>
    <w:p w14:paraId="523715EE" w14:textId="2675D32C" w:rsidR="0032763B" w:rsidRDefault="0032763B" w:rsidP="0032763B">
      <w:pPr>
        <w:rPr>
          <w:rFonts w:ascii="Arial" w:hAnsi="Arial" w:cs="Arial"/>
          <w:color w:val="000000" w:themeColor="text1"/>
        </w:rPr>
      </w:pPr>
      <w:r w:rsidRPr="00785086">
        <w:rPr>
          <w:rFonts w:ascii="Arial" w:hAnsi="Arial" w:cs="Arial"/>
          <w:color w:val="000000" w:themeColor="text1"/>
        </w:rPr>
        <w:t xml:space="preserve"> The findings of the research study conducted in a Year 5/6 mainstream classroom in South Wales provide valuable insights into the practical application and effectiveness of emotional check-ins, aligning with the theoretical underpinnings discussed in the literature review. The utili</w:t>
      </w:r>
      <w:r w:rsidR="00000E2D">
        <w:rPr>
          <w:rFonts w:ascii="Arial" w:hAnsi="Arial" w:cs="Arial"/>
          <w:color w:val="000000" w:themeColor="text1"/>
        </w:rPr>
        <w:t>s</w:t>
      </w:r>
      <w:r w:rsidRPr="00785086">
        <w:rPr>
          <w:rFonts w:ascii="Arial" w:hAnsi="Arial" w:cs="Arial"/>
          <w:color w:val="000000" w:themeColor="text1"/>
        </w:rPr>
        <w:t>ation of the emotional check-in board by a significant portion of the cohort underscores its relevance in facilitating social-emotional development and wellbeing among students, in line with the principles of Social-Emotional Learning (SEL) theory (Durlak et al., 2011). The varying degrees of engagement reported by the children, from daily usage to infrequent utilization</w:t>
      </w:r>
      <w:r w:rsidR="00D37720">
        <w:rPr>
          <w:rFonts w:ascii="Arial" w:hAnsi="Arial" w:cs="Arial"/>
          <w:color w:val="000000" w:themeColor="text1"/>
        </w:rPr>
        <w:t xml:space="preserve"> as shown in pie chart below</w:t>
      </w:r>
      <w:r w:rsidRPr="00785086">
        <w:rPr>
          <w:rFonts w:ascii="Arial" w:hAnsi="Arial" w:cs="Arial"/>
          <w:color w:val="000000" w:themeColor="text1"/>
        </w:rPr>
        <w:t>, highlight</w:t>
      </w:r>
      <w:r w:rsidR="00D37720">
        <w:rPr>
          <w:rFonts w:ascii="Arial" w:hAnsi="Arial" w:cs="Arial"/>
          <w:color w:val="000000" w:themeColor="text1"/>
        </w:rPr>
        <w:t>s</w:t>
      </w:r>
      <w:r w:rsidRPr="00785086">
        <w:rPr>
          <w:rFonts w:ascii="Arial" w:hAnsi="Arial" w:cs="Arial"/>
          <w:color w:val="000000" w:themeColor="text1"/>
        </w:rPr>
        <w:t xml:space="preserve"> the individual differences in how students perceive and interact with emotional check-ins, reflecting the diverse emotional needs and preferences within the classroom environment (Deci and Ryan, 2000).</w:t>
      </w:r>
    </w:p>
    <w:p w14:paraId="00869249" w14:textId="45A6B39D" w:rsidR="00D37720" w:rsidRDefault="00D37720" w:rsidP="0032763B">
      <w:pPr>
        <w:rPr>
          <w:rFonts w:ascii="Arial" w:hAnsi="Arial" w:cs="Arial"/>
          <w:color w:val="000000" w:themeColor="text1"/>
        </w:rPr>
      </w:pPr>
    </w:p>
    <w:p w14:paraId="2745779D" w14:textId="2F0A7E5B" w:rsidR="00D37720" w:rsidRPr="00785086" w:rsidRDefault="00D37720" w:rsidP="0032763B">
      <w:pPr>
        <w:rPr>
          <w:rFonts w:ascii="Arial" w:hAnsi="Arial" w:cs="Arial"/>
          <w:color w:val="000000" w:themeColor="text1"/>
        </w:rPr>
      </w:pPr>
      <w:r>
        <w:rPr>
          <w:noProof/>
        </w:rPr>
        <w:drawing>
          <wp:inline distT="0" distB="0" distL="0" distR="0" wp14:anchorId="409E2500" wp14:editId="3E8DD0A9">
            <wp:extent cx="3950534" cy="29631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3959619" cy="2969933"/>
                    </a:xfrm>
                    <a:prstGeom prst="rect">
                      <a:avLst/>
                    </a:prstGeom>
                  </pic:spPr>
                </pic:pic>
              </a:graphicData>
            </a:graphic>
          </wp:inline>
        </w:drawing>
      </w:r>
    </w:p>
    <w:p w14:paraId="426A3CD2" w14:textId="77777777" w:rsidR="007378DB" w:rsidRPr="00785086" w:rsidRDefault="007378DB" w:rsidP="0032763B">
      <w:pPr>
        <w:rPr>
          <w:rFonts w:ascii="Arial" w:hAnsi="Arial" w:cs="Arial"/>
          <w:color w:val="000000" w:themeColor="text1"/>
        </w:rPr>
      </w:pPr>
    </w:p>
    <w:p w14:paraId="26512C0C" w14:textId="77777777" w:rsidR="0032763B" w:rsidRPr="00785086" w:rsidRDefault="0032763B" w:rsidP="0032763B">
      <w:pPr>
        <w:rPr>
          <w:rFonts w:ascii="Arial" w:hAnsi="Arial" w:cs="Arial"/>
          <w:color w:val="000000" w:themeColor="text1"/>
        </w:rPr>
      </w:pPr>
      <w:r w:rsidRPr="00785086">
        <w:rPr>
          <w:rFonts w:ascii="Arial" w:hAnsi="Arial" w:cs="Arial"/>
          <w:color w:val="000000" w:themeColor="text1"/>
        </w:rPr>
        <w:t>Moreover, the research findings shed light on the perceived usefulness of emotional check-ins among students, with a substantial number affirming its utility in expressing and regulating their emotions. This aligns with the core tenets of Self-Determination Theory (SDT), which emphasizes the importance of autonomy and relatedness in fostering intrinsic motivation and psychological wellbeing (Deci and Ryan, 2000). By providing students with opportunities to authentically express their emotions and connect with others in a supportive environment, emotional check-ins not only contribute to their socio-emotional development but also promote a sense of belonging and engagement within the classroom community (Maslow, 1943; Fredricks et al., 2004).</w:t>
      </w:r>
    </w:p>
    <w:p w14:paraId="052A2C3E" w14:textId="77777777" w:rsidR="00027A6A" w:rsidRPr="00785086" w:rsidRDefault="00027A6A" w:rsidP="0032763B">
      <w:pPr>
        <w:rPr>
          <w:rFonts w:ascii="Arial" w:hAnsi="Arial" w:cs="Arial"/>
          <w:color w:val="000000" w:themeColor="text1"/>
        </w:rPr>
      </w:pPr>
    </w:p>
    <w:p w14:paraId="17C85C9A" w14:textId="3A87B13C" w:rsidR="001206CD" w:rsidRPr="00785086" w:rsidRDefault="007378DB">
      <w:pPr>
        <w:rPr>
          <w:rFonts w:ascii="Arial" w:hAnsi="Arial" w:cs="Arial"/>
          <w:color w:val="000000" w:themeColor="text1"/>
        </w:rPr>
      </w:pPr>
      <w:r w:rsidRPr="00785086">
        <w:rPr>
          <w:rFonts w:ascii="Arial" w:hAnsi="Arial" w:cs="Arial"/>
          <w:color w:val="000000" w:themeColor="text1"/>
        </w:rPr>
        <w:t>Furthermore, by incorporating emotional check-ins into classroom practices, educators can address the overarching goals of the Curriculum for Wales, which seeks to cultivate learners who are emotionally resilient, socially skilled, and prepared for the challenges of a rapidly changing world. By promoting emotional intelligence and self-awareness through initiatives such as emotional check-ins, educators contribute to the holistic development of students, enabling them to become healthy, confident individuals capable of navigating complex social and emotional landscapes. Thus, the integration of emotional check-ins aligns not only with the theoretical underpinnings of SEL and SDT but also with the broader objectives of educational practice outlined in the Curriculum for Wales. (Welsh Government, 2022)</w:t>
      </w:r>
    </w:p>
    <w:p w14:paraId="04697652" w14:textId="77777777" w:rsidR="001206CD" w:rsidRPr="00785086" w:rsidRDefault="001206CD">
      <w:pPr>
        <w:rPr>
          <w:rFonts w:ascii="Arial" w:hAnsi="Arial" w:cs="Arial"/>
          <w:color w:val="000000" w:themeColor="text1"/>
        </w:rPr>
      </w:pPr>
    </w:p>
    <w:p w14:paraId="6427DA6D" w14:textId="4530C0BB" w:rsidR="00CA74DC" w:rsidRPr="00785086" w:rsidRDefault="00CA74DC">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Conclusions </w:t>
      </w:r>
    </w:p>
    <w:p w14:paraId="07D7F808" w14:textId="26E99E86" w:rsidR="001206CD" w:rsidRPr="00785086" w:rsidRDefault="001206CD">
      <w:pPr>
        <w:rPr>
          <w:rFonts w:ascii="Arial" w:hAnsi="Arial" w:cs="Arial"/>
          <w:color w:val="000000" w:themeColor="text1"/>
        </w:rPr>
      </w:pPr>
    </w:p>
    <w:p w14:paraId="21940BAC" w14:textId="53575390" w:rsidR="001206CD" w:rsidRPr="00785086" w:rsidRDefault="000B4EF8">
      <w:pPr>
        <w:rPr>
          <w:rFonts w:ascii="Arial" w:hAnsi="Arial" w:cs="Arial"/>
          <w:color w:val="000000" w:themeColor="text1"/>
        </w:rPr>
      </w:pPr>
      <w:r w:rsidRPr="00785086">
        <w:rPr>
          <w:rFonts w:ascii="Arial" w:hAnsi="Arial" w:cs="Arial"/>
          <w:color w:val="000000" w:themeColor="text1"/>
          <w:shd w:val="clear" w:color="auto" w:fill="FFFFFF"/>
        </w:rPr>
        <w:t xml:space="preserve">To conclude, I believe that implementing emotional check-ins proves to be </w:t>
      </w:r>
      <w:r w:rsidR="00593AA8" w:rsidRPr="00785086">
        <w:rPr>
          <w:rFonts w:ascii="Arial" w:hAnsi="Arial" w:cs="Arial"/>
          <w:color w:val="000000" w:themeColor="text1"/>
          <w:shd w:val="clear" w:color="auto" w:fill="FFFFFF"/>
        </w:rPr>
        <w:t>an asset</w:t>
      </w:r>
      <w:r w:rsidRPr="00785086">
        <w:rPr>
          <w:rFonts w:ascii="Arial" w:hAnsi="Arial" w:cs="Arial"/>
          <w:color w:val="000000" w:themeColor="text1"/>
          <w:shd w:val="clear" w:color="auto" w:fill="FFFFFF"/>
        </w:rPr>
        <w:t xml:space="preserve"> in a Year 5/6 classroom. Enclosed below is a pictogram depicting the children's perceptions of its effectiveness, with lighter blue indicating those who found it useful and darker blue representing those who disagreed or did not find it beneficial.</w:t>
      </w:r>
    </w:p>
    <w:p w14:paraId="102C33A0" w14:textId="7847071F" w:rsidR="001206CD" w:rsidRPr="00785086" w:rsidRDefault="000B4EF8">
      <w:pPr>
        <w:rPr>
          <w:rFonts w:ascii="Arial" w:hAnsi="Arial" w:cs="Arial"/>
          <w:color w:val="000000" w:themeColor="text1"/>
        </w:rPr>
      </w:pPr>
      <w:r w:rsidRPr="00785086">
        <w:rPr>
          <w:rFonts w:ascii="Arial" w:hAnsi="Arial" w:cs="Arial"/>
          <w:noProof/>
          <w:color w:val="000000" w:themeColor="text1"/>
        </w:rPr>
        <w:drawing>
          <wp:inline distT="0" distB="0" distL="0" distR="0" wp14:anchorId="65A0C3F6" wp14:editId="25EA41C3">
            <wp:extent cx="5730982" cy="2269993"/>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8">
                      <a:extLst>
                        <a:ext uri="{28A0092B-C50C-407E-A947-70E740481C1C}">
                          <a14:useLocalDpi xmlns:a14="http://schemas.microsoft.com/office/drawing/2010/main" val="0"/>
                        </a:ext>
                      </a:extLst>
                    </a:blip>
                    <a:srcRect t="8069" b="39123"/>
                    <a:stretch/>
                  </pic:blipFill>
                  <pic:spPr bwMode="auto">
                    <a:xfrm>
                      <a:off x="0" y="0"/>
                      <a:ext cx="5731510" cy="2270202"/>
                    </a:xfrm>
                    <a:prstGeom prst="rect">
                      <a:avLst/>
                    </a:prstGeom>
                    <a:ln>
                      <a:noFill/>
                    </a:ln>
                    <a:extLst>
                      <a:ext uri="{53640926-AAD7-44D8-BBD7-CCE9431645EC}">
                        <a14:shadowObscured xmlns:a14="http://schemas.microsoft.com/office/drawing/2010/main"/>
                      </a:ext>
                    </a:extLst>
                  </pic:spPr>
                </pic:pic>
              </a:graphicData>
            </a:graphic>
          </wp:inline>
        </w:drawing>
      </w:r>
    </w:p>
    <w:p w14:paraId="57E92E84" w14:textId="27AA5A57" w:rsidR="00785086" w:rsidRPr="00785086" w:rsidRDefault="00785086">
      <w:pPr>
        <w:rPr>
          <w:rFonts w:ascii="Arial" w:hAnsi="Arial" w:cs="Arial"/>
          <w:color w:val="000000" w:themeColor="text1"/>
        </w:rPr>
      </w:pPr>
    </w:p>
    <w:p w14:paraId="4D589405" w14:textId="77777777" w:rsidR="00785086" w:rsidRPr="00785086" w:rsidRDefault="00785086">
      <w:pPr>
        <w:rPr>
          <w:rFonts w:ascii="Arial" w:hAnsi="Arial" w:cs="Arial"/>
          <w:color w:val="000000" w:themeColor="text1"/>
        </w:rPr>
      </w:pPr>
    </w:p>
    <w:p w14:paraId="40A44A48" w14:textId="03BE2BE3" w:rsidR="00785086" w:rsidRPr="00785086" w:rsidRDefault="00785086" w:rsidP="00785086">
      <w:pPr>
        <w:rPr>
          <w:rFonts w:ascii="Arial" w:hAnsi="Arial" w:cs="Arial"/>
          <w:color w:val="000000" w:themeColor="text1"/>
        </w:rPr>
      </w:pPr>
      <w:r w:rsidRPr="00785086">
        <w:rPr>
          <w:rFonts w:ascii="Arial" w:hAnsi="Arial" w:cs="Arial"/>
          <w:color w:val="000000" w:themeColor="text1"/>
        </w:rPr>
        <w:t>This research study offers valuable insights into how Year 5/6 pupils perceive emotional check-ins concerning pupil wellbeing in the educational setting. Through a thorough examination of questionnaire responses and observations, the efficacy, utility, and areas for enhancement of emotional check-in practices have been illuminated.</w:t>
      </w:r>
    </w:p>
    <w:p w14:paraId="31A64E7A" w14:textId="77777777" w:rsidR="00785086" w:rsidRPr="00785086" w:rsidRDefault="00785086" w:rsidP="00785086">
      <w:pPr>
        <w:rPr>
          <w:rFonts w:ascii="Arial" w:hAnsi="Arial" w:cs="Arial"/>
          <w:color w:val="000000" w:themeColor="text1"/>
        </w:rPr>
      </w:pPr>
    </w:p>
    <w:p w14:paraId="79C28432" w14:textId="541D5BD6" w:rsidR="00785086" w:rsidRPr="00785086" w:rsidRDefault="00785086" w:rsidP="00785086">
      <w:pPr>
        <w:rPr>
          <w:rFonts w:ascii="Arial" w:hAnsi="Arial" w:cs="Arial"/>
          <w:color w:val="000000" w:themeColor="text1"/>
        </w:rPr>
      </w:pPr>
      <w:r w:rsidRPr="00785086">
        <w:rPr>
          <w:rFonts w:ascii="Arial" w:hAnsi="Arial" w:cs="Arial"/>
          <w:color w:val="000000" w:themeColor="text1"/>
        </w:rPr>
        <w:t>The findings underscore the relevance of emotional check-ins in fostering social-emotional development and wellbeing among students. However, the diverse levels of engagement and perceptions regarding the usefulness and practical application of emotional check-ins highlight the necessity of tailoring these practices to accommodate the varied needs and preferences of students.</w:t>
      </w:r>
    </w:p>
    <w:p w14:paraId="0558FF75" w14:textId="77777777" w:rsidR="00785086" w:rsidRPr="00785086" w:rsidRDefault="00785086" w:rsidP="00785086">
      <w:pPr>
        <w:rPr>
          <w:rFonts w:ascii="Arial" w:hAnsi="Arial" w:cs="Arial"/>
          <w:color w:val="000000" w:themeColor="text1"/>
        </w:rPr>
      </w:pPr>
    </w:p>
    <w:p w14:paraId="17BD2FC2" w14:textId="08167CD4" w:rsidR="00785086" w:rsidRPr="00785086" w:rsidRDefault="00785086" w:rsidP="00785086">
      <w:pPr>
        <w:rPr>
          <w:rFonts w:ascii="Arial" w:hAnsi="Arial" w:cs="Arial"/>
          <w:color w:val="000000" w:themeColor="text1"/>
        </w:rPr>
      </w:pPr>
      <w:r w:rsidRPr="00785086">
        <w:rPr>
          <w:rFonts w:ascii="Arial" w:hAnsi="Arial" w:cs="Arial"/>
          <w:color w:val="000000" w:themeColor="text1"/>
        </w:rPr>
        <w:t xml:space="preserve">Aligned with theoretical frameworks such as Social-Emotional Learning (SEL) theory </w:t>
      </w:r>
      <w:r w:rsidR="00CC1790">
        <w:rPr>
          <w:rFonts w:ascii="Arial" w:hAnsi="Arial" w:cs="Arial"/>
          <w:color w:val="000000" w:themeColor="text1"/>
        </w:rPr>
        <w:t xml:space="preserve">(Durlak et al, 2011) </w:t>
      </w:r>
      <w:r w:rsidRPr="00785086">
        <w:rPr>
          <w:rFonts w:ascii="Arial" w:hAnsi="Arial" w:cs="Arial"/>
          <w:color w:val="000000" w:themeColor="text1"/>
        </w:rPr>
        <w:t>and Self-Determination Theory (SDT)</w:t>
      </w:r>
      <w:r w:rsidR="00CC1790">
        <w:rPr>
          <w:rFonts w:ascii="Arial" w:hAnsi="Arial" w:cs="Arial"/>
          <w:color w:val="000000" w:themeColor="text1"/>
        </w:rPr>
        <w:t xml:space="preserve"> (Deci and Ryan,2000)</w:t>
      </w:r>
      <w:r w:rsidRPr="00785086">
        <w:rPr>
          <w:rFonts w:ascii="Arial" w:hAnsi="Arial" w:cs="Arial"/>
          <w:color w:val="000000" w:themeColor="text1"/>
        </w:rPr>
        <w:t xml:space="preserve">, emotional check-ins not only contribute to students' socio-emotional development but also promote intrinsic motivation, autonomy, and a sense of belonging within the classroom community. </w:t>
      </w:r>
    </w:p>
    <w:p w14:paraId="0EC18455" w14:textId="77777777" w:rsidR="00785086" w:rsidRPr="00785086" w:rsidRDefault="00785086" w:rsidP="00785086">
      <w:pPr>
        <w:rPr>
          <w:rFonts w:ascii="Arial" w:hAnsi="Arial" w:cs="Arial"/>
          <w:color w:val="000000" w:themeColor="text1"/>
        </w:rPr>
      </w:pPr>
    </w:p>
    <w:p w14:paraId="36565C6A" w14:textId="4FDDE5B1" w:rsidR="00785086" w:rsidRPr="00785086" w:rsidRDefault="00785086" w:rsidP="00785086">
      <w:pPr>
        <w:rPr>
          <w:rFonts w:ascii="Arial" w:hAnsi="Arial" w:cs="Arial"/>
          <w:color w:val="000000" w:themeColor="text1"/>
        </w:rPr>
      </w:pPr>
      <w:r w:rsidRPr="00785086">
        <w:rPr>
          <w:rFonts w:ascii="Arial" w:hAnsi="Arial" w:cs="Arial"/>
          <w:color w:val="000000" w:themeColor="text1"/>
        </w:rPr>
        <w:t>Furthermore, integrating emotional check-ins aligns with the broader objectives of educational practice outlined in the Curriculum for Wales, emphasizing the cultivation of emotionally resilient, socially skilled learners prepared for future challenges (Welsh Government, 2022).</w:t>
      </w:r>
    </w:p>
    <w:p w14:paraId="1D90FA08" w14:textId="5DD4C45E" w:rsidR="00CA74DC" w:rsidRPr="00785086" w:rsidRDefault="00CA74DC">
      <w:pPr>
        <w:rPr>
          <w:rFonts w:ascii="Arial" w:hAnsi="Arial" w:cs="Arial"/>
          <w:color w:val="000000" w:themeColor="text1"/>
        </w:rPr>
      </w:pPr>
    </w:p>
    <w:p w14:paraId="467E4495" w14:textId="50657E13" w:rsidR="00CA74DC" w:rsidRPr="00785086" w:rsidRDefault="00CA74DC">
      <w:pPr>
        <w:rPr>
          <w:rFonts w:ascii="Arial" w:hAnsi="Arial" w:cs="Arial"/>
          <w:b/>
          <w:bCs/>
          <w:color w:val="000000" w:themeColor="text1"/>
          <w:sz w:val="28"/>
          <w:szCs w:val="28"/>
        </w:rPr>
      </w:pPr>
      <w:r w:rsidRPr="00785086">
        <w:rPr>
          <w:rFonts w:ascii="Arial" w:hAnsi="Arial" w:cs="Arial"/>
          <w:b/>
          <w:bCs/>
          <w:color w:val="000000" w:themeColor="text1"/>
          <w:sz w:val="28"/>
          <w:szCs w:val="28"/>
        </w:rPr>
        <w:t xml:space="preserve">Recommendations </w:t>
      </w:r>
    </w:p>
    <w:p w14:paraId="28CA5AD6" w14:textId="760B9EA1" w:rsidR="00785086" w:rsidRPr="00785086" w:rsidRDefault="00785086">
      <w:pPr>
        <w:rPr>
          <w:rFonts w:ascii="Arial" w:hAnsi="Arial" w:cs="Arial"/>
          <w:b/>
          <w:bCs/>
          <w:color w:val="000000" w:themeColor="text1"/>
          <w:sz w:val="28"/>
          <w:szCs w:val="28"/>
        </w:rPr>
      </w:pPr>
    </w:p>
    <w:p w14:paraId="578DE0DC" w14:textId="32FB70C9" w:rsidR="00785086" w:rsidRPr="00785086" w:rsidRDefault="00785086" w:rsidP="00785086">
      <w:pPr>
        <w:rPr>
          <w:rFonts w:ascii="Arial" w:hAnsi="Arial" w:cs="Arial"/>
          <w:color w:val="000000" w:themeColor="text1"/>
        </w:rPr>
      </w:pPr>
      <w:r w:rsidRPr="00785086">
        <w:rPr>
          <w:rFonts w:ascii="Arial" w:hAnsi="Arial" w:cs="Arial"/>
          <w:color w:val="000000" w:themeColor="text1"/>
        </w:rPr>
        <w:t>Drawing from the research findings, several recommendations can be proposed to enhance the implementation and efficacy of emotional check-ins in promoting pupil wellbeing:</w:t>
      </w:r>
    </w:p>
    <w:p w14:paraId="739840D0" w14:textId="324D47F2" w:rsidR="00785086" w:rsidRPr="00785086" w:rsidRDefault="00785086" w:rsidP="00785086">
      <w:pPr>
        <w:rPr>
          <w:rFonts w:ascii="Arial" w:hAnsi="Arial" w:cs="Arial"/>
          <w:color w:val="000000" w:themeColor="text1"/>
        </w:rPr>
      </w:pPr>
    </w:p>
    <w:p w14:paraId="59CDDA24" w14:textId="41A4F9CC" w:rsidR="00785086" w:rsidRPr="00785086" w:rsidRDefault="00785086" w:rsidP="00785086">
      <w:pPr>
        <w:rPr>
          <w:rFonts w:ascii="Arial" w:hAnsi="Arial" w:cs="Arial"/>
          <w:color w:val="000000" w:themeColor="text1"/>
          <w:shd w:val="clear" w:color="auto" w:fill="FFFFFF"/>
        </w:rPr>
      </w:pPr>
      <w:r w:rsidRPr="00785086">
        <w:rPr>
          <w:rFonts w:ascii="Arial" w:hAnsi="Arial" w:cs="Arial"/>
          <w:color w:val="000000" w:themeColor="text1"/>
          <w:shd w:val="clear" w:color="auto" w:fill="FFFFFF"/>
        </w:rPr>
        <w:t>To initiate my recommendations, I deemed it pertinent to assess the children's perspectives on the emotional check-in process. Enclosed below is a pie chart illustrating the recommendations provided by the children.</w:t>
      </w:r>
    </w:p>
    <w:p w14:paraId="710FF148" w14:textId="0BA83FC2" w:rsidR="00785086" w:rsidRPr="00785086" w:rsidRDefault="00785086" w:rsidP="00785086">
      <w:pPr>
        <w:rPr>
          <w:rFonts w:ascii="Arial" w:hAnsi="Arial" w:cs="Arial"/>
          <w:color w:val="000000" w:themeColor="text1"/>
          <w:shd w:val="clear" w:color="auto" w:fill="FFFFFF"/>
        </w:rPr>
      </w:pPr>
    </w:p>
    <w:p w14:paraId="50A2BED5" w14:textId="0E7FC48D" w:rsidR="00785086" w:rsidRPr="00785086" w:rsidRDefault="00785086" w:rsidP="00785086">
      <w:pPr>
        <w:rPr>
          <w:rFonts w:ascii="Arial" w:hAnsi="Arial" w:cs="Arial"/>
          <w:color w:val="000000" w:themeColor="text1"/>
          <w:shd w:val="clear" w:color="auto" w:fill="FFFFFF"/>
        </w:rPr>
      </w:pPr>
      <w:r w:rsidRPr="00785086">
        <w:rPr>
          <w:rFonts w:ascii="Arial" w:hAnsi="Arial" w:cs="Arial"/>
          <w:noProof/>
          <w:color w:val="000000" w:themeColor="text1"/>
        </w:rPr>
        <w:drawing>
          <wp:inline distT="0" distB="0" distL="0" distR="0" wp14:anchorId="56A42086" wp14:editId="4A1E7E26">
            <wp:extent cx="4942390" cy="3707066"/>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4981740" cy="3736581"/>
                    </a:xfrm>
                    <a:prstGeom prst="rect">
                      <a:avLst/>
                    </a:prstGeom>
                  </pic:spPr>
                </pic:pic>
              </a:graphicData>
            </a:graphic>
          </wp:inline>
        </w:drawing>
      </w:r>
    </w:p>
    <w:p w14:paraId="54FB77D4" w14:textId="4E30EE4F" w:rsidR="00785086" w:rsidRPr="00785086" w:rsidRDefault="00785086" w:rsidP="00785086">
      <w:pPr>
        <w:rPr>
          <w:rFonts w:ascii="Arial" w:hAnsi="Arial" w:cs="Arial"/>
          <w:color w:val="000000" w:themeColor="text1"/>
          <w:shd w:val="clear" w:color="auto" w:fill="FFFFFF"/>
        </w:rPr>
      </w:pPr>
    </w:p>
    <w:p w14:paraId="463334ED" w14:textId="77777777" w:rsidR="00785086" w:rsidRPr="00785086" w:rsidRDefault="00785086" w:rsidP="00785086">
      <w:pPr>
        <w:rPr>
          <w:rFonts w:ascii="Arial" w:hAnsi="Arial" w:cs="Arial"/>
          <w:color w:val="000000" w:themeColor="text1"/>
        </w:rPr>
      </w:pPr>
    </w:p>
    <w:p w14:paraId="78F83115" w14:textId="7322A75B" w:rsidR="00785086" w:rsidRPr="00785086" w:rsidRDefault="00785086" w:rsidP="00785086">
      <w:pPr>
        <w:rPr>
          <w:rFonts w:ascii="Arial" w:hAnsi="Arial" w:cs="Arial"/>
          <w:color w:val="000000" w:themeColor="text1"/>
        </w:rPr>
      </w:pPr>
      <w:r w:rsidRPr="00785086">
        <w:rPr>
          <w:rFonts w:ascii="Arial" w:hAnsi="Arial" w:cs="Arial"/>
          <w:color w:val="000000" w:themeColor="text1"/>
        </w:rPr>
        <w:t>Expansion of Emotional Range: Consider broadening the range of emotions represented on the emotional check-in board to better reflect the diverse emotional experiences of students, ensuring inclusivity and relevance (Field, 2013).</w:t>
      </w:r>
    </w:p>
    <w:p w14:paraId="137B542F" w14:textId="77777777" w:rsidR="00785086" w:rsidRPr="00785086" w:rsidRDefault="00785086" w:rsidP="00785086">
      <w:pPr>
        <w:rPr>
          <w:rFonts w:ascii="Arial" w:hAnsi="Arial" w:cs="Arial"/>
          <w:color w:val="000000" w:themeColor="text1"/>
        </w:rPr>
      </w:pPr>
    </w:p>
    <w:p w14:paraId="647FF8AC" w14:textId="70CC5393" w:rsidR="00785086" w:rsidRDefault="00785086" w:rsidP="00785086">
      <w:pPr>
        <w:rPr>
          <w:rFonts w:ascii="Arial" w:hAnsi="Arial" w:cs="Arial"/>
          <w:color w:val="000000" w:themeColor="text1"/>
        </w:rPr>
      </w:pPr>
      <w:r w:rsidRPr="00785086">
        <w:rPr>
          <w:rFonts w:ascii="Arial" w:hAnsi="Arial" w:cs="Arial"/>
          <w:color w:val="000000" w:themeColor="text1"/>
        </w:rPr>
        <w:t>Teacher Involvement: Incorporate teacher check-ins prompted by children indicating negative emotions on the board to provide additional support and guidance when necessary, fostering a more supportive classroom environment</w:t>
      </w:r>
      <w:r w:rsidR="00D37720">
        <w:rPr>
          <w:rFonts w:ascii="Arial" w:hAnsi="Arial" w:cs="Arial"/>
          <w:color w:val="000000" w:themeColor="text1"/>
        </w:rPr>
        <w:t>.</w:t>
      </w:r>
      <w:r w:rsidRPr="00785086">
        <w:rPr>
          <w:rFonts w:ascii="Arial" w:hAnsi="Arial" w:cs="Arial"/>
          <w:color w:val="000000" w:themeColor="text1"/>
        </w:rPr>
        <w:t xml:space="preserve"> (Deci and Ryan, 2000).</w:t>
      </w:r>
      <w:r w:rsidR="00D37720">
        <w:rPr>
          <w:rFonts w:ascii="Arial" w:hAnsi="Arial" w:cs="Arial"/>
          <w:color w:val="000000" w:themeColor="text1"/>
        </w:rPr>
        <w:t xml:space="preserve"> This recommendation came from the varied results around teacher check-ins as shown in bar chart below.</w:t>
      </w:r>
    </w:p>
    <w:p w14:paraId="3715BBD2" w14:textId="77777777" w:rsidR="00D37720" w:rsidRPr="00785086" w:rsidRDefault="00D37720" w:rsidP="00785086">
      <w:pPr>
        <w:rPr>
          <w:rFonts w:ascii="Arial" w:hAnsi="Arial" w:cs="Arial"/>
          <w:color w:val="000000" w:themeColor="text1"/>
        </w:rPr>
      </w:pPr>
    </w:p>
    <w:p w14:paraId="79748A5A" w14:textId="1743FE08" w:rsidR="00785086" w:rsidRPr="00785086" w:rsidRDefault="00D37720" w:rsidP="00785086">
      <w:pPr>
        <w:rPr>
          <w:rFonts w:ascii="Arial" w:hAnsi="Arial" w:cs="Arial"/>
          <w:color w:val="000000" w:themeColor="text1"/>
        </w:rPr>
      </w:pPr>
      <w:r>
        <w:rPr>
          <w:rFonts w:ascii="Arial" w:hAnsi="Arial" w:cs="Arial"/>
          <w:noProof/>
          <w:color w:val="000000" w:themeColor="text1"/>
        </w:rPr>
        <w:drawing>
          <wp:inline distT="0" distB="0" distL="0" distR="0" wp14:anchorId="26753440" wp14:editId="3B11660A">
            <wp:extent cx="4585209" cy="2361236"/>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0">
                      <a:extLst>
                        <a:ext uri="{28A0092B-C50C-407E-A947-70E740481C1C}">
                          <a14:useLocalDpi xmlns:a14="http://schemas.microsoft.com/office/drawing/2010/main" val="0"/>
                        </a:ext>
                      </a:extLst>
                    </a:blip>
                    <a:srcRect b="31342"/>
                    <a:stretch/>
                  </pic:blipFill>
                  <pic:spPr bwMode="auto">
                    <a:xfrm>
                      <a:off x="0" y="0"/>
                      <a:ext cx="4626108" cy="2382298"/>
                    </a:xfrm>
                    <a:prstGeom prst="rect">
                      <a:avLst/>
                    </a:prstGeom>
                    <a:ln>
                      <a:noFill/>
                    </a:ln>
                    <a:extLst>
                      <a:ext uri="{53640926-AAD7-44D8-BBD7-CCE9431645EC}">
                        <a14:shadowObscured xmlns:a14="http://schemas.microsoft.com/office/drawing/2010/main"/>
                      </a:ext>
                    </a:extLst>
                  </pic:spPr>
                </pic:pic>
              </a:graphicData>
            </a:graphic>
          </wp:inline>
        </w:drawing>
      </w:r>
    </w:p>
    <w:p w14:paraId="2981AD2F" w14:textId="36DC8840" w:rsidR="00583BB5" w:rsidRPr="00D37720" w:rsidRDefault="005B6A77" w:rsidP="00785086">
      <w:pPr>
        <w:rPr>
          <w:rFonts w:ascii="Arial" w:hAnsi="Arial" w:cs="Arial"/>
          <w:color w:val="000000" w:themeColor="text1"/>
        </w:rPr>
      </w:pPr>
      <w:r w:rsidRPr="00D37720">
        <w:rPr>
          <w:rFonts w:ascii="Arial" w:hAnsi="Arial" w:cs="Arial"/>
          <w:color w:val="000000" w:themeColor="text1"/>
        </w:rPr>
        <w:br/>
      </w:r>
      <w:r w:rsidRPr="00D37720">
        <w:rPr>
          <w:rFonts w:ascii="Arial" w:hAnsi="Arial" w:cs="Arial"/>
          <w:color w:val="000000" w:themeColor="text1"/>
          <w:shd w:val="clear" w:color="auto" w:fill="FFFFFF"/>
        </w:rPr>
        <w:t>A potential improvement could involve revising the current peg system used for emotional check-ins to a more private method, such as a cup and lollipop stick or a similar discreet approach. This adjustment aims to address the limited sharing of negative feelings observed among students during the check-in process. By adopting a more private method, students may feel more comfortable expressing negative emotions without the concern of their responses being visible to everyone. This change could potentially encourage a greater number of students to share their negative feelings, thereby providing educators with a more comprehensive understanding of students' emotional states.</w:t>
      </w:r>
    </w:p>
    <w:p w14:paraId="478CFC91" w14:textId="5EE33732" w:rsidR="00583BB5" w:rsidRDefault="00583BB5" w:rsidP="00785086">
      <w:pPr>
        <w:rPr>
          <w:rFonts w:ascii="Arial" w:hAnsi="Arial" w:cs="Arial"/>
          <w:color w:val="000000" w:themeColor="text1"/>
        </w:rPr>
      </w:pPr>
      <w:r>
        <w:rPr>
          <w:rFonts w:ascii="Arial" w:hAnsi="Arial" w:cs="Arial"/>
          <w:noProof/>
          <w:color w:val="000000" w:themeColor="text1"/>
        </w:rPr>
        <w:drawing>
          <wp:inline distT="0" distB="0" distL="0" distR="0" wp14:anchorId="785B414F" wp14:editId="17AA713D">
            <wp:extent cx="4584700" cy="2408702"/>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1">
                      <a:extLst>
                        <a:ext uri="{28A0092B-C50C-407E-A947-70E740481C1C}">
                          <a14:useLocalDpi xmlns:a14="http://schemas.microsoft.com/office/drawing/2010/main" val="0"/>
                        </a:ext>
                      </a:extLst>
                    </a:blip>
                    <a:srcRect b="29954"/>
                    <a:stretch/>
                  </pic:blipFill>
                  <pic:spPr bwMode="auto">
                    <a:xfrm>
                      <a:off x="0" y="0"/>
                      <a:ext cx="4652699" cy="2444427"/>
                    </a:xfrm>
                    <a:prstGeom prst="rect">
                      <a:avLst/>
                    </a:prstGeom>
                    <a:ln>
                      <a:noFill/>
                    </a:ln>
                    <a:extLst>
                      <a:ext uri="{53640926-AAD7-44D8-BBD7-CCE9431645EC}">
                        <a14:shadowObscured xmlns:a14="http://schemas.microsoft.com/office/drawing/2010/main"/>
                      </a:ext>
                    </a:extLst>
                  </pic:spPr>
                </pic:pic>
              </a:graphicData>
            </a:graphic>
          </wp:inline>
        </w:drawing>
      </w:r>
    </w:p>
    <w:p w14:paraId="4DC96BBB" w14:textId="49A85690" w:rsidR="00E155A5" w:rsidRPr="00E155A5" w:rsidRDefault="00E155A5" w:rsidP="00E155A5">
      <w:pPr>
        <w:pStyle w:val="ListParagraph"/>
        <w:numPr>
          <w:ilvl w:val="0"/>
          <w:numId w:val="3"/>
        </w:numPr>
        <w:rPr>
          <w:rFonts w:ascii="Arial" w:hAnsi="Arial" w:cs="Arial"/>
          <w:color w:val="000000" w:themeColor="text1"/>
        </w:rPr>
      </w:pPr>
      <w:r>
        <w:rPr>
          <w:rFonts w:ascii="Arial" w:hAnsi="Arial" w:cs="Arial"/>
          <w:color w:val="000000" w:themeColor="text1"/>
        </w:rPr>
        <w:t>Bar graph showing usage of check-in board when feeling sad/angry</w:t>
      </w:r>
    </w:p>
    <w:p w14:paraId="1CC7E1CB" w14:textId="77777777" w:rsidR="00583BB5" w:rsidRPr="00785086" w:rsidRDefault="00583BB5" w:rsidP="00785086">
      <w:pPr>
        <w:rPr>
          <w:rFonts w:ascii="Arial" w:hAnsi="Arial" w:cs="Arial"/>
          <w:color w:val="000000" w:themeColor="text1"/>
        </w:rPr>
      </w:pPr>
    </w:p>
    <w:p w14:paraId="0E1FCD05" w14:textId="77777777" w:rsidR="00583BB5" w:rsidRPr="00785086" w:rsidRDefault="00583BB5" w:rsidP="00785086">
      <w:pPr>
        <w:rPr>
          <w:rFonts w:ascii="Arial" w:hAnsi="Arial" w:cs="Arial"/>
          <w:color w:val="000000" w:themeColor="text1"/>
        </w:rPr>
      </w:pPr>
    </w:p>
    <w:p w14:paraId="23F39A75" w14:textId="16DA6678" w:rsidR="00785086" w:rsidRPr="00785086" w:rsidRDefault="00785086" w:rsidP="00785086">
      <w:pPr>
        <w:rPr>
          <w:rFonts w:ascii="Arial" w:hAnsi="Arial" w:cs="Arial"/>
          <w:color w:val="000000" w:themeColor="text1"/>
        </w:rPr>
      </w:pPr>
      <w:r w:rsidRPr="00785086">
        <w:rPr>
          <w:rFonts w:ascii="Arial" w:hAnsi="Arial" w:cs="Arial"/>
          <w:color w:val="000000" w:themeColor="text1"/>
        </w:rPr>
        <w:t>Peer Support: Encourage peer-initiated check-ins as substitutes for teacher interactions, fostering a sense of peer support and community among students, thereby promoting collaborative problem-solving and emotional resilience (Fredricks et al., 2004).</w:t>
      </w:r>
    </w:p>
    <w:p w14:paraId="5399C0E4" w14:textId="77777777" w:rsidR="00785086" w:rsidRPr="00785086" w:rsidRDefault="00785086" w:rsidP="00785086">
      <w:pPr>
        <w:rPr>
          <w:rFonts w:ascii="Arial" w:hAnsi="Arial" w:cs="Arial"/>
          <w:color w:val="000000" w:themeColor="text1"/>
        </w:rPr>
      </w:pPr>
    </w:p>
    <w:p w14:paraId="53793B77" w14:textId="4C89C69D" w:rsidR="00785086" w:rsidRPr="00785086" w:rsidRDefault="00785086" w:rsidP="00785086">
      <w:pPr>
        <w:rPr>
          <w:rFonts w:ascii="Arial" w:hAnsi="Arial" w:cs="Arial"/>
          <w:color w:val="000000" w:themeColor="text1"/>
        </w:rPr>
      </w:pPr>
      <w:r w:rsidRPr="00785086">
        <w:rPr>
          <w:rFonts w:ascii="Arial" w:hAnsi="Arial" w:cs="Arial"/>
          <w:color w:val="000000" w:themeColor="text1"/>
        </w:rPr>
        <w:t>Professional Development: Provide professional development opportunities for educators on the principles and practices of emotional check-ins, equipping them with the knowledge and skills to effectively implement and support students' socio-emotional development within the classroom (Durlak et al., 2011).</w:t>
      </w:r>
    </w:p>
    <w:p w14:paraId="5C95626E" w14:textId="77777777" w:rsidR="00785086" w:rsidRPr="00785086" w:rsidRDefault="00785086" w:rsidP="00785086">
      <w:pPr>
        <w:rPr>
          <w:rFonts w:ascii="Arial" w:hAnsi="Arial" w:cs="Arial"/>
          <w:color w:val="000000" w:themeColor="text1"/>
        </w:rPr>
      </w:pPr>
    </w:p>
    <w:p w14:paraId="6CEB3093" w14:textId="77777777" w:rsidR="00785086" w:rsidRPr="00785086" w:rsidRDefault="00785086" w:rsidP="00785086">
      <w:pPr>
        <w:rPr>
          <w:rFonts w:ascii="Arial" w:hAnsi="Arial" w:cs="Arial"/>
          <w:color w:val="000000" w:themeColor="text1"/>
        </w:rPr>
      </w:pPr>
      <w:r w:rsidRPr="00785086">
        <w:rPr>
          <w:rFonts w:ascii="Arial" w:hAnsi="Arial" w:cs="Arial"/>
          <w:color w:val="000000" w:themeColor="text1"/>
        </w:rPr>
        <w:t>By implementing these recommendations, educators can optimize the effectiveness of emotional check-ins in promoting pupil wellbeing, fostering a positive and supportive learning environment conducive to the holistic development of all students.</w:t>
      </w:r>
    </w:p>
    <w:p w14:paraId="36D16CFE" w14:textId="77777777" w:rsidR="00785086" w:rsidRPr="00785086" w:rsidRDefault="00785086" w:rsidP="00785086">
      <w:pPr>
        <w:rPr>
          <w:rFonts w:ascii="Arial" w:hAnsi="Arial" w:cs="Arial"/>
          <w:color w:val="000000" w:themeColor="text1"/>
        </w:rPr>
      </w:pPr>
    </w:p>
    <w:p w14:paraId="751601C7" w14:textId="3A86D96C" w:rsidR="001206CD" w:rsidRPr="00785086" w:rsidRDefault="001206CD">
      <w:pPr>
        <w:rPr>
          <w:rFonts w:ascii="Arial" w:hAnsi="Arial" w:cs="Arial"/>
          <w:color w:val="000000" w:themeColor="text1"/>
        </w:rPr>
      </w:pPr>
    </w:p>
    <w:p w14:paraId="578D81FD" w14:textId="6AC0AA56" w:rsidR="00604D9C" w:rsidRPr="00785086" w:rsidRDefault="00604D9C">
      <w:pPr>
        <w:rPr>
          <w:rFonts w:ascii="Arial" w:hAnsi="Arial" w:cs="Arial"/>
          <w:color w:val="000000" w:themeColor="text1"/>
        </w:rPr>
      </w:pPr>
    </w:p>
    <w:p w14:paraId="7C53A6DD" w14:textId="303575A1" w:rsidR="00604D9C" w:rsidRPr="00785086" w:rsidRDefault="00604D9C">
      <w:pPr>
        <w:rPr>
          <w:rFonts w:ascii="Arial" w:hAnsi="Arial" w:cs="Arial"/>
          <w:color w:val="000000" w:themeColor="text1"/>
        </w:rPr>
      </w:pPr>
    </w:p>
    <w:p w14:paraId="4DDA4026" w14:textId="77777777" w:rsidR="00604D9C" w:rsidRDefault="00604D9C">
      <w:pPr>
        <w:rPr>
          <w:rFonts w:ascii="Arial" w:hAnsi="Arial" w:cs="Arial"/>
          <w:b/>
          <w:bCs/>
          <w:sz w:val="28"/>
          <w:szCs w:val="28"/>
        </w:rPr>
      </w:pPr>
    </w:p>
    <w:p w14:paraId="34CF7737" w14:textId="00C6F9EB" w:rsidR="00604D9C" w:rsidRDefault="00604D9C">
      <w:pPr>
        <w:rPr>
          <w:rFonts w:ascii="Arial" w:hAnsi="Arial" w:cs="Arial"/>
          <w:b/>
          <w:bCs/>
          <w:sz w:val="28"/>
          <w:szCs w:val="28"/>
        </w:rPr>
      </w:pPr>
    </w:p>
    <w:p w14:paraId="6C6E6E28" w14:textId="6384E0CD" w:rsidR="00D37720" w:rsidRDefault="00D37720">
      <w:pPr>
        <w:rPr>
          <w:rFonts w:ascii="Arial" w:hAnsi="Arial" w:cs="Arial"/>
          <w:b/>
          <w:bCs/>
          <w:sz w:val="28"/>
          <w:szCs w:val="28"/>
        </w:rPr>
      </w:pPr>
    </w:p>
    <w:p w14:paraId="7BB10FFB" w14:textId="52BF0585" w:rsidR="00D37720" w:rsidRDefault="00D37720">
      <w:pPr>
        <w:rPr>
          <w:rFonts w:ascii="Arial" w:hAnsi="Arial" w:cs="Arial"/>
          <w:b/>
          <w:bCs/>
          <w:sz w:val="28"/>
          <w:szCs w:val="28"/>
        </w:rPr>
      </w:pPr>
    </w:p>
    <w:p w14:paraId="0543AA8B" w14:textId="0FF24734" w:rsidR="00D37720" w:rsidRDefault="00D37720">
      <w:pPr>
        <w:rPr>
          <w:rFonts w:ascii="Arial" w:hAnsi="Arial" w:cs="Arial"/>
          <w:b/>
          <w:bCs/>
          <w:sz w:val="28"/>
          <w:szCs w:val="28"/>
        </w:rPr>
      </w:pPr>
    </w:p>
    <w:p w14:paraId="5CA24BEA" w14:textId="5947286C" w:rsidR="00D37720" w:rsidRDefault="00D37720">
      <w:pPr>
        <w:rPr>
          <w:rFonts w:ascii="Arial" w:hAnsi="Arial" w:cs="Arial"/>
          <w:b/>
          <w:bCs/>
          <w:sz w:val="28"/>
          <w:szCs w:val="28"/>
        </w:rPr>
      </w:pPr>
    </w:p>
    <w:p w14:paraId="19E69DF7" w14:textId="3F46C155" w:rsidR="00D37720" w:rsidRDefault="00D37720">
      <w:pPr>
        <w:rPr>
          <w:rFonts w:ascii="Arial" w:hAnsi="Arial" w:cs="Arial"/>
          <w:b/>
          <w:bCs/>
          <w:sz w:val="28"/>
          <w:szCs w:val="28"/>
        </w:rPr>
      </w:pPr>
    </w:p>
    <w:p w14:paraId="1873A0FD" w14:textId="26F3CBD9" w:rsidR="00D37720" w:rsidRDefault="00D37720">
      <w:pPr>
        <w:rPr>
          <w:rFonts w:ascii="Arial" w:hAnsi="Arial" w:cs="Arial"/>
          <w:b/>
          <w:bCs/>
          <w:sz w:val="28"/>
          <w:szCs w:val="28"/>
        </w:rPr>
      </w:pPr>
    </w:p>
    <w:p w14:paraId="71E017AD" w14:textId="3CF92B81" w:rsidR="00D37720" w:rsidRDefault="00D37720">
      <w:pPr>
        <w:rPr>
          <w:rFonts w:ascii="Arial" w:hAnsi="Arial" w:cs="Arial"/>
          <w:b/>
          <w:bCs/>
          <w:sz w:val="28"/>
          <w:szCs w:val="28"/>
        </w:rPr>
      </w:pPr>
    </w:p>
    <w:p w14:paraId="3E06BDD1" w14:textId="23ACDF7B" w:rsidR="00D37720" w:rsidRDefault="00D37720">
      <w:pPr>
        <w:rPr>
          <w:rFonts w:ascii="Arial" w:hAnsi="Arial" w:cs="Arial"/>
          <w:b/>
          <w:bCs/>
          <w:sz w:val="28"/>
          <w:szCs w:val="28"/>
        </w:rPr>
      </w:pPr>
    </w:p>
    <w:p w14:paraId="3A064262" w14:textId="1D2D7522" w:rsidR="00D37720" w:rsidRDefault="00D37720">
      <w:pPr>
        <w:rPr>
          <w:rFonts w:ascii="Arial" w:hAnsi="Arial" w:cs="Arial"/>
          <w:b/>
          <w:bCs/>
          <w:sz w:val="28"/>
          <w:szCs w:val="28"/>
        </w:rPr>
      </w:pPr>
    </w:p>
    <w:p w14:paraId="73F3506C" w14:textId="58612C7B" w:rsidR="00D37720" w:rsidRDefault="00D37720">
      <w:pPr>
        <w:rPr>
          <w:rFonts w:ascii="Arial" w:hAnsi="Arial" w:cs="Arial"/>
          <w:b/>
          <w:bCs/>
          <w:sz w:val="28"/>
          <w:szCs w:val="28"/>
        </w:rPr>
      </w:pPr>
    </w:p>
    <w:p w14:paraId="22F43E3B" w14:textId="0F042538" w:rsidR="00D37720" w:rsidRDefault="00D37720">
      <w:pPr>
        <w:rPr>
          <w:rFonts w:ascii="Arial" w:hAnsi="Arial" w:cs="Arial"/>
          <w:b/>
          <w:bCs/>
          <w:sz w:val="28"/>
          <w:szCs w:val="28"/>
        </w:rPr>
      </w:pPr>
    </w:p>
    <w:p w14:paraId="2D148945" w14:textId="07E2F130" w:rsidR="00D37720" w:rsidRDefault="00D37720">
      <w:pPr>
        <w:rPr>
          <w:rFonts w:ascii="Arial" w:hAnsi="Arial" w:cs="Arial"/>
          <w:b/>
          <w:bCs/>
          <w:sz w:val="28"/>
          <w:szCs w:val="28"/>
        </w:rPr>
      </w:pPr>
    </w:p>
    <w:p w14:paraId="284B7F1A" w14:textId="7357D8EA" w:rsidR="00D37720" w:rsidRDefault="00D37720">
      <w:pPr>
        <w:rPr>
          <w:rFonts w:ascii="Arial" w:hAnsi="Arial" w:cs="Arial"/>
          <w:b/>
          <w:bCs/>
          <w:sz w:val="28"/>
          <w:szCs w:val="28"/>
        </w:rPr>
      </w:pPr>
    </w:p>
    <w:p w14:paraId="0C298C5C" w14:textId="30FA68EF" w:rsidR="00D37720" w:rsidRDefault="00D37720">
      <w:pPr>
        <w:rPr>
          <w:rFonts w:ascii="Arial" w:hAnsi="Arial" w:cs="Arial"/>
          <w:b/>
          <w:bCs/>
          <w:sz w:val="28"/>
          <w:szCs w:val="28"/>
        </w:rPr>
      </w:pPr>
    </w:p>
    <w:p w14:paraId="1198658E" w14:textId="1E7CAC10" w:rsidR="00D37720" w:rsidRDefault="00D37720">
      <w:pPr>
        <w:rPr>
          <w:rFonts w:ascii="Arial" w:hAnsi="Arial" w:cs="Arial"/>
          <w:b/>
          <w:bCs/>
          <w:sz w:val="28"/>
          <w:szCs w:val="28"/>
        </w:rPr>
      </w:pPr>
    </w:p>
    <w:p w14:paraId="2FE1B37C" w14:textId="00AF7571" w:rsidR="00D37720" w:rsidRDefault="00D37720">
      <w:pPr>
        <w:rPr>
          <w:rFonts w:ascii="Arial" w:hAnsi="Arial" w:cs="Arial"/>
          <w:b/>
          <w:bCs/>
          <w:sz w:val="28"/>
          <w:szCs w:val="28"/>
        </w:rPr>
      </w:pPr>
    </w:p>
    <w:p w14:paraId="663917E9" w14:textId="375737C3" w:rsidR="00D37720" w:rsidRDefault="00D37720">
      <w:pPr>
        <w:rPr>
          <w:rFonts w:ascii="Arial" w:hAnsi="Arial" w:cs="Arial"/>
          <w:b/>
          <w:bCs/>
          <w:sz w:val="28"/>
          <w:szCs w:val="28"/>
        </w:rPr>
      </w:pPr>
    </w:p>
    <w:p w14:paraId="28030B48" w14:textId="17D4A206" w:rsidR="00D37720" w:rsidRDefault="00D37720">
      <w:pPr>
        <w:rPr>
          <w:rFonts w:ascii="Arial" w:hAnsi="Arial" w:cs="Arial"/>
          <w:b/>
          <w:bCs/>
          <w:sz w:val="28"/>
          <w:szCs w:val="28"/>
        </w:rPr>
      </w:pPr>
    </w:p>
    <w:p w14:paraId="535883FD" w14:textId="05CC6984" w:rsidR="00D37720" w:rsidRDefault="00D37720">
      <w:pPr>
        <w:rPr>
          <w:rFonts w:ascii="Arial" w:hAnsi="Arial" w:cs="Arial"/>
          <w:b/>
          <w:bCs/>
          <w:sz w:val="28"/>
          <w:szCs w:val="28"/>
        </w:rPr>
      </w:pPr>
    </w:p>
    <w:p w14:paraId="0DF88FF3" w14:textId="13B70A16" w:rsidR="00D37720" w:rsidRDefault="00D37720">
      <w:pPr>
        <w:rPr>
          <w:rFonts w:ascii="Arial" w:hAnsi="Arial" w:cs="Arial"/>
          <w:b/>
          <w:bCs/>
          <w:sz w:val="28"/>
          <w:szCs w:val="28"/>
        </w:rPr>
      </w:pPr>
    </w:p>
    <w:p w14:paraId="700AB94B" w14:textId="66736123" w:rsidR="00D37720" w:rsidRDefault="00D37720">
      <w:pPr>
        <w:rPr>
          <w:rFonts w:ascii="Arial" w:hAnsi="Arial" w:cs="Arial"/>
          <w:b/>
          <w:bCs/>
          <w:sz w:val="28"/>
          <w:szCs w:val="28"/>
        </w:rPr>
      </w:pPr>
    </w:p>
    <w:p w14:paraId="73627552" w14:textId="233BC36D" w:rsidR="00D37720" w:rsidRDefault="00D37720">
      <w:pPr>
        <w:rPr>
          <w:rFonts w:ascii="Arial" w:hAnsi="Arial" w:cs="Arial"/>
          <w:b/>
          <w:bCs/>
          <w:sz w:val="28"/>
          <w:szCs w:val="28"/>
        </w:rPr>
      </w:pPr>
    </w:p>
    <w:p w14:paraId="46C4F128" w14:textId="0C646D17" w:rsidR="00D37720" w:rsidRDefault="00D37720">
      <w:pPr>
        <w:rPr>
          <w:rFonts w:ascii="Arial" w:hAnsi="Arial" w:cs="Arial"/>
          <w:b/>
          <w:bCs/>
          <w:sz w:val="28"/>
          <w:szCs w:val="28"/>
        </w:rPr>
      </w:pPr>
    </w:p>
    <w:p w14:paraId="03B9D1DE" w14:textId="0AB4E235" w:rsidR="00D37720" w:rsidRDefault="00D37720">
      <w:pPr>
        <w:rPr>
          <w:rFonts w:ascii="Arial" w:hAnsi="Arial" w:cs="Arial"/>
          <w:b/>
          <w:bCs/>
          <w:sz w:val="28"/>
          <w:szCs w:val="28"/>
        </w:rPr>
      </w:pPr>
    </w:p>
    <w:p w14:paraId="5856B357" w14:textId="77777777" w:rsidR="00D37720" w:rsidRDefault="00D37720">
      <w:pPr>
        <w:rPr>
          <w:rFonts w:ascii="Arial" w:hAnsi="Arial" w:cs="Arial"/>
          <w:b/>
          <w:bCs/>
          <w:sz w:val="28"/>
          <w:szCs w:val="28"/>
        </w:rPr>
      </w:pPr>
    </w:p>
    <w:p w14:paraId="5A926796" w14:textId="610585D7" w:rsidR="00627E97" w:rsidRDefault="00627E97">
      <w:pPr>
        <w:rPr>
          <w:rFonts w:ascii="Arial" w:hAnsi="Arial" w:cs="Arial"/>
          <w:b/>
          <w:bCs/>
          <w:sz w:val="28"/>
          <w:szCs w:val="28"/>
        </w:rPr>
      </w:pPr>
      <w:r>
        <w:rPr>
          <w:rFonts w:ascii="Arial" w:hAnsi="Arial" w:cs="Arial"/>
          <w:b/>
          <w:bCs/>
          <w:sz w:val="28"/>
          <w:szCs w:val="28"/>
        </w:rPr>
        <w:lastRenderedPageBreak/>
        <w:t xml:space="preserve">References </w:t>
      </w:r>
    </w:p>
    <w:p w14:paraId="2BEC7A06" w14:textId="77777777" w:rsidR="00627E97" w:rsidRDefault="00627E97">
      <w:pPr>
        <w:rPr>
          <w:rFonts w:ascii="Arial" w:hAnsi="Arial" w:cs="Arial"/>
          <w:b/>
          <w:bCs/>
          <w:sz w:val="28"/>
          <w:szCs w:val="28"/>
        </w:rPr>
      </w:pPr>
    </w:p>
    <w:p w14:paraId="247E4969" w14:textId="2DB96E7F" w:rsidR="00627E97" w:rsidRDefault="00627E97" w:rsidP="00627E97">
      <w:pPr>
        <w:rPr>
          <w:rFonts w:ascii="Arial" w:hAnsi="Arial" w:cs="Arial"/>
          <w:sz w:val="21"/>
          <w:szCs w:val="21"/>
        </w:rPr>
      </w:pPr>
      <w:r w:rsidRPr="00627E97">
        <w:rPr>
          <w:rFonts w:ascii="Arial" w:hAnsi="Arial" w:cs="Arial"/>
          <w:sz w:val="21"/>
          <w:szCs w:val="21"/>
        </w:rPr>
        <w:t>Babbie, E.R. (2016) The Practice of Social Research. 14th edn. Boston, Ma: Cengage Learning.</w:t>
      </w:r>
    </w:p>
    <w:p w14:paraId="3DD0B7E8" w14:textId="77777777" w:rsidR="00627E97" w:rsidRPr="00627E97" w:rsidRDefault="00627E97" w:rsidP="00627E97">
      <w:pPr>
        <w:rPr>
          <w:rFonts w:ascii="Arial" w:hAnsi="Arial" w:cs="Arial"/>
          <w:sz w:val="21"/>
          <w:szCs w:val="21"/>
        </w:rPr>
      </w:pPr>
    </w:p>
    <w:p w14:paraId="1BD30256" w14:textId="0B2C1AD9" w:rsidR="00627E97" w:rsidRDefault="00627E97" w:rsidP="00627E97">
      <w:pPr>
        <w:rPr>
          <w:rFonts w:ascii="Arial" w:hAnsi="Arial" w:cs="Arial"/>
          <w:sz w:val="21"/>
          <w:szCs w:val="21"/>
        </w:rPr>
      </w:pPr>
      <w:r w:rsidRPr="00627E97">
        <w:rPr>
          <w:rFonts w:ascii="Arial" w:hAnsi="Arial" w:cs="Arial"/>
          <w:sz w:val="21"/>
          <w:szCs w:val="21"/>
        </w:rPr>
        <w:t>Bowlby, J. (1997) Attachment and Loss. London: Pimlico.</w:t>
      </w:r>
    </w:p>
    <w:p w14:paraId="360EA8F6" w14:textId="77777777" w:rsidR="00627E97" w:rsidRPr="00627E97" w:rsidRDefault="00627E97" w:rsidP="00627E97">
      <w:pPr>
        <w:rPr>
          <w:rFonts w:ascii="Arial" w:hAnsi="Arial" w:cs="Arial"/>
          <w:sz w:val="21"/>
          <w:szCs w:val="21"/>
        </w:rPr>
      </w:pPr>
    </w:p>
    <w:p w14:paraId="761225DE" w14:textId="3143A392" w:rsidR="00627E97" w:rsidRDefault="00627E97" w:rsidP="00627E97">
      <w:pPr>
        <w:rPr>
          <w:rFonts w:ascii="Arial" w:hAnsi="Arial" w:cs="Arial"/>
          <w:sz w:val="21"/>
          <w:szCs w:val="21"/>
        </w:rPr>
      </w:pPr>
      <w:r w:rsidRPr="00627E97">
        <w:rPr>
          <w:rFonts w:ascii="Arial" w:hAnsi="Arial" w:cs="Arial"/>
          <w:sz w:val="21"/>
          <w:szCs w:val="21"/>
        </w:rPr>
        <w:t xml:space="preserve">British Educational Research Association (2024) Ethical Guidelines for Educational Research. </w:t>
      </w:r>
    </w:p>
    <w:p w14:paraId="090D51C5" w14:textId="55CC3996" w:rsidR="00627E97" w:rsidRDefault="00627E97" w:rsidP="00627E97">
      <w:pPr>
        <w:rPr>
          <w:rFonts w:ascii="Arial" w:hAnsi="Arial" w:cs="Arial"/>
          <w:sz w:val="21"/>
          <w:szCs w:val="21"/>
        </w:rPr>
      </w:pPr>
      <w:r w:rsidRPr="00627E97">
        <w:rPr>
          <w:rFonts w:ascii="Arial" w:hAnsi="Arial" w:cs="Arial"/>
          <w:sz w:val="21"/>
          <w:szCs w:val="21"/>
        </w:rPr>
        <w:t>5th edn. London: British Educational Research Association.</w:t>
      </w:r>
    </w:p>
    <w:p w14:paraId="16CA1147" w14:textId="77777777" w:rsidR="00627E97" w:rsidRPr="00627E97" w:rsidRDefault="00627E97" w:rsidP="00627E97">
      <w:pPr>
        <w:rPr>
          <w:rFonts w:ascii="Arial" w:hAnsi="Arial" w:cs="Arial"/>
          <w:sz w:val="21"/>
          <w:szCs w:val="21"/>
        </w:rPr>
      </w:pPr>
    </w:p>
    <w:p w14:paraId="5F06B2B4" w14:textId="2A1207C1" w:rsidR="00627E97" w:rsidRDefault="00627E97" w:rsidP="00627E97">
      <w:pPr>
        <w:rPr>
          <w:rFonts w:ascii="Arial" w:hAnsi="Arial" w:cs="Arial"/>
          <w:sz w:val="21"/>
          <w:szCs w:val="21"/>
        </w:rPr>
      </w:pPr>
      <w:r w:rsidRPr="00627E97">
        <w:rPr>
          <w:rFonts w:ascii="Arial" w:hAnsi="Arial" w:cs="Arial"/>
          <w:sz w:val="21"/>
          <w:szCs w:val="21"/>
        </w:rPr>
        <w:t>Bryman, A. (2016) Social Research Methods. 5th edn. Oxford: Oxford University Press.</w:t>
      </w:r>
    </w:p>
    <w:p w14:paraId="10C04D36" w14:textId="77777777" w:rsidR="00627E97" w:rsidRPr="00627E97" w:rsidRDefault="00627E97" w:rsidP="00627E97">
      <w:pPr>
        <w:rPr>
          <w:rFonts w:ascii="Arial" w:hAnsi="Arial" w:cs="Arial"/>
          <w:sz w:val="21"/>
          <w:szCs w:val="21"/>
        </w:rPr>
      </w:pPr>
    </w:p>
    <w:p w14:paraId="1F028FD0" w14:textId="6D61C63A" w:rsidR="00627E97" w:rsidRDefault="00627E97" w:rsidP="00627E97">
      <w:pPr>
        <w:rPr>
          <w:rFonts w:ascii="Arial" w:hAnsi="Arial" w:cs="Arial"/>
          <w:sz w:val="21"/>
          <w:szCs w:val="21"/>
        </w:rPr>
      </w:pPr>
      <w:r w:rsidRPr="00627E97">
        <w:rPr>
          <w:rFonts w:ascii="Arial" w:hAnsi="Arial" w:cs="Arial"/>
          <w:sz w:val="21"/>
          <w:szCs w:val="21"/>
        </w:rPr>
        <w:t xml:space="preserve">Cicchetti, D. (2016) Developmental psychopathology: Risk, Resilience and </w:t>
      </w:r>
      <w:proofErr w:type="gramStart"/>
      <w:r w:rsidRPr="00627E97">
        <w:rPr>
          <w:rFonts w:ascii="Arial" w:hAnsi="Arial" w:cs="Arial"/>
          <w:sz w:val="21"/>
          <w:szCs w:val="21"/>
        </w:rPr>
        <w:t>intervention .</w:t>
      </w:r>
      <w:proofErr w:type="gramEnd"/>
      <w:r w:rsidRPr="00627E97">
        <w:rPr>
          <w:rFonts w:ascii="Arial" w:hAnsi="Arial" w:cs="Arial"/>
          <w:sz w:val="21"/>
          <w:szCs w:val="21"/>
        </w:rPr>
        <w:t xml:space="preserve"> 3rd edition. Hoboken, New Jersey: John Wiley &amp; Sons, Inc. </w:t>
      </w:r>
    </w:p>
    <w:p w14:paraId="18E391EC" w14:textId="77777777" w:rsidR="00627E97" w:rsidRPr="00627E97" w:rsidRDefault="00627E97" w:rsidP="00627E97">
      <w:pPr>
        <w:rPr>
          <w:rFonts w:ascii="Arial" w:hAnsi="Arial" w:cs="Arial"/>
          <w:sz w:val="21"/>
          <w:szCs w:val="21"/>
        </w:rPr>
      </w:pPr>
    </w:p>
    <w:p w14:paraId="4053F208" w14:textId="5AFE8173" w:rsidR="00627E97" w:rsidRDefault="00627E97" w:rsidP="00627E97">
      <w:pPr>
        <w:rPr>
          <w:rFonts w:ascii="Arial" w:hAnsi="Arial" w:cs="Arial"/>
          <w:sz w:val="21"/>
          <w:szCs w:val="21"/>
        </w:rPr>
      </w:pPr>
      <w:r w:rsidRPr="00627E97">
        <w:rPr>
          <w:rFonts w:ascii="Arial" w:hAnsi="Arial" w:cs="Arial"/>
          <w:sz w:val="21"/>
          <w:szCs w:val="21"/>
        </w:rPr>
        <w:t>Creswell, J.W. (2013) Qualitative inquiry &amp; research design: Choosing among five approaches. 3rd edn. Los Angeles: Sage Publications.</w:t>
      </w:r>
    </w:p>
    <w:p w14:paraId="70B905A5" w14:textId="77777777" w:rsidR="00627E97" w:rsidRPr="00627E97" w:rsidRDefault="00627E97" w:rsidP="00627E97">
      <w:pPr>
        <w:rPr>
          <w:rFonts w:ascii="Arial" w:hAnsi="Arial" w:cs="Arial"/>
          <w:sz w:val="21"/>
          <w:szCs w:val="21"/>
        </w:rPr>
      </w:pPr>
    </w:p>
    <w:p w14:paraId="6F790414" w14:textId="051A883A" w:rsidR="00627E97" w:rsidRDefault="00627E97" w:rsidP="00627E97">
      <w:pPr>
        <w:rPr>
          <w:rFonts w:ascii="Arial" w:hAnsi="Arial" w:cs="Arial"/>
          <w:sz w:val="21"/>
          <w:szCs w:val="21"/>
        </w:rPr>
      </w:pPr>
      <w:r w:rsidRPr="00627E97">
        <w:rPr>
          <w:rFonts w:ascii="Arial" w:hAnsi="Arial" w:cs="Arial"/>
          <w:sz w:val="21"/>
          <w:szCs w:val="21"/>
        </w:rPr>
        <w:t>Deci, E.L. and Ryan, R.M. (2000) ‘The “What” and “Why” of Goal pursuits: Human Needs and the self-determination of Behavior’, Psychological Inquiry, 11(4), pp. 227–268.</w:t>
      </w:r>
    </w:p>
    <w:p w14:paraId="65E8C128" w14:textId="77777777" w:rsidR="00627E97" w:rsidRPr="00627E97" w:rsidRDefault="00627E97" w:rsidP="00627E97">
      <w:pPr>
        <w:rPr>
          <w:rFonts w:ascii="Arial" w:hAnsi="Arial" w:cs="Arial"/>
          <w:sz w:val="21"/>
          <w:szCs w:val="21"/>
        </w:rPr>
      </w:pPr>
    </w:p>
    <w:p w14:paraId="109E780B" w14:textId="2D46FC31" w:rsidR="00627E97" w:rsidRDefault="00627E97" w:rsidP="00627E97">
      <w:pPr>
        <w:rPr>
          <w:rFonts w:ascii="Arial" w:hAnsi="Arial" w:cs="Arial"/>
          <w:sz w:val="21"/>
          <w:szCs w:val="21"/>
        </w:rPr>
      </w:pPr>
      <w:r w:rsidRPr="00627E97">
        <w:rPr>
          <w:rFonts w:ascii="Arial" w:hAnsi="Arial" w:cs="Arial"/>
          <w:sz w:val="21"/>
          <w:szCs w:val="21"/>
        </w:rPr>
        <w:t xml:space="preserve">Devellis, R.F. (2016) Scale </w:t>
      </w:r>
      <w:proofErr w:type="gramStart"/>
      <w:r w:rsidRPr="00627E97">
        <w:rPr>
          <w:rFonts w:ascii="Arial" w:hAnsi="Arial" w:cs="Arial"/>
          <w:sz w:val="21"/>
          <w:szCs w:val="21"/>
        </w:rPr>
        <w:t>development :</w:t>
      </w:r>
      <w:proofErr w:type="gramEnd"/>
      <w:r w:rsidRPr="00627E97">
        <w:rPr>
          <w:rFonts w:ascii="Arial" w:hAnsi="Arial" w:cs="Arial"/>
          <w:sz w:val="21"/>
          <w:szCs w:val="21"/>
        </w:rPr>
        <w:t xml:space="preserve"> theory and applications. Thousand Oaks: Sage Publications, Inc.</w:t>
      </w:r>
    </w:p>
    <w:p w14:paraId="1745A36B" w14:textId="77777777" w:rsidR="00627E97" w:rsidRPr="00627E97" w:rsidRDefault="00627E97" w:rsidP="00627E97">
      <w:pPr>
        <w:rPr>
          <w:rFonts w:ascii="Arial" w:hAnsi="Arial" w:cs="Arial"/>
          <w:sz w:val="21"/>
          <w:szCs w:val="21"/>
        </w:rPr>
      </w:pPr>
    </w:p>
    <w:p w14:paraId="2A6FEC61" w14:textId="659AFB83" w:rsidR="00627E97" w:rsidRDefault="00627E97" w:rsidP="00627E97">
      <w:pPr>
        <w:rPr>
          <w:rFonts w:ascii="Arial" w:hAnsi="Arial" w:cs="Arial"/>
          <w:sz w:val="21"/>
          <w:szCs w:val="21"/>
        </w:rPr>
      </w:pPr>
      <w:r w:rsidRPr="00627E97">
        <w:rPr>
          <w:rFonts w:ascii="Arial" w:hAnsi="Arial" w:cs="Arial"/>
          <w:sz w:val="21"/>
          <w:szCs w:val="21"/>
        </w:rPr>
        <w:t xml:space="preserve">Dillman, D.A., Smyth, J.D. and Christian, L.M. (2014) Internet, phone, mail, and mixed-mode </w:t>
      </w:r>
      <w:proofErr w:type="gramStart"/>
      <w:r w:rsidRPr="00627E97">
        <w:rPr>
          <w:rFonts w:ascii="Arial" w:hAnsi="Arial" w:cs="Arial"/>
          <w:sz w:val="21"/>
          <w:szCs w:val="21"/>
        </w:rPr>
        <w:t>surveys :</w:t>
      </w:r>
      <w:proofErr w:type="gramEnd"/>
      <w:r w:rsidRPr="00627E97">
        <w:rPr>
          <w:rFonts w:ascii="Arial" w:hAnsi="Arial" w:cs="Arial"/>
          <w:sz w:val="21"/>
          <w:szCs w:val="21"/>
        </w:rPr>
        <w:t xml:space="preserve"> the tailored design method. 4th edn. Hoboken, New Jersey: Wiley.</w:t>
      </w:r>
    </w:p>
    <w:p w14:paraId="05AFC0E9" w14:textId="77777777" w:rsidR="00627E97" w:rsidRPr="00627E97" w:rsidRDefault="00627E97" w:rsidP="00627E97">
      <w:pPr>
        <w:rPr>
          <w:rFonts w:ascii="Arial" w:hAnsi="Arial" w:cs="Arial"/>
          <w:sz w:val="21"/>
          <w:szCs w:val="21"/>
        </w:rPr>
      </w:pPr>
    </w:p>
    <w:p w14:paraId="22CC096D" w14:textId="511176E8" w:rsidR="00627E97" w:rsidRDefault="00627E97" w:rsidP="00627E97">
      <w:pPr>
        <w:rPr>
          <w:rFonts w:ascii="Arial" w:hAnsi="Arial" w:cs="Arial"/>
          <w:sz w:val="21"/>
          <w:szCs w:val="21"/>
        </w:rPr>
      </w:pPr>
      <w:r w:rsidRPr="00627E97">
        <w:rPr>
          <w:rFonts w:ascii="Arial" w:hAnsi="Arial" w:cs="Arial"/>
          <w:sz w:val="21"/>
          <w:szCs w:val="21"/>
        </w:rPr>
        <w:t xml:space="preserve">Durlak, J.A. et al. (2011) ‘The impact of enhancing students’ social and emotional learning: A meta-analysis of school-based universal interventions’, Child Development, 82(1), pp. 405–432. Available at: </w:t>
      </w:r>
      <w:hyperlink r:id="rId12" w:history="1">
        <w:r w:rsidRPr="001C5EB8">
          <w:rPr>
            <w:rStyle w:val="Hyperlink"/>
            <w:rFonts w:ascii="Arial" w:hAnsi="Arial" w:cs="Arial"/>
            <w:sz w:val="21"/>
            <w:szCs w:val="21"/>
          </w:rPr>
          <w:t>https://doi.org/10.1111/j.1467-8624.2010.01564.x</w:t>
        </w:r>
      </w:hyperlink>
      <w:r w:rsidRPr="00627E97">
        <w:rPr>
          <w:rFonts w:ascii="Arial" w:hAnsi="Arial" w:cs="Arial"/>
          <w:sz w:val="21"/>
          <w:szCs w:val="21"/>
        </w:rPr>
        <w:t>.</w:t>
      </w:r>
    </w:p>
    <w:p w14:paraId="062AAA72" w14:textId="77777777" w:rsidR="00627E97" w:rsidRPr="00627E97" w:rsidRDefault="00627E97" w:rsidP="00627E97">
      <w:pPr>
        <w:rPr>
          <w:rFonts w:ascii="Arial" w:hAnsi="Arial" w:cs="Arial"/>
          <w:sz w:val="21"/>
          <w:szCs w:val="21"/>
        </w:rPr>
      </w:pPr>
    </w:p>
    <w:p w14:paraId="08925951" w14:textId="01D8A7D0" w:rsidR="00627E97" w:rsidRDefault="00627E97" w:rsidP="00627E97">
      <w:pPr>
        <w:rPr>
          <w:rFonts w:ascii="Arial" w:hAnsi="Arial" w:cs="Arial"/>
          <w:sz w:val="21"/>
          <w:szCs w:val="21"/>
        </w:rPr>
      </w:pPr>
      <w:r w:rsidRPr="00627E97">
        <w:rPr>
          <w:rFonts w:ascii="Arial" w:hAnsi="Arial" w:cs="Arial"/>
          <w:sz w:val="21"/>
          <w:szCs w:val="21"/>
        </w:rPr>
        <w:t xml:space="preserve">Eisenhardt, K.M. (1989) ‘Building Theories from Case Study Research’, The Academy of Management Review, 14(4), pp. 532–550. Available at: </w:t>
      </w:r>
      <w:hyperlink r:id="rId13" w:history="1">
        <w:r w:rsidRPr="001C5EB8">
          <w:rPr>
            <w:rStyle w:val="Hyperlink"/>
            <w:rFonts w:ascii="Arial" w:hAnsi="Arial" w:cs="Arial"/>
            <w:sz w:val="21"/>
            <w:szCs w:val="21"/>
          </w:rPr>
          <w:t>https://doi.org/10.2307/258557</w:t>
        </w:r>
      </w:hyperlink>
      <w:r w:rsidRPr="00627E97">
        <w:rPr>
          <w:rFonts w:ascii="Arial" w:hAnsi="Arial" w:cs="Arial"/>
          <w:sz w:val="21"/>
          <w:szCs w:val="21"/>
        </w:rPr>
        <w:t>.</w:t>
      </w:r>
    </w:p>
    <w:p w14:paraId="24ADA004" w14:textId="77777777" w:rsidR="00627E97" w:rsidRPr="00627E97" w:rsidRDefault="00627E97" w:rsidP="00627E97">
      <w:pPr>
        <w:rPr>
          <w:rFonts w:ascii="Arial" w:hAnsi="Arial" w:cs="Arial"/>
          <w:sz w:val="21"/>
          <w:szCs w:val="21"/>
        </w:rPr>
      </w:pPr>
    </w:p>
    <w:p w14:paraId="71792D2C" w14:textId="6FAA7761" w:rsidR="00627E97" w:rsidRDefault="00627E97" w:rsidP="00627E97">
      <w:pPr>
        <w:rPr>
          <w:rFonts w:ascii="Arial" w:hAnsi="Arial" w:cs="Arial"/>
          <w:sz w:val="21"/>
          <w:szCs w:val="21"/>
        </w:rPr>
      </w:pPr>
      <w:r w:rsidRPr="00627E97">
        <w:rPr>
          <w:rFonts w:ascii="Arial" w:hAnsi="Arial" w:cs="Arial"/>
          <w:sz w:val="21"/>
          <w:szCs w:val="21"/>
        </w:rPr>
        <w:t xml:space="preserve">Few, S. (2004) Show me the </w:t>
      </w:r>
      <w:proofErr w:type="gramStart"/>
      <w:r w:rsidRPr="00627E97">
        <w:rPr>
          <w:rFonts w:ascii="Arial" w:hAnsi="Arial" w:cs="Arial"/>
          <w:sz w:val="21"/>
          <w:szCs w:val="21"/>
        </w:rPr>
        <w:t>numbers :</w:t>
      </w:r>
      <w:proofErr w:type="gramEnd"/>
      <w:r w:rsidRPr="00627E97">
        <w:rPr>
          <w:rFonts w:ascii="Arial" w:hAnsi="Arial" w:cs="Arial"/>
          <w:sz w:val="21"/>
          <w:szCs w:val="21"/>
        </w:rPr>
        <w:t xml:space="preserve"> designing tables and graphs to enlighten. Burlingame: Analytic Press.</w:t>
      </w:r>
    </w:p>
    <w:p w14:paraId="79B2B382" w14:textId="77777777" w:rsidR="00627E97" w:rsidRPr="00627E97" w:rsidRDefault="00627E97" w:rsidP="00627E97">
      <w:pPr>
        <w:rPr>
          <w:rFonts w:ascii="Arial" w:hAnsi="Arial" w:cs="Arial"/>
          <w:sz w:val="21"/>
          <w:szCs w:val="21"/>
        </w:rPr>
      </w:pPr>
    </w:p>
    <w:p w14:paraId="50C6EC64" w14:textId="579D68F4" w:rsidR="00627E97" w:rsidRDefault="00627E97" w:rsidP="00627E97">
      <w:pPr>
        <w:rPr>
          <w:rFonts w:ascii="Arial" w:hAnsi="Arial" w:cs="Arial"/>
          <w:sz w:val="21"/>
          <w:szCs w:val="21"/>
        </w:rPr>
      </w:pPr>
      <w:r w:rsidRPr="00627E97">
        <w:rPr>
          <w:rFonts w:ascii="Arial" w:hAnsi="Arial" w:cs="Arial"/>
          <w:sz w:val="21"/>
          <w:szCs w:val="21"/>
        </w:rPr>
        <w:t>Field, A.P. (2013) Discovering statistics using IBM SPSS statistics. 4th edn. London: Sage Publications Ltd.</w:t>
      </w:r>
    </w:p>
    <w:p w14:paraId="4CD033AE" w14:textId="77777777" w:rsidR="00627E97" w:rsidRPr="00627E97" w:rsidRDefault="00627E97" w:rsidP="00627E97">
      <w:pPr>
        <w:rPr>
          <w:rFonts w:ascii="Arial" w:hAnsi="Arial" w:cs="Arial"/>
          <w:sz w:val="21"/>
          <w:szCs w:val="21"/>
        </w:rPr>
      </w:pPr>
    </w:p>
    <w:p w14:paraId="7A679875" w14:textId="6A5B6849" w:rsidR="00627E97" w:rsidRDefault="00627E97" w:rsidP="00627E97">
      <w:pPr>
        <w:rPr>
          <w:rFonts w:ascii="Arial" w:hAnsi="Arial" w:cs="Arial"/>
          <w:sz w:val="21"/>
          <w:szCs w:val="21"/>
        </w:rPr>
      </w:pPr>
      <w:r w:rsidRPr="00627E97">
        <w:rPr>
          <w:rFonts w:ascii="Arial" w:hAnsi="Arial" w:cs="Arial"/>
          <w:sz w:val="21"/>
          <w:szCs w:val="21"/>
        </w:rPr>
        <w:t>Fowler, F.J. (2009) Survey research methods. 4th edn. Los Angeles (I.E. Thousand Oaks, Calif.): Sage Publications.</w:t>
      </w:r>
    </w:p>
    <w:p w14:paraId="4FBC9CB3" w14:textId="77777777" w:rsidR="00627E97" w:rsidRPr="00627E97" w:rsidRDefault="00627E97" w:rsidP="00627E97">
      <w:pPr>
        <w:rPr>
          <w:rFonts w:ascii="Arial" w:hAnsi="Arial" w:cs="Arial"/>
          <w:sz w:val="21"/>
          <w:szCs w:val="21"/>
        </w:rPr>
      </w:pPr>
    </w:p>
    <w:p w14:paraId="7350C26D" w14:textId="57780589" w:rsidR="00627E97" w:rsidRDefault="00627E97" w:rsidP="00627E97">
      <w:pPr>
        <w:rPr>
          <w:rFonts w:ascii="Arial" w:hAnsi="Arial" w:cs="Arial"/>
          <w:sz w:val="21"/>
          <w:szCs w:val="21"/>
        </w:rPr>
      </w:pPr>
      <w:r w:rsidRPr="00627E97">
        <w:rPr>
          <w:rFonts w:ascii="Arial" w:hAnsi="Arial" w:cs="Arial"/>
          <w:sz w:val="21"/>
          <w:szCs w:val="21"/>
        </w:rPr>
        <w:t xml:space="preserve">Fredricks, J.A., Blumenfeld, P.C. and Paris, A.H. (2004) ‘School Engagement: Potential of the Concept, State of the Evidence’, Review of Educational Research, 74(1), pp. 59–109. Available at: </w:t>
      </w:r>
      <w:hyperlink r:id="rId14" w:history="1">
        <w:r w:rsidRPr="001C5EB8">
          <w:rPr>
            <w:rStyle w:val="Hyperlink"/>
            <w:rFonts w:ascii="Arial" w:hAnsi="Arial" w:cs="Arial"/>
            <w:sz w:val="21"/>
            <w:szCs w:val="21"/>
          </w:rPr>
          <w:t>https://doi.org/10.3102/00346543074001059</w:t>
        </w:r>
      </w:hyperlink>
      <w:r w:rsidRPr="00627E97">
        <w:rPr>
          <w:rFonts w:ascii="Arial" w:hAnsi="Arial" w:cs="Arial"/>
          <w:sz w:val="21"/>
          <w:szCs w:val="21"/>
        </w:rPr>
        <w:t>.</w:t>
      </w:r>
    </w:p>
    <w:p w14:paraId="198A7806" w14:textId="77777777" w:rsidR="00627E97" w:rsidRPr="00627E97" w:rsidRDefault="00627E97" w:rsidP="00627E97">
      <w:pPr>
        <w:rPr>
          <w:rFonts w:ascii="Arial" w:hAnsi="Arial" w:cs="Arial"/>
          <w:sz w:val="21"/>
          <w:szCs w:val="21"/>
        </w:rPr>
      </w:pPr>
    </w:p>
    <w:p w14:paraId="7C3FCE99" w14:textId="494BC6DC" w:rsidR="00627E97" w:rsidRDefault="00627E97" w:rsidP="00627E97">
      <w:pPr>
        <w:rPr>
          <w:rFonts w:ascii="Arial" w:hAnsi="Arial" w:cs="Arial"/>
          <w:sz w:val="21"/>
          <w:szCs w:val="21"/>
        </w:rPr>
      </w:pPr>
      <w:r w:rsidRPr="00627E97">
        <w:rPr>
          <w:rFonts w:ascii="Arial" w:hAnsi="Arial" w:cs="Arial"/>
          <w:sz w:val="21"/>
          <w:szCs w:val="21"/>
        </w:rPr>
        <w:t xml:space="preserve">Huppert, F.A. and So, T.T.C. (2013) ‘Flourishing Across Europe: Application of a New Conceptual Framework for Defining Well-Being’, Social Indicators Research, 110(3), pp. 837–861. Available at: </w:t>
      </w:r>
      <w:hyperlink r:id="rId15" w:history="1">
        <w:r w:rsidRPr="001C5EB8">
          <w:rPr>
            <w:rStyle w:val="Hyperlink"/>
            <w:rFonts w:ascii="Arial" w:hAnsi="Arial" w:cs="Arial"/>
            <w:sz w:val="21"/>
            <w:szCs w:val="21"/>
          </w:rPr>
          <w:t>https://doi.org/10.1007/s11205-011-9966-7</w:t>
        </w:r>
      </w:hyperlink>
      <w:r w:rsidRPr="00627E97">
        <w:rPr>
          <w:rFonts w:ascii="Arial" w:hAnsi="Arial" w:cs="Arial"/>
          <w:sz w:val="21"/>
          <w:szCs w:val="21"/>
        </w:rPr>
        <w:t>.</w:t>
      </w:r>
    </w:p>
    <w:p w14:paraId="70BC63A4" w14:textId="77777777" w:rsidR="00627E97" w:rsidRPr="00627E97" w:rsidRDefault="00627E97" w:rsidP="00627E97">
      <w:pPr>
        <w:rPr>
          <w:rFonts w:ascii="Arial" w:hAnsi="Arial" w:cs="Arial"/>
          <w:sz w:val="21"/>
          <w:szCs w:val="21"/>
        </w:rPr>
      </w:pPr>
    </w:p>
    <w:p w14:paraId="36E5BF4A" w14:textId="3B4D8EA7" w:rsidR="00627E97" w:rsidRDefault="00627E97" w:rsidP="00627E97">
      <w:pPr>
        <w:rPr>
          <w:rFonts w:ascii="Arial" w:hAnsi="Arial" w:cs="Arial"/>
          <w:sz w:val="21"/>
          <w:szCs w:val="21"/>
        </w:rPr>
      </w:pPr>
      <w:r w:rsidRPr="00627E97">
        <w:rPr>
          <w:rFonts w:ascii="Arial" w:hAnsi="Arial" w:cs="Arial"/>
          <w:sz w:val="21"/>
          <w:szCs w:val="21"/>
        </w:rPr>
        <w:t xml:space="preserve">Luthar, S.S. (2015) ‘Resilience in Development: A Synthesis of Research across Five Decades’, Developmental Psychopathology, 3, pp. 739–795. Available at: </w:t>
      </w:r>
      <w:hyperlink r:id="rId16" w:history="1">
        <w:r w:rsidRPr="001C5EB8">
          <w:rPr>
            <w:rStyle w:val="Hyperlink"/>
            <w:rFonts w:ascii="Arial" w:hAnsi="Arial" w:cs="Arial"/>
            <w:sz w:val="21"/>
            <w:szCs w:val="21"/>
          </w:rPr>
          <w:t>https://doi.org/10.1002/9780470939406.ch20</w:t>
        </w:r>
      </w:hyperlink>
      <w:r w:rsidRPr="00627E97">
        <w:rPr>
          <w:rFonts w:ascii="Arial" w:hAnsi="Arial" w:cs="Arial"/>
          <w:sz w:val="21"/>
          <w:szCs w:val="21"/>
        </w:rPr>
        <w:t>.</w:t>
      </w:r>
    </w:p>
    <w:p w14:paraId="7E2E3CC5" w14:textId="77777777" w:rsidR="00627E97" w:rsidRPr="00627E97" w:rsidRDefault="00627E97" w:rsidP="00627E97">
      <w:pPr>
        <w:rPr>
          <w:rFonts w:ascii="Arial" w:hAnsi="Arial" w:cs="Arial"/>
          <w:sz w:val="21"/>
          <w:szCs w:val="21"/>
        </w:rPr>
      </w:pPr>
    </w:p>
    <w:p w14:paraId="26E84F87" w14:textId="77777777" w:rsidR="00627E97" w:rsidRPr="00627E97" w:rsidRDefault="00627E97" w:rsidP="00627E97">
      <w:pPr>
        <w:rPr>
          <w:rFonts w:ascii="Arial" w:hAnsi="Arial" w:cs="Arial"/>
          <w:sz w:val="21"/>
          <w:szCs w:val="21"/>
        </w:rPr>
      </w:pPr>
      <w:r w:rsidRPr="00627E97">
        <w:rPr>
          <w:rFonts w:ascii="Arial" w:hAnsi="Arial" w:cs="Arial"/>
          <w:sz w:val="21"/>
          <w:szCs w:val="21"/>
        </w:rPr>
        <w:t>Maslow, A.H. (1943) ‘A Theory of Human Motivation’, Psychological Review, 50(4), pp. 370–396. Available at: https://doi.org/10.1037/h0054346.</w:t>
      </w:r>
    </w:p>
    <w:p w14:paraId="393FB91F" w14:textId="29666CFE" w:rsidR="00627E97" w:rsidRDefault="00627E97" w:rsidP="00627E97">
      <w:pPr>
        <w:rPr>
          <w:rFonts w:ascii="Arial" w:hAnsi="Arial" w:cs="Arial"/>
          <w:sz w:val="21"/>
          <w:szCs w:val="21"/>
        </w:rPr>
      </w:pPr>
      <w:r w:rsidRPr="00627E97">
        <w:rPr>
          <w:rFonts w:ascii="Arial" w:hAnsi="Arial" w:cs="Arial"/>
          <w:sz w:val="21"/>
          <w:szCs w:val="21"/>
        </w:rPr>
        <w:lastRenderedPageBreak/>
        <w:t>Merriam, S.B. and Tisdell, E.J. (2016) Qualitative research: A guide to design and implementation. 4th edn. San Francisco, Ca: Jossey-Bass.</w:t>
      </w:r>
    </w:p>
    <w:p w14:paraId="59701B52" w14:textId="77777777" w:rsidR="00627E97" w:rsidRPr="00627E97" w:rsidRDefault="00627E97" w:rsidP="00627E97">
      <w:pPr>
        <w:rPr>
          <w:rFonts w:ascii="Arial" w:hAnsi="Arial" w:cs="Arial"/>
          <w:sz w:val="21"/>
          <w:szCs w:val="21"/>
        </w:rPr>
      </w:pPr>
    </w:p>
    <w:p w14:paraId="5CADB440" w14:textId="3CD50AD5" w:rsidR="00627E97" w:rsidRDefault="00627E97" w:rsidP="00627E97">
      <w:pPr>
        <w:rPr>
          <w:rFonts w:ascii="Arial" w:hAnsi="Arial" w:cs="Arial"/>
          <w:sz w:val="21"/>
          <w:szCs w:val="21"/>
        </w:rPr>
      </w:pPr>
      <w:r w:rsidRPr="00627E97">
        <w:rPr>
          <w:rFonts w:ascii="Arial" w:hAnsi="Arial" w:cs="Arial"/>
          <w:sz w:val="21"/>
          <w:szCs w:val="21"/>
        </w:rPr>
        <w:t>Podsakoff, P.M. et al. (2003) ‘Common Method Biases in Behavioral research: a Critical Review of the Literature and Recommended remedies.’, Journal of Applied Psychology, 88(5), pp. 879–903.</w:t>
      </w:r>
    </w:p>
    <w:p w14:paraId="540D5263" w14:textId="77777777" w:rsidR="00627E97" w:rsidRPr="00627E97" w:rsidRDefault="00627E97" w:rsidP="00627E97">
      <w:pPr>
        <w:rPr>
          <w:rFonts w:ascii="Arial" w:hAnsi="Arial" w:cs="Arial"/>
          <w:sz w:val="21"/>
          <w:szCs w:val="21"/>
        </w:rPr>
      </w:pPr>
    </w:p>
    <w:p w14:paraId="0EE8DADD" w14:textId="21F050BF" w:rsidR="00627E97" w:rsidRDefault="00627E97" w:rsidP="00627E97">
      <w:pPr>
        <w:rPr>
          <w:rFonts w:ascii="Arial" w:hAnsi="Arial" w:cs="Arial"/>
          <w:sz w:val="21"/>
          <w:szCs w:val="21"/>
        </w:rPr>
      </w:pPr>
      <w:r w:rsidRPr="00627E97">
        <w:rPr>
          <w:rFonts w:ascii="Arial" w:hAnsi="Arial" w:cs="Arial"/>
          <w:sz w:val="21"/>
          <w:szCs w:val="21"/>
        </w:rPr>
        <w:t xml:space="preserve">Roeser, R.W. et al. (2012) ‘Mindfulness Training and Teachers’ Professional Development: An Emerging Area of Research and Practice’, Child Development Perspectives, 6(2), pp. 167–173. Available at: </w:t>
      </w:r>
      <w:hyperlink r:id="rId17" w:history="1">
        <w:r w:rsidRPr="001C5EB8">
          <w:rPr>
            <w:rStyle w:val="Hyperlink"/>
            <w:rFonts w:ascii="Arial" w:hAnsi="Arial" w:cs="Arial"/>
            <w:sz w:val="21"/>
            <w:szCs w:val="21"/>
          </w:rPr>
          <w:t>https://doi.org/10.1111/j.1750-8606.2012.00238.x</w:t>
        </w:r>
      </w:hyperlink>
      <w:r w:rsidRPr="00627E97">
        <w:rPr>
          <w:rFonts w:ascii="Arial" w:hAnsi="Arial" w:cs="Arial"/>
          <w:sz w:val="21"/>
          <w:szCs w:val="21"/>
        </w:rPr>
        <w:t>.</w:t>
      </w:r>
    </w:p>
    <w:p w14:paraId="13DFF23E" w14:textId="77777777" w:rsidR="00627E97" w:rsidRPr="00627E97" w:rsidRDefault="00627E97" w:rsidP="00627E97">
      <w:pPr>
        <w:rPr>
          <w:rFonts w:ascii="Arial" w:hAnsi="Arial" w:cs="Arial"/>
          <w:sz w:val="21"/>
          <w:szCs w:val="21"/>
        </w:rPr>
      </w:pPr>
    </w:p>
    <w:p w14:paraId="1620FB12" w14:textId="2118FA90" w:rsidR="00627E97" w:rsidRDefault="00627E97" w:rsidP="00627E97">
      <w:pPr>
        <w:rPr>
          <w:rFonts w:ascii="Arial" w:hAnsi="Arial" w:cs="Arial"/>
          <w:sz w:val="21"/>
          <w:szCs w:val="21"/>
        </w:rPr>
      </w:pPr>
      <w:r w:rsidRPr="00627E97">
        <w:rPr>
          <w:rFonts w:ascii="Arial" w:hAnsi="Arial" w:cs="Arial"/>
          <w:sz w:val="21"/>
          <w:szCs w:val="21"/>
        </w:rPr>
        <w:t>Stake, R.E. (1995) The art of case study research. London: Sage Publications.</w:t>
      </w:r>
    </w:p>
    <w:p w14:paraId="56512B18" w14:textId="77777777" w:rsidR="00627E97" w:rsidRPr="00627E97" w:rsidRDefault="00627E97" w:rsidP="00627E97">
      <w:pPr>
        <w:rPr>
          <w:rFonts w:ascii="Arial" w:hAnsi="Arial" w:cs="Arial"/>
          <w:sz w:val="21"/>
          <w:szCs w:val="21"/>
        </w:rPr>
      </w:pPr>
    </w:p>
    <w:p w14:paraId="0A4CB084" w14:textId="01DC7864" w:rsidR="00627E97" w:rsidRDefault="00627E97" w:rsidP="00627E97">
      <w:pPr>
        <w:rPr>
          <w:rFonts w:ascii="Arial" w:hAnsi="Arial" w:cs="Arial"/>
          <w:sz w:val="21"/>
          <w:szCs w:val="21"/>
        </w:rPr>
      </w:pPr>
      <w:r w:rsidRPr="00627E97">
        <w:rPr>
          <w:rFonts w:ascii="Arial" w:hAnsi="Arial" w:cs="Arial"/>
          <w:sz w:val="21"/>
          <w:szCs w:val="21"/>
        </w:rPr>
        <w:t xml:space="preserve">Suldo, S.M. and Shaffer, E.J. (2008) ‘Looking Beyond Psychopathology: The Dual-Factor Model of Mental Health in Youth’, School Psychology Review, 37(1), pp. 52–68. Available at: </w:t>
      </w:r>
      <w:hyperlink r:id="rId18" w:history="1">
        <w:r w:rsidRPr="001C5EB8">
          <w:rPr>
            <w:rStyle w:val="Hyperlink"/>
            <w:rFonts w:ascii="Arial" w:hAnsi="Arial" w:cs="Arial"/>
            <w:sz w:val="21"/>
            <w:szCs w:val="21"/>
          </w:rPr>
          <w:t>https://doi.org/10.1080/02796015.2008.12087908</w:t>
        </w:r>
      </w:hyperlink>
      <w:r w:rsidRPr="00627E97">
        <w:rPr>
          <w:rFonts w:ascii="Arial" w:hAnsi="Arial" w:cs="Arial"/>
          <w:sz w:val="21"/>
          <w:szCs w:val="21"/>
        </w:rPr>
        <w:t>.</w:t>
      </w:r>
    </w:p>
    <w:p w14:paraId="2CCB7B38" w14:textId="77777777" w:rsidR="00627E97" w:rsidRPr="00627E97" w:rsidRDefault="00627E97" w:rsidP="00627E97">
      <w:pPr>
        <w:rPr>
          <w:rFonts w:ascii="Arial" w:hAnsi="Arial" w:cs="Arial"/>
          <w:sz w:val="21"/>
          <w:szCs w:val="21"/>
        </w:rPr>
      </w:pPr>
    </w:p>
    <w:p w14:paraId="3B1C7CAA" w14:textId="02033753" w:rsidR="00627E97" w:rsidRDefault="00627E97" w:rsidP="00627E97">
      <w:pPr>
        <w:rPr>
          <w:rFonts w:ascii="Arial" w:hAnsi="Arial" w:cs="Arial"/>
          <w:sz w:val="21"/>
          <w:szCs w:val="21"/>
        </w:rPr>
      </w:pPr>
      <w:r w:rsidRPr="00627E97">
        <w:rPr>
          <w:rFonts w:ascii="Arial" w:hAnsi="Arial" w:cs="Arial"/>
          <w:sz w:val="21"/>
          <w:szCs w:val="21"/>
        </w:rPr>
        <w:t>Tufte, E.R. (2001) The visual display of quantitative information. Cheshire, Connecticut: Graphics Press.</w:t>
      </w:r>
    </w:p>
    <w:p w14:paraId="506E17F6" w14:textId="77777777" w:rsidR="00627E97" w:rsidRPr="00627E97" w:rsidRDefault="00627E97" w:rsidP="00627E97">
      <w:pPr>
        <w:rPr>
          <w:rFonts w:ascii="Arial" w:hAnsi="Arial" w:cs="Arial"/>
          <w:sz w:val="21"/>
          <w:szCs w:val="21"/>
        </w:rPr>
      </w:pPr>
    </w:p>
    <w:p w14:paraId="4EE74EE3" w14:textId="2A9A1AAC" w:rsidR="00627E97" w:rsidRDefault="00627E97" w:rsidP="00627E97">
      <w:pPr>
        <w:rPr>
          <w:rFonts w:ascii="Arial" w:hAnsi="Arial" w:cs="Arial"/>
          <w:sz w:val="21"/>
          <w:szCs w:val="21"/>
        </w:rPr>
      </w:pPr>
      <w:r w:rsidRPr="00627E97">
        <w:rPr>
          <w:rFonts w:ascii="Arial" w:hAnsi="Arial" w:cs="Arial"/>
          <w:sz w:val="21"/>
          <w:szCs w:val="21"/>
        </w:rPr>
        <w:t>United Nations (1989) The United Nations Convention on the Rights of the Child. Brill.</w:t>
      </w:r>
    </w:p>
    <w:p w14:paraId="74FDF04E" w14:textId="77777777" w:rsidR="00627E97" w:rsidRPr="00627E97" w:rsidRDefault="00627E97" w:rsidP="00627E97">
      <w:pPr>
        <w:rPr>
          <w:rFonts w:ascii="Arial" w:hAnsi="Arial" w:cs="Arial"/>
          <w:sz w:val="21"/>
          <w:szCs w:val="21"/>
        </w:rPr>
      </w:pPr>
    </w:p>
    <w:p w14:paraId="1ACA3F19" w14:textId="4CF8C68A" w:rsidR="00627E97" w:rsidRDefault="00627E97" w:rsidP="00627E97">
      <w:pPr>
        <w:rPr>
          <w:rFonts w:ascii="Arial" w:hAnsi="Arial" w:cs="Arial"/>
          <w:sz w:val="21"/>
          <w:szCs w:val="21"/>
        </w:rPr>
      </w:pPr>
      <w:r w:rsidRPr="00627E97">
        <w:rPr>
          <w:rFonts w:ascii="Arial" w:hAnsi="Arial" w:cs="Arial"/>
          <w:sz w:val="21"/>
          <w:szCs w:val="21"/>
        </w:rPr>
        <w:t>UWTSD (2022) Research Ethics &amp; Integrity Code of Practice.</w:t>
      </w:r>
    </w:p>
    <w:p w14:paraId="7EE56CAD" w14:textId="77777777" w:rsidR="00627E97" w:rsidRPr="00627E97" w:rsidRDefault="00627E97" w:rsidP="00627E97">
      <w:pPr>
        <w:rPr>
          <w:rFonts w:ascii="Arial" w:hAnsi="Arial" w:cs="Arial"/>
          <w:sz w:val="21"/>
          <w:szCs w:val="21"/>
        </w:rPr>
      </w:pPr>
    </w:p>
    <w:p w14:paraId="5BE35362" w14:textId="77777777" w:rsidR="00627E97" w:rsidRPr="00627E97" w:rsidRDefault="00627E97" w:rsidP="00627E97">
      <w:pPr>
        <w:rPr>
          <w:rFonts w:ascii="Arial" w:hAnsi="Arial" w:cs="Arial"/>
          <w:sz w:val="21"/>
          <w:szCs w:val="21"/>
        </w:rPr>
      </w:pPr>
      <w:r w:rsidRPr="00627E97">
        <w:rPr>
          <w:rFonts w:ascii="Arial" w:hAnsi="Arial" w:cs="Arial"/>
          <w:sz w:val="21"/>
          <w:szCs w:val="21"/>
        </w:rPr>
        <w:t>Welsh Government (2015) Well-being of future generations Act. Available at: https://gov.wales/well-being-future-generations-wales-act-2015 (Accessed: May 3AD).</w:t>
      </w:r>
    </w:p>
    <w:p w14:paraId="3B02C45F" w14:textId="4287332A" w:rsidR="00627E97" w:rsidRDefault="00627E97" w:rsidP="00627E97">
      <w:pPr>
        <w:rPr>
          <w:rFonts w:ascii="Arial" w:hAnsi="Arial" w:cs="Arial"/>
          <w:sz w:val="21"/>
          <w:szCs w:val="21"/>
        </w:rPr>
      </w:pPr>
      <w:r w:rsidRPr="00627E97">
        <w:rPr>
          <w:rFonts w:ascii="Arial" w:hAnsi="Arial" w:cs="Arial"/>
          <w:sz w:val="21"/>
          <w:szCs w:val="21"/>
        </w:rPr>
        <w:t>Welsh Government (2022) Curriculum for Wales.</w:t>
      </w:r>
    </w:p>
    <w:p w14:paraId="57C2B816" w14:textId="77777777" w:rsidR="00627E97" w:rsidRPr="00627E97" w:rsidRDefault="00627E97" w:rsidP="00627E97">
      <w:pPr>
        <w:rPr>
          <w:rFonts w:ascii="Arial" w:hAnsi="Arial" w:cs="Arial"/>
          <w:sz w:val="21"/>
          <w:szCs w:val="21"/>
        </w:rPr>
      </w:pPr>
    </w:p>
    <w:p w14:paraId="74344E52" w14:textId="1B800163" w:rsidR="00627E97" w:rsidRDefault="00627E97" w:rsidP="00627E97">
      <w:pPr>
        <w:rPr>
          <w:rFonts w:ascii="Arial" w:hAnsi="Arial" w:cs="Arial"/>
          <w:sz w:val="21"/>
          <w:szCs w:val="21"/>
        </w:rPr>
      </w:pPr>
      <w:r w:rsidRPr="00627E97">
        <w:rPr>
          <w:rFonts w:ascii="Arial" w:hAnsi="Arial" w:cs="Arial"/>
          <w:sz w:val="21"/>
          <w:szCs w:val="21"/>
        </w:rPr>
        <w:t xml:space="preserve">Wentzel, K.R. (1998) ‘Social relationships and motivation in middle school: The role of parents, teachers, and peers.’, Journal of Educational Psychology, 90(2), pp. 202–209. Available at: </w:t>
      </w:r>
      <w:hyperlink r:id="rId19" w:history="1">
        <w:r w:rsidRPr="001C5EB8">
          <w:rPr>
            <w:rStyle w:val="Hyperlink"/>
            <w:rFonts w:ascii="Arial" w:hAnsi="Arial" w:cs="Arial"/>
            <w:sz w:val="21"/>
            <w:szCs w:val="21"/>
          </w:rPr>
          <w:t>https://doi.org/10.1037/0022-0663.90.2.202</w:t>
        </w:r>
      </w:hyperlink>
      <w:r w:rsidRPr="00627E97">
        <w:rPr>
          <w:rFonts w:ascii="Arial" w:hAnsi="Arial" w:cs="Arial"/>
          <w:sz w:val="21"/>
          <w:szCs w:val="21"/>
        </w:rPr>
        <w:t>.</w:t>
      </w:r>
    </w:p>
    <w:p w14:paraId="46655002" w14:textId="77777777" w:rsidR="00627E97" w:rsidRPr="00627E97" w:rsidRDefault="00627E97" w:rsidP="00627E97">
      <w:pPr>
        <w:rPr>
          <w:rFonts w:ascii="Arial" w:hAnsi="Arial" w:cs="Arial"/>
          <w:sz w:val="21"/>
          <w:szCs w:val="21"/>
        </w:rPr>
      </w:pPr>
    </w:p>
    <w:p w14:paraId="15AD8984" w14:textId="77777777" w:rsidR="00627E97" w:rsidRPr="00627E97" w:rsidRDefault="00627E97" w:rsidP="00627E97">
      <w:pPr>
        <w:rPr>
          <w:rFonts w:ascii="Arial" w:hAnsi="Arial" w:cs="Arial"/>
          <w:sz w:val="21"/>
          <w:szCs w:val="21"/>
        </w:rPr>
      </w:pPr>
      <w:r w:rsidRPr="00627E97">
        <w:rPr>
          <w:rFonts w:ascii="Arial" w:hAnsi="Arial" w:cs="Arial"/>
          <w:sz w:val="21"/>
          <w:szCs w:val="21"/>
        </w:rPr>
        <w:t>Yin, R.K. (2018) Case Study Research and Applications: Design and Methods. 6th edn. Thousand Oaks, California: Sage Publications.</w:t>
      </w:r>
    </w:p>
    <w:p w14:paraId="42E90018" w14:textId="77777777" w:rsidR="00627E97" w:rsidRDefault="00627E97">
      <w:pPr>
        <w:rPr>
          <w:rFonts w:ascii="Arial" w:hAnsi="Arial" w:cs="Arial"/>
          <w:b/>
          <w:bCs/>
          <w:sz w:val="28"/>
          <w:szCs w:val="28"/>
        </w:rPr>
      </w:pPr>
    </w:p>
    <w:p w14:paraId="6C04ABA2" w14:textId="18C200F8" w:rsidR="00627E97" w:rsidRDefault="00627E97">
      <w:pPr>
        <w:rPr>
          <w:rFonts w:ascii="Arial" w:hAnsi="Arial" w:cs="Arial"/>
          <w:b/>
          <w:bCs/>
          <w:sz w:val="28"/>
          <w:szCs w:val="28"/>
        </w:rPr>
      </w:pPr>
    </w:p>
    <w:p w14:paraId="65ABE0F0" w14:textId="0DE155E5" w:rsidR="00627E97" w:rsidRDefault="00627E97">
      <w:pPr>
        <w:rPr>
          <w:rFonts w:ascii="Arial" w:hAnsi="Arial" w:cs="Arial"/>
          <w:b/>
          <w:bCs/>
          <w:sz w:val="28"/>
          <w:szCs w:val="28"/>
        </w:rPr>
      </w:pPr>
    </w:p>
    <w:p w14:paraId="18A8EB97" w14:textId="2362B894" w:rsidR="00627E97" w:rsidRDefault="00627E97">
      <w:pPr>
        <w:rPr>
          <w:rFonts w:ascii="Arial" w:hAnsi="Arial" w:cs="Arial"/>
          <w:b/>
          <w:bCs/>
          <w:sz w:val="28"/>
          <w:szCs w:val="28"/>
        </w:rPr>
      </w:pPr>
    </w:p>
    <w:p w14:paraId="1D4FCC80" w14:textId="19650FF6" w:rsidR="00627E97" w:rsidRDefault="00627E97">
      <w:pPr>
        <w:rPr>
          <w:rFonts w:ascii="Arial" w:hAnsi="Arial" w:cs="Arial"/>
          <w:b/>
          <w:bCs/>
          <w:sz w:val="28"/>
          <w:szCs w:val="28"/>
        </w:rPr>
      </w:pPr>
    </w:p>
    <w:p w14:paraId="55221274" w14:textId="172ACDED" w:rsidR="00627E97" w:rsidRDefault="00627E97">
      <w:pPr>
        <w:rPr>
          <w:rFonts w:ascii="Arial" w:hAnsi="Arial" w:cs="Arial"/>
          <w:b/>
          <w:bCs/>
          <w:sz w:val="28"/>
          <w:szCs w:val="28"/>
        </w:rPr>
      </w:pPr>
    </w:p>
    <w:p w14:paraId="602AB225" w14:textId="6101265B" w:rsidR="00627E97" w:rsidRDefault="00627E97">
      <w:pPr>
        <w:rPr>
          <w:rFonts w:ascii="Arial" w:hAnsi="Arial" w:cs="Arial"/>
          <w:b/>
          <w:bCs/>
          <w:sz w:val="28"/>
          <w:szCs w:val="28"/>
        </w:rPr>
      </w:pPr>
    </w:p>
    <w:p w14:paraId="04296700" w14:textId="43611ABB" w:rsidR="00627E97" w:rsidRDefault="00627E97">
      <w:pPr>
        <w:rPr>
          <w:rFonts w:ascii="Arial" w:hAnsi="Arial" w:cs="Arial"/>
          <w:b/>
          <w:bCs/>
          <w:sz w:val="28"/>
          <w:szCs w:val="28"/>
        </w:rPr>
      </w:pPr>
    </w:p>
    <w:p w14:paraId="7F4B4674" w14:textId="05DADE22" w:rsidR="00627E97" w:rsidRDefault="00627E97">
      <w:pPr>
        <w:rPr>
          <w:rFonts w:ascii="Arial" w:hAnsi="Arial" w:cs="Arial"/>
          <w:b/>
          <w:bCs/>
          <w:sz w:val="28"/>
          <w:szCs w:val="28"/>
        </w:rPr>
      </w:pPr>
    </w:p>
    <w:p w14:paraId="388879EC" w14:textId="66BA15B8" w:rsidR="00627E97" w:rsidRDefault="00627E97">
      <w:pPr>
        <w:rPr>
          <w:rFonts w:ascii="Arial" w:hAnsi="Arial" w:cs="Arial"/>
          <w:b/>
          <w:bCs/>
          <w:sz w:val="28"/>
          <w:szCs w:val="28"/>
        </w:rPr>
      </w:pPr>
    </w:p>
    <w:p w14:paraId="0BE01C86" w14:textId="2FB2EAA4" w:rsidR="00627E97" w:rsidRDefault="00627E97">
      <w:pPr>
        <w:rPr>
          <w:rFonts w:ascii="Arial" w:hAnsi="Arial" w:cs="Arial"/>
          <w:b/>
          <w:bCs/>
          <w:sz w:val="28"/>
          <w:szCs w:val="28"/>
        </w:rPr>
      </w:pPr>
    </w:p>
    <w:p w14:paraId="7DE064A0" w14:textId="2481402B" w:rsidR="00627E97" w:rsidRDefault="00627E97">
      <w:pPr>
        <w:rPr>
          <w:rFonts w:ascii="Arial" w:hAnsi="Arial" w:cs="Arial"/>
          <w:b/>
          <w:bCs/>
          <w:sz w:val="28"/>
          <w:szCs w:val="28"/>
        </w:rPr>
      </w:pPr>
    </w:p>
    <w:p w14:paraId="0D8776C9" w14:textId="20E4A33C" w:rsidR="00627E97" w:rsidRDefault="00627E97">
      <w:pPr>
        <w:rPr>
          <w:rFonts w:ascii="Arial" w:hAnsi="Arial" w:cs="Arial"/>
          <w:b/>
          <w:bCs/>
          <w:sz w:val="28"/>
          <w:szCs w:val="28"/>
        </w:rPr>
      </w:pPr>
    </w:p>
    <w:p w14:paraId="7E5700B2" w14:textId="6AC2ACF0" w:rsidR="00627E97" w:rsidRDefault="00627E97">
      <w:pPr>
        <w:rPr>
          <w:rFonts w:ascii="Arial" w:hAnsi="Arial" w:cs="Arial"/>
          <w:b/>
          <w:bCs/>
          <w:sz w:val="28"/>
          <w:szCs w:val="28"/>
        </w:rPr>
      </w:pPr>
    </w:p>
    <w:p w14:paraId="49717231" w14:textId="20369712" w:rsidR="00627E97" w:rsidRDefault="00627E97">
      <w:pPr>
        <w:rPr>
          <w:rFonts w:ascii="Arial" w:hAnsi="Arial" w:cs="Arial"/>
          <w:b/>
          <w:bCs/>
          <w:sz w:val="28"/>
          <w:szCs w:val="28"/>
        </w:rPr>
      </w:pPr>
    </w:p>
    <w:p w14:paraId="694E5C23" w14:textId="7E31994E" w:rsidR="00627E97" w:rsidRDefault="00627E97">
      <w:pPr>
        <w:rPr>
          <w:rFonts w:ascii="Arial" w:hAnsi="Arial" w:cs="Arial"/>
          <w:b/>
          <w:bCs/>
          <w:sz w:val="28"/>
          <w:szCs w:val="28"/>
        </w:rPr>
      </w:pPr>
    </w:p>
    <w:p w14:paraId="4FD3496F" w14:textId="77777777" w:rsidR="00627E97" w:rsidRDefault="00627E97">
      <w:pPr>
        <w:rPr>
          <w:rFonts w:ascii="Arial" w:hAnsi="Arial" w:cs="Arial"/>
          <w:b/>
          <w:bCs/>
          <w:sz w:val="28"/>
          <w:szCs w:val="28"/>
        </w:rPr>
      </w:pPr>
    </w:p>
    <w:sectPr w:rsidR="00627E97">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4166F" w14:textId="77777777" w:rsidR="00242B08" w:rsidRDefault="00242B08" w:rsidP="00604D9C">
      <w:r>
        <w:separator/>
      </w:r>
    </w:p>
  </w:endnote>
  <w:endnote w:type="continuationSeparator" w:id="0">
    <w:p w14:paraId="24E4D49B" w14:textId="77777777" w:rsidR="00242B08" w:rsidRDefault="00242B08" w:rsidP="00604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w:altName w:val="Arial"/>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3577522"/>
      <w:docPartObj>
        <w:docPartGallery w:val="Page Numbers (Bottom of Page)"/>
        <w:docPartUnique/>
      </w:docPartObj>
    </w:sdtPr>
    <w:sdtContent>
      <w:p w14:paraId="78C4A6D2" w14:textId="31592D2D" w:rsidR="00DE5459" w:rsidRDefault="00DE5459" w:rsidP="001C5EB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6D6F5F" w14:textId="77777777" w:rsidR="00604D9C" w:rsidRDefault="00604D9C" w:rsidP="00DE545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5864697"/>
      <w:docPartObj>
        <w:docPartGallery w:val="Page Numbers (Bottom of Page)"/>
        <w:docPartUnique/>
      </w:docPartObj>
    </w:sdtPr>
    <w:sdtContent>
      <w:p w14:paraId="3D27F754" w14:textId="45904FA7" w:rsidR="00DE5459" w:rsidRDefault="00DE5459" w:rsidP="001C5EB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5000" w:type="pct"/>
      <w:tblCellMar>
        <w:left w:w="0" w:type="dxa"/>
        <w:right w:w="0" w:type="dxa"/>
      </w:tblCellMar>
      <w:tblLook w:val="04A0" w:firstRow="1" w:lastRow="0" w:firstColumn="1" w:lastColumn="0" w:noHBand="0" w:noVBand="1"/>
    </w:tblPr>
    <w:tblGrid>
      <w:gridCol w:w="4334"/>
      <w:gridCol w:w="361"/>
      <w:gridCol w:w="4331"/>
    </w:tblGrid>
    <w:tr w:rsidR="00604D9C" w14:paraId="0F019281" w14:textId="77777777">
      <w:tc>
        <w:tcPr>
          <w:tcW w:w="2401" w:type="pct"/>
        </w:tcPr>
        <w:p w14:paraId="3D7E78DD" w14:textId="14158EE4" w:rsidR="00604D9C" w:rsidRDefault="00DE5459" w:rsidP="00DE5459">
          <w:pPr>
            <w:pStyle w:val="Footer"/>
            <w:ind w:firstLine="360"/>
            <w:rPr>
              <w:caps/>
              <w:color w:val="4472C4" w:themeColor="accent1"/>
              <w:sz w:val="18"/>
              <w:szCs w:val="18"/>
            </w:rPr>
          </w:pPr>
          <w:r>
            <w:rPr>
              <w:caps/>
              <w:color w:val="4472C4" w:themeColor="accent1"/>
              <w:sz w:val="18"/>
              <w:szCs w:val="18"/>
            </w:rPr>
            <w:t>ECAD7004</w:t>
          </w:r>
        </w:p>
      </w:tc>
      <w:tc>
        <w:tcPr>
          <w:tcW w:w="200" w:type="pct"/>
        </w:tcPr>
        <w:p w14:paraId="37EF9286" w14:textId="77777777" w:rsidR="00604D9C" w:rsidRDefault="00604D9C">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E97C7B30EF9DF64D83C183C4EE3F0B55"/>
            </w:placeholder>
            <w:dataBinding w:prefixMappings="xmlns:ns0='http://purl.org/dc/elements/1.1/' xmlns:ns1='http://schemas.openxmlformats.org/package/2006/metadata/core-properties' " w:xpath="/ns1:coreProperties[1]/ns0:creator[1]" w:storeItemID="{6C3C8BC8-F283-45AE-878A-BAB7291924A1}"/>
            <w:text/>
          </w:sdtPr>
          <w:sdtContent>
            <w:p w14:paraId="7CD4E928" w14:textId="076547E9" w:rsidR="00604D9C" w:rsidRDefault="00604D9C">
              <w:pPr>
                <w:pStyle w:val="Footer"/>
                <w:jc w:val="right"/>
                <w:rPr>
                  <w:caps/>
                  <w:color w:val="4472C4" w:themeColor="accent1"/>
                  <w:sz w:val="18"/>
                  <w:szCs w:val="18"/>
                </w:rPr>
              </w:pPr>
              <w:r>
                <w:rPr>
                  <w:caps/>
                  <w:color w:val="4472C4" w:themeColor="accent1"/>
                  <w:sz w:val="18"/>
                  <w:szCs w:val="18"/>
                </w:rPr>
                <w:t>Lauren Greenhill (2012008)</w:t>
              </w:r>
            </w:p>
          </w:sdtContent>
        </w:sdt>
      </w:tc>
    </w:tr>
  </w:tbl>
  <w:p w14:paraId="5487F0B9" w14:textId="77777777" w:rsidR="00604D9C" w:rsidRDefault="00604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DD5D7" w14:textId="77777777" w:rsidR="00242B08" w:rsidRDefault="00242B08" w:rsidP="00604D9C">
      <w:r>
        <w:separator/>
      </w:r>
    </w:p>
  </w:footnote>
  <w:footnote w:type="continuationSeparator" w:id="0">
    <w:p w14:paraId="62A6B67A" w14:textId="77777777" w:rsidR="00242B08" w:rsidRDefault="00242B08" w:rsidP="00604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976D9"/>
    <w:multiLevelType w:val="hybridMultilevel"/>
    <w:tmpl w:val="F4BC8936"/>
    <w:lvl w:ilvl="0" w:tplc="A7EEF906">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62E23A0"/>
    <w:multiLevelType w:val="multilevel"/>
    <w:tmpl w:val="B142B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2113B3"/>
    <w:multiLevelType w:val="multilevel"/>
    <w:tmpl w:val="F112C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1810869">
    <w:abstractNumId w:val="26"/>
  </w:num>
  <w:num w:numId="2" w16cid:durableId="65035469">
    <w:abstractNumId w:val="28"/>
  </w:num>
  <w:num w:numId="3" w16cid:durableId="88278194">
    <w:abstractNumId w:val="1"/>
  </w:num>
  <w:num w:numId="4" w16cid:durableId="1391998843">
    <w:abstractNumId w:val="11"/>
  </w:num>
  <w:num w:numId="5" w16cid:durableId="839810466">
    <w:abstractNumId w:val="20"/>
  </w:num>
  <w:num w:numId="6" w16cid:durableId="2027633919">
    <w:abstractNumId w:val="3"/>
  </w:num>
  <w:num w:numId="7" w16cid:durableId="1281451881">
    <w:abstractNumId w:val="25"/>
  </w:num>
  <w:num w:numId="8"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6586050">
    <w:abstractNumId w:val="4"/>
  </w:num>
  <w:num w:numId="12" w16cid:durableId="160657843">
    <w:abstractNumId w:val="8"/>
  </w:num>
  <w:num w:numId="13" w16cid:durableId="728571664">
    <w:abstractNumId w:val="9"/>
  </w:num>
  <w:num w:numId="14" w16cid:durableId="1878741558">
    <w:abstractNumId w:val="23"/>
  </w:num>
  <w:num w:numId="15" w16cid:durableId="364602503">
    <w:abstractNumId w:val="21"/>
  </w:num>
  <w:num w:numId="16" w16cid:durableId="1557429041">
    <w:abstractNumId w:val="22"/>
  </w:num>
  <w:num w:numId="17" w16cid:durableId="1382316589">
    <w:abstractNumId w:val="0"/>
  </w:num>
  <w:num w:numId="18" w16cid:durableId="1390692397">
    <w:abstractNumId w:val="6"/>
  </w:num>
  <w:num w:numId="19" w16cid:durableId="758597870">
    <w:abstractNumId w:val="7"/>
  </w:num>
  <w:num w:numId="20" w16cid:durableId="151989376">
    <w:abstractNumId w:val="12"/>
  </w:num>
  <w:num w:numId="21" w16cid:durableId="1607031942">
    <w:abstractNumId w:val="14"/>
  </w:num>
  <w:num w:numId="22" w16cid:durableId="1455059439">
    <w:abstractNumId w:val="24"/>
  </w:num>
  <w:num w:numId="23" w16cid:durableId="653992559">
    <w:abstractNumId w:val="5"/>
  </w:num>
  <w:num w:numId="24" w16cid:durableId="1065882390">
    <w:abstractNumId w:val="15"/>
  </w:num>
  <w:num w:numId="25" w16cid:durableId="1427190052">
    <w:abstractNumId w:val="19"/>
  </w:num>
  <w:num w:numId="26" w16cid:durableId="2135364353">
    <w:abstractNumId w:val="2"/>
  </w:num>
  <w:num w:numId="27" w16cid:durableId="1127285675">
    <w:abstractNumId w:val="10"/>
  </w:num>
  <w:num w:numId="28" w16cid:durableId="1741363813">
    <w:abstractNumId w:val="13"/>
  </w:num>
  <w:num w:numId="29" w16cid:durableId="1059790990">
    <w:abstractNumId w:val="27"/>
  </w:num>
  <w:num w:numId="30" w16cid:durableId="8216560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EEE"/>
    <w:rsid w:val="00000E2D"/>
    <w:rsid w:val="00027A6A"/>
    <w:rsid w:val="00037921"/>
    <w:rsid w:val="0006042C"/>
    <w:rsid w:val="000B4EF8"/>
    <w:rsid w:val="000C3D50"/>
    <w:rsid w:val="001206CD"/>
    <w:rsid w:val="001B643A"/>
    <w:rsid w:val="00242B08"/>
    <w:rsid w:val="002819A3"/>
    <w:rsid w:val="0032763B"/>
    <w:rsid w:val="003470DC"/>
    <w:rsid w:val="00363223"/>
    <w:rsid w:val="00396EEE"/>
    <w:rsid w:val="00412F16"/>
    <w:rsid w:val="00450650"/>
    <w:rsid w:val="0046111B"/>
    <w:rsid w:val="00583BB5"/>
    <w:rsid w:val="00593AA8"/>
    <w:rsid w:val="005B6A77"/>
    <w:rsid w:val="00604D9C"/>
    <w:rsid w:val="00627E97"/>
    <w:rsid w:val="006A65F9"/>
    <w:rsid w:val="007378DB"/>
    <w:rsid w:val="00760FCC"/>
    <w:rsid w:val="00785086"/>
    <w:rsid w:val="007B01A0"/>
    <w:rsid w:val="007C2598"/>
    <w:rsid w:val="007F1809"/>
    <w:rsid w:val="008006F7"/>
    <w:rsid w:val="00805035"/>
    <w:rsid w:val="00845F2F"/>
    <w:rsid w:val="008E0303"/>
    <w:rsid w:val="009F162E"/>
    <w:rsid w:val="00A23218"/>
    <w:rsid w:val="00AC6690"/>
    <w:rsid w:val="00AC6FDF"/>
    <w:rsid w:val="00AF272E"/>
    <w:rsid w:val="00AF3FA5"/>
    <w:rsid w:val="00C72F73"/>
    <w:rsid w:val="00C752D8"/>
    <w:rsid w:val="00C85B20"/>
    <w:rsid w:val="00CA74DC"/>
    <w:rsid w:val="00CC1790"/>
    <w:rsid w:val="00D15D43"/>
    <w:rsid w:val="00D37720"/>
    <w:rsid w:val="00DB12B1"/>
    <w:rsid w:val="00DE5459"/>
    <w:rsid w:val="00DF2BF5"/>
    <w:rsid w:val="00E13744"/>
    <w:rsid w:val="00E155A5"/>
    <w:rsid w:val="00ED6C13"/>
    <w:rsid w:val="00EE474C"/>
    <w:rsid w:val="00F32FC3"/>
    <w:rsid w:val="00F67096"/>
    <w:rsid w:val="00FC7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9E030"/>
  <w15:chartTrackingRefBased/>
  <w15:docId w15:val="{E1C3F870-8A71-F24E-B1E7-C6722459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086"/>
    <w:rPr>
      <w:rFonts w:ascii="Times New Roman" w:eastAsia="Times New Roman" w:hAnsi="Times New Roman" w:cs="Times New Roman"/>
      <w:lang w:eastAsia="en-GB"/>
    </w:rPr>
  </w:style>
  <w:style w:type="paragraph" w:styleId="Heading1">
    <w:name w:val="heading 1"/>
    <w:basedOn w:val="Normal"/>
    <w:link w:val="Heading1Char"/>
    <w:uiPriority w:val="99"/>
    <w:qFormat/>
    <w:rsid w:val="00760FCC"/>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9"/>
    <w:qFormat/>
    <w:rsid w:val="00C85B20"/>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2BF5"/>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412F1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12F1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412F1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412F16"/>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9"/>
    <w:rsid w:val="00760FCC"/>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604D9C"/>
    <w:pPr>
      <w:tabs>
        <w:tab w:val="center" w:pos="4513"/>
        <w:tab w:val="right" w:pos="9026"/>
      </w:tabs>
    </w:pPr>
  </w:style>
  <w:style w:type="character" w:customStyle="1" w:styleId="HeaderChar">
    <w:name w:val="Header Char"/>
    <w:basedOn w:val="DefaultParagraphFont"/>
    <w:link w:val="Header"/>
    <w:uiPriority w:val="99"/>
    <w:rsid w:val="00604D9C"/>
    <w:rPr>
      <w:rFonts w:ascii="Times New Roman" w:eastAsia="Times New Roman" w:hAnsi="Times New Roman" w:cs="Times New Roman"/>
      <w:lang w:eastAsia="en-GB"/>
    </w:rPr>
  </w:style>
  <w:style w:type="paragraph" w:styleId="Footer">
    <w:name w:val="footer"/>
    <w:basedOn w:val="Normal"/>
    <w:link w:val="FooterChar"/>
    <w:uiPriority w:val="99"/>
    <w:unhideWhenUsed/>
    <w:rsid w:val="00604D9C"/>
    <w:pPr>
      <w:tabs>
        <w:tab w:val="center" w:pos="4513"/>
        <w:tab w:val="right" w:pos="9026"/>
      </w:tabs>
    </w:pPr>
  </w:style>
  <w:style w:type="character" w:customStyle="1" w:styleId="FooterChar">
    <w:name w:val="Footer Char"/>
    <w:basedOn w:val="DefaultParagraphFont"/>
    <w:link w:val="Footer"/>
    <w:uiPriority w:val="99"/>
    <w:rsid w:val="00604D9C"/>
    <w:rPr>
      <w:rFonts w:ascii="Times New Roman" w:eastAsia="Times New Roman" w:hAnsi="Times New Roman" w:cs="Times New Roman"/>
      <w:lang w:eastAsia="en-GB"/>
    </w:rPr>
  </w:style>
  <w:style w:type="character" w:styleId="PageNumber">
    <w:name w:val="page number"/>
    <w:basedOn w:val="DefaultParagraphFont"/>
    <w:uiPriority w:val="99"/>
    <w:unhideWhenUsed/>
    <w:rsid w:val="00DE5459"/>
  </w:style>
  <w:style w:type="character" w:styleId="Strong">
    <w:name w:val="Strong"/>
    <w:basedOn w:val="DefaultParagraphFont"/>
    <w:uiPriority w:val="22"/>
    <w:qFormat/>
    <w:rsid w:val="00785086"/>
    <w:rPr>
      <w:b/>
      <w:bCs/>
    </w:rPr>
  </w:style>
  <w:style w:type="paragraph" w:styleId="ListParagraph">
    <w:name w:val="List Paragraph"/>
    <w:basedOn w:val="Normal"/>
    <w:uiPriority w:val="34"/>
    <w:qFormat/>
    <w:rsid w:val="00E155A5"/>
    <w:pPr>
      <w:ind w:left="720"/>
      <w:contextualSpacing/>
    </w:pPr>
  </w:style>
  <w:style w:type="character" w:styleId="Hyperlink">
    <w:name w:val="Hyperlink"/>
    <w:basedOn w:val="DefaultParagraphFont"/>
    <w:unhideWhenUsed/>
    <w:rsid w:val="00627E97"/>
    <w:rPr>
      <w:color w:val="0563C1" w:themeColor="hyperlink"/>
      <w:u w:val="single"/>
    </w:rPr>
  </w:style>
  <w:style w:type="character" w:styleId="UnresolvedMention">
    <w:name w:val="Unresolved Mention"/>
    <w:basedOn w:val="DefaultParagraphFont"/>
    <w:uiPriority w:val="99"/>
    <w:semiHidden/>
    <w:unhideWhenUsed/>
    <w:rsid w:val="00627E97"/>
    <w:rPr>
      <w:color w:val="605E5C"/>
      <w:shd w:val="clear" w:color="auto" w:fill="E1DFDD"/>
    </w:rPr>
  </w:style>
  <w:style w:type="character" w:customStyle="1" w:styleId="Heading4Char">
    <w:name w:val="Heading 4 Char"/>
    <w:basedOn w:val="DefaultParagraphFont"/>
    <w:link w:val="Heading4"/>
    <w:uiPriority w:val="99"/>
    <w:rsid w:val="00C85B2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85B20"/>
    <w:pPr>
      <w:ind w:left="720" w:hanging="720"/>
    </w:pPr>
    <w:rPr>
      <w:b/>
      <w:bCs/>
      <w:sz w:val="22"/>
      <w:szCs w:val="22"/>
      <w:lang w:eastAsia="en-US"/>
    </w:rPr>
  </w:style>
  <w:style w:type="character" w:customStyle="1" w:styleId="BodyText2Char">
    <w:name w:val="Body Text 2 Char"/>
    <w:basedOn w:val="DefaultParagraphFont"/>
    <w:link w:val="BodyText2"/>
    <w:uiPriority w:val="99"/>
    <w:rsid w:val="00C85B20"/>
    <w:rPr>
      <w:rFonts w:ascii="Times New Roman" w:eastAsia="Times New Roman" w:hAnsi="Times New Roman" w:cs="Times New Roman"/>
      <w:b/>
      <w:bCs/>
      <w:sz w:val="22"/>
      <w:szCs w:val="22"/>
    </w:rPr>
  </w:style>
  <w:style w:type="paragraph" w:customStyle="1" w:styleId="deannah1">
    <w:name w:val="deannah1"/>
    <w:basedOn w:val="Normal"/>
    <w:uiPriority w:val="99"/>
    <w:rsid w:val="00C85B20"/>
    <w:pPr>
      <w:keepNext/>
      <w:spacing w:after="240"/>
    </w:pPr>
    <w:rPr>
      <w:b/>
      <w:bCs/>
      <w:lang w:eastAsia="en-US"/>
    </w:rPr>
  </w:style>
  <w:style w:type="paragraph" w:styleId="BalloonText">
    <w:name w:val="Balloon Text"/>
    <w:basedOn w:val="Normal"/>
    <w:link w:val="BalloonTextChar"/>
    <w:uiPriority w:val="99"/>
    <w:semiHidden/>
    <w:rsid w:val="00C85B20"/>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C85B20"/>
    <w:rPr>
      <w:rFonts w:ascii="Tahoma" w:eastAsia="Times New Roman" w:hAnsi="Tahoma" w:cs="Tahoma"/>
      <w:sz w:val="16"/>
      <w:szCs w:val="16"/>
    </w:rPr>
  </w:style>
  <w:style w:type="table" w:styleId="TableGrid">
    <w:name w:val="Table Grid"/>
    <w:basedOn w:val="TableNormal"/>
    <w:rsid w:val="00C85B20"/>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85B20"/>
    <w:rPr>
      <w:color w:val="800080"/>
      <w:u w:val="single"/>
    </w:rPr>
  </w:style>
  <w:style w:type="character" w:customStyle="1" w:styleId="Hyperlink1">
    <w:name w:val="Hyperlink1"/>
    <w:uiPriority w:val="99"/>
    <w:rsid w:val="00C85B20"/>
    <w:rPr>
      <w:color w:val="535353"/>
      <w:u w:val="single"/>
      <w:effect w:val="none"/>
    </w:rPr>
  </w:style>
  <w:style w:type="paragraph" w:customStyle="1" w:styleId="NormalWeb1">
    <w:name w:val="Normal (Web)1"/>
    <w:basedOn w:val="Normal"/>
    <w:uiPriority w:val="99"/>
    <w:rsid w:val="00C85B20"/>
    <w:pPr>
      <w:spacing w:before="100" w:beforeAutospacing="1" w:after="300"/>
    </w:pPr>
  </w:style>
  <w:style w:type="character" w:styleId="CommentReference">
    <w:name w:val="annotation reference"/>
    <w:uiPriority w:val="99"/>
    <w:semiHidden/>
    <w:unhideWhenUsed/>
    <w:rsid w:val="00C85B20"/>
    <w:rPr>
      <w:sz w:val="16"/>
      <w:szCs w:val="16"/>
    </w:rPr>
  </w:style>
  <w:style w:type="paragraph" w:styleId="CommentText">
    <w:name w:val="annotation text"/>
    <w:basedOn w:val="Normal"/>
    <w:link w:val="CommentTextChar"/>
    <w:uiPriority w:val="99"/>
    <w:semiHidden/>
    <w:unhideWhenUsed/>
    <w:rsid w:val="00C85B20"/>
    <w:rPr>
      <w:sz w:val="20"/>
      <w:szCs w:val="20"/>
      <w:lang w:eastAsia="en-US"/>
    </w:rPr>
  </w:style>
  <w:style w:type="character" w:customStyle="1" w:styleId="CommentTextChar">
    <w:name w:val="Comment Text Char"/>
    <w:basedOn w:val="DefaultParagraphFont"/>
    <w:link w:val="CommentText"/>
    <w:uiPriority w:val="99"/>
    <w:semiHidden/>
    <w:rsid w:val="00C85B2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85B20"/>
    <w:rPr>
      <w:b/>
      <w:bCs/>
    </w:rPr>
  </w:style>
  <w:style w:type="character" w:customStyle="1" w:styleId="CommentSubjectChar">
    <w:name w:val="Comment Subject Char"/>
    <w:basedOn w:val="CommentTextChar"/>
    <w:link w:val="CommentSubject"/>
    <w:uiPriority w:val="99"/>
    <w:semiHidden/>
    <w:rsid w:val="00C85B2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8286">
      <w:bodyDiv w:val="1"/>
      <w:marLeft w:val="0"/>
      <w:marRight w:val="0"/>
      <w:marTop w:val="0"/>
      <w:marBottom w:val="0"/>
      <w:divBdr>
        <w:top w:val="none" w:sz="0" w:space="0" w:color="auto"/>
        <w:left w:val="none" w:sz="0" w:space="0" w:color="auto"/>
        <w:bottom w:val="none" w:sz="0" w:space="0" w:color="auto"/>
        <w:right w:val="none" w:sz="0" w:space="0" w:color="auto"/>
      </w:divBdr>
    </w:div>
    <w:div w:id="129903765">
      <w:bodyDiv w:val="1"/>
      <w:marLeft w:val="0"/>
      <w:marRight w:val="0"/>
      <w:marTop w:val="0"/>
      <w:marBottom w:val="0"/>
      <w:divBdr>
        <w:top w:val="none" w:sz="0" w:space="0" w:color="auto"/>
        <w:left w:val="none" w:sz="0" w:space="0" w:color="auto"/>
        <w:bottom w:val="none" w:sz="0" w:space="0" w:color="auto"/>
        <w:right w:val="none" w:sz="0" w:space="0" w:color="auto"/>
      </w:divBdr>
    </w:div>
    <w:div w:id="189611434">
      <w:bodyDiv w:val="1"/>
      <w:marLeft w:val="0"/>
      <w:marRight w:val="0"/>
      <w:marTop w:val="0"/>
      <w:marBottom w:val="0"/>
      <w:divBdr>
        <w:top w:val="none" w:sz="0" w:space="0" w:color="auto"/>
        <w:left w:val="none" w:sz="0" w:space="0" w:color="auto"/>
        <w:bottom w:val="none" w:sz="0" w:space="0" w:color="auto"/>
        <w:right w:val="none" w:sz="0" w:space="0" w:color="auto"/>
      </w:divBdr>
      <w:divsChild>
        <w:div w:id="1267738963">
          <w:marLeft w:val="0"/>
          <w:marRight w:val="0"/>
          <w:marTop w:val="0"/>
          <w:marBottom w:val="0"/>
          <w:divBdr>
            <w:top w:val="single" w:sz="2" w:space="0" w:color="E3E3E3"/>
            <w:left w:val="single" w:sz="2" w:space="0" w:color="E3E3E3"/>
            <w:bottom w:val="single" w:sz="2" w:space="0" w:color="E3E3E3"/>
            <w:right w:val="single" w:sz="2" w:space="0" w:color="E3E3E3"/>
          </w:divBdr>
          <w:divsChild>
            <w:div w:id="1414476725">
              <w:marLeft w:val="0"/>
              <w:marRight w:val="0"/>
              <w:marTop w:val="0"/>
              <w:marBottom w:val="0"/>
              <w:divBdr>
                <w:top w:val="single" w:sz="2" w:space="0" w:color="E3E3E3"/>
                <w:left w:val="single" w:sz="2" w:space="0" w:color="E3E3E3"/>
                <w:bottom w:val="single" w:sz="2" w:space="0" w:color="E3E3E3"/>
                <w:right w:val="single" w:sz="2" w:space="0" w:color="E3E3E3"/>
              </w:divBdr>
              <w:divsChild>
                <w:div w:id="1264916791">
                  <w:marLeft w:val="0"/>
                  <w:marRight w:val="0"/>
                  <w:marTop w:val="0"/>
                  <w:marBottom w:val="0"/>
                  <w:divBdr>
                    <w:top w:val="single" w:sz="2" w:space="0" w:color="E3E3E3"/>
                    <w:left w:val="single" w:sz="2" w:space="0" w:color="E3E3E3"/>
                    <w:bottom w:val="single" w:sz="2" w:space="0" w:color="E3E3E3"/>
                    <w:right w:val="single" w:sz="2" w:space="0" w:color="E3E3E3"/>
                  </w:divBdr>
                  <w:divsChild>
                    <w:div w:id="2053647882">
                      <w:marLeft w:val="0"/>
                      <w:marRight w:val="0"/>
                      <w:marTop w:val="0"/>
                      <w:marBottom w:val="0"/>
                      <w:divBdr>
                        <w:top w:val="single" w:sz="2" w:space="0" w:color="E3E3E3"/>
                        <w:left w:val="single" w:sz="2" w:space="0" w:color="E3E3E3"/>
                        <w:bottom w:val="single" w:sz="2" w:space="0" w:color="E3E3E3"/>
                        <w:right w:val="single" w:sz="2" w:space="0" w:color="E3E3E3"/>
                      </w:divBdr>
                      <w:divsChild>
                        <w:div w:id="138886145">
                          <w:marLeft w:val="0"/>
                          <w:marRight w:val="0"/>
                          <w:marTop w:val="0"/>
                          <w:marBottom w:val="0"/>
                          <w:divBdr>
                            <w:top w:val="single" w:sz="2" w:space="0" w:color="E3E3E3"/>
                            <w:left w:val="single" w:sz="2" w:space="0" w:color="E3E3E3"/>
                            <w:bottom w:val="single" w:sz="2" w:space="0" w:color="E3E3E3"/>
                            <w:right w:val="single" w:sz="2" w:space="0" w:color="E3E3E3"/>
                          </w:divBdr>
                          <w:divsChild>
                            <w:div w:id="1295210312">
                              <w:marLeft w:val="0"/>
                              <w:marRight w:val="0"/>
                              <w:marTop w:val="0"/>
                              <w:marBottom w:val="0"/>
                              <w:divBdr>
                                <w:top w:val="single" w:sz="2" w:space="0" w:color="E3E3E3"/>
                                <w:left w:val="single" w:sz="2" w:space="0" w:color="E3E3E3"/>
                                <w:bottom w:val="single" w:sz="2" w:space="0" w:color="E3E3E3"/>
                                <w:right w:val="single" w:sz="2" w:space="0" w:color="E3E3E3"/>
                              </w:divBdr>
                              <w:divsChild>
                                <w:div w:id="2980773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12695144">
                                      <w:marLeft w:val="0"/>
                                      <w:marRight w:val="0"/>
                                      <w:marTop w:val="0"/>
                                      <w:marBottom w:val="0"/>
                                      <w:divBdr>
                                        <w:top w:val="single" w:sz="2" w:space="0" w:color="E3E3E3"/>
                                        <w:left w:val="single" w:sz="2" w:space="0" w:color="E3E3E3"/>
                                        <w:bottom w:val="single" w:sz="2" w:space="0" w:color="E3E3E3"/>
                                        <w:right w:val="single" w:sz="2" w:space="0" w:color="E3E3E3"/>
                                      </w:divBdr>
                                      <w:divsChild>
                                        <w:div w:id="485626997">
                                          <w:marLeft w:val="0"/>
                                          <w:marRight w:val="0"/>
                                          <w:marTop w:val="0"/>
                                          <w:marBottom w:val="0"/>
                                          <w:divBdr>
                                            <w:top w:val="single" w:sz="2" w:space="0" w:color="E3E3E3"/>
                                            <w:left w:val="single" w:sz="2" w:space="0" w:color="E3E3E3"/>
                                            <w:bottom w:val="single" w:sz="2" w:space="0" w:color="E3E3E3"/>
                                            <w:right w:val="single" w:sz="2" w:space="0" w:color="E3E3E3"/>
                                          </w:divBdr>
                                          <w:divsChild>
                                            <w:div w:id="1737120271">
                                              <w:marLeft w:val="0"/>
                                              <w:marRight w:val="0"/>
                                              <w:marTop w:val="0"/>
                                              <w:marBottom w:val="0"/>
                                              <w:divBdr>
                                                <w:top w:val="single" w:sz="2" w:space="0" w:color="E3E3E3"/>
                                                <w:left w:val="single" w:sz="2" w:space="0" w:color="E3E3E3"/>
                                                <w:bottom w:val="single" w:sz="2" w:space="0" w:color="E3E3E3"/>
                                                <w:right w:val="single" w:sz="2" w:space="0" w:color="E3E3E3"/>
                                              </w:divBdr>
                                              <w:divsChild>
                                                <w:div w:id="1858344234">
                                                  <w:marLeft w:val="0"/>
                                                  <w:marRight w:val="0"/>
                                                  <w:marTop w:val="0"/>
                                                  <w:marBottom w:val="0"/>
                                                  <w:divBdr>
                                                    <w:top w:val="single" w:sz="2" w:space="0" w:color="E3E3E3"/>
                                                    <w:left w:val="single" w:sz="2" w:space="0" w:color="E3E3E3"/>
                                                    <w:bottom w:val="single" w:sz="2" w:space="0" w:color="E3E3E3"/>
                                                    <w:right w:val="single" w:sz="2" w:space="0" w:color="E3E3E3"/>
                                                  </w:divBdr>
                                                  <w:divsChild>
                                                    <w:div w:id="768358870">
                                                      <w:marLeft w:val="0"/>
                                                      <w:marRight w:val="0"/>
                                                      <w:marTop w:val="0"/>
                                                      <w:marBottom w:val="0"/>
                                                      <w:divBdr>
                                                        <w:top w:val="single" w:sz="2" w:space="0" w:color="E3E3E3"/>
                                                        <w:left w:val="single" w:sz="2" w:space="0" w:color="E3E3E3"/>
                                                        <w:bottom w:val="single" w:sz="2" w:space="0" w:color="E3E3E3"/>
                                                        <w:right w:val="single" w:sz="2" w:space="0" w:color="E3E3E3"/>
                                                      </w:divBdr>
                                                      <w:divsChild>
                                                        <w:div w:id="1657683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83196460">
          <w:marLeft w:val="0"/>
          <w:marRight w:val="0"/>
          <w:marTop w:val="0"/>
          <w:marBottom w:val="0"/>
          <w:divBdr>
            <w:top w:val="none" w:sz="0" w:space="0" w:color="auto"/>
            <w:left w:val="none" w:sz="0" w:space="0" w:color="auto"/>
            <w:bottom w:val="none" w:sz="0" w:space="0" w:color="auto"/>
            <w:right w:val="none" w:sz="0" w:space="0" w:color="auto"/>
          </w:divBdr>
          <w:divsChild>
            <w:div w:id="2144613700">
              <w:marLeft w:val="0"/>
              <w:marRight w:val="0"/>
              <w:marTop w:val="100"/>
              <w:marBottom w:val="100"/>
              <w:divBdr>
                <w:top w:val="single" w:sz="2" w:space="0" w:color="E3E3E3"/>
                <w:left w:val="single" w:sz="2" w:space="0" w:color="E3E3E3"/>
                <w:bottom w:val="single" w:sz="2" w:space="0" w:color="E3E3E3"/>
                <w:right w:val="single" w:sz="2" w:space="0" w:color="E3E3E3"/>
              </w:divBdr>
              <w:divsChild>
                <w:div w:id="1148742400">
                  <w:marLeft w:val="0"/>
                  <w:marRight w:val="0"/>
                  <w:marTop w:val="0"/>
                  <w:marBottom w:val="0"/>
                  <w:divBdr>
                    <w:top w:val="single" w:sz="2" w:space="0" w:color="E3E3E3"/>
                    <w:left w:val="single" w:sz="2" w:space="0" w:color="E3E3E3"/>
                    <w:bottom w:val="single" w:sz="2" w:space="0" w:color="E3E3E3"/>
                    <w:right w:val="single" w:sz="2" w:space="0" w:color="E3E3E3"/>
                  </w:divBdr>
                  <w:divsChild>
                    <w:div w:id="202331607">
                      <w:marLeft w:val="0"/>
                      <w:marRight w:val="0"/>
                      <w:marTop w:val="0"/>
                      <w:marBottom w:val="0"/>
                      <w:divBdr>
                        <w:top w:val="single" w:sz="2" w:space="0" w:color="E3E3E3"/>
                        <w:left w:val="single" w:sz="2" w:space="0" w:color="E3E3E3"/>
                        <w:bottom w:val="single" w:sz="2" w:space="0" w:color="E3E3E3"/>
                        <w:right w:val="single" w:sz="2" w:space="0" w:color="E3E3E3"/>
                      </w:divBdr>
                      <w:divsChild>
                        <w:div w:id="18333759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95322684">
      <w:bodyDiv w:val="1"/>
      <w:marLeft w:val="0"/>
      <w:marRight w:val="0"/>
      <w:marTop w:val="0"/>
      <w:marBottom w:val="0"/>
      <w:divBdr>
        <w:top w:val="none" w:sz="0" w:space="0" w:color="auto"/>
        <w:left w:val="none" w:sz="0" w:space="0" w:color="auto"/>
        <w:bottom w:val="none" w:sz="0" w:space="0" w:color="auto"/>
        <w:right w:val="none" w:sz="0" w:space="0" w:color="auto"/>
      </w:divBdr>
    </w:div>
    <w:div w:id="547910162">
      <w:bodyDiv w:val="1"/>
      <w:marLeft w:val="0"/>
      <w:marRight w:val="0"/>
      <w:marTop w:val="0"/>
      <w:marBottom w:val="0"/>
      <w:divBdr>
        <w:top w:val="none" w:sz="0" w:space="0" w:color="auto"/>
        <w:left w:val="none" w:sz="0" w:space="0" w:color="auto"/>
        <w:bottom w:val="none" w:sz="0" w:space="0" w:color="auto"/>
        <w:right w:val="none" w:sz="0" w:space="0" w:color="auto"/>
      </w:divBdr>
    </w:div>
    <w:div w:id="557739193">
      <w:bodyDiv w:val="1"/>
      <w:marLeft w:val="0"/>
      <w:marRight w:val="0"/>
      <w:marTop w:val="0"/>
      <w:marBottom w:val="0"/>
      <w:divBdr>
        <w:top w:val="none" w:sz="0" w:space="0" w:color="auto"/>
        <w:left w:val="none" w:sz="0" w:space="0" w:color="auto"/>
        <w:bottom w:val="none" w:sz="0" w:space="0" w:color="auto"/>
        <w:right w:val="none" w:sz="0" w:space="0" w:color="auto"/>
      </w:divBdr>
    </w:div>
    <w:div w:id="656881532">
      <w:bodyDiv w:val="1"/>
      <w:marLeft w:val="0"/>
      <w:marRight w:val="0"/>
      <w:marTop w:val="0"/>
      <w:marBottom w:val="0"/>
      <w:divBdr>
        <w:top w:val="none" w:sz="0" w:space="0" w:color="auto"/>
        <w:left w:val="none" w:sz="0" w:space="0" w:color="auto"/>
        <w:bottom w:val="none" w:sz="0" w:space="0" w:color="auto"/>
        <w:right w:val="none" w:sz="0" w:space="0" w:color="auto"/>
      </w:divBdr>
    </w:div>
    <w:div w:id="737020293">
      <w:bodyDiv w:val="1"/>
      <w:marLeft w:val="0"/>
      <w:marRight w:val="0"/>
      <w:marTop w:val="0"/>
      <w:marBottom w:val="0"/>
      <w:divBdr>
        <w:top w:val="none" w:sz="0" w:space="0" w:color="auto"/>
        <w:left w:val="none" w:sz="0" w:space="0" w:color="auto"/>
        <w:bottom w:val="none" w:sz="0" w:space="0" w:color="auto"/>
        <w:right w:val="none" w:sz="0" w:space="0" w:color="auto"/>
      </w:divBdr>
    </w:div>
    <w:div w:id="793595262">
      <w:bodyDiv w:val="1"/>
      <w:marLeft w:val="0"/>
      <w:marRight w:val="0"/>
      <w:marTop w:val="0"/>
      <w:marBottom w:val="0"/>
      <w:divBdr>
        <w:top w:val="none" w:sz="0" w:space="0" w:color="auto"/>
        <w:left w:val="none" w:sz="0" w:space="0" w:color="auto"/>
        <w:bottom w:val="none" w:sz="0" w:space="0" w:color="auto"/>
        <w:right w:val="none" w:sz="0" w:space="0" w:color="auto"/>
      </w:divBdr>
      <w:divsChild>
        <w:div w:id="39785098">
          <w:marLeft w:val="0"/>
          <w:marRight w:val="0"/>
          <w:marTop w:val="0"/>
          <w:marBottom w:val="0"/>
          <w:divBdr>
            <w:top w:val="single" w:sz="2" w:space="0" w:color="E3E3E3"/>
            <w:left w:val="single" w:sz="2" w:space="0" w:color="E3E3E3"/>
            <w:bottom w:val="single" w:sz="2" w:space="0" w:color="E3E3E3"/>
            <w:right w:val="single" w:sz="2" w:space="0" w:color="E3E3E3"/>
          </w:divBdr>
          <w:divsChild>
            <w:div w:id="1770085049">
              <w:marLeft w:val="0"/>
              <w:marRight w:val="0"/>
              <w:marTop w:val="0"/>
              <w:marBottom w:val="0"/>
              <w:divBdr>
                <w:top w:val="single" w:sz="2" w:space="0" w:color="E3E3E3"/>
                <w:left w:val="single" w:sz="2" w:space="0" w:color="E3E3E3"/>
                <w:bottom w:val="single" w:sz="2" w:space="0" w:color="E3E3E3"/>
                <w:right w:val="single" w:sz="2" w:space="0" w:color="E3E3E3"/>
              </w:divBdr>
              <w:divsChild>
                <w:div w:id="1042251297">
                  <w:marLeft w:val="0"/>
                  <w:marRight w:val="0"/>
                  <w:marTop w:val="0"/>
                  <w:marBottom w:val="0"/>
                  <w:divBdr>
                    <w:top w:val="single" w:sz="2" w:space="0" w:color="E3E3E3"/>
                    <w:left w:val="single" w:sz="2" w:space="0" w:color="E3E3E3"/>
                    <w:bottom w:val="single" w:sz="2" w:space="0" w:color="E3E3E3"/>
                    <w:right w:val="single" w:sz="2" w:space="0" w:color="E3E3E3"/>
                  </w:divBdr>
                  <w:divsChild>
                    <w:div w:id="1896743644">
                      <w:marLeft w:val="0"/>
                      <w:marRight w:val="0"/>
                      <w:marTop w:val="0"/>
                      <w:marBottom w:val="0"/>
                      <w:divBdr>
                        <w:top w:val="single" w:sz="2" w:space="0" w:color="E3E3E3"/>
                        <w:left w:val="single" w:sz="2" w:space="0" w:color="E3E3E3"/>
                        <w:bottom w:val="single" w:sz="2" w:space="0" w:color="E3E3E3"/>
                        <w:right w:val="single" w:sz="2" w:space="0" w:color="E3E3E3"/>
                      </w:divBdr>
                      <w:divsChild>
                        <w:div w:id="279380081">
                          <w:marLeft w:val="0"/>
                          <w:marRight w:val="0"/>
                          <w:marTop w:val="0"/>
                          <w:marBottom w:val="0"/>
                          <w:divBdr>
                            <w:top w:val="single" w:sz="2" w:space="0" w:color="E3E3E3"/>
                            <w:left w:val="single" w:sz="2" w:space="0" w:color="E3E3E3"/>
                            <w:bottom w:val="single" w:sz="2" w:space="0" w:color="E3E3E3"/>
                            <w:right w:val="single" w:sz="2" w:space="0" w:color="E3E3E3"/>
                          </w:divBdr>
                          <w:divsChild>
                            <w:div w:id="765540660">
                              <w:marLeft w:val="0"/>
                              <w:marRight w:val="0"/>
                              <w:marTop w:val="0"/>
                              <w:marBottom w:val="0"/>
                              <w:divBdr>
                                <w:top w:val="single" w:sz="2" w:space="0" w:color="E3E3E3"/>
                                <w:left w:val="single" w:sz="2" w:space="0" w:color="E3E3E3"/>
                                <w:bottom w:val="single" w:sz="2" w:space="0" w:color="E3E3E3"/>
                                <w:right w:val="single" w:sz="2" w:space="0" w:color="E3E3E3"/>
                              </w:divBdr>
                              <w:divsChild>
                                <w:div w:id="400950897">
                                  <w:marLeft w:val="0"/>
                                  <w:marRight w:val="0"/>
                                  <w:marTop w:val="100"/>
                                  <w:marBottom w:val="100"/>
                                  <w:divBdr>
                                    <w:top w:val="single" w:sz="2" w:space="0" w:color="E3E3E3"/>
                                    <w:left w:val="single" w:sz="2" w:space="0" w:color="E3E3E3"/>
                                    <w:bottom w:val="single" w:sz="2" w:space="0" w:color="E3E3E3"/>
                                    <w:right w:val="single" w:sz="2" w:space="0" w:color="E3E3E3"/>
                                  </w:divBdr>
                                  <w:divsChild>
                                    <w:div w:id="1878883087">
                                      <w:marLeft w:val="0"/>
                                      <w:marRight w:val="0"/>
                                      <w:marTop w:val="0"/>
                                      <w:marBottom w:val="0"/>
                                      <w:divBdr>
                                        <w:top w:val="single" w:sz="2" w:space="0" w:color="E3E3E3"/>
                                        <w:left w:val="single" w:sz="2" w:space="0" w:color="E3E3E3"/>
                                        <w:bottom w:val="single" w:sz="2" w:space="0" w:color="E3E3E3"/>
                                        <w:right w:val="single" w:sz="2" w:space="0" w:color="E3E3E3"/>
                                      </w:divBdr>
                                      <w:divsChild>
                                        <w:div w:id="1014577856">
                                          <w:marLeft w:val="0"/>
                                          <w:marRight w:val="0"/>
                                          <w:marTop w:val="0"/>
                                          <w:marBottom w:val="0"/>
                                          <w:divBdr>
                                            <w:top w:val="single" w:sz="2" w:space="0" w:color="E3E3E3"/>
                                            <w:left w:val="single" w:sz="2" w:space="0" w:color="E3E3E3"/>
                                            <w:bottom w:val="single" w:sz="2" w:space="0" w:color="E3E3E3"/>
                                            <w:right w:val="single" w:sz="2" w:space="0" w:color="E3E3E3"/>
                                          </w:divBdr>
                                          <w:divsChild>
                                            <w:div w:id="2086761955">
                                              <w:marLeft w:val="0"/>
                                              <w:marRight w:val="0"/>
                                              <w:marTop w:val="0"/>
                                              <w:marBottom w:val="0"/>
                                              <w:divBdr>
                                                <w:top w:val="single" w:sz="2" w:space="0" w:color="E3E3E3"/>
                                                <w:left w:val="single" w:sz="2" w:space="0" w:color="E3E3E3"/>
                                                <w:bottom w:val="single" w:sz="2" w:space="0" w:color="E3E3E3"/>
                                                <w:right w:val="single" w:sz="2" w:space="0" w:color="E3E3E3"/>
                                              </w:divBdr>
                                              <w:divsChild>
                                                <w:div w:id="1513913302">
                                                  <w:marLeft w:val="0"/>
                                                  <w:marRight w:val="0"/>
                                                  <w:marTop w:val="0"/>
                                                  <w:marBottom w:val="0"/>
                                                  <w:divBdr>
                                                    <w:top w:val="single" w:sz="2" w:space="0" w:color="E3E3E3"/>
                                                    <w:left w:val="single" w:sz="2" w:space="0" w:color="E3E3E3"/>
                                                    <w:bottom w:val="single" w:sz="2" w:space="0" w:color="E3E3E3"/>
                                                    <w:right w:val="single" w:sz="2" w:space="0" w:color="E3E3E3"/>
                                                  </w:divBdr>
                                                  <w:divsChild>
                                                    <w:div w:id="603922270">
                                                      <w:marLeft w:val="0"/>
                                                      <w:marRight w:val="0"/>
                                                      <w:marTop w:val="0"/>
                                                      <w:marBottom w:val="0"/>
                                                      <w:divBdr>
                                                        <w:top w:val="single" w:sz="2" w:space="0" w:color="E3E3E3"/>
                                                        <w:left w:val="single" w:sz="2" w:space="0" w:color="E3E3E3"/>
                                                        <w:bottom w:val="single" w:sz="2" w:space="0" w:color="E3E3E3"/>
                                                        <w:right w:val="single" w:sz="2" w:space="0" w:color="E3E3E3"/>
                                                      </w:divBdr>
                                                      <w:divsChild>
                                                        <w:div w:id="18013393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55866633">
          <w:marLeft w:val="0"/>
          <w:marRight w:val="0"/>
          <w:marTop w:val="0"/>
          <w:marBottom w:val="0"/>
          <w:divBdr>
            <w:top w:val="none" w:sz="0" w:space="0" w:color="auto"/>
            <w:left w:val="none" w:sz="0" w:space="0" w:color="auto"/>
            <w:bottom w:val="none" w:sz="0" w:space="0" w:color="auto"/>
            <w:right w:val="none" w:sz="0" w:space="0" w:color="auto"/>
          </w:divBdr>
          <w:divsChild>
            <w:div w:id="254362186">
              <w:marLeft w:val="0"/>
              <w:marRight w:val="0"/>
              <w:marTop w:val="0"/>
              <w:marBottom w:val="0"/>
              <w:divBdr>
                <w:top w:val="single" w:sz="2" w:space="0" w:color="E3E3E3"/>
                <w:left w:val="single" w:sz="2" w:space="0" w:color="E3E3E3"/>
                <w:bottom w:val="single" w:sz="2" w:space="0" w:color="E3E3E3"/>
                <w:right w:val="single" w:sz="2" w:space="0" w:color="E3E3E3"/>
              </w:divBdr>
              <w:divsChild>
                <w:div w:id="14336692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74193332">
      <w:bodyDiv w:val="1"/>
      <w:marLeft w:val="0"/>
      <w:marRight w:val="0"/>
      <w:marTop w:val="0"/>
      <w:marBottom w:val="0"/>
      <w:divBdr>
        <w:top w:val="none" w:sz="0" w:space="0" w:color="auto"/>
        <w:left w:val="none" w:sz="0" w:space="0" w:color="auto"/>
        <w:bottom w:val="none" w:sz="0" w:space="0" w:color="auto"/>
        <w:right w:val="none" w:sz="0" w:space="0" w:color="auto"/>
      </w:divBdr>
    </w:div>
    <w:div w:id="915747351">
      <w:bodyDiv w:val="1"/>
      <w:marLeft w:val="0"/>
      <w:marRight w:val="0"/>
      <w:marTop w:val="0"/>
      <w:marBottom w:val="0"/>
      <w:divBdr>
        <w:top w:val="none" w:sz="0" w:space="0" w:color="auto"/>
        <w:left w:val="none" w:sz="0" w:space="0" w:color="auto"/>
        <w:bottom w:val="none" w:sz="0" w:space="0" w:color="auto"/>
        <w:right w:val="none" w:sz="0" w:space="0" w:color="auto"/>
      </w:divBdr>
      <w:divsChild>
        <w:div w:id="828444647">
          <w:marLeft w:val="0"/>
          <w:marRight w:val="0"/>
          <w:marTop w:val="0"/>
          <w:marBottom w:val="0"/>
          <w:divBdr>
            <w:top w:val="single" w:sz="2" w:space="0" w:color="E3E3E3"/>
            <w:left w:val="single" w:sz="2" w:space="0" w:color="E3E3E3"/>
            <w:bottom w:val="single" w:sz="2" w:space="0" w:color="E3E3E3"/>
            <w:right w:val="single" w:sz="2" w:space="0" w:color="E3E3E3"/>
          </w:divBdr>
          <w:divsChild>
            <w:div w:id="1524978865">
              <w:marLeft w:val="0"/>
              <w:marRight w:val="0"/>
              <w:marTop w:val="0"/>
              <w:marBottom w:val="0"/>
              <w:divBdr>
                <w:top w:val="single" w:sz="2" w:space="0" w:color="E3E3E3"/>
                <w:left w:val="single" w:sz="2" w:space="0" w:color="E3E3E3"/>
                <w:bottom w:val="single" w:sz="2" w:space="0" w:color="E3E3E3"/>
                <w:right w:val="single" w:sz="2" w:space="0" w:color="E3E3E3"/>
              </w:divBdr>
              <w:divsChild>
                <w:div w:id="336153938">
                  <w:marLeft w:val="0"/>
                  <w:marRight w:val="0"/>
                  <w:marTop w:val="0"/>
                  <w:marBottom w:val="0"/>
                  <w:divBdr>
                    <w:top w:val="single" w:sz="2" w:space="0" w:color="E3E3E3"/>
                    <w:left w:val="single" w:sz="2" w:space="0" w:color="E3E3E3"/>
                    <w:bottom w:val="single" w:sz="2" w:space="0" w:color="E3E3E3"/>
                    <w:right w:val="single" w:sz="2" w:space="0" w:color="E3E3E3"/>
                  </w:divBdr>
                  <w:divsChild>
                    <w:div w:id="638535822">
                      <w:marLeft w:val="0"/>
                      <w:marRight w:val="0"/>
                      <w:marTop w:val="0"/>
                      <w:marBottom w:val="0"/>
                      <w:divBdr>
                        <w:top w:val="single" w:sz="2" w:space="0" w:color="E3E3E3"/>
                        <w:left w:val="single" w:sz="2" w:space="0" w:color="E3E3E3"/>
                        <w:bottom w:val="single" w:sz="2" w:space="0" w:color="E3E3E3"/>
                        <w:right w:val="single" w:sz="2" w:space="0" w:color="E3E3E3"/>
                      </w:divBdr>
                      <w:divsChild>
                        <w:div w:id="1553351259">
                          <w:marLeft w:val="0"/>
                          <w:marRight w:val="0"/>
                          <w:marTop w:val="0"/>
                          <w:marBottom w:val="0"/>
                          <w:divBdr>
                            <w:top w:val="single" w:sz="2" w:space="0" w:color="E3E3E3"/>
                            <w:left w:val="single" w:sz="2" w:space="0" w:color="E3E3E3"/>
                            <w:bottom w:val="single" w:sz="2" w:space="0" w:color="E3E3E3"/>
                            <w:right w:val="single" w:sz="2" w:space="0" w:color="E3E3E3"/>
                          </w:divBdr>
                          <w:divsChild>
                            <w:div w:id="2018920962">
                              <w:marLeft w:val="0"/>
                              <w:marRight w:val="0"/>
                              <w:marTop w:val="0"/>
                              <w:marBottom w:val="0"/>
                              <w:divBdr>
                                <w:top w:val="single" w:sz="2" w:space="0" w:color="E3E3E3"/>
                                <w:left w:val="single" w:sz="2" w:space="0" w:color="E3E3E3"/>
                                <w:bottom w:val="single" w:sz="2" w:space="0" w:color="E3E3E3"/>
                                <w:right w:val="single" w:sz="2" w:space="0" w:color="E3E3E3"/>
                              </w:divBdr>
                              <w:divsChild>
                                <w:div w:id="1453400343">
                                  <w:marLeft w:val="0"/>
                                  <w:marRight w:val="0"/>
                                  <w:marTop w:val="100"/>
                                  <w:marBottom w:val="100"/>
                                  <w:divBdr>
                                    <w:top w:val="single" w:sz="2" w:space="0" w:color="E3E3E3"/>
                                    <w:left w:val="single" w:sz="2" w:space="0" w:color="E3E3E3"/>
                                    <w:bottom w:val="single" w:sz="2" w:space="0" w:color="E3E3E3"/>
                                    <w:right w:val="single" w:sz="2" w:space="0" w:color="E3E3E3"/>
                                  </w:divBdr>
                                  <w:divsChild>
                                    <w:div w:id="1961178778">
                                      <w:marLeft w:val="0"/>
                                      <w:marRight w:val="0"/>
                                      <w:marTop w:val="0"/>
                                      <w:marBottom w:val="0"/>
                                      <w:divBdr>
                                        <w:top w:val="single" w:sz="2" w:space="0" w:color="E3E3E3"/>
                                        <w:left w:val="single" w:sz="2" w:space="0" w:color="E3E3E3"/>
                                        <w:bottom w:val="single" w:sz="2" w:space="0" w:color="E3E3E3"/>
                                        <w:right w:val="single" w:sz="2" w:space="0" w:color="E3E3E3"/>
                                      </w:divBdr>
                                      <w:divsChild>
                                        <w:div w:id="1712803318">
                                          <w:marLeft w:val="0"/>
                                          <w:marRight w:val="0"/>
                                          <w:marTop w:val="0"/>
                                          <w:marBottom w:val="0"/>
                                          <w:divBdr>
                                            <w:top w:val="single" w:sz="2" w:space="0" w:color="E3E3E3"/>
                                            <w:left w:val="single" w:sz="2" w:space="0" w:color="E3E3E3"/>
                                            <w:bottom w:val="single" w:sz="2" w:space="0" w:color="E3E3E3"/>
                                            <w:right w:val="single" w:sz="2" w:space="0" w:color="E3E3E3"/>
                                          </w:divBdr>
                                          <w:divsChild>
                                            <w:div w:id="2131239461">
                                              <w:marLeft w:val="0"/>
                                              <w:marRight w:val="0"/>
                                              <w:marTop w:val="0"/>
                                              <w:marBottom w:val="0"/>
                                              <w:divBdr>
                                                <w:top w:val="single" w:sz="2" w:space="0" w:color="E3E3E3"/>
                                                <w:left w:val="single" w:sz="2" w:space="0" w:color="E3E3E3"/>
                                                <w:bottom w:val="single" w:sz="2" w:space="0" w:color="E3E3E3"/>
                                                <w:right w:val="single" w:sz="2" w:space="0" w:color="E3E3E3"/>
                                              </w:divBdr>
                                              <w:divsChild>
                                                <w:div w:id="1301379327">
                                                  <w:marLeft w:val="0"/>
                                                  <w:marRight w:val="0"/>
                                                  <w:marTop w:val="0"/>
                                                  <w:marBottom w:val="0"/>
                                                  <w:divBdr>
                                                    <w:top w:val="single" w:sz="2" w:space="0" w:color="E3E3E3"/>
                                                    <w:left w:val="single" w:sz="2" w:space="0" w:color="E3E3E3"/>
                                                    <w:bottom w:val="single" w:sz="2" w:space="0" w:color="E3E3E3"/>
                                                    <w:right w:val="single" w:sz="2" w:space="0" w:color="E3E3E3"/>
                                                  </w:divBdr>
                                                  <w:divsChild>
                                                    <w:div w:id="65803197">
                                                      <w:marLeft w:val="0"/>
                                                      <w:marRight w:val="0"/>
                                                      <w:marTop w:val="0"/>
                                                      <w:marBottom w:val="0"/>
                                                      <w:divBdr>
                                                        <w:top w:val="single" w:sz="2" w:space="0" w:color="E3E3E3"/>
                                                        <w:left w:val="single" w:sz="2" w:space="0" w:color="E3E3E3"/>
                                                        <w:bottom w:val="single" w:sz="2" w:space="0" w:color="E3E3E3"/>
                                                        <w:right w:val="single" w:sz="2" w:space="0" w:color="E3E3E3"/>
                                                      </w:divBdr>
                                                      <w:divsChild>
                                                        <w:div w:id="1769234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82982102">
          <w:marLeft w:val="0"/>
          <w:marRight w:val="0"/>
          <w:marTop w:val="0"/>
          <w:marBottom w:val="0"/>
          <w:divBdr>
            <w:top w:val="none" w:sz="0" w:space="0" w:color="auto"/>
            <w:left w:val="none" w:sz="0" w:space="0" w:color="auto"/>
            <w:bottom w:val="none" w:sz="0" w:space="0" w:color="auto"/>
            <w:right w:val="none" w:sz="0" w:space="0" w:color="auto"/>
          </w:divBdr>
          <w:divsChild>
            <w:div w:id="192154814">
              <w:marLeft w:val="0"/>
              <w:marRight w:val="0"/>
              <w:marTop w:val="0"/>
              <w:marBottom w:val="0"/>
              <w:divBdr>
                <w:top w:val="single" w:sz="2" w:space="0" w:color="E3E3E3"/>
                <w:left w:val="single" w:sz="2" w:space="0" w:color="E3E3E3"/>
                <w:bottom w:val="single" w:sz="2" w:space="0" w:color="E3E3E3"/>
                <w:right w:val="single" w:sz="2" w:space="0" w:color="E3E3E3"/>
              </w:divBdr>
              <w:divsChild>
                <w:div w:id="348921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53961931">
      <w:bodyDiv w:val="1"/>
      <w:marLeft w:val="0"/>
      <w:marRight w:val="0"/>
      <w:marTop w:val="0"/>
      <w:marBottom w:val="0"/>
      <w:divBdr>
        <w:top w:val="none" w:sz="0" w:space="0" w:color="auto"/>
        <w:left w:val="none" w:sz="0" w:space="0" w:color="auto"/>
        <w:bottom w:val="none" w:sz="0" w:space="0" w:color="auto"/>
        <w:right w:val="none" w:sz="0" w:space="0" w:color="auto"/>
      </w:divBdr>
    </w:div>
    <w:div w:id="1192694577">
      <w:bodyDiv w:val="1"/>
      <w:marLeft w:val="0"/>
      <w:marRight w:val="0"/>
      <w:marTop w:val="0"/>
      <w:marBottom w:val="0"/>
      <w:divBdr>
        <w:top w:val="none" w:sz="0" w:space="0" w:color="auto"/>
        <w:left w:val="none" w:sz="0" w:space="0" w:color="auto"/>
        <w:bottom w:val="none" w:sz="0" w:space="0" w:color="auto"/>
        <w:right w:val="none" w:sz="0" w:space="0" w:color="auto"/>
      </w:divBdr>
      <w:divsChild>
        <w:div w:id="2079355350">
          <w:marLeft w:val="0"/>
          <w:marRight w:val="0"/>
          <w:marTop w:val="0"/>
          <w:marBottom w:val="0"/>
          <w:divBdr>
            <w:top w:val="none" w:sz="0" w:space="0" w:color="auto"/>
            <w:left w:val="none" w:sz="0" w:space="0" w:color="auto"/>
            <w:bottom w:val="none" w:sz="0" w:space="0" w:color="auto"/>
            <w:right w:val="none" w:sz="0" w:space="0" w:color="auto"/>
          </w:divBdr>
        </w:div>
      </w:divsChild>
    </w:div>
    <w:div w:id="1259293380">
      <w:bodyDiv w:val="1"/>
      <w:marLeft w:val="0"/>
      <w:marRight w:val="0"/>
      <w:marTop w:val="0"/>
      <w:marBottom w:val="0"/>
      <w:divBdr>
        <w:top w:val="none" w:sz="0" w:space="0" w:color="auto"/>
        <w:left w:val="none" w:sz="0" w:space="0" w:color="auto"/>
        <w:bottom w:val="none" w:sz="0" w:space="0" w:color="auto"/>
        <w:right w:val="none" w:sz="0" w:space="0" w:color="auto"/>
      </w:divBdr>
    </w:div>
    <w:div w:id="1304390767">
      <w:bodyDiv w:val="1"/>
      <w:marLeft w:val="0"/>
      <w:marRight w:val="0"/>
      <w:marTop w:val="0"/>
      <w:marBottom w:val="0"/>
      <w:divBdr>
        <w:top w:val="none" w:sz="0" w:space="0" w:color="auto"/>
        <w:left w:val="none" w:sz="0" w:space="0" w:color="auto"/>
        <w:bottom w:val="none" w:sz="0" w:space="0" w:color="auto"/>
        <w:right w:val="none" w:sz="0" w:space="0" w:color="auto"/>
      </w:divBdr>
    </w:div>
    <w:div w:id="1343359329">
      <w:bodyDiv w:val="1"/>
      <w:marLeft w:val="0"/>
      <w:marRight w:val="0"/>
      <w:marTop w:val="0"/>
      <w:marBottom w:val="0"/>
      <w:divBdr>
        <w:top w:val="none" w:sz="0" w:space="0" w:color="auto"/>
        <w:left w:val="none" w:sz="0" w:space="0" w:color="auto"/>
        <w:bottom w:val="none" w:sz="0" w:space="0" w:color="auto"/>
        <w:right w:val="none" w:sz="0" w:space="0" w:color="auto"/>
      </w:divBdr>
      <w:divsChild>
        <w:div w:id="1837647547">
          <w:marLeft w:val="0"/>
          <w:marRight w:val="0"/>
          <w:marTop w:val="0"/>
          <w:marBottom w:val="0"/>
          <w:divBdr>
            <w:top w:val="single" w:sz="2" w:space="0" w:color="E3E3E3"/>
            <w:left w:val="single" w:sz="2" w:space="0" w:color="E3E3E3"/>
            <w:bottom w:val="single" w:sz="2" w:space="0" w:color="E3E3E3"/>
            <w:right w:val="single" w:sz="2" w:space="0" w:color="E3E3E3"/>
          </w:divBdr>
          <w:divsChild>
            <w:div w:id="499661858">
              <w:marLeft w:val="0"/>
              <w:marRight w:val="0"/>
              <w:marTop w:val="0"/>
              <w:marBottom w:val="0"/>
              <w:divBdr>
                <w:top w:val="single" w:sz="2" w:space="0" w:color="E3E3E3"/>
                <w:left w:val="single" w:sz="2" w:space="0" w:color="E3E3E3"/>
                <w:bottom w:val="single" w:sz="2" w:space="0" w:color="E3E3E3"/>
                <w:right w:val="single" w:sz="2" w:space="0" w:color="E3E3E3"/>
              </w:divBdr>
              <w:divsChild>
                <w:div w:id="254439526">
                  <w:marLeft w:val="0"/>
                  <w:marRight w:val="0"/>
                  <w:marTop w:val="0"/>
                  <w:marBottom w:val="0"/>
                  <w:divBdr>
                    <w:top w:val="single" w:sz="2" w:space="0" w:color="E3E3E3"/>
                    <w:left w:val="single" w:sz="2" w:space="0" w:color="E3E3E3"/>
                    <w:bottom w:val="single" w:sz="2" w:space="0" w:color="E3E3E3"/>
                    <w:right w:val="single" w:sz="2" w:space="0" w:color="E3E3E3"/>
                  </w:divBdr>
                  <w:divsChild>
                    <w:div w:id="735929802">
                      <w:marLeft w:val="0"/>
                      <w:marRight w:val="0"/>
                      <w:marTop w:val="0"/>
                      <w:marBottom w:val="0"/>
                      <w:divBdr>
                        <w:top w:val="single" w:sz="2" w:space="0" w:color="E3E3E3"/>
                        <w:left w:val="single" w:sz="2" w:space="0" w:color="E3E3E3"/>
                        <w:bottom w:val="single" w:sz="2" w:space="0" w:color="E3E3E3"/>
                        <w:right w:val="single" w:sz="2" w:space="0" w:color="E3E3E3"/>
                      </w:divBdr>
                      <w:divsChild>
                        <w:div w:id="1063715387">
                          <w:marLeft w:val="0"/>
                          <w:marRight w:val="0"/>
                          <w:marTop w:val="0"/>
                          <w:marBottom w:val="0"/>
                          <w:divBdr>
                            <w:top w:val="single" w:sz="2" w:space="0" w:color="E3E3E3"/>
                            <w:left w:val="single" w:sz="2" w:space="0" w:color="E3E3E3"/>
                            <w:bottom w:val="single" w:sz="2" w:space="0" w:color="E3E3E3"/>
                            <w:right w:val="single" w:sz="2" w:space="0" w:color="E3E3E3"/>
                          </w:divBdr>
                          <w:divsChild>
                            <w:div w:id="921110166">
                              <w:marLeft w:val="0"/>
                              <w:marRight w:val="0"/>
                              <w:marTop w:val="0"/>
                              <w:marBottom w:val="0"/>
                              <w:divBdr>
                                <w:top w:val="single" w:sz="2" w:space="0" w:color="E3E3E3"/>
                                <w:left w:val="single" w:sz="2" w:space="0" w:color="E3E3E3"/>
                                <w:bottom w:val="single" w:sz="2" w:space="0" w:color="E3E3E3"/>
                                <w:right w:val="single" w:sz="2" w:space="0" w:color="E3E3E3"/>
                              </w:divBdr>
                              <w:divsChild>
                                <w:div w:id="1017730979">
                                  <w:marLeft w:val="0"/>
                                  <w:marRight w:val="0"/>
                                  <w:marTop w:val="100"/>
                                  <w:marBottom w:val="100"/>
                                  <w:divBdr>
                                    <w:top w:val="single" w:sz="2" w:space="0" w:color="E3E3E3"/>
                                    <w:left w:val="single" w:sz="2" w:space="0" w:color="E3E3E3"/>
                                    <w:bottom w:val="single" w:sz="2" w:space="0" w:color="E3E3E3"/>
                                    <w:right w:val="single" w:sz="2" w:space="0" w:color="E3E3E3"/>
                                  </w:divBdr>
                                  <w:divsChild>
                                    <w:div w:id="2131317253">
                                      <w:marLeft w:val="0"/>
                                      <w:marRight w:val="0"/>
                                      <w:marTop w:val="0"/>
                                      <w:marBottom w:val="0"/>
                                      <w:divBdr>
                                        <w:top w:val="single" w:sz="2" w:space="0" w:color="E3E3E3"/>
                                        <w:left w:val="single" w:sz="2" w:space="0" w:color="E3E3E3"/>
                                        <w:bottom w:val="single" w:sz="2" w:space="0" w:color="E3E3E3"/>
                                        <w:right w:val="single" w:sz="2" w:space="0" w:color="E3E3E3"/>
                                      </w:divBdr>
                                      <w:divsChild>
                                        <w:div w:id="110395354">
                                          <w:marLeft w:val="0"/>
                                          <w:marRight w:val="0"/>
                                          <w:marTop w:val="0"/>
                                          <w:marBottom w:val="0"/>
                                          <w:divBdr>
                                            <w:top w:val="single" w:sz="2" w:space="0" w:color="E3E3E3"/>
                                            <w:left w:val="single" w:sz="2" w:space="0" w:color="E3E3E3"/>
                                            <w:bottom w:val="single" w:sz="2" w:space="0" w:color="E3E3E3"/>
                                            <w:right w:val="single" w:sz="2" w:space="0" w:color="E3E3E3"/>
                                          </w:divBdr>
                                          <w:divsChild>
                                            <w:div w:id="1829439388">
                                              <w:marLeft w:val="0"/>
                                              <w:marRight w:val="0"/>
                                              <w:marTop w:val="0"/>
                                              <w:marBottom w:val="0"/>
                                              <w:divBdr>
                                                <w:top w:val="single" w:sz="2" w:space="0" w:color="E3E3E3"/>
                                                <w:left w:val="single" w:sz="2" w:space="0" w:color="E3E3E3"/>
                                                <w:bottom w:val="single" w:sz="2" w:space="0" w:color="E3E3E3"/>
                                                <w:right w:val="single" w:sz="2" w:space="0" w:color="E3E3E3"/>
                                              </w:divBdr>
                                              <w:divsChild>
                                                <w:div w:id="1582064026">
                                                  <w:marLeft w:val="0"/>
                                                  <w:marRight w:val="0"/>
                                                  <w:marTop w:val="0"/>
                                                  <w:marBottom w:val="0"/>
                                                  <w:divBdr>
                                                    <w:top w:val="single" w:sz="2" w:space="0" w:color="E3E3E3"/>
                                                    <w:left w:val="single" w:sz="2" w:space="0" w:color="E3E3E3"/>
                                                    <w:bottom w:val="single" w:sz="2" w:space="0" w:color="E3E3E3"/>
                                                    <w:right w:val="single" w:sz="2" w:space="0" w:color="E3E3E3"/>
                                                  </w:divBdr>
                                                  <w:divsChild>
                                                    <w:div w:id="1279919894">
                                                      <w:marLeft w:val="0"/>
                                                      <w:marRight w:val="0"/>
                                                      <w:marTop w:val="0"/>
                                                      <w:marBottom w:val="0"/>
                                                      <w:divBdr>
                                                        <w:top w:val="single" w:sz="2" w:space="0" w:color="E3E3E3"/>
                                                        <w:left w:val="single" w:sz="2" w:space="0" w:color="E3E3E3"/>
                                                        <w:bottom w:val="single" w:sz="2" w:space="0" w:color="E3E3E3"/>
                                                        <w:right w:val="single" w:sz="2" w:space="0" w:color="E3E3E3"/>
                                                      </w:divBdr>
                                                      <w:divsChild>
                                                        <w:div w:id="640114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3621375">
          <w:marLeft w:val="0"/>
          <w:marRight w:val="0"/>
          <w:marTop w:val="0"/>
          <w:marBottom w:val="0"/>
          <w:divBdr>
            <w:top w:val="none" w:sz="0" w:space="0" w:color="auto"/>
            <w:left w:val="none" w:sz="0" w:space="0" w:color="auto"/>
            <w:bottom w:val="none" w:sz="0" w:space="0" w:color="auto"/>
            <w:right w:val="none" w:sz="0" w:space="0" w:color="auto"/>
          </w:divBdr>
          <w:divsChild>
            <w:div w:id="2050841245">
              <w:marLeft w:val="0"/>
              <w:marRight w:val="0"/>
              <w:marTop w:val="100"/>
              <w:marBottom w:val="100"/>
              <w:divBdr>
                <w:top w:val="single" w:sz="2" w:space="0" w:color="E3E3E3"/>
                <w:left w:val="single" w:sz="2" w:space="0" w:color="E3E3E3"/>
                <w:bottom w:val="single" w:sz="2" w:space="0" w:color="E3E3E3"/>
                <w:right w:val="single" w:sz="2" w:space="0" w:color="E3E3E3"/>
              </w:divBdr>
              <w:divsChild>
                <w:div w:id="1356271320">
                  <w:marLeft w:val="0"/>
                  <w:marRight w:val="0"/>
                  <w:marTop w:val="0"/>
                  <w:marBottom w:val="0"/>
                  <w:divBdr>
                    <w:top w:val="single" w:sz="2" w:space="0" w:color="E3E3E3"/>
                    <w:left w:val="single" w:sz="2" w:space="0" w:color="E3E3E3"/>
                    <w:bottom w:val="single" w:sz="2" w:space="0" w:color="E3E3E3"/>
                    <w:right w:val="single" w:sz="2" w:space="0" w:color="E3E3E3"/>
                  </w:divBdr>
                  <w:divsChild>
                    <w:div w:id="462230855">
                      <w:marLeft w:val="0"/>
                      <w:marRight w:val="0"/>
                      <w:marTop w:val="0"/>
                      <w:marBottom w:val="0"/>
                      <w:divBdr>
                        <w:top w:val="single" w:sz="2" w:space="0" w:color="E3E3E3"/>
                        <w:left w:val="single" w:sz="2" w:space="0" w:color="E3E3E3"/>
                        <w:bottom w:val="single" w:sz="2" w:space="0" w:color="E3E3E3"/>
                        <w:right w:val="single" w:sz="2" w:space="0" w:color="E3E3E3"/>
                      </w:divBdr>
                      <w:divsChild>
                        <w:div w:id="218976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08500504">
      <w:bodyDiv w:val="1"/>
      <w:marLeft w:val="0"/>
      <w:marRight w:val="0"/>
      <w:marTop w:val="0"/>
      <w:marBottom w:val="0"/>
      <w:divBdr>
        <w:top w:val="none" w:sz="0" w:space="0" w:color="auto"/>
        <w:left w:val="none" w:sz="0" w:space="0" w:color="auto"/>
        <w:bottom w:val="none" w:sz="0" w:space="0" w:color="auto"/>
        <w:right w:val="none" w:sz="0" w:space="0" w:color="auto"/>
      </w:divBdr>
    </w:div>
    <w:div w:id="1525366360">
      <w:bodyDiv w:val="1"/>
      <w:marLeft w:val="0"/>
      <w:marRight w:val="0"/>
      <w:marTop w:val="0"/>
      <w:marBottom w:val="0"/>
      <w:divBdr>
        <w:top w:val="none" w:sz="0" w:space="0" w:color="auto"/>
        <w:left w:val="none" w:sz="0" w:space="0" w:color="auto"/>
        <w:bottom w:val="none" w:sz="0" w:space="0" w:color="auto"/>
        <w:right w:val="none" w:sz="0" w:space="0" w:color="auto"/>
      </w:divBdr>
    </w:div>
    <w:div w:id="1719893592">
      <w:bodyDiv w:val="1"/>
      <w:marLeft w:val="0"/>
      <w:marRight w:val="0"/>
      <w:marTop w:val="0"/>
      <w:marBottom w:val="0"/>
      <w:divBdr>
        <w:top w:val="none" w:sz="0" w:space="0" w:color="auto"/>
        <w:left w:val="none" w:sz="0" w:space="0" w:color="auto"/>
        <w:bottom w:val="none" w:sz="0" w:space="0" w:color="auto"/>
        <w:right w:val="none" w:sz="0" w:space="0" w:color="auto"/>
      </w:divBdr>
    </w:div>
    <w:div w:id="1754163971">
      <w:bodyDiv w:val="1"/>
      <w:marLeft w:val="0"/>
      <w:marRight w:val="0"/>
      <w:marTop w:val="0"/>
      <w:marBottom w:val="0"/>
      <w:divBdr>
        <w:top w:val="none" w:sz="0" w:space="0" w:color="auto"/>
        <w:left w:val="none" w:sz="0" w:space="0" w:color="auto"/>
        <w:bottom w:val="none" w:sz="0" w:space="0" w:color="auto"/>
        <w:right w:val="none" w:sz="0" w:space="0" w:color="auto"/>
      </w:divBdr>
    </w:div>
    <w:div w:id="1913419411">
      <w:bodyDiv w:val="1"/>
      <w:marLeft w:val="0"/>
      <w:marRight w:val="0"/>
      <w:marTop w:val="0"/>
      <w:marBottom w:val="0"/>
      <w:divBdr>
        <w:top w:val="none" w:sz="0" w:space="0" w:color="auto"/>
        <w:left w:val="none" w:sz="0" w:space="0" w:color="auto"/>
        <w:bottom w:val="none" w:sz="0" w:space="0" w:color="auto"/>
        <w:right w:val="none" w:sz="0" w:space="0" w:color="auto"/>
      </w:divBdr>
    </w:div>
    <w:div w:id="193365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doi.org/10.2307/258557" TargetMode="External"/><Relationship Id="rId18" Type="http://schemas.openxmlformats.org/officeDocument/2006/relationships/hyperlink" Target="https://doi.org/10.1080/02796015.2008.12087908"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hyperlink" Target="https://doi.org/10.1111/j.1467-8624.2010.01564.x" TargetMode="External"/><Relationship Id="rId17" Type="http://schemas.openxmlformats.org/officeDocument/2006/relationships/hyperlink" Target="https://doi.org/10.1111/j.1750-8606.2012.00238.x" TargetMode="External"/><Relationship Id="rId2" Type="http://schemas.openxmlformats.org/officeDocument/2006/relationships/styles" Target="styles.xml"/><Relationship Id="rId16" Type="http://schemas.openxmlformats.org/officeDocument/2006/relationships/hyperlink" Target="https://doi.org/10.1002/9780470939406.ch2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s11205-011-9966-7" TargetMode="External"/><Relationship Id="rId23" Type="http://schemas.openxmlformats.org/officeDocument/2006/relationships/glossaryDocument" Target="glossary/document.xml"/><Relationship Id="rId10" Type="http://schemas.openxmlformats.org/officeDocument/2006/relationships/image" Target="media/image4.jpeg"/><Relationship Id="rId19" Type="http://schemas.openxmlformats.org/officeDocument/2006/relationships/hyperlink" Target="https://doi.org/10.1037/0022-0663.90.2.202"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doi.org/10.3102/00346543074001059"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97C7B30EF9DF64D83C183C4EE3F0B55"/>
        <w:category>
          <w:name w:val="General"/>
          <w:gallery w:val="placeholder"/>
        </w:category>
        <w:types>
          <w:type w:val="bbPlcHdr"/>
        </w:types>
        <w:behaviors>
          <w:behavior w:val="content"/>
        </w:behaviors>
        <w:guid w:val="{CD515EF2-E9F4-8648-9C68-36A4E4CDF81F}"/>
      </w:docPartPr>
      <w:docPartBody>
        <w:p w:rsidR="00A570C8" w:rsidRDefault="00721B98" w:rsidP="00721B98">
          <w:pPr>
            <w:pStyle w:val="E97C7B30EF9DF64D83C183C4EE3F0B55"/>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w:altName w:val="Arial"/>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B98"/>
    <w:rsid w:val="0058508A"/>
    <w:rsid w:val="00721B98"/>
    <w:rsid w:val="00A570C8"/>
    <w:rsid w:val="00BC6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7C7B30EF9DF64D83C183C4EE3F0B55">
    <w:name w:val="E97C7B30EF9DF64D83C183C4EE3F0B55"/>
    <w:rsid w:val="00721B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2659</TotalTime>
  <Pages>15</Pages>
  <Words>5308</Words>
  <Characters>30262</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Greenhill (2012008)</dc:creator>
  <cp:keywords/>
  <dc:description/>
  <cp:lastModifiedBy>Lauren Greenhill (2012008)</cp:lastModifiedBy>
  <cp:revision>11</cp:revision>
  <dcterms:created xsi:type="dcterms:W3CDTF">2024-03-05T11:26:00Z</dcterms:created>
  <dcterms:modified xsi:type="dcterms:W3CDTF">2024-05-07T21:02:00Z</dcterms:modified>
</cp:coreProperties>
</file>