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CB2EA4" w14:textId="77777777" w:rsidR="004C131D" w:rsidRPr="00F240DD" w:rsidRDefault="004C131D">
      <w:pPr>
        <w:pStyle w:val="Normal1"/>
        <w:jc w:val="center"/>
        <w:rPr>
          <w:b/>
          <w:bCs/>
          <w:color w:val="000000" w:themeColor="text1"/>
          <w:sz w:val="32"/>
          <w:szCs w:val="32"/>
          <w:lang w:val="en-GB"/>
        </w:rPr>
      </w:pPr>
    </w:p>
    <w:p w14:paraId="7AC92450" w14:textId="77777777" w:rsidR="004C131D" w:rsidRPr="00F240DD" w:rsidRDefault="004C131D">
      <w:pPr>
        <w:pStyle w:val="Normal1"/>
        <w:jc w:val="center"/>
        <w:rPr>
          <w:b/>
          <w:bCs/>
          <w:color w:val="000000" w:themeColor="text1"/>
          <w:sz w:val="32"/>
          <w:szCs w:val="32"/>
          <w:lang w:val="en-GB"/>
        </w:rPr>
      </w:pPr>
    </w:p>
    <w:p w14:paraId="11830FFF" w14:textId="77777777" w:rsidR="004C131D" w:rsidRPr="00F240DD" w:rsidRDefault="004C131D">
      <w:pPr>
        <w:pStyle w:val="Normal1"/>
        <w:jc w:val="center"/>
        <w:rPr>
          <w:b/>
          <w:bCs/>
          <w:color w:val="000000" w:themeColor="text1"/>
          <w:sz w:val="32"/>
          <w:szCs w:val="32"/>
          <w:lang w:val="en-GB"/>
        </w:rPr>
      </w:pPr>
    </w:p>
    <w:p w14:paraId="6C0951B9" w14:textId="77777777" w:rsidR="004C131D" w:rsidRPr="00F240DD" w:rsidRDefault="005F5491">
      <w:pPr>
        <w:pStyle w:val="Normal1"/>
        <w:jc w:val="center"/>
        <w:rPr>
          <w:b/>
          <w:bCs/>
          <w:color w:val="000000" w:themeColor="text1"/>
          <w:sz w:val="32"/>
          <w:szCs w:val="32"/>
          <w:lang w:val="en-GB"/>
        </w:rPr>
      </w:pPr>
      <w:r w:rsidRPr="00F240DD">
        <w:rPr>
          <w:noProof/>
          <w:color w:val="000000" w:themeColor="text1"/>
          <w:lang w:val="en-GB" w:eastAsia="en-GB"/>
        </w:rPr>
        <w:drawing>
          <wp:anchor distT="0" distB="0" distL="114300" distR="114300" simplePos="0" relativeHeight="251658240" behindDoc="0" locked="0" layoutInCell="1" allowOverlap="1" wp14:anchorId="72975578" wp14:editId="32B6D8E7">
            <wp:simplePos x="0" y="0"/>
            <wp:positionH relativeFrom="column">
              <wp:posOffset>1</wp:posOffset>
            </wp:positionH>
            <wp:positionV relativeFrom="paragraph">
              <wp:posOffset>348615</wp:posOffset>
            </wp:positionV>
            <wp:extent cx="1809750" cy="723900"/>
            <wp:effectExtent l="0" t="0" r="0" b="0"/>
            <wp:wrapSquare wrapText="bothSides" distT="0" distB="0" distL="114300" distR="114300"/>
            <wp:docPr id="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3C9106DD" w14:textId="77777777" w:rsidR="004C131D" w:rsidRPr="00F240DD" w:rsidRDefault="004C131D">
      <w:pPr>
        <w:pStyle w:val="Normal1"/>
        <w:jc w:val="center"/>
        <w:rPr>
          <w:b/>
          <w:bCs/>
          <w:color w:val="000000" w:themeColor="text1"/>
          <w:sz w:val="32"/>
          <w:szCs w:val="32"/>
          <w:lang w:val="en-GB"/>
        </w:rPr>
      </w:pPr>
    </w:p>
    <w:p w14:paraId="22C1326A" w14:textId="77777777" w:rsidR="004C131D" w:rsidRPr="00F240DD" w:rsidRDefault="004C131D">
      <w:pPr>
        <w:pStyle w:val="Normal1"/>
        <w:jc w:val="center"/>
        <w:rPr>
          <w:b/>
          <w:bCs/>
          <w:color w:val="000000" w:themeColor="text1"/>
          <w:sz w:val="32"/>
          <w:szCs w:val="32"/>
          <w:lang w:val="en-GB"/>
        </w:rPr>
      </w:pPr>
    </w:p>
    <w:p w14:paraId="68B7D616" w14:textId="77777777" w:rsidR="004C131D" w:rsidRPr="00F240DD" w:rsidRDefault="004C131D">
      <w:pPr>
        <w:pStyle w:val="Normal1"/>
        <w:jc w:val="center"/>
        <w:rPr>
          <w:b/>
          <w:bCs/>
          <w:color w:val="000000" w:themeColor="text1"/>
          <w:sz w:val="32"/>
          <w:szCs w:val="32"/>
          <w:lang w:val="en-GB"/>
        </w:rPr>
      </w:pPr>
    </w:p>
    <w:p w14:paraId="6F9CF211" w14:textId="77777777" w:rsidR="004C131D" w:rsidRPr="00F240DD" w:rsidRDefault="004C131D">
      <w:pPr>
        <w:pStyle w:val="Normal1"/>
        <w:jc w:val="center"/>
        <w:rPr>
          <w:b/>
          <w:bCs/>
          <w:color w:val="000000" w:themeColor="text1"/>
          <w:sz w:val="32"/>
          <w:szCs w:val="32"/>
          <w:lang w:val="en-GB"/>
        </w:rPr>
      </w:pPr>
    </w:p>
    <w:p w14:paraId="72FF5B7A" w14:textId="77777777" w:rsidR="004C131D" w:rsidRPr="00F240DD" w:rsidRDefault="005F5491">
      <w:pPr>
        <w:pStyle w:val="Normal1"/>
        <w:jc w:val="center"/>
        <w:rPr>
          <w:b/>
          <w:bCs/>
          <w:color w:val="000000" w:themeColor="text1"/>
          <w:sz w:val="32"/>
          <w:szCs w:val="32"/>
          <w:lang w:val="en-GB"/>
        </w:rPr>
      </w:pPr>
      <w:r w:rsidRPr="00F240DD">
        <w:rPr>
          <w:b/>
          <w:bCs/>
          <w:color w:val="000000" w:themeColor="text1"/>
          <w:sz w:val="32"/>
          <w:szCs w:val="32"/>
          <w:lang w:val="en-GB"/>
        </w:rPr>
        <w:t>BMHP5016: Principles of Health and Social Care Practice</w:t>
      </w:r>
    </w:p>
    <w:p w14:paraId="49654756" w14:textId="77777777" w:rsidR="004C131D" w:rsidRPr="00F240DD" w:rsidRDefault="005F5491">
      <w:pPr>
        <w:pStyle w:val="Normal1"/>
        <w:jc w:val="center"/>
        <w:rPr>
          <w:b/>
          <w:bCs/>
          <w:color w:val="000000" w:themeColor="text1"/>
          <w:sz w:val="32"/>
          <w:szCs w:val="32"/>
          <w:lang w:val="en-GB"/>
        </w:rPr>
      </w:pPr>
      <w:r w:rsidRPr="00F240DD">
        <w:rPr>
          <w:b/>
          <w:bCs/>
          <w:color w:val="000000" w:themeColor="text1"/>
          <w:sz w:val="32"/>
          <w:szCs w:val="32"/>
          <w:lang w:val="en-GB"/>
        </w:rPr>
        <w:t>Component 2: Written Assignment (Essay)</w:t>
      </w:r>
    </w:p>
    <w:p w14:paraId="2F3F7680" w14:textId="77777777" w:rsidR="00672C6D" w:rsidRPr="00F240DD" w:rsidRDefault="00672C6D">
      <w:pPr>
        <w:pStyle w:val="Normal1"/>
        <w:jc w:val="center"/>
        <w:rPr>
          <w:b/>
          <w:bCs/>
          <w:color w:val="000000" w:themeColor="text1"/>
          <w:sz w:val="32"/>
          <w:szCs w:val="32"/>
          <w:lang w:val="en-GB"/>
        </w:rPr>
      </w:pPr>
    </w:p>
    <w:p w14:paraId="3426460C" w14:textId="3B59F973" w:rsidR="00672C6D" w:rsidRPr="00F240DD" w:rsidRDefault="00672C6D">
      <w:pPr>
        <w:pStyle w:val="Normal1"/>
        <w:jc w:val="center"/>
        <w:rPr>
          <w:b/>
          <w:bCs/>
          <w:color w:val="000000" w:themeColor="text1"/>
          <w:sz w:val="32"/>
          <w:szCs w:val="32"/>
          <w:lang w:val="en-GB"/>
        </w:rPr>
      </w:pPr>
      <w:r w:rsidRPr="00F240DD">
        <w:rPr>
          <w:b/>
          <w:bCs/>
          <w:color w:val="000000" w:themeColor="text1"/>
          <w:sz w:val="24"/>
          <w:szCs w:val="24"/>
          <w:lang w:val="en-GB"/>
        </w:rPr>
        <w:t>Title: Principles of health and social care practices to resolve problems related to social model of disability and ethics of care</w:t>
      </w:r>
    </w:p>
    <w:p w14:paraId="4D6E9D5C" w14:textId="77777777" w:rsidR="004C131D" w:rsidRPr="00F240DD" w:rsidRDefault="004C131D">
      <w:pPr>
        <w:pStyle w:val="Normal1"/>
        <w:jc w:val="center"/>
        <w:rPr>
          <w:b/>
          <w:bCs/>
          <w:color w:val="000000" w:themeColor="text1"/>
          <w:sz w:val="32"/>
          <w:szCs w:val="32"/>
          <w:lang w:val="en-GB"/>
        </w:rPr>
      </w:pPr>
    </w:p>
    <w:p w14:paraId="2797BA93" w14:textId="77777777" w:rsidR="004C131D" w:rsidRPr="00F240DD" w:rsidRDefault="005F5491">
      <w:pPr>
        <w:pStyle w:val="Normal1"/>
        <w:jc w:val="center"/>
        <w:rPr>
          <w:b/>
          <w:bCs/>
          <w:color w:val="000000" w:themeColor="text1"/>
          <w:lang w:val="en-GB"/>
        </w:rPr>
      </w:pPr>
      <w:r w:rsidRPr="00F240DD">
        <w:rPr>
          <w:b/>
          <w:bCs/>
          <w:color w:val="000000" w:themeColor="text1"/>
          <w:lang w:val="en-GB"/>
        </w:rPr>
        <w:t>Student Name: Ashura San-Sellus</w:t>
      </w:r>
    </w:p>
    <w:p w14:paraId="02DD5F51" w14:textId="3D341A73" w:rsidR="004C131D" w:rsidRPr="00F240DD" w:rsidRDefault="005F5491">
      <w:pPr>
        <w:pStyle w:val="Normal1"/>
        <w:jc w:val="center"/>
        <w:rPr>
          <w:b/>
          <w:bCs/>
          <w:color w:val="000000" w:themeColor="text1"/>
          <w:lang w:val="en-GB"/>
        </w:rPr>
      </w:pPr>
      <w:r w:rsidRPr="00F240DD">
        <w:rPr>
          <w:b/>
          <w:bCs/>
          <w:color w:val="000000" w:themeColor="text1"/>
          <w:lang w:val="en-GB"/>
        </w:rPr>
        <w:t>Student ID: 2</w:t>
      </w:r>
      <w:r w:rsidR="00D17445">
        <w:rPr>
          <w:b/>
          <w:bCs/>
          <w:color w:val="000000" w:themeColor="text1"/>
          <w:lang w:val="en-GB"/>
        </w:rPr>
        <w:t>4</w:t>
      </w:r>
      <w:r w:rsidRPr="00F240DD">
        <w:rPr>
          <w:b/>
          <w:bCs/>
          <w:color w:val="000000" w:themeColor="text1"/>
          <w:lang w:val="en-GB"/>
        </w:rPr>
        <w:t>12818</w:t>
      </w:r>
    </w:p>
    <w:p w14:paraId="019E459A" w14:textId="77777777" w:rsidR="004C131D" w:rsidRPr="00F240DD" w:rsidRDefault="005F5491">
      <w:pPr>
        <w:pStyle w:val="Normal1"/>
        <w:tabs>
          <w:tab w:val="left" w:pos="6540"/>
        </w:tabs>
        <w:jc w:val="center"/>
        <w:rPr>
          <w:color w:val="000000" w:themeColor="text1"/>
          <w:sz w:val="32"/>
          <w:szCs w:val="32"/>
          <w:lang w:val="en-GB"/>
        </w:rPr>
      </w:pPr>
      <w:r w:rsidRPr="00F240DD">
        <w:rPr>
          <w:b/>
          <w:bCs/>
          <w:color w:val="000000" w:themeColor="text1"/>
          <w:sz w:val="32"/>
          <w:szCs w:val="32"/>
          <w:lang w:val="en-GB"/>
        </w:rPr>
        <w:t>Lecturer name</w:t>
      </w:r>
      <w:r w:rsidRPr="00F240DD">
        <w:rPr>
          <w:color w:val="000000" w:themeColor="text1"/>
          <w:sz w:val="32"/>
          <w:szCs w:val="32"/>
          <w:lang w:val="en-GB"/>
        </w:rPr>
        <w:t>: Itse Olaoye</w:t>
      </w:r>
    </w:p>
    <w:p w14:paraId="2FE0C7A4" w14:textId="6FFD72D3" w:rsidR="004C131D" w:rsidRPr="00F240DD" w:rsidRDefault="005F5491" w:rsidP="002B3533">
      <w:pPr>
        <w:pStyle w:val="Normal1"/>
        <w:jc w:val="center"/>
        <w:rPr>
          <w:color w:val="000000" w:themeColor="text1"/>
          <w:lang w:val="en-GB"/>
        </w:rPr>
      </w:pPr>
      <w:r w:rsidRPr="00F240DD">
        <w:rPr>
          <w:color w:val="000000" w:themeColor="text1"/>
          <w:lang w:val="en-GB"/>
        </w:rPr>
        <w:br w:type="page"/>
      </w:r>
      <w:r w:rsidRPr="00F240DD">
        <w:rPr>
          <w:b/>
          <w:bCs/>
          <w:color w:val="000000" w:themeColor="text1"/>
          <w:sz w:val="24"/>
          <w:szCs w:val="24"/>
          <w:lang w:val="en-GB"/>
        </w:rPr>
        <w:t xml:space="preserve"> </w:t>
      </w:r>
    </w:p>
    <w:p w14:paraId="5D57ACDF" w14:textId="77777777" w:rsidR="004C131D" w:rsidRPr="00F240DD" w:rsidRDefault="005F5491">
      <w:pPr>
        <w:pStyle w:val="Normal1"/>
        <w:keepNext/>
        <w:keepLines/>
        <w:pBdr>
          <w:top w:val="nil"/>
          <w:left w:val="nil"/>
          <w:bottom w:val="nil"/>
          <w:right w:val="nil"/>
          <w:between w:val="nil"/>
        </w:pBdr>
        <w:spacing w:before="240" w:line="259" w:lineRule="auto"/>
        <w:jc w:val="center"/>
        <w:rPr>
          <w:b/>
          <w:bCs/>
          <w:color w:val="000000" w:themeColor="text1"/>
          <w:sz w:val="24"/>
          <w:szCs w:val="24"/>
          <w:lang w:val="en-GB"/>
        </w:rPr>
      </w:pPr>
      <w:r w:rsidRPr="00F240DD">
        <w:rPr>
          <w:b/>
          <w:bCs/>
          <w:color w:val="000000" w:themeColor="text1"/>
          <w:sz w:val="24"/>
          <w:szCs w:val="24"/>
          <w:lang w:val="en-GB"/>
        </w:rPr>
        <w:t>Table of Contents</w:t>
      </w:r>
    </w:p>
    <w:sdt>
      <w:sdtPr>
        <w:rPr>
          <w:color w:val="000000" w:themeColor="text1"/>
          <w:lang w:val="en-GB"/>
        </w:rPr>
        <w:id w:val="1188197538"/>
        <w:docPartObj>
          <w:docPartGallery w:val="Table of Contents"/>
          <w:docPartUnique/>
        </w:docPartObj>
      </w:sdtPr>
      <w:sdtEndPr/>
      <w:sdtContent>
        <w:p w14:paraId="078FCCF5" w14:textId="77777777" w:rsidR="004C131D" w:rsidRPr="00F240DD" w:rsidRDefault="004C131D">
          <w:pPr>
            <w:pStyle w:val="Normal1"/>
            <w:pBdr>
              <w:top w:val="nil"/>
              <w:left w:val="nil"/>
              <w:bottom w:val="nil"/>
              <w:right w:val="nil"/>
              <w:between w:val="nil"/>
            </w:pBdr>
            <w:tabs>
              <w:tab w:val="right" w:leader="dot" w:pos="9019"/>
            </w:tabs>
            <w:spacing w:after="100"/>
            <w:rPr>
              <w:rFonts w:ascii="Cambria" w:eastAsia="Cambria" w:hAnsi="Cambria" w:cs="Cambria"/>
              <w:color w:val="000000" w:themeColor="text1"/>
              <w:lang w:val="en-GB"/>
            </w:rPr>
          </w:pPr>
          <w:r w:rsidRPr="00F240DD">
            <w:rPr>
              <w:color w:val="000000" w:themeColor="text1"/>
              <w:lang w:val="en-GB"/>
            </w:rPr>
            <w:fldChar w:fldCharType="begin"/>
          </w:r>
          <w:r w:rsidR="005F5491" w:rsidRPr="00F240DD">
            <w:rPr>
              <w:color w:val="000000" w:themeColor="text1"/>
              <w:lang w:val="en-GB"/>
            </w:rPr>
            <w:instrText xml:space="preserve"> TOC \h \u \z \t "Heading 1,1,Heading 2,2,Heading 3,3,"</w:instrText>
          </w:r>
          <w:r w:rsidRPr="00F240DD">
            <w:rPr>
              <w:color w:val="000000" w:themeColor="text1"/>
              <w:lang w:val="en-GB"/>
            </w:rPr>
            <w:fldChar w:fldCharType="separate"/>
          </w:r>
          <w:hyperlink w:anchor="_heading=h.vbgc44eokrb9">
            <w:r w:rsidR="005F5491" w:rsidRPr="00F240DD">
              <w:rPr>
                <w:color w:val="000000" w:themeColor="text1"/>
                <w:lang w:val="en-GB"/>
              </w:rPr>
              <w:t>Introduction</w:t>
            </w:r>
            <w:r w:rsidR="005F5491" w:rsidRPr="00F240DD">
              <w:rPr>
                <w:color w:val="000000" w:themeColor="text1"/>
                <w:lang w:val="en-GB"/>
              </w:rPr>
              <w:tab/>
              <w:t>2</w:t>
            </w:r>
          </w:hyperlink>
        </w:p>
        <w:p w14:paraId="32B67805" w14:textId="77777777" w:rsidR="004C131D" w:rsidRPr="00F240DD" w:rsidRDefault="005F5491">
          <w:pPr>
            <w:pStyle w:val="Normal1"/>
            <w:pBdr>
              <w:top w:val="nil"/>
              <w:left w:val="nil"/>
              <w:bottom w:val="nil"/>
              <w:right w:val="nil"/>
              <w:between w:val="nil"/>
            </w:pBdr>
            <w:tabs>
              <w:tab w:val="right" w:leader="dot" w:pos="9019"/>
            </w:tabs>
            <w:spacing w:after="100"/>
            <w:rPr>
              <w:rFonts w:ascii="Cambria" w:eastAsia="Cambria" w:hAnsi="Cambria" w:cs="Cambria"/>
              <w:color w:val="000000" w:themeColor="text1"/>
              <w:lang w:val="en-GB"/>
            </w:rPr>
          </w:pPr>
          <w:hyperlink w:anchor="_heading=h.pu40jgbictgl">
            <w:r w:rsidRPr="00F240DD">
              <w:rPr>
                <w:color w:val="000000" w:themeColor="text1"/>
                <w:lang w:val="en-GB"/>
              </w:rPr>
              <w:t>Analysis</w:t>
            </w:r>
            <w:r w:rsidRPr="00F240DD">
              <w:rPr>
                <w:color w:val="000000" w:themeColor="text1"/>
                <w:lang w:val="en-GB"/>
              </w:rPr>
              <w:tab/>
              <w:t>3</w:t>
            </w:r>
          </w:hyperlink>
        </w:p>
        <w:p w14:paraId="1D272751" w14:textId="77777777" w:rsidR="004C131D" w:rsidRPr="00F240DD" w:rsidRDefault="005F5491">
          <w:pPr>
            <w:pStyle w:val="Normal1"/>
            <w:pBdr>
              <w:top w:val="nil"/>
              <w:left w:val="nil"/>
              <w:bottom w:val="nil"/>
              <w:right w:val="nil"/>
              <w:between w:val="nil"/>
            </w:pBdr>
            <w:tabs>
              <w:tab w:val="right" w:leader="dot" w:pos="9019"/>
            </w:tabs>
            <w:spacing w:after="100"/>
            <w:ind w:left="220"/>
            <w:rPr>
              <w:rFonts w:ascii="Cambria" w:eastAsia="Cambria" w:hAnsi="Cambria" w:cs="Cambria"/>
              <w:color w:val="000000" w:themeColor="text1"/>
              <w:lang w:val="en-GB"/>
            </w:rPr>
          </w:pPr>
          <w:hyperlink w:anchor="_heading=h.gev838k26z07">
            <w:r w:rsidRPr="00F240DD">
              <w:rPr>
                <w:color w:val="000000" w:themeColor="text1"/>
                <w:lang w:val="en-GB"/>
              </w:rPr>
              <w:t>Introduction of the emergence of Social model of Disability and its response to person-centred care</w:t>
            </w:r>
            <w:r w:rsidRPr="00F240DD">
              <w:rPr>
                <w:color w:val="000000" w:themeColor="text1"/>
                <w:lang w:val="en-GB"/>
              </w:rPr>
              <w:tab/>
              <w:t>3</w:t>
            </w:r>
          </w:hyperlink>
        </w:p>
        <w:p w14:paraId="021C1D8E" w14:textId="77777777" w:rsidR="004C131D" w:rsidRPr="00F240DD" w:rsidRDefault="005F5491">
          <w:pPr>
            <w:pStyle w:val="Normal1"/>
            <w:pBdr>
              <w:top w:val="nil"/>
              <w:left w:val="nil"/>
              <w:bottom w:val="nil"/>
              <w:right w:val="nil"/>
              <w:between w:val="nil"/>
            </w:pBdr>
            <w:tabs>
              <w:tab w:val="right" w:leader="dot" w:pos="9019"/>
            </w:tabs>
            <w:spacing w:after="100"/>
            <w:ind w:left="220"/>
            <w:rPr>
              <w:rFonts w:ascii="Cambria" w:eastAsia="Cambria" w:hAnsi="Cambria" w:cs="Cambria"/>
              <w:color w:val="000000" w:themeColor="text1"/>
              <w:lang w:val="en-GB"/>
            </w:rPr>
          </w:pPr>
          <w:hyperlink w:anchor="_heading=h.z3k19fhntyim">
            <w:r w:rsidRPr="00F240DD">
              <w:rPr>
                <w:color w:val="000000" w:themeColor="text1"/>
                <w:lang w:val="en-GB"/>
              </w:rPr>
              <w:t>The ways social model of disability is applied to health and social care policy and practice, and the problems involved</w:t>
            </w:r>
            <w:r w:rsidRPr="00F240DD">
              <w:rPr>
                <w:color w:val="000000" w:themeColor="text1"/>
                <w:lang w:val="en-GB"/>
              </w:rPr>
              <w:tab/>
              <w:t>4</w:t>
            </w:r>
          </w:hyperlink>
        </w:p>
        <w:p w14:paraId="0BA67CDF" w14:textId="77777777" w:rsidR="004C131D" w:rsidRPr="00F240DD" w:rsidRDefault="005F5491">
          <w:pPr>
            <w:pStyle w:val="Normal1"/>
            <w:pBdr>
              <w:top w:val="nil"/>
              <w:left w:val="nil"/>
              <w:bottom w:val="nil"/>
              <w:right w:val="nil"/>
              <w:between w:val="nil"/>
            </w:pBdr>
            <w:tabs>
              <w:tab w:val="right" w:leader="dot" w:pos="9019"/>
            </w:tabs>
            <w:spacing w:after="100"/>
            <w:ind w:left="220"/>
            <w:rPr>
              <w:rFonts w:ascii="Cambria" w:eastAsia="Cambria" w:hAnsi="Cambria" w:cs="Cambria"/>
              <w:color w:val="000000" w:themeColor="text1"/>
              <w:lang w:val="en-GB"/>
            </w:rPr>
          </w:pPr>
          <w:hyperlink w:anchor="_heading=h.oz770ymp1ujj">
            <w:r w:rsidRPr="00F240DD">
              <w:rPr>
                <w:color w:val="000000" w:themeColor="text1"/>
                <w:lang w:val="en-GB"/>
              </w:rPr>
              <w:t>Relevant recommendations for health and social care policy and practice</w:t>
            </w:r>
            <w:r w:rsidRPr="00F240DD">
              <w:rPr>
                <w:color w:val="000000" w:themeColor="text1"/>
                <w:lang w:val="en-GB"/>
              </w:rPr>
              <w:tab/>
              <w:t>6</w:t>
            </w:r>
          </w:hyperlink>
        </w:p>
        <w:p w14:paraId="0D1137E8" w14:textId="77777777" w:rsidR="004C131D" w:rsidRPr="00F240DD" w:rsidRDefault="005F5491">
          <w:pPr>
            <w:pStyle w:val="Normal1"/>
            <w:pBdr>
              <w:top w:val="nil"/>
              <w:left w:val="nil"/>
              <w:bottom w:val="nil"/>
              <w:right w:val="nil"/>
              <w:between w:val="nil"/>
            </w:pBdr>
            <w:tabs>
              <w:tab w:val="right" w:leader="dot" w:pos="9019"/>
            </w:tabs>
            <w:spacing w:after="100"/>
            <w:rPr>
              <w:rFonts w:ascii="Cambria" w:eastAsia="Cambria" w:hAnsi="Cambria" w:cs="Cambria"/>
              <w:color w:val="000000" w:themeColor="text1"/>
              <w:lang w:val="en-GB"/>
            </w:rPr>
          </w:pPr>
          <w:hyperlink w:anchor="_heading=h.nqi9gxtlxzgx">
            <w:r w:rsidRPr="00F240DD">
              <w:rPr>
                <w:color w:val="000000" w:themeColor="text1"/>
                <w:lang w:val="en-GB"/>
              </w:rPr>
              <w:t>Conclusion</w:t>
            </w:r>
            <w:r w:rsidRPr="00F240DD">
              <w:rPr>
                <w:color w:val="000000" w:themeColor="text1"/>
                <w:lang w:val="en-GB"/>
              </w:rPr>
              <w:tab/>
              <w:t>8</w:t>
            </w:r>
          </w:hyperlink>
        </w:p>
        <w:p w14:paraId="689A6EED" w14:textId="77777777" w:rsidR="004C131D" w:rsidRPr="00F240DD" w:rsidRDefault="005F5491">
          <w:pPr>
            <w:pStyle w:val="Normal1"/>
            <w:pBdr>
              <w:top w:val="nil"/>
              <w:left w:val="nil"/>
              <w:bottom w:val="nil"/>
              <w:right w:val="nil"/>
              <w:between w:val="nil"/>
            </w:pBdr>
            <w:tabs>
              <w:tab w:val="right" w:leader="dot" w:pos="9019"/>
            </w:tabs>
            <w:spacing w:after="100"/>
            <w:rPr>
              <w:rFonts w:ascii="Cambria" w:eastAsia="Cambria" w:hAnsi="Cambria" w:cs="Cambria"/>
              <w:color w:val="000000" w:themeColor="text1"/>
              <w:lang w:val="en-GB"/>
            </w:rPr>
          </w:pPr>
          <w:hyperlink w:anchor="_heading=h.g30xbi4cqps4">
            <w:r w:rsidRPr="00F240DD">
              <w:rPr>
                <w:color w:val="000000" w:themeColor="text1"/>
                <w:lang w:val="en-GB"/>
              </w:rPr>
              <w:t>References List</w:t>
            </w:r>
            <w:r w:rsidRPr="00F240DD">
              <w:rPr>
                <w:color w:val="000000" w:themeColor="text1"/>
                <w:lang w:val="en-GB"/>
              </w:rPr>
              <w:tab/>
              <w:t>9</w:t>
            </w:r>
          </w:hyperlink>
        </w:p>
        <w:p w14:paraId="079E58C4" w14:textId="77777777" w:rsidR="004C131D" w:rsidRPr="00F240DD" w:rsidRDefault="004C131D">
          <w:pPr>
            <w:pStyle w:val="Normal1"/>
            <w:rPr>
              <w:color w:val="000000" w:themeColor="text1"/>
              <w:lang w:val="en-GB"/>
            </w:rPr>
          </w:pPr>
          <w:r w:rsidRPr="00F240DD">
            <w:rPr>
              <w:color w:val="000000" w:themeColor="text1"/>
              <w:lang w:val="en-GB"/>
            </w:rPr>
            <w:fldChar w:fldCharType="end"/>
          </w:r>
        </w:p>
      </w:sdtContent>
    </w:sdt>
    <w:p w14:paraId="60BFFB8B" w14:textId="77777777" w:rsidR="004C131D" w:rsidRPr="00F240DD" w:rsidRDefault="005F5491">
      <w:pPr>
        <w:pStyle w:val="Normal1"/>
        <w:rPr>
          <w:b/>
          <w:bCs/>
          <w:color w:val="000000" w:themeColor="text1"/>
          <w:sz w:val="24"/>
          <w:szCs w:val="24"/>
          <w:lang w:val="en-GB"/>
        </w:rPr>
      </w:pPr>
      <w:bookmarkStart w:id="0" w:name="_heading=h.vbgc44eokrb9" w:colFirst="0" w:colLast="0"/>
      <w:bookmarkEnd w:id="0"/>
      <w:r w:rsidRPr="00F240DD">
        <w:rPr>
          <w:color w:val="000000" w:themeColor="text1"/>
          <w:lang w:val="en-GB"/>
        </w:rPr>
        <w:br w:type="page"/>
      </w:r>
    </w:p>
    <w:p w14:paraId="4021E102" w14:textId="77777777" w:rsidR="004C131D" w:rsidRPr="00F240DD" w:rsidRDefault="005F5491">
      <w:pPr>
        <w:pStyle w:val="Heading1"/>
        <w:rPr>
          <w:color w:val="000000" w:themeColor="text1"/>
          <w:lang w:val="en-GB"/>
        </w:rPr>
      </w:pPr>
      <w:r w:rsidRPr="00F240DD">
        <w:rPr>
          <w:color w:val="000000" w:themeColor="text1"/>
          <w:lang w:val="en-GB"/>
        </w:rPr>
        <w:t>Introduction</w:t>
      </w:r>
    </w:p>
    <w:p w14:paraId="6EC1D793" w14:textId="77777777" w:rsidR="004C131D" w:rsidRPr="00F240DD" w:rsidRDefault="005F5491">
      <w:pPr>
        <w:pStyle w:val="Normal1"/>
        <w:rPr>
          <w:color w:val="000000" w:themeColor="text1"/>
          <w:lang w:val="en-GB"/>
        </w:rPr>
      </w:pPr>
      <w:r w:rsidRPr="00F240DD">
        <w:rPr>
          <w:color w:val="000000" w:themeColor="text1"/>
          <w:lang w:val="en-GB"/>
        </w:rPr>
        <w:t>The principles of health and social care practices highlight respecting people and their individual rights by providing ethical, effective, and responsive care, which ensures well-being. The key principles cover dignity and respect, safeguarding, autonomy, confidentiality, effective communication, and equality and diversity (</w:t>
      </w:r>
      <w:r w:rsidRPr="00F240DD">
        <w:rPr>
          <w:color w:val="000000" w:themeColor="text1"/>
          <w:highlight w:val="white"/>
          <w:lang w:val="en-GB"/>
        </w:rPr>
        <w:t>Kanagasingam, Hurd, and Norman, 2023</w:t>
      </w:r>
      <w:r w:rsidRPr="00F240DD">
        <w:rPr>
          <w:color w:val="000000" w:themeColor="text1"/>
          <w:lang w:val="en-GB"/>
        </w:rPr>
        <w:t xml:space="preserve">). The principles guide the aspects of care from supporting people in their choices to managing information and ensuring the safety of both clients and staff of the healthcare organisation. The purpose of the essay is to reflect on the carer model, which is the </w:t>
      </w:r>
      <w:r w:rsidRPr="00F240DD">
        <w:rPr>
          <w:i/>
          <w:iCs/>
          <w:color w:val="000000" w:themeColor="text1"/>
          <w:lang w:val="en-GB"/>
        </w:rPr>
        <w:t>Social model of Disability</w:t>
      </w:r>
      <w:r w:rsidRPr="00F240DD">
        <w:rPr>
          <w:color w:val="000000" w:themeColor="text1"/>
          <w:lang w:val="en-GB"/>
        </w:rPr>
        <w:t xml:space="preserve"> and its application on the person-centred care for offering effective care to the patients. Based on the analysis, some recommendations for health and social care policy and practi</w:t>
      </w:r>
      <w:r w:rsidR="00770EC7" w:rsidRPr="00F240DD">
        <w:rPr>
          <w:color w:val="000000" w:themeColor="text1"/>
          <w:lang w:val="en-GB"/>
        </w:rPr>
        <w:t xml:space="preserve">ce are provided in this study. </w:t>
      </w:r>
    </w:p>
    <w:p w14:paraId="1D78180B" w14:textId="77777777" w:rsidR="004C131D" w:rsidRPr="00F240DD" w:rsidRDefault="005F5491">
      <w:pPr>
        <w:pStyle w:val="Normal1"/>
        <w:rPr>
          <w:b/>
          <w:bCs/>
          <w:color w:val="000000" w:themeColor="text1"/>
          <w:lang w:val="en-GB"/>
        </w:rPr>
      </w:pPr>
      <w:r w:rsidRPr="00F240DD">
        <w:rPr>
          <w:color w:val="000000" w:themeColor="text1"/>
          <w:lang w:val="en-GB"/>
        </w:rPr>
        <w:br w:type="page"/>
      </w:r>
    </w:p>
    <w:p w14:paraId="233F185E" w14:textId="77777777" w:rsidR="004C131D" w:rsidRPr="00F240DD" w:rsidRDefault="005F5491">
      <w:pPr>
        <w:pStyle w:val="Heading1"/>
        <w:rPr>
          <w:color w:val="000000" w:themeColor="text1"/>
          <w:lang w:val="en-GB"/>
        </w:rPr>
      </w:pPr>
      <w:bookmarkStart w:id="1" w:name="_heading=h.pu40jgbictgl" w:colFirst="0" w:colLast="0"/>
      <w:bookmarkEnd w:id="1"/>
      <w:r w:rsidRPr="00F240DD">
        <w:rPr>
          <w:color w:val="000000" w:themeColor="text1"/>
          <w:lang w:val="en-GB"/>
        </w:rPr>
        <w:t xml:space="preserve">Analysis </w:t>
      </w:r>
    </w:p>
    <w:p w14:paraId="469694BB" w14:textId="77777777" w:rsidR="004C131D" w:rsidRPr="00F240DD" w:rsidRDefault="005F5491">
      <w:pPr>
        <w:pStyle w:val="Heading2"/>
        <w:rPr>
          <w:b w:val="0"/>
          <w:bCs w:val="0"/>
          <w:color w:val="000000" w:themeColor="text1"/>
          <w:lang w:val="en-GB"/>
        </w:rPr>
      </w:pPr>
      <w:bookmarkStart w:id="2" w:name="_heading=h.gev838k26z07" w:colFirst="0" w:colLast="0"/>
      <w:bookmarkEnd w:id="2"/>
      <w:r w:rsidRPr="00F240DD">
        <w:rPr>
          <w:color w:val="000000" w:themeColor="text1"/>
          <w:lang w:val="en-GB"/>
        </w:rPr>
        <w:t xml:space="preserve">Introduction of the emergence of Social model of Disability and its response to person-centred care </w:t>
      </w:r>
    </w:p>
    <w:p w14:paraId="19D4A7D2" w14:textId="77777777" w:rsidR="004C131D" w:rsidRPr="00F240DD" w:rsidRDefault="005F5491">
      <w:pPr>
        <w:pStyle w:val="Normal1"/>
        <w:rPr>
          <w:color w:val="000000" w:themeColor="text1"/>
          <w:lang w:val="en-GB"/>
        </w:rPr>
      </w:pPr>
      <w:r w:rsidRPr="00F240DD">
        <w:rPr>
          <w:color w:val="000000" w:themeColor="text1"/>
          <w:lang w:val="en-GB"/>
        </w:rPr>
        <w:t>The social model of disability emerged from the disability rights movement around the 1970s, the response to the medical model for framing disability as the individual medical problem. This model argues that disability is not caused by the individual physical and mental impairment, but also the societal barriers, such as inaccessibility, prejudice, and discrimination, which shift from “fixing” the individual to transforming society through removing the disabling barriers (</w:t>
      </w:r>
      <w:r w:rsidRPr="00F240DD">
        <w:rPr>
          <w:color w:val="000000" w:themeColor="text1"/>
          <w:highlight w:val="white"/>
          <w:lang w:val="en-GB"/>
        </w:rPr>
        <w:t>Smith, Willis, and Hopkins‐Walsh, 2022</w:t>
      </w:r>
      <w:r w:rsidRPr="00F240DD">
        <w:rPr>
          <w:color w:val="000000" w:themeColor="text1"/>
          <w:lang w:val="en-GB"/>
        </w:rPr>
        <w:t>). This helps in ensuring full participation and equality for all types of people. The key points of emergence of this model include a social and political shift in the country, which drove the model to be developed as disabled people and their allies pushed for civil rights. This helps in moving the conversation away from a purely medical lens. A critical distinction has been made between "impertinent (the physical or mental condition)” and “disability (social, environment, and attitudinal challenges)” (</w:t>
      </w:r>
      <w:r w:rsidRPr="00F240DD">
        <w:rPr>
          <w:color w:val="000000" w:themeColor="text1"/>
          <w:highlight w:val="white"/>
          <w:lang w:val="en-GB"/>
        </w:rPr>
        <w:t>Wolbring, and Lillywhite, 2021</w:t>
      </w:r>
      <w:r w:rsidRPr="00F240DD">
        <w:rPr>
          <w:color w:val="000000" w:themeColor="text1"/>
          <w:lang w:val="en-GB"/>
        </w:rPr>
        <w:t>). Therefore, the model places the responsibility for overcoming disability in the society, only not on the individual, but through advocating for systematic changes for creating an inclusive environment. The term "disability" was re-purposed to desc</w:t>
      </w:r>
      <w:r w:rsidR="00946569" w:rsidRPr="00F240DD">
        <w:rPr>
          <w:color w:val="000000" w:themeColor="text1"/>
          <w:lang w:val="en-GB"/>
        </w:rPr>
        <w:t xml:space="preserve">ribe the social disadvantages </w:t>
      </w:r>
      <w:r w:rsidRPr="00F240DD">
        <w:rPr>
          <w:color w:val="000000" w:themeColor="text1"/>
          <w:lang w:val="en-GB"/>
        </w:rPr>
        <w:t xml:space="preserve">and marginalised experiences of people. The “Union of the Physically Impaired Against Segregation (UPIAS)” in the UK offers the group for helping in formalisation of “social interpretation” of disability in 1975 (Byrne, 2025). </w:t>
      </w:r>
    </w:p>
    <w:p w14:paraId="0E36ED9F" w14:textId="77777777" w:rsidR="004C131D" w:rsidRPr="00F240DD" w:rsidRDefault="005F5491">
      <w:pPr>
        <w:pStyle w:val="Normal1"/>
        <w:rPr>
          <w:color w:val="000000" w:themeColor="text1"/>
          <w:lang w:val="en-GB"/>
        </w:rPr>
      </w:pPr>
      <w:r w:rsidRPr="00F240DD">
        <w:rPr>
          <w:color w:val="000000" w:themeColor="text1"/>
          <w:lang w:val="en-GB"/>
        </w:rPr>
        <w:t xml:space="preserve">The social model of disability views disability as the result of societal barriers, including physical, systematic, and attitudinal instead of as a personal medical condition. The core principles of this model includes that disability is caused by society, as the problem is not the individual's impairment in the way the society is organised. Barriers are the issues of the society, such as stairs for a wheelchair user, lack of accessible communication, and unhelpful design, prevent people with impairment from participating fully in the support process (Grindstaff, 2022). </w:t>
      </w:r>
    </w:p>
    <w:p w14:paraId="6C46A76E" w14:textId="77777777" w:rsidR="00946569" w:rsidRPr="00F240DD" w:rsidRDefault="00946569">
      <w:pPr>
        <w:rPr>
          <w:color w:val="000000" w:themeColor="text1"/>
          <w:lang w:val="en-GB"/>
        </w:rPr>
      </w:pPr>
      <w:r w:rsidRPr="00F240DD">
        <w:rPr>
          <w:color w:val="000000" w:themeColor="text1"/>
          <w:lang w:val="en-GB"/>
        </w:rPr>
        <w:br w:type="page"/>
      </w:r>
    </w:p>
    <w:p w14:paraId="6D92096A" w14:textId="77777777" w:rsidR="004C131D" w:rsidRPr="00F240DD" w:rsidRDefault="005F5491">
      <w:pPr>
        <w:pStyle w:val="Normal1"/>
        <w:rPr>
          <w:color w:val="000000" w:themeColor="text1"/>
          <w:lang w:val="en-GB"/>
        </w:rPr>
      </w:pPr>
      <w:r w:rsidRPr="00F240DD">
        <w:rPr>
          <w:color w:val="000000" w:themeColor="text1"/>
          <w:lang w:val="en-GB"/>
        </w:rPr>
        <w:t>The model focuses on environmental changes, as it defines that the solution lies in restructuring society through improving attitudes and making policies for changes to create an inclusive environment rather than “fixing” the people. “Impairment vs. disability” is a core factor of the model. Based on this concept, a person has an impairment, but they experience disability, when the impairment is placed in the context of social and environmental barriers (</w:t>
      </w:r>
      <w:r w:rsidRPr="00F240DD">
        <w:rPr>
          <w:color w:val="000000" w:themeColor="text1"/>
          <w:highlight w:val="white"/>
          <w:lang w:val="en-GB"/>
        </w:rPr>
        <w:t>Wolbring, and Lillywhite, 2021</w:t>
      </w:r>
      <w:r w:rsidRPr="00F240DD">
        <w:rPr>
          <w:color w:val="000000" w:themeColor="text1"/>
          <w:lang w:val="en-GB"/>
        </w:rPr>
        <w:t xml:space="preserve">). For instance, a blind person has an impairment, but the person becomes disabled when society fails to offer necessary tools and resources, such as audio description. For example, physical barriers, communication barriers, and attitudinal barriers are counted in the concept of this model. For example, a building with no ramp or elevator disables the wheelchair user. The lack of sign language interpreters or alternative communication methods can disable people with hearing and impairment. On the other hand, negative stereotypes, discrimination, and prejudice are critical barriers, which limit opportunities for people with disabilities. </w:t>
      </w:r>
    </w:p>
    <w:p w14:paraId="16801B6D" w14:textId="77777777" w:rsidR="004C131D" w:rsidRPr="00F240DD" w:rsidRDefault="005F5491">
      <w:pPr>
        <w:pStyle w:val="Normal1"/>
        <w:rPr>
          <w:color w:val="000000" w:themeColor="text1"/>
          <w:lang w:val="en-GB"/>
        </w:rPr>
      </w:pPr>
      <w:r w:rsidRPr="00F240DD">
        <w:rPr>
          <w:color w:val="000000" w:themeColor="text1"/>
          <w:lang w:val="en-GB"/>
        </w:rPr>
        <w:t xml:space="preserve">The social and environmental barriers, cause the social model of disability helps in responding to person-centred care by emphasising the disability not by the impairment of people (Wolbring and Lillywhite, 2021). The application of this model helps in reframing the problem from the individual "disability" to "disabling" environment, which places the responsibility on society for removing physical, attitudinal, and organisational barriers. Besides, the model helps in empowering people by removing the focus on individual deficits. Based on that, critics, such as Oliver and Finkelstein </w:t>
      </w:r>
      <w:r w:rsidR="00F42EA1" w:rsidRPr="00F240DD">
        <w:rPr>
          <w:color w:val="000000" w:themeColor="text1"/>
          <w:lang w:val="en-GB"/>
        </w:rPr>
        <w:t xml:space="preserve">(2024), have </w:t>
      </w:r>
      <w:r w:rsidRPr="00F240DD">
        <w:rPr>
          <w:color w:val="000000" w:themeColor="text1"/>
          <w:lang w:val="en-GB"/>
        </w:rPr>
        <w:t xml:space="preserve">stated that powerfully framed disability as social oppression is rooted </w:t>
      </w:r>
      <w:r w:rsidR="00946569" w:rsidRPr="00F240DD">
        <w:rPr>
          <w:color w:val="000000" w:themeColor="text1"/>
          <w:lang w:val="en-GB"/>
        </w:rPr>
        <w:t>in disabled activism of people. As per the critique, the responses are</w:t>
      </w:r>
      <w:r w:rsidR="002548FD" w:rsidRPr="00F240DD">
        <w:rPr>
          <w:color w:val="000000" w:themeColor="text1"/>
          <w:lang w:val="en-GB"/>
        </w:rPr>
        <w:t xml:space="preserve">: </w:t>
      </w:r>
      <w:r w:rsidRPr="00F240DD">
        <w:rPr>
          <w:color w:val="000000" w:themeColor="text1"/>
          <w:lang w:val="en-GB"/>
        </w:rPr>
        <w:t>the model empowers people with disabilities</w:t>
      </w:r>
      <w:r w:rsidR="00946569" w:rsidRPr="00F240DD">
        <w:rPr>
          <w:color w:val="000000" w:themeColor="text1"/>
          <w:lang w:val="en-GB"/>
        </w:rPr>
        <w:t xml:space="preserve"> for being the primary decision </w:t>
      </w:r>
      <w:r w:rsidRPr="00F240DD">
        <w:rPr>
          <w:color w:val="000000" w:themeColor="text1"/>
          <w:lang w:val="en-GB"/>
        </w:rPr>
        <w:t>maker in their own lives and care. This drives a person-centred approach by needing service providers and communities to proactively make changes and ensure full inclusion and participat</w:t>
      </w:r>
      <w:r w:rsidR="002548FD" w:rsidRPr="00F240DD">
        <w:rPr>
          <w:color w:val="000000" w:themeColor="text1"/>
          <w:lang w:val="en-GB"/>
        </w:rPr>
        <w:t>ion.</w:t>
      </w:r>
      <w:r w:rsidRPr="00F240DD">
        <w:rPr>
          <w:color w:val="000000" w:themeColor="text1"/>
          <w:lang w:val="en-GB"/>
        </w:rPr>
        <w:t xml:space="preserve"> Furthermore, this model application encourages the healthcare staff to avoid making assumptions about the abilities and disabilities of a person</w:t>
      </w:r>
      <w:r w:rsidR="00575353" w:rsidRPr="00F240DD">
        <w:rPr>
          <w:color w:val="000000" w:themeColor="text1"/>
          <w:lang w:val="en-GB"/>
        </w:rPr>
        <w:t xml:space="preserve"> (Dyb</w:t>
      </w:r>
      <w:r w:rsidR="00575353" w:rsidRPr="00F240DD">
        <w:rPr>
          <w:i/>
          <w:iCs/>
          <w:color w:val="000000" w:themeColor="text1"/>
          <w:lang w:val="en-GB"/>
        </w:rPr>
        <w:t xml:space="preserve"> et al.,</w:t>
      </w:r>
      <w:r w:rsidR="00575353" w:rsidRPr="00F240DD">
        <w:rPr>
          <w:color w:val="000000" w:themeColor="text1"/>
          <w:lang w:val="en-GB"/>
        </w:rPr>
        <w:t xml:space="preserve"> 2021)</w:t>
      </w:r>
      <w:r w:rsidRPr="00F240DD">
        <w:rPr>
          <w:color w:val="000000" w:themeColor="text1"/>
          <w:lang w:val="en-GB"/>
        </w:rPr>
        <w:t xml:space="preserve">. It supports the involvement of people in discussions and activities for understanding their specific needs and preferences. </w:t>
      </w:r>
    </w:p>
    <w:p w14:paraId="4BA8D813" w14:textId="77777777" w:rsidR="00946569" w:rsidRPr="00F240DD" w:rsidRDefault="00946569">
      <w:pPr>
        <w:rPr>
          <w:b/>
          <w:bCs/>
          <w:color w:val="000000" w:themeColor="text1"/>
          <w:sz w:val="24"/>
          <w:szCs w:val="24"/>
          <w:lang w:val="en-GB"/>
        </w:rPr>
      </w:pPr>
      <w:bookmarkStart w:id="3" w:name="_heading=h.z3k19fhntyim" w:colFirst="0" w:colLast="0"/>
      <w:bookmarkEnd w:id="3"/>
      <w:r w:rsidRPr="00F240DD">
        <w:rPr>
          <w:color w:val="000000" w:themeColor="text1"/>
          <w:lang w:val="en-GB"/>
        </w:rPr>
        <w:br w:type="page"/>
      </w:r>
    </w:p>
    <w:p w14:paraId="27762293" w14:textId="77777777" w:rsidR="004C131D" w:rsidRPr="00F240DD" w:rsidRDefault="005F5491">
      <w:pPr>
        <w:pStyle w:val="Heading2"/>
        <w:rPr>
          <w:color w:val="000000" w:themeColor="text1"/>
          <w:lang w:val="en-GB"/>
        </w:rPr>
      </w:pPr>
      <w:r w:rsidRPr="00F240DD">
        <w:rPr>
          <w:color w:val="000000" w:themeColor="text1"/>
          <w:lang w:val="en-GB"/>
        </w:rPr>
        <w:t>The ways social model of disability is applied to health and social care policy and practice, and the problems involved</w:t>
      </w:r>
    </w:p>
    <w:p w14:paraId="7A193ACA" w14:textId="77777777" w:rsidR="004C131D" w:rsidRPr="00F240DD" w:rsidRDefault="005F5491">
      <w:pPr>
        <w:pStyle w:val="Normal1"/>
        <w:rPr>
          <w:color w:val="000000" w:themeColor="text1"/>
          <w:lang w:val="en-GB"/>
        </w:rPr>
      </w:pPr>
      <w:r w:rsidRPr="00F240DD">
        <w:rPr>
          <w:color w:val="000000" w:themeColor="text1"/>
          <w:lang w:val="en-GB"/>
        </w:rPr>
        <w:t>The social model of disability is applied to health and social care policy, as it assists in directly focusing on removing societal barriers through changes, such as universal design, accessible communication, inclusive planning, and shifting focus from individual impairment to social justice (Dwyer</w:t>
      </w:r>
      <w:r w:rsidRPr="00F240DD">
        <w:rPr>
          <w:i/>
          <w:iCs/>
          <w:color w:val="000000" w:themeColor="text1"/>
          <w:lang w:val="en-GB"/>
        </w:rPr>
        <w:t xml:space="preserve"> et al., </w:t>
      </w:r>
      <w:r w:rsidRPr="00F240DD">
        <w:rPr>
          <w:color w:val="000000" w:themeColor="text1"/>
          <w:lang w:val="en-GB"/>
        </w:rPr>
        <w:t xml:space="preserve">2025). The application of this model helps in shaping the policies and practices. Shifting of the goal of care is influenced by the application of the model. Instead of solely focusing on helping a person with individual "acquire typical abilities”, the model indicates a social model aims for full community inclusion, such as ensuring a child can attend birthday parties regardless of their impairment. Besides, the policy provides the universal design for policies and care plans, which are designed for creating inclusive environments, services, and products. </w:t>
      </w:r>
    </w:p>
    <w:p w14:paraId="34F14BF9" w14:textId="77777777" w:rsidR="004C131D" w:rsidRPr="00F240DD" w:rsidRDefault="005F5491">
      <w:pPr>
        <w:pStyle w:val="Normal1"/>
        <w:rPr>
          <w:color w:val="000000" w:themeColor="text1"/>
          <w:lang w:val="en-GB"/>
        </w:rPr>
      </w:pPr>
      <w:r w:rsidRPr="00F240DD">
        <w:rPr>
          <w:color w:val="000000" w:themeColor="text1"/>
          <w:lang w:val="en-GB"/>
        </w:rPr>
        <w:t>Ensuring physical accessibility, such as ramps and accessible restrooms and social accessibility, such as accommodating different communication styles and sensory needs can help in providing pension-cantered care to the people with disabilities. On the other hand, the model involves education, healthcare and social care trainees on social models, which challenge the medical model, and its focus on individual limitations. The adoption of this model aligned with the international human rights framework, such as the UN Convention on the Rights of Persons with Disabilities (UNCRPD) (</w:t>
      </w:r>
      <w:r w:rsidRPr="00F240DD">
        <w:rPr>
          <w:color w:val="000000" w:themeColor="text1"/>
          <w:highlight w:val="white"/>
          <w:lang w:val="en-GB"/>
        </w:rPr>
        <w:t>Beesley, 2024)</w:t>
      </w:r>
      <w:r w:rsidRPr="00F240DD">
        <w:rPr>
          <w:color w:val="000000" w:themeColor="text1"/>
          <w:lang w:val="en-GB"/>
        </w:rPr>
        <w:t xml:space="preserve">. This ensures the full and equal enjoyment of human rights for people, including people with disabilities. </w:t>
      </w:r>
    </w:p>
    <w:p w14:paraId="27FC5B36" w14:textId="77777777" w:rsidR="00575353" w:rsidRPr="00F240DD" w:rsidRDefault="005F5491">
      <w:pPr>
        <w:pStyle w:val="Normal1"/>
        <w:rPr>
          <w:color w:val="000000" w:themeColor="text1"/>
          <w:lang w:val="en-GB"/>
        </w:rPr>
      </w:pPr>
      <w:r w:rsidRPr="00F240DD">
        <w:rPr>
          <w:color w:val="000000" w:themeColor="text1"/>
          <w:lang w:val="en-GB"/>
        </w:rPr>
        <w:t xml:space="preserve">A mixed application and lingering medical model influence is recognised for the application of this framework. Despite the efforts, the medical model of disability influences policy and practices can lead to focus on “fixing” the person rather than the environment. The social model is not consistently and coherently applied across all sectors and policies though there are still critical inconsistencies in the articulation and this is not put into practice and actions. </w:t>
      </w:r>
    </w:p>
    <w:p w14:paraId="1743F299" w14:textId="77777777" w:rsidR="00575353" w:rsidRPr="00F240DD" w:rsidRDefault="005F5491" w:rsidP="00575353">
      <w:pPr>
        <w:rPr>
          <w:color w:val="000000" w:themeColor="text1"/>
          <w:lang w:val="en-GB"/>
        </w:rPr>
      </w:pPr>
      <w:r w:rsidRPr="00F240DD">
        <w:rPr>
          <w:color w:val="000000" w:themeColor="text1"/>
          <w:lang w:val="en-GB"/>
        </w:rPr>
        <w:t>The government policies cannot fully address the requirements of disabled people. The lack of statutory regulations, insufficient training, and high workloads for GPS has created challenges for the access of primary care for people with learning difficulties (</w:t>
      </w:r>
      <w:r w:rsidRPr="00F240DD">
        <w:rPr>
          <w:color w:val="000000" w:themeColor="text1"/>
          <w:highlight w:val="white"/>
          <w:lang w:val="en-GB"/>
        </w:rPr>
        <w:t>Wolbring, and Lillywhite, 2021</w:t>
      </w:r>
      <w:r w:rsidRPr="00F240DD">
        <w:rPr>
          <w:color w:val="000000" w:themeColor="text1"/>
          <w:lang w:val="en-GB"/>
        </w:rPr>
        <w:t>). The social model can be a powerful tool for activism. In this case, the limitations of this model have been criticised, as there is a need for a more nuanced understanding for acknowledging both social barriers and individual experiences, which was explored in the work of scholars, such as Hannah Arendt.</w:t>
      </w:r>
      <w:r w:rsidR="00575353" w:rsidRPr="00F240DD">
        <w:rPr>
          <w:color w:val="000000" w:themeColor="text1"/>
          <w:lang w:val="en-GB"/>
        </w:rPr>
        <w:t xml:space="preserve"> </w:t>
      </w:r>
      <w:r w:rsidRPr="00F240DD">
        <w:rPr>
          <w:color w:val="000000" w:themeColor="text1"/>
          <w:lang w:val="en-GB"/>
        </w:rPr>
        <w:t xml:space="preserve">The UK policies for disabled people are primarily shaped through the involvement of “Equality Act 2010”, which protects against discrimination and mandates, such as "reasonable adjustments” in the areas, such as employment and services (Verdin, 2024). </w:t>
      </w:r>
    </w:p>
    <w:p w14:paraId="24BE921A" w14:textId="77777777" w:rsidR="004C131D" w:rsidRPr="00F240DD" w:rsidRDefault="005F5491" w:rsidP="002F28D5">
      <w:pPr>
        <w:rPr>
          <w:color w:val="000000" w:themeColor="text1"/>
          <w:lang w:val="en-GB"/>
        </w:rPr>
      </w:pPr>
      <w:r w:rsidRPr="00F240DD">
        <w:rPr>
          <w:color w:val="000000" w:themeColor="text1"/>
          <w:lang w:val="en-GB"/>
        </w:rPr>
        <w:t xml:space="preserve">The country follows the principles of the UN Convention on the Rights of Persons with Disabilities” with specific practices and plans for children’s health and education, along with programs for supporting disabled people into employment. “Equality Act 2010” is the main legislation for protecting against discrimination, as it is defined as the “protected characteristics" and legally obligating employers, public bodies, and service providers to avoid putting disabled people at a disadvantage. On the other hand, “UN Convention on the Rights of Persons with Disabilities (CRPD)” has ratified the convention for providing the framework for human rights and principles, such as non-discrimination, respect, and accessibility for separate autonomy for the disabled people (Smith </w:t>
      </w:r>
      <w:r w:rsidRPr="00F240DD">
        <w:rPr>
          <w:i/>
          <w:iCs/>
          <w:color w:val="000000" w:themeColor="text1"/>
          <w:lang w:val="en-GB"/>
        </w:rPr>
        <w:t>et al.,</w:t>
      </w:r>
      <w:r w:rsidRPr="00F240DD">
        <w:rPr>
          <w:color w:val="000000" w:themeColor="text1"/>
          <w:lang w:val="en-GB"/>
        </w:rPr>
        <w:t xml:space="preserve"> 2024). The Equality Act 2010 consolidates and strengthens the older laws, including Disability Discrimination Act of 1995 in the earlier period, which helps in highlighting the necessary for the people with disability. This is the first set of standards for non-discrimination in employment and services. The key practices in the country for disabled people include reasonable adjustment, individualised plans, public body duties, and employment support. Many disabled people and children have individualised education, health, and care plans, which are developed with their parents for managing specific needs across different services. </w:t>
      </w:r>
    </w:p>
    <w:p w14:paraId="3DF7C3F7" w14:textId="77777777" w:rsidR="004C131D" w:rsidRPr="00F240DD" w:rsidRDefault="005F5491">
      <w:pPr>
        <w:pStyle w:val="Normal1"/>
        <w:rPr>
          <w:color w:val="000000" w:themeColor="text1"/>
          <w:lang w:val="en-GB"/>
        </w:rPr>
      </w:pPr>
      <w:r w:rsidRPr="00F240DD">
        <w:rPr>
          <w:color w:val="000000" w:themeColor="text1"/>
          <w:lang w:val="en-GB"/>
        </w:rPr>
        <w:t>The programme named “New Deal for Disabled People" tried to support people who have disabilities and are unable to sustain employment. Under the equality act, public bodies have a duty to not only eliminate discrimination, but also actively promote equality of opportunity to foster good relations between disabled and non-disabled people (</w:t>
      </w:r>
      <w:r w:rsidRPr="00F240DD">
        <w:rPr>
          <w:color w:val="000000" w:themeColor="text1"/>
          <w:highlight w:val="white"/>
          <w:lang w:val="en-GB"/>
        </w:rPr>
        <w:t>Cabauatan, 2024)</w:t>
      </w:r>
      <w:r w:rsidRPr="00F240DD">
        <w:rPr>
          <w:color w:val="000000" w:themeColor="text1"/>
          <w:lang w:val="en-GB"/>
        </w:rPr>
        <w:t xml:space="preserve">. Specific guidance and reforms are developed for improving social care for disabled children through focusing on a more integrated and unified legal framework and better support. </w:t>
      </w:r>
    </w:p>
    <w:p w14:paraId="6525B05F" w14:textId="77777777" w:rsidR="004C131D" w:rsidRPr="00F240DD" w:rsidRDefault="005F5491">
      <w:pPr>
        <w:pStyle w:val="Heading2"/>
        <w:rPr>
          <w:color w:val="000000" w:themeColor="text1"/>
          <w:lang w:val="en-GB"/>
        </w:rPr>
      </w:pPr>
      <w:bookmarkStart w:id="4" w:name="_heading=h.oz770ymp1ujj" w:colFirst="0" w:colLast="0"/>
      <w:bookmarkEnd w:id="4"/>
      <w:r w:rsidRPr="00F240DD">
        <w:rPr>
          <w:color w:val="000000" w:themeColor="text1"/>
          <w:lang w:val="en-GB"/>
        </w:rPr>
        <w:t>Relevant recommendations for health and social care policy and practice</w:t>
      </w:r>
    </w:p>
    <w:p w14:paraId="71EC1DF3" w14:textId="77777777" w:rsidR="0092008B" w:rsidRPr="00F240DD" w:rsidRDefault="005F5491">
      <w:pPr>
        <w:pStyle w:val="Normal1"/>
        <w:rPr>
          <w:color w:val="000000" w:themeColor="text1"/>
          <w:lang w:val="en-GB"/>
        </w:rPr>
      </w:pPr>
      <w:r w:rsidRPr="00F240DD">
        <w:rPr>
          <w:color w:val="000000" w:themeColor="text1"/>
          <w:lang w:val="en-GB"/>
        </w:rPr>
        <w:t xml:space="preserve">The enhanced health and social care strategies for disabled people in the UK can include co-production of care plans, up-skilling of healthcare professionals, and making information and facilities more accessible. This can help in ensuring understanding of the needs of the disabled people in the country. On the other hand, data collection for tracking outcomes, integration of health and social care services, and protection for parent-carer well-being, along with promoting greater understanding and implementation of the UN convention on the Rights of Persons with Disabilities can be involved as the recommended strategies for ensuring better care for the people. The UK healthcare sector needs to focus on co-production for developing health and social care plans collaboratively with disabled people and their families. These decisions reflect on their real-life situations and requirements. Therefore, the information and health and care facilities need to be routinely accessible, which incorporate accessibility into accreditation requirements for the providers. </w:t>
      </w:r>
    </w:p>
    <w:p w14:paraId="0A45F3A2" w14:textId="77777777" w:rsidR="004C131D" w:rsidRPr="00F240DD" w:rsidRDefault="005F5491">
      <w:pPr>
        <w:pStyle w:val="Normal1"/>
        <w:rPr>
          <w:color w:val="000000" w:themeColor="text1"/>
          <w:lang w:val="en-GB"/>
        </w:rPr>
      </w:pPr>
      <w:r w:rsidRPr="00F240DD">
        <w:rPr>
          <w:color w:val="000000" w:themeColor="text1"/>
          <w:lang w:val="en-GB"/>
        </w:rPr>
        <w:t>At the same time, the healthcare sector needs to offer ongoing education and training for health and social care professionals (</w:t>
      </w:r>
      <w:r w:rsidRPr="00F240DD">
        <w:rPr>
          <w:color w:val="000000" w:themeColor="text1"/>
          <w:highlight w:val="white"/>
          <w:lang w:val="en-GB"/>
        </w:rPr>
        <w:t>Lawson and Beckett, 2021, p. 350)</w:t>
      </w:r>
      <w:r w:rsidRPr="00F240DD">
        <w:rPr>
          <w:color w:val="000000" w:themeColor="text1"/>
          <w:lang w:val="en-GB"/>
        </w:rPr>
        <w:t>. This should include training delivered by the disabled people themselves for enhancing</w:t>
      </w:r>
      <w:r w:rsidR="008E7431" w:rsidRPr="00F240DD">
        <w:rPr>
          <w:color w:val="000000" w:themeColor="text1"/>
          <w:lang w:val="en-GB"/>
        </w:rPr>
        <w:t xml:space="preserve"> understanding and competency. </w:t>
      </w:r>
      <w:r w:rsidRPr="00F240DD">
        <w:rPr>
          <w:color w:val="000000" w:themeColor="text1"/>
          <w:lang w:val="en-GB"/>
        </w:rPr>
        <w:t xml:space="preserve">The coordination and collaboration between health, education, and social care sectors should be improved, particularly for children and young people with disabilities. Besides, the data collection process needs to be improved with public reporting of quality data, which specifically includes the disabled people for better understanding needs and tracking the effectiveness of policies. </w:t>
      </w:r>
    </w:p>
    <w:p w14:paraId="38A0472C" w14:textId="77777777" w:rsidR="004C131D" w:rsidRPr="00F240DD" w:rsidRDefault="005F5491">
      <w:pPr>
        <w:pStyle w:val="Normal1"/>
        <w:rPr>
          <w:color w:val="000000" w:themeColor="text1"/>
          <w:lang w:val="en-GB"/>
        </w:rPr>
      </w:pPr>
      <w:r w:rsidRPr="00F240DD">
        <w:rPr>
          <w:color w:val="000000" w:themeColor="text1"/>
          <w:lang w:val="en-GB"/>
        </w:rPr>
        <w:br w:type="page"/>
      </w:r>
    </w:p>
    <w:p w14:paraId="77D73B19" w14:textId="77777777" w:rsidR="004C131D" w:rsidRPr="00F240DD" w:rsidRDefault="005F5491">
      <w:pPr>
        <w:pStyle w:val="Normal1"/>
        <w:rPr>
          <w:color w:val="000000" w:themeColor="text1"/>
          <w:lang w:val="en-GB"/>
        </w:rPr>
      </w:pPr>
      <w:r w:rsidRPr="00F240DD">
        <w:rPr>
          <w:color w:val="000000" w:themeColor="text1"/>
          <w:lang w:val="en-GB"/>
        </w:rPr>
        <w:t xml:space="preserve">Therefore, the country requires more focus on social determinants for addressing the broader social and economic factors, which affect health, such as housing, employment, and cost of living, as these can undermine the targeted health interventions. On the other hand, promoting a greater understanding of the UNCRPD across government departments can help in ensuring that the policies are right-based for promoting equality and independence. In this case, protecting the health and well-being of parent-carers can help in improving the implication of the social model of disabilities to understand the required supports for the disabled people.  On the other hand, it is necessary to ensure that families are supported with information and resources. At the same time, it includes the specific needs of disabled people in emergency and resilience planning for preventing disruptions and protecting vulnerable people during crises. </w:t>
      </w:r>
    </w:p>
    <w:p w14:paraId="17031F4D" w14:textId="77777777" w:rsidR="004C131D" w:rsidRPr="00F240DD" w:rsidRDefault="005F5491">
      <w:pPr>
        <w:pStyle w:val="Normal1"/>
        <w:rPr>
          <w:b/>
          <w:bCs/>
          <w:color w:val="000000" w:themeColor="text1"/>
          <w:lang w:val="en-GB"/>
        </w:rPr>
      </w:pPr>
      <w:r w:rsidRPr="00F240DD">
        <w:rPr>
          <w:color w:val="000000" w:themeColor="text1"/>
          <w:lang w:val="en-GB"/>
        </w:rPr>
        <w:br w:type="page"/>
      </w:r>
    </w:p>
    <w:p w14:paraId="6DD49221" w14:textId="77777777" w:rsidR="004C131D" w:rsidRPr="00F240DD" w:rsidRDefault="005F5491">
      <w:pPr>
        <w:pStyle w:val="Heading1"/>
        <w:rPr>
          <w:color w:val="000000" w:themeColor="text1"/>
          <w:lang w:val="en-GB"/>
        </w:rPr>
      </w:pPr>
      <w:bookmarkStart w:id="5" w:name="_heading=h.nqi9gxtlxzgx" w:colFirst="0" w:colLast="0"/>
      <w:bookmarkEnd w:id="5"/>
      <w:r w:rsidRPr="00F240DD">
        <w:rPr>
          <w:color w:val="000000" w:themeColor="text1"/>
          <w:lang w:val="en-GB"/>
        </w:rPr>
        <w:t>Conclusion</w:t>
      </w:r>
    </w:p>
    <w:p w14:paraId="0EF6EEEE" w14:textId="77777777" w:rsidR="004C131D" w:rsidRPr="00F240DD" w:rsidRDefault="005F5491">
      <w:pPr>
        <w:pStyle w:val="Normal1"/>
        <w:rPr>
          <w:color w:val="000000" w:themeColor="text1"/>
          <w:lang w:val="en-GB"/>
        </w:rPr>
      </w:pPr>
      <w:r w:rsidRPr="00F240DD">
        <w:rPr>
          <w:color w:val="000000" w:themeColor="text1"/>
          <w:lang w:val="en-GB"/>
        </w:rPr>
        <w:t>The study has concluded about different illustrations related to the Social</w:t>
      </w:r>
      <w:r w:rsidRPr="00F240DD">
        <w:rPr>
          <w:i/>
          <w:iCs/>
          <w:color w:val="000000" w:themeColor="text1"/>
          <w:lang w:val="en-GB"/>
        </w:rPr>
        <w:t xml:space="preserve"> model of Disability </w:t>
      </w:r>
      <w:r w:rsidRPr="00F240DD">
        <w:rPr>
          <w:color w:val="000000" w:themeColor="text1"/>
          <w:lang w:val="en-GB"/>
        </w:rPr>
        <w:t xml:space="preserve">to emphasise on its impact on improving social and healthcare practices. Some problems in the UK can be identified for the application of the social model of disabilities. Apart from that, a detailed analysis regarding the application of </w:t>
      </w:r>
      <w:r w:rsidRPr="00F240DD">
        <w:rPr>
          <w:i/>
          <w:iCs/>
          <w:color w:val="000000" w:themeColor="text1"/>
          <w:lang w:val="en-GB"/>
        </w:rPr>
        <w:t xml:space="preserve">Social model of Disability </w:t>
      </w:r>
      <w:r w:rsidRPr="00F240DD">
        <w:rPr>
          <w:color w:val="000000" w:themeColor="text1"/>
          <w:lang w:val="en-GB"/>
        </w:rPr>
        <w:t xml:space="preserve">model has been emphasised over here to elaborate on how social care policies and practices can be applied. Moreover, introduction of the emergence of the Social model of Disability and its response to person-centred care is something that has also been elaborated here in this study as well. </w:t>
      </w:r>
      <w:r w:rsidRPr="00F240DD">
        <w:rPr>
          <w:color w:val="000000" w:themeColor="text1"/>
          <w:lang w:val="en-GB"/>
        </w:rPr>
        <w:br w:type="page"/>
      </w:r>
    </w:p>
    <w:p w14:paraId="3238EC84" w14:textId="77777777" w:rsidR="004C131D" w:rsidRPr="00F240DD" w:rsidRDefault="005F5491">
      <w:pPr>
        <w:pStyle w:val="Heading1"/>
        <w:rPr>
          <w:color w:val="000000" w:themeColor="text1"/>
          <w:lang w:val="en-GB"/>
        </w:rPr>
      </w:pPr>
      <w:bookmarkStart w:id="6" w:name="_heading=h.g30xbi4cqps4" w:colFirst="0" w:colLast="0"/>
      <w:bookmarkEnd w:id="6"/>
      <w:r w:rsidRPr="00F240DD">
        <w:rPr>
          <w:color w:val="000000" w:themeColor="text1"/>
          <w:lang w:val="en-GB"/>
        </w:rPr>
        <w:t xml:space="preserve">References List </w:t>
      </w:r>
    </w:p>
    <w:p w14:paraId="4CD64571" w14:textId="77777777" w:rsidR="008E7431" w:rsidRPr="00F240DD" w:rsidRDefault="008E7431" w:rsidP="00B96952">
      <w:pPr>
        <w:pStyle w:val="Normal1"/>
        <w:rPr>
          <w:color w:val="000000" w:themeColor="text1"/>
          <w:highlight w:val="white"/>
          <w:lang w:val="en-GB"/>
        </w:rPr>
      </w:pPr>
      <w:r w:rsidRPr="00F240DD">
        <w:rPr>
          <w:color w:val="000000" w:themeColor="text1"/>
          <w:highlight w:val="white"/>
          <w:lang w:val="en-GB"/>
        </w:rPr>
        <w:t xml:space="preserve">Beesley, L., (2024), September. Founders or dissenters? Re-situating the Union of the Physically Impaired Against Segregation in the early Disabled People’s Movement. In </w:t>
      </w:r>
      <w:r w:rsidRPr="00F240DD">
        <w:rPr>
          <w:i/>
          <w:iCs/>
          <w:color w:val="000000" w:themeColor="text1"/>
          <w:highlight w:val="white"/>
          <w:lang w:val="en-GB"/>
        </w:rPr>
        <w:t>Disability Studies Conference: 2024: Centre for Disability Studies: University of Leeds</w:t>
      </w:r>
      <w:r w:rsidRPr="00F240DD">
        <w:rPr>
          <w:color w:val="000000" w:themeColor="text1"/>
          <w:highlight w:val="white"/>
          <w:lang w:val="en-GB"/>
        </w:rPr>
        <w:t>.</w:t>
      </w:r>
      <w:hyperlink r:id="rId8">
        <w:r w:rsidRPr="00F240DD">
          <w:rPr>
            <w:color w:val="000000" w:themeColor="text1"/>
            <w:highlight w:val="white"/>
            <w:u w:val="single"/>
            <w:lang w:val="en-GB"/>
          </w:rPr>
          <w:t>https://research.brighton.ac.uk/files/52242416/Founders_or_Dissenters_final_version.pdf</w:t>
        </w:r>
      </w:hyperlink>
    </w:p>
    <w:p w14:paraId="5332D073" w14:textId="77777777" w:rsidR="008E7431" w:rsidRPr="00F240DD" w:rsidRDefault="008E7431" w:rsidP="00B96952">
      <w:pPr>
        <w:pStyle w:val="Normal1"/>
        <w:rPr>
          <w:color w:val="000000" w:themeColor="text1"/>
          <w:highlight w:val="white"/>
          <w:lang w:val="en-GB"/>
        </w:rPr>
      </w:pPr>
      <w:r w:rsidRPr="00F240DD">
        <w:rPr>
          <w:color w:val="000000" w:themeColor="text1"/>
          <w:highlight w:val="white"/>
          <w:lang w:val="en-GB"/>
        </w:rPr>
        <w:t>Byrne, J., (2025). A crisis within a crisis: How gender and disability impact the opportunities available to women with disabilities in Cambodia and Rwanda.</w:t>
      </w:r>
      <w:hyperlink r:id="rId9">
        <w:r w:rsidRPr="00F240DD">
          <w:rPr>
            <w:color w:val="000000" w:themeColor="text1"/>
            <w:highlight w:val="white"/>
            <w:u w:val="single"/>
            <w:lang w:val="en-GB"/>
          </w:rPr>
          <w:t>https://researchrepository.universityofgalway.ie/bitstreams/ead52f1f-989f-4681-8358-3fc87098c024/download</w:t>
        </w:r>
      </w:hyperlink>
    </w:p>
    <w:p w14:paraId="5F73A1CB" w14:textId="77777777" w:rsidR="008E7431" w:rsidRPr="00F240DD" w:rsidRDefault="008E7431" w:rsidP="00B96952">
      <w:pPr>
        <w:pStyle w:val="Normal1"/>
        <w:rPr>
          <w:color w:val="000000" w:themeColor="text1"/>
          <w:highlight w:val="white"/>
          <w:lang w:val="en-GB"/>
        </w:rPr>
      </w:pPr>
      <w:r w:rsidRPr="00F240DD">
        <w:rPr>
          <w:color w:val="000000" w:themeColor="text1"/>
          <w:highlight w:val="white"/>
          <w:lang w:val="en-GB"/>
        </w:rPr>
        <w:t xml:space="preserve">Cabauatan, A.J., (2024). </w:t>
      </w:r>
      <w:r w:rsidRPr="00F240DD">
        <w:rPr>
          <w:i/>
          <w:iCs/>
          <w:color w:val="000000" w:themeColor="text1"/>
          <w:highlight w:val="white"/>
          <w:lang w:val="en-GB"/>
        </w:rPr>
        <w:t>The Politics of Inclusion: Perspectives on Persons with Disabilities in Society</w:t>
      </w:r>
      <w:r w:rsidRPr="00F240DD">
        <w:rPr>
          <w:color w:val="000000" w:themeColor="text1"/>
          <w:highlight w:val="white"/>
          <w:lang w:val="en-GB"/>
        </w:rPr>
        <w:t>. Alexis Jose Cabauatan.</w:t>
      </w:r>
    </w:p>
    <w:p w14:paraId="7212D6AA" w14:textId="77777777" w:rsidR="008E7431" w:rsidRPr="00F240DD" w:rsidRDefault="008E7431" w:rsidP="00B96952">
      <w:pPr>
        <w:pStyle w:val="Normal1"/>
        <w:rPr>
          <w:color w:val="000000" w:themeColor="text1"/>
          <w:highlight w:val="white"/>
          <w:lang w:val="en-GB"/>
        </w:rPr>
      </w:pPr>
      <w:r w:rsidRPr="00F240DD">
        <w:rPr>
          <w:color w:val="000000" w:themeColor="text1"/>
          <w:lang w:val="en-GB"/>
        </w:rPr>
        <w:t>Chis, I.C. (2024). Theorising Disablement through the Collective-Materialist Approach to Disabling Capitalism. International Journal of Disability and Social Justice, [online] 4(2). doi:https://doi.org/10.13169/intljofdissocjus.4.2.0025.</w:t>
      </w:r>
    </w:p>
    <w:p w14:paraId="57C22381" w14:textId="77777777" w:rsidR="008E7431" w:rsidRPr="00F240DD" w:rsidRDefault="008E7431" w:rsidP="00B96952">
      <w:pPr>
        <w:pStyle w:val="Normal1"/>
        <w:rPr>
          <w:color w:val="000000" w:themeColor="text1"/>
          <w:highlight w:val="white"/>
          <w:lang w:val="en-GB"/>
        </w:rPr>
      </w:pPr>
      <w:r w:rsidRPr="00F240DD">
        <w:rPr>
          <w:color w:val="000000" w:themeColor="text1"/>
          <w:highlight w:val="white"/>
          <w:lang w:val="en-GB"/>
        </w:rPr>
        <w:t xml:space="preserve">Dwyer, P., Gurba, A.N., Kapp, S.K., Kilgallon, E., Hersh, L.H., Chang, D.S., Rivera, S.M. and Gillespie-Lynch, K., (2025). Community views of neurodiversity, models of disability and autism intervention: Mixed methods reveal shared goals and key tensions. </w:t>
      </w:r>
      <w:r w:rsidRPr="00F240DD">
        <w:rPr>
          <w:i/>
          <w:iCs/>
          <w:color w:val="000000" w:themeColor="text1"/>
          <w:highlight w:val="white"/>
          <w:lang w:val="en-GB"/>
        </w:rPr>
        <w:t>Autism</w:t>
      </w:r>
      <w:r w:rsidRPr="00F240DD">
        <w:rPr>
          <w:color w:val="000000" w:themeColor="text1"/>
          <w:highlight w:val="white"/>
          <w:lang w:val="en-GB"/>
        </w:rPr>
        <w:t xml:space="preserve">, </w:t>
      </w:r>
      <w:r w:rsidRPr="00F240DD">
        <w:rPr>
          <w:i/>
          <w:iCs/>
          <w:color w:val="000000" w:themeColor="text1"/>
          <w:highlight w:val="white"/>
          <w:lang w:val="en-GB"/>
        </w:rPr>
        <w:t>29</w:t>
      </w:r>
      <w:r w:rsidRPr="00F240DD">
        <w:rPr>
          <w:color w:val="000000" w:themeColor="text1"/>
          <w:highlight w:val="white"/>
          <w:lang w:val="en-GB"/>
        </w:rPr>
        <w:t>(9), pp.2297-2314.</w:t>
      </w:r>
      <w:hyperlink r:id="rId10">
        <w:r w:rsidRPr="00F240DD">
          <w:rPr>
            <w:color w:val="000000" w:themeColor="text1"/>
            <w:highlight w:val="white"/>
            <w:u w:val="single"/>
            <w:lang w:val="en-GB"/>
          </w:rPr>
          <w:t>https://journals.sagepub.com/doi/pdf/10.1177/13623613241273029</w:t>
        </w:r>
      </w:hyperlink>
    </w:p>
    <w:p w14:paraId="4DD8ED7F" w14:textId="77777777" w:rsidR="008E7431" w:rsidRPr="00F240DD" w:rsidRDefault="008E7431" w:rsidP="00B96952">
      <w:pPr>
        <w:pStyle w:val="Normal1"/>
        <w:rPr>
          <w:color w:val="000000" w:themeColor="text1"/>
          <w:highlight w:val="white"/>
          <w:lang w:val="en-GB"/>
        </w:rPr>
      </w:pPr>
      <w:r w:rsidRPr="00F240DD">
        <w:rPr>
          <w:color w:val="000000" w:themeColor="text1"/>
          <w:highlight w:val="white"/>
          <w:lang w:val="en-GB"/>
        </w:rPr>
        <w:t xml:space="preserve">Dyb, K., Berntsen, G.R. and Kvam, L., (2021). Adopt, adapt, or abandon technology-supported person-centred care initiatives: healthcare providers’ beliefs matter. </w:t>
      </w:r>
      <w:r w:rsidRPr="00F240DD">
        <w:rPr>
          <w:i/>
          <w:iCs/>
          <w:color w:val="000000" w:themeColor="text1"/>
          <w:highlight w:val="white"/>
          <w:lang w:val="en-GB"/>
        </w:rPr>
        <w:t>BMC Health Services Research</w:t>
      </w:r>
      <w:r w:rsidRPr="00F240DD">
        <w:rPr>
          <w:color w:val="000000" w:themeColor="text1"/>
          <w:highlight w:val="white"/>
          <w:lang w:val="en-GB"/>
        </w:rPr>
        <w:t xml:space="preserve">, </w:t>
      </w:r>
      <w:r w:rsidRPr="00F240DD">
        <w:rPr>
          <w:i/>
          <w:iCs/>
          <w:color w:val="000000" w:themeColor="text1"/>
          <w:highlight w:val="white"/>
          <w:lang w:val="en-GB"/>
        </w:rPr>
        <w:t>21</w:t>
      </w:r>
      <w:r w:rsidRPr="00F240DD">
        <w:rPr>
          <w:color w:val="000000" w:themeColor="text1"/>
          <w:highlight w:val="white"/>
          <w:lang w:val="en-GB"/>
        </w:rPr>
        <w:t>(1), p.240.</w:t>
      </w:r>
      <w:hyperlink r:id="rId11">
        <w:r w:rsidRPr="00F240DD">
          <w:rPr>
            <w:color w:val="000000" w:themeColor="text1"/>
            <w:highlight w:val="white"/>
            <w:u w:val="single"/>
            <w:lang w:val="en-GB"/>
          </w:rPr>
          <w:t>https://link.springer.com/content/pdf/10.1186/s12913-021-06262-1.pdf</w:t>
        </w:r>
      </w:hyperlink>
    </w:p>
    <w:p w14:paraId="161BEE9E" w14:textId="77777777" w:rsidR="008E7431" w:rsidRPr="00F240DD" w:rsidRDefault="008E7431" w:rsidP="00B96952">
      <w:pPr>
        <w:pStyle w:val="Normal1"/>
        <w:rPr>
          <w:color w:val="000000" w:themeColor="text1"/>
          <w:highlight w:val="white"/>
          <w:lang w:val="en-GB"/>
        </w:rPr>
      </w:pPr>
      <w:r w:rsidRPr="00F240DD">
        <w:rPr>
          <w:color w:val="000000" w:themeColor="text1"/>
          <w:highlight w:val="white"/>
          <w:lang w:val="en-GB"/>
        </w:rPr>
        <w:t xml:space="preserve">Grindstaff, L., (2022). Barriers to inclusion: Social roots and current concerns. </w:t>
      </w:r>
      <w:r w:rsidRPr="00F240DD">
        <w:rPr>
          <w:i/>
          <w:iCs/>
          <w:color w:val="000000" w:themeColor="text1"/>
          <w:highlight w:val="white"/>
          <w:lang w:val="en-GB"/>
        </w:rPr>
        <w:t>Uprooting bias in the academy: Lessons from the field</w:t>
      </w:r>
      <w:r w:rsidRPr="00F240DD">
        <w:rPr>
          <w:color w:val="000000" w:themeColor="text1"/>
          <w:highlight w:val="white"/>
          <w:lang w:val="en-GB"/>
        </w:rPr>
        <w:t>, pp.19-44.</w:t>
      </w:r>
      <w:hyperlink r:id="rId12" w:anchor="page=36">
        <w:r w:rsidRPr="00F240DD">
          <w:rPr>
            <w:color w:val="000000" w:themeColor="text1"/>
            <w:highlight w:val="white"/>
            <w:u w:val="single"/>
            <w:lang w:val="en-GB"/>
          </w:rPr>
          <w:t>https://library.oapen.org/bitstream/handle/20.500.12657/51948/1/978-3-030-85668-7.pdf#page=36</w:t>
        </w:r>
      </w:hyperlink>
    </w:p>
    <w:p w14:paraId="489DCFD5" w14:textId="77777777" w:rsidR="008E7431" w:rsidRPr="00F240DD" w:rsidRDefault="008E7431" w:rsidP="00B96952">
      <w:pPr>
        <w:pStyle w:val="Normal1"/>
        <w:rPr>
          <w:color w:val="000000" w:themeColor="text1"/>
          <w:highlight w:val="white"/>
          <w:lang w:val="en-GB"/>
        </w:rPr>
      </w:pPr>
      <w:r w:rsidRPr="00F240DD">
        <w:rPr>
          <w:color w:val="000000" w:themeColor="text1"/>
          <w:highlight w:val="white"/>
          <w:lang w:val="en-GB"/>
        </w:rPr>
        <w:t xml:space="preserve">Kanagasingam, D., Hurd, L. and Norman, M., (2023) Integrating person-centred care and social justice: a model for practice with larger-bodied patients. </w:t>
      </w:r>
      <w:r w:rsidRPr="00F240DD">
        <w:rPr>
          <w:i/>
          <w:iCs/>
          <w:color w:val="000000" w:themeColor="text1"/>
          <w:highlight w:val="white"/>
          <w:lang w:val="en-GB"/>
        </w:rPr>
        <w:t>Medical Humanities</w:t>
      </w:r>
      <w:r w:rsidRPr="00F240DD">
        <w:rPr>
          <w:color w:val="000000" w:themeColor="text1"/>
          <w:highlight w:val="white"/>
          <w:lang w:val="en-GB"/>
        </w:rPr>
        <w:t xml:space="preserve">, </w:t>
      </w:r>
      <w:r w:rsidRPr="00F240DD">
        <w:rPr>
          <w:i/>
          <w:iCs/>
          <w:color w:val="000000" w:themeColor="text1"/>
          <w:highlight w:val="white"/>
          <w:lang w:val="en-GB"/>
        </w:rPr>
        <w:t>49</w:t>
      </w:r>
      <w:r w:rsidRPr="00F240DD">
        <w:rPr>
          <w:color w:val="000000" w:themeColor="text1"/>
          <w:highlight w:val="white"/>
          <w:lang w:val="en-GB"/>
        </w:rPr>
        <w:t xml:space="preserve">(3), pp.436-446. </w:t>
      </w:r>
      <w:hyperlink r:id="rId13">
        <w:r w:rsidRPr="00F240DD">
          <w:rPr>
            <w:color w:val="000000" w:themeColor="text1"/>
            <w:highlight w:val="white"/>
            <w:u w:val="single"/>
            <w:lang w:val="en-GB"/>
          </w:rPr>
          <w:t>https://mh.bmj.com/content/medhum/49/3/436.full.pdf</w:t>
        </w:r>
      </w:hyperlink>
      <w:r w:rsidRPr="00F240DD">
        <w:rPr>
          <w:color w:val="000000" w:themeColor="text1"/>
          <w:highlight w:val="white"/>
          <w:lang w:val="en-GB"/>
        </w:rPr>
        <w:t xml:space="preserve"> </w:t>
      </w:r>
    </w:p>
    <w:p w14:paraId="693AED34" w14:textId="77777777" w:rsidR="008E7431" w:rsidRPr="00F240DD" w:rsidRDefault="008E7431" w:rsidP="00B96952">
      <w:pPr>
        <w:pStyle w:val="Normal1"/>
        <w:rPr>
          <w:color w:val="000000" w:themeColor="text1"/>
          <w:highlight w:val="white"/>
          <w:lang w:val="en-GB"/>
        </w:rPr>
      </w:pPr>
      <w:r w:rsidRPr="00F240DD">
        <w:rPr>
          <w:color w:val="000000" w:themeColor="text1"/>
          <w:highlight w:val="white"/>
          <w:lang w:val="en-GB"/>
        </w:rPr>
        <w:t xml:space="preserve">Lawson, A. and Beckett, A.E., (2021). The social and human rights models of disability: towards a complementarity thesis. </w:t>
      </w:r>
      <w:r w:rsidRPr="00F240DD">
        <w:rPr>
          <w:i/>
          <w:iCs/>
          <w:color w:val="000000" w:themeColor="text1"/>
          <w:highlight w:val="white"/>
          <w:lang w:val="en-GB"/>
        </w:rPr>
        <w:t>The International Journal of Human Rights</w:t>
      </w:r>
      <w:r w:rsidRPr="00F240DD">
        <w:rPr>
          <w:color w:val="000000" w:themeColor="text1"/>
          <w:highlight w:val="white"/>
          <w:lang w:val="en-GB"/>
        </w:rPr>
        <w:t xml:space="preserve">, </w:t>
      </w:r>
      <w:r w:rsidRPr="00F240DD">
        <w:rPr>
          <w:i/>
          <w:iCs/>
          <w:color w:val="000000" w:themeColor="text1"/>
          <w:highlight w:val="white"/>
          <w:lang w:val="en-GB"/>
        </w:rPr>
        <w:t>25</w:t>
      </w:r>
      <w:r w:rsidRPr="00F240DD">
        <w:rPr>
          <w:color w:val="000000" w:themeColor="text1"/>
          <w:highlight w:val="white"/>
          <w:lang w:val="en-GB"/>
        </w:rPr>
        <w:t>(2), pp.348-379.</w:t>
      </w:r>
      <w:hyperlink r:id="rId14">
        <w:r w:rsidRPr="00F240DD">
          <w:rPr>
            <w:color w:val="000000" w:themeColor="text1"/>
            <w:highlight w:val="white"/>
            <w:u w:val="single"/>
            <w:lang w:val="en-GB"/>
          </w:rPr>
          <w:t>https://www.tandfonline.com/doi/pdf/10.1080/13642987.2020.1783533</w:t>
        </w:r>
      </w:hyperlink>
    </w:p>
    <w:p w14:paraId="14AAC108" w14:textId="77777777" w:rsidR="008E7431" w:rsidRPr="00F240DD" w:rsidRDefault="008E7431" w:rsidP="00B96952">
      <w:pPr>
        <w:pStyle w:val="Normal1"/>
        <w:rPr>
          <w:color w:val="000000" w:themeColor="text1"/>
          <w:highlight w:val="white"/>
          <w:lang w:val="en-GB"/>
        </w:rPr>
      </w:pPr>
      <w:r w:rsidRPr="00F240DD">
        <w:rPr>
          <w:color w:val="000000" w:themeColor="text1"/>
          <w:highlight w:val="white"/>
          <w:lang w:val="en-GB"/>
        </w:rPr>
        <w:t xml:space="preserve">Smith, E.M., Huff, S., Wescott, H., Daniel, R., Ebuenyi, I.D., O’Donnell, J., Maalim, M., Zhang, W., Khasnabis, C. and MacLachlan, M., (2024). Assistive technologies are central to the realization of the Convention on the Rights of Persons with Disabilities. </w:t>
      </w:r>
      <w:r w:rsidRPr="00F240DD">
        <w:rPr>
          <w:i/>
          <w:iCs/>
          <w:color w:val="000000" w:themeColor="text1"/>
          <w:highlight w:val="white"/>
          <w:lang w:val="en-GB"/>
        </w:rPr>
        <w:t>Disability and Rehabilitation: Assistive Technology</w:t>
      </w:r>
      <w:r w:rsidRPr="00F240DD">
        <w:rPr>
          <w:color w:val="000000" w:themeColor="text1"/>
          <w:highlight w:val="white"/>
          <w:lang w:val="en-GB"/>
        </w:rPr>
        <w:t xml:space="preserve">, </w:t>
      </w:r>
      <w:r w:rsidRPr="00F240DD">
        <w:rPr>
          <w:i/>
          <w:iCs/>
          <w:color w:val="000000" w:themeColor="text1"/>
          <w:highlight w:val="white"/>
          <w:lang w:val="en-GB"/>
        </w:rPr>
        <w:t>19</w:t>
      </w:r>
      <w:r w:rsidRPr="00F240DD">
        <w:rPr>
          <w:color w:val="000000" w:themeColor="text1"/>
          <w:highlight w:val="white"/>
          <w:lang w:val="en-GB"/>
        </w:rPr>
        <w:t>(2), pp.486-491.</w:t>
      </w:r>
      <w:hyperlink r:id="rId15">
        <w:r w:rsidRPr="00F240DD">
          <w:rPr>
            <w:color w:val="000000" w:themeColor="text1"/>
            <w:highlight w:val="white"/>
            <w:u w:val="single"/>
            <w:lang w:val="en-GB"/>
          </w:rPr>
          <w:t>https://www.tandfonline.com/doi/pdf/10.1080/17483107.2022.2099987</w:t>
        </w:r>
      </w:hyperlink>
    </w:p>
    <w:p w14:paraId="75BBFAEA" w14:textId="77777777" w:rsidR="008E7431" w:rsidRPr="00F240DD" w:rsidRDefault="008E7431" w:rsidP="00B96952">
      <w:pPr>
        <w:pStyle w:val="Normal1"/>
        <w:rPr>
          <w:color w:val="000000" w:themeColor="text1"/>
          <w:highlight w:val="white"/>
          <w:lang w:val="en-GB"/>
        </w:rPr>
      </w:pPr>
      <w:r w:rsidRPr="00F240DD">
        <w:rPr>
          <w:color w:val="000000" w:themeColor="text1"/>
          <w:highlight w:val="white"/>
          <w:lang w:val="en-GB"/>
        </w:rPr>
        <w:t xml:space="preserve">Smith, J.B., Willis, E.M. and Hopkins‐Walsh, J., (2022) What does person‐centred care mean, if you weren't considered a person anyway: An engagement with person‐centred care and Black, queer, feminist, and posthuman approaches. </w:t>
      </w:r>
      <w:r w:rsidRPr="00F240DD">
        <w:rPr>
          <w:i/>
          <w:iCs/>
          <w:color w:val="000000" w:themeColor="text1"/>
          <w:highlight w:val="white"/>
          <w:lang w:val="en-GB"/>
        </w:rPr>
        <w:t>Nursing Philosophy</w:t>
      </w:r>
      <w:r w:rsidRPr="00F240DD">
        <w:rPr>
          <w:color w:val="000000" w:themeColor="text1"/>
          <w:highlight w:val="white"/>
          <w:lang w:val="en-GB"/>
        </w:rPr>
        <w:t xml:space="preserve">, </w:t>
      </w:r>
      <w:r w:rsidRPr="00F240DD">
        <w:rPr>
          <w:i/>
          <w:iCs/>
          <w:color w:val="000000" w:themeColor="text1"/>
          <w:highlight w:val="white"/>
          <w:lang w:val="en-GB"/>
        </w:rPr>
        <w:t>23</w:t>
      </w:r>
      <w:r w:rsidRPr="00F240DD">
        <w:rPr>
          <w:color w:val="000000" w:themeColor="text1"/>
          <w:highlight w:val="white"/>
          <w:lang w:val="en-GB"/>
        </w:rPr>
        <w:t xml:space="preserve">(3), p.e12401. </w:t>
      </w:r>
      <w:hyperlink r:id="rId16">
        <w:r w:rsidRPr="00F240DD">
          <w:rPr>
            <w:color w:val="000000" w:themeColor="text1"/>
            <w:highlight w:val="white"/>
            <w:u w:val="single"/>
            <w:lang w:val="en-GB"/>
          </w:rPr>
          <w:t>https://onlinelibrary.wiley.com/doi/pdf/10.1111/nup.12401</w:t>
        </w:r>
      </w:hyperlink>
    </w:p>
    <w:p w14:paraId="4795C6E3" w14:textId="77777777" w:rsidR="008E7431" w:rsidRPr="00F240DD" w:rsidRDefault="008E7431" w:rsidP="00B96952">
      <w:pPr>
        <w:pStyle w:val="Normal1"/>
        <w:rPr>
          <w:color w:val="000000" w:themeColor="text1"/>
          <w:highlight w:val="white"/>
          <w:lang w:val="en-GB"/>
        </w:rPr>
      </w:pPr>
      <w:r w:rsidRPr="00F240DD">
        <w:rPr>
          <w:color w:val="000000" w:themeColor="text1"/>
          <w:highlight w:val="white"/>
          <w:lang w:val="en-GB"/>
        </w:rPr>
        <w:t xml:space="preserve">Verdin, R., (2024). Regulating Equal Pay in Britain: The Equality Act 2010 and Beyond. In </w:t>
      </w:r>
      <w:r w:rsidRPr="00F240DD">
        <w:rPr>
          <w:i/>
          <w:iCs/>
          <w:color w:val="000000" w:themeColor="text1"/>
          <w:highlight w:val="white"/>
          <w:lang w:val="en-GB"/>
        </w:rPr>
        <w:t>Architectures of Inequality</w:t>
      </w:r>
      <w:r w:rsidRPr="00F240DD">
        <w:rPr>
          <w:color w:val="000000" w:themeColor="text1"/>
          <w:highlight w:val="white"/>
          <w:lang w:val="en-GB"/>
        </w:rPr>
        <w:t xml:space="preserve"> (pp. 41-62). Bristol University Press.</w:t>
      </w:r>
      <w:hyperlink r:id="rId17">
        <w:r w:rsidRPr="00F240DD">
          <w:rPr>
            <w:color w:val="000000" w:themeColor="text1"/>
            <w:highlight w:val="white"/>
            <w:u w:val="single"/>
            <w:lang w:val="en-GB"/>
          </w:rPr>
          <w:t>https://bristoluniversitypressdigital.com/downloadpdf/monochap-oa/book/9781529241129/ch003.pdf</w:t>
        </w:r>
      </w:hyperlink>
    </w:p>
    <w:p w14:paraId="57FBD13F" w14:textId="77777777" w:rsidR="008E7431" w:rsidRPr="00F240DD" w:rsidRDefault="008E7431" w:rsidP="00B96952">
      <w:pPr>
        <w:pStyle w:val="Normal1"/>
        <w:rPr>
          <w:color w:val="000000" w:themeColor="text1"/>
          <w:highlight w:val="white"/>
          <w:u w:val="single"/>
          <w:lang w:val="en-GB"/>
        </w:rPr>
      </w:pPr>
      <w:r w:rsidRPr="00F240DD">
        <w:rPr>
          <w:color w:val="000000" w:themeColor="text1"/>
          <w:highlight w:val="white"/>
          <w:lang w:val="en-GB"/>
        </w:rPr>
        <w:t xml:space="preserve">Wolbring, G. and Lillywhite, A., (2021). Equity/equality, diversity, and inclusion (EDI) in universities: the case of disabled people. </w:t>
      </w:r>
      <w:r w:rsidRPr="00F240DD">
        <w:rPr>
          <w:i/>
          <w:iCs/>
          <w:color w:val="000000" w:themeColor="text1"/>
          <w:highlight w:val="white"/>
          <w:lang w:val="en-GB"/>
        </w:rPr>
        <w:t>Societies</w:t>
      </w:r>
      <w:r w:rsidRPr="00F240DD">
        <w:rPr>
          <w:color w:val="000000" w:themeColor="text1"/>
          <w:highlight w:val="white"/>
          <w:lang w:val="en-GB"/>
        </w:rPr>
        <w:t xml:space="preserve">, </w:t>
      </w:r>
      <w:r w:rsidRPr="00F240DD">
        <w:rPr>
          <w:i/>
          <w:iCs/>
          <w:color w:val="000000" w:themeColor="text1"/>
          <w:highlight w:val="white"/>
          <w:lang w:val="en-GB"/>
        </w:rPr>
        <w:t>11</w:t>
      </w:r>
      <w:r w:rsidRPr="00F240DD">
        <w:rPr>
          <w:color w:val="000000" w:themeColor="text1"/>
          <w:highlight w:val="white"/>
          <w:lang w:val="en-GB"/>
        </w:rPr>
        <w:t>(2), p.49.</w:t>
      </w:r>
      <w:hyperlink r:id="rId18">
        <w:r w:rsidRPr="00F240DD">
          <w:rPr>
            <w:color w:val="000000" w:themeColor="text1"/>
            <w:highlight w:val="white"/>
            <w:u w:val="single"/>
            <w:lang w:val="en-GB"/>
          </w:rPr>
          <w:t>https://www.mdpi.com/2075-4698/11/2/49</w:t>
        </w:r>
      </w:hyperlink>
    </w:p>
    <w:sectPr w:rsidR="008E7431" w:rsidRPr="00F240DD" w:rsidSect="004C131D">
      <w:footerReference w:type="default" r:id="rId1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D6CA20" w14:textId="77777777" w:rsidR="00422CD7" w:rsidRDefault="00422CD7" w:rsidP="004C131D">
      <w:pPr>
        <w:spacing w:line="240" w:lineRule="auto"/>
      </w:pPr>
      <w:r>
        <w:separator/>
      </w:r>
    </w:p>
  </w:endnote>
  <w:endnote w:type="continuationSeparator" w:id="0">
    <w:p w14:paraId="768545AF" w14:textId="77777777" w:rsidR="00422CD7" w:rsidRDefault="00422CD7" w:rsidP="004C13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B2E51327-0D63-497B-9E3F-DA0D5E304734}"/>
  </w:font>
  <w:font w:name="Tahoma">
    <w:panose1 w:val="020B0604030504040204"/>
    <w:charset w:val="00"/>
    <w:family w:val="swiss"/>
    <w:pitch w:val="variable"/>
    <w:sig w:usb0="E1002EFF" w:usb1="C000605B" w:usb2="00000029" w:usb3="00000000" w:csb0="000101FF" w:csb1="00000000"/>
    <w:embedRegular r:id="rId2" w:fontKey="{ABB966EF-4BF8-48CF-8402-125C81EF126B}"/>
  </w:font>
  <w:font w:name="Cambria">
    <w:panose1 w:val="02040503050406030204"/>
    <w:charset w:val="00"/>
    <w:family w:val="roman"/>
    <w:pitch w:val="variable"/>
    <w:sig w:usb0="E00006FF" w:usb1="420024FF" w:usb2="02000000" w:usb3="00000000" w:csb0="0000019F" w:csb1="00000000"/>
    <w:embedRegular r:id="rId3" w:fontKey="{66DC8743-AAF9-F649-8A4D-23F6C834C7F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4239CE" w14:textId="77777777" w:rsidR="004C131D" w:rsidRDefault="004C131D">
    <w:pPr>
      <w:pStyle w:val="Normal1"/>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5F5491">
      <w:rPr>
        <w:color w:val="000000"/>
      </w:rPr>
      <w:instrText>PAGE</w:instrText>
    </w:r>
    <w:r>
      <w:rPr>
        <w:color w:val="000000"/>
      </w:rPr>
      <w:fldChar w:fldCharType="separate"/>
    </w:r>
    <w:r w:rsidR="00921BB6">
      <w:rPr>
        <w:noProof/>
        <w:color w:val="000000"/>
      </w:rPr>
      <w:t>4</w:t>
    </w:r>
    <w:r>
      <w:rPr>
        <w:color w:val="000000"/>
      </w:rPr>
      <w:fldChar w:fldCharType="end"/>
    </w:r>
  </w:p>
  <w:p w14:paraId="56B0424A" w14:textId="77777777" w:rsidR="004C131D" w:rsidRDefault="004C131D">
    <w:pPr>
      <w:pStyle w:val="Normal1"/>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DA36B4" w14:textId="77777777" w:rsidR="00422CD7" w:rsidRDefault="00422CD7" w:rsidP="004C131D">
      <w:pPr>
        <w:spacing w:line="240" w:lineRule="auto"/>
      </w:pPr>
      <w:r>
        <w:separator/>
      </w:r>
    </w:p>
  </w:footnote>
  <w:footnote w:type="continuationSeparator" w:id="0">
    <w:p w14:paraId="6586E2C3" w14:textId="77777777" w:rsidR="00422CD7" w:rsidRDefault="00422CD7" w:rsidP="004C131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131D"/>
    <w:rsid w:val="00000C15"/>
    <w:rsid w:val="000F6223"/>
    <w:rsid w:val="0021265E"/>
    <w:rsid w:val="002548FD"/>
    <w:rsid w:val="002B3533"/>
    <w:rsid w:val="002F28D5"/>
    <w:rsid w:val="00422CD7"/>
    <w:rsid w:val="004C131D"/>
    <w:rsid w:val="00575353"/>
    <w:rsid w:val="005F5491"/>
    <w:rsid w:val="00672C6D"/>
    <w:rsid w:val="00770EC7"/>
    <w:rsid w:val="008E7431"/>
    <w:rsid w:val="0092008B"/>
    <w:rsid w:val="00921BB6"/>
    <w:rsid w:val="00946569"/>
    <w:rsid w:val="00A5655D"/>
    <w:rsid w:val="00B47ED3"/>
    <w:rsid w:val="00B96952"/>
    <w:rsid w:val="00CA14CB"/>
    <w:rsid w:val="00D14869"/>
    <w:rsid w:val="00D17445"/>
    <w:rsid w:val="00E25769"/>
    <w:rsid w:val="00F01C67"/>
    <w:rsid w:val="00F240DD"/>
    <w:rsid w:val="00F42E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7595D"/>
  <w15:docId w15:val="{CED1088B-55CA-4D81-A84B-E50544C29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C131D"/>
    <w:pPr>
      <w:keepNext/>
      <w:keepLines/>
      <w:spacing w:before="400" w:after="120"/>
      <w:outlineLvl w:val="0"/>
    </w:pPr>
    <w:rPr>
      <w:b/>
      <w:bCs/>
      <w:color w:val="000000"/>
      <w:sz w:val="24"/>
      <w:szCs w:val="24"/>
    </w:rPr>
  </w:style>
  <w:style w:type="paragraph" w:styleId="Heading2">
    <w:name w:val="heading 2"/>
    <w:basedOn w:val="Normal1"/>
    <w:next w:val="Normal1"/>
    <w:rsid w:val="004C131D"/>
    <w:pPr>
      <w:keepNext/>
      <w:keepLines/>
      <w:spacing w:before="360" w:after="120"/>
      <w:outlineLvl w:val="1"/>
    </w:pPr>
    <w:rPr>
      <w:b/>
      <w:bCs/>
      <w:color w:val="000000"/>
      <w:sz w:val="24"/>
      <w:szCs w:val="24"/>
    </w:rPr>
  </w:style>
  <w:style w:type="paragraph" w:styleId="Heading3">
    <w:name w:val="heading 3"/>
    <w:basedOn w:val="Normal1"/>
    <w:next w:val="Normal1"/>
    <w:rsid w:val="004C131D"/>
    <w:pPr>
      <w:keepNext/>
      <w:keepLines/>
      <w:spacing w:before="320" w:after="80"/>
      <w:outlineLvl w:val="2"/>
    </w:pPr>
    <w:rPr>
      <w:color w:val="434343"/>
      <w:sz w:val="28"/>
      <w:szCs w:val="28"/>
    </w:rPr>
  </w:style>
  <w:style w:type="paragraph" w:styleId="Heading4">
    <w:name w:val="heading 4"/>
    <w:basedOn w:val="Normal1"/>
    <w:next w:val="Normal1"/>
    <w:rsid w:val="004C131D"/>
    <w:pPr>
      <w:keepNext/>
      <w:keepLines/>
      <w:spacing w:before="280" w:after="80"/>
      <w:outlineLvl w:val="3"/>
    </w:pPr>
    <w:rPr>
      <w:color w:val="666666"/>
      <w:sz w:val="24"/>
      <w:szCs w:val="24"/>
    </w:rPr>
  </w:style>
  <w:style w:type="paragraph" w:styleId="Heading5">
    <w:name w:val="heading 5"/>
    <w:basedOn w:val="Normal1"/>
    <w:next w:val="Normal1"/>
    <w:rsid w:val="004C131D"/>
    <w:pPr>
      <w:keepNext/>
      <w:keepLines/>
      <w:spacing w:before="240" w:after="80"/>
      <w:outlineLvl w:val="4"/>
    </w:pPr>
    <w:rPr>
      <w:color w:val="666666"/>
    </w:rPr>
  </w:style>
  <w:style w:type="paragraph" w:styleId="Heading6">
    <w:name w:val="heading 6"/>
    <w:basedOn w:val="Normal1"/>
    <w:next w:val="Normal1"/>
    <w:rsid w:val="004C131D"/>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C131D"/>
    <w:tblPr>
      <w:tblCellMar>
        <w:top w:w="100" w:type="dxa"/>
        <w:left w:w="100" w:type="dxa"/>
        <w:bottom w:w="100" w:type="dxa"/>
        <w:right w:w="100" w:type="dxa"/>
      </w:tblCellMar>
    </w:tblPr>
  </w:style>
  <w:style w:type="paragraph" w:customStyle="1" w:styleId="Normal1">
    <w:name w:val="Normal1"/>
    <w:rsid w:val="004C131D"/>
  </w:style>
  <w:style w:type="paragraph" w:styleId="Title">
    <w:name w:val="Title"/>
    <w:basedOn w:val="Normal1"/>
    <w:next w:val="Normal1"/>
    <w:rsid w:val="004C131D"/>
    <w:pPr>
      <w:keepNext/>
      <w:keepLines/>
      <w:spacing w:after="60"/>
    </w:pPr>
    <w:rPr>
      <w:sz w:val="52"/>
      <w:szCs w:val="52"/>
    </w:rPr>
  </w:style>
  <w:style w:type="table" w:customStyle="1" w:styleId="TableNormal1">
    <w:name w:val="TableNormal"/>
    <w:rsid w:val="004C131D"/>
    <w:tblPr>
      <w:tblCellMar>
        <w:top w:w="100" w:type="dxa"/>
        <w:left w:w="100" w:type="dxa"/>
        <w:bottom w:w="100" w:type="dxa"/>
        <w:right w:w="100" w:type="dxa"/>
      </w:tblCellMar>
    </w:tblPr>
  </w:style>
  <w:style w:type="paragraph" w:styleId="Header">
    <w:name w:val="header"/>
    <w:basedOn w:val="Normal1"/>
    <w:link w:val="HeaderChar"/>
    <w:uiPriority w:val="99"/>
    <w:unhideWhenUsed/>
    <w:rsid w:val="00081AC1"/>
    <w:pPr>
      <w:tabs>
        <w:tab w:val="center" w:pos="4513"/>
        <w:tab w:val="right" w:pos="9026"/>
      </w:tabs>
      <w:spacing w:line="240" w:lineRule="auto"/>
    </w:pPr>
  </w:style>
  <w:style w:type="character" w:customStyle="1" w:styleId="HeaderChar">
    <w:name w:val="Header Char"/>
    <w:basedOn w:val="DefaultParagraphFont"/>
    <w:link w:val="Header"/>
    <w:uiPriority w:val="99"/>
    <w:rsid w:val="00081AC1"/>
  </w:style>
  <w:style w:type="paragraph" w:styleId="Footer">
    <w:name w:val="footer"/>
    <w:basedOn w:val="Normal1"/>
    <w:link w:val="FooterChar"/>
    <w:uiPriority w:val="99"/>
    <w:unhideWhenUsed/>
    <w:rsid w:val="00081AC1"/>
    <w:pPr>
      <w:tabs>
        <w:tab w:val="center" w:pos="4513"/>
        <w:tab w:val="right" w:pos="9026"/>
      </w:tabs>
      <w:spacing w:line="240" w:lineRule="auto"/>
    </w:pPr>
  </w:style>
  <w:style w:type="character" w:customStyle="1" w:styleId="FooterChar">
    <w:name w:val="Footer Char"/>
    <w:basedOn w:val="DefaultParagraphFont"/>
    <w:link w:val="Footer"/>
    <w:uiPriority w:val="99"/>
    <w:rsid w:val="00081AC1"/>
  </w:style>
  <w:style w:type="paragraph" w:styleId="TOCHeading">
    <w:name w:val="TOC Heading"/>
    <w:basedOn w:val="Heading1"/>
    <w:next w:val="Normal1"/>
    <w:uiPriority w:val="39"/>
    <w:unhideWhenUsed/>
    <w:qFormat/>
    <w:rsid w:val="00DC39C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1"/>
    <w:next w:val="Normal1"/>
    <w:autoRedefine/>
    <w:uiPriority w:val="39"/>
    <w:unhideWhenUsed/>
    <w:rsid w:val="00DC39C0"/>
    <w:pPr>
      <w:spacing w:after="100"/>
    </w:pPr>
  </w:style>
  <w:style w:type="paragraph" w:styleId="TOC2">
    <w:name w:val="toc 2"/>
    <w:basedOn w:val="Normal1"/>
    <w:next w:val="Normal1"/>
    <w:autoRedefine/>
    <w:uiPriority w:val="39"/>
    <w:unhideWhenUsed/>
    <w:rsid w:val="00DC39C0"/>
    <w:pPr>
      <w:spacing w:after="100"/>
      <w:ind w:left="220"/>
    </w:pPr>
  </w:style>
  <w:style w:type="character" w:styleId="Hyperlink">
    <w:name w:val="Hyperlink"/>
    <w:basedOn w:val="DefaultParagraphFont"/>
    <w:uiPriority w:val="99"/>
    <w:unhideWhenUsed/>
    <w:rsid w:val="00DC39C0"/>
    <w:rPr>
      <w:color w:val="0000FF" w:themeColor="hyperlink"/>
      <w:u w:val="single"/>
    </w:rPr>
  </w:style>
  <w:style w:type="paragraph" w:styleId="Subtitle">
    <w:name w:val="Subtitle"/>
    <w:basedOn w:val="Normal1"/>
    <w:next w:val="Normal1"/>
    <w:rsid w:val="004C131D"/>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969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695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research.brighton.ac.uk/files/52242416/Founders_or_Dissenters_final_version.pdf" TargetMode="External" /><Relationship Id="rId13" Type="http://schemas.openxmlformats.org/officeDocument/2006/relationships/hyperlink" Target="https://mh.bmj.com/content/medhum/49/3/436.full.pdf" TargetMode="External" /><Relationship Id="rId18" Type="http://schemas.openxmlformats.org/officeDocument/2006/relationships/hyperlink" Target="https://www.mdpi.com/2075-4698/11/2/49"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hyperlink" Target="https://library.oapen.org/bitstream/handle/20.500.12657/51948/1/978-3-030-85668-7.pdf" TargetMode="External" /><Relationship Id="rId17" Type="http://schemas.openxmlformats.org/officeDocument/2006/relationships/hyperlink" Target="https://bristoluniversitypressdigital.com/downloadpdf/monochap-oa/book/9781529241129/ch003.pdf" TargetMode="External" /><Relationship Id="rId2" Type="http://schemas.openxmlformats.org/officeDocument/2006/relationships/styles" Target="styles.xml" /><Relationship Id="rId16" Type="http://schemas.openxmlformats.org/officeDocument/2006/relationships/hyperlink" Target="https://onlinelibrary.wiley.com/doi/pdf/10.1111/nup.12401"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link.springer.com/content/pdf/10.1186/s12913-021-06262-1.pdf" TargetMode="External" /><Relationship Id="rId5" Type="http://schemas.openxmlformats.org/officeDocument/2006/relationships/footnotes" Target="footnotes.xml" /><Relationship Id="rId15" Type="http://schemas.openxmlformats.org/officeDocument/2006/relationships/hyperlink" Target="https://www.tandfonline.com/doi/pdf/10.1080/17483107.2022.2099987" TargetMode="External" /><Relationship Id="rId10" Type="http://schemas.openxmlformats.org/officeDocument/2006/relationships/hyperlink" Target="https://journals.sagepub.com/doi/pdf/10.1177/13623613241273029" TargetMode="External" /><Relationship Id="rId19"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researchrepository.universityofgalway.ie/bitstreams/ead52f1f-989f-4681-8358-3fc87098c024/download" TargetMode="External" /><Relationship Id="rId14" Type="http://schemas.openxmlformats.org/officeDocument/2006/relationships/hyperlink" Target="https://www.tandfonline.com/doi/pdf/10.1080/13642987.2020.1783533"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5YzDpGlD7DKMNOpIp3gqwjGqwdQ==">CgMxLjAyDmgudmJnYzQ0ZW9rcmI5Mg5oLnB1NDBqZ2JpY3RnbDIOaC5nZXY4MzhrMjZ6MDcyDmguejNrMTlmaG50eWltMg5oLm96NzcweW1wMXVqajIOaC5ucWk5Z3h0bHh6Z3gyDmguZzMweGJpNGNxcHM0OAByITE3M2xHQTh1dF9BYnVRLTlhWE9PM1oxVWJzWmtLeHY1dQ==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2920</Words>
  <Characters>16648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Elena Birzu</cp:lastModifiedBy>
  <cp:revision>2</cp:revision>
  <dcterms:created xsi:type="dcterms:W3CDTF">2025-12-06T08:51:00Z</dcterms:created>
  <dcterms:modified xsi:type="dcterms:W3CDTF">2025-12-06T08:51:00Z</dcterms:modified>
</cp:coreProperties>
</file>