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F24AD" w14:textId="7896BF80" w:rsidR="004B5D99" w:rsidRPr="00DB680C" w:rsidRDefault="00A03239" w:rsidP="004B5D99">
      <w:pPr>
        <w:pBdr>
          <w:bottom w:val="single" w:sz="4" w:space="1" w:color="E32D91" w:themeColor="accent1"/>
        </w:pBdr>
        <w:ind w:left="0"/>
        <w:rPr>
          <w:rFonts w:asciiTheme="majorHAnsi" w:hAnsiTheme="majorHAnsi" w:cstheme="majorHAnsi"/>
          <w:color w:val="808080" w:themeColor="background1" w:themeShade="80"/>
          <w:sz w:val="44"/>
          <w:szCs w:val="44"/>
        </w:rPr>
      </w:pPr>
      <w:r>
        <w:rPr>
          <w:rFonts w:asciiTheme="majorHAnsi" w:hAnsiTheme="majorHAnsi" w:cstheme="majorHAnsi"/>
          <w:noProof/>
          <w:color w:val="808080" w:themeColor="background1" w:themeShade="80"/>
          <w:sz w:val="44"/>
          <w:szCs w:val="44"/>
        </w:rPr>
        <mc:AlternateContent>
          <mc:Choice Requires="wps">
            <w:drawing>
              <wp:anchor distT="0" distB="0" distL="114300" distR="114300" simplePos="0" relativeHeight="251661312" behindDoc="0" locked="0" layoutInCell="1" allowOverlap="1" wp14:anchorId="4A3D7D06" wp14:editId="09D1CC28">
                <wp:simplePos x="0" y="0"/>
                <wp:positionH relativeFrom="column">
                  <wp:posOffset>-873306</wp:posOffset>
                </wp:positionH>
                <wp:positionV relativeFrom="paragraph">
                  <wp:posOffset>-3944892</wp:posOffset>
                </wp:positionV>
                <wp:extent cx="7157085" cy="10278745"/>
                <wp:effectExtent l="0" t="0" r="24765" b="27305"/>
                <wp:wrapNone/>
                <wp:docPr id="4" name="Rectangle 1"/>
                <wp:cNvGraphicFramePr/>
                <a:graphic xmlns:a="http://schemas.openxmlformats.org/drawingml/2006/main">
                  <a:graphicData uri="http://schemas.microsoft.com/office/word/2010/wordprocessingShape">
                    <wps:wsp>
                      <wps:cNvSpPr/>
                      <wps:spPr>
                        <a:xfrm>
                          <a:off x="0" y="0"/>
                          <a:ext cx="7157085" cy="10278745"/>
                        </a:xfrm>
                        <a:prstGeom prst="rect">
                          <a:avLst/>
                        </a:prstGeom>
                        <a:noFill/>
                        <a:ln w="6350">
                          <a:solidFill>
                            <a:srgbClr val="2019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D81126" id="Rectangle 1" o:spid="_x0000_s1026" style="position:absolute;margin-left:-68.75pt;margin-top:-310.6pt;width:563.55pt;height:809.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GY0iAIAAGoFAAAOAAAAZHJzL2Uyb0RvYy54bWysVE1v2zAMvQ/YfxB0X22nSdMGdYqgRYcB&#10;RVusHXpWZCkWIIuapMTJfv0o+SNBV+wwLAeFMslH8onk9c2+0WQnnFdgSlqc5ZQIw6FSZlPSH6/3&#10;Xy4p8YGZimkwoqQH4enN8vOn69YuxARq0JVwBEGMX7S2pHUIdpFlnteiYf4MrDColOAaFvDqNlnl&#10;WIvojc4meX6RteAq64AL7/HrXaeky4QvpeDhSUovAtElxdxCOl061/HMltdssXHM1or3abB/yKJh&#10;ymDQEeqOBUa2Tv0B1SjuwIMMZxyaDKRUXKQasJoif1fNS82sSLUgOd6ONPn/B8sfdy/22SENrfUL&#10;j2KsYi9dE/8xP7JPZB1GssQ+EI4f58Vsnl/OKOGoK/LJ/HI+nUU+s6O/dT58FdCQKJTU4XMkltju&#10;wYfOdDCJ4QzcK63Tk2hD2pJenM/y5OBBqyoqo5l3m/WtdmTH8FGRtqvpeR/3xAyz0AaTOZaVpHDQ&#10;ImJo811IoiosZNJFiB0nRljGuTCh6FQ1q0QXbZbjbwg2eKSSE2BElpjliN0DDJYdyIDdEdDbR1eR&#10;GnZ07kv/m/PokSKDCaNzowy4jyrTWFUfubMfSOqoiSytoTo8O+KgGxdv+b3CB3xgPjwzh/OBk4Qz&#10;H57wkBrwoaCXKKnB/froe7THtkUtJS3OW0n9zy1zghL9zWBDXxXTaRzQdJnO5hO8uFPN+lRjts0t&#10;4OsXuF0sT2K0D3oQpYPmDVfDKkZFFTMcY5eUBzdcbkO3B3C5cLFaJTMcSsvCg3mxPIJHVmODvu7f&#10;mLN9FwecgEcYZpMt3jVzZxs9Day2AaRKnX7ktecbBzo1Tr984sY4vSer44pc/gYAAP//AwBQSwME&#10;FAAGAAgAAAAhAL2D/PfhAAAADQEAAA8AAABkcnMvZG93bnJldi54bWxMj8FOwzAQRO9I/IO1SFxQ&#10;6ySoaR3iVAGJE+JAQGqP29jEEbEdxU4b/p7lBLdZzWjmbblf7MDOegq9dxLSdQJMu9ar3nUSPt6f&#10;VztgIaJTOHinJXzrAPvq+qrEQvmLe9PnJnaMSlwoUIKJcSw4D63RFsPaj9qR9+kni5HOqeNqwguV&#10;24FnSZJzi72jBYOjfjK6/WpmSyPDI8d6e7w7bHg9i5dX4U2jpLy9WeoHYFEv8S8Mv/iEDhUxnfzs&#10;VGCDhFV6v91QllSepRkwyoidyIGdSAjyeFXy/19UPwAAAP//AwBQSwECLQAUAAYACAAAACEAtoM4&#10;kv4AAADhAQAAEwAAAAAAAAAAAAAAAAAAAAAAW0NvbnRlbnRfVHlwZXNdLnhtbFBLAQItABQABgAI&#10;AAAAIQA4/SH/1gAAAJQBAAALAAAAAAAAAAAAAAAAAC8BAABfcmVscy8ucmVsc1BLAQItABQABgAI&#10;AAAAIQBacGY0iAIAAGoFAAAOAAAAAAAAAAAAAAAAAC4CAABkcnMvZTJvRG9jLnhtbFBLAQItABQA&#10;BgAIAAAAIQC9g/z34QAAAA0BAAAPAAAAAAAAAAAAAAAAAOIEAABkcnMvZG93bnJldi54bWxQSwUG&#10;AAAAAAQABADzAAAA8AUAAAAA&#10;" filled="f" strokecolor="#201943" strokeweight=".5pt"/>
            </w:pict>
          </mc:Fallback>
        </mc:AlternateContent>
      </w:r>
    </w:p>
    <w:p w14:paraId="57164173" w14:textId="77777777" w:rsidR="007507A1" w:rsidRPr="00CD13BD" w:rsidRDefault="007507A1" w:rsidP="004B5D99">
      <w:pPr>
        <w:pBdr>
          <w:bottom w:val="single" w:sz="4" w:space="1" w:color="E32D91" w:themeColor="accent1"/>
        </w:pBdr>
        <w:ind w:left="0"/>
        <w:rPr>
          <w:rFonts w:asciiTheme="majorHAnsi" w:hAnsiTheme="majorHAnsi" w:cstheme="majorHAnsi"/>
          <w:color w:val="201943"/>
          <w:sz w:val="44"/>
          <w:szCs w:val="44"/>
        </w:rPr>
      </w:pPr>
      <w:r w:rsidRPr="00CD13BD">
        <w:rPr>
          <w:rFonts w:asciiTheme="majorHAnsi" w:hAnsiTheme="majorHAnsi" w:cstheme="majorHAnsi"/>
          <w:color w:val="201943"/>
          <w:sz w:val="44"/>
          <w:szCs w:val="44"/>
        </w:rPr>
        <w:fldChar w:fldCharType="begin"/>
      </w:r>
      <w:r w:rsidRPr="00CD13BD">
        <w:rPr>
          <w:rFonts w:asciiTheme="majorHAnsi" w:hAnsiTheme="majorHAnsi" w:cstheme="majorHAnsi"/>
          <w:color w:val="201943"/>
          <w:sz w:val="44"/>
          <w:szCs w:val="44"/>
        </w:rPr>
        <w:instrText xml:space="preserve"> DocVariable varAuditTitle </w:instrText>
      </w:r>
      <w:r w:rsidRPr="00CD13BD">
        <w:rPr>
          <w:rFonts w:asciiTheme="majorHAnsi" w:hAnsiTheme="majorHAnsi" w:cstheme="majorHAnsi"/>
          <w:color w:val="201943"/>
          <w:sz w:val="44"/>
          <w:szCs w:val="44"/>
        </w:rPr>
        <w:fldChar w:fldCharType="separate"/>
      </w:r>
      <w:r w:rsidR="00A03239">
        <w:rPr>
          <w:rFonts w:asciiTheme="majorHAnsi" w:hAnsiTheme="majorHAnsi" w:cstheme="majorHAnsi"/>
          <w:color w:val="201943"/>
          <w:sz w:val="44"/>
          <w:szCs w:val="44"/>
        </w:rPr>
        <w:t>Evidence Based Practice</w:t>
      </w:r>
      <w:r w:rsidRPr="00CD13BD">
        <w:rPr>
          <w:rFonts w:asciiTheme="majorHAnsi" w:hAnsiTheme="majorHAnsi" w:cstheme="majorHAnsi"/>
          <w:color w:val="201943"/>
          <w:sz w:val="44"/>
          <w:szCs w:val="44"/>
        </w:rPr>
        <w:fldChar w:fldCharType="end"/>
      </w:r>
    </w:p>
    <w:p w14:paraId="3FA78DED" w14:textId="78F57FCE" w:rsidR="00CD13BD" w:rsidRPr="00A03239" w:rsidRDefault="00A03239" w:rsidP="00A03239">
      <w:pPr>
        <w:ind w:left="0"/>
        <w:rPr>
          <w:rFonts w:cstheme="minorHAnsi"/>
          <w:b/>
          <w:bCs/>
          <w:color w:val="201943"/>
          <w:sz w:val="28"/>
          <w:szCs w:val="28"/>
        </w:rPr>
      </w:pPr>
      <w:r>
        <w:rPr>
          <w:rStyle w:val="IntenseEmphasis"/>
          <w:rFonts w:cstheme="minorHAnsi"/>
          <w:i w:val="0"/>
          <w:iCs w:val="0"/>
          <w:color w:val="201943"/>
          <w:sz w:val="28"/>
          <w:szCs w:val="28"/>
        </w:rPr>
        <w:t xml:space="preserve">CIPD Assignment </w:t>
      </w:r>
    </w:p>
    <w:p w14:paraId="19FCA4BA" w14:textId="77777777" w:rsidR="005E1D9C" w:rsidRPr="00DB680C" w:rsidRDefault="00CD13BD" w:rsidP="002E1F2B">
      <w:r>
        <w:rPr>
          <w:rFonts w:asciiTheme="majorHAnsi" w:hAnsiTheme="majorHAnsi" w:cstheme="majorHAnsi"/>
          <w:noProof/>
          <w:szCs w:val="20"/>
        </w:rPr>
        <w:drawing>
          <wp:anchor distT="0" distB="0" distL="114300" distR="114300" simplePos="0" relativeHeight="251659263" behindDoc="0" locked="0" layoutInCell="1" allowOverlap="1" wp14:anchorId="05BD7031" wp14:editId="509BCD03">
            <wp:simplePos x="0" y="0"/>
            <wp:positionH relativeFrom="column">
              <wp:posOffset>-873306</wp:posOffset>
            </wp:positionH>
            <wp:positionV relativeFrom="paragraph">
              <wp:posOffset>560525</wp:posOffset>
            </wp:positionV>
            <wp:extent cx="7157085" cy="3328216"/>
            <wp:effectExtent l="0" t="0" r="5715" b="5715"/>
            <wp:wrapNone/>
            <wp:docPr id="1604418543" name="Picture 2" descr="A colorful lin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18543" name="Picture 2" descr="A colorful lines on a white background&#10;&#10;Description automatically generated"/>
                    <pic:cNvPicPr/>
                  </pic:nvPicPr>
                  <pic:blipFill rotWithShape="1">
                    <a:blip r:embed="rId11" cstate="print">
                      <a:extLst>
                        <a:ext uri="{28A0092B-C50C-407E-A947-70E740481C1C}">
                          <a14:useLocalDpi xmlns:a14="http://schemas.microsoft.com/office/drawing/2010/main" val="0"/>
                        </a:ext>
                      </a:extLst>
                    </a:blip>
                    <a:srcRect t="28664"/>
                    <a:stretch/>
                  </pic:blipFill>
                  <pic:spPr bwMode="auto">
                    <a:xfrm>
                      <a:off x="0" y="0"/>
                      <a:ext cx="7166386" cy="33325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482F11" w14:textId="77777777" w:rsidR="002E1F2B" w:rsidRPr="00DB680C" w:rsidRDefault="002E1F2B" w:rsidP="002E1F2B">
      <w:pPr>
        <w:sectPr w:rsidR="002E1F2B" w:rsidRPr="00DB680C" w:rsidSect="006810AF">
          <w:footerReference w:type="default" r:id="rId12"/>
          <w:headerReference w:type="first" r:id="rId13"/>
          <w:pgSz w:w="11906" w:h="16838"/>
          <w:pgMar w:top="6521" w:right="3826" w:bottom="1418" w:left="1701" w:header="708" w:footer="708" w:gutter="0"/>
          <w:cols w:space="708"/>
          <w:titlePg/>
          <w:docGrid w:linePitch="360"/>
        </w:sectPr>
      </w:pPr>
    </w:p>
    <w:sdt>
      <w:sdtPr>
        <w:rPr>
          <w:rFonts w:ascii="Arial" w:eastAsiaTheme="minorHAnsi" w:hAnsi="Arial" w:cstheme="minorBidi"/>
          <w:b w:val="0"/>
          <w:bCs w:val="0"/>
          <w:caps w:val="0"/>
          <w:color w:val="auto"/>
          <w:sz w:val="20"/>
          <w:szCs w:val="22"/>
          <w:lang w:val="en-GB" w:eastAsia="en-US"/>
        </w:rPr>
        <w:id w:val="1209617630"/>
        <w:docPartObj>
          <w:docPartGallery w:val="Table of Contents"/>
          <w:docPartUnique/>
        </w:docPartObj>
      </w:sdtPr>
      <w:sdtEndPr/>
      <w:sdtContent>
        <w:p w14:paraId="48425B31" w14:textId="77777777" w:rsidR="006B1A22" w:rsidRPr="00DB680C" w:rsidRDefault="006B1A22" w:rsidP="006B1A22">
          <w:pPr>
            <w:pStyle w:val="TOCHeading"/>
            <w:ind w:left="0"/>
            <w:rPr>
              <w:lang w:val="en-GB"/>
            </w:rPr>
          </w:pPr>
          <w:r w:rsidRPr="00DB680C">
            <w:rPr>
              <w:color w:val="201943"/>
              <w:lang w:val="en-GB"/>
            </w:rPr>
            <w:t>TABLE OF Contents</w:t>
          </w:r>
        </w:p>
        <w:p w14:paraId="63699A5F" w14:textId="26D6F9DE" w:rsidR="00300749" w:rsidRDefault="006B1A22">
          <w:pPr>
            <w:pStyle w:val="TOC1"/>
            <w:rPr>
              <w:rFonts w:asciiTheme="minorHAnsi" w:eastAsiaTheme="minorEastAsia" w:hAnsiTheme="minorHAnsi"/>
              <w:noProof/>
              <w:kern w:val="2"/>
              <w:sz w:val="22"/>
              <w:lang w:eastAsia="en-GB"/>
              <w14:ligatures w14:val="standardContextual"/>
            </w:rPr>
          </w:pPr>
          <w:r w:rsidRPr="00DB680C">
            <w:fldChar w:fldCharType="begin"/>
          </w:r>
          <w:r w:rsidRPr="00DB680C">
            <w:instrText xml:space="preserve"> TOC \o "1-3" \h \z \u </w:instrText>
          </w:r>
          <w:r w:rsidRPr="00DB680C">
            <w:fldChar w:fldCharType="separate"/>
          </w:r>
          <w:hyperlink w:anchor="_Toc152156913" w:history="1">
            <w:r w:rsidR="00300749" w:rsidRPr="00292F9E">
              <w:rPr>
                <w:rStyle w:val="Hyperlink"/>
                <w:noProof/>
              </w:rPr>
              <w:t>Concept of Evidence Based Practice (AC 1.1)</w:t>
            </w:r>
            <w:r w:rsidR="00300749">
              <w:rPr>
                <w:noProof/>
                <w:webHidden/>
              </w:rPr>
              <w:tab/>
            </w:r>
            <w:r w:rsidR="00300749">
              <w:rPr>
                <w:noProof/>
                <w:webHidden/>
              </w:rPr>
              <w:fldChar w:fldCharType="begin"/>
            </w:r>
            <w:r w:rsidR="00300749">
              <w:rPr>
                <w:noProof/>
                <w:webHidden/>
              </w:rPr>
              <w:instrText xml:space="preserve"> PAGEREF _Toc152156913 \h </w:instrText>
            </w:r>
            <w:r w:rsidR="00300749">
              <w:rPr>
                <w:noProof/>
                <w:webHidden/>
              </w:rPr>
            </w:r>
            <w:r w:rsidR="00300749">
              <w:rPr>
                <w:noProof/>
                <w:webHidden/>
              </w:rPr>
              <w:fldChar w:fldCharType="separate"/>
            </w:r>
            <w:r w:rsidR="00300749">
              <w:rPr>
                <w:noProof/>
                <w:webHidden/>
              </w:rPr>
              <w:t>3</w:t>
            </w:r>
            <w:r w:rsidR="00300749">
              <w:rPr>
                <w:noProof/>
                <w:webHidden/>
              </w:rPr>
              <w:fldChar w:fldCharType="end"/>
            </w:r>
          </w:hyperlink>
        </w:p>
        <w:p w14:paraId="65541802" w14:textId="2070FB75" w:rsidR="00300749" w:rsidRDefault="0080394C">
          <w:pPr>
            <w:pStyle w:val="TOC1"/>
            <w:rPr>
              <w:rFonts w:asciiTheme="minorHAnsi" w:eastAsiaTheme="minorEastAsia" w:hAnsiTheme="minorHAnsi"/>
              <w:noProof/>
              <w:kern w:val="2"/>
              <w:sz w:val="22"/>
              <w:lang w:eastAsia="en-GB"/>
              <w14:ligatures w14:val="standardContextual"/>
            </w:rPr>
          </w:pPr>
          <w:hyperlink w:anchor="_Toc152156914" w:history="1">
            <w:r w:rsidR="00300749" w:rsidRPr="00292F9E">
              <w:rPr>
                <w:rStyle w:val="Hyperlink"/>
                <w:noProof/>
              </w:rPr>
              <w:t>Tools and Analysis Methods (AC 1.2)</w:t>
            </w:r>
            <w:r w:rsidR="00300749">
              <w:rPr>
                <w:noProof/>
                <w:webHidden/>
              </w:rPr>
              <w:tab/>
            </w:r>
            <w:r w:rsidR="00300749">
              <w:rPr>
                <w:noProof/>
                <w:webHidden/>
              </w:rPr>
              <w:fldChar w:fldCharType="begin"/>
            </w:r>
            <w:r w:rsidR="00300749">
              <w:rPr>
                <w:noProof/>
                <w:webHidden/>
              </w:rPr>
              <w:instrText xml:space="preserve"> PAGEREF _Toc152156914 \h </w:instrText>
            </w:r>
            <w:r w:rsidR="00300749">
              <w:rPr>
                <w:noProof/>
                <w:webHidden/>
              </w:rPr>
            </w:r>
            <w:r w:rsidR="00300749">
              <w:rPr>
                <w:noProof/>
                <w:webHidden/>
              </w:rPr>
              <w:fldChar w:fldCharType="separate"/>
            </w:r>
            <w:r w:rsidR="00300749">
              <w:rPr>
                <w:noProof/>
                <w:webHidden/>
              </w:rPr>
              <w:t>5</w:t>
            </w:r>
            <w:r w:rsidR="00300749">
              <w:rPr>
                <w:noProof/>
                <w:webHidden/>
              </w:rPr>
              <w:fldChar w:fldCharType="end"/>
            </w:r>
          </w:hyperlink>
        </w:p>
        <w:p w14:paraId="6629FB56" w14:textId="0C1D401B" w:rsidR="00300749" w:rsidRDefault="0080394C">
          <w:pPr>
            <w:pStyle w:val="TOC1"/>
            <w:rPr>
              <w:rFonts w:asciiTheme="minorHAnsi" w:eastAsiaTheme="minorEastAsia" w:hAnsiTheme="minorHAnsi"/>
              <w:noProof/>
              <w:kern w:val="2"/>
              <w:sz w:val="22"/>
              <w:lang w:eastAsia="en-GB"/>
              <w14:ligatures w14:val="standardContextual"/>
            </w:rPr>
          </w:pPr>
          <w:hyperlink w:anchor="_Toc152156915" w:history="1">
            <w:r w:rsidR="00300749" w:rsidRPr="00292F9E">
              <w:rPr>
                <w:rStyle w:val="Hyperlink"/>
                <w:noProof/>
              </w:rPr>
              <w:t>Principles of Critical Thinking (AC 1.3)</w:t>
            </w:r>
            <w:r w:rsidR="00300749">
              <w:rPr>
                <w:noProof/>
                <w:webHidden/>
              </w:rPr>
              <w:tab/>
            </w:r>
            <w:r w:rsidR="00300749">
              <w:rPr>
                <w:noProof/>
                <w:webHidden/>
              </w:rPr>
              <w:fldChar w:fldCharType="begin"/>
            </w:r>
            <w:r w:rsidR="00300749">
              <w:rPr>
                <w:noProof/>
                <w:webHidden/>
              </w:rPr>
              <w:instrText xml:space="preserve"> PAGEREF _Toc152156915 \h </w:instrText>
            </w:r>
            <w:r w:rsidR="00300749">
              <w:rPr>
                <w:noProof/>
                <w:webHidden/>
              </w:rPr>
            </w:r>
            <w:r w:rsidR="00300749">
              <w:rPr>
                <w:noProof/>
                <w:webHidden/>
              </w:rPr>
              <w:fldChar w:fldCharType="separate"/>
            </w:r>
            <w:r w:rsidR="00300749">
              <w:rPr>
                <w:noProof/>
                <w:webHidden/>
              </w:rPr>
              <w:t>5</w:t>
            </w:r>
            <w:r w:rsidR="00300749">
              <w:rPr>
                <w:noProof/>
                <w:webHidden/>
              </w:rPr>
              <w:fldChar w:fldCharType="end"/>
            </w:r>
          </w:hyperlink>
        </w:p>
        <w:p w14:paraId="739C00AF" w14:textId="589666D8" w:rsidR="00300749" w:rsidRDefault="0080394C">
          <w:pPr>
            <w:pStyle w:val="TOC1"/>
            <w:rPr>
              <w:rFonts w:asciiTheme="minorHAnsi" w:eastAsiaTheme="minorEastAsia" w:hAnsiTheme="minorHAnsi"/>
              <w:noProof/>
              <w:kern w:val="2"/>
              <w:sz w:val="22"/>
              <w:lang w:eastAsia="en-GB"/>
              <w14:ligatures w14:val="standardContextual"/>
            </w:rPr>
          </w:pPr>
          <w:hyperlink w:anchor="_Toc152156916" w:history="1">
            <w:r w:rsidR="00300749" w:rsidRPr="00292F9E">
              <w:rPr>
                <w:rStyle w:val="Hyperlink"/>
                <w:noProof/>
              </w:rPr>
              <w:t>Decision making processes (AC 1.4)</w:t>
            </w:r>
            <w:r w:rsidR="00300749">
              <w:rPr>
                <w:noProof/>
                <w:webHidden/>
              </w:rPr>
              <w:tab/>
            </w:r>
            <w:r w:rsidR="00300749">
              <w:rPr>
                <w:noProof/>
                <w:webHidden/>
              </w:rPr>
              <w:fldChar w:fldCharType="begin"/>
            </w:r>
            <w:r w:rsidR="00300749">
              <w:rPr>
                <w:noProof/>
                <w:webHidden/>
              </w:rPr>
              <w:instrText xml:space="preserve"> PAGEREF _Toc152156916 \h </w:instrText>
            </w:r>
            <w:r w:rsidR="00300749">
              <w:rPr>
                <w:noProof/>
                <w:webHidden/>
              </w:rPr>
            </w:r>
            <w:r w:rsidR="00300749">
              <w:rPr>
                <w:noProof/>
                <w:webHidden/>
              </w:rPr>
              <w:fldChar w:fldCharType="separate"/>
            </w:r>
            <w:r w:rsidR="00300749">
              <w:rPr>
                <w:noProof/>
                <w:webHidden/>
              </w:rPr>
              <w:t>6</w:t>
            </w:r>
            <w:r w:rsidR="00300749">
              <w:rPr>
                <w:noProof/>
                <w:webHidden/>
              </w:rPr>
              <w:fldChar w:fldCharType="end"/>
            </w:r>
          </w:hyperlink>
        </w:p>
        <w:p w14:paraId="42D32FBC" w14:textId="456A5626" w:rsidR="00300749" w:rsidRDefault="0080394C">
          <w:pPr>
            <w:pStyle w:val="TOC1"/>
            <w:rPr>
              <w:rFonts w:asciiTheme="minorHAnsi" w:eastAsiaTheme="minorEastAsia" w:hAnsiTheme="minorHAnsi"/>
              <w:noProof/>
              <w:kern w:val="2"/>
              <w:sz w:val="22"/>
              <w:lang w:eastAsia="en-GB"/>
              <w14:ligatures w14:val="standardContextual"/>
            </w:rPr>
          </w:pPr>
          <w:hyperlink w:anchor="_Toc152156917" w:history="1">
            <w:r w:rsidR="00300749" w:rsidRPr="00292F9E">
              <w:rPr>
                <w:rStyle w:val="Hyperlink"/>
                <w:noProof/>
              </w:rPr>
              <w:t>Ethical Perspectives (AC 1.5)</w:t>
            </w:r>
            <w:r w:rsidR="00300749">
              <w:rPr>
                <w:noProof/>
                <w:webHidden/>
              </w:rPr>
              <w:tab/>
            </w:r>
            <w:r w:rsidR="00300749">
              <w:rPr>
                <w:noProof/>
                <w:webHidden/>
              </w:rPr>
              <w:fldChar w:fldCharType="begin"/>
            </w:r>
            <w:r w:rsidR="00300749">
              <w:rPr>
                <w:noProof/>
                <w:webHidden/>
              </w:rPr>
              <w:instrText xml:space="preserve"> PAGEREF _Toc152156917 \h </w:instrText>
            </w:r>
            <w:r w:rsidR="00300749">
              <w:rPr>
                <w:noProof/>
                <w:webHidden/>
              </w:rPr>
            </w:r>
            <w:r w:rsidR="00300749">
              <w:rPr>
                <w:noProof/>
                <w:webHidden/>
              </w:rPr>
              <w:fldChar w:fldCharType="separate"/>
            </w:r>
            <w:r w:rsidR="00300749">
              <w:rPr>
                <w:noProof/>
                <w:webHidden/>
              </w:rPr>
              <w:t>7</w:t>
            </w:r>
            <w:r w:rsidR="00300749">
              <w:rPr>
                <w:noProof/>
                <w:webHidden/>
              </w:rPr>
              <w:fldChar w:fldCharType="end"/>
            </w:r>
          </w:hyperlink>
        </w:p>
        <w:p w14:paraId="3ADB2A5F" w14:textId="6274868C" w:rsidR="00300749" w:rsidRDefault="0080394C">
          <w:pPr>
            <w:pStyle w:val="TOC1"/>
            <w:rPr>
              <w:rFonts w:asciiTheme="minorHAnsi" w:eastAsiaTheme="minorEastAsia" w:hAnsiTheme="minorHAnsi"/>
              <w:noProof/>
              <w:kern w:val="2"/>
              <w:sz w:val="22"/>
              <w:lang w:eastAsia="en-GB"/>
              <w14:ligatures w14:val="standardContextual"/>
            </w:rPr>
          </w:pPr>
          <w:hyperlink w:anchor="_Toc152156918" w:history="1">
            <w:r w:rsidR="00300749" w:rsidRPr="00292F9E">
              <w:rPr>
                <w:rStyle w:val="Hyperlink"/>
                <w:noProof/>
              </w:rPr>
              <w:t>Measurement of Performance (AC 3.1)</w:t>
            </w:r>
            <w:r w:rsidR="00300749">
              <w:rPr>
                <w:noProof/>
                <w:webHidden/>
              </w:rPr>
              <w:tab/>
            </w:r>
            <w:r w:rsidR="00300749">
              <w:rPr>
                <w:noProof/>
                <w:webHidden/>
              </w:rPr>
              <w:fldChar w:fldCharType="begin"/>
            </w:r>
            <w:r w:rsidR="00300749">
              <w:rPr>
                <w:noProof/>
                <w:webHidden/>
              </w:rPr>
              <w:instrText xml:space="preserve"> PAGEREF _Toc152156918 \h </w:instrText>
            </w:r>
            <w:r w:rsidR="00300749">
              <w:rPr>
                <w:noProof/>
                <w:webHidden/>
              </w:rPr>
            </w:r>
            <w:r w:rsidR="00300749">
              <w:rPr>
                <w:noProof/>
                <w:webHidden/>
              </w:rPr>
              <w:fldChar w:fldCharType="separate"/>
            </w:r>
            <w:r w:rsidR="00300749">
              <w:rPr>
                <w:noProof/>
                <w:webHidden/>
              </w:rPr>
              <w:t>8</w:t>
            </w:r>
            <w:r w:rsidR="00300749">
              <w:rPr>
                <w:noProof/>
                <w:webHidden/>
              </w:rPr>
              <w:fldChar w:fldCharType="end"/>
            </w:r>
          </w:hyperlink>
        </w:p>
        <w:p w14:paraId="04F547A5" w14:textId="601E2BFF" w:rsidR="00300749" w:rsidRDefault="0080394C">
          <w:pPr>
            <w:pStyle w:val="TOC1"/>
            <w:rPr>
              <w:rFonts w:asciiTheme="minorHAnsi" w:eastAsiaTheme="minorEastAsia" w:hAnsiTheme="minorHAnsi"/>
              <w:noProof/>
              <w:kern w:val="2"/>
              <w:sz w:val="22"/>
              <w:lang w:eastAsia="en-GB"/>
              <w14:ligatures w14:val="standardContextual"/>
            </w:rPr>
          </w:pPr>
          <w:hyperlink w:anchor="_Toc152156919" w:history="1">
            <w:r w:rsidR="00300749" w:rsidRPr="00292F9E">
              <w:rPr>
                <w:rStyle w:val="Hyperlink"/>
                <w:noProof/>
              </w:rPr>
              <w:t>Adding Value (AC 3.2)</w:t>
            </w:r>
            <w:r w:rsidR="00300749">
              <w:rPr>
                <w:noProof/>
                <w:webHidden/>
              </w:rPr>
              <w:tab/>
            </w:r>
            <w:r w:rsidR="00300749">
              <w:rPr>
                <w:noProof/>
                <w:webHidden/>
              </w:rPr>
              <w:fldChar w:fldCharType="begin"/>
            </w:r>
            <w:r w:rsidR="00300749">
              <w:rPr>
                <w:noProof/>
                <w:webHidden/>
              </w:rPr>
              <w:instrText xml:space="preserve"> PAGEREF _Toc152156919 \h </w:instrText>
            </w:r>
            <w:r w:rsidR="00300749">
              <w:rPr>
                <w:noProof/>
                <w:webHidden/>
              </w:rPr>
            </w:r>
            <w:r w:rsidR="00300749">
              <w:rPr>
                <w:noProof/>
                <w:webHidden/>
              </w:rPr>
              <w:fldChar w:fldCharType="separate"/>
            </w:r>
            <w:r w:rsidR="00300749">
              <w:rPr>
                <w:noProof/>
                <w:webHidden/>
              </w:rPr>
              <w:t>9</w:t>
            </w:r>
            <w:r w:rsidR="00300749">
              <w:rPr>
                <w:noProof/>
                <w:webHidden/>
              </w:rPr>
              <w:fldChar w:fldCharType="end"/>
            </w:r>
          </w:hyperlink>
        </w:p>
        <w:p w14:paraId="50CA4335" w14:textId="4B55A64C" w:rsidR="00300749" w:rsidRDefault="0080394C">
          <w:pPr>
            <w:pStyle w:val="TOC1"/>
            <w:rPr>
              <w:rFonts w:asciiTheme="minorHAnsi" w:eastAsiaTheme="minorEastAsia" w:hAnsiTheme="minorHAnsi"/>
              <w:noProof/>
              <w:kern w:val="2"/>
              <w:sz w:val="22"/>
              <w:lang w:eastAsia="en-GB"/>
              <w14:ligatures w14:val="standardContextual"/>
            </w:rPr>
          </w:pPr>
          <w:hyperlink w:anchor="_Toc152156920" w:history="1">
            <w:r w:rsidR="00300749" w:rsidRPr="00292F9E">
              <w:rPr>
                <w:rStyle w:val="Hyperlink"/>
                <w:noProof/>
              </w:rPr>
              <w:t>Quantitative and qualitative analysis review (</w:t>
            </w:r>
            <w:r w:rsidR="00300749">
              <w:rPr>
                <w:rStyle w:val="Hyperlink"/>
                <w:noProof/>
              </w:rPr>
              <w:t>A</w:t>
            </w:r>
            <w:r w:rsidR="00300749" w:rsidRPr="00292F9E">
              <w:rPr>
                <w:rStyle w:val="Hyperlink"/>
                <w:noProof/>
              </w:rPr>
              <w:t>C 2)</w:t>
            </w:r>
            <w:r w:rsidR="00300749">
              <w:rPr>
                <w:noProof/>
                <w:webHidden/>
              </w:rPr>
              <w:tab/>
            </w:r>
            <w:r w:rsidR="00300749">
              <w:rPr>
                <w:noProof/>
                <w:webHidden/>
              </w:rPr>
              <w:fldChar w:fldCharType="begin"/>
            </w:r>
            <w:r w:rsidR="00300749">
              <w:rPr>
                <w:noProof/>
                <w:webHidden/>
              </w:rPr>
              <w:instrText xml:space="preserve"> PAGEREF _Toc152156920 \h </w:instrText>
            </w:r>
            <w:r w:rsidR="00300749">
              <w:rPr>
                <w:noProof/>
                <w:webHidden/>
              </w:rPr>
            </w:r>
            <w:r w:rsidR="00300749">
              <w:rPr>
                <w:noProof/>
                <w:webHidden/>
              </w:rPr>
              <w:fldChar w:fldCharType="separate"/>
            </w:r>
            <w:r w:rsidR="00300749">
              <w:rPr>
                <w:noProof/>
                <w:webHidden/>
              </w:rPr>
              <w:t>10</w:t>
            </w:r>
            <w:r w:rsidR="00300749">
              <w:rPr>
                <w:noProof/>
                <w:webHidden/>
              </w:rPr>
              <w:fldChar w:fldCharType="end"/>
            </w:r>
          </w:hyperlink>
        </w:p>
        <w:p w14:paraId="7A811FEB" w14:textId="030FD544" w:rsidR="00300749" w:rsidRDefault="0080394C">
          <w:pPr>
            <w:pStyle w:val="TOC1"/>
            <w:rPr>
              <w:rFonts w:asciiTheme="minorHAnsi" w:eastAsiaTheme="minorEastAsia" w:hAnsiTheme="minorHAnsi"/>
              <w:noProof/>
              <w:kern w:val="2"/>
              <w:sz w:val="22"/>
              <w:lang w:eastAsia="en-GB"/>
              <w14:ligatures w14:val="standardContextual"/>
            </w:rPr>
          </w:pPr>
          <w:hyperlink w:anchor="_Toc152156921" w:history="1">
            <w:r w:rsidR="00300749" w:rsidRPr="00292F9E">
              <w:rPr>
                <w:rStyle w:val="Hyperlink"/>
                <w:noProof/>
              </w:rPr>
              <w:t>D</w:t>
            </w:r>
            <w:r w:rsidR="00300749">
              <w:rPr>
                <w:rStyle w:val="Hyperlink"/>
                <w:noProof/>
              </w:rPr>
              <w:t>a</w:t>
            </w:r>
            <w:r w:rsidR="00300749" w:rsidRPr="00292F9E">
              <w:rPr>
                <w:rStyle w:val="Hyperlink"/>
                <w:noProof/>
              </w:rPr>
              <w:t xml:space="preserve">ta set </w:t>
            </w:r>
            <w:r w:rsidR="00300749">
              <w:rPr>
                <w:rStyle w:val="Hyperlink"/>
                <w:noProof/>
              </w:rPr>
              <w:t>O</w:t>
            </w:r>
            <w:r w:rsidR="00300749" w:rsidRPr="00292F9E">
              <w:rPr>
                <w:rStyle w:val="Hyperlink"/>
                <w:noProof/>
              </w:rPr>
              <w:t>ne</w:t>
            </w:r>
            <w:r w:rsidR="00300749">
              <w:rPr>
                <w:rStyle w:val="Hyperlink"/>
                <w:noProof/>
              </w:rPr>
              <w:tab/>
            </w:r>
            <w:r w:rsidR="00300749">
              <w:rPr>
                <w:noProof/>
                <w:webHidden/>
              </w:rPr>
              <w:tab/>
            </w:r>
            <w:r w:rsidR="00300749">
              <w:rPr>
                <w:noProof/>
                <w:webHidden/>
              </w:rPr>
              <w:fldChar w:fldCharType="begin"/>
            </w:r>
            <w:r w:rsidR="00300749">
              <w:rPr>
                <w:noProof/>
                <w:webHidden/>
              </w:rPr>
              <w:instrText xml:space="preserve"> PAGEREF _Toc152156921 \h </w:instrText>
            </w:r>
            <w:r w:rsidR="00300749">
              <w:rPr>
                <w:noProof/>
                <w:webHidden/>
              </w:rPr>
            </w:r>
            <w:r w:rsidR="00300749">
              <w:rPr>
                <w:noProof/>
                <w:webHidden/>
              </w:rPr>
              <w:fldChar w:fldCharType="separate"/>
            </w:r>
            <w:r w:rsidR="00300749">
              <w:rPr>
                <w:noProof/>
                <w:webHidden/>
              </w:rPr>
              <w:t>10</w:t>
            </w:r>
            <w:r w:rsidR="00300749">
              <w:rPr>
                <w:noProof/>
                <w:webHidden/>
              </w:rPr>
              <w:fldChar w:fldCharType="end"/>
            </w:r>
          </w:hyperlink>
        </w:p>
        <w:p w14:paraId="46B26824" w14:textId="117551FF" w:rsidR="00300749" w:rsidRDefault="0080394C">
          <w:pPr>
            <w:pStyle w:val="TOC1"/>
            <w:rPr>
              <w:rFonts w:asciiTheme="minorHAnsi" w:eastAsiaTheme="minorEastAsia" w:hAnsiTheme="minorHAnsi"/>
              <w:noProof/>
              <w:kern w:val="2"/>
              <w:sz w:val="22"/>
              <w:lang w:eastAsia="en-GB"/>
              <w14:ligatures w14:val="standardContextual"/>
            </w:rPr>
          </w:pPr>
          <w:hyperlink w:anchor="_Toc152156922" w:history="1">
            <w:r w:rsidR="00300749" w:rsidRPr="00292F9E">
              <w:rPr>
                <w:rStyle w:val="Hyperlink"/>
                <w:noProof/>
              </w:rPr>
              <w:t>Data set T</w:t>
            </w:r>
            <w:r w:rsidR="00300749">
              <w:rPr>
                <w:rStyle w:val="Hyperlink"/>
                <w:noProof/>
              </w:rPr>
              <w:t>wo</w:t>
            </w:r>
            <w:r w:rsidR="00300749">
              <w:rPr>
                <w:noProof/>
                <w:webHidden/>
              </w:rPr>
              <w:tab/>
            </w:r>
            <w:r w:rsidR="00300749">
              <w:rPr>
                <w:noProof/>
                <w:webHidden/>
              </w:rPr>
              <w:tab/>
            </w:r>
            <w:r w:rsidR="00300749">
              <w:rPr>
                <w:noProof/>
                <w:webHidden/>
              </w:rPr>
              <w:fldChar w:fldCharType="begin"/>
            </w:r>
            <w:r w:rsidR="00300749">
              <w:rPr>
                <w:noProof/>
                <w:webHidden/>
              </w:rPr>
              <w:instrText xml:space="preserve"> PAGEREF _Toc152156922 \h </w:instrText>
            </w:r>
            <w:r w:rsidR="00300749">
              <w:rPr>
                <w:noProof/>
                <w:webHidden/>
              </w:rPr>
            </w:r>
            <w:r w:rsidR="00300749">
              <w:rPr>
                <w:noProof/>
                <w:webHidden/>
              </w:rPr>
              <w:fldChar w:fldCharType="separate"/>
            </w:r>
            <w:r w:rsidR="00300749">
              <w:rPr>
                <w:noProof/>
                <w:webHidden/>
              </w:rPr>
              <w:t>15</w:t>
            </w:r>
            <w:r w:rsidR="00300749">
              <w:rPr>
                <w:noProof/>
                <w:webHidden/>
              </w:rPr>
              <w:fldChar w:fldCharType="end"/>
            </w:r>
          </w:hyperlink>
        </w:p>
        <w:p w14:paraId="45520AF7" w14:textId="6B20CA6E" w:rsidR="00300749" w:rsidRDefault="0080394C">
          <w:pPr>
            <w:pStyle w:val="TOC1"/>
            <w:rPr>
              <w:rFonts w:asciiTheme="minorHAnsi" w:eastAsiaTheme="minorEastAsia" w:hAnsiTheme="minorHAnsi"/>
              <w:noProof/>
              <w:kern w:val="2"/>
              <w:sz w:val="22"/>
              <w:lang w:eastAsia="en-GB"/>
              <w14:ligatures w14:val="standardContextual"/>
            </w:rPr>
          </w:pPr>
          <w:hyperlink w:anchor="_Toc152156923" w:history="1">
            <w:r w:rsidR="00300749" w:rsidRPr="00292F9E">
              <w:rPr>
                <w:rStyle w:val="Hyperlink"/>
                <w:noProof/>
              </w:rPr>
              <w:t>Reference List</w:t>
            </w:r>
            <w:r w:rsidR="00300749">
              <w:rPr>
                <w:noProof/>
                <w:webHidden/>
              </w:rPr>
              <w:tab/>
            </w:r>
            <w:r w:rsidR="00300749">
              <w:rPr>
                <w:noProof/>
                <w:webHidden/>
              </w:rPr>
              <w:tab/>
            </w:r>
            <w:r w:rsidR="00300749">
              <w:rPr>
                <w:noProof/>
                <w:webHidden/>
              </w:rPr>
              <w:fldChar w:fldCharType="begin"/>
            </w:r>
            <w:r w:rsidR="00300749">
              <w:rPr>
                <w:noProof/>
                <w:webHidden/>
              </w:rPr>
              <w:instrText xml:space="preserve"> PAGEREF _Toc152156923 \h </w:instrText>
            </w:r>
            <w:r w:rsidR="00300749">
              <w:rPr>
                <w:noProof/>
                <w:webHidden/>
              </w:rPr>
            </w:r>
            <w:r w:rsidR="00300749">
              <w:rPr>
                <w:noProof/>
                <w:webHidden/>
              </w:rPr>
              <w:fldChar w:fldCharType="separate"/>
            </w:r>
            <w:r w:rsidR="00300749">
              <w:rPr>
                <w:noProof/>
                <w:webHidden/>
              </w:rPr>
              <w:t>17</w:t>
            </w:r>
            <w:r w:rsidR="00300749">
              <w:rPr>
                <w:noProof/>
                <w:webHidden/>
              </w:rPr>
              <w:fldChar w:fldCharType="end"/>
            </w:r>
          </w:hyperlink>
        </w:p>
        <w:p w14:paraId="06514151" w14:textId="777B700E" w:rsidR="006B1A22" w:rsidRPr="00DB680C" w:rsidRDefault="006B1A22" w:rsidP="006B1A22">
          <w:pPr>
            <w:ind w:left="0"/>
          </w:pPr>
          <w:r w:rsidRPr="00DB680C">
            <w:rPr>
              <w:b/>
              <w:bCs/>
            </w:rPr>
            <w:fldChar w:fldCharType="end"/>
          </w:r>
        </w:p>
      </w:sdtContent>
    </w:sdt>
    <w:p w14:paraId="764364FD" w14:textId="77777777" w:rsidR="006B1A22" w:rsidRPr="00DB680C" w:rsidRDefault="006B1A22" w:rsidP="007B3977">
      <w:pPr>
        <w:tabs>
          <w:tab w:val="left" w:pos="-720"/>
        </w:tabs>
        <w:suppressAutoHyphens/>
        <w:rPr>
          <w:rFonts w:cs="Arial"/>
          <w:color w:val="000000"/>
          <w:sz w:val="18"/>
          <w:szCs w:val="18"/>
        </w:rPr>
      </w:pPr>
    </w:p>
    <w:p w14:paraId="3A546CB6" w14:textId="77777777" w:rsidR="00A03239" w:rsidRDefault="00A03239" w:rsidP="00A03239">
      <w:pPr>
        <w:pStyle w:val="BodyText"/>
        <w:spacing w:before="120" w:after="120" w:line="276" w:lineRule="auto"/>
        <w:ind w:right="283"/>
        <w:rPr>
          <w:b/>
          <w:bCs/>
        </w:rPr>
      </w:pPr>
    </w:p>
    <w:p w14:paraId="609F4318" w14:textId="77777777" w:rsidR="00A03239" w:rsidRDefault="00A03239" w:rsidP="00A03239">
      <w:pPr>
        <w:pStyle w:val="BodyText"/>
        <w:spacing w:before="120" w:after="120" w:line="276" w:lineRule="auto"/>
        <w:ind w:right="283"/>
        <w:rPr>
          <w:b/>
          <w:bCs/>
        </w:rPr>
      </w:pPr>
    </w:p>
    <w:p w14:paraId="52C05FA2" w14:textId="77777777" w:rsidR="00A03239" w:rsidRDefault="00A03239" w:rsidP="00A03239">
      <w:pPr>
        <w:pStyle w:val="BodyText"/>
        <w:spacing w:before="120" w:after="120" w:line="276" w:lineRule="auto"/>
        <w:ind w:right="283"/>
        <w:rPr>
          <w:b/>
          <w:bCs/>
        </w:rPr>
      </w:pPr>
    </w:p>
    <w:p w14:paraId="5C187D62" w14:textId="13C58A72" w:rsidR="00A03239" w:rsidRDefault="00A03239" w:rsidP="00A03239">
      <w:pPr>
        <w:pStyle w:val="BodyText"/>
        <w:tabs>
          <w:tab w:val="left" w:pos="4183"/>
        </w:tabs>
        <w:spacing w:before="120" w:after="120" w:line="276" w:lineRule="auto"/>
        <w:ind w:right="283"/>
        <w:rPr>
          <w:b/>
          <w:bCs/>
        </w:rPr>
      </w:pPr>
      <w:r>
        <w:rPr>
          <w:b/>
          <w:bCs/>
        </w:rPr>
        <w:tab/>
      </w:r>
    </w:p>
    <w:p w14:paraId="332551A2" w14:textId="77777777" w:rsidR="00A03239" w:rsidRDefault="00A03239" w:rsidP="00A03239">
      <w:pPr>
        <w:pStyle w:val="BodyText"/>
        <w:spacing w:before="120" w:after="120" w:line="276" w:lineRule="auto"/>
        <w:ind w:right="283"/>
        <w:rPr>
          <w:b/>
          <w:bCs/>
        </w:rPr>
      </w:pPr>
    </w:p>
    <w:p w14:paraId="1F580725" w14:textId="77777777" w:rsidR="00A03239" w:rsidRDefault="00A03239" w:rsidP="00A03239">
      <w:pPr>
        <w:pStyle w:val="BodyText"/>
        <w:spacing w:before="120" w:after="120" w:line="276" w:lineRule="auto"/>
        <w:ind w:right="283"/>
        <w:rPr>
          <w:b/>
          <w:bCs/>
        </w:rPr>
      </w:pPr>
    </w:p>
    <w:p w14:paraId="7D0A1777" w14:textId="77777777" w:rsidR="00A03239" w:rsidRDefault="00A03239" w:rsidP="00A03239">
      <w:pPr>
        <w:pStyle w:val="BodyText"/>
        <w:spacing w:before="120" w:after="120" w:line="276" w:lineRule="auto"/>
        <w:ind w:right="283"/>
        <w:rPr>
          <w:b/>
          <w:bCs/>
        </w:rPr>
      </w:pPr>
    </w:p>
    <w:p w14:paraId="4FDBFAD5" w14:textId="77777777" w:rsidR="00A03239" w:rsidRDefault="00A03239" w:rsidP="00A03239">
      <w:pPr>
        <w:pStyle w:val="BodyText"/>
        <w:spacing w:before="120" w:after="120" w:line="276" w:lineRule="auto"/>
        <w:ind w:right="283"/>
        <w:rPr>
          <w:b/>
          <w:bCs/>
        </w:rPr>
      </w:pPr>
    </w:p>
    <w:p w14:paraId="41502BF9" w14:textId="77777777" w:rsidR="00A03239" w:rsidRDefault="00A03239" w:rsidP="00A03239">
      <w:pPr>
        <w:pStyle w:val="BodyText"/>
        <w:spacing w:before="120" w:after="120" w:line="276" w:lineRule="auto"/>
        <w:ind w:right="283"/>
        <w:rPr>
          <w:b/>
          <w:bCs/>
        </w:rPr>
      </w:pPr>
    </w:p>
    <w:p w14:paraId="7A162799" w14:textId="77777777" w:rsidR="00A03239" w:rsidRDefault="00A03239" w:rsidP="00A03239">
      <w:pPr>
        <w:pStyle w:val="BodyText"/>
        <w:spacing w:before="120" w:after="120" w:line="276" w:lineRule="auto"/>
        <w:ind w:right="283"/>
        <w:rPr>
          <w:b/>
          <w:bCs/>
        </w:rPr>
      </w:pPr>
    </w:p>
    <w:p w14:paraId="1BE3455A" w14:textId="77777777" w:rsidR="00A03239" w:rsidRDefault="00A03239" w:rsidP="00A03239">
      <w:pPr>
        <w:pStyle w:val="BodyText"/>
        <w:spacing w:before="120" w:after="120" w:line="276" w:lineRule="auto"/>
        <w:ind w:right="283"/>
        <w:rPr>
          <w:b/>
          <w:bCs/>
        </w:rPr>
      </w:pPr>
    </w:p>
    <w:p w14:paraId="03B108C9" w14:textId="77777777" w:rsidR="00A03239" w:rsidRDefault="00A03239" w:rsidP="00A03239">
      <w:pPr>
        <w:pStyle w:val="BodyText"/>
        <w:spacing w:before="120" w:after="120" w:line="276" w:lineRule="auto"/>
        <w:ind w:right="283"/>
        <w:rPr>
          <w:b/>
          <w:bCs/>
        </w:rPr>
      </w:pPr>
    </w:p>
    <w:p w14:paraId="15C10648" w14:textId="77777777" w:rsidR="0063619C" w:rsidRDefault="0063619C" w:rsidP="00A03239">
      <w:pPr>
        <w:pStyle w:val="BodyText"/>
        <w:spacing w:before="120" w:after="120" w:line="276" w:lineRule="auto"/>
        <w:ind w:right="283"/>
        <w:rPr>
          <w:b/>
          <w:bCs/>
        </w:rPr>
      </w:pPr>
    </w:p>
    <w:p w14:paraId="021156AE" w14:textId="77777777" w:rsidR="0063619C" w:rsidRDefault="0063619C" w:rsidP="00A03239">
      <w:pPr>
        <w:pStyle w:val="BodyText"/>
        <w:spacing w:before="120" w:after="120" w:line="276" w:lineRule="auto"/>
        <w:ind w:right="283"/>
        <w:rPr>
          <w:b/>
          <w:bCs/>
        </w:rPr>
      </w:pPr>
    </w:p>
    <w:p w14:paraId="4E06B945" w14:textId="77777777" w:rsidR="0063619C" w:rsidRDefault="0063619C" w:rsidP="00A03239">
      <w:pPr>
        <w:pStyle w:val="BodyText"/>
        <w:spacing w:before="120" w:after="120" w:line="276" w:lineRule="auto"/>
        <w:ind w:right="283"/>
        <w:rPr>
          <w:b/>
          <w:bCs/>
        </w:rPr>
      </w:pPr>
    </w:p>
    <w:p w14:paraId="66C4202B" w14:textId="77777777" w:rsidR="00A03239" w:rsidRDefault="00A03239" w:rsidP="00A03239">
      <w:pPr>
        <w:pStyle w:val="BodyText"/>
        <w:spacing w:before="120" w:after="120" w:line="276" w:lineRule="auto"/>
        <w:ind w:right="283"/>
        <w:rPr>
          <w:b/>
          <w:bCs/>
        </w:rPr>
      </w:pPr>
    </w:p>
    <w:p w14:paraId="2BB74A55" w14:textId="77777777" w:rsidR="00A03239" w:rsidRDefault="00A03239" w:rsidP="00A03239">
      <w:pPr>
        <w:pStyle w:val="BodyText"/>
        <w:spacing w:before="120" w:after="120" w:line="276" w:lineRule="auto"/>
        <w:ind w:right="283"/>
        <w:rPr>
          <w:b/>
          <w:bCs/>
        </w:rPr>
      </w:pPr>
    </w:p>
    <w:p w14:paraId="16A56629" w14:textId="77777777" w:rsidR="00A03239" w:rsidRDefault="00A03239" w:rsidP="00A03239">
      <w:pPr>
        <w:pStyle w:val="BodyText"/>
        <w:spacing w:before="120" w:after="120" w:line="276" w:lineRule="auto"/>
        <w:ind w:right="283"/>
        <w:rPr>
          <w:b/>
          <w:bCs/>
        </w:rPr>
      </w:pPr>
    </w:p>
    <w:p w14:paraId="59276A28" w14:textId="77777777" w:rsidR="00300749" w:rsidRDefault="00300749" w:rsidP="007D1406">
      <w:pPr>
        <w:pStyle w:val="BodyText"/>
        <w:spacing w:before="120" w:after="120" w:line="276" w:lineRule="auto"/>
        <w:ind w:left="0" w:right="283"/>
        <w:rPr>
          <w:b/>
          <w:bCs/>
        </w:rPr>
      </w:pPr>
    </w:p>
    <w:p w14:paraId="0424554A" w14:textId="77777777" w:rsidR="00300749" w:rsidRDefault="00300749" w:rsidP="00300749">
      <w:pPr>
        <w:pStyle w:val="Heading1"/>
        <w:keepLines w:val="0"/>
        <w:tabs>
          <w:tab w:val="left" w:pos="709"/>
        </w:tabs>
        <w:spacing w:before="120" w:after="120" w:line="240" w:lineRule="auto"/>
        <w:ind w:left="720"/>
        <w:jc w:val="both"/>
        <w:rPr>
          <w:color w:val="201943"/>
        </w:rPr>
      </w:pPr>
      <w:bookmarkStart w:id="0" w:name="_Toc152066869"/>
      <w:bookmarkStart w:id="1" w:name="_Toc152156913"/>
      <w:r w:rsidRPr="00A03239">
        <w:rPr>
          <w:color w:val="201943"/>
        </w:rPr>
        <w:lastRenderedPageBreak/>
        <w:t>Concept of Evidence Based Practice (AC 1.1)</w:t>
      </w:r>
      <w:bookmarkEnd w:id="0"/>
      <w:bookmarkEnd w:id="1"/>
      <w:r>
        <w:rPr>
          <w:color w:val="201943"/>
        </w:rPr>
        <w:t xml:space="preserve"> </w:t>
      </w:r>
    </w:p>
    <w:p w14:paraId="00E8A285" w14:textId="28CABF5E" w:rsidR="00300749" w:rsidRPr="002878C8" w:rsidRDefault="00300749" w:rsidP="00300749">
      <w:pPr>
        <w:spacing w:before="120" w:after="120"/>
        <w:rPr>
          <w:rFonts w:cs="Arial"/>
          <w:color w:val="202020"/>
          <w:szCs w:val="20"/>
          <w:shd w:val="clear" w:color="auto" w:fill="FFFFFF"/>
        </w:rPr>
      </w:pPr>
      <w:r w:rsidRPr="002878C8">
        <w:t>Human capital, diversity, talent management and retention</w:t>
      </w:r>
      <w:r w:rsidRPr="002878C8">
        <w:rPr>
          <w:rFonts w:cs="Arial"/>
          <w:color w:val="202020"/>
          <w:szCs w:val="20"/>
          <w:shd w:val="clear" w:color="auto" w:fill="FFFFFF"/>
        </w:rPr>
        <w:t xml:space="preserve"> are collectively ranked as the second highest risk factors to</w:t>
      </w:r>
      <w:r>
        <w:rPr>
          <w:rFonts w:cs="Arial"/>
          <w:color w:val="202020"/>
          <w:szCs w:val="20"/>
          <w:shd w:val="clear" w:color="auto" w:fill="FFFFFF"/>
        </w:rPr>
        <w:t xml:space="preserve"> a</w:t>
      </w:r>
      <w:r w:rsidRPr="002878C8">
        <w:rPr>
          <w:rFonts w:cs="Arial"/>
          <w:color w:val="202020"/>
          <w:szCs w:val="20"/>
          <w:shd w:val="clear" w:color="auto" w:fill="FFFFFF"/>
        </w:rPr>
        <w:t xml:space="preserve"> businesses’ ability to achieve </w:t>
      </w:r>
      <w:r>
        <w:rPr>
          <w:rFonts w:cs="Arial"/>
          <w:color w:val="202020"/>
          <w:szCs w:val="20"/>
          <w:shd w:val="clear" w:color="auto" w:fill="FFFFFF"/>
        </w:rPr>
        <w:t xml:space="preserve">its </w:t>
      </w:r>
      <w:r w:rsidRPr="002878C8">
        <w:rPr>
          <w:rFonts w:cs="Arial"/>
          <w:color w:val="202020"/>
          <w:szCs w:val="20"/>
          <w:shd w:val="clear" w:color="auto" w:fill="FFFFFF"/>
        </w:rPr>
        <w:t>objectives (</w:t>
      </w:r>
      <w:r w:rsidR="00DD40DB">
        <w:rPr>
          <w:rFonts w:cs="Arial"/>
          <w:color w:val="202020"/>
          <w:szCs w:val="20"/>
          <w:shd w:val="clear" w:color="auto" w:fill="FFFFFF"/>
        </w:rPr>
        <w:t>ECIIA, 2023)</w:t>
      </w:r>
      <w:r w:rsidRPr="002878C8">
        <w:rPr>
          <w:rFonts w:cs="Arial"/>
          <w:color w:val="202020"/>
          <w:szCs w:val="20"/>
          <w:shd w:val="clear" w:color="auto" w:fill="FFFFFF"/>
        </w:rPr>
        <w:t xml:space="preserve"> which indicates the </w:t>
      </w:r>
      <w:r>
        <w:rPr>
          <w:rFonts w:cs="Arial"/>
          <w:color w:val="202020"/>
          <w:szCs w:val="20"/>
          <w:shd w:val="clear" w:color="auto" w:fill="FFFFFF"/>
        </w:rPr>
        <w:t>importance</w:t>
      </w:r>
      <w:r w:rsidRPr="002878C8">
        <w:rPr>
          <w:rFonts w:cs="Arial"/>
          <w:color w:val="202020"/>
          <w:szCs w:val="20"/>
          <w:shd w:val="clear" w:color="auto" w:fill="FFFFFF"/>
        </w:rPr>
        <w:t xml:space="preserve"> of </w:t>
      </w:r>
      <w:r>
        <w:rPr>
          <w:rFonts w:cs="Arial"/>
          <w:color w:val="202020"/>
          <w:szCs w:val="20"/>
          <w:shd w:val="clear" w:color="auto" w:fill="FFFFFF"/>
        </w:rPr>
        <w:t>Human Resource Management (</w:t>
      </w:r>
      <w:r w:rsidRPr="002878C8">
        <w:rPr>
          <w:rFonts w:cs="Arial"/>
          <w:color w:val="202020"/>
          <w:szCs w:val="20"/>
          <w:shd w:val="clear" w:color="auto" w:fill="FFFFFF"/>
        </w:rPr>
        <w:t>HRM</w:t>
      </w:r>
      <w:r>
        <w:rPr>
          <w:rFonts w:cs="Arial"/>
          <w:color w:val="202020"/>
          <w:szCs w:val="20"/>
          <w:shd w:val="clear" w:color="auto" w:fill="FFFFFF"/>
        </w:rPr>
        <w:t>)</w:t>
      </w:r>
      <w:r w:rsidRPr="002878C8">
        <w:rPr>
          <w:rFonts w:cs="Arial"/>
          <w:color w:val="202020"/>
          <w:szCs w:val="20"/>
          <w:shd w:val="clear" w:color="auto" w:fill="FFFFFF"/>
        </w:rPr>
        <w:t xml:space="preserve"> and the need to get things right to support the organisation in achieving its objectives.  </w:t>
      </w:r>
      <w:r>
        <w:rPr>
          <w:rFonts w:cs="Arial"/>
          <w:color w:val="202020"/>
          <w:szCs w:val="20"/>
          <w:shd w:val="clear" w:color="auto" w:fill="FFFFFF"/>
        </w:rPr>
        <w:t xml:space="preserve">Legislative, </w:t>
      </w:r>
      <w:proofErr w:type="gramStart"/>
      <w:r>
        <w:rPr>
          <w:rFonts w:cs="Arial"/>
          <w:color w:val="202020"/>
          <w:szCs w:val="20"/>
          <w:shd w:val="clear" w:color="auto" w:fill="FFFFFF"/>
        </w:rPr>
        <w:t>social</w:t>
      </w:r>
      <w:proofErr w:type="gramEnd"/>
      <w:r>
        <w:rPr>
          <w:rFonts w:cs="Arial"/>
          <w:color w:val="202020"/>
          <w:szCs w:val="20"/>
          <w:shd w:val="clear" w:color="auto" w:fill="FFFFFF"/>
        </w:rPr>
        <w:t xml:space="preserve"> and ethical changes and viewpoints as well as a turbulent period with the pandemic, cost of living crisis and changes to the way in which many people work, have led to HR professionals and organisations facing challenges and complex problems. </w:t>
      </w:r>
      <w:r w:rsidRPr="002878C8">
        <w:rPr>
          <w:rFonts w:cs="Arial"/>
          <w:color w:val="202020"/>
          <w:szCs w:val="20"/>
          <w:shd w:val="clear" w:color="auto" w:fill="FFFFFF"/>
        </w:rPr>
        <w:t xml:space="preserve">As such, there is a need to understand the issues faced by the organisation and to respond appropriately.  </w:t>
      </w:r>
    </w:p>
    <w:p w14:paraId="77AF895A" w14:textId="7653B981" w:rsidR="00300749" w:rsidRPr="000740BE" w:rsidRDefault="00300749" w:rsidP="00300749">
      <w:pPr>
        <w:spacing w:before="120" w:after="120"/>
        <w:rPr>
          <w:shd w:val="clear" w:color="auto" w:fill="FFFFFF"/>
        </w:rPr>
      </w:pPr>
      <w:r>
        <w:rPr>
          <w:rFonts w:cs="Arial"/>
          <w:color w:val="202020"/>
          <w:szCs w:val="20"/>
          <w:shd w:val="clear" w:color="auto" w:fill="FFFFFF"/>
        </w:rPr>
        <w:t xml:space="preserve">A core element of the CIPD profession map, as updated in 2021, is Evidence Based Practice (EBP). This approach has been widely used in many professions for decades and is now considered essential for effective HRM.  EBP can be defined as </w:t>
      </w:r>
      <w:r w:rsidRPr="00121BED">
        <w:rPr>
          <w:rFonts w:cs="Arial"/>
          <w:color w:val="202020"/>
          <w:szCs w:val="20"/>
          <w:shd w:val="clear" w:color="auto" w:fill="FFFFFF"/>
        </w:rPr>
        <w:t>“</w:t>
      </w:r>
      <w:r w:rsidRPr="00121BED">
        <w:rPr>
          <w:rFonts w:cs="Arial"/>
          <w:i/>
          <w:iCs/>
          <w:color w:val="202020"/>
        </w:rPr>
        <w:t>a process which delivers better-informed and hence more accurate answers to two fundamental questions: First, which are the most important problems (or opportunities) facing the organisation which are relevant to HR activities? Second, which solutions (or interventions) are most likely to help? In other words, what’s going on and what can we do about it? These questions are answered through a combination of using the best available evidence and critical thinking</w:t>
      </w:r>
      <w:r w:rsidRPr="00121BED">
        <w:rPr>
          <w:rFonts w:cs="Arial"/>
          <w:i/>
          <w:iCs/>
          <w:color w:val="202020"/>
          <w:szCs w:val="20"/>
        </w:rPr>
        <w:t>.</w:t>
      </w:r>
      <w:r w:rsidRPr="00231C3F">
        <w:rPr>
          <w:rStyle w:val="FootnoteReference"/>
          <w:shd w:val="clear" w:color="auto" w:fill="FFFFFF"/>
        </w:rPr>
        <w:t>”</w:t>
      </w:r>
      <w:r w:rsidR="00DD40DB">
        <w:rPr>
          <w:shd w:val="clear" w:color="auto" w:fill="FFFFFF"/>
        </w:rPr>
        <w:t xml:space="preserve"> (CRF, 2023)</w:t>
      </w:r>
    </w:p>
    <w:p w14:paraId="24353503" w14:textId="77777777" w:rsidR="00300749" w:rsidRDefault="00300749" w:rsidP="00300749">
      <w:pPr>
        <w:spacing w:before="120" w:after="120"/>
        <w:rPr>
          <w:rFonts w:cs="Arial"/>
          <w:color w:val="202020"/>
          <w:szCs w:val="20"/>
          <w:shd w:val="clear" w:color="auto" w:fill="FFFFFF"/>
        </w:rPr>
      </w:pPr>
      <w:r>
        <w:rPr>
          <w:rFonts w:cs="Arial"/>
          <w:color w:val="202020"/>
          <w:szCs w:val="20"/>
          <w:shd w:val="clear" w:color="auto" w:fill="FFFFFF"/>
        </w:rPr>
        <w:t xml:space="preserve">The CIPD recognises four sources of data which could be considered when identifying issues or opportunities and considering potential solutions.  </w:t>
      </w:r>
    </w:p>
    <w:p w14:paraId="283F8816" w14:textId="77777777" w:rsidR="00300749" w:rsidRPr="001F68BD" w:rsidRDefault="00300749" w:rsidP="00300749">
      <w:pPr>
        <w:pStyle w:val="ListParagraph"/>
        <w:numPr>
          <w:ilvl w:val="0"/>
          <w:numId w:val="32"/>
        </w:numPr>
        <w:rPr>
          <w:rFonts w:cs="Arial"/>
          <w:color w:val="202020"/>
          <w:szCs w:val="20"/>
          <w:shd w:val="clear" w:color="auto" w:fill="FFFFFF"/>
        </w:rPr>
      </w:pPr>
      <w:r w:rsidRPr="006E617D">
        <w:rPr>
          <w:rFonts w:cs="Arial"/>
          <w:color w:val="202020"/>
          <w:szCs w:val="20"/>
          <w:shd w:val="clear" w:color="auto" w:fill="FFFFFF"/>
        </w:rPr>
        <w:t>Scientific data</w:t>
      </w:r>
      <w:r w:rsidRPr="00340249">
        <w:rPr>
          <w:rFonts w:cs="Arial"/>
          <w:color w:val="202020"/>
          <w:szCs w:val="20"/>
          <w:shd w:val="clear" w:color="auto" w:fill="FFFFFF"/>
        </w:rPr>
        <w:t xml:space="preserve"> which would include reports, journals or other findings from studies undertaken</w:t>
      </w:r>
      <w:r>
        <w:rPr>
          <w:rFonts w:cs="Arial"/>
          <w:color w:val="202020"/>
          <w:szCs w:val="20"/>
          <w:shd w:val="clear" w:color="auto" w:fill="FFFFFF"/>
        </w:rPr>
        <w:t>.</w:t>
      </w:r>
      <w:r w:rsidRPr="00340249">
        <w:rPr>
          <w:rFonts w:cs="Arial"/>
          <w:color w:val="202020"/>
          <w:szCs w:val="20"/>
          <w:shd w:val="clear" w:color="auto" w:fill="FFFFFF"/>
        </w:rPr>
        <w:t xml:space="preserve"> </w:t>
      </w:r>
    </w:p>
    <w:p w14:paraId="28547F39" w14:textId="77777777" w:rsidR="00300749" w:rsidRPr="00340249" w:rsidRDefault="00300749" w:rsidP="00300749">
      <w:pPr>
        <w:pStyle w:val="ListParagraph"/>
        <w:numPr>
          <w:ilvl w:val="0"/>
          <w:numId w:val="32"/>
        </w:numPr>
        <w:rPr>
          <w:rFonts w:cs="Arial"/>
          <w:color w:val="202020"/>
          <w:szCs w:val="20"/>
          <w:shd w:val="clear" w:color="auto" w:fill="FFFFFF"/>
        </w:rPr>
      </w:pPr>
      <w:r>
        <w:rPr>
          <w:rFonts w:cs="Arial"/>
          <w:color w:val="202020"/>
          <w:szCs w:val="20"/>
          <w:shd w:val="clear" w:color="auto" w:fill="FFFFFF"/>
        </w:rPr>
        <w:t>K</w:t>
      </w:r>
      <w:r w:rsidRPr="00340249">
        <w:rPr>
          <w:rFonts w:cs="Arial"/>
          <w:color w:val="202020"/>
          <w:szCs w:val="20"/>
          <w:shd w:val="clear" w:color="auto" w:fill="FFFFFF"/>
        </w:rPr>
        <w:t xml:space="preserve">nowledge and expertise of people professionals or other professionals connected to the issue at hand.  </w:t>
      </w:r>
    </w:p>
    <w:p w14:paraId="4CA16F45" w14:textId="77777777" w:rsidR="00300749" w:rsidRDefault="00300749" w:rsidP="00300749">
      <w:pPr>
        <w:pStyle w:val="ListParagraph"/>
        <w:numPr>
          <w:ilvl w:val="0"/>
          <w:numId w:val="32"/>
        </w:numPr>
        <w:rPr>
          <w:rFonts w:cs="Arial"/>
          <w:color w:val="202020"/>
          <w:szCs w:val="20"/>
          <w:shd w:val="clear" w:color="auto" w:fill="FFFFFF"/>
        </w:rPr>
      </w:pPr>
      <w:r w:rsidRPr="00340249">
        <w:rPr>
          <w:rFonts w:cs="Arial"/>
          <w:color w:val="202020"/>
          <w:szCs w:val="20"/>
          <w:shd w:val="clear" w:color="auto" w:fill="FFFFFF"/>
        </w:rPr>
        <w:t xml:space="preserve">Organisational data could include any qualitative or quantitative data specific to an organisation.  This could differ depending on the nature of the business and the topic being considered but could include KPI’s, financial data, HR data such as EDI information or customer/ client satisfaction data.  </w:t>
      </w:r>
    </w:p>
    <w:p w14:paraId="6836816E" w14:textId="7AC29B10" w:rsidR="00300749" w:rsidRPr="002F2BB7" w:rsidRDefault="00300749" w:rsidP="00300749">
      <w:pPr>
        <w:pStyle w:val="ListParagraph"/>
        <w:numPr>
          <w:ilvl w:val="0"/>
          <w:numId w:val="32"/>
        </w:numPr>
        <w:ind w:left="1276" w:hanging="283"/>
        <w:rPr>
          <w:rFonts w:cs="Arial"/>
          <w:color w:val="202020"/>
          <w:szCs w:val="20"/>
          <w:shd w:val="clear" w:color="auto" w:fill="FFFFFF"/>
        </w:rPr>
      </w:pPr>
      <w:r>
        <w:rPr>
          <w:rFonts w:cs="Arial"/>
          <w:color w:val="202020"/>
          <w:szCs w:val="20"/>
          <w:shd w:val="clear" w:color="auto" w:fill="FFFFFF"/>
        </w:rPr>
        <w:t>S</w:t>
      </w:r>
      <w:r w:rsidRPr="002F2BB7">
        <w:rPr>
          <w:rFonts w:cs="Arial"/>
          <w:color w:val="202020"/>
          <w:szCs w:val="20"/>
          <w:shd w:val="clear" w:color="auto" w:fill="FFFFFF"/>
        </w:rPr>
        <w:t>takeholder information, stakeholders are any group or individual which have an interest in the organisation and decision.  These could consist of people or groups internal or external to the organisation.  It is beneficial to consider their opinions and data as this may impact on how impactful solutions may be. (</w:t>
      </w:r>
      <w:r w:rsidR="008936E8">
        <w:rPr>
          <w:rFonts w:cs="Arial"/>
          <w:color w:val="202020"/>
          <w:szCs w:val="20"/>
          <w:shd w:val="clear" w:color="auto" w:fill="FFFFFF"/>
        </w:rPr>
        <w:t>Young</w:t>
      </w:r>
      <w:r w:rsidRPr="002F2BB7">
        <w:rPr>
          <w:rFonts w:cs="Arial"/>
          <w:color w:val="202020"/>
          <w:szCs w:val="20"/>
          <w:shd w:val="clear" w:color="auto" w:fill="FFFFFF"/>
        </w:rPr>
        <w:t>, 2023)</w:t>
      </w:r>
    </w:p>
    <w:p w14:paraId="0E105139" w14:textId="77777777" w:rsidR="00300749" w:rsidRPr="005019C3" w:rsidRDefault="00300749" w:rsidP="00300749">
      <w:pPr>
        <w:spacing w:before="120" w:after="120"/>
        <w:rPr>
          <w:rFonts w:asciiTheme="minorHAnsi" w:hAnsiTheme="minorHAnsi" w:cstheme="minorHAnsi"/>
          <w:i/>
          <w:iCs/>
          <w:color w:val="202020"/>
          <w:szCs w:val="20"/>
          <w:shd w:val="clear" w:color="auto" w:fill="FFFFFF"/>
        </w:rPr>
      </w:pPr>
      <w:r>
        <w:rPr>
          <w:rFonts w:cs="Arial"/>
          <w:color w:val="202020"/>
          <w:szCs w:val="20"/>
          <w:shd w:val="clear" w:color="auto" w:fill="FFFFFF"/>
        </w:rPr>
        <w:t>Each source of data has its benefits and limitations so, whilst it would be ideal to consider all in each decision, this may not be possible or beneficial.</w:t>
      </w:r>
    </w:p>
    <w:p w14:paraId="2308BFA4" w14:textId="77777777" w:rsidR="00300749" w:rsidRDefault="00300749" w:rsidP="00300749">
      <w:pPr>
        <w:rPr>
          <w:rFonts w:cs="Arial"/>
          <w:color w:val="202020"/>
          <w:szCs w:val="20"/>
          <w:shd w:val="clear" w:color="auto" w:fill="FFFFFF"/>
        </w:rPr>
      </w:pPr>
      <w:r>
        <w:rPr>
          <w:rFonts w:cs="Arial"/>
          <w:color w:val="202020"/>
          <w:szCs w:val="20"/>
          <w:shd w:val="clear" w:color="auto" w:fill="FFFFFF"/>
        </w:rPr>
        <w:t>It is vital for the organisation to appropriately understand the issues it faces prior to looking for solutions as without this knowledge, there is a risk that inappropriate solutions will be provided which do not address the problem which could lead to, amongst other things, dissatisfaction, a lack of value for money and an inability to achieve objectives.</w:t>
      </w:r>
    </w:p>
    <w:p w14:paraId="21ACB871" w14:textId="77777777" w:rsidR="00300749" w:rsidRDefault="00300749" w:rsidP="00300749">
      <w:pPr>
        <w:rPr>
          <w:rFonts w:cs="Arial"/>
          <w:color w:val="202020"/>
          <w:szCs w:val="20"/>
          <w:shd w:val="clear" w:color="auto" w:fill="FFFFFF"/>
        </w:rPr>
      </w:pPr>
      <w:r>
        <w:rPr>
          <w:rFonts w:cs="Arial"/>
          <w:color w:val="202020"/>
          <w:szCs w:val="20"/>
          <w:shd w:val="clear" w:color="auto" w:fill="FFFFFF"/>
        </w:rPr>
        <w:t xml:space="preserve">The has a CIPD 6 step process for analysing data which can be used to identify the issue and potential solutions. </w:t>
      </w:r>
    </w:p>
    <w:p w14:paraId="7A2C93ED" w14:textId="77777777" w:rsidR="00300749" w:rsidRDefault="00300749" w:rsidP="00F05DF8">
      <w:pPr>
        <w:jc w:val="center"/>
        <w:rPr>
          <w:rFonts w:cs="Arial"/>
          <w:color w:val="202020"/>
          <w:szCs w:val="20"/>
          <w:shd w:val="clear" w:color="auto" w:fill="FFFFFF"/>
        </w:rPr>
      </w:pPr>
      <w:r w:rsidRPr="00451F46">
        <w:rPr>
          <w:i/>
          <w:iCs/>
          <w:noProof/>
        </w:rPr>
        <w:lastRenderedPageBreak/>
        <w:drawing>
          <wp:inline distT="0" distB="0" distL="0" distR="0" wp14:anchorId="17D7DDED" wp14:editId="4F698E82">
            <wp:extent cx="4307477" cy="4367220"/>
            <wp:effectExtent l="0" t="0" r="0" b="0"/>
            <wp:docPr id="441820638" name="Picture 441820638"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25943" name="Picture 1" descr="A diagram of steps to a problem&#10;&#10;Description automatically generated with medium confidence"/>
                    <pic:cNvPicPr/>
                  </pic:nvPicPr>
                  <pic:blipFill>
                    <a:blip r:embed="rId14"/>
                    <a:stretch>
                      <a:fillRect/>
                    </a:stretch>
                  </pic:blipFill>
                  <pic:spPr>
                    <a:xfrm>
                      <a:off x="0" y="0"/>
                      <a:ext cx="4310823" cy="4370612"/>
                    </a:xfrm>
                    <a:prstGeom prst="rect">
                      <a:avLst/>
                    </a:prstGeom>
                  </pic:spPr>
                </pic:pic>
              </a:graphicData>
            </a:graphic>
          </wp:inline>
        </w:drawing>
      </w:r>
    </w:p>
    <w:p w14:paraId="1B33D2E0" w14:textId="74ECBDA5" w:rsidR="00300749" w:rsidRDefault="00300749" w:rsidP="00300749">
      <w:pPr>
        <w:pStyle w:val="ListParagraph"/>
        <w:ind w:left="1418"/>
        <w:jc w:val="right"/>
        <w:rPr>
          <w:rFonts w:cs="Arial"/>
          <w:color w:val="202020"/>
          <w:szCs w:val="20"/>
          <w:shd w:val="clear" w:color="auto" w:fill="FFFFFF"/>
        </w:rPr>
      </w:pPr>
      <w:bookmarkStart w:id="2" w:name="_Hlk150253060"/>
      <w:r>
        <w:rPr>
          <w:rFonts w:cs="Arial"/>
          <w:color w:val="202020"/>
          <w:szCs w:val="20"/>
          <w:shd w:val="clear" w:color="auto" w:fill="FFFFFF"/>
        </w:rPr>
        <w:t>(</w:t>
      </w:r>
      <w:r w:rsidR="008936E8">
        <w:rPr>
          <w:rFonts w:cs="Arial"/>
          <w:color w:val="202020"/>
          <w:szCs w:val="20"/>
          <w:shd w:val="clear" w:color="auto" w:fill="FFFFFF"/>
        </w:rPr>
        <w:t>Young</w:t>
      </w:r>
      <w:r>
        <w:rPr>
          <w:rFonts w:cs="Arial"/>
          <w:color w:val="202020"/>
          <w:szCs w:val="20"/>
          <w:shd w:val="clear" w:color="auto" w:fill="FFFFFF"/>
        </w:rPr>
        <w:t>, 2023)</w:t>
      </w:r>
      <w:bookmarkEnd w:id="2"/>
    </w:p>
    <w:p w14:paraId="2E2DA4E2" w14:textId="77777777" w:rsidR="00300749" w:rsidRDefault="00300749" w:rsidP="00300749">
      <w:pPr>
        <w:pStyle w:val="ListParagraph"/>
        <w:ind w:left="1418"/>
        <w:jc w:val="right"/>
        <w:rPr>
          <w:rFonts w:cs="Arial"/>
          <w:color w:val="202020"/>
          <w:szCs w:val="20"/>
          <w:shd w:val="clear" w:color="auto" w:fill="FFFFFF"/>
        </w:rPr>
      </w:pPr>
    </w:p>
    <w:p w14:paraId="281B2CD9" w14:textId="77777777" w:rsidR="00300749" w:rsidRPr="00CE1EBB" w:rsidRDefault="00300749" w:rsidP="00300749">
      <w:pPr>
        <w:rPr>
          <w:rFonts w:cs="Arial"/>
          <w:color w:val="202020"/>
          <w:szCs w:val="20"/>
          <w:shd w:val="clear" w:color="auto" w:fill="FFFFFF"/>
        </w:rPr>
      </w:pPr>
      <w:r>
        <w:rPr>
          <w:rFonts w:cs="Arial"/>
          <w:color w:val="202020"/>
          <w:szCs w:val="20"/>
          <w:shd w:val="clear" w:color="auto" w:fill="FFFFFF"/>
        </w:rPr>
        <w:t>EBP and the six-stage approach encourages practitioners to collate, consider and critically evaluate multiple sources of evidence of different types and with different qualities to appropriately identify issues and work to identify an appropriate solution to resolve the problems and to add value to the organisation.</w:t>
      </w:r>
    </w:p>
    <w:p w14:paraId="359443E5" w14:textId="0EB10E8A" w:rsidR="00300749" w:rsidRPr="00896E71" w:rsidRDefault="00300749" w:rsidP="00300749">
      <w:pPr>
        <w:rPr>
          <w:rFonts w:cs="Arial"/>
          <w:color w:val="202020"/>
          <w:szCs w:val="20"/>
          <w:shd w:val="clear" w:color="auto" w:fill="FFFFFF"/>
        </w:rPr>
      </w:pPr>
      <w:r w:rsidRPr="00896E71">
        <w:rPr>
          <w:rFonts w:cs="Arial"/>
          <w:color w:val="202020"/>
          <w:szCs w:val="20"/>
          <w:shd w:val="clear" w:color="auto" w:fill="FFFFFF"/>
        </w:rPr>
        <w:t xml:space="preserve">It has been widely recognised that all humans have biases, experiences, beliefs, and emotions which can influence decision making. </w:t>
      </w:r>
      <w:r>
        <w:rPr>
          <w:rFonts w:cs="Arial"/>
          <w:color w:val="202020"/>
          <w:szCs w:val="20"/>
          <w:shd w:val="clear" w:color="auto" w:fill="FFFFFF"/>
        </w:rPr>
        <w:t xml:space="preserve">There are also other factors which can provide inappropriate assumptions such as group think and polarisation which demonstrate that by simply adding in more opinions do not always solve this issue and that it why data and evidence is so important. </w:t>
      </w:r>
      <w:r w:rsidRPr="00896E71">
        <w:rPr>
          <w:rFonts w:cs="Arial"/>
          <w:color w:val="202020"/>
          <w:szCs w:val="20"/>
          <w:shd w:val="clear" w:color="auto" w:fill="FFFFFF"/>
        </w:rPr>
        <w:t xml:space="preserve">By utilising </w:t>
      </w:r>
      <w:r>
        <w:rPr>
          <w:rFonts w:cs="Arial"/>
          <w:color w:val="202020"/>
          <w:szCs w:val="20"/>
          <w:shd w:val="clear" w:color="auto" w:fill="FFFFFF"/>
        </w:rPr>
        <w:t xml:space="preserve">multiple sources </w:t>
      </w:r>
      <w:r w:rsidRPr="00896E71">
        <w:rPr>
          <w:rFonts w:cs="Arial"/>
          <w:color w:val="202020"/>
          <w:szCs w:val="20"/>
          <w:shd w:val="clear" w:color="auto" w:fill="FFFFFF"/>
        </w:rPr>
        <w:t>evidence to support decisions, opinions are challenged, and</w:t>
      </w:r>
      <w:r>
        <w:rPr>
          <w:rFonts w:cs="Arial"/>
          <w:color w:val="202020"/>
          <w:szCs w:val="20"/>
          <w:shd w:val="clear" w:color="auto" w:fill="FFFFFF"/>
        </w:rPr>
        <w:t xml:space="preserve"> </w:t>
      </w:r>
      <w:r w:rsidRPr="00896E71">
        <w:rPr>
          <w:rFonts w:cs="Arial"/>
          <w:color w:val="202020"/>
          <w:szCs w:val="20"/>
          <w:shd w:val="clear" w:color="auto" w:fill="FFFFFF"/>
        </w:rPr>
        <w:t>alternative options and opinions are provided which could help to reduce bias. Reid Elder and Nikodem</w:t>
      </w:r>
      <w:r w:rsidRPr="00896E71">
        <w:rPr>
          <w:rFonts w:cs="Arial"/>
          <w:i/>
          <w:iCs/>
          <w:color w:val="202020"/>
          <w:szCs w:val="20"/>
          <w:shd w:val="clear" w:color="auto" w:fill="FFFFFF"/>
        </w:rPr>
        <w:t xml:space="preserve"> </w:t>
      </w:r>
      <w:r w:rsidRPr="00896E71">
        <w:rPr>
          <w:rFonts w:cs="Arial"/>
          <w:color w:val="202020"/>
          <w:szCs w:val="20"/>
          <w:shd w:val="clear" w:color="auto" w:fill="FFFFFF"/>
        </w:rPr>
        <w:t>(2023).</w:t>
      </w:r>
      <w:r>
        <w:rPr>
          <w:rFonts w:cs="Arial"/>
          <w:color w:val="202020"/>
          <w:szCs w:val="20"/>
          <w:shd w:val="clear" w:color="auto" w:fill="FFFFFF"/>
        </w:rPr>
        <w:t xml:space="preserve"> State that </w:t>
      </w:r>
      <w:r w:rsidRPr="005A68FF">
        <w:rPr>
          <w:rFonts w:cs="Arial"/>
          <w:i/>
          <w:iCs/>
          <w:color w:val="202020"/>
          <w:szCs w:val="20"/>
          <w:shd w:val="clear" w:color="auto" w:fill="FFFFFF"/>
        </w:rPr>
        <w:t>recognising</w:t>
      </w:r>
      <w:r w:rsidRPr="00896E71">
        <w:rPr>
          <w:rFonts w:cs="Arial"/>
          <w:i/>
          <w:iCs/>
          <w:color w:val="202020"/>
          <w:szCs w:val="20"/>
          <w:shd w:val="clear" w:color="auto" w:fill="FFFFFF"/>
        </w:rPr>
        <w:t xml:space="preserve"> the inherent weakness of relying on single-source evidence and/ or personal judgement, a wider evidence base is deemed to result in better- quality decisions, strengthening solutions and in turn strategic success</w:t>
      </w:r>
      <w:r>
        <w:rPr>
          <w:rFonts w:cs="Arial"/>
          <w:color w:val="202020"/>
          <w:szCs w:val="20"/>
          <w:shd w:val="clear" w:color="auto" w:fill="FFFFFF"/>
        </w:rPr>
        <w:t>.</w:t>
      </w:r>
    </w:p>
    <w:p w14:paraId="13FD7179" w14:textId="73447B98" w:rsidR="00300749" w:rsidRDefault="00300749" w:rsidP="00300749">
      <w:pPr>
        <w:rPr>
          <w:rFonts w:cs="Arial"/>
          <w:color w:val="202020"/>
          <w:szCs w:val="20"/>
          <w:shd w:val="clear" w:color="auto" w:fill="FFFFFF"/>
        </w:rPr>
      </w:pPr>
      <w:r>
        <w:rPr>
          <w:rFonts w:cs="Arial"/>
          <w:color w:val="202020"/>
          <w:szCs w:val="20"/>
          <w:shd w:val="clear" w:color="auto" w:fill="FFFFFF"/>
        </w:rPr>
        <w:t>There are multiple benefits for utilising EBP including</w:t>
      </w:r>
      <w:r w:rsidRPr="008D00DF">
        <w:rPr>
          <w:rFonts w:asciiTheme="minorHAnsi" w:hAnsiTheme="minorHAnsi" w:cstheme="minorHAnsi"/>
          <w:szCs w:val="20"/>
        </w:rPr>
        <w:t xml:space="preserve"> ensur</w:t>
      </w:r>
      <w:r>
        <w:rPr>
          <w:rFonts w:asciiTheme="minorHAnsi" w:hAnsiTheme="minorHAnsi" w:cstheme="minorHAnsi"/>
          <w:szCs w:val="20"/>
        </w:rPr>
        <w:t>ing</w:t>
      </w:r>
      <w:r w:rsidRPr="008D00DF">
        <w:rPr>
          <w:rFonts w:asciiTheme="minorHAnsi" w:hAnsiTheme="minorHAnsi" w:cstheme="minorHAnsi"/>
          <w:szCs w:val="20"/>
        </w:rPr>
        <w:t xml:space="preserve"> that decision-making is </w:t>
      </w:r>
      <w:r w:rsidR="002523C9">
        <w:rPr>
          <w:rFonts w:asciiTheme="minorHAnsi" w:hAnsiTheme="minorHAnsi" w:cstheme="minorHAnsi"/>
          <w:szCs w:val="20"/>
        </w:rPr>
        <w:t>fact based</w:t>
      </w:r>
      <w:r w:rsidRPr="008D00DF">
        <w:rPr>
          <w:rFonts w:asciiTheme="minorHAnsi" w:hAnsiTheme="minorHAnsi" w:cstheme="minorHAnsi"/>
          <w:szCs w:val="20"/>
        </w:rPr>
        <w:t xml:space="preserve">, rather </w:t>
      </w:r>
      <w:r w:rsidR="00B7761E">
        <w:rPr>
          <w:rFonts w:asciiTheme="minorHAnsi" w:hAnsiTheme="minorHAnsi" w:cstheme="minorHAnsi"/>
          <w:szCs w:val="20"/>
        </w:rPr>
        <w:t xml:space="preserve">than being </w:t>
      </w:r>
      <w:r w:rsidR="002523C9">
        <w:rPr>
          <w:rFonts w:asciiTheme="minorHAnsi" w:hAnsiTheme="minorHAnsi" w:cstheme="minorHAnsi"/>
          <w:szCs w:val="20"/>
        </w:rPr>
        <w:t xml:space="preserve">made using bias, </w:t>
      </w:r>
      <w:proofErr w:type="gramStart"/>
      <w:r w:rsidR="002523C9">
        <w:rPr>
          <w:rFonts w:asciiTheme="minorHAnsi" w:hAnsiTheme="minorHAnsi" w:cstheme="minorHAnsi"/>
          <w:szCs w:val="20"/>
        </w:rPr>
        <w:t>fads</w:t>
      </w:r>
      <w:proofErr w:type="gramEnd"/>
      <w:r w:rsidR="002523C9">
        <w:rPr>
          <w:rFonts w:asciiTheme="minorHAnsi" w:hAnsiTheme="minorHAnsi" w:cstheme="minorHAnsi"/>
          <w:szCs w:val="20"/>
        </w:rPr>
        <w:t xml:space="preserve"> or </w:t>
      </w:r>
      <w:r w:rsidRPr="008D00DF">
        <w:rPr>
          <w:rFonts w:asciiTheme="minorHAnsi" w:hAnsiTheme="minorHAnsi" w:cstheme="minorHAnsi"/>
          <w:szCs w:val="20"/>
        </w:rPr>
        <w:t>outdated insights</w:t>
      </w:r>
      <w:r w:rsidR="00ED3CC5">
        <w:rPr>
          <w:rFonts w:asciiTheme="minorHAnsi" w:hAnsiTheme="minorHAnsi" w:cstheme="minorHAnsi"/>
          <w:szCs w:val="20"/>
        </w:rPr>
        <w:t>,</w:t>
      </w:r>
      <w:r>
        <w:rPr>
          <w:rFonts w:asciiTheme="minorHAnsi" w:hAnsiTheme="minorHAnsi" w:cstheme="minorHAnsi"/>
          <w:szCs w:val="20"/>
        </w:rPr>
        <w:t xml:space="preserve"> creating </w:t>
      </w:r>
      <w:r w:rsidRPr="008D00DF">
        <w:rPr>
          <w:rFonts w:asciiTheme="minorHAnsi" w:hAnsiTheme="minorHAnsi" w:cstheme="minorHAnsi"/>
          <w:szCs w:val="20"/>
        </w:rPr>
        <w:t xml:space="preserve">a stronger body of knowledge and as a result, a more trusted </w:t>
      </w:r>
      <w:r>
        <w:rPr>
          <w:rFonts w:asciiTheme="minorHAnsi" w:hAnsiTheme="minorHAnsi" w:cstheme="minorHAnsi"/>
          <w:szCs w:val="20"/>
        </w:rPr>
        <w:t>profession</w:t>
      </w:r>
      <w:r w:rsidR="00ED3CC5">
        <w:rPr>
          <w:rFonts w:asciiTheme="minorHAnsi" w:hAnsiTheme="minorHAnsi" w:cstheme="minorHAnsi"/>
          <w:szCs w:val="20"/>
        </w:rPr>
        <w:t xml:space="preserve">, </w:t>
      </w:r>
      <w:r>
        <w:rPr>
          <w:rFonts w:asciiTheme="minorHAnsi" w:hAnsiTheme="minorHAnsi" w:cstheme="minorHAnsi"/>
          <w:szCs w:val="20"/>
        </w:rPr>
        <w:t xml:space="preserve">giving </w:t>
      </w:r>
      <w:r w:rsidRPr="008D00DF">
        <w:rPr>
          <w:rFonts w:asciiTheme="minorHAnsi" w:hAnsiTheme="minorHAnsi" w:cstheme="minorHAnsi"/>
          <w:szCs w:val="20"/>
        </w:rPr>
        <w:t xml:space="preserve">gravitas to professionals, </w:t>
      </w:r>
      <w:r w:rsidR="00230C28">
        <w:rPr>
          <w:rFonts w:asciiTheme="minorHAnsi" w:hAnsiTheme="minorHAnsi" w:cstheme="minorHAnsi"/>
          <w:szCs w:val="20"/>
        </w:rPr>
        <w:t xml:space="preserve">and having more influence and thus, a </w:t>
      </w:r>
      <w:r w:rsidRPr="008D00DF">
        <w:rPr>
          <w:rFonts w:asciiTheme="minorHAnsi" w:hAnsiTheme="minorHAnsi" w:cstheme="minorHAnsi"/>
          <w:szCs w:val="20"/>
        </w:rPr>
        <w:t xml:space="preserve">more positive </w:t>
      </w:r>
      <w:r w:rsidR="00CB7B45" w:rsidRPr="008D00DF">
        <w:rPr>
          <w:rFonts w:asciiTheme="minorHAnsi" w:hAnsiTheme="minorHAnsi" w:cstheme="minorHAnsi"/>
          <w:szCs w:val="20"/>
        </w:rPr>
        <w:t>impact</w:t>
      </w:r>
      <w:r w:rsidR="00CB7B45">
        <w:rPr>
          <w:rFonts w:asciiTheme="minorHAnsi" w:hAnsiTheme="minorHAnsi" w:cstheme="minorHAnsi"/>
          <w:szCs w:val="20"/>
        </w:rPr>
        <w:t xml:space="preserve"> (</w:t>
      </w:r>
      <w:r w:rsidR="008936E8">
        <w:rPr>
          <w:rFonts w:cs="Arial"/>
          <w:color w:val="202020"/>
          <w:szCs w:val="20"/>
          <w:shd w:val="clear" w:color="auto" w:fill="FFFFFF"/>
        </w:rPr>
        <w:t>Young</w:t>
      </w:r>
      <w:r>
        <w:rPr>
          <w:rFonts w:cs="Arial"/>
          <w:color w:val="202020"/>
          <w:szCs w:val="20"/>
          <w:shd w:val="clear" w:color="auto" w:fill="FFFFFF"/>
        </w:rPr>
        <w:t>, 2023)</w:t>
      </w:r>
      <w:r w:rsidR="008936E8">
        <w:rPr>
          <w:rFonts w:cs="Arial"/>
          <w:color w:val="202020"/>
          <w:szCs w:val="20"/>
          <w:shd w:val="clear" w:color="auto" w:fill="FFFFFF"/>
        </w:rPr>
        <w:t xml:space="preserve">. </w:t>
      </w:r>
      <w:r>
        <w:rPr>
          <w:rFonts w:cs="Arial"/>
          <w:color w:val="202020"/>
          <w:szCs w:val="20"/>
          <w:shd w:val="clear" w:color="auto" w:fill="FFFFFF"/>
        </w:rPr>
        <w:t xml:space="preserve"> However, there can be difficulty in obtaining data on </w:t>
      </w:r>
      <w:r>
        <w:rPr>
          <w:rFonts w:asciiTheme="minorHAnsi" w:hAnsiTheme="minorHAnsi" w:cstheme="minorHAnsi"/>
          <w:szCs w:val="20"/>
        </w:rPr>
        <w:t xml:space="preserve">certain topics, there can be a cost to obtain data and it takes time to collate and interpret data.  There is also a risk of utilising poor quality or inaccurate data.  </w:t>
      </w:r>
      <w:r>
        <w:rPr>
          <w:rFonts w:cs="Arial"/>
          <w:color w:val="202020"/>
          <w:szCs w:val="20"/>
          <w:shd w:val="clear" w:color="auto" w:fill="FFFFFF"/>
        </w:rPr>
        <w:t xml:space="preserve">However, despite some potential difficulties and delays, the priority should always be to make the best possible decisions to support the needs to the organisation and increase the likelihood of delivering its objectives.  There are risks of getting things wrong, both financially and reputationally and therefore, there is a responsibility for practitioners and other managers to incorporate EBP into their decision-making processes to fully understand, assess and consider the issues, </w:t>
      </w:r>
      <w:proofErr w:type="gramStart"/>
      <w:r>
        <w:rPr>
          <w:rFonts w:cs="Arial"/>
          <w:color w:val="202020"/>
          <w:szCs w:val="20"/>
          <w:shd w:val="clear" w:color="auto" w:fill="FFFFFF"/>
        </w:rPr>
        <w:t>risks</w:t>
      </w:r>
      <w:proofErr w:type="gramEnd"/>
      <w:r>
        <w:rPr>
          <w:rFonts w:cs="Arial"/>
          <w:color w:val="202020"/>
          <w:szCs w:val="20"/>
          <w:shd w:val="clear" w:color="auto" w:fill="FFFFFF"/>
        </w:rPr>
        <w:t xml:space="preserve"> and solutions prior to implementing resolutions.</w:t>
      </w:r>
    </w:p>
    <w:p w14:paraId="7CF6FB28" w14:textId="76AC4973" w:rsidR="00300749" w:rsidRDefault="00300749" w:rsidP="00300749">
      <w:pPr>
        <w:rPr>
          <w:rFonts w:cs="Arial"/>
          <w:color w:val="202020"/>
          <w:szCs w:val="20"/>
          <w:shd w:val="clear" w:color="auto" w:fill="FFFFFF"/>
        </w:rPr>
      </w:pPr>
      <w:r>
        <w:rPr>
          <w:rFonts w:cs="Arial"/>
          <w:color w:val="202020"/>
          <w:szCs w:val="20"/>
          <w:shd w:val="clear" w:color="auto" w:fill="FFFFFF"/>
        </w:rPr>
        <w:lastRenderedPageBreak/>
        <w:t>An example of an organisation using EBP effectively within HRM was the BBC’s use for assessing and redesigning its Performance Management processes.  The organisation found that staff and managers were disengaged with the processes which were in place.  The further understand the reasons why and to determine an appropriate solution, all four types of data were analysed.  Once the new processes were embedded, it was found that engagement levels had increased, attitudes had improved and more beneficial discussions were undertaken (CIPD, 2023</w:t>
      </w:r>
      <w:r w:rsidR="008936E8">
        <w:rPr>
          <w:rFonts w:cs="Arial"/>
          <w:color w:val="202020"/>
          <w:szCs w:val="20"/>
          <w:shd w:val="clear" w:color="auto" w:fill="FFFFFF"/>
        </w:rPr>
        <w:t>a</w:t>
      </w:r>
      <w:r>
        <w:rPr>
          <w:rFonts w:cs="Arial"/>
          <w:color w:val="202020"/>
          <w:szCs w:val="20"/>
          <w:shd w:val="clear" w:color="auto" w:fill="FFFFFF"/>
        </w:rPr>
        <w:t>).</w:t>
      </w:r>
    </w:p>
    <w:p w14:paraId="2A0E2352" w14:textId="77777777" w:rsidR="00300749" w:rsidRPr="00563DC9" w:rsidRDefault="00300749" w:rsidP="00300749">
      <w:pPr>
        <w:ind w:left="0"/>
        <w:rPr>
          <w:rFonts w:cs="Arial"/>
          <w:color w:val="202020"/>
          <w:szCs w:val="20"/>
          <w:shd w:val="clear" w:color="auto" w:fill="FFFFFF"/>
        </w:rPr>
      </w:pPr>
    </w:p>
    <w:p w14:paraId="7B6DC8F1" w14:textId="77777777" w:rsidR="00300749" w:rsidRDefault="00300749" w:rsidP="00300749">
      <w:pPr>
        <w:pStyle w:val="Heading1"/>
        <w:keepLines w:val="0"/>
        <w:tabs>
          <w:tab w:val="left" w:pos="709"/>
        </w:tabs>
        <w:spacing w:before="120" w:after="120" w:line="240" w:lineRule="auto"/>
        <w:ind w:left="720"/>
        <w:jc w:val="both"/>
        <w:rPr>
          <w:color w:val="201943"/>
        </w:rPr>
      </w:pPr>
      <w:bookmarkStart w:id="3" w:name="_Toc152066870"/>
      <w:bookmarkStart w:id="4" w:name="_Toc152156914"/>
      <w:r w:rsidRPr="00A03239">
        <w:rPr>
          <w:color w:val="201943"/>
        </w:rPr>
        <w:t>Tools and Analysis Methods (AC 1.2)</w:t>
      </w:r>
      <w:bookmarkEnd w:id="3"/>
      <w:bookmarkEnd w:id="4"/>
      <w:r>
        <w:rPr>
          <w:color w:val="201943"/>
        </w:rPr>
        <w:t xml:space="preserve"> </w:t>
      </w:r>
    </w:p>
    <w:p w14:paraId="3DC2C2AE" w14:textId="48A411E8" w:rsidR="00300749" w:rsidRDefault="00300749" w:rsidP="00300749">
      <w:r>
        <w:t xml:space="preserve">There are multiple tools and methods that can be used to analyse and identify issues, challenges and/ or opportunities.  Examples of analysis tools include SWOT analysis, Porter’s Five Forces, Ansoff Matrix and PESTLE analysis.  PESTLE analysis allows an organisation to assess its external environment through the assessment of the political, economic, social, technological, </w:t>
      </w:r>
      <w:proofErr w:type="gramStart"/>
      <w:r>
        <w:t>legal</w:t>
      </w:r>
      <w:proofErr w:type="gramEnd"/>
      <w:r>
        <w:t xml:space="preserve"> and environmental factors which could impact the organisation, this can also be used for horizon scanning.  The process is simple, accessible and provides understanding of the wider business environment</w:t>
      </w:r>
      <w:r w:rsidR="00480066">
        <w:t xml:space="preserve"> and promotes strategic thinking</w:t>
      </w:r>
      <w:r w:rsidR="00710D96">
        <w:t xml:space="preserve">. </w:t>
      </w:r>
      <w:r>
        <w:t>However, it is possible that it is undertaken at too high a level to achieve meaningful information or in too much detail leading to information overload.  There is also a risk of assumptions being made which are not based on evidence and to remain current, it needs to be undertaken regularly due to the pace at which the environment changes.  (</w:t>
      </w:r>
      <w:r w:rsidR="008936E8" w:rsidRPr="008936E8">
        <w:t>Battista</w:t>
      </w:r>
      <w:r w:rsidRPr="008936E8">
        <w:t>, 2023)</w:t>
      </w:r>
      <w:r>
        <w:t xml:space="preserve">  </w:t>
      </w:r>
    </w:p>
    <w:p w14:paraId="73B3743C" w14:textId="77777777" w:rsidR="00300749" w:rsidRPr="00B7757C" w:rsidRDefault="00300749" w:rsidP="00300749">
      <w:pPr>
        <w:spacing w:before="120" w:after="120"/>
        <w:contextualSpacing/>
        <w:jc w:val="both"/>
        <w:rPr>
          <w:rFonts w:cs="Arial"/>
          <w:i/>
          <w:iCs/>
        </w:rPr>
      </w:pPr>
    </w:p>
    <w:p w14:paraId="467F18A2" w14:textId="4DB23052" w:rsidR="00300749" w:rsidRDefault="00300749" w:rsidP="00300749">
      <w:pPr>
        <w:spacing w:before="120" w:after="120"/>
        <w:contextualSpacing/>
        <w:jc w:val="both"/>
        <w:rPr>
          <w:rFonts w:cs="Arial"/>
          <w:color w:val="202020"/>
          <w:szCs w:val="20"/>
        </w:rPr>
      </w:pPr>
      <w:r w:rsidRPr="00ED2CE3">
        <w:rPr>
          <w:rFonts w:cs="Arial"/>
        </w:rPr>
        <w:t>Examples of analysis methods include interviews, observations, questionnaires, and people anal</w:t>
      </w:r>
      <w:r>
        <w:rPr>
          <w:rFonts w:cs="Arial"/>
        </w:rPr>
        <w:t>ytics</w:t>
      </w:r>
      <w:r w:rsidRPr="00ED2CE3">
        <w:rPr>
          <w:rFonts w:cs="Arial"/>
        </w:rPr>
        <w:t>.  People analy</w:t>
      </w:r>
      <w:r>
        <w:rPr>
          <w:rFonts w:cs="Arial"/>
        </w:rPr>
        <w:t>tic</w:t>
      </w:r>
      <w:r w:rsidRPr="00ED2CE3">
        <w:rPr>
          <w:rFonts w:cs="Arial"/>
        </w:rPr>
        <w:t>s “</w:t>
      </w:r>
      <w:r w:rsidRPr="00ED2CE3">
        <w:rPr>
          <w:rFonts w:cs="Arial"/>
          <w:i/>
          <w:iCs/>
        </w:rPr>
        <w:t xml:space="preserve">is the practice of gathering and using data about your workforce to enable evidence-based decision making for the benefit of your organisation and its </w:t>
      </w:r>
      <w:r w:rsidRPr="008936E8">
        <w:rPr>
          <w:rFonts w:cs="Arial"/>
          <w:i/>
          <w:iCs/>
          <w:szCs w:val="20"/>
        </w:rPr>
        <w:t>people</w:t>
      </w:r>
      <w:r w:rsidRPr="008936E8">
        <w:rPr>
          <w:rFonts w:cs="Arial"/>
          <w:color w:val="202020"/>
          <w:szCs w:val="20"/>
          <w:shd w:val="clear" w:color="auto" w:fill="FFFFFF"/>
        </w:rPr>
        <w:t>”</w:t>
      </w:r>
      <w:r w:rsidR="008936E8">
        <w:rPr>
          <w:rFonts w:cs="Arial"/>
          <w:color w:val="202020"/>
          <w:sz w:val="27"/>
          <w:szCs w:val="27"/>
          <w:shd w:val="clear" w:color="auto" w:fill="FFFFFF"/>
        </w:rPr>
        <w:t xml:space="preserve"> </w:t>
      </w:r>
      <w:r w:rsidR="008936E8" w:rsidRPr="008936E8">
        <w:rPr>
          <w:rFonts w:cs="Arial"/>
          <w:color w:val="202020"/>
          <w:szCs w:val="20"/>
          <w:shd w:val="clear" w:color="auto" w:fill="FFFFFF"/>
        </w:rPr>
        <w:t>(CIPD, 2021</w:t>
      </w:r>
      <w:r w:rsidR="00286244">
        <w:rPr>
          <w:rFonts w:cs="Arial"/>
          <w:color w:val="202020"/>
          <w:szCs w:val="20"/>
          <w:shd w:val="clear" w:color="auto" w:fill="FFFFFF"/>
        </w:rPr>
        <w:t>a</w:t>
      </w:r>
      <w:r w:rsidR="008936E8" w:rsidRPr="008936E8">
        <w:rPr>
          <w:rFonts w:cs="Arial"/>
          <w:color w:val="202020"/>
          <w:szCs w:val="20"/>
          <w:shd w:val="clear" w:color="auto" w:fill="FFFFFF"/>
        </w:rPr>
        <w:t>)</w:t>
      </w:r>
      <w:r w:rsidR="008936E8">
        <w:rPr>
          <w:rFonts w:cs="Arial"/>
          <w:color w:val="202020"/>
          <w:szCs w:val="20"/>
          <w:shd w:val="clear" w:color="auto" w:fill="FFFFFF"/>
        </w:rPr>
        <w:t>.</w:t>
      </w:r>
      <w:r w:rsidRPr="008936E8">
        <w:rPr>
          <w:rFonts w:cs="Arial"/>
          <w:color w:val="202020"/>
          <w:szCs w:val="20"/>
          <w:shd w:val="clear" w:color="auto" w:fill="FFFFFF"/>
        </w:rPr>
        <w:t> </w:t>
      </w:r>
      <w:r w:rsidRPr="00ED2CE3">
        <w:rPr>
          <w:rFonts w:cs="Arial"/>
          <w:color w:val="202020"/>
          <w:szCs w:val="20"/>
          <w:shd w:val="clear" w:color="auto" w:fill="FFFFFF"/>
        </w:rPr>
        <w:t xml:space="preserve">This process can be undertaken in several ways to enhance processes and to shape HR and other processes to be more effective.  Some examples of this could be identifying a high turnover of staff from KPI data, then reviewing data on the reason for leaving could allow HR to understand issues and implement changes to retain staff.  </w:t>
      </w:r>
      <w:r w:rsidRPr="00ED2CE3">
        <w:rPr>
          <w:rFonts w:cs="Arial"/>
          <w:color w:val="202020"/>
          <w:szCs w:val="20"/>
        </w:rPr>
        <w:t>It can also be helpful to use this approach to “</w:t>
      </w:r>
      <w:r w:rsidRPr="00ED2CE3">
        <w:rPr>
          <w:rFonts w:cs="Arial"/>
          <w:i/>
          <w:iCs/>
          <w:color w:val="202020"/>
          <w:szCs w:val="20"/>
        </w:rPr>
        <w:t>demonstrate the impact of HR policies and processes on workforce and organisational performance”</w:t>
      </w:r>
      <w:r>
        <w:rPr>
          <w:rFonts w:cs="Arial"/>
          <w:i/>
          <w:iCs/>
          <w:color w:val="202020"/>
          <w:szCs w:val="20"/>
        </w:rPr>
        <w:t xml:space="preserve"> </w:t>
      </w:r>
      <w:r w:rsidRPr="00ED2CE3">
        <w:rPr>
          <w:rFonts w:cs="Arial"/>
          <w:i/>
          <w:iCs/>
          <w:color w:val="202020"/>
          <w:szCs w:val="20"/>
        </w:rPr>
        <w:t>(CIPD, 2022</w:t>
      </w:r>
      <w:r w:rsidR="002D19CC">
        <w:rPr>
          <w:rFonts w:cs="Arial"/>
          <w:i/>
          <w:iCs/>
          <w:color w:val="202020"/>
          <w:szCs w:val="20"/>
        </w:rPr>
        <w:t>a</w:t>
      </w:r>
      <w:r w:rsidRPr="00ED2CE3">
        <w:rPr>
          <w:rFonts w:cs="Arial"/>
          <w:i/>
          <w:iCs/>
          <w:color w:val="202020"/>
          <w:szCs w:val="20"/>
        </w:rPr>
        <w:t>)</w:t>
      </w:r>
      <w:r>
        <w:rPr>
          <w:rFonts w:cs="Arial"/>
          <w:i/>
          <w:iCs/>
          <w:color w:val="202020"/>
          <w:szCs w:val="20"/>
        </w:rPr>
        <w:t>.</w:t>
      </w:r>
      <w:r w:rsidRPr="00ED2CE3">
        <w:rPr>
          <w:rFonts w:cs="Arial"/>
          <w:i/>
          <w:iCs/>
          <w:color w:val="202020"/>
          <w:szCs w:val="20"/>
        </w:rPr>
        <w:t xml:space="preserve">  </w:t>
      </w:r>
      <w:r w:rsidRPr="00ED2CE3">
        <w:rPr>
          <w:rFonts w:cs="Arial"/>
          <w:color w:val="202020"/>
          <w:szCs w:val="20"/>
        </w:rPr>
        <w:t>It also demonstrates the use of EBP as data is being reviewed to identify issues and look for potential solutions.</w:t>
      </w:r>
      <w:r>
        <w:rPr>
          <w:rFonts w:cs="Arial"/>
          <w:color w:val="202020"/>
          <w:szCs w:val="20"/>
        </w:rPr>
        <w:t xml:space="preserve">  People analysis can be very valuable as it allows information specific to the organisation to be considered, however it can take time to build an appropriate data set, depending on the topic.</w:t>
      </w:r>
    </w:p>
    <w:p w14:paraId="14E0DBFE" w14:textId="77777777" w:rsidR="00300749" w:rsidRPr="00ED2CE3" w:rsidRDefault="00300749" w:rsidP="00300749">
      <w:pPr>
        <w:spacing w:before="120" w:after="120"/>
        <w:ind w:left="0"/>
        <w:contextualSpacing/>
        <w:jc w:val="both"/>
        <w:rPr>
          <w:rFonts w:cs="Arial"/>
          <w:i/>
          <w:iCs/>
          <w:color w:val="202020"/>
          <w:sz w:val="27"/>
          <w:szCs w:val="27"/>
          <w:shd w:val="clear" w:color="auto" w:fill="FFFFFF"/>
        </w:rPr>
      </w:pPr>
    </w:p>
    <w:p w14:paraId="11644A49" w14:textId="77777777" w:rsidR="00300749" w:rsidRPr="001727A3" w:rsidRDefault="00300749" w:rsidP="00300749">
      <w:pPr>
        <w:pStyle w:val="Heading1"/>
        <w:keepLines w:val="0"/>
        <w:tabs>
          <w:tab w:val="left" w:pos="709"/>
        </w:tabs>
        <w:spacing w:before="120" w:after="120" w:line="240" w:lineRule="auto"/>
        <w:ind w:left="720"/>
        <w:jc w:val="both"/>
        <w:rPr>
          <w:color w:val="201943"/>
        </w:rPr>
      </w:pPr>
      <w:bookmarkStart w:id="5" w:name="_Toc152066871"/>
      <w:bookmarkStart w:id="6" w:name="_Toc152156915"/>
      <w:r>
        <w:rPr>
          <w:color w:val="201943"/>
        </w:rPr>
        <w:t>P</w:t>
      </w:r>
      <w:r w:rsidRPr="001727A3">
        <w:rPr>
          <w:color w:val="201943"/>
        </w:rPr>
        <w:t>rinciples of Critical Thinking (AC 1.3)</w:t>
      </w:r>
      <w:bookmarkEnd w:id="5"/>
      <w:bookmarkEnd w:id="6"/>
    </w:p>
    <w:p w14:paraId="4F829009" w14:textId="0AD6C44B" w:rsidR="00300749" w:rsidRDefault="00300749" w:rsidP="00300749">
      <w:pPr>
        <w:shd w:val="clear" w:color="auto" w:fill="FFFFFF"/>
        <w:spacing w:before="100" w:beforeAutospacing="1" w:after="100" w:afterAutospacing="1" w:line="240" w:lineRule="auto"/>
        <w:ind w:left="720"/>
        <w:rPr>
          <w:rFonts w:asciiTheme="majorHAnsi" w:hAnsiTheme="majorHAnsi" w:cstheme="majorHAnsi"/>
          <w:color w:val="333333"/>
          <w:szCs w:val="20"/>
          <w:shd w:val="clear" w:color="auto" w:fill="FFFFFF"/>
        </w:rPr>
      </w:pPr>
      <w:r w:rsidRPr="005F1BA7">
        <w:rPr>
          <w:rFonts w:asciiTheme="majorHAnsi" w:hAnsiTheme="majorHAnsi" w:cstheme="majorHAnsi"/>
          <w:szCs w:val="20"/>
        </w:rPr>
        <w:t>“</w:t>
      </w:r>
      <w:r w:rsidRPr="005F1BA7">
        <w:rPr>
          <w:rFonts w:asciiTheme="majorHAnsi" w:hAnsiTheme="majorHAnsi" w:cstheme="majorHAnsi"/>
          <w:i/>
          <w:iCs/>
          <w:color w:val="202020"/>
          <w:szCs w:val="20"/>
        </w:rPr>
        <w:t>Critical</w:t>
      </w:r>
      <w:r w:rsidRPr="005F1BA7">
        <w:rPr>
          <w:rFonts w:asciiTheme="majorHAnsi" w:hAnsiTheme="majorHAnsi" w:cstheme="majorHAnsi"/>
          <w:i/>
          <w:iCs/>
          <w:color w:val="333333"/>
          <w:szCs w:val="20"/>
          <w:shd w:val="clear" w:color="auto" w:fill="FFFFFF"/>
        </w:rPr>
        <w:t xml:space="preserve"> thinking is the art of making clear, reasoned judgements based on interpreting, understanding, applying and synthesising evidence gathered from observation, reading and experimentation.</w:t>
      </w:r>
      <w:r>
        <w:rPr>
          <w:rFonts w:ascii="Source Sans Pro" w:hAnsi="Source Sans Pro"/>
          <w:i/>
          <w:iCs/>
          <w:color w:val="333333"/>
          <w:sz w:val="29"/>
          <w:szCs w:val="29"/>
          <w:shd w:val="clear" w:color="auto" w:fill="FFFFFF"/>
        </w:rPr>
        <w:t xml:space="preserve">” </w:t>
      </w:r>
      <w:r w:rsidRPr="00114082">
        <w:rPr>
          <w:rFonts w:asciiTheme="majorHAnsi" w:hAnsiTheme="majorHAnsi" w:cstheme="majorHAnsi"/>
          <w:color w:val="333333"/>
          <w:szCs w:val="20"/>
          <w:shd w:val="clear" w:color="auto" w:fill="FFFFFF"/>
        </w:rPr>
        <w:t>We live in a world where information is everywhere and immediately available.  However, there is also a lot of “fake news” and misinformation posed as fact</w:t>
      </w:r>
      <w:r>
        <w:rPr>
          <w:rFonts w:asciiTheme="majorHAnsi" w:hAnsiTheme="majorHAnsi" w:cstheme="majorHAnsi"/>
          <w:color w:val="333333"/>
          <w:szCs w:val="20"/>
          <w:shd w:val="clear" w:color="auto" w:fill="FFFFFF"/>
        </w:rPr>
        <w:t xml:space="preserve"> and there is a requirement to be able to identify </w:t>
      </w:r>
      <w:r w:rsidR="00181721">
        <w:rPr>
          <w:rFonts w:asciiTheme="majorHAnsi" w:hAnsiTheme="majorHAnsi" w:cstheme="majorHAnsi"/>
          <w:color w:val="333333"/>
          <w:szCs w:val="20"/>
          <w:shd w:val="clear" w:color="auto" w:fill="FFFFFF"/>
        </w:rPr>
        <w:t>this</w:t>
      </w:r>
      <w:r>
        <w:rPr>
          <w:rFonts w:asciiTheme="majorHAnsi" w:hAnsiTheme="majorHAnsi" w:cstheme="majorHAnsi"/>
          <w:color w:val="333333"/>
          <w:szCs w:val="20"/>
          <w:shd w:val="clear" w:color="auto" w:fill="FFFFFF"/>
        </w:rPr>
        <w:t xml:space="preserve">.  Critical thinking does not mean that practitioners should attempt to discredit information, it means to that multiple sources of evidence should be considered and assessed to allow for reasonable conclusions to be made </w:t>
      </w:r>
      <w:r w:rsidR="00DC388F">
        <w:rPr>
          <w:rFonts w:asciiTheme="majorHAnsi" w:hAnsiTheme="majorHAnsi" w:cstheme="majorHAnsi"/>
          <w:color w:val="333333"/>
          <w:szCs w:val="20"/>
          <w:shd w:val="clear" w:color="auto" w:fill="FFFFFF"/>
        </w:rPr>
        <w:t>(University of Edinburgh, 2023</w:t>
      </w:r>
      <w:r w:rsidR="00CB7B45">
        <w:rPr>
          <w:rFonts w:asciiTheme="majorHAnsi" w:hAnsiTheme="majorHAnsi" w:cstheme="majorHAnsi"/>
          <w:color w:val="333333"/>
          <w:szCs w:val="20"/>
          <w:shd w:val="clear" w:color="auto" w:fill="FFFFFF"/>
        </w:rPr>
        <w:t>). Critical</w:t>
      </w:r>
      <w:r>
        <w:rPr>
          <w:rFonts w:asciiTheme="majorHAnsi" w:hAnsiTheme="majorHAnsi" w:cstheme="majorHAnsi"/>
          <w:color w:val="333333"/>
          <w:szCs w:val="20"/>
          <w:shd w:val="clear" w:color="auto" w:fill="FFFFFF"/>
        </w:rPr>
        <w:t xml:space="preserve"> thinking is a key element of the 6 steps mentioned above and should be used when appraising evidence.  There are various methods to undertake this assessment, but predominately practitioners should consider who wrote or published the article?  Is there are particular indication of bias from the author or the organisation that funded the study?  Does other information support the data and evidence?  Is the data reviewed, the best available?  How has the evidence been gathered? (</w:t>
      </w:r>
      <w:r w:rsidR="008936E8">
        <w:rPr>
          <w:rFonts w:asciiTheme="majorHAnsi" w:hAnsiTheme="majorHAnsi" w:cstheme="majorHAnsi"/>
          <w:color w:val="333333"/>
          <w:szCs w:val="20"/>
          <w:shd w:val="clear" w:color="auto" w:fill="FFFFFF"/>
        </w:rPr>
        <w:t>Young</w:t>
      </w:r>
      <w:r>
        <w:rPr>
          <w:rFonts w:asciiTheme="majorHAnsi" w:hAnsiTheme="majorHAnsi" w:cstheme="majorHAnsi"/>
          <w:color w:val="333333"/>
          <w:szCs w:val="20"/>
          <w:shd w:val="clear" w:color="auto" w:fill="FFFFFF"/>
        </w:rPr>
        <w:t>, 2023)</w:t>
      </w:r>
      <w:r w:rsidR="008936E8">
        <w:rPr>
          <w:rFonts w:asciiTheme="majorHAnsi" w:hAnsiTheme="majorHAnsi" w:cstheme="majorHAnsi"/>
          <w:color w:val="333333"/>
          <w:szCs w:val="20"/>
          <w:shd w:val="clear" w:color="auto" w:fill="FFFFFF"/>
        </w:rPr>
        <w:t>.</w:t>
      </w:r>
      <w:r>
        <w:rPr>
          <w:rFonts w:asciiTheme="majorHAnsi" w:hAnsiTheme="majorHAnsi" w:cstheme="majorHAnsi"/>
          <w:color w:val="333333"/>
          <w:szCs w:val="20"/>
          <w:shd w:val="clear" w:color="auto" w:fill="FFFFFF"/>
        </w:rPr>
        <w:t xml:space="preserve"> It is also important to be aware of our own biases as these can also influence our thought processes and can lead to practitioners reaching for information to support their own views and opinions, for effective critical thinking, the assessor needs to remain objective when appraising evidence.</w:t>
      </w:r>
    </w:p>
    <w:p w14:paraId="5EDC87FA" w14:textId="77777777" w:rsidR="00300749" w:rsidRPr="00804B00" w:rsidRDefault="00300749" w:rsidP="00300749">
      <w:pPr>
        <w:pStyle w:val="Heading1"/>
        <w:keepLines w:val="0"/>
        <w:tabs>
          <w:tab w:val="left" w:pos="709"/>
        </w:tabs>
        <w:spacing w:before="120" w:after="120" w:line="240" w:lineRule="auto"/>
        <w:ind w:left="720"/>
        <w:jc w:val="both"/>
        <w:rPr>
          <w:color w:val="201943"/>
        </w:rPr>
      </w:pPr>
      <w:bookmarkStart w:id="7" w:name="_Toc152066872"/>
      <w:bookmarkStart w:id="8" w:name="_Toc152156916"/>
      <w:r w:rsidRPr="00804B00">
        <w:rPr>
          <w:color w:val="201943"/>
        </w:rPr>
        <w:t>Decision making processes (AC 1.4)</w:t>
      </w:r>
      <w:bookmarkEnd w:id="7"/>
      <w:bookmarkEnd w:id="8"/>
    </w:p>
    <w:p w14:paraId="4D597270" w14:textId="44D62CC9" w:rsidR="00300749" w:rsidRPr="00804B00" w:rsidRDefault="00300749" w:rsidP="00300749">
      <w:r w:rsidRPr="00804B00">
        <w:t>Decision making processes</w:t>
      </w:r>
      <w:r>
        <w:t xml:space="preserve"> (DMP)</w:t>
      </w:r>
      <w:r w:rsidRPr="00804B00">
        <w:t xml:space="preserve"> is a term used to collectively categorise processes used to assist practitioners in effective decision making.  There are many different examples of this including De Bono’s </w:t>
      </w:r>
      <w:r>
        <w:lastRenderedPageBreak/>
        <w:t>T</w:t>
      </w:r>
      <w:r w:rsidRPr="00804B00">
        <w:t xml:space="preserve">hinking </w:t>
      </w:r>
      <w:r>
        <w:t>H</w:t>
      </w:r>
      <w:r w:rsidRPr="00804B00">
        <w:t xml:space="preserve">ats, </w:t>
      </w:r>
      <w:r>
        <w:t>Problem-Outcome Frame</w:t>
      </w:r>
      <w:r w:rsidRPr="00804B00">
        <w:t xml:space="preserve"> and SWOT analysis.  Young (202</w:t>
      </w:r>
      <w:r w:rsidR="008936E8">
        <w:t>3</w:t>
      </w:r>
      <w:r w:rsidRPr="00804B00">
        <w:t xml:space="preserve">) states that a key benefit of </w:t>
      </w:r>
      <w:r>
        <w:t>DMP’s</w:t>
      </w:r>
      <w:r w:rsidRPr="00804B00">
        <w:rPr>
          <w:rFonts w:ascii="Roboto" w:hAnsi="Roboto"/>
          <w:i/>
          <w:iCs/>
          <w:spacing w:val="2"/>
          <w:shd w:val="clear" w:color="auto" w:fill="FFFFFF"/>
        </w:rPr>
        <w:t xml:space="preserve"> “</w:t>
      </w:r>
      <w:r w:rsidRPr="00804B00">
        <w:rPr>
          <w:rFonts w:asciiTheme="minorHAnsi" w:hAnsiTheme="minorHAnsi" w:cstheme="minorHAnsi"/>
          <w:i/>
          <w:iCs/>
          <w:spacing w:val="2"/>
          <w:szCs w:val="20"/>
          <w:shd w:val="clear" w:color="auto" w:fill="FFFFFF"/>
        </w:rPr>
        <w:t>is that they allow for thoughtful consideration of all of the facts and information in a given situation and provide a consistent approach to decision-making that can be applied across different types of decisions</w:t>
      </w:r>
      <w:r w:rsidRPr="00804B00">
        <w:rPr>
          <w:rFonts w:ascii="Roboto" w:hAnsi="Roboto"/>
          <w:i/>
          <w:iCs/>
          <w:spacing w:val="2"/>
          <w:shd w:val="clear" w:color="auto" w:fill="FFFFFF"/>
        </w:rPr>
        <w:t>.”</w:t>
      </w:r>
    </w:p>
    <w:p w14:paraId="7B880CBF" w14:textId="1BDEB1AB" w:rsidR="00300749" w:rsidRPr="00804B00" w:rsidRDefault="00300749" w:rsidP="00300749">
      <w:r w:rsidRPr="00804B00">
        <w:t>De Bono (1999) established the idea of 6 thinking hats which represented different approaches of looking at a problem and solution.  This approach is widely used and involves using each of the six ‘</w:t>
      </w:r>
      <w:proofErr w:type="gramStart"/>
      <w:r w:rsidRPr="00804B00">
        <w:t>hats</w:t>
      </w:r>
      <w:r>
        <w:t>’</w:t>
      </w:r>
      <w:proofErr w:type="gramEnd"/>
      <w:r w:rsidRPr="00804B00">
        <w:t>.  This can be done using different personalities which all approach a problem in each of the six ways or if that is not possible, a group can take turns to wear the hats to consider the issue at hand.  The use of each hat demonstrates balance, and each bring value to the process.  The white hat is data drives, the red hat makes decision based upon emotion and intuition, the blue hat is very process driven, the black hat is driven by risk and critical thinking, the yellow hat focuses on opportunity and the green hat brings innovation.  If only one type of person or hat was used, inappropriate decisions could be made as other angles may not be considered. (CMI, 2020</w:t>
      </w:r>
      <w:r w:rsidR="00493A95">
        <w:t>a</w:t>
      </w:r>
      <w:r w:rsidRPr="00804B00">
        <w:t>)</w:t>
      </w:r>
      <w:r w:rsidR="001A76F8">
        <w:t>.</w:t>
      </w:r>
    </w:p>
    <w:p w14:paraId="2D5E0854" w14:textId="77777777" w:rsidR="00300749" w:rsidRDefault="00300749" w:rsidP="00300749">
      <w:pPr>
        <w:jc w:val="center"/>
        <w:rPr>
          <w:highlight w:val="yellow"/>
        </w:rPr>
      </w:pPr>
      <w:r w:rsidRPr="0091631D">
        <w:rPr>
          <w:noProof/>
        </w:rPr>
        <w:drawing>
          <wp:inline distT="0" distB="0" distL="0" distR="0" wp14:anchorId="1F8D0106" wp14:editId="7F6CF6F4">
            <wp:extent cx="3799722" cy="3110646"/>
            <wp:effectExtent l="0" t="0" r="0" b="0"/>
            <wp:docPr id="144247406" name="Picture 1" descr="A group of brain with ha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7406" name="Picture 1" descr="A group of brain with hats&#10;&#10;Description automatically generated with medium confidence"/>
                    <pic:cNvPicPr/>
                  </pic:nvPicPr>
                  <pic:blipFill>
                    <a:blip r:embed="rId15"/>
                    <a:stretch>
                      <a:fillRect/>
                    </a:stretch>
                  </pic:blipFill>
                  <pic:spPr>
                    <a:xfrm>
                      <a:off x="0" y="0"/>
                      <a:ext cx="3808430" cy="3117775"/>
                    </a:xfrm>
                    <a:prstGeom prst="rect">
                      <a:avLst/>
                    </a:prstGeom>
                  </pic:spPr>
                </pic:pic>
              </a:graphicData>
            </a:graphic>
          </wp:inline>
        </w:drawing>
      </w:r>
    </w:p>
    <w:p w14:paraId="0B724B9F" w14:textId="3C087FBB" w:rsidR="00300749" w:rsidRDefault="00300749" w:rsidP="00300749">
      <w:pPr>
        <w:jc w:val="right"/>
      </w:pPr>
      <w:r w:rsidRPr="00C4344D">
        <w:t>The Persimmon Group (2020)</w:t>
      </w:r>
    </w:p>
    <w:p w14:paraId="3ACBC2B7" w14:textId="14EC8C0F" w:rsidR="00300749" w:rsidRDefault="00300749" w:rsidP="00300749">
      <w:r>
        <w:t xml:space="preserve">SWOT analysis is another DMP which is commonly used and is simple to navigate.  The process involves considering the strengths, weaknesses, opportunities and threats of an issue and decision. </w:t>
      </w:r>
      <w:r w:rsidRPr="00E06713">
        <w:t xml:space="preserve">This should include internal and external factors and could help the organisation fully understand the implications of a </w:t>
      </w:r>
      <w:r w:rsidRPr="00B7712E">
        <w:t>decision</w:t>
      </w:r>
      <w:r w:rsidR="001A76F8">
        <w:t xml:space="preserve"> </w:t>
      </w:r>
      <w:r w:rsidRPr="00B7712E">
        <w:t>(</w:t>
      </w:r>
      <w:r w:rsidR="001A76F8">
        <w:t>Haan</w:t>
      </w:r>
      <w:r w:rsidRPr="00B7712E">
        <w:t>, 2023)</w:t>
      </w:r>
      <w:r w:rsidR="001A76F8">
        <w:t>.</w:t>
      </w:r>
    </w:p>
    <w:p w14:paraId="35F9C9E9" w14:textId="77777777" w:rsidR="00300749" w:rsidRPr="00B7712E" w:rsidRDefault="00300749" w:rsidP="00300749"/>
    <w:p w14:paraId="4AC3CAE8" w14:textId="495EF8CE" w:rsidR="00300749" w:rsidRDefault="00300749" w:rsidP="00300749">
      <w:r w:rsidRPr="00B7712E">
        <w:t>Problem Outcome Frame is a methodology whereby the user seeks to appropriately define a problem, gather information to assist in prioritisation, understanding of the root cause of an issue and understanding of any obstacles and work to identify and implement appropriate solutions.  This approach is a clear use of EBP.</w:t>
      </w:r>
      <w:r w:rsidR="00347FD7">
        <w:t xml:space="preserve"> (CIPD Forum, 2023)</w:t>
      </w:r>
    </w:p>
    <w:p w14:paraId="544C0943" w14:textId="77777777" w:rsidR="00300749" w:rsidRPr="00B7712E" w:rsidRDefault="00300749" w:rsidP="00300749">
      <w:pPr>
        <w:rPr>
          <w:rStyle w:val="Hyperlink"/>
        </w:rPr>
      </w:pPr>
    </w:p>
    <w:p w14:paraId="040C2729" w14:textId="77777777" w:rsidR="00300749" w:rsidRPr="003F4265" w:rsidRDefault="00300749" w:rsidP="00300749">
      <w:pPr>
        <w:jc w:val="center"/>
      </w:pPr>
      <w:r w:rsidRPr="000713EE">
        <w:rPr>
          <w:noProof/>
        </w:rPr>
        <w:lastRenderedPageBreak/>
        <w:drawing>
          <wp:inline distT="0" distB="0" distL="0" distR="0" wp14:anchorId="124ADC30" wp14:editId="5CEDE67E">
            <wp:extent cx="4473575" cy="2479573"/>
            <wp:effectExtent l="0" t="0" r="3175" b="0"/>
            <wp:docPr id="1788338012" name="Picture 1" descr="A puzzle piec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38012" name="Picture 1" descr="A puzzle pieces with text&#10;&#10;Description automatically generated"/>
                    <pic:cNvPicPr/>
                  </pic:nvPicPr>
                  <pic:blipFill>
                    <a:blip r:embed="rId16"/>
                    <a:stretch>
                      <a:fillRect/>
                    </a:stretch>
                  </pic:blipFill>
                  <pic:spPr>
                    <a:xfrm>
                      <a:off x="0" y="0"/>
                      <a:ext cx="4485523" cy="2486195"/>
                    </a:xfrm>
                    <a:prstGeom prst="rect">
                      <a:avLst/>
                    </a:prstGeom>
                  </pic:spPr>
                </pic:pic>
              </a:graphicData>
            </a:graphic>
          </wp:inline>
        </w:drawing>
      </w:r>
    </w:p>
    <w:p w14:paraId="6146FEDF" w14:textId="4F0440A3" w:rsidR="00300749" w:rsidRPr="00F80F6A" w:rsidRDefault="00300749" w:rsidP="00E75F50">
      <w:pPr>
        <w:jc w:val="right"/>
        <w:rPr>
          <w:b/>
          <w:bCs/>
        </w:rPr>
      </w:pPr>
      <w:r w:rsidRPr="00E75F50">
        <w:t>Asana (2022)</w:t>
      </w:r>
    </w:p>
    <w:p w14:paraId="7BACACF1" w14:textId="77777777" w:rsidR="00300749" w:rsidRDefault="00300749" w:rsidP="00300749">
      <w:pPr>
        <w:pStyle w:val="Heading1"/>
        <w:keepLines w:val="0"/>
        <w:tabs>
          <w:tab w:val="left" w:pos="709"/>
        </w:tabs>
        <w:spacing w:before="120" w:after="120" w:line="240" w:lineRule="auto"/>
        <w:ind w:left="720"/>
        <w:jc w:val="both"/>
        <w:rPr>
          <w:color w:val="201943"/>
        </w:rPr>
      </w:pPr>
      <w:bookmarkStart w:id="9" w:name="_Toc152066873"/>
      <w:bookmarkStart w:id="10" w:name="_Toc152156917"/>
      <w:r w:rsidRPr="00A03239">
        <w:rPr>
          <w:color w:val="201943"/>
        </w:rPr>
        <w:t>Ethical Perspectives (AC 1.5)</w:t>
      </w:r>
      <w:bookmarkEnd w:id="9"/>
      <w:bookmarkEnd w:id="10"/>
    </w:p>
    <w:p w14:paraId="2A738407" w14:textId="03CBD2C6" w:rsidR="00300749" w:rsidRDefault="00300749" w:rsidP="00300749">
      <w:r w:rsidRPr="00961198">
        <w:rPr>
          <w:i/>
          <w:iCs/>
        </w:rPr>
        <w:t>Ethical values provide the moral compass by which we live our lives and make decisions.</w:t>
      </w:r>
      <w:r>
        <w:rPr>
          <w:i/>
          <w:iCs/>
        </w:rPr>
        <w:t xml:space="preserve"> (CIPD,2019) </w:t>
      </w:r>
      <w:r>
        <w:t>with different life experiences, it should be expected that ethical values will change from person to person.  Other influences such as religion can also influence a person’s ethical perspective.  Therefore, organisations and professional bodies commonly have codes of ethics which determine how their members or employees should behave when undertaking their duties.  The CIPD has a Code of Conduct and Ethics which all members are required to work to which defines the behaviour and expectations expected of them</w:t>
      </w:r>
      <w:r w:rsidR="009155A8">
        <w:t xml:space="preserve"> </w:t>
      </w:r>
      <w:r>
        <w:t>(CIPD, 2023</w:t>
      </w:r>
      <w:r w:rsidR="00AC0165">
        <w:t>b</w:t>
      </w:r>
      <w:r>
        <w:t>)</w:t>
      </w:r>
      <w:r w:rsidR="009155A8">
        <w:t>.</w:t>
      </w:r>
      <w:r>
        <w:t xml:space="preserve">  The CIPD expects that ethical behaviour is applied when making decisions and introduced eight ethical lenses in which problems and decisions should be considered.  The eight lenses each provide a different option and perspectives to allow issues and resolutions to be considered in differing ways.</w:t>
      </w:r>
    </w:p>
    <w:p w14:paraId="1359ADFE" w14:textId="0448662F" w:rsidR="00300749" w:rsidRDefault="00300749" w:rsidP="00B50B86">
      <w:pPr>
        <w:jc w:val="center"/>
      </w:pPr>
      <w:r w:rsidRPr="00DB22E5">
        <w:rPr>
          <w:noProof/>
        </w:rPr>
        <w:drawing>
          <wp:inline distT="0" distB="0" distL="0" distR="0" wp14:anchorId="2DB04D6F" wp14:editId="5F97771C">
            <wp:extent cx="4351020" cy="2348592"/>
            <wp:effectExtent l="0" t="0" r="0" b="0"/>
            <wp:docPr id="1024717483" name="Picture 1"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17483" name="Picture 1" descr="A group of text on a white background&#10;&#10;Description automatically generated"/>
                    <pic:cNvPicPr/>
                  </pic:nvPicPr>
                  <pic:blipFill>
                    <a:blip r:embed="rId17"/>
                    <a:stretch>
                      <a:fillRect/>
                    </a:stretch>
                  </pic:blipFill>
                  <pic:spPr>
                    <a:xfrm>
                      <a:off x="0" y="0"/>
                      <a:ext cx="4364279" cy="2355749"/>
                    </a:xfrm>
                    <a:prstGeom prst="rect">
                      <a:avLst/>
                    </a:prstGeom>
                  </pic:spPr>
                </pic:pic>
              </a:graphicData>
            </a:graphic>
          </wp:inline>
        </w:drawing>
      </w:r>
    </w:p>
    <w:p w14:paraId="49A53A85" w14:textId="5AFFAB9A" w:rsidR="00B50B86" w:rsidRDefault="00B50B86" w:rsidP="00B50B86">
      <w:pPr>
        <w:jc w:val="right"/>
      </w:pPr>
      <w:r>
        <w:t>CIPD, 2015</w:t>
      </w:r>
    </w:p>
    <w:p w14:paraId="72749375" w14:textId="4B5419F7" w:rsidR="00300749" w:rsidRPr="00F0673B" w:rsidRDefault="00300749" w:rsidP="00300749">
      <w:pPr>
        <w:rPr>
          <w:szCs w:val="20"/>
        </w:rPr>
      </w:pPr>
      <w:r w:rsidRPr="00F0673B">
        <w:rPr>
          <w:rFonts w:cs="Arial"/>
          <w:color w:val="202020"/>
          <w:szCs w:val="20"/>
          <w:shd w:val="clear" w:color="auto" w:fill="FFFFFF"/>
        </w:rPr>
        <w:t>The concept of ethics dates back millennia and there are multiple recognised ethical perspectives.  When considering a problem, alternative approaches or answers could be achieved by thinking about it through a different ethical perspective.  Some examples of ethical perspectives are:</w:t>
      </w:r>
    </w:p>
    <w:p w14:paraId="7D49D374" w14:textId="77777777" w:rsidR="00300749" w:rsidRPr="00F0673B" w:rsidRDefault="00300749" w:rsidP="00300749">
      <w:pPr>
        <w:pStyle w:val="ListParagraph"/>
        <w:numPr>
          <w:ilvl w:val="0"/>
          <w:numId w:val="42"/>
        </w:numPr>
      </w:pPr>
      <w:r w:rsidRPr="00F0673B">
        <w:t xml:space="preserve">Deontology is doing the ‘right thing’ based on justice, </w:t>
      </w:r>
      <w:proofErr w:type="gramStart"/>
      <w:r w:rsidRPr="00F0673B">
        <w:t>fairness</w:t>
      </w:r>
      <w:proofErr w:type="gramEnd"/>
      <w:r w:rsidRPr="00F0673B">
        <w:t xml:space="preserve"> and equality. This approach focuses on an act rather than the outcome and believes that the act should be considered rather than the outcome. </w:t>
      </w:r>
    </w:p>
    <w:p w14:paraId="14421556" w14:textId="7101BF45" w:rsidR="00300749" w:rsidRPr="00F0673B" w:rsidRDefault="00300749" w:rsidP="00300749">
      <w:pPr>
        <w:pStyle w:val="ListParagraph"/>
        <w:numPr>
          <w:ilvl w:val="0"/>
          <w:numId w:val="42"/>
        </w:numPr>
      </w:pPr>
      <w:r w:rsidRPr="00F0673B">
        <w:t xml:space="preserve">Utilitarianism is where the aim is to achieve the greatest good for the greatest amount of people, therefore focusing more of the outcome or consequence of an act, rather than the act itself. </w:t>
      </w:r>
      <w:r w:rsidR="00B07379">
        <w:t>(Waite et al, 2021)</w:t>
      </w:r>
    </w:p>
    <w:p w14:paraId="46393206" w14:textId="261E90BC" w:rsidR="00300749" w:rsidRPr="00F0673B" w:rsidRDefault="00300749" w:rsidP="00300749">
      <w:pPr>
        <w:pStyle w:val="ListParagraph"/>
        <w:numPr>
          <w:ilvl w:val="0"/>
          <w:numId w:val="42"/>
        </w:numPr>
      </w:pPr>
      <w:r w:rsidRPr="00F0673B">
        <w:lastRenderedPageBreak/>
        <w:t>Ethical Egoism is a more recent perspective which focuses on individual pleasure.</w:t>
      </w:r>
      <w:r w:rsidR="006113DA">
        <w:t xml:space="preserve"> (Schultz, 2023)</w:t>
      </w:r>
    </w:p>
    <w:p w14:paraId="1B40E959" w14:textId="4A6B8AB1" w:rsidR="00300749" w:rsidRPr="00F0673B" w:rsidRDefault="00300749" w:rsidP="00300749">
      <w:pPr>
        <w:rPr>
          <w:rFonts w:cs="Arial"/>
          <w:color w:val="202020"/>
          <w:szCs w:val="20"/>
          <w:shd w:val="clear" w:color="auto" w:fill="FFFFFF"/>
        </w:rPr>
      </w:pPr>
      <w:r w:rsidRPr="00F0673B">
        <w:rPr>
          <w:rFonts w:cs="Arial"/>
          <w:color w:val="202020"/>
          <w:szCs w:val="20"/>
          <w:shd w:val="clear" w:color="auto" w:fill="FFFFFF"/>
        </w:rPr>
        <w:t xml:space="preserve">If we utilise these three perspectives to considering an appropriate outcome to high-level HR issue such as an organisation considering its approach to a pay rise.  Deontology may tell us that the higher performer should receive a higher pay award as they have worked harder and should be rewarded as that is fair.  Utilitarianism would focus on the greater good so may split any available money across all employees to ensure that all receive an increase.  Ethical Egoism may focus on the Chief Executive only having a pay rise to maintain pleasure for the individual.  This scenario demonstrates that if a person holds a particular viewpoint and only assesses a problem through </w:t>
      </w:r>
      <w:r w:rsidR="00BD35AF">
        <w:rPr>
          <w:rFonts w:cs="Arial"/>
          <w:color w:val="202020"/>
          <w:szCs w:val="20"/>
          <w:shd w:val="clear" w:color="auto" w:fill="FFFFFF"/>
        </w:rPr>
        <w:t xml:space="preserve">that </w:t>
      </w:r>
      <w:r w:rsidR="00BD35AF" w:rsidRPr="00F0673B">
        <w:rPr>
          <w:rFonts w:cs="Arial"/>
          <w:color w:val="202020"/>
          <w:szCs w:val="20"/>
          <w:shd w:val="clear" w:color="auto" w:fill="FFFFFF"/>
        </w:rPr>
        <w:t>perspective</w:t>
      </w:r>
      <w:r w:rsidRPr="00F0673B">
        <w:rPr>
          <w:rFonts w:cs="Arial"/>
          <w:color w:val="202020"/>
          <w:szCs w:val="20"/>
          <w:shd w:val="clear" w:color="auto" w:fill="FFFFFF"/>
        </w:rPr>
        <w:t xml:space="preserve">, </w:t>
      </w:r>
      <w:r>
        <w:rPr>
          <w:rFonts w:cs="Arial"/>
          <w:color w:val="202020"/>
          <w:szCs w:val="20"/>
          <w:shd w:val="clear" w:color="auto" w:fill="FFFFFF"/>
        </w:rPr>
        <w:t>solutions</w:t>
      </w:r>
      <w:r w:rsidRPr="00F0673B">
        <w:rPr>
          <w:rFonts w:cs="Arial"/>
          <w:color w:val="202020"/>
          <w:szCs w:val="20"/>
          <w:shd w:val="clear" w:color="auto" w:fill="FFFFFF"/>
        </w:rPr>
        <w:t xml:space="preserve"> could be limited</w:t>
      </w:r>
      <w:r>
        <w:rPr>
          <w:rFonts w:cs="Arial"/>
          <w:color w:val="202020"/>
          <w:szCs w:val="20"/>
          <w:shd w:val="clear" w:color="auto" w:fill="FFFFFF"/>
        </w:rPr>
        <w:t xml:space="preserve"> and evidences the need for the eight lenses to be considered </w:t>
      </w:r>
      <w:r w:rsidR="00EC5390">
        <w:rPr>
          <w:rFonts w:cs="Arial"/>
          <w:color w:val="202020"/>
          <w:szCs w:val="20"/>
          <w:shd w:val="clear" w:color="auto" w:fill="FFFFFF"/>
        </w:rPr>
        <w:t>for effective decision making.</w:t>
      </w:r>
    </w:p>
    <w:p w14:paraId="2444B4A7" w14:textId="77777777" w:rsidR="00300749" w:rsidRPr="00B70157" w:rsidRDefault="00300749" w:rsidP="00300749">
      <w:pPr>
        <w:ind w:left="0"/>
      </w:pPr>
    </w:p>
    <w:p w14:paraId="7AD342C8" w14:textId="77777777" w:rsidR="00300749" w:rsidRPr="00222547" w:rsidRDefault="00300749" w:rsidP="00300749">
      <w:pPr>
        <w:pStyle w:val="Heading1"/>
        <w:keepLines w:val="0"/>
        <w:tabs>
          <w:tab w:val="left" w:pos="709"/>
        </w:tabs>
        <w:spacing w:before="120" w:after="120" w:line="240" w:lineRule="auto"/>
        <w:ind w:left="720"/>
        <w:jc w:val="both"/>
        <w:rPr>
          <w:color w:val="201943"/>
        </w:rPr>
      </w:pPr>
      <w:bookmarkStart w:id="11" w:name="_Toc152066874"/>
      <w:bookmarkStart w:id="12" w:name="_Toc152156918"/>
      <w:r w:rsidRPr="00222547">
        <w:rPr>
          <w:color w:val="201943"/>
        </w:rPr>
        <w:t>Measurement of Performance (AC 3.1)</w:t>
      </w:r>
      <w:bookmarkEnd w:id="11"/>
      <w:bookmarkEnd w:id="12"/>
    </w:p>
    <w:p w14:paraId="15B5E3E0" w14:textId="0451E374" w:rsidR="00300749" w:rsidRPr="00222547" w:rsidRDefault="00300749" w:rsidP="00300749">
      <w:r>
        <w:t>Most organisations have</w:t>
      </w:r>
      <w:r w:rsidR="00EC5390">
        <w:t xml:space="preserve"> </w:t>
      </w:r>
      <w:r>
        <w:t xml:space="preserve">Strategies in place which outline what is to be achieved within a defined period.  Within the Strategy, objectives should be set and to establish progress against the objectives and the likelihood of achievement, measurement of performance is required.  </w:t>
      </w:r>
      <w:r w:rsidRPr="00222547">
        <w:t>It also allows for potential issues to be identified at an early stage</w:t>
      </w:r>
      <w:r>
        <w:t xml:space="preserve">.  </w:t>
      </w:r>
      <w:r w:rsidRPr="00222547">
        <w:t>It is important to understand what is being measured and for there to be effective oversight and monitoring</w:t>
      </w:r>
      <w:r w:rsidR="00493A95">
        <w:t xml:space="preserve"> (CMI, 2020b).</w:t>
      </w:r>
      <w:r w:rsidRPr="00222547">
        <w:t xml:space="preserve"> Performance can be split in to two main categories, financial and non-financial.  </w:t>
      </w:r>
    </w:p>
    <w:p w14:paraId="7DF3CD88" w14:textId="5B7763B2" w:rsidR="00300749" w:rsidRDefault="00300749" w:rsidP="00300749">
      <w:r w:rsidRPr="00B33F73">
        <w:t xml:space="preserve">An example of financial performance measurement </w:t>
      </w:r>
      <w:r w:rsidR="00B07360">
        <w:t>is</w:t>
      </w:r>
      <w:r w:rsidRPr="00B33F73">
        <w:t xml:space="preserve"> budget monitoring which is the process of ongoing monitoring of spend and income and comparison against </w:t>
      </w:r>
      <w:r>
        <w:t>the set budget.  In instances where there are variances, for example, large overspends, adjustments could be made to rectify this.  Overspend can be risky as if too much is spent on one area, there is a chance that there will not be enough to cover other outgoings which could pose a risk to achieving objectives.  Budget monitoring and reporting can be helpful to understand the position at a point in time, however, finances can change quickly.  It also provides an opportunity to identify further issues such as fraud, lack of training and other potential pressures.</w:t>
      </w:r>
    </w:p>
    <w:p w14:paraId="0D20CD5A" w14:textId="5B77A063" w:rsidR="00300749" w:rsidRDefault="00300749" w:rsidP="00300749">
      <w:r w:rsidRPr="00231929">
        <w:t xml:space="preserve">Key Performance Indicators (KPIs) are used to measure the performance of topics, usually linked to the strategic objectives of the organisation.  </w:t>
      </w:r>
      <w:r>
        <w:t xml:space="preserve">KPIs can be used to measure financial and non-financial elements. </w:t>
      </w:r>
      <w:r w:rsidRPr="00231929">
        <w:t>For example, if an organisation has an objective to stabilise the workforce by reduce staff turnover, they may measure the turnover rate within the organisation and have targets in place.    For KPIs to be effective, it</w:t>
      </w:r>
      <w:r w:rsidR="00D244E0">
        <w:t>’s</w:t>
      </w:r>
      <w:r w:rsidRPr="00231929">
        <w:t xml:space="preserve"> essential to have clear, SMART objectives </w:t>
      </w:r>
      <w:r w:rsidR="003D3402">
        <w:t xml:space="preserve">on which </w:t>
      </w:r>
      <w:r w:rsidRPr="00231929">
        <w:t>to base the KPI, accurate data and methods to capture data and for KPIs to be assessed and monitored appropriately.  When used appropriately, KPIs can be very useful snapshots into the work of the organisation and can be used for benchmarking.</w:t>
      </w:r>
      <w:r>
        <w:t xml:space="preserve">  </w:t>
      </w:r>
      <w:r w:rsidR="00D244E0">
        <w:t xml:space="preserve"> (Gifford, 2022).</w:t>
      </w:r>
    </w:p>
    <w:p w14:paraId="3E729B62" w14:textId="77777777" w:rsidR="00300749" w:rsidRPr="00231929" w:rsidRDefault="00300749" w:rsidP="00300749"/>
    <w:p w14:paraId="4DBFE674" w14:textId="77777777" w:rsidR="00300749" w:rsidRPr="00F86C72" w:rsidRDefault="00300749" w:rsidP="00300749">
      <w:pPr>
        <w:pStyle w:val="Heading1"/>
        <w:keepLines w:val="0"/>
        <w:tabs>
          <w:tab w:val="left" w:pos="709"/>
        </w:tabs>
        <w:spacing w:before="120" w:after="120" w:line="240" w:lineRule="auto"/>
        <w:jc w:val="both"/>
        <w:rPr>
          <w:color w:val="201943"/>
        </w:rPr>
      </w:pPr>
      <w:bookmarkStart w:id="13" w:name="_Toc152066875"/>
      <w:bookmarkStart w:id="14" w:name="_Toc152156919"/>
      <w:r w:rsidRPr="00F86C72">
        <w:rPr>
          <w:color w:val="201943"/>
        </w:rPr>
        <w:t>Adding Value (AC 3.2)</w:t>
      </w:r>
      <w:bookmarkEnd w:id="13"/>
      <w:bookmarkEnd w:id="14"/>
    </w:p>
    <w:p w14:paraId="42FF4427" w14:textId="0101C07C" w:rsidR="00300749" w:rsidRPr="0019396F" w:rsidRDefault="00300749" w:rsidP="0019396F">
      <w:pPr>
        <w:pStyle w:val="ListParagraph"/>
        <w:rPr>
          <w:rFonts w:asciiTheme="minorHAnsi" w:hAnsiTheme="minorHAnsi" w:cstheme="minorHAnsi"/>
          <w:color w:val="000000"/>
          <w:szCs w:val="20"/>
          <w:shd w:val="clear" w:color="auto" w:fill="FFFFFF"/>
        </w:rPr>
      </w:pPr>
      <w:r w:rsidRPr="00F86C72">
        <w:rPr>
          <w:i/>
          <w:iCs/>
        </w:rPr>
        <w:t>One widespread criticism of HR is that too often it does not </w:t>
      </w:r>
      <w:hyperlink r:id="rId18" w:history="1">
        <w:r w:rsidRPr="00F86C72">
          <w:rPr>
            <w:i/>
            <w:iCs/>
          </w:rPr>
          <w:t>sufficiently align with what the business is trying to achieve</w:t>
        </w:r>
      </w:hyperlink>
      <w:r w:rsidRPr="00F86C72">
        <w:rPr>
          <w:i/>
          <w:iCs/>
        </w:rPr>
        <w:t>. When this happens, even if there is plenty of HR activity, it will not add value</w:t>
      </w:r>
      <w:r w:rsidRPr="00F86C72">
        <w:rPr>
          <w:rFonts w:ascii="Poppins" w:hAnsi="Poppins" w:cs="Poppins"/>
          <w:color w:val="000000"/>
          <w:sz w:val="27"/>
          <w:szCs w:val="27"/>
          <w:shd w:val="clear" w:color="auto" w:fill="FFFFFF"/>
        </w:rPr>
        <w:t>.</w:t>
      </w:r>
      <w:r w:rsidR="0087285B">
        <w:rPr>
          <w:rFonts w:ascii="Poppins" w:hAnsi="Poppins" w:cs="Poppins"/>
          <w:color w:val="000000"/>
          <w:sz w:val="27"/>
          <w:szCs w:val="27"/>
          <w:shd w:val="clear" w:color="auto" w:fill="FFFFFF"/>
        </w:rPr>
        <w:t xml:space="preserve"> </w:t>
      </w:r>
      <w:r w:rsidR="0087285B" w:rsidRPr="004C1667">
        <w:rPr>
          <w:rFonts w:asciiTheme="minorHAnsi" w:hAnsiTheme="minorHAnsi" w:cstheme="minorHAnsi"/>
          <w:color w:val="000000"/>
          <w:szCs w:val="20"/>
          <w:shd w:val="clear" w:color="auto" w:fill="FFFFFF"/>
        </w:rPr>
        <w:t>(Briner,2023)</w:t>
      </w:r>
      <w:r w:rsidR="004C1667" w:rsidRPr="004C1667">
        <w:rPr>
          <w:rFonts w:asciiTheme="minorHAnsi" w:hAnsiTheme="minorHAnsi" w:cstheme="minorHAnsi"/>
          <w:color w:val="000000"/>
          <w:szCs w:val="20"/>
          <w:shd w:val="clear" w:color="auto" w:fill="FFFFFF"/>
        </w:rPr>
        <w:t xml:space="preserve"> T</w:t>
      </w:r>
      <w:r w:rsidRPr="00F86C72">
        <w:rPr>
          <w:rFonts w:asciiTheme="minorHAnsi" w:hAnsiTheme="minorHAnsi" w:cstheme="minorHAnsi"/>
          <w:color w:val="000000"/>
          <w:szCs w:val="20"/>
          <w:shd w:val="clear" w:color="auto" w:fill="FFFFFF"/>
        </w:rPr>
        <w:t>herefore, it is vital for the HR function to be clear on what it is to achieve (objectives)</w:t>
      </w:r>
      <w:r>
        <w:rPr>
          <w:rFonts w:asciiTheme="minorHAnsi" w:hAnsiTheme="minorHAnsi" w:cstheme="minorHAnsi"/>
          <w:color w:val="000000"/>
          <w:szCs w:val="20"/>
          <w:shd w:val="clear" w:color="auto" w:fill="FFFFFF"/>
        </w:rPr>
        <w:t xml:space="preserve">, </w:t>
      </w:r>
      <w:r w:rsidRPr="00F86C72">
        <w:rPr>
          <w:rFonts w:asciiTheme="minorHAnsi" w:hAnsiTheme="minorHAnsi" w:cstheme="minorHAnsi"/>
          <w:color w:val="000000"/>
          <w:szCs w:val="20"/>
          <w:shd w:val="clear" w:color="auto" w:fill="FFFFFF"/>
        </w:rPr>
        <w:t>how this will be measured (outcomes) and how these</w:t>
      </w:r>
      <w:r>
        <w:rPr>
          <w:rFonts w:asciiTheme="minorHAnsi" w:hAnsiTheme="minorHAnsi" w:cstheme="minorHAnsi"/>
          <w:color w:val="000000"/>
          <w:szCs w:val="20"/>
          <w:shd w:val="clear" w:color="auto" w:fill="FFFFFF"/>
        </w:rPr>
        <w:t xml:space="preserve"> elements</w:t>
      </w:r>
      <w:r w:rsidRPr="00F86C72">
        <w:rPr>
          <w:rFonts w:asciiTheme="minorHAnsi" w:hAnsiTheme="minorHAnsi" w:cstheme="minorHAnsi"/>
          <w:color w:val="000000"/>
          <w:szCs w:val="20"/>
          <w:shd w:val="clear" w:color="auto" w:fill="FFFFFF"/>
        </w:rPr>
        <w:t xml:space="preserve"> align to the organisational objectives.  There are several ways in which </w:t>
      </w:r>
      <w:r w:rsidR="0019396F">
        <w:rPr>
          <w:rFonts w:asciiTheme="minorHAnsi" w:hAnsiTheme="minorHAnsi" w:cstheme="minorHAnsi"/>
          <w:color w:val="000000"/>
          <w:szCs w:val="20"/>
          <w:shd w:val="clear" w:color="auto" w:fill="FFFFFF"/>
        </w:rPr>
        <w:t xml:space="preserve">impact and </w:t>
      </w:r>
      <w:r w:rsidRPr="00F86C72">
        <w:rPr>
          <w:rFonts w:asciiTheme="minorHAnsi" w:hAnsiTheme="minorHAnsi" w:cstheme="minorHAnsi"/>
          <w:color w:val="000000"/>
          <w:szCs w:val="20"/>
          <w:shd w:val="clear" w:color="auto" w:fill="FFFFFF"/>
        </w:rPr>
        <w:t>value can be measured</w:t>
      </w:r>
      <w:r w:rsidR="003773ED">
        <w:rPr>
          <w:rFonts w:asciiTheme="minorHAnsi" w:hAnsiTheme="minorHAnsi" w:cstheme="minorHAnsi"/>
          <w:color w:val="000000"/>
          <w:szCs w:val="20"/>
          <w:shd w:val="clear" w:color="auto" w:fill="FFFFFF"/>
        </w:rPr>
        <w:t xml:space="preserve"> includin</w:t>
      </w:r>
      <w:r w:rsidR="003F57A0">
        <w:rPr>
          <w:rFonts w:asciiTheme="minorHAnsi" w:hAnsiTheme="minorHAnsi" w:cstheme="minorHAnsi"/>
          <w:color w:val="000000"/>
          <w:szCs w:val="20"/>
          <w:shd w:val="clear" w:color="auto" w:fill="FFFFFF"/>
        </w:rPr>
        <w:t xml:space="preserve">g </w:t>
      </w:r>
      <w:r w:rsidR="006B54A8">
        <w:rPr>
          <w:rFonts w:asciiTheme="minorHAnsi" w:hAnsiTheme="minorHAnsi" w:cstheme="minorHAnsi"/>
          <w:color w:val="000000"/>
          <w:szCs w:val="20"/>
          <w:shd w:val="clear" w:color="auto" w:fill="FFFFFF"/>
        </w:rPr>
        <w:t>KPIs</w:t>
      </w:r>
      <w:r w:rsidR="003F57A0">
        <w:rPr>
          <w:rFonts w:asciiTheme="minorHAnsi" w:hAnsiTheme="minorHAnsi" w:cstheme="minorHAnsi"/>
          <w:color w:val="000000"/>
          <w:szCs w:val="20"/>
          <w:shd w:val="clear" w:color="auto" w:fill="FFFFFF"/>
        </w:rPr>
        <w:t xml:space="preserve"> related to the objective, </w:t>
      </w:r>
      <w:r w:rsidR="00386577">
        <w:rPr>
          <w:rFonts w:asciiTheme="minorHAnsi" w:hAnsiTheme="minorHAnsi" w:cstheme="minorHAnsi"/>
          <w:color w:val="000000"/>
          <w:szCs w:val="20"/>
          <w:shd w:val="clear" w:color="auto" w:fill="FFFFFF"/>
        </w:rPr>
        <w:t xml:space="preserve">evaluation tools such as satisfaction surveys, </w:t>
      </w:r>
      <w:proofErr w:type="gramStart"/>
      <w:r w:rsidR="00386577">
        <w:rPr>
          <w:rFonts w:asciiTheme="minorHAnsi" w:hAnsiTheme="minorHAnsi" w:cstheme="minorHAnsi"/>
          <w:color w:val="000000"/>
          <w:szCs w:val="20"/>
          <w:shd w:val="clear" w:color="auto" w:fill="FFFFFF"/>
        </w:rPr>
        <w:t>interviews</w:t>
      </w:r>
      <w:proofErr w:type="gramEnd"/>
      <w:r w:rsidR="00386577">
        <w:rPr>
          <w:rFonts w:asciiTheme="minorHAnsi" w:hAnsiTheme="minorHAnsi" w:cstheme="minorHAnsi"/>
          <w:color w:val="000000"/>
          <w:szCs w:val="20"/>
          <w:shd w:val="clear" w:color="auto" w:fill="FFFFFF"/>
        </w:rPr>
        <w:t xml:space="preserve"> or more financial measures such as </w:t>
      </w:r>
      <w:r w:rsidR="006C652C">
        <w:rPr>
          <w:rFonts w:asciiTheme="minorHAnsi" w:hAnsiTheme="minorHAnsi" w:cstheme="minorHAnsi"/>
          <w:color w:val="000000"/>
          <w:szCs w:val="20"/>
          <w:shd w:val="clear" w:color="auto" w:fill="FFFFFF"/>
        </w:rPr>
        <w:t>return on investment or cost-benefit analysis.</w:t>
      </w:r>
      <w:r w:rsidR="00193852">
        <w:rPr>
          <w:rFonts w:asciiTheme="minorHAnsi" w:hAnsiTheme="minorHAnsi" w:cstheme="minorHAnsi"/>
          <w:color w:val="000000"/>
          <w:szCs w:val="20"/>
          <w:shd w:val="clear" w:color="auto" w:fill="FFFFFF"/>
        </w:rPr>
        <w:t xml:space="preserve"> (CIPD, 2022</w:t>
      </w:r>
      <w:r w:rsidR="006B54A8">
        <w:rPr>
          <w:rFonts w:asciiTheme="minorHAnsi" w:hAnsiTheme="minorHAnsi" w:cstheme="minorHAnsi"/>
          <w:color w:val="000000"/>
          <w:szCs w:val="20"/>
          <w:shd w:val="clear" w:color="auto" w:fill="FFFFFF"/>
        </w:rPr>
        <w:t>d)</w:t>
      </w:r>
    </w:p>
    <w:p w14:paraId="55E653B9" w14:textId="77777777" w:rsidR="00300749" w:rsidRPr="00F86C72" w:rsidRDefault="00300749" w:rsidP="006C652C">
      <w:r w:rsidRPr="00F86C72">
        <w:t xml:space="preserve">Staff satisfaction surveys can be a useful evaluation tool which can be used to gain feedback after an engagement or project, for example, they could be used following a recruitment exercise and can be used to gain qualitative and quantitative data.  This approach can be used to assess the value added but also to identify trends or opportunities for improvement to enhance the service.  </w:t>
      </w:r>
    </w:p>
    <w:p w14:paraId="0CA87B74" w14:textId="0E896E67" w:rsidR="00361383" w:rsidRPr="00A21E89" w:rsidRDefault="00300749" w:rsidP="006C652C">
      <w:r w:rsidRPr="00F86C72">
        <w:t xml:space="preserve">Cost- benefit analysis which is the process of assessing what it costs the organisation to employ a HR Function, this would include salary and employer contributions and any other related budgets such as training and comparing this figure with the benefits that the function brings.  This can be difficult as HR are typically </w:t>
      </w:r>
      <w:r w:rsidRPr="00F86C72">
        <w:lastRenderedPageBreak/>
        <w:t>involved in a range of processes, benefits often take time to materialise and can be difficult to quantify but nonetheless can be a useful tool for measuring value.</w:t>
      </w:r>
      <w:r w:rsidR="00286244">
        <w:t xml:space="preserve"> (CIPD, 2021</w:t>
      </w:r>
      <w:r w:rsidR="00CE7220">
        <w:t>b)</w:t>
      </w:r>
      <w:bookmarkStart w:id="15" w:name="_Toc152066876"/>
      <w:bookmarkStart w:id="16" w:name="_Toc152156920"/>
    </w:p>
    <w:p w14:paraId="013044ED" w14:textId="2B559100" w:rsidR="00300749" w:rsidRPr="00734A72" w:rsidRDefault="00300749" w:rsidP="00300749">
      <w:pPr>
        <w:pStyle w:val="Heading1"/>
        <w:keepLines w:val="0"/>
        <w:tabs>
          <w:tab w:val="left" w:pos="709"/>
        </w:tabs>
        <w:spacing w:before="120" w:after="120" w:line="240" w:lineRule="auto"/>
        <w:ind w:left="720"/>
        <w:jc w:val="both"/>
        <w:rPr>
          <w:color w:val="201943"/>
        </w:rPr>
      </w:pPr>
      <w:r w:rsidRPr="00734A72">
        <w:rPr>
          <w:color w:val="201943"/>
        </w:rPr>
        <w:t>Quantitative and qualitative analysis review (aC 2)</w:t>
      </w:r>
      <w:bookmarkEnd w:id="15"/>
      <w:bookmarkEnd w:id="16"/>
      <w:r w:rsidRPr="00734A72">
        <w:rPr>
          <w:color w:val="201943"/>
        </w:rPr>
        <w:t xml:space="preserve"> </w:t>
      </w:r>
    </w:p>
    <w:p w14:paraId="33D0F34B" w14:textId="0FA1ADDD" w:rsidR="00300749" w:rsidRDefault="00300749" w:rsidP="00300749">
      <w:r>
        <w:t xml:space="preserve">There are two key categories of data– quantitative and qualitative.  Quantitative data is data which consists of numbers which can provide statistics and give an idea the issues occurring in the organisation.  However, this data does not present the reasons </w:t>
      </w:r>
      <w:r w:rsidRPr="004B40B0">
        <w:rPr>
          <w:i/>
          <w:iCs/>
        </w:rPr>
        <w:t>why</w:t>
      </w:r>
      <w:r>
        <w:t xml:space="preserve"> something is occurring. Qualitative data is more beneficial for providing reasons why and further context and is generally narrative</w:t>
      </w:r>
      <w:r w:rsidR="0019422D">
        <w:t xml:space="preserve"> (Taylor and Woodhams, 2022).</w:t>
      </w:r>
    </w:p>
    <w:p w14:paraId="72124AC1" w14:textId="77777777" w:rsidR="00300749" w:rsidRDefault="00300749" w:rsidP="00300749"/>
    <w:p w14:paraId="42CAB088" w14:textId="77777777" w:rsidR="00300749" w:rsidRDefault="00300749" w:rsidP="00300749">
      <w:pPr>
        <w:pStyle w:val="Heading1"/>
        <w:keepLines w:val="0"/>
        <w:tabs>
          <w:tab w:val="left" w:pos="709"/>
        </w:tabs>
        <w:spacing w:before="120" w:after="120" w:line="240" w:lineRule="auto"/>
        <w:jc w:val="both"/>
      </w:pPr>
      <w:bookmarkStart w:id="17" w:name="_Toc152066877"/>
      <w:bookmarkStart w:id="18" w:name="_Toc152156921"/>
      <w:r>
        <w:t>DAta set one</w:t>
      </w:r>
      <w:bookmarkEnd w:id="17"/>
      <w:bookmarkEnd w:id="18"/>
    </w:p>
    <w:p w14:paraId="74E32E8A" w14:textId="77777777" w:rsidR="00300749" w:rsidRDefault="00300749" w:rsidP="00300749">
      <w:pPr>
        <w:ind w:left="0"/>
      </w:pPr>
      <w:r>
        <w:rPr>
          <w:noProof/>
        </w:rPr>
        <w:drawing>
          <wp:inline distT="0" distB="0" distL="0" distR="0" wp14:anchorId="50C15A91" wp14:editId="24BC4E02">
            <wp:extent cx="6431280" cy="3985260"/>
            <wp:effectExtent l="0" t="0" r="7620" b="15240"/>
            <wp:docPr id="758258573" name="Chart 1">
              <a:extLst xmlns:a="http://schemas.openxmlformats.org/drawingml/2006/main">
                <a:ext uri="{FF2B5EF4-FFF2-40B4-BE49-F238E27FC236}">
                  <a16:creationId xmlns:a16="http://schemas.microsoft.com/office/drawing/2014/main" id="{634D51AF-A7AC-C49C-2240-32047E7EE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A7D5BDE" w14:textId="77777777" w:rsidR="00300749" w:rsidRDefault="00300749" w:rsidP="00300749">
      <w:pPr>
        <w:ind w:left="0"/>
      </w:pPr>
    </w:p>
    <w:p w14:paraId="463A37AD" w14:textId="77777777" w:rsidR="00300749" w:rsidRDefault="00300749" w:rsidP="00300749">
      <w:r>
        <w:t xml:space="preserve">On the face of it, the number of males and females in the organisation appears quite even with 118 (45%) females and 140 (54%) males. Only 2 (0.8%) of the 260 staff were non-binary.  </w:t>
      </w:r>
    </w:p>
    <w:p w14:paraId="4276D47E" w14:textId="77777777" w:rsidR="00300749" w:rsidRDefault="00300749" w:rsidP="00300749">
      <w:r>
        <w:t>When assessing the gender split by team, there are several teams where there is a high proportion of one gender with the Regeneration Team being all female.  This demonstrates the need to look at data in different ways to fully understand it. There are many instances where traditional gendered roles are visible such as Green Spaces and property being male dominated and Customer Services being female dominated. Director roles were heavily female with (80%) of staff in those roles being women.</w:t>
      </w:r>
    </w:p>
    <w:p w14:paraId="63C2CE26" w14:textId="77777777" w:rsidR="00300749" w:rsidRDefault="00300749" w:rsidP="00300749">
      <w:pPr>
        <w:ind w:left="0"/>
      </w:pPr>
    </w:p>
    <w:p w14:paraId="436B629E" w14:textId="77777777" w:rsidR="00300749" w:rsidRDefault="00300749" w:rsidP="00300749">
      <w:pPr>
        <w:ind w:left="0"/>
      </w:pPr>
    </w:p>
    <w:p w14:paraId="09B326F0" w14:textId="77777777" w:rsidR="00300749" w:rsidRDefault="00300749" w:rsidP="00300749">
      <w:pPr>
        <w:ind w:left="0"/>
      </w:pPr>
    </w:p>
    <w:p w14:paraId="38E96901" w14:textId="77777777" w:rsidR="00300749" w:rsidRDefault="00300749" w:rsidP="00300749">
      <w:pPr>
        <w:ind w:left="0"/>
      </w:pPr>
      <w:r>
        <w:rPr>
          <w:noProof/>
        </w:rPr>
        <w:lastRenderedPageBreak/>
        <w:drawing>
          <wp:inline distT="0" distB="0" distL="0" distR="0" wp14:anchorId="67097AB1" wp14:editId="71B4BB94">
            <wp:extent cx="6477000" cy="3362325"/>
            <wp:effectExtent l="0" t="0" r="0" b="9525"/>
            <wp:docPr id="161603131" name="Chart 1">
              <a:extLst xmlns:a="http://schemas.openxmlformats.org/drawingml/2006/main">
                <a:ext uri="{FF2B5EF4-FFF2-40B4-BE49-F238E27FC236}">
                  <a16:creationId xmlns:a16="http://schemas.microsoft.com/office/drawing/2014/main" id="{5E803F73-5E29-822D-FAA9-1B2EAD4CCF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6E1E75" w14:textId="77777777" w:rsidR="00300749" w:rsidRDefault="00300749" w:rsidP="00300749">
      <w:pPr>
        <w:ind w:left="0"/>
      </w:pPr>
    </w:p>
    <w:p w14:paraId="34935934" w14:textId="77777777" w:rsidR="00300749" w:rsidRDefault="00300749" w:rsidP="00300749">
      <w:pPr>
        <w:ind w:left="0"/>
      </w:pPr>
      <w:r>
        <w:rPr>
          <w:noProof/>
        </w:rPr>
        <w:drawing>
          <wp:inline distT="0" distB="0" distL="0" distR="0" wp14:anchorId="3D8D1075" wp14:editId="67BD1D5C">
            <wp:extent cx="6530340" cy="4998720"/>
            <wp:effectExtent l="0" t="0" r="3810" b="11430"/>
            <wp:docPr id="613408946" name="Chart 1">
              <a:extLst xmlns:a="http://schemas.openxmlformats.org/drawingml/2006/main">
                <a:ext uri="{FF2B5EF4-FFF2-40B4-BE49-F238E27FC236}">
                  <a16:creationId xmlns:a16="http://schemas.microsoft.com/office/drawing/2014/main" id="{C32D124F-E634-95E5-4AE4-725EE597B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3D1EC8C" w14:textId="77777777" w:rsidR="00300749" w:rsidRDefault="00300749" w:rsidP="00300749">
      <w:r>
        <w:lastRenderedPageBreak/>
        <w:t>From the data available, it was clear that a very low proportion of employees were disabled.  It was unclear whether staff were able to update their disability position or whether this was collated solely at recruitment stage, depending on the approach, the data may not be completely accurate.</w:t>
      </w:r>
    </w:p>
    <w:p w14:paraId="776C635D" w14:textId="28848B89" w:rsidR="00300749" w:rsidRDefault="00300749" w:rsidP="00300749">
      <w:r>
        <w:t xml:space="preserve">It was noted that several teams did not have any disabled staff including Supported Housing, Regeneration, Marketing, Governance, Facilities, Business </w:t>
      </w:r>
      <w:r w:rsidR="00BD35AF">
        <w:t>Services,</w:t>
      </w:r>
      <w:r>
        <w:t xml:space="preserve"> and</w:t>
      </w:r>
      <w:r w:rsidR="00BD35AF">
        <w:t xml:space="preserve"> </w:t>
      </w:r>
      <w:r>
        <w:t>Director</w:t>
      </w:r>
      <w:r w:rsidR="00BD35AF">
        <w:t>s</w:t>
      </w:r>
      <w:r>
        <w:t>.  Teams with the highest proportion of disabled staff, such as IT, Customer Services and Finances had around 20% disability within the Team.</w:t>
      </w:r>
    </w:p>
    <w:p w14:paraId="142CE2F2" w14:textId="77777777" w:rsidR="00300749" w:rsidRDefault="00300749" w:rsidP="00300749">
      <w:pPr>
        <w:ind w:left="0"/>
      </w:pPr>
    </w:p>
    <w:p w14:paraId="190B10A5" w14:textId="77777777" w:rsidR="00300749" w:rsidRDefault="00300749" w:rsidP="00300749">
      <w:pPr>
        <w:ind w:left="0"/>
      </w:pPr>
      <w:r>
        <w:rPr>
          <w:noProof/>
        </w:rPr>
        <w:drawing>
          <wp:inline distT="0" distB="0" distL="0" distR="0" wp14:anchorId="5D1C4FDA" wp14:editId="22303A96">
            <wp:extent cx="6645910" cy="2931321"/>
            <wp:effectExtent l="0" t="0" r="2540" b="2540"/>
            <wp:docPr id="1143938137" name="Chart 1">
              <a:extLst xmlns:a="http://schemas.openxmlformats.org/drawingml/2006/main">
                <a:ext uri="{FF2B5EF4-FFF2-40B4-BE49-F238E27FC236}">
                  <a16:creationId xmlns:a16="http://schemas.microsoft.com/office/drawing/2014/main" id="{59D29E90-254B-5060-82B4-1C52F59785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8A3C4B" w14:textId="77777777" w:rsidR="00300749" w:rsidRDefault="00300749" w:rsidP="00300749">
      <w:pPr>
        <w:ind w:left="0"/>
      </w:pPr>
    </w:p>
    <w:p w14:paraId="4A37E57C" w14:textId="77777777" w:rsidR="00300749" w:rsidRDefault="00300749" w:rsidP="00300749">
      <w:r>
        <w:t xml:space="preserve">From the data set, it was possible to identify that: </w:t>
      </w:r>
    </w:p>
    <w:p w14:paraId="5D6B9086" w14:textId="77777777" w:rsidR="00300749" w:rsidRDefault="00300749" w:rsidP="00300749">
      <w:pPr>
        <w:pStyle w:val="ListParagraph"/>
        <w:numPr>
          <w:ilvl w:val="0"/>
          <w:numId w:val="38"/>
        </w:numPr>
        <w:ind w:left="1276" w:hanging="283"/>
      </w:pPr>
      <w:r>
        <w:t>The lowest paid gender group were non-binary.  Of the two non-binary staff, both were in junior positions, one an apprentice and one an administrator.</w:t>
      </w:r>
    </w:p>
    <w:p w14:paraId="029453A7" w14:textId="67F1CC8F" w:rsidR="00300749" w:rsidRDefault="00300749" w:rsidP="00300749">
      <w:pPr>
        <w:pStyle w:val="ListParagraph"/>
        <w:numPr>
          <w:ilvl w:val="0"/>
          <w:numId w:val="38"/>
        </w:numPr>
        <w:ind w:left="1276" w:hanging="283"/>
      </w:pPr>
      <w:r>
        <w:t xml:space="preserve">The data indicates that the average salary for men and women were broadly </w:t>
      </w:r>
      <w:r w:rsidR="00D6057F">
        <w:t>similar,</w:t>
      </w:r>
      <w:r>
        <w:t xml:space="preserve"> and both sat around the organisational average. When the salary for each role was assessed, men and women appeared to be paid the same amount which demonstrates compliance with </w:t>
      </w:r>
      <w:r w:rsidRPr="009036C4">
        <w:t>the Equal Pay Act (1970).  However, since 2017, there has been a requirement for Gender Pay Gap Reporting for organisations over 250, which this organisation would fall in to.  Therefore, it would be beneficial to understand actual salaries, rather than FTE.</w:t>
      </w:r>
      <w:r>
        <w:t xml:space="preserve">  It is good practice to assess the gap and implement ways to close the gap and promote equality.</w:t>
      </w:r>
    </w:p>
    <w:p w14:paraId="0F59E186" w14:textId="1798AFEF" w:rsidR="00300749" w:rsidRDefault="00300749" w:rsidP="00300749">
      <w:pPr>
        <w:pStyle w:val="ListParagraph"/>
        <w:numPr>
          <w:ilvl w:val="0"/>
          <w:numId w:val="38"/>
        </w:numPr>
        <w:ind w:left="1276" w:hanging="283"/>
      </w:pPr>
      <w:r>
        <w:t>Whilst the average salary of a female was slightly higher than the male, males did not tend to undertake entry level jobs such as apprenticeships and administrator roles, these were undertaken mostly by females (15 compared to 7 males in these positions).  This could be a sign of occupational segregation.</w:t>
      </w:r>
      <w:r w:rsidR="00102350">
        <w:t xml:space="preserve"> </w:t>
      </w:r>
      <w:r w:rsidR="00961C48">
        <w:t>(Wild, 2023)</w:t>
      </w:r>
    </w:p>
    <w:p w14:paraId="062D7979" w14:textId="77777777" w:rsidR="00300749" w:rsidRDefault="00300749" w:rsidP="00300749">
      <w:pPr>
        <w:ind w:left="0"/>
      </w:pPr>
    </w:p>
    <w:p w14:paraId="1999CC62" w14:textId="77777777" w:rsidR="00300749" w:rsidRDefault="00300749" w:rsidP="00300749">
      <w:pPr>
        <w:ind w:left="0"/>
      </w:pPr>
    </w:p>
    <w:p w14:paraId="3C4292A2" w14:textId="77777777" w:rsidR="00300749" w:rsidRDefault="00300749" w:rsidP="00300749">
      <w:pPr>
        <w:ind w:left="0"/>
      </w:pPr>
      <w:r>
        <w:rPr>
          <w:noProof/>
        </w:rPr>
        <w:lastRenderedPageBreak/>
        <w:drawing>
          <wp:inline distT="0" distB="0" distL="0" distR="0" wp14:anchorId="2F443E8C" wp14:editId="68204138">
            <wp:extent cx="6645910" cy="3246468"/>
            <wp:effectExtent l="0" t="0" r="2540" b="11430"/>
            <wp:docPr id="1408482203" name="Chart 1">
              <a:extLst xmlns:a="http://schemas.openxmlformats.org/drawingml/2006/main">
                <a:ext uri="{FF2B5EF4-FFF2-40B4-BE49-F238E27FC236}">
                  <a16:creationId xmlns:a16="http://schemas.microsoft.com/office/drawing/2014/main" id="{03DA055B-1ED4-DBAB-701D-798A90DB66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100322F" w14:textId="77777777" w:rsidR="00300749" w:rsidRDefault="00300749" w:rsidP="00300749">
      <w:pPr>
        <w:ind w:left="0"/>
      </w:pPr>
    </w:p>
    <w:p w14:paraId="5F920D0A" w14:textId="77777777" w:rsidR="00300749" w:rsidRDefault="00300749" w:rsidP="00300749">
      <w:pPr>
        <w:ind w:left="0"/>
      </w:pPr>
      <w:r>
        <w:rPr>
          <w:noProof/>
        </w:rPr>
        <w:drawing>
          <wp:inline distT="0" distB="0" distL="0" distR="0" wp14:anchorId="387302AC" wp14:editId="2F3A4798">
            <wp:extent cx="6645910" cy="4899660"/>
            <wp:effectExtent l="0" t="0" r="2540" b="15240"/>
            <wp:docPr id="1391435647" name="Chart 1391435647">
              <a:extLst xmlns:a="http://schemas.openxmlformats.org/drawingml/2006/main">
                <a:ext uri="{FF2B5EF4-FFF2-40B4-BE49-F238E27FC236}">
                  <a16:creationId xmlns:a16="http://schemas.microsoft.com/office/drawing/2014/main" id="{7EAAD0B9-2D05-0DAB-3751-DEE9642B52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10B1BEB" w14:textId="77777777" w:rsidR="00300749" w:rsidRDefault="00300749" w:rsidP="00300749">
      <w:pPr>
        <w:ind w:left="0"/>
      </w:pPr>
    </w:p>
    <w:p w14:paraId="223AAD56" w14:textId="77777777" w:rsidR="00300749" w:rsidRDefault="00300749" w:rsidP="00300749">
      <w:r>
        <w:lastRenderedPageBreak/>
        <w:t>The data demonstrates that the workforce is primarily White (94%) with White British being the predominant category. Some employees were of other ethnicities but low numbers and there were some areas of the business with no other ethnicities other than White British, such as Marketing, Lettings and Facilities. 80% of Directors were White British (80%).</w:t>
      </w:r>
    </w:p>
    <w:p w14:paraId="4018811A" w14:textId="77777777" w:rsidR="00300749" w:rsidRDefault="00300749" w:rsidP="00300749">
      <w:r>
        <w:t xml:space="preserve">It was unclear on the pay gap between ethnicities, this should be explored to understand if there is one, the extent and to look at ways to close the gap. </w:t>
      </w:r>
    </w:p>
    <w:p w14:paraId="071DA504" w14:textId="77777777" w:rsidR="00300749" w:rsidRDefault="00300749" w:rsidP="00300749">
      <w:pPr>
        <w:ind w:left="0"/>
      </w:pPr>
    </w:p>
    <w:p w14:paraId="17504F17" w14:textId="77777777" w:rsidR="00300749" w:rsidRPr="00F576FF" w:rsidRDefault="00300749" w:rsidP="00300749">
      <w:pPr>
        <w:rPr>
          <w:b/>
          <w:bCs/>
          <w:u w:val="single"/>
        </w:rPr>
      </w:pPr>
      <w:r w:rsidRPr="00F576FF">
        <w:rPr>
          <w:b/>
          <w:bCs/>
          <w:u w:val="single"/>
        </w:rPr>
        <w:t>Conclusion and recommendations.</w:t>
      </w:r>
    </w:p>
    <w:p w14:paraId="7EF6E783" w14:textId="77777777" w:rsidR="00300749" w:rsidRDefault="00300749" w:rsidP="00300749">
      <w:r w:rsidRPr="00F5515A">
        <w:t>There are many recognised benefits of having a diverse team</w:t>
      </w:r>
      <w:r>
        <w:t>, including:</w:t>
      </w:r>
    </w:p>
    <w:p w14:paraId="611C9BB4" w14:textId="77777777" w:rsidR="00300749" w:rsidRDefault="00300749" w:rsidP="00300749">
      <w:pPr>
        <w:pStyle w:val="ListParagraph"/>
        <w:numPr>
          <w:ilvl w:val="0"/>
          <w:numId w:val="43"/>
        </w:numPr>
      </w:pPr>
      <w:r>
        <w:t xml:space="preserve">A </w:t>
      </w:r>
      <w:r w:rsidRPr="00F5515A">
        <w:t xml:space="preserve">wider talent pool when everyone is included which </w:t>
      </w:r>
      <w:r w:rsidRPr="00A75F3A">
        <w:t>can be beneficial to organisations as there is more choice and opportunity</w:t>
      </w:r>
      <w:r>
        <w:t>.</w:t>
      </w:r>
    </w:p>
    <w:p w14:paraId="218E1FD6" w14:textId="05E51E35" w:rsidR="00300749" w:rsidRDefault="00300749" w:rsidP="00300749">
      <w:pPr>
        <w:pStyle w:val="ListParagraph"/>
        <w:numPr>
          <w:ilvl w:val="0"/>
          <w:numId w:val="43"/>
        </w:numPr>
      </w:pPr>
      <w:r w:rsidRPr="00A75F3A">
        <w:t>The Great Places to Work report (2021) found that employee retention was higher in inclusive workplaces.</w:t>
      </w:r>
    </w:p>
    <w:p w14:paraId="2281964B" w14:textId="77777777" w:rsidR="00DC4D10" w:rsidRDefault="00300749" w:rsidP="00300749">
      <w:pPr>
        <w:pStyle w:val="ListParagraph"/>
        <w:numPr>
          <w:ilvl w:val="0"/>
          <w:numId w:val="43"/>
        </w:numPr>
      </w:pPr>
      <w:r w:rsidRPr="00A75F3A">
        <w:t xml:space="preserve">Being an inclusive and diverse organisation can also attract talent, support business </w:t>
      </w:r>
      <w:proofErr w:type="gramStart"/>
      <w:r w:rsidRPr="00A75F3A">
        <w:t>development</w:t>
      </w:r>
      <w:proofErr w:type="gramEnd"/>
      <w:r w:rsidRPr="00A75F3A">
        <w:t xml:space="preserve"> and enhance and organisation’s reputation</w:t>
      </w:r>
      <w:r w:rsidR="00DC4D10">
        <w:t xml:space="preserve"> (Ali, 2022).</w:t>
      </w:r>
    </w:p>
    <w:p w14:paraId="6468073E" w14:textId="6E77761B" w:rsidR="00300749" w:rsidRPr="00A75F3A" w:rsidRDefault="00300749" w:rsidP="00300749">
      <w:pPr>
        <w:pStyle w:val="ListParagraph"/>
        <w:numPr>
          <w:ilvl w:val="0"/>
          <w:numId w:val="43"/>
        </w:numPr>
      </w:pPr>
      <w:r w:rsidRPr="00A75F3A">
        <w:t xml:space="preserve">McKinsey (2020) also noted that there was a significant increase in profitability in diverse workplaces. </w:t>
      </w:r>
    </w:p>
    <w:p w14:paraId="05EABFB3" w14:textId="77777777" w:rsidR="00300749" w:rsidRPr="00A75F3A" w:rsidRDefault="00300749" w:rsidP="00300749">
      <w:r w:rsidRPr="00A75F3A">
        <w:t xml:space="preserve">The data indicates that there is a low level of diversity, particularly in ethnicity and disability status.  </w:t>
      </w:r>
      <w:r>
        <w:t>T</w:t>
      </w:r>
      <w:r w:rsidRPr="00A75F3A">
        <w:t xml:space="preserve">he organisation </w:t>
      </w:r>
      <w:r>
        <w:t>should</w:t>
      </w:r>
      <w:r w:rsidRPr="00A75F3A">
        <w:t xml:space="preserve"> consider whether its commitments to EDI are appropriate and whether </w:t>
      </w:r>
      <w:r>
        <w:t>it is an</w:t>
      </w:r>
      <w:r w:rsidRPr="00A75F3A">
        <w:t xml:space="preserve"> accessible and inclusive organisation and if so, how this is </w:t>
      </w:r>
      <w:r>
        <w:t xml:space="preserve">evidenced and </w:t>
      </w:r>
      <w:r w:rsidRPr="00A75F3A">
        <w:t xml:space="preserve">promoted.  </w:t>
      </w:r>
      <w:r>
        <w:t>T</w:t>
      </w:r>
      <w:r w:rsidRPr="00A75F3A">
        <w:t xml:space="preserve">he organisation may wish to implement an EDI Strategy and action plan to make necessary improvements and/ or consider working with organisations such as Tai </w:t>
      </w:r>
      <w:proofErr w:type="spellStart"/>
      <w:r w:rsidRPr="00A75F3A">
        <w:t>Pawb</w:t>
      </w:r>
      <w:proofErr w:type="spellEnd"/>
      <w:r w:rsidRPr="00A75F3A">
        <w:t xml:space="preserve"> to develop their EDI approach or work towards a certification such as Disability Confidence.  It may also consider where posts are advertised to attract diverse talent.  </w:t>
      </w:r>
      <w:r>
        <w:t>A similar approach</w:t>
      </w:r>
      <w:r w:rsidRPr="00A75F3A">
        <w:t xml:space="preserve"> could also be used to attract different genders into the organisation into roles which are dominated by one gender</w:t>
      </w:r>
      <w:r>
        <w:t xml:space="preserve">. </w:t>
      </w:r>
      <w:r w:rsidRPr="00A75F3A">
        <w:t>The organisation should utilise tenant data to understand the demographic of tenants to attempt to mirror in staff group in relation to EDI to provide more meaningful representation.</w:t>
      </w:r>
    </w:p>
    <w:p w14:paraId="19C8F844" w14:textId="77777777" w:rsidR="00300749" w:rsidRDefault="00300749" w:rsidP="00300749">
      <w:r w:rsidRPr="00A75F3A">
        <w:t>This approach would allow the organisation to assess the lack of diversity and set out meaningful and measurable objectives to improve disability representation.  However, there is a risk that organisations implement such targets as a token gesture or recruit diverse talent to meet targets without ensuring that staff are the right fit for the role</w:t>
      </w:r>
      <w:r>
        <w:t xml:space="preserve">.  This could lead to turnover of staff, reputational damage and the organisation not realising the benefits of a diverse workforce.  There is a cost in both time and finances to implement strategies, measure targets and implement action plans.  However, this needs to be balanced with the potential benefits in productivity, development and retention which could all save the organisation money and increase profit.  </w:t>
      </w:r>
    </w:p>
    <w:p w14:paraId="4DE9120F" w14:textId="77777777" w:rsidR="00300749" w:rsidRDefault="00300749" w:rsidP="00300749">
      <w:pPr>
        <w:ind w:left="0"/>
        <w:sectPr w:rsidR="00300749" w:rsidSect="006B1A22">
          <w:headerReference w:type="default" r:id="rId25"/>
          <w:footerReference w:type="default" r:id="rId26"/>
          <w:pgSz w:w="11906" w:h="16838" w:code="9"/>
          <w:pgMar w:top="720" w:right="720" w:bottom="720" w:left="720" w:header="709" w:footer="709" w:gutter="0"/>
          <w:cols w:space="708"/>
          <w:docGrid w:linePitch="360"/>
        </w:sectPr>
      </w:pPr>
    </w:p>
    <w:p w14:paraId="01669CA0" w14:textId="77777777" w:rsidR="00300749" w:rsidRDefault="00300749" w:rsidP="00300749">
      <w:pPr>
        <w:pStyle w:val="Heading1"/>
        <w:keepLines w:val="0"/>
        <w:tabs>
          <w:tab w:val="left" w:pos="709"/>
        </w:tabs>
        <w:spacing w:before="120" w:after="120" w:line="240" w:lineRule="auto"/>
        <w:jc w:val="both"/>
      </w:pPr>
      <w:bookmarkStart w:id="19" w:name="_Toc151415882"/>
      <w:bookmarkStart w:id="20" w:name="_Toc152066878"/>
      <w:bookmarkStart w:id="21" w:name="_Toc152156922"/>
      <w:r>
        <w:lastRenderedPageBreak/>
        <w:t xml:space="preserve">Data set </w:t>
      </w:r>
      <w:bookmarkEnd w:id="19"/>
      <w:r>
        <w:t>TWO</w:t>
      </w:r>
      <w:bookmarkEnd w:id="20"/>
      <w:bookmarkEnd w:id="21"/>
    </w:p>
    <w:p w14:paraId="58934B10" w14:textId="77777777" w:rsidR="00300749" w:rsidRDefault="00300749" w:rsidP="00300749">
      <w:r>
        <w:t xml:space="preserve">Data set two included the results from an </w:t>
      </w:r>
      <w:r w:rsidRPr="003B3581">
        <w:t>employee survey</w:t>
      </w:r>
      <w:r>
        <w:t xml:space="preserve"> undertaken by the organisation</w:t>
      </w:r>
      <w:r w:rsidRPr="003B3581">
        <w:t xml:space="preserve"> on hybrid working practices.</w:t>
      </w:r>
      <w:r>
        <w:t xml:space="preserve">  There is limited information provided as to how the survey was administered which could question the reliability for the results. It was also noted that for one of the questions (</w:t>
      </w:r>
      <w:r w:rsidRPr="00B7366C">
        <w:t>Working from home allows me to meet my targets</w:t>
      </w:r>
      <w:r>
        <w:t xml:space="preserve">) that 301 responses had been submitted, compared to the 300 employee who participated which indicates that staff had been able to submit multiple answers which could skew the results. </w:t>
      </w:r>
    </w:p>
    <w:p w14:paraId="25B393B6" w14:textId="77777777" w:rsidR="00300749" w:rsidRDefault="00300749" w:rsidP="00300749">
      <w:r>
        <w:t xml:space="preserve">The purpose of the survey was not detailed; however, the questions were posed using statements which appeared to be neutral in tone, including potential advantages and disadvantages of hybrid working.  Utilisation of a survey has allowed many employees to be included in the research and has allowed comparable results by asking specific questions and providing a limited set of responses.  </w:t>
      </w:r>
    </w:p>
    <w:p w14:paraId="75366576" w14:textId="77777777" w:rsidR="00300749" w:rsidRDefault="00300749" w:rsidP="00300749">
      <w:r>
        <w:rPr>
          <w:noProof/>
        </w:rPr>
        <w:drawing>
          <wp:inline distT="0" distB="0" distL="0" distR="0" wp14:anchorId="69D95427" wp14:editId="517E5660">
            <wp:extent cx="5935980" cy="5760720"/>
            <wp:effectExtent l="0" t="0" r="7620" b="11430"/>
            <wp:docPr id="633690107" name="Chart 1">
              <a:extLst xmlns:a="http://schemas.openxmlformats.org/drawingml/2006/main">
                <a:ext uri="{FF2B5EF4-FFF2-40B4-BE49-F238E27FC236}">
                  <a16:creationId xmlns:a16="http://schemas.microsoft.com/office/drawing/2014/main" id="{DF7A672C-2563-5C41-3E4A-B4812D3237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2DF507C" w14:textId="77777777" w:rsidR="00300749" w:rsidRDefault="00300749" w:rsidP="00300749">
      <w:r>
        <w:t xml:space="preserve">From the information available, it was noted that some positive reports of enjoying home working, positive impact on wellbeing and work life balance, </w:t>
      </w:r>
      <w:r w:rsidRPr="00761E2B">
        <w:t>connection to company culture</w:t>
      </w:r>
      <w:r>
        <w:t xml:space="preserve"> and reduction in conflict.  Some issues were identified:</w:t>
      </w:r>
    </w:p>
    <w:p w14:paraId="0C1F7F30" w14:textId="77777777" w:rsidR="00300749" w:rsidRDefault="00300749" w:rsidP="00300749">
      <w:pPr>
        <w:pStyle w:val="ListParagraph"/>
        <w:numPr>
          <w:ilvl w:val="0"/>
          <w:numId w:val="39"/>
        </w:numPr>
        <w:ind w:left="1560" w:hanging="426"/>
      </w:pPr>
      <w:r>
        <w:t>64% stated that they had difficulty on separating home and work life when home working.</w:t>
      </w:r>
    </w:p>
    <w:p w14:paraId="2F5F1B9F" w14:textId="77777777" w:rsidR="00300749" w:rsidRPr="00761E2B" w:rsidRDefault="00300749" w:rsidP="00300749">
      <w:pPr>
        <w:pStyle w:val="ListParagraph"/>
        <w:numPr>
          <w:ilvl w:val="0"/>
          <w:numId w:val="39"/>
        </w:numPr>
        <w:ind w:left="1560" w:hanging="426"/>
      </w:pPr>
      <w:r w:rsidRPr="00761E2B">
        <w:lastRenderedPageBreak/>
        <w:t xml:space="preserve">66% stated that working from home does not allow them to meet their targets which could be linked to the difficulty in accessing resources from home and reduced ability for cross functional communication and collaboration with the rest of the team.  </w:t>
      </w:r>
    </w:p>
    <w:p w14:paraId="6EB36BAA" w14:textId="77777777" w:rsidR="00300749" w:rsidRPr="00761E2B" w:rsidRDefault="00300749" w:rsidP="00300749">
      <w:pPr>
        <w:pStyle w:val="ListParagraph"/>
        <w:numPr>
          <w:ilvl w:val="0"/>
          <w:numId w:val="39"/>
        </w:numPr>
        <w:ind w:left="1560" w:hanging="426"/>
      </w:pPr>
      <w:r w:rsidRPr="00761E2B">
        <w:t>Productivity increase reported was split almost in half with 49% agreeing that hybrid working increased productivity and 49% stating that they disagreed.</w:t>
      </w:r>
    </w:p>
    <w:p w14:paraId="74364ED8" w14:textId="77777777" w:rsidR="00300749" w:rsidRPr="00761E2B" w:rsidRDefault="00300749" w:rsidP="00300749">
      <w:pPr>
        <w:pStyle w:val="ListParagraph"/>
        <w:numPr>
          <w:ilvl w:val="0"/>
          <w:numId w:val="39"/>
        </w:numPr>
        <w:ind w:left="1560" w:hanging="426"/>
      </w:pPr>
      <w:r w:rsidRPr="00761E2B">
        <w:t>Staff felt that there was not the same amount of recognition for the work undertaken with 53% stating that this had reduced.</w:t>
      </w:r>
    </w:p>
    <w:p w14:paraId="627B987F" w14:textId="77777777" w:rsidR="00300749" w:rsidRDefault="00300749" w:rsidP="00300749">
      <w:pPr>
        <w:pStyle w:val="ListParagraph"/>
        <w:numPr>
          <w:ilvl w:val="0"/>
          <w:numId w:val="39"/>
        </w:numPr>
        <w:ind w:left="1560" w:hanging="426"/>
      </w:pPr>
      <w:r w:rsidRPr="00761E2B">
        <w:t>80% stated that they did not feel supported when working from home.</w:t>
      </w:r>
    </w:p>
    <w:p w14:paraId="3A962CDC" w14:textId="77777777" w:rsidR="00300749" w:rsidRPr="00761E2B" w:rsidRDefault="00300749" w:rsidP="00300749">
      <w:pPr>
        <w:pStyle w:val="ListParagraph"/>
        <w:ind w:left="1560"/>
      </w:pPr>
    </w:p>
    <w:p w14:paraId="2E43BCE7" w14:textId="77777777" w:rsidR="00300749" w:rsidRPr="00F576FF" w:rsidRDefault="00300749" w:rsidP="00300749">
      <w:pPr>
        <w:rPr>
          <w:b/>
          <w:bCs/>
          <w:u w:val="single"/>
        </w:rPr>
      </w:pPr>
      <w:r w:rsidRPr="00F576FF">
        <w:rPr>
          <w:b/>
          <w:bCs/>
          <w:u w:val="single"/>
        </w:rPr>
        <w:t>Conclusion and recommendations.</w:t>
      </w:r>
    </w:p>
    <w:p w14:paraId="77B2C09B" w14:textId="4A545678" w:rsidR="00300749" w:rsidRPr="006D1EAF" w:rsidRDefault="00300749" w:rsidP="00300749">
      <w:r w:rsidRPr="006D1EAF">
        <w:t xml:space="preserve">The organisation should review its Performance Management Framework to ensure that it remains relevant with the new ways of working. The aim </w:t>
      </w:r>
      <w:r>
        <w:t>should be</w:t>
      </w:r>
      <w:r w:rsidRPr="006D1EAF">
        <w:t xml:space="preserve"> to assess and measure performance which can focus on successes and opportunities to improve</w:t>
      </w:r>
      <w:r w:rsidR="00CB7B45">
        <w:t xml:space="preserve"> </w:t>
      </w:r>
      <w:r w:rsidRPr="006D1EAF">
        <w:t>(CIPD, 2022</w:t>
      </w:r>
      <w:r w:rsidR="00962C77">
        <w:t>c</w:t>
      </w:r>
      <w:r w:rsidR="00CB7B45" w:rsidRPr="006D1EAF">
        <w:t>)</w:t>
      </w:r>
      <w:r w:rsidR="00CB7B45">
        <w:t>.</w:t>
      </w:r>
      <w:r w:rsidR="00CB7B45" w:rsidRPr="006D1EAF">
        <w:t xml:space="preserve"> Feedback</w:t>
      </w:r>
      <w:r w:rsidRPr="006D1EAF">
        <w:t xml:space="preserve"> from the surveys, such as a recognition, inability to meet targets, mixed feedback on productivity as well as a large proportion of respondents reporting a lack of support could all be tackled within these conversations.  If consistent questions were used, this could provide the organisation with a data set to accompany the survey results provid</w:t>
      </w:r>
      <w:r>
        <w:t>ing</w:t>
      </w:r>
      <w:r w:rsidRPr="006D1EAF">
        <w:t xml:space="preserve"> context and reasons behind the dissatisfaction</w:t>
      </w:r>
      <w:r>
        <w:t xml:space="preserve"> and help</w:t>
      </w:r>
      <w:r w:rsidRPr="006D1EAF">
        <w:t xml:space="preserve"> identify trends within teams.  This data would need to be anonymised and used for trend identification only to maintain appropriate confidentiality between the manager and employee.  The risk of not undertaking this process would be that EBP is not able to be used as the current data does not provide enough information and there is uncertainty around the quality due to the response numbers mentioned above</w:t>
      </w:r>
      <w:r>
        <w:t xml:space="preserve"> which does not allow for informed decision making</w:t>
      </w:r>
      <w:r w:rsidRPr="006D1EAF">
        <w:t xml:space="preserve">.  Therefore, there is a risk of introducing inappropriate and ineffective resolutions which would be costly to the organisation and not satisfy staff.  There would be a cost, particularly in time to develop and undertake this process, however, the potential impacts of not could result in further costs due to inappropriate decision making. </w:t>
      </w:r>
    </w:p>
    <w:p w14:paraId="1F940095" w14:textId="77777777" w:rsidR="00300749" w:rsidRPr="00A75F3A" w:rsidRDefault="00300749" w:rsidP="00300749">
      <w:pPr>
        <w:rPr>
          <w:highlight w:val="yellow"/>
        </w:rPr>
      </w:pPr>
    </w:p>
    <w:p w14:paraId="0BE71ACA" w14:textId="77777777" w:rsidR="00300749" w:rsidRDefault="00300749" w:rsidP="00300749">
      <w:pPr>
        <w:ind w:left="284"/>
      </w:pPr>
    </w:p>
    <w:p w14:paraId="3BFB75E0" w14:textId="77777777" w:rsidR="00300749" w:rsidRDefault="00300749" w:rsidP="00300749">
      <w:pPr>
        <w:ind w:left="284"/>
      </w:pPr>
    </w:p>
    <w:p w14:paraId="38E5D895" w14:textId="77777777" w:rsidR="00300749" w:rsidRDefault="00300749" w:rsidP="00300749">
      <w:pPr>
        <w:ind w:left="284"/>
      </w:pPr>
    </w:p>
    <w:p w14:paraId="64B2AD89" w14:textId="77777777" w:rsidR="00300749" w:rsidRPr="00A03239" w:rsidRDefault="00300749" w:rsidP="00C87068">
      <w:pPr>
        <w:ind w:left="0"/>
        <w:sectPr w:rsidR="00300749" w:rsidRPr="00A03239" w:rsidSect="008C1B2F">
          <w:pgSz w:w="11906" w:h="16838" w:code="9"/>
          <w:pgMar w:top="720" w:right="720" w:bottom="426" w:left="720" w:header="709" w:footer="709" w:gutter="0"/>
          <w:cols w:space="708"/>
          <w:docGrid w:linePitch="360"/>
        </w:sectPr>
      </w:pPr>
    </w:p>
    <w:p w14:paraId="7870BB8C" w14:textId="77777777" w:rsidR="00300749" w:rsidRPr="00A8027B" w:rsidRDefault="00300749" w:rsidP="0078694E">
      <w:pPr>
        <w:pStyle w:val="Heading1"/>
        <w:keepLines w:val="0"/>
        <w:tabs>
          <w:tab w:val="left" w:pos="709"/>
        </w:tabs>
        <w:spacing w:before="120" w:after="120" w:line="240" w:lineRule="auto"/>
        <w:ind w:left="720"/>
        <w:jc w:val="both"/>
        <w:rPr>
          <w:color w:val="201943"/>
        </w:rPr>
      </w:pPr>
      <w:bookmarkStart w:id="22" w:name="_Toc152066879"/>
      <w:bookmarkStart w:id="23" w:name="_Toc152156923"/>
      <w:r>
        <w:rPr>
          <w:color w:val="201943"/>
        </w:rPr>
        <w:lastRenderedPageBreak/>
        <w:t>Reference List</w:t>
      </w:r>
      <w:bookmarkEnd w:id="22"/>
      <w:bookmarkEnd w:id="23"/>
    </w:p>
    <w:p w14:paraId="625C9EA8" w14:textId="5BD6F7BB" w:rsidR="00205E2D" w:rsidRPr="00BF3873" w:rsidRDefault="00205E2D" w:rsidP="00A03239">
      <w:pPr>
        <w:pStyle w:val="BodyText"/>
        <w:spacing w:before="120" w:after="120" w:line="276" w:lineRule="auto"/>
        <w:ind w:right="283"/>
        <w:rPr>
          <w:rFonts w:asciiTheme="minorHAnsi" w:hAnsiTheme="minorHAnsi" w:cstheme="minorHAnsi"/>
          <w:color w:val="000000" w:themeColor="text1"/>
          <w:sz w:val="20"/>
          <w:szCs w:val="20"/>
          <w:shd w:val="clear" w:color="auto" w:fill="FFFFFF"/>
        </w:rPr>
      </w:pPr>
      <w:r w:rsidRPr="00BF3873">
        <w:rPr>
          <w:rFonts w:asciiTheme="minorHAnsi" w:hAnsiTheme="minorHAnsi" w:cstheme="minorHAnsi"/>
          <w:color w:val="000000" w:themeColor="text1"/>
          <w:sz w:val="20"/>
          <w:szCs w:val="20"/>
          <w:shd w:val="clear" w:color="auto" w:fill="FFFFFF"/>
        </w:rPr>
        <w:t xml:space="preserve">Ali (2022) </w:t>
      </w:r>
      <w:r w:rsidR="00A50CA5" w:rsidRPr="00BF3873">
        <w:rPr>
          <w:rFonts w:asciiTheme="minorHAnsi" w:hAnsiTheme="minorHAnsi" w:cstheme="minorHAnsi"/>
          <w:color w:val="000000" w:themeColor="text1"/>
          <w:sz w:val="20"/>
          <w:szCs w:val="20"/>
          <w:shd w:val="clear" w:color="auto" w:fill="FFFFFF"/>
        </w:rPr>
        <w:t xml:space="preserve">Equality, </w:t>
      </w:r>
      <w:proofErr w:type="gramStart"/>
      <w:r w:rsidR="00A50CA5" w:rsidRPr="00BF3873">
        <w:rPr>
          <w:rFonts w:asciiTheme="minorHAnsi" w:hAnsiTheme="minorHAnsi" w:cstheme="minorHAnsi"/>
          <w:color w:val="000000" w:themeColor="text1"/>
          <w:sz w:val="20"/>
          <w:szCs w:val="20"/>
          <w:shd w:val="clear" w:color="auto" w:fill="FFFFFF"/>
        </w:rPr>
        <w:t>Diversity</w:t>
      </w:r>
      <w:proofErr w:type="gramEnd"/>
      <w:r w:rsidR="00A50CA5" w:rsidRPr="00BF3873">
        <w:rPr>
          <w:rFonts w:asciiTheme="minorHAnsi" w:hAnsiTheme="minorHAnsi" w:cstheme="minorHAnsi"/>
          <w:color w:val="000000" w:themeColor="text1"/>
          <w:sz w:val="20"/>
          <w:szCs w:val="20"/>
          <w:shd w:val="clear" w:color="auto" w:fill="FFFFFF"/>
        </w:rPr>
        <w:t xml:space="preserve"> and Inclusion in the Workplace.  Available at: </w:t>
      </w:r>
      <w:hyperlink r:id="rId28" w:history="1">
        <w:r w:rsidR="00BF3873" w:rsidRPr="00BF3873">
          <w:rPr>
            <w:rFonts w:ascii="Arial" w:eastAsiaTheme="minorHAnsi" w:hAnsi="Arial" w:cstheme="minorBidi"/>
            <w:color w:val="0000FF"/>
            <w:spacing w:val="0"/>
            <w:sz w:val="20"/>
            <w:szCs w:val="20"/>
            <w:lang w:eastAsia="en-US"/>
          </w:rPr>
          <w:t>https://www.cipd.org/uk/knowledge/factsheets/diversity-factsheet/</w:t>
        </w:r>
      </w:hyperlink>
      <w:r w:rsidR="00BF3873" w:rsidRPr="00BF3873">
        <w:rPr>
          <w:rFonts w:asciiTheme="minorHAnsi" w:hAnsiTheme="minorHAnsi" w:cstheme="minorHAnsi"/>
          <w:color w:val="000000" w:themeColor="text1"/>
          <w:sz w:val="20"/>
          <w:szCs w:val="20"/>
          <w:shd w:val="clear" w:color="auto" w:fill="FFFFFF"/>
        </w:rPr>
        <w:t xml:space="preserve"> (Accessed: 28/11/2023).</w:t>
      </w:r>
    </w:p>
    <w:p w14:paraId="16B33938" w14:textId="5D8C3CFD" w:rsidR="00DC388F" w:rsidRPr="00813066" w:rsidRDefault="00B27F0D" w:rsidP="00813066">
      <w:pPr>
        <w:pStyle w:val="FootnoteText"/>
        <w:spacing w:before="120" w:after="120" w:line="276" w:lineRule="auto"/>
        <w:ind w:left="709"/>
        <w:rPr>
          <w:color w:val="000000" w:themeColor="text1"/>
          <w:szCs w:val="22"/>
        </w:rPr>
      </w:pPr>
      <w:r w:rsidRPr="00B27F0D">
        <w:rPr>
          <w:color w:val="000000" w:themeColor="text1"/>
          <w:szCs w:val="22"/>
        </w:rPr>
        <w:t>Asana (2022) Use problem framing to help solve team inefficiencies</w:t>
      </w:r>
      <w:r>
        <w:rPr>
          <w:color w:val="000000" w:themeColor="text1"/>
          <w:szCs w:val="22"/>
        </w:rPr>
        <w:t xml:space="preserve">.  Available at </w:t>
      </w:r>
      <w:hyperlink r:id="rId29" w:history="1">
        <w:r w:rsidR="00813066" w:rsidRPr="00813066">
          <w:rPr>
            <w:color w:val="0000FF"/>
          </w:rPr>
          <w:t>https://asana.com/resources/problem-framing</w:t>
        </w:r>
      </w:hyperlink>
      <w:r w:rsidR="00813066" w:rsidRPr="00813066">
        <w:rPr>
          <w:color w:val="0000FF"/>
        </w:rPr>
        <w:t xml:space="preserve"> </w:t>
      </w:r>
      <w:r w:rsidR="00813066" w:rsidRPr="00813066">
        <w:t>(</w:t>
      </w:r>
      <w:r w:rsidR="00813066" w:rsidRPr="00813066">
        <w:rPr>
          <w:rStyle w:val="Hyperlink"/>
          <w:color w:val="auto"/>
          <w:u w:val="none"/>
        </w:rPr>
        <w:t>Accessed: 1/12/2023)</w:t>
      </w:r>
    </w:p>
    <w:p w14:paraId="41B6C897" w14:textId="1C3A125D" w:rsidR="008936E8" w:rsidRDefault="008936E8" w:rsidP="0078694E">
      <w:pPr>
        <w:pStyle w:val="BodyText"/>
        <w:spacing w:before="120" w:after="120" w:line="276" w:lineRule="auto"/>
        <w:ind w:right="283"/>
        <w:rPr>
          <w:rFonts w:asciiTheme="minorHAnsi" w:hAnsiTheme="minorHAnsi" w:cstheme="minorHAnsi"/>
          <w:color w:val="000000" w:themeColor="text1"/>
          <w:sz w:val="20"/>
          <w:szCs w:val="20"/>
          <w:shd w:val="clear" w:color="auto" w:fill="FFFFFF"/>
        </w:rPr>
      </w:pPr>
      <w:r w:rsidRPr="00C87068">
        <w:rPr>
          <w:rFonts w:asciiTheme="minorHAnsi" w:hAnsiTheme="minorHAnsi" w:cstheme="minorHAnsi"/>
          <w:color w:val="000000" w:themeColor="text1"/>
          <w:sz w:val="20"/>
          <w:szCs w:val="20"/>
          <w:shd w:val="clear" w:color="auto" w:fill="FFFFFF"/>
        </w:rPr>
        <w:t>Burns, T., &amp; Sinfield, S. (2016) Essential Study Skills: The Complete Guide to Success at University (4th ed.) London: SAGE, p94</w:t>
      </w:r>
    </w:p>
    <w:p w14:paraId="71AD8EF8" w14:textId="77777777" w:rsidR="004C1667" w:rsidRDefault="008936E8" w:rsidP="0078694E">
      <w:pPr>
        <w:pStyle w:val="FootnoteText"/>
        <w:spacing w:before="120" w:after="120" w:line="276" w:lineRule="auto"/>
        <w:ind w:left="709"/>
      </w:pPr>
      <w:r w:rsidRPr="008936E8">
        <w:rPr>
          <w:rStyle w:val="Strong"/>
          <w:rFonts w:cs="Arial"/>
          <w:b w:val="0"/>
          <w:bCs w:val="0"/>
          <w:color w:val="202020"/>
          <w:shd w:val="clear" w:color="auto" w:fill="FFFFFF"/>
        </w:rPr>
        <w:t>Battista, M</w:t>
      </w:r>
      <w:r w:rsidRPr="008936E8">
        <w:rPr>
          <w:rStyle w:val="Hyperlink"/>
          <w:color w:val="000000" w:themeColor="text1"/>
          <w:u w:val="none"/>
        </w:rPr>
        <w:t xml:space="preserve"> (2023) Pestle Analysis Factsheet.  Available at </w:t>
      </w:r>
      <w:hyperlink r:id="rId30" w:anchor="what-is-a-pestle-analysis" w:history="1">
        <w:r w:rsidRPr="008936E8">
          <w:rPr>
            <w:color w:val="0000FF"/>
          </w:rPr>
          <w:t>https://www.cipd.org/uk/knowledge/factsheets/pestle-analysis-factsheet/#what-is-a-pestle-analysis</w:t>
        </w:r>
      </w:hyperlink>
      <w:r w:rsidRPr="008936E8">
        <w:rPr>
          <w:color w:val="0000FF"/>
        </w:rPr>
        <w:t>.</w:t>
      </w:r>
      <w:r>
        <w:t xml:space="preserve">  </w:t>
      </w:r>
      <w:r w:rsidR="00DC388F">
        <w:t>(</w:t>
      </w:r>
      <w:r>
        <w:t>Accessed</w:t>
      </w:r>
      <w:r w:rsidR="00DC388F">
        <w:t>:</w:t>
      </w:r>
      <w:r>
        <w:t xml:space="preserve"> 2/11/2023.</w:t>
      </w:r>
      <w:r w:rsidR="00DC388F">
        <w:t>)</w:t>
      </w:r>
    </w:p>
    <w:p w14:paraId="1C0D1E64" w14:textId="19085F70" w:rsidR="00991EB9" w:rsidRPr="00991EB9" w:rsidRDefault="004C1667" w:rsidP="002C4E96">
      <w:pPr>
        <w:pStyle w:val="FootnoteText"/>
        <w:spacing w:before="120" w:after="120" w:line="276" w:lineRule="auto"/>
        <w:ind w:left="709"/>
        <w:rPr>
          <w:rStyle w:val="Strong"/>
          <w:rFonts w:cs="Arial"/>
          <w:color w:val="202020"/>
          <w:shd w:val="clear" w:color="auto" w:fill="FFFFFF"/>
        </w:rPr>
      </w:pPr>
      <w:r>
        <w:rPr>
          <w:rStyle w:val="Strong"/>
          <w:rFonts w:cs="Arial"/>
          <w:b w:val="0"/>
          <w:bCs w:val="0"/>
          <w:color w:val="202020"/>
          <w:shd w:val="clear" w:color="auto" w:fill="FFFFFF"/>
        </w:rPr>
        <w:t xml:space="preserve">Briner (2023) </w:t>
      </w:r>
      <w:r w:rsidR="00991EB9" w:rsidRPr="00991EB9">
        <w:rPr>
          <w:rStyle w:val="Strong"/>
          <w:rFonts w:cs="Arial"/>
          <w:b w:val="0"/>
          <w:bCs w:val="0"/>
          <w:color w:val="202020"/>
          <w:shd w:val="clear" w:color="auto" w:fill="FFFFFF"/>
        </w:rPr>
        <w:t>Aligning HR with the business through the evidence-based HR process</w:t>
      </w:r>
      <w:r w:rsidR="00991EB9">
        <w:rPr>
          <w:rStyle w:val="Strong"/>
          <w:rFonts w:cs="Arial"/>
          <w:b w:val="0"/>
          <w:bCs w:val="0"/>
          <w:color w:val="202020"/>
          <w:shd w:val="clear" w:color="auto" w:fill="FFFFFF"/>
        </w:rPr>
        <w:t xml:space="preserve">.  Available at </w:t>
      </w:r>
      <w:r w:rsidR="00991EB9" w:rsidRPr="00991EB9">
        <w:rPr>
          <w:color w:val="0000FF"/>
        </w:rPr>
        <w:t>Aligning HR with the business through the evidence-based HR process</w:t>
      </w:r>
      <w:r w:rsidR="00991EB9" w:rsidRPr="002C4E96">
        <w:t xml:space="preserve">.  </w:t>
      </w:r>
      <w:r w:rsidR="002C4E96" w:rsidRPr="002C4E96">
        <w:t>(</w:t>
      </w:r>
      <w:r w:rsidR="00991EB9" w:rsidRPr="002C4E96">
        <w:t>Accessed</w:t>
      </w:r>
      <w:r w:rsidR="002C4E96" w:rsidRPr="002C4E96">
        <w:t>: 4/10/2023)</w:t>
      </w:r>
    </w:p>
    <w:p w14:paraId="6815D343" w14:textId="3E53A8D6" w:rsidR="00194B4A" w:rsidRDefault="00194B4A" w:rsidP="0078694E">
      <w:pPr>
        <w:pStyle w:val="FootnoteText"/>
        <w:spacing w:before="120" w:after="120" w:line="276" w:lineRule="auto"/>
        <w:ind w:left="709"/>
      </w:pPr>
      <w:r>
        <w:rPr>
          <w:rStyle w:val="Strong"/>
          <w:rFonts w:cs="Arial"/>
          <w:b w:val="0"/>
          <w:bCs w:val="0"/>
          <w:color w:val="202020"/>
          <w:shd w:val="clear" w:color="auto" w:fill="FFFFFF"/>
        </w:rPr>
        <w:t>CIPD (2015) Ethical Decision Making: Eight Perspectives on Workplace Dilemmas.  Available at</w:t>
      </w:r>
      <w:r w:rsidR="00B50B86">
        <w:rPr>
          <w:rStyle w:val="Strong"/>
          <w:rFonts w:cs="Arial"/>
          <w:b w:val="0"/>
          <w:bCs w:val="0"/>
          <w:color w:val="202020"/>
          <w:shd w:val="clear" w:color="auto" w:fill="FFFFFF"/>
        </w:rPr>
        <w:t xml:space="preserve"> </w:t>
      </w:r>
      <w:hyperlink r:id="rId31" w:anchor=":~:text=We%20will%20answer%20the%20review%E2%80%99s%20guiding%20question%20by,Each%20draws%20on%20a%20major%20tradition%20of%20thought" w:history="1">
        <w:r w:rsidR="00B50B86" w:rsidRPr="00B50B86">
          <w:rPr>
            <w:color w:val="0000FF"/>
          </w:rPr>
          <w:t>ethical-decision-making-2015-eight-perspectives-on-workplace-dilemmas_tcm29-9564.pdf (cipd.org)</w:t>
        </w:r>
      </w:hyperlink>
      <w:r w:rsidR="00B50B86">
        <w:rPr>
          <w:rStyle w:val="Hyperlink"/>
        </w:rPr>
        <w:t xml:space="preserve"> </w:t>
      </w:r>
      <w:r w:rsidR="00B50B86">
        <w:rPr>
          <w:rStyle w:val="Hyperlink"/>
          <w:color w:val="000000" w:themeColor="text1"/>
          <w:u w:val="none"/>
        </w:rPr>
        <w:t>(Accessed: 29/11/2023).</w:t>
      </w:r>
    </w:p>
    <w:p w14:paraId="5A141C17" w14:textId="571271DA" w:rsidR="00CB0B49" w:rsidRDefault="00CB0B49" w:rsidP="0078694E">
      <w:pPr>
        <w:pStyle w:val="FootnoteText"/>
        <w:spacing w:before="120" w:after="120" w:line="276" w:lineRule="auto"/>
        <w:ind w:left="709"/>
      </w:pPr>
      <w:r>
        <w:t xml:space="preserve">CIPD (2019) </w:t>
      </w:r>
      <w:r w:rsidR="00AC0165">
        <w:t xml:space="preserve">Ethics at Work: An employer’s guide.  Available at </w:t>
      </w:r>
      <w:hyperlink r:id="rId32" w:history="1">
        <w:r w:rsidRPr="00AC0165">
          <w:rPr>
            <w:color w:val="0000FF"/>
          </w:rPr>
          <w:t>Ethics at work: An employer’s guide | CIPD</w:t>
        </w:r>
      </w:hyperlink>
      <w:r w:rsidR="00AC0165">
        <w:rPr>
          <w:rStyle w:val="Hyperlink"/>
        </w:rPr>
        <w:t xml:space="preserve"> </w:t>
      </w:r>
      <w:r w:rsidR="00AC0165" w:rsidRPr="00AC0165">
        <w:rPr>
          <w:rStyle w:val="Hyperlink"/>
          <w:color w:val="auto"/>
        </w:rPr>
        <w:t>(</w:t>
      </w:r>
      <w:r w:rsidR="00AC0165" w:rsidRPr="00AC0165">
        <w:t>Accessed: 9/11/2023)</w:t>
      </w:r>
    </w:p>
    <w:p w14:paraId="55CB20E6" w14:textId="3184FA23" w:rsidR="00AC0165" w:rsidRDefault="00AC0165" w:rsidP="00AC0165">
      <w:pPr>
        <w:pStyle w:val="FootnoteText"/>
        <w:spacing w:before="120" w:after="120" w:line="276" w:lineRule="auto"/>
        <w:ind w:left="709"/>
        <w:rPr>
          <w:rStyle w:val="Hyperlink"/>
          <w:color w:val="000000" w:themeColor="text1"/>
          <w:u w:val="none"/>
        </w:rPr>
      </w:pPr>
      <w:r>
        <w:rPr>
          <w:rStyle w:val="Hyperlink"/>
          <w:color w:val="000000" w:themeColor="text1"/>
          <w:u w:val="none"/>
        </w:rPr>
        <w:t>CIPD (2021</w:t>
      </w:r>
      <w:r w:rsidR="00286244">
        <w:rPr>
          <w:rStyle w:val="Hyperlink"/>
          <w:color w:val="000000" w:themeColor="text1"/>
          <w:u w:val="none"/>
        </w:rPr>
        <w:t>a)</w:t>
      </w:r>
      <w:r>
        <w:rPr>
          <w:rStyle w:val="Hyperlink"/>
          <w:color w:val="000000" w:themeColor="text1"/>
          <w:u w:val="none"/>
        </w:rPr>
        <w:t xml:space="preserve"> Solving Problems with People Analytics: Case Studies.  Available at </w:t>
      </w:r>
      <w:hyperlink r:id="rId33" w:history="1">
        <w:r w:rsidRPr="00DC388F">
          <w:rPr>
            <w:color w:val="0000FF"/>
          </w:rPr>
          <w:t>https://www.cipd.org/uk/knowledge/case-studies/people-analytics-case-studies/</w:t>
        </w:r>
      </w:hyperlink>
      <w:r w:rsidRPr="00DC388F">
        <w:rPr>
          <w:color w:val="0000FF"/>
        </w:rPr>
        <w:t>.</w:t>
      </w:r>
      <w:r>
        <w:rPr>
          <w:rStyle w:val="Hyperlink"/>
          <w:color w:val="000000" w:themeColor="text1"/>
          <w:u w:val="none"/>
        </w:rPr>
        <w:t xml:space="preserve">  (Accessed: 29/11/2023).</w:t>
      </w:r>
    </w:p>
    <w:p w14:paraId="35B2A954" w14:textId="77777777" w:rsidR="00CB7B45" w:rsidRDefault="00CB7B45" w:rsidP="00CB7B45">
      <w:pPr>
        <w:pStyle w:val="FootnoteText"/>
        <w:spacing w:before="120" w:after="120" w:line="276" w:lineRule="auto"/>
        <w:ind w:left="709"/>
        <w:rPr>
          <w:rStyle w:val="Hyperlink"/>
          <w:color w:val="000000" w:themeColor="text1"/>
          <w:u w:val="none"/>
        </w:rPr>
      </w:pPr>
      <w:r>
        <w:t xml:space="preserve">CIPD (2022a) People Analytics Factsheet.  Available at </w:t>
      </w:r>
      <w:hyperlink r:id="rId34" w:history="1">
        <w:r w:rsidRPr="00DC388F">
          <w:rPr>
            <w:color w:val="0000FF"/>
          </w:rPr>
          <w:t>People Analytics | Factsheets | CIPD</w:t>
        </w:r>
      </w:hyperlink>
      <w:r w:rsidRPr="00DC388F">
        <w:rPr>
          <w:color w:val="0000FF"/>
        </w:rPr>
        <w:t xml:space="preserve">. </w:t>
      </w:r>
      <w:r w:rsidRPr="00DC388F">
        <w:rPr>
          <w:color w:val="000000" w:themeColor="text1"/>
        </w:rPr>
        <w:t xml:space="preserve"> (Accessed</w:t>
      </w:r>
      <w:r w:rsidRPr="00DC388F">
        <w:rPr>
          <w:rStyle w:val="Hyperlink"/>
          <w:color w:val="000000" w:themeColor="text1"/>
          <w:u w:val="none"/>
        </w:rPr>
        <w:t>: 29/11/2023</w:t>
      </w:r>
      <w:r>
        <w:rPr>
          <w:rStyle w:val="Hyperlink"/>
          <w:color w:val="000000" w:themeColor="text1"/>
          <w:u w:val="none"/>
        </w:rPr>
        <w:t>.)</w:t>
      </w:r>
    </w:p>
    <w:p w14:paraId="3239B28A" w14:textId="459E0FAD" w:rsidR="00286244" w:rsidRDefault="00286244" w:rsidP="00AC0165">
      <w:pPr>
        <w:pStyle w:val="FootnoteText"/>
        <w:spacing w:before="120" w:after="120" w:line="276" w:lineRule="auto"/>
        <w:ind w:left="709"/>
        <w:rPr>
          <w:rStyle w:val="Hyperlink"/>
          <w:color w:val="000000" w:themeColor="text1"/>
          <w:u w:val="none"/>
        </w:rPr>
      </w:pPr>
      <w:r>
        <w:rPr>
          <w:rStyle w:val="Hyperlink"/>
          <w:color w:val="000000" w:themeColor="text1"/>
          <w:u w:val="none"/>
        </w:rPr>
        <w:t>CIPD (2022b)</w:t>
      </w:r>
      <w:r w:rsidR="00F460BC">
        <w:rPr>
          <w:rStyle w:val="Hyperlink"/>
          <w:color w:val="000000" w:themeColor="text1"/>
          <w:u w:val="none"/>
        </w:rPr>
        <w:t xml:space="preserve"> People Analytics, Guide for People Professionals.  Available</w:t>
      </w:r>
      <w:r w:rsidR="00661AFC">
        <w:rPr>
          <w:rStyle w:val="Hyperlink"/>
          <w:color w:val="000000" w:themeColor="text1"/>
          <w:u w:val="none"/>
        </w:rPr>
        <w:t xml:space="preserve"> at </w:t>
      </w:r>
      <w:hyperlink r:id="rId35" w:anchor="how-is-hr-using-people-analytics" w:history="1">
        <w:r w:rsidR="00661AFC" w:rsidRPr="00661AFC">
          <w:rPr>
            <w:color w:val="0000FF"/>
          </w:rPr>
          <w:t>https://www.cipd.org/uk/knowledge/guides/analytics-prac*titioner-guide/#how-is-hr-using-people-analytics</w:t>
        </w:r>
      </w:hyperlink>
      <w:r w:rsidR="00661AFC">
        <w:rPr>
          <w:rStyle w:val="Hyperlink"/>
        </w:rPr>
        <w:t xml:space="preserve"> </w:t>
      </w:r>
      <w:r w:rsidR="00661AFC" w:rsidRPr="00661AFC">
        <w:rPr>
          <w:rStyle w:val="Hyperlink"/>
          <w:color w:val="000000" w:themeColor="text1"/>
          <w:u w:val="none"/>
        </w:rPr>
        <w:t>(Accessed: 5/11/2023).</w:t>
      </w:r>
    </w:p>
    <w:p w14:paraId="76AFB202" w14:textId="553DEC30" w:rsidR="004D5CD0" w:rsidRDefault="004D5CD0" w:rsidP="00AC0165">
      <w:pPr>
        <w:pStyle w:val="FootnoteText"/>
        <w:spacing w:before="120" w:after="120" w:line="276" w:lineRule="auto"/>
        <w:ind w:left="709"/>
      </w:pPr>
      <w:r>
        <w:t xml:space="preserve">CIPD (2022c) Performance Reviews Factsheet.  Available at: </w:t>
      </w:r>
      <w:hyperlink r:id="rId36" w:history="1">
        <w:r w:rsidRPr="000D1271">
          <w:rPr>
            <w:color w:val="0000FF"/>
          </w:rPr>
          <w:t>Performance Reviews | Factsheets | CIPD</w:t>
        </w:r>
      </w:hyperlink>
      <w:r>
        <w:rPr>
          <w:rStyle w:val="Hyperlink"/>
        </w:rPr>
        <w:t xml:space="preserve"> </w:t>
      </w:r>
      <w:r w:rsidRPr="000D1271">
        <w:t>(A</w:t>
      </w:r>
      <w:r w:rsidR="000D1271" w:rsidRPr="000D1271">
        <w:t>ccessed: 5/10/2023)</w:t>
      </w:r>
    </w:p>
    <w:p w14:paraId="71C631E6" w14:textId="4100A55D" w:rsidR="006B54A8" w:rsidRPr="00AC0165" w:rsidRDefault="006B54A8" w:rsidP="00AC0165">
      <w:pPr>
        <w:pStyle w:val="FootnoteText"/>
        <w:spacing w:before="120" w:after="120" w:line="276" w:lineRule="auto"/>
        <w:ind w:left="709"/>
        <w:rPr>
          <w:color w:val="000000" w:themeColor="text1"/>
        </w:rPr>
      </w:pPr>
      <w:r>
        <w:t xml:space="preserve">CIPD (2022d) </w:t>
      </w:r>
      <w:r w:rsidR="0080394C">
        <w:t xml:space="preserve">What value does HR bring to today’s organisations? Available at </w:t>
      </w:r>
      <w:hyperlink r:id="rId37" w:history="1">
        <w:r w:rsidR="0080394C" w:rsidRPr="0080394C">
          <w:rPr>
            <w:color w:val="0000FF"/>
          </w:rPr>
          <w:t>What value does HR bring to today's organisations? | Podcast | CIPD</w:t>
        </w:r>
      </w:hyperlink>
      <w:r w:rsidR="0080394C" w:rsidRPr="0080394C">
        <w:rPr>
          <w:color w:val="0000FF"/>
        </w:rPr>
        <w:t xml:space="preserve"> </w:t>
      </w:r>
      <w:r w:rsidR="0080394C" w:rsidRPr="0080394C">
        <w:t>(Accessed 1/12/2023)</w:t>
      </w:r>
    </w:p>
    <w:p w14:paraId="6C0C169B" w14:textId="35CC97E2" w:rsidR="008936E8" w:rsidRDefault="00F05DF8" w:rsidP="0078694E">
      <w:pPr>
        <w:pStyle w:val="FootnoteText"/>
        <w:spacing w:before="120" w:after="120" w:line="276" w:lineRule="auto"/>
        <w:ind w:left="709"/>
        <w:rPr>
          <w:rStyle w:val="Hyperlink"/>
          <w:color w:val="000000" w:themeColor="text1"/>
          <w:u w:val="none"/>
        </w:rPr>
      </w:pPr>
      <w:r>
        <w:rPr>
          <w:color w:val="000000" w:themeColor="text1"/>
          <w:szCs w:val="22"/>
        </w:rPr>
        <w:t>CIPD (2023</w:t>
      </w:r>
      <w:r w:rsidR="008936E8">
        <w:rPr>
          <w:color w:val="000000" w:themeColor="text1"/>
          <w:szCs w:val="22"/>
        </w:rPr>
        <w:t>a</w:t>
      </w:r>
      <w:r>
        <w:rPr>
          <w:color w:val="000000" w:themeColor="text1"/>
          <w:szCs w:val="22"/>
        </w:rPr>
        <w:t xml:space="preserve">) Performance Management BBC.  Available at </w:t>
      </w:r>
      <w:hyperlink r:id="rId38" w:anchor="what-evidence-was-used" w:history="1">
        <w:r w:rsidRPr="00F05DF8">
          <w:rPr>
            <w:color w:val="0000FF"/>
          </w:rPr>
          <w:t>Performance management: BBC | CIPD</w:t>
        </w:r>
      </w:hyperlink>
      <w:r w:rsidRPr="00F05DF8">
        <w:rPr>
          <w:color w:val="0000FF"/>
        </w:rPr>
        <w:t>.</w:t>
      </w:r>
      <w:r>
        <w:rPr>
          <w:rStyle w:val="Hyperlink"/>
        </w:rPr>
        <w:t xml:space="preserve"> </w:t>
      </w:r>
      <w:r w:rsidR="00DC388F" w:rsidRPr="0078694E">
        <w:rPr>
          <w:rStyle w:val="Hyperlink"/>
          <w:color w:val="000000" w:themeColor="text1"/>
          <w:u w:val="none"/>
        </w:rPr>
        <w:t>(</w:t>
      </w:r>
      <w:r w:rsidRPr="00F05DF8">
        <w:rPr>
          <w:rStyle w:val="Hyperlink"/>
          <w:color w:val="000000" w:themeColor="text1"/>
          <w:u w:val="none"/>
        </w:rPr>
        <w:t>Accessed</w:t>
      </w:r>
      <w:r w:rsidR="00DC388F">
        <w:rPr>
          <w:rStyle w:val="Hyperlink"/>
          <w:color w:val="000000" w:themeColor="text1"/>
          <w:u w:val="none"/>
        </w:rPr>
        <w:t xml:space="preserve">: </w:t>
      </w:r>
      <w:r w:rsidRPr="00F05DF8">
        <w:rPr>
          <w:rStyle w:val="Hyperlink"/>
          <w:color w:val="000000" w:themeColor="text1"/>
          <w:u w:val="none"/>
        </w:rPr>
        <w:t>29/11/2023</w:t>
      </w:r>
      <w:r>
        <w:rPr>
          <w:rStyle w:val="Hyperlink"/>
          <w:color w:val="000000" w:themeColor="text1"/>
          <w:u w:val="none"/>
        </w:rPr>
        <w:t>.</w:t>
      </w:r>
      <w:r w:rsidR="00DC388F">
        <w:rPr>
          <w:rStyle w:val="Hyperlink"/>
          <w:color w:val="000000" w:themeColor="text1"/>
          <w:u w:val="none"/>
        </w:rPr>
        <w:t>)</w:t>
      </w:r>
    </w:p>
    <w:p w14:paraId="1FEFF36C" w14:textId="509EB8F6" w:rsidR="00AC0165" w:rsidRDefault="00AC0165" w:rsidP="0078694E">
      <w:pPr>
        <w:pStyle w:val="FootnoteText"/>
        <w:spacing w:before="120" w:after="120" w:line="276" w:lineRule="auto"/>
        <w:ind w:left="709"/>
        <w:rPr>
          <w:rStyle w:val="Hyperlink"/>
          <w:color w:val="000000" w:themeColor="text1"/>
          <w:u w:val="none"/>
        </w:rPr>
      </w:pPr>
      <w:r>
        <w:rPr>
          <w:rStyle w:val="Hyperlink"/>
          <w:color w:val="000000" w:themeColor="text1"/>
          <w:u w:val="none"/>
        </w:rPr>
        <w:t xml:space="preserve">CIPD (2023b) Code of </w:t>
      </w:r>
      <w:r w:rsidR="0017201A" w:rsidRPr="0017201A">
        <w:rPr>
          <w:rStyle w:val="Hyperlink"/>
          <w:color w:val="000000" w:themeColor="text1"/>
          <w:u w:val="none"/>
        </w:rPr>
        <w:t>Conduct and Ethics.  Available</w:t>
      </w:r>
      <w:r w:rsidR="0017201A">
        <w:rPr>
          <w:rStyle w:val="Hyperlink"/>
          <w:color w:val="000000" w:themeColor="text1"/>
          <w:u w:val="none"/>
        </w:rPr>
        <w:t xml:space="preserve"> at </w:t>
      </w:r>
      <w:hyperlink r:id="rId39" w:history="1">
        <w:r w:rsidR="0017201A" w:rsidRPr="0017201A">
          <w:rPr>
            <w:color w:val="0000FF"/>
          </w:rPr>
          <w:t>2023-cipd-code-of-conduct-and-ethics.pdf</w:t>
        </w:r>
      </w:hyperlink>
      <w:r w:rsidR="0017201A" w:rsidRPr="0017201A">
        <w:rPr>
          <w:rStyle w:val="Hyperlink"/>
          <w:color w:val="000000" w:themeColor="text1"/>
          <w:u w:val="none"/>
        </w:rPr>
        <w:t xml:space="preserve"> (Accessed 12/11/2023)</w:t>
      </w:r>
    </w:p>
    <w:p w14:paraId="35D9675A" w14:textId="432B7D12" w:rsidR="00347FD7" w:rsidRPr="00520AA9" w:rsidRDefault="00347FD7" w:rsidP="00520AA9">
      <w:pPr>
        <w:pStyle w:val="FootnoteText"/>
        <w:spacing w:before="120" w:after="120" w:line="276" w:lineRule="auto"/>
        <w:ind w:left="709"/>
      </w:pPr>
      <w:r>
        <w:t xml:space="preserve">CIPD Forum (2023) </w:t>
      </w:r>
      <w:r w:rsidR="00520AA9" w:rsidRPr="00520AA9">
        <w:t>Discuss Problem Outcome Frame HR</w:t>
      </w:r>
      <w:r w:rsidR="00520AA9">
        <w:t xml:space="preserve">.  Available at </w:t>
      </w:r>
      <w:hyperlink r:id="rId40" w:history="1">
        <w:r w:rsidR="00520AA9" w:rsidRPr="00520AA9">
          <w:rPr>
            <w:color w:val="0000FF"/>
          </w:rPr>
          <w:t>https://cipdforum.co.uk/forums/topic/discuss-problem-outcome-frame-hr/</w:t>
        </w:r>
      </w:hyperlink>
      <w:r w:rsidR="00520AA9" w:rsidRPr="00520AA9">
        <w:rPr>
          <w:color w:val="0000FF"/>
        </w:rPr>
        <w:t xml:space="preserve"> (</w:t>
      </w:r>
      <w:r w:rsidR="00520AA9">
        <w:t>Accessed: 28/10/2023)</w:t>
      </w:r>
    </w:p>
    <w:p w14:paraId="662D87AE" w14:textId="28F30DF1" w:rsidR="00DC388F" w:rsidRDefault="00DC388F" w:rsidP="0078694E">
      <w:pPr>
        <w:pStyle w:val="FootnoteText"/>
        <w:spacing w:before="120" w:after="120" w:line="276" w:lineRule="auto"/>
        <w:ind w:left="709"/>
      </w:pPr>
      <w:r>
        <w:t xml:space="preserve">Chartered </w:t>
      </w:r>
      <w:r w:rsidR="006113DA">
        <w:t>M</w:t>
      </w:r>
      <w:r>
        <w:t>anagement Institute (2020</w:t>
      </w:r>
      <w:r w:rsidR="00493A95">
        <w:t>a</w:t>
      </w:r>
      <w:r>
        <w:t xml:space="preserve">). Decision Making.  Available at </w:t>
      </w:r>
      <w:hyperlink r:id="rId41" w:history="1">
        <w:r w:rsidRPr="001A76F8">
          <w:rPr>
            <w:color w:val="0000FF"/>
          </w:rPr>
          <w:t>Decision Making - CMI (managers.org.uk)</w:t>
        </w:r>
      </w:hyperlink>
      <w:r w:rsidRPr="001A76F8">
        <w:rPr>
          <w:color w:val="0000FF"/>
        </w:rPr>
        <w:t xml:space="preserve">.  </w:t>
      </w:r>
      <w:r w:rsidRPr="001A76F8">
        <w:t>(Accessed: 2</w:t>
      </w:r>
      <w:r w:rsidR="001A76F8">
        <w:t>6</w:t>
      </w:r>
      <w:r w:rsidRPr="001A76F8">
        <w:t>/11/2023)</w:t>
      </w:r>
    </w:p>
    <w:p w14:paraId="7CDBFD84" w14:textId="46C5F997" w:rsidR="006113DA" w:rsidRPr="00C87068" w:rsidRDefault="006113DA" w:rsidP="00C87068">
      <w:pPr>
        <w:pStyle w:val="FootnoteText"/>
        <w:spacing w:before="120" w:after="120" w:line="276" w:lineRule="auto"/>
        <w:ind w:left="709"/>
        <w:rPr>
          <w:color w:val="0000FF"/>
        </w:rPr>
      </w:pPr>
      <w:r>
        <w:t>Chartered Management Institute</w:t>
      </w:r>
      <w:r w:rsidR="00493A95">
        <w:t xml:space="preserve"> (2020b) Performance Management.  Available at  </w:t>
      </w:r>
      <w:hyperlink r:id="rId42" w:history="1">
        <w:r w:rsidR="00493A95" w:rsidRPr="00493A95">
          <w:rPr>
            <w:color w:val="0000FF"/>
          </w:rPr>
          <w:t>Performance management - CMI (managers.org.uk)</w:t>
        </w:r>
      </w:hyperlink>
      <w:r w:rsidR="00493A95" w:rsidRPr="00493A95">
        <w:rPr>
          <w:color w:val="0000FF"/>
        </w:rPr>
        <w:t xml:space="preserve"> </w:t>
      </w:r>
      <w:r w:rsidR="00493A95" w:rsidRPr="00493A95">
        <w:t>(Accessed</w:t>
      </w:r>
      <w:r w:rsidR="00493A95">
        <w:t>:</w:t>
      </w:r>
      <w:r w:rsidR="00493A95" w:rsidRPr="00493A95">
        <w:t>12/11/2023)</w:t>
      </w:r>
      <w:r w:rsidR="00493A95">
        <w:t>.</w:t>
      </w:r>
    </w:p>
    <w:p w14:paraId="5D91E0AE" w14:textId="4AC9C9FD" w:rsidR="00DC388F" w:rsidRDefault="00F05DF8" w:rsidP="0078694E">
      <w:pPr>
        <w:pStyle w:val="BodyText"/>
        <w:spacing w:before="120" w:after="120" w:line="276" w:lineRule="auto"/>
        <w:ind w:right="283"/>
        <w:rPr>
          <w:rFonts w:asciiTheme="majorHAnsi" w:hAnsiTheme="majorHAnsi" w:cstheme="majorHAnsi"/>
          <w:color w:val="000000" w:themeColor="text1"/>
          <w:sz w:val="20"/>
          <w:szCs w:val="20"/>
        </w:rPr>
      </w:pPr>
      <w:r w:rsidRPr="00DD40DB">
        <w:rPr>
          <w:rFonts w:ascii="Arial" w:eastAsiaTheme="minorHAnsi" w:hAnsi="Arial" w:cstheme="minorBidi"/>
          <w:color w:val="000000" w:themeColor="text1"/>
          <w:spacing w:val="0"/>
          <w:sz w:val="20"/>
          <w:szCs w:val="22"/>
          <w:lang w:eastAsia="en-US"/>
        </w:rPr>
        <w:t xml:space="preserve">Corporate Research Forum (2023) Research: Strong Foundations: Evidence-Based HR.  Available at </w:t>
      </w:r>
      <w:hyperlink r:id="rId43" w:history="1">
        <w:r w:rsidRPr="00DD40DB">
          <w:rPr>
            <w:rFonts w:ascii="Arial" w:eastAsiaTheme="minorHAnsi" w:hAnsi="Arial" w:cstheme="minorBidi"/>
            <w:color w:val="0000FF"/>
            <w:spacing w:val="0"/>
            <w:sz w:val="20"/>
            <w:szCs w:val="22"/>
            <w:lang w:eastAsia="en-US"/>
          </w:rPr>
          <w:t>https://www.crforum.co.uk/research-and-resources/research-strong-foundations-evidence-based-hr/</w:t>
        </w:r>
      </w:hyperlink>
      <w:r w:rsidRPr="00DD40DB">
        <w:rPr>
          <w:rFonts w:ascii="Arial" w:eastAsiaTheme="minorHAnsi" w:hAnsi="Arial" w:cstheme="minorBidi"/>
          <w:color w:val="0000FF"/>
          <w:spacing w:val="0"/>
          <w:sz w:val="20"/>
          <w:szCs w:val="22"/>
          <w:u w:val="single"/>
          <w:lang w:eastAsia="en-US"/>
        </w:rPr>
        <w:t xml:space="preserve"> </w:t>
      </w:r>
      <w:r w:rsidRPr="00DD40DB">
        <w:rPr>
          <w:rFonts w:ascii="Arial" w:eastAsiaTheme="minorHAnsi" w:hAnsi="Arial" w:cstheme="minorBidi"/>
          <w:color w:val="000000" w:themeColor="text1"/>
          <w:spacing w:val="0"/>
          <w:sz w:val="20"/>
          <w:szCs w:val="22"/>
          <w:lang w:eastAsia="en-US"/>
        </w:rPr>
        <w:t>(</w:t>
      </w:r>
      <w:r w:rsidRPr="00DD40DB">
        <w:rPr>
          <w:rFonts w:asciiTheme="majorHAnsi" w:hAnsiTheme="majorHAnsi" w:cstheme="majorHAnsi"/>
          <w:color w:val="000000" w:themeColor="text1"/>
          <w:sz w:val="20"/>
          <w:szCs w:val="20"/>
        </w:rPr>
        <w:t>Accessed</w:t>
      </w:r>
      <w:r w:rsidR="00DC388F">
        <w:rPr>
          <w:rFonts w:asciiTheme="majorHAnsi" w:hAnsiTheme="majorHAnsi" w:cstheme="majorHAnsi"/>
          <w:color w:val="000000" w:themeColor="text1"/>
          <w:sz w:val="20"/>
          <w:szCs w:val="20"/>
        </w:rPr>
        <w:t>:</w:t>
      </w:r>
      <w:r w:rsidRPr="00DD40DB">
        <w:rPr>
          <w:rFonts w:asciiTheme="majorHAnsi" w:hAnsiTheme="majorHAnsi" w:cstheme="majorHAnsi"/>
          <w:color w:val="000000" w:themeColor="text1"/>
          <w:sz w:val="20"/>
          <w:szCs w:val="20"/>
        </w:rPr>
        <w:t xml:space="preserve"> 29/11/2023)</w:t>
      </w:r>
    </w:p>
    <w:p w14:paraId="5EB8F4E0" w14:textId="6B30D0DE" w:rsidR="00F05DF8" w:rsidRPr="00857549" w:rsidRDefault="00DC388F" w:rsidP="00857549">
      <w:pPr>
        <w:pStyle w:val="FootnoteText"/>
        <w:spacing w:before="120" w:after="120" w:line="276" w:lineRule="auto"/>
        <w:ind w:left="709"/>
        <w:rPr>
          <w:color w:val="000000" w:themeColor="text1"/>
          <w:szCs w:val="22"/>
        </w:rPr>
      </w:pPr>
      <w:r w:rsidRPr="00857549">
        <w:rPr>
          <w:color w:val="000000" w:themeColor="text1"/>
          <w:szCs w:val="22"/>
        </w:rPr>
        <w:t>De Bono, E. (1999). “Six Thinking Hats: revised ed.,” New York: Back Bay Books.</w:t>
      </w:r>
    </w:p>
    <w:p w14:paraId="395DC2B6" w14:textId="3B3A204F" w:rsidR="001A76F8" w:rsidRDefault="00BB4208" w:rsidP="0078694E">
      <w:pPr>
        <w:pStyle w:val="FootnoteText"/>
        <w:spacing w:before="120" w:after="120" w:line="276" w:lineRule="auto"/>
        <w:ind w:left="709"/>
        <w:rPr>
          <w:color w:val="000000" w:themeColor="text1"/>
          <w:szCs w:val="22"/>
        </w:rPr>
      </w:pPr>
      <w:r w:rsidRPr="00BB4208">
        <w:rPr>
          <w:color w:val="000000" w:themeColor="text1"/>
          <w:szCs w:val="22"/>
        </w:rPr>
        <w:lastRenderedPageBreak/>
        <w:t xml:space="preserve">European Confederation of Institutes of Internal Auditing (2023) Risk in Focus 2024.  Available at </w:t>
      </w:r>
      <w:hyperlink r:id="rId44" w:history="1">
        <w:r w:rsidRPr="00D87968">
          <w:rPr>
            <w:color w:val="0000FF"/>
            <w:szCs w:val="22"/>
            <w:u w:val="single"/>
          </w:rPr>
          <w:t>ciia-risk-in-focus-2024_final-web.pdf</w:t>
        </w:r>
      </w:hyperlink>
      <w:r>
        <w:rPr>
          <w:color w:val="0000FF"/>
          <w:szCs w:val="22"/>
          <w:u w:val="single"/>
        </w:rPr>
        <w:t xml:space="preserve">  </w:t>
      </w:r>
      <w:r w:rsidRPr="00BB4208">
        <w:rPr>
          <w:color w:val="000000" w:themeColor="text1"/>
          <w:szCs w:val="22"/>
        </w:rPr>
        <w:t xml:space="preserve">(Accessed: </w:t>
      </w:r>
      <w:r w:rsidR="001A76F8">
        <w:rPr>
          <w:color w:val="000000" w:themeColor="text1"/>
          <w:szCs w:val="22"/>
        </w:rPr>
        <w:t>20</w:t>
      </w:r>
      <w:r w:rsidRPr="00BB4208">
        <w:rPr>
          <w:color w:val="000000" w:themeColor="text1"/>
          <w:szCs w:val="22"/>
        </w:rPr>
        <w:t>/1</w:t>
      </w:r>
      <w:r w:rsidR="001A76F8">
        <w:rPr>
          <w:color w:val="000000" w:themeColor="text1"/>
          <w:szCs w:val="22"/>
        </w:rPr>
        <w:t>0</w:t>
      </w:r>
      <w:r w:rsidRPr="00BB4208">
        <w:rPr>
          <w:color w:val="000000" w:themeColor="text1"/>
          <w:szCs w:val="22"/>
        </w:rPr>
        <w:t>/2023)</w:t>
      </w:r>
    </w:p>
    <w:p w14:paraId="13B97292" w14:textId="609967D5" w:rsidR="003D3402" w:rsidRDefault="003D3402" w:rsidP="00CC7962">
      <w:pPr>
        <w:pStyle w:val="FootnoteText"/>
        <w:ind w:left="709"/>
      </w:pPr>
      <w:r>
        <w:t>Gifford (2022)</w:t>
      </w:r>
      <w:r w:rsidR="003366C9">
        <w:t xml:space="preserve"> Performance Management: An introduction.  Available at: </w:t>
      </w:r>
      <w:hyperlink r:id="rId45" w:history="1">
        <w:r w:rsidR="004A547F" w:rsidRPr="004A547F">
          <w:rPr>
            <w:color w:val="0000FF"/>
            <w:szCs w:val="22"/>
          </w:rPr>
          <w:t>Performance Management | Factsheets | CIPD</w:t>
        </w:r>
      </w:hyperlink>
      <w:r w:rsidR="004A547F">
        <w:t xml:space="preserve"> (Accessed: 2/12/2023)</w:t>
      </w:r>
    </w:p>
    <w:p w14:paraId="06F2D238" w14:textId="1750D99F" w:rsidR="002C0924" w:rsidRDefault="002C0924" w:rsidP="00CC7962">
      <w:pPr>
        <w:pStyle w:val="FootnoteText"/>
        <w:ind w:left="709"/>
      </w:pPr>
      <w:r>
        <w:t>Great Places to Work (2021) UK’s Best Workplaces</w:t>
      </w:r>
      <w:r w:rsidR="00CC7962">
        <w:t xml:space="preserve">. Available at </w:t>
      </w:r>
      <w:hyperlink r:id="rId46" w:history="1">
        <w:r w:rsidRPr="00CC7962">
          <w:rPr>
            <w:color w:val="0000FF"/>
            <w:szCs w:val="22"/>
          </w:rPr>
          <w:t>2021 UK's Best Workplaces Publication (greatplacetowork.co.uk)</w:t>
        </w:r>
      </w:hyperlink>
      <w:r w:rsidR="00CC7962" w:rsidRPr="00CC7962">
        <w:rPr>
          <w:szCs w:val="22"/>
        </w:rPr>
        <w:t xml:space="preserve"> (</w:t>
      </w:r>
      <w:r w:rsidR="00CC7962" w:rsidRPr="00CC7962">
        <w:t>Accessed 7/10/2023)</w:t>
      </w:r>
    </w:p>
    <w:p w14:paraId="3B44CBC5" w14:textId="3BF69E80" w:rsidR="00DD40DB" w:rsidRDefault="001A76F8" w:rsidP="0078694E">
      <w:pPr>
        <w:pStyle w:val="FootnoteText"/>
        <w:spacing w:before="120" w:after="120" w:line="276" w:lineRule="auto"/>
        <w:ind w:left="709"/>
        <w:rPr>
          <w:color w:val="000000" w:themeColor="text1"/>
          <w:szCs w:val="22"/>
        </w:rPr>
      </w:pPr>
      <w:r>
        <w:rPr>
          <w:color w:val="000000" w:themeColor="text1"/>
          <w:szCs w:val="22"/>
        </w:rPr>
        <w:t xml:space="preserve">Haan, S (2023) SWOT Analysis Factsheet.  Available at </w:t>
      </w:r>
      <w:hyperlink r:id="rId47" w:anchor="the-swot-framework" w:history="1">
        <w:r w:rsidRPr="001A76F8">
          <w:rPr>
            <w:color w:val="0000FF"/>
            <w:szCs w:val="22"/>
          </w:rPr>
          <w:t>SWOT Analysis | Factsheets | CIPD</w:t>
        </w:r>
      </w:hyperlink>
      <w:r w:rsidRPr="001A76F8">
        <w:rPr>
          <w:color w:val="000000" w:themeColor="text1"/>
          <w:szCs w:val="22"/>
        </w:rPr>
        <w:t xml:space="preserve"> (Accesse</w:t>
      </w:r>
      <w:r>
        <w:rPr>
          <w:color w:val="000000" w:themeColor="text1"/>
          <w:szCs w:val="22"/>
        </w:rPr>
        <w:t xml:space="preserve">d: </w:t>
      </w:r>
      <w:r w:rsidRPr="001A76F8">
        <w:rPr>
          <w:color w:val="000000" w:themeColor="text1"/>
          <w:szCs w:val="22"/>
        </w:rPr>
        <w:t>22/11/2023)</w:t>
      </w:r>
    </w:p>
    <w:p w14:paraId="718B56B2" w14:textId="18A1C05C" w:rsidR="002D0460" w:rsidRPr="0078694E" w:rsidRDefault="002D0460" w:rsidP="0078694E">
      <w:pPr>
        <w:pStyle w:val="FootnoteText"/>
        <w:spacing w:before="120" w:after="120" w:line="276" w:lineRule="auto"/>
        <w:ind w:left="709"/>
        <w:rPr>
          <w:color w:val="0000FF"/>
          <w:szCs w:val="22"/>
          <w:u w:val="single"/>
        </w:rPr>
      </w:pPr>
      <w:r>
        <w:rPr>
          <w:color w:val="000000" w:themeColor="text1"/>
          <w:szCs w:val="22"/>
        </w:rPr>
        <w:t xml:space="preserve">McKinsey (2020) </w:t>
      </w:r>
      <w:r w:rsidR="00E7484E">
        <w:rPr>
          <w:color w:val="000000" w:themeColor="text1"/>
          <w:szCs w:val="22"/>
        </w:rPr>
        <w:t xml:space="preserve">How diversity, </w:t>
      </w:r>
      <w:proofErr w:type="gramStart"/>
      <w:r w:rsidR="00E7484E">
        <w:rPr>
          <w:color w:val="000000" w:themeColor="text1"/>
          <w:szCs w:val="22"/>
        </w:rPr>
        <w:t>equity</w:t>
      </w:r>
      <w:proofErr w:type="gramEnd"/>
      <w:r w:rsidR="00E7484E">
        <w:rPr>
          <w:color w:val="000000" w:themeColor="text1"/>
          <w:szCs w:val="22"/>
        </w:rPr>
        <w:t xml:space="preserve"> and inclusion matter. Available at: </w:t>
      </w:r>
      <w:hyperlink r:id="rId48" w:history="1">
        <w:r w:rsidRPr="00E7484E">
          <w:rPr>
            <w:color w:val="0000FF"/>
            <w:szCs w:val="22"/>
          </w:rPr>
          <w:t>How diversity, equity, and inclusion (DE&amp;I) matter | McKinsey</w:t>
        </w:r>
      </w:hyperlink>
      <w:r w:rsidR="00E7484E">
        <w:rPr>
          <w:rStyle w:val="Hyperlink"/>
        </w:rPr>
        <w:t xml:space="preserve"> </w:t>
      </w:r>
      <w:r w:rsidR="00E7484E" w:rsidRPr="00E7484E">
        <w:rPr>
          <w:color w:val="000000" w:themeColor="text1"/>
          <w:szCs w:val="22"/>
        </w:rPr>
        <w:t>(Accessed 29/10/2023)</w:t>
      </w:r>
    </w:p>
    <w:p w14:paraId="0827A41C" w14:textId="73631A58" w:rsidR="00DC388F" w:rsidRDefault="00F05DF8"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sidRPr="00F05DF8">
        <w:rPr>
          <w:rFonts w:ascii="Arial" w:eastAsiaTheme="minorHAnsi" w:hAnsi="Arial" w:cstheme="minorBidi"/>
          <w:color w:val="000000" w:themeColor="text1"/>
          <w:spacing w:val="0"/>
          <w:sz w:val="20"/>
          <w:szCs w:val="22"/>
          <w:lang w:eastAsia="en-US"/>
        </w:rPr>
        <w:t xml:space="preserve">Reid Elder, S and Nikodem, M (2023) Considering the application and relevance of evidence-based HR.  Available at </w:t>
      </w:r>
      <w:hyperlink r:id="rId49" w:history="1">
        <w:r w:rsidRPr="00F05DF8">
          <w:rPr>
            <w:rFonts w:ascii="Arial" w:eastAsiaTheme="minorHAnsi" w:hAnsi="Arial" w:cstheme="minorBidi"/>
            <w:color w:val="0000FF"/>
            <w:spacing w:val="0"/>
            <w:sz w:val="20"/>
            <w:szCs w:val="22"/>
            <w:lang w:eastAsia="en-US"/>
          </w:rPr>
          <w:t>https://www.peoplemanagement.co.uk/article/1845833/considering-application-relevance-evidence-based-hr</w:t>
        </w:r>
      </w:hyperlink>
      <w:r>
        <w:t> </w:t>
      </w:r>
      <w:r w:rsidRPr="00F05DF8">
        <w:rPr>
          <w:rFonts w:ascii="Arial" w:eastAsiaTheme="minorHAnsi" w:hAnsi="Arial" w:cstheme="minorBidi"/>
          <w:color w:val="000000" w:themeColor="text1"/>
          <w:spacing w:val="0"/>
          <w:sz w:val="20"/>
          <w:szCs w:val="22"/>
          <w:lang w:eastAsia="en-US"/>
        </w:rPr>
        <w:t xml:space="preserve">(Accessed </w:t>
      </w:r>
      <w:r w:rsidR="001A76F8">
        <w:rPr>
          <w:rFonts w:ascii="Arial" w:eastAsiaTheme="minorHAnsi" w:hAnsi="Arial" w:cstheme="minorBidi"/>
          <w:color w:val="000000" w:themeColor="text1"/>
          <w:spacing w:val="0"/>
          <w:sz w:val="20"/>
          <w:szCs w:val="22"/>
          <w:lang w:eastAsia="en-US"/>
        </w:rPr>
        <w:t>8</w:t>
      </w:r>
      <w:r w:rsidRPr="00F05DF8">
        <w:rPr>
          <w:rFonts w:ascii="Arial" w:eastAsiaTheme="minorHAnsi" w:hAnsi="Arial" w:cstheme="minorBidi"/>
          <w:color w:val="000000" w:themeColor="text1"/>
          <w:spacing w:val="0"/>
          <w:sz w:val="20"/>
          <w:szCs w:val="22"/>
          <w:lang w:eastAsia="en-US"/>
        </w:rPr>
        <w:t>/1</w:t>
      </w:r>
      <w:r w:rsidR="001A76F8">
        <w:rPr>
          <w:rFonts w:ascii="Arial" w:eastAsiaTheme="minorHAnsi" w:hAnsi="Arial" w:cstheme="minorBidi"/>
          <w:color w:val="000000" w:themeColor="text1"/>
          <w:spacing w:val="0"/>
          <w:sz w:val="20"/>
          <w:szCs w:val="22"/>
          <w:lang w:eastAsia="en-US"/>
        </w:rPr>
        <w:t>1</w:t>
      </w:r>
      <w:r w:rsidRPr="00F05DF8">
        <w:rPr>
          <w:rFonts w:ascii="Arial" w:eastAsiaTheme="minorHAnsi" w:hAnsi="Arial" w:cstheme="minorBidi"/>
          <w:color w:val="000000" w:themeColor="text1"/>
          <w:spacing w:val="0"/>
          <w:sz w:val="20"/>
          <w:szCs w:val="22"/>
          <w:lang w:eastAsia="en-US"/>
        </w:rPr>
        <w:t>/2023)</w:t>
      </w:r>
    </w:p>
    <w:p w14:paraId="6093A8AF" w14:textId="6E5579C8" w:rsidR="00E80537" w:rsidRPr="00BB61D2" w:rsidRDefault="00E80537" w:rsidP="00BB61D2">
      <w:pPr>
        <w:pStyle w:val="FootnoteText"/>
        <w:ind w:left="709"/>
      </w:pPr>
      <w:r>
        <w:rPr>
          <w:color w:val="000000" w:themeColor="text1"/>
          <w:szCs w:val="22"/>
        </w:rPr>
        <w:t>Schultz (2023)</w:t>
      </w:r>
      <w:r w:rsidR="00BB61D2">
        <w:rPr>
          <w:color w:val="000000" w:themeColor="text1"/>
          <w:szCs w:val="22"/>
        </w:rPr>
        <w:t xml:space="preserve"> Henry Sidgwick.  Available at</w:t>
      </w:r>
      <w:r>
        <w:rPr>
          <w:color w:val="000000" w:themeColor="text1"/>
          <w:szCs w:val="22"/>
        </w:rPr>
        <w:t xml:space="preserve"> </w:t>
      </w:r>
      <w:hyperlink r:id="rId50" w:history="1">
        <w:r w:rsidRPr="00BB61D2">
          <w:rPr>
            <w:color w:val="0000FF"/>
            <w:szCs w:val="22"/>
          </w:rPr>
          <w:t xml:space="preserve">Henry Sidgwick (Stanford </w:t>
        </w:r>
        <w:proofErr w:type="spellStart"/>
        <w:r w:rsidRPr="00BB61D2">
          <w:rPr>
            <w:color w:val="0000FF"/>
            <w:szCs w:val="22"/>
          </w:rPr>
          <w:t>Encyclopedia</w:t>
        </w:r>
        <w:proofErr w:type="spellEnd"/>
        <w:r w:rsidRPr="00BB61D2">
          <w:rPr>
            <w:color w:val="0000FF"/>
            <w:szCs w:val="22"/>
          </w:rPr>
          <w:t xml:space="preserve"> of Philosophy)</w:t>
        </w:r>
      </w:hyperlink>
      <w:r w:rsidR="00BB61D2" w:rsidRPr="00BB61D2">
        <w:rPr>
          <w:color w:val="0000FF"/>
          <w:szCs w:val="22"/>
        </w:rPr>
        <w:t xml:space="preserve"> </w:t>
      </w:r>
      <w:r w:rsidR="00BB61D2" w:rsidRPr="00BB61D2">
        <w:rPr>
          <w:rStyle w:val="Hyperlink"/>
          <w:color w:val="auto"/>
          <w:u w:val="none"/>
        </w:rPr>
        <w:t>Accessed 28/11/2023.</w:t>
      </w:r>
    </w:p>
    <w:p w14:paraId="1E8ACDE3" w14:textId="1C567102" w:rsidR="001A76F8" w:rsidRDefault="001A76F8"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Pr>
          <w:rFonts w:ascii="Arial" w:eastAsiaTheme="minorHAnsi" w:hAnsi="Arial" w:cstheme="minorBidi"/>
          <w:color w:val="000000" w:themeColor="text1"/>
          <w:spacing w:val="0"/>
          <w:sz w:val="20"/>
          <w:szCs w:val="22"/>
          <w:lang w:eastAsia="en-US"/>
        </w:rPr>
        <w:t xml:space="preserve">The Persimmon Group (2020) Project Management: The Six Thinking Hats and How to Use Them.  Available at </w:t>
      </w:r>
      <w:hyperlink r:id="rId51" w:history="1">
        <w:r w:rsidRPr="001A76F8">
          <w:rPr>
            <w:rFonts w:ascii="Arial" w:eastAsiaTheme="minorHAnsi" w:hAnsi="Arial" w:cstheme="minorBidi"/>
            <w:color w:val="0000FF"/>
            <w:spacing w:val="0"/>
            <w:sz w:val="20"/>
            <w:szCs w:val="22"/>
            <w:lang w:eastAsia="en-US"/>
          </w:rPr>
          <w:t>The Six Thinking Hats and How to Use Them | The Persimmon Group</w:t>
        </w:r>
      </w:hyperlink>
      <w:r w:rsidRPr="001A76F8">
        <w:rPr>
          <w:rFonts w:ascii="Arial" w:eastAsiaTheme="minorHAnsi" w:hAnsi="Arial" w:cstheme="minorBidi"/>
          <w:color w:val="0000FF"/>
          <w:spacing w:val="0"/>
          <w:sz w:val="20"/>
          <w:szCs w:val="22"/>
          <w:lang w:eastAsia="en-US"/>
        </w:rPr>
        <w:t>.  (</w:t>
      </w:r>
      <w:r w:rsidRPr="001A76F8">
        <w:rPr>
          <w:rFonts w:ascii="Arial" w:eastAsiaTheme="minorHAnsi" w:hAnsi="Arial" w:cstheme="minorBidi"/>
          <w:color w:val="000000" w:themeColor="text1"/>
          <w:spacing w:val="0"/>
          <w:sz w:val="20"/>
          <w:szCs w:val="22"/>
          <w:lang w:eastAsia="en-US"/>
        </w:rPr>
        <w:t>Accessed 22/11/2023)</w:t>
      </w:r>
    </w:p>
    <w:p w14:paraId="76033F88" w14:textId="023765E3" w:rsidR="00D8177D" w:rsidRDefault="00D8177D" w:rsidP="0019422D">
      <w:pPr>
        <w:pStyle w:val="FootnoteText"/>
        <w:spacing w:before="120" w:after="120" w:line="276" w:lineRule="auto"/>
        <w:ind w:left="709"/>
        <w:rPr>
          <w:color w:val="000000" w:themeColor="text1"/>
          <w:szCs w:val="22"/>
        </w:rPr>
      </w:pPr>
      <w:r w:rsidRPr="00D8177D">
        <w:rPr>
          <w:color w:val="000000" w:themeColor="text1"/>
          <w:szCs w:val="22"/>
        </w:rPr>
        <w:t>Taylor, S. and Woodhams, C. (2022). Studying Human Resource Management. 3rd edition. [</w:t>
      </w:r>
      <w:r>
        <w:rPr>
          <w:color w:val="000000" w:themeColor="text1"/>
          <w:szCs w:val="22"/>
        </w:rPr>
        <w:t>Digital</w:t>
      </w:r>
      <w:r w:rsidRPr="00D8177D">
        <w:rPr>
          <w:color w:val="000000" w:themeColor="text1"/>
          <w:szCs w:val="22"/>
        </w:rPr>
        <w:t>]: Kogan Page.</w:t>
      </w:r>
    </w:p>
    <w:p w14:paraId="53D88C18" w14:textId="16526E6D" w:rsidR="00DC388F" w:rsidRDefault="00DC388F"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Pr>
          <w:rFonts w:ascii="Arial" w:eastAsiaTheme="minorHAnsi" w:hAnsi="Arial" w:cstheme="minorBidi"/>
          <w:color w:val="000000" w:themeColor="text1"/>
          <w:spacing w:val="0"/>
          <w:sz w:val="20"/>
          <w:szCs w:val="22"/>
          <w:lang w:eastAsia="en-US"/>
        </w:rPr>
        <w:t xml:space="preserve">University of Edinburgh (2023) Critical Thinking.  Available at </w:t>
      </w:r>
      <w:hyperlink r:id="rId52" w:history="1">
        <w:r w:rsidRPr="00DC388F">
          <w:rPr>
            <w:rFonts w:ascii="Arial" w:eastAsiaTheme="minorHAnsi" w:hAnsi="Arial" w:cstheme="minorBidi"/>
            <w:color w:val="0000FF"/>
            <w:spacing w:val="0"/>
            <w:sz w:val="20"/>
            <w:szCs w:val="22"/>
            <w:lang w:eastAsia="en-US"/>
          </w:rPr>
          <w:t>Critical thinking | The University of Edinburgh</w:t>
        </w:r>
      </w:hyperlink>
      <w:r w:rsidRPr="00DC388F">
        <w:rPr>
          <w:rFonts w:ascii="Arial" w:eastAsiaTheme="minorHAnsi" w:hAnsi="Arial" w:cstheme="minorBidi"/>
          <w:color w:val="0000FF"/>
          <w:spacing w:val="0"/>
          <w:sz w:val="20"/>
          <w:szCs w:val="22"/>
          <w:u w:val="single"/>
          <w:lang w:eastAsia="en-US"/>
        </w:rPr>
        <w:t xml:space="preserve"> </w:t>
      </w:r>
      <w:r w:rsidRPr="00DC388F">
        <w:rPr>
          <w:rFonts w:ascii="Arial" w:eastAsiaTheme="minorHAnsi" w:hAnsi="Arial" w:cstheme="minorBidi"/>
          <w:color w:val="000000" w:themeColor="text1"/>
          <w:spacing w:val="0"/>
          <w:sz w:val="20"/>
          <w:szCs w:val="22"/>
          <w:lang w:eastAsia="en-US"/>
        </w:rPr>
        <w:t>(Accessed</w:t>
      </w:r>
      <w:r>
        <w:rPr>
          <w:rFonts w:ascii="Arial" w:eastAsiaTheme="minorHAnsi" w:hAnsi="Arial" w:cstheme="minorBidi"/>
          <w:color w:val="000000" w:themeColor="text1"/>
          <w:spacing w:val="0"/>
          <w:sz w:val="20"/>
          <w:szCs w:val="22"/>
          <w:lang w:eastAsia="en-US"/>
        </w:rPr>
        <w:t>:</w:t>
      </w:r>
      <w:r w:rsidRPr="00DC388F">
        <w:rPr>
          <w:rFonts w:ascii="Arial" w:eastAsiaTheme="minorHAnsi" w:hAnsi="Arial" w:cstheme="minorBidi"/>
          <w:color w:val="000000" w:themeColor="text1"/>
          <w:spacing w:val="0"/>
          <w:sz w:val="20"/>
          <w:szCs w:val="22"/>
          <w:lang w:eastAsia="en-US"/>
        </w:rPr>
        <w:t xml:space="preserve"> 29/11/2023).</w:t>
      </w:r>
    </w:p>
    <w:p w14:paraId="0617A791" w14:textId="298509A9" w:rsidR="003864F7" w:rsidRPr="002B208F" w:rsidRDefault="003864F7"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sidRPr="002B208F">
        <w:rPr>
          <w:rFonts w:ascii="Arial" w:eastAsiaTheme="minorHAnsi" w:hAnsi="Arial" w:cstheme="minorBidi"/>
          <w:color w:val="000000" w:themeColor="text1"/>
          <w:spacing w:val="0"/>
          <w:sz w:val="20"/>
          <w:szCs w:val="22"/>
          <w:lang w:eastAsia="en-US"/>
        </w:rPr>
        <w:t>Waite, K., Beevers, K., Small, N., Tomlinson, K. and Hussain, S. (2021). </w:t>
      </w:r>
      <w:r w:rsidRPr="002B208F">
        <w:rPr>
          <w:rFonts w:ascii="Arial" w:eastAsiaTheme="minorHAnsi" w:hAnsi="Arial" w:cstheme="minorBidi"/>
          <w:i/>
          <w:iCs/>
          <w:color w:val="000000" w:themeColor="text1"/>
          <w:spacing w:val="0"/>
          <w:sz w:val="20"/>
          <w:szCs w:val="22"/>
          <w:lang w:eastAsia="en-US"/>
        </w:rPr>
        <w:t>People Practice</w:t>
      </w:r>
      <w:r w:rsidRPr="002B208F">
        <w:rPr>
          <w:rFonts w:ascii="Arial" w:eastAsiaTheme="minorHAnsi" w:hAnsi="Arial" w:cstheme="minorBidi"/>
          <w:color w:val="000000" w:themeColor="text1"/>
          <w:spacing w:val="0"/>
          <w:sz w:val="20"/>
          <w:szCs w:val="22"/>
          <w:lang w:eastAsia="en-US"/>
        </w:rPr>
        <w:t>. [</w:t>
      </w:r>
      <w:r w:rsidR="00777522" w:rsidRPr="002B208F">
        <w:rPr>
          <w:rFonts w:ascii="Arial" w:eastAsiaTheme="minorHAnsi" w:hAnsi="Arial" w:cstheme="minorBidi"/>
          <w:color w:val="000000" w:themeColor="text1"/>
          <w:spacing w:val="0"/>
          <w:sz w:val="20"/>
          <w:szCs w:val="22"/>
          <w:lang w:eastAsia="en-US"/>
        </w:rPr>
        <w:t>Digital</w:t>
      </w:r>
      <w:r w:rsidRPr="002B208F">
        <w:rPr>
          <w:rFonts w:ascii="Arial" w:eastAsiaTheme="minorHAnsi" w:hAnsi="Arial" w:cstheme="minorBidi"/>
          <w:color w:val="000000" w:themeColor="text1"/>
          <w:spacing w:val="0"/>
          <w:sz w:val="20"/>
          <w:szCs w:val="22"/>
          <w:lang w:eastAsia="en-US"/>
        </w:rPr>
        <w:t>]: Kogan Page.</w:t>
      </w:r>
    </w:p>
    <w:p w14:paraId="146F16C5" w14:textId="6471FD31" w:rsidR="002B208F" w:rsidRPr="002B208F" w:rsidRDefault="002B208F" w:rsidP="0078694E">
      <w:pPr>
        <w:pStyle w:val="BodyText"/>
        <w:spacing w:before="120" w:after="120" w:line="276" w:lineRule="auto"/>
        <w:ind w:right="283"/>
        <w:jc w:val="left"/>
        <w:rPr>
          <w:rFonts w:ascii="Arial" w:eastAsiaTheme="minorHAnsi" w:hAnsi="Arial" w:cstheme="minorBidi"/>
          <w:color w:val="0000FF"/>
          <w:spacing w:val="0"/>
          <w:sz w:val="20"/>
          <w:szCs w:val="22"/>
          <w:lang w:eastAsia="en-US"/>
        </w:rPr>
      </w:pPr>
      <w:r w:rsidRPr="002B208F">
        <w:rPr>
          <w:rFonts w:ascii="Arial" w:eastAsiaTheme="minorHAnsi" w:hAnsi="Arial" w:cstheme="minorBidi"/>
          <w:color w:val="000000" w:themeColor="text1"/>
          <w:spacing w:val="0"/>
          <w:sz w:val="20"/>
          <w:szCs w:val="22"/>
          <w:lang w:eastAsia="en-US"/>
        </w:rPr>
        <w:t>Wild (2023) Gender Pay Gap Reporting Guide.  Available</w:t>
      </w:r>
      <w:r>
        <w:rPr>
          <w:rFonts w:ascii="Roboto" w:hAnsi="Roboto"/>
          <w:color w:val="1C1C1C"/>
          <w:shd w:val="clear" w:color="auto" w:fill="FFFFFF"/>
        </w:rPr>
        <w:t xml:space="preserve"> at </w:t>
      </w:r>
      <w:hyperlink r:id="rId53" w:history="1">
        <w:r w:rsidRPr="002B208F">
          <w:rPr>
            <w:rFonts w:ascii="Arial" w:eastAsiaTheme="minorHAnsi" w:hAnsi="Arial" w:cstheme="minorBidi"/>
            <w:color w:val="0000FF"/>
            <w:spacing w:val="0"/>
            <w:sz w:val="20"/>
            <w:szCs w:val="22"/>
            <w:lang w:eastAsia="en-US"/>
          </w:rPr>
          <w:t>Gender pay gap reporting guide | CIPD | CIPD</w:t>
        </w:r>
      </w:hyperlink>
      <w:r w:rsidRPr="002B208F">
        <w:rPr>
          <w:rFonts w:ascii="Arial" w:eastAsiaTheme="minorHAnsi" w:hAnsi="Arial" w:cstheme="minorBidi"/>
          <w:color w:val="0000FF"/>
          <w:spacing w:val="0"/>
          <w:sz w:val="20"/>
          <w:szCs w:val="22"/>
          <w:lang w:eastAsia="en-US"/>
        </w:rPr>
        <w:t xml:space="preserve"> </w:t>
      </w:r>
      <w:r w:rsidRPr="002B208F">
        <w:rPr>
          <w:rFonts w:ascii="Arial" w:eastAsiaTheme="minorHAnsi" w:hAnsi="Arial" w:cstheme="minorBidi"/>
          <w:color w:val="000000" w:themeColor="text1"/>
          <w:spacing w:val="0"/>
          <w:sz w:val="20"/>
          <w:szCs w:val="22"/>
          <w:lang w:eastAsia="en-US"/>
        </w:rPr>
        <w:t>(Accessed: 4/11/2023)</w:t>
      </w:r>
    </w:p>
    <w:p w14:paraId="28CE7528" w14:textId="265B7D16" w:rsidR="008936E8" w:rsidRPr="00DD40DB" w:rsidRDefault="008936E8" w:rsidP="0078694E">
      <w:pPr>
        <w:pStyle w:val="BodyText"/>
        <w:spacing w:before="120" w:after="120" w:line="276" w:lineRule="auto"/>
        <w:ind w:right="283"/>
        <w:jc w:val="left"/>
        <w:rPr>
          <w:b/>
          <w:bCs/>
          <w:color w:val="000000" w:themeColor="text1"/>
        </w:rPr>
      </w:pPr>
      <w:r>
        <w:rPr>
          <w:rFonts w:ascii="Arial" w:eastAsiaTheme="minorHAnsi" w:hAnsi="Arial" w:cstheme="minorBidi"/>
          <w:color w:val="000000" w:themeColor="text1"/>
          <w:spacing w:val="0"/>
          <w:sz w:val="20"/>
          <w:szCs w:val="22"/>
          <w:lang w:eastAsia="en-US"/>
        </w:rPr>
        <w:tab/>
      </w:r>
      <w:r w:rsidRPr="008936E8">
        <w:rPr>
          <w:rFonts w:ascii="Arial" w:eastAsiaTheme="minorHAnsi" w:hAnsi="Arial" w:cstheme="minorBidi"/>
          <w:color w:val="000000" w:themeColor="text1"/>
          <w:spacing w:val="0"/>
          <w:sz w:val="20"/>
          <w:szCs w:val="22"/>
          <w:lang w:eastAsia="en-US"/>
        </w:rPr>
        <w:t xml:space="preserve">Young, J. (2022) Evidence-based practice for effective decision-making: Factsheets, CIPD. Available at: </w:t>
      </w:r>
      <w:hyperlink r:id="rId54" w:history="1">
        <w:r w:rsidRPr="00DC388F">
          <w:rPr>
            <w:rFonts w:asciiTheme="minorHAnsi" w:hAnsiTheme="minorHAnsi" w:cstheme="minorHAnsi"/>
            <w:color w:val="0000FF"/>
            <w:sz w:val="20"/>
            <w:szCs w:val="20"/>
            <w:lang w:eastAsia="en-US"/>
          </w:rPr>
          <w:t>https://www.cipd.co.uk/knowledge/strategy/analytics/evidence-based-practice-factsheet</w:t>
        </w:r>
      </w:hyperlink>
      <w:r w:rsidRPr="00DC388F">
        <w:rPr>
          <w:rFonts w:asciiTheme="minorHAnsi" w:eastAsiaTheme="minorHAnsi" w:hAnsiTheme="minorHAnsi" w:cstheme="minorHAnsi"/>
          <w:color w:val="0000FF"/>
          <w:spacing w:val="0"/>
          <w:sz w:val="20"/>
          <w:szCs w:val="20"/>
          <w:lang w:eastAsia="en-US"/>
        </w:rPr>
        <w:t>.</w:t>
      </w:r>
      <w:r>
        <w:rPr>
          <w:rFonts w:asciiTheme="majorHAnsi" w:hAnsiTheme="majorHAnsi" w:cstheme="majorHAnsi"/>
          <w:color w:val="4C5267"/>
          <w:spacing w:val="2"/>
          <w:shd w:val="clear" w:color="auto" w:fill="FFFFFF"/>
        </w:rPr>
        <w:t xml:space="preserve"> </w:t>
      </w:r>
      <w:r w:rsidR="00DC388F">
        <w:rPr>
          <w:rFonts w:asciiTheme="majorHAnsi" w:hAnsiTheme="majorHAnsi" w:cstheme="majorHAnsi"/>
          <w:color w:val="4C5267"/>
          <w:spacing w:val="2"/>
          <w:shd w:val="clear" w:color="auto" w:fill="FFFFFF"/>
        </w:rPr>
        <w:t>(</w:t>
      </w:r>
      <w:r w:rsidRPr="008936E8">
        <w:rPr>
          <w:rFonts w:asciiTheme="minorHAnsi" w:hAnsiTheme="minorHAnsi" w:cstheme="minorHAnsi"/>
          <w:color w:val="000000" w:themeColor="text1"/>
          <w:spacing w:val="2"/>
          <w:sz w:val="20"/>
          <w:szCs w:val="20"/>
          <w:shd w:val="clear" w:color="auto" w:fill="FFFFFF"/>
        </w:rPr>
        <w:t>Accessed</w:t>
      </w:r>
      <w:r w:rsidR="00DC388F">
        <w:rPr>
          <w:rFonts w:asciiTheme="minorHAnsi" w:hAnsiTheme="minorHAnsi" w:cstheme="minorHAnsi"/>
          <w:color w:val="000000" w:themeColor="text1"/>
          <w:spacing w:val="2"/>
          <w:sz w:val="20"/>
          <w:szCs w:val="20"/>
          <w:shd w:val="clear" w:color="auto" w:fill="FFFFFF"/>
        </w:rPr>
        <w:t xml:space="preserve">: </w:t>
      </w:r>
      <w:r w:rsidRPr="008936E8">
        <w:rPr>
          <w:rFonts w:asciiTheme="minorHAnsi" w:hAnsiTheme="minorHAnsi" w:cstheme="minorHAnsi"/>
          <w:color w:val="000000" w:themeColor="text1"/>
          <w:spacing w:val="2"/>
          <w:sz w:val="20"/>
          <w:szCs w:val="20"/>
          <w:shd w:val="clear" w:color="auto" w:fill="FFFFFF"/>
        </w:rPr>
        <w:t>29/11/2023</w:t>
      </w:r>
      <w:r w:rsidR="00DC388F">
        <w:rPr>
          <w:rFonts w:asciiTheme="minorHAnsi" w:hAnsiTheme="minorHAnsi" w:cstheme="minorHAnsi"/>
          <w:color w:val="000000" w:themeColor="text1"/>
          <w:spacing w:val="2"/>
          <w:sz w:val="20"/>
          <w:szCs w:val="20"/>
          <w:shd w:val="clear" w:color="auto" w:fill="FFFFFF"/>
        </w:rPr>
        <w:t>.)</w:t>
      </w:r>
    </w:p>
    <w:sectPr w:rsidR="008936E8" w:rsidRPr="00DD40DB" w:rsidSect="00241FAE">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B29ED" w14:textId="77777777" w:rsidR="00ED7C4B" w:rsidRDefault="00ED7C4B" w:rsidP="002E1F2B">
      <w:pPr>
        <w:spacing w:after="0" w:line="240" w:lineRule="auto"/>
      </w:pPr>
      <w:r>
        <w:separator/>
      </w:r>
    </w:p>
  </w:endnote>
  <w:endnote w:type="continuationSeparator" w:id="0">
    <w:p w14:paraId="725E4CAF" w14:textId="77777777" w:rsidR="00ED7C4B" w:rsidRDefault="00ED7C4B" w:rsidP="002E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829867"/>
      <w:docPartObj>
        <w:docPartGallery w:val="Page Numbers (Bottom of Page)"/>
        <w:docPartUnique/>
      </w:docPartObj>
    </w:sdtPr>
    <w:sdtEndPr>
      <w:rPr>
        <w:color w:val="808080" w:themeColor="background1" w:themeShade="80"/>
        <w:spacing w:val="60"/>
      </w:rPr>
    </w:sdtEndPr>
    <w:sdtContent>
      <w:p w14:paraId="2E967736" w14:textId="77777777" w:rsidR="00632085" w:rsidRDefault="006320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896A49">
          <w:rPr>
            <w:noProof/>
          </w:rPr>
          <w:t>1</w:t>
        </w:r>
        <w:r>
          <w:rPr>
            <w:noProof/>
          </w:rPr>
          <w:fldChar w:fldCharType="end"/>
        </w:r>
        <w:r>
          <w:t xml:space="preserve"> | </w:t>
        </w:r>
        <w:r>
          <w:rPr>
            <w:color w:val="808080" w:themeColor="background1" w:themeShade="80"/>
            <w:spacing w:val="60"/>
          </w:rPr>
          <w:t>Page</w:t>
        </w:r>
      </w:p>
    </w:sdtContent>
  </w:sdt>
  <w:p w14:paraId="5D683081" w14:textId="77777777" w:rsidR="00632085" w:rsidRDefault="00632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201943"/>
      </w:rPr>
      <w:id w:val="-247502846"/>
      <w:docPartObj>
        <w:docPartGallery w:val="Page Numbers (Bottom of Page)"/>
        <w:docPartUnique/>
      </w:docPartObj>
    </w:sdtPr>
    <w:sdtEndPr>
      <w:rPr>
        <w:spacing w:val="60"/>
      </w:rPr>
    </w:sdtEndPr>
    <w:sdtContent>
      <w:p w14:paraId="3EFA3D4E" w14:textId="77777777" w:rsidR="00300749" w:rsidRPr="007601D7" w:rsidRDefault="00300749" w:rsidP="002C2AC3">
        <w:pPr>
          <w:pStyle w:val="Footer"/>
          <w:pBdr>
            <w:top w:val="single" w:sz="4" w:space="1" w:color="D9D9D9" w:themeColor="background1" w:themeShade="D9"/>
          </w:pBdr>
          <w:tabs>
            <w:tab w:val="clear" w:pos="4513"/>
            <w:tab w:val="clear" w:pos="9026"/>
            <w:tab w:val="left" w:pos="0"/>
            <w:tab w:val="center" w:pos="7655"/>
            <w:tab w:val="right" w:pos="15451"/>
          </w:tabs>
          <w:jc w:val="right"/>
          <w:rPr>
            <w:color w:val="201943"/>
          </w:rPr>
        </w:pPr>
        <w:r w:rsidRPr="007601D7">
          <w:rPr>
            <w:color w:val="201943"/>
          </w:rPr>
          <w:tab/>
        </w:r>
        <w:r w:rsidRPr="007601D7">
          <w:rPr>
            <w:color w:val="201943"/>
          </w:rPr>
          <w:tab/>
        </w:r>
        <w:r w:rsidRPr="007601D7">
          <w:rPr>
            <w:color w:val="201943"/>
          </w:rPr>
          <w:fldChar w:fldCharType="begin"/>
        </w:r>
        <w:r w:rsidRPr="007601D7">
          <w:rPr>
            <w:color w:val="201943"/>
          </w:rPr>
          <w:instrText xml:space="preserve"> PAGE   \* MERGEFORMAT </w:instrText>
        </w:r>
        <w:r w:rsidRPr="007601D7">
          <w:rPr>
            <w:color w:val="201943"/>
          </w:rPr>
          <w:fldChar w:fldCharType="separate"/>
        </w:r>
        <w:r w:rsidRPr="007601D7">
          <w:rPr>
            <w:noProof/>
            <w:color w:val="201943"/>
          </w:rPr>
          <w:t>7</w:t>
        </w:r>
        <w:r w:rsidRPr="007601D7">
          <w:rPr>
            <w:noProof/>
            <w:color w:val="201943"/>
          </w:rPr>
          <w:fldChar w:fldCharType="end"/>
        </w:r>
        <w:r w:rsidRPr="007601D7">
          <w:rPr>
            <w:color w:val="201943"/>
          </w:rPr>
          <w:t xml:space="preserve"> | </w:t>
        </w:r>
        <w:r w:rsidRPr="007601D7">
          <w:rPr>
            <w:color w:val="201943"/>
            <w:spacing w:val="60"/>
          </w:rPr>
          <w:t>Page</w:t>
        </w:r>
      </w:p>
    </w:sdtContent>
  </w:sdt>
  <w:p w14:paraId="210EB9EC" w14:textId="77777777" w:rsidR="00300749" w:rsidRDefault="00300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284E4" w14:textId="77777777" w:rsidR="00ED7C4B" w:rsidRDefault="00ED7C4B" w:rsidP="002E1F2B">
      <w:pPr>
        <w:spacing w:after="0" w:line="240" w:lineRule="auto"/>
      </w:pPr>
      <w:r>
        <w:separator/>
      </w:r>
    </w:p>
  </w:footnote>
  <w:footnote w:type="continuationSeparator" w:id="0">
    <w:p w14:paraId="4C42DEA1" w14:textId="77777777" w:rsidR="00ED7C4B" w:rsidRDefault="00ED7C4B" w:rsidP="002E1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067F2" w14:textId="77777777" w:rsidR="00632085" w:rsidRDefault="00632085">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6E3DB" w14:textId="77777777" w:rsidR="00300749" w:rsidRDefault="00300749" w:rsidP="006B1A22">
    <w:pPr>
      <w:pStyle w:val="Header"/>
      <w:tabs>
        <w:tab w:val="clear" w:pos="4513"/>
        <w:tab w:val="clear" w:pos="9026"/>
      </w:tabs>
      <w:ind w:left="0"/>
    </w:pPr>
    <w:r>
      <w:t>CIPD</w:t>
    </w:r>
    <w:r>
      <w:tab/>
    </w:r>
    <w:r>
      <w:tab/>
    </w:r>
    <w:r>
      <w:tab/>
    </w:r>
    <w:r>
      <w:tab/>
    </w:r>
    <w:r>
      <w:ptab w:relativeTo="margin" w:alignment="right" w:leader="none"/>
    </w:r>
    <w:r>
      <w:t xml:space="preserve"> </w:t>
    </w:r>
    <w:r w:rsidR="0080394C">
      <w:fldChar w:fldCharType="begin"/>
    </w:r>
    <w:r w:rsidR="0080394C">
      <w:instrText xml:space="preserve"> DocVariable varAuditTitle </w:instrText>
    </w:r>
    <w:r w:rsidR="0080394C">
      <w:fldChar w:fldCharType="separate"/>
    </w:r>
    <w:r>
      <w:t>Evidence Based Practice</w:t>
    </w:r>
    <w:r w:rsidR="0080394C">
      <w:fldChar w:fldCharType="end"/>
    </w:r>
    <w:r>
      <w:t xml:space="preserve"> </w:t>
    </w:r>
  </w:p>
  <w:p w14:paraId="7A700120" w14:textId="77777777" w:rsidR="00300749" w:rsidRDefault="00300749" w:rsidP="002E1F2B">
    <w:pPr>
      <w:pStyle w:val="Header"/>
      <w:tabs>
        <w:tab w:val="clear" w:pos="4513"/>
        <w:tab w:val="clear" w:pos="9026"/>
        <w:tab w:val="center" w:pos="7655"/>
        <w:tab w:val="right" w:pos="15309"/>
      </w:tabs>
    </w:pPr>
  </w:p>
  <w:p w14:paraId="35E82E26" w14:textId="77777777" w:rsidR="00300749" w:rsidRDefault="00300749">
    <w:r>
      <w:rPr>
        <w:noProof/>
        <w:lang w:eastAsia="en-GB"/>
      </w:rPr>
      <mc:AlternateContent>
        <mc:Choice Requires="wps">
          <w:drawing>
            <wp:anchor distT="0" distB="0" distL="114300" distR="114300" simplePos="0" relativeHeight="251658240" behindDoc="0" locked="0" layoutInCell="1" allowOverlap="1" wp14:anchorId="78FBAE5D" wp14:editId="6A5D15BA">
              <wp:simplePos x="0" y="0"/>
              <wp:positionH relativeFrom="column">
                <wp:posOffset>15240</wp:posOffset>
              </wp:positionH>
              <wp:positionV relativeFrom="paragraph">
                <wp:posOffset>27305</wp:posOffset>
              </wp:positionV>
              <wp:extent cx="6515100"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6515100" cy="0"/>
                      </a:xfrm>
                      <a:prstGeom prst="line">
                        <a:avLst/>
                      </a:prstGeom>
                      <a:ln w="25400">
                        <a:solidFill>
                          <a:srgbClr val="201943"/>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723DB4" id="Straight Connector 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2.15pt" to="514.2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wjjvwEAAN8DAAAOAAAAZHJzL2Uyb0RvYy54bWysU02P0zAQvSPxHyzfaZKyXUHUdA+7Wi4I&#10;VrD8ANcZN5b8pbFp0n/P2GnTFSAkEBfHY8978+Z5sr2brGFHwKi963izqjkDJ32v3aHj354f37zj&#10;LCbhemG8g46fIPK73etX2zG0sPaDNz0gIxIX2zF0fEgptFUV5QBWxJUP4OhSebQiUYiHqkcxErs1&#10;1bqub6vRYx/QS4iRTh/mS74r/EqBTJ+VipCY6ThpS2XFsu7zWu22oj2gCIOWZxniH1RYoR0VXage&#10;RBLsO+pfqKyW6KNXaSW9rbxSWkLpgbpp6p+6+TqIAKUXMieGxab4/2jlp+O9e0KyYQyxjeEJcxeT&#10;Qpu/pI9NxazTYhZMiUk6vN00m6YmT+XlrroCA8b0AbxledNxo13uQ7Ti+DEmKkapl5R8bBwbO77e&#10;3BBfjqM3un/UxpQAD/t7g+wo6A3Jpfc3b/OzEcWLNIqMo8NrF2WXTgbmAl9AMd2T7maukAcMFloh&#10;JbjUnHmNo+wMUyRhAZ6l/Ql4zs9QKMP3N+AFUSp7lxaw1c7j72Sn6SJZzfkXB+a+swV735/K+xZr&#10;aIqKc+eJz2P6Mi7w63+5+wEAAP//AwBQSwMEFAAGAAgAAAAhACYGNADaAAAABgEAAA8AAABkcnMv&#10;ZG93bnJldi54bWxMjj1PwzAQhnek/gfrKnVB1CEUFIU4FQJlqRQJCkNHNz6SqPY5it02/fdcWWC8&#10;9+ueYj05K044ht6TgvtlAgKp8aanVsHXZ3WXgQhRk9HWEyq4YIB1ObspdG78mT7wtI2t4BEKuVbQ&#10;xTjkUoamQ6fD0g9I7H370enI59hKM+ozjzsr0yR5kk73xB86PeBrh81he3SM4frdZVPZ7LY6vIXa&#10;Ptbvu6xWajGfXp5BRJziXxiu+NyBkpn2/kgmCKsgXXFQweoBxNVN0oyF/a8gy0L+xy9/AAAA//8D&#10;AFBLAQItABQABgAIAAAAIQC2gziS/gAAAOEBAAATAAAAAAAAAAAAAAAAAAAAAABbQ29udGVudF9U&#10;eXBlc10ueG1sUEsBAi0AFAAGAAgAAAAhADj9If/WAAAAlAEAAAsAAAAAAAAAAAAAAAAALwEAAF9y&#10;ZWxzLy5yZWxzUEsBAi0AFAAGAAgAAAAhAMsPCOO/AQAA3wMAAA4AAAAAAAAAAAAAAAAALgIAAGRy&#10;cy9lMm9Eb2MueG1sUEsBAi0AFAAGAAgAAAAhACYGNADaAAAABgEAAA8AAAAAAAAAAAAAAAAAGQQA&#10;AGRycy9kb3ducmV2LnhtbFBLBQYAAAAABAAEAPMAAAAgBQAAAAA=&#10;" strokecolor="#201943" strokeweight="2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79A"/>
    <w:multiLevelType w:val="hybridMultilevel"/>
    <w:tmpl w:val="F54AA9A0"/>
    <w:lvl w:ilvl="0" w:tplc="3AE01EF4">
      <w:numFmt w:val="bullet"/>
      <w:lvlText w:val=""/>
      <w:lvlJc w:val="left"/>
      <w:pPr>
        <w:ind w:left="1429"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12684FE8"/>
    <w:multiLevelType w:val="hybridMultilevel"/>
    <w:tmpl w:val="9AFAF1E4"/>
    <w:lvl w:ilvl="0" w:tplc="08090005">
      <w:start w:val="1"/>
      <w:numFmt w:val="bullet"/>
      <w:lvlText w:val=""/>
      <w:lvlJc w:val="left"/>
      <w:pPr>
        <w:ind w:left="1457" w:hanging="360"/>
      </w:pPr>
      <w:rPr>
        <w:rFonts w:ascii="Wingdings" w:hAnsi="Wingdings"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2" w15:restartNumberingAfterBreak="0">
    <w:nsid w:val="17E856D6"/>
    <w:multiLevelType w:val="hybridMultilevel"/>
    <w:tmpl w:val="69A09554"/>
    <w:lvl w:ilvl="0" w:tplc="112C1A1E">
      <w:start w:val="1"/>
      <w:numFmt w:val="decimal"/>
      <w:lvlText w:val="4.2.%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77CF9"/>
    <w:multiLevelType w:val="hybridMultilevel"/>
    <w:tmpl w:val="4774A9C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1B430A65"/>
    <w:multiLevelType w:val="hybridMultilevel"/>
    <w:tmpl w:val="16E23132"/>
    <w:lvl w:ilvl="0" w:tplc="0809000F">
      <w:start w:val="1"/>
      <w:numFmt w:val="decimal"/>
      <w:lvlText w:val="%1."/>
      <w:lvlJc w:val="left"/>
      <w:pPr>
        <w:ind w:left="1429" w:hanging="360"/>
      </w:pPr>
      <w:rPr>
        <w:rFonts w:hint="default"/>
        <w:color w:val="00606A"/>
        <w:w w:val="100"/>
        <w:sz w:val="22"/>
        <w:szCs w:val="22"/>
        <w:lang w:val="en-GB" w:eastAsia="en-US" w:bidi="ar-SA"/>
      </w:rPr>
    </w:lvl>
    <w:lvl w:ilvl="1" w:tplc="FFFFFFFF" w:tentative="1">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5" w15:restartNumberingAfterBreak="0">
    <w:nsid w:val="215E3F0D"/>
    <w:multiLevelType w:val="hybridMultilevel"/>
    <w:tmpl w:val="7FCEA720"/>
    <w:lvl w:ilvl="0" w:tplc="F5D44726">
      <w:start w:val="1"/>
      <w:numFmt w:val="decimal"/>
      <w:lvlText w:val="1.%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AD0E07"/>
    <w:multiLevelType w:val="hybridMultilevel"/>
    <w:tmpl w:val="C5B8970C"/>
    <w:lvl w:ilvl="0" w:tplc="118A58BA">
      <w:start w:val="1"/>
      <w:numFmt w:val="decimal"/>
      <w:lvlText w:val="5.%1."/>
      <w:lvlJc w:val="left"/>
      <w:pPr>
        <w:ind w:left="720" w:hanging="360"/>
      </w:pPr>
      <w:rPr>
        <w:rFonts w:hint="default"/>
        <w:b/>
        <w:color w:val="E32D91"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B4016"/>
    <w:multiLevelType w:val="hybridMultilevel"/>
    <w:tmpl w:val="9808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5B5216"/>
    <w:multiLevelType w:val="multilevel"/>
    <w:tmpl w:val="BF407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0C6AC6"/>
    <w:multiLevelType w:val="multilevel"/>
    <w:tmpl w:val="07268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FA2BEF"/>
    <w:multiLevelType w:val="hybridMultilevel"/>
    <w:tmpl w:val="4D7CE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64523"/>
    <w:multiLevelType w:val="hybridMultilevel"/>
    <w:tmpl w:val="AB6281AC"/>
    <w:lvl w:ilvl="0" w:tplc="92786BF8">
      <w:start w:val="1"/>
      <w:numFmt w:val="decimal"/>
      <w:lvlText w:val="%1."/>
      <w:lvlJc w:val="left"/>
      <w:pPr>
        <w:ind w:left="1713" w:hanging="360"/>
      </w:pPr>
      <w:rPr>
        <w:rFonts w:hint="default"/>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12" w15:restartNumberingAfterBreak="0">
    <w:nsid w:val="3A464B14"/>
    <w:multiLevelType w:val="hybridMultilevel"/>
    <w:tmpl w:val="F31C3DB0"/>
    <w:lvl w:ilvl="0" w:tplc="08090005">
      <w:start w:val="1"/>
      <w:numFmt w:val="bullet"/>
      <w:lvlText w:val=""/>
      <w:lvlJc w:val="left"/>
      <w:pPr>
        <w:ind w:left="1457" w:hanging="360"/>
      </w:pPr>
      <w:rPr>
        <w:rFonts w:ascii="Wingdings" w:hAnsi="Wingdings"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13" w15:restartNumberingAfterBreak="0">
    <w:nsid w:val="3F8D559F"/>
    <w:multiLevelType w:val="hybridMultilevel"/>
    <w:tmpl w:val="EF82ED9C"/>
    <w:lvl w:ilvl="0" w:tplc="0809000F">
      <w:start w:val="1"/>
      <w:numFmt w:val="decimal"/>
      <w:lvlText w:val="%1."/>
      <w:lvlJc w:val="left"/>
      <w:pPr>
        <w:ind w:left="1353" w:hanging="360"/>
      </w:pPr>
      <w:rPr>
        <w:rFonts w:hint="default"/>
      </w:rPr>
    </w:lvl>
    <w:lvl w:ilvl="1" w:tplc="FFFFFFFF" w:tentative="1">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14" w15:restartNumberingAfterBreak="0">
    <w:nsid w:val="3FDA5B4D"/>
    <w:multiLevelType w:val="hybridMultilevel"/>
    <w:tmpl w:val="D4F204F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437948B4"/>
    <w:multiLevelType w:val="multilevel"/>
    <w:tmpl w:val="E9D41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164BF0"/>
    <w:multiLevelType w:val="hybridMultilevel"/>
    <w:tmpl w:val="FE06E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890BB7"/>
    <w:multiLevelType w:val="multilevel"/>
    <w:tmpl w:val="4D006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473A55"/>
    <w:multiLevelType w:val="hybridMultilevel"/>
    <w:tmpl w:val="BCC66F90"/>
    <w:lvl w:ilvl="0" w:tplc="4DC271A6">
      <w:start w:val="1"/>
      <w:numFmt w:val="decimal"/>
      <w:lvlText w:val="4.1.%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D90EF3"/>
    <w:multiLevelType w:val="hybridMultilevel"/>
    <w:tmpl w:val="520E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645CBF"/>
    <w:multiLevelType w:val="hybridMultilevel"/>
    <w:tmpl w:val="DE76F014"/>
    <w:lvl w:ilvl="0" w:tplc="CABAE140">
      <w:start w:val="1"/>
      <w:numFmt w:val="decimal"/>
      <w:lvlText w:val="2.%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60B22"/>
    <w:multiLevelType w:val="hybridMultilevel"/>
    <w:tmpl w:val="ACE4180A"/>
    <w:lvl w:ilvl="0" w:tplc="A5D67018">
      <w:start w:val="1"/>
      <w:numFmt w:val="decimal"/>
      <w:lvlText w:val="4.%1."/>
      <w:lvlJc w:val="left"/>
      <w:pPr>
        <w:ind w:left="720" w:hanging="360"/>
      </w:pPr>
      <w:rPr>
        <w:rFonts w:hint="default"/>
        <w:b w:val="0"/>
        <w:bCs w:val="0"/>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D41B3A"/>
    <w:multiLevelType w:val="hybridMultilevel"/>
    <w:tmpl w:val="E4FC2F50"/>
    <w:lvl w:ilvl="0" w:tplc="752CB994">
      <w:start w:val="1"/>
      <w:numFmt w:val="bullet"/>
      <w:lvlText w:val=""/>
      <w:lvlJc w:val="left"/>
      <w:pPr>
        <w:ind w:left="786" w:hanging="360"/>
      </w:pPr>
      <w:rPr>
        <w:rFonts w:ascii="Wingdings" w:hAnsi="Wingdings" w:hint="default"/>
        <w:color w:val="201943"/>
        <w:sz w:val="20"/>
        <w:szCs w:val="2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3" w15:restartNumberingAfterBreak="0">
    <w:nsid w:val="52D9042C"/>
    <w:multiLevelType w:val="hybridMultilevel"/>
    <w:tmpl w:val="92C03F54"/>
    <w:lvl w:ilvl="0" w:tplc="D5F6DFAC">
      <w:start w:val="1"/>
      <w:numFmt w:val="decimal"/>
      <w:lvlText w:val="%1."/>
      <w:lvlJc w:val="left"/>
      <w:pPr>
        <w:ind w:left="720" w:hanging="360"/>
      </w:pPr>
      <w:rPr>
        <w:rFonts w:hint="default"/>
        <w:color w:val="201943"/>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F352EA"/>
    <w:multiLevelType w:val="hybridMultilevel"/>
    <w:tmpl w:val="5F62AC22"/>
    <w:lvl w:ilvl="0" w:tplc="F6D85F60">
      <w:start w:val="1"/>
      <w:numFmt w:val="decimal"/>
      <w:lvlText w:val="%1."/>
      <w:lvlJc w:val="left"/>
      <w:pPr>
        <w:ind w:left="1069" w:hanging="360"/>
      </w:pPr>
      <w:rPr>
        <w:rFonts w:hint="default"/>
        <w:i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15:restartNumberingAfterBreak="0">
    <w:nsid w:val="57691C62"/>
    <w:multiLevelType w:val="hybridMultilevel"/>
    <w:tmpl w:val="37E6E6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19493A"/>
    <w:multiLevelType w:val="hybridMultilevel"/>
    <w:tmpl w:val="F8986402"/>
    <w:lvl w:ilvl="0" w:tplc="36E2E50E">
      <w:start w:val="1"/>
      <w:numFmt w:val="decimal"/>
      <w:lvlText w:val="4.2.%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C12F46"/>
    <w:multiLevelType w:val="hybridMultilevel"/>
    <w:tmpl w:val="02C0E608"/>
    <w:lvl w:ilvl="0" w:tplc="5816E0F4">
      <w:start w:val="1"/>
      <w:numFmt w:val="bullet"/>
      <w:lvlText w:val=""/>
      <w:lvlJc w:val="left"/>
      <w:pPr>
        <w:ind w:left="720" w:hanging="360"/>
      </w:pPr>
      <w:rPr>
        <w:rFonts w:ascii="Wingdings" w:hAnsi="Wingdings" w:hint="default"/>
        <w:color w:val="201943"/>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3C40CC"/>
    <w:multiLevelType w:val="hybridMultilevel"/>
    <w:tmpl w:val="427AD3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9" w15:restartNumberingAfterBreak="0">
    <w:nsid w:val="6BB120EA"/>
    <w:multiLevelType w:val="hybridMultilevel"/>
    <w:tmpl w:val="6A329628"/>
    <w:lvl w:ilvl="0" w:tplc="EA28B314">
      <w:start w:val="1"/>
      <w:numFmt w:val="decimal"/>
      <w:lvlText w:val="1.%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9824CB"/>
    <w:multiLevelType w:val="hybridMultilevel"/>
    <w:tmpl w:val="BF70CC3C"/>
    <w:lvl w:ilvl="0" w:tplc="896C54B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7261466D"/>
    <w:multiLevelType w:val="hybridMultilevel"/>
    <w:tmpl w:val="2FFC202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2" w15:restartNumberingAfterBreak="0">
    <w:nsid w:val="728E057C"/>
    <w:multiLevelType w:val="hybridMultilevel"/>
    <w:tmpl w:val="4B2EA8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E1616C"/>
    <w:multiLevelType w:val="hybridMultilevel"/>
    <w:tmpl w:val="86B2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1259AA"/>
    <w:multiLevelType w:val="hybridMultilevel"/>
    <w:tmpl w:val="C6261F88"/>
    <w:lvl w:ilvl="0" w:tplc="CB3C45FC">
      <w:start w:val="1"/>
      <w:numFmt w:val="decimal"/>
      <w:lvlText w:val="%1."/>
      <w:lvlJc w:val="left"/>
      <w:pPr>
        <w:ind w:left="720" w:hanging="360"/>
      </w:pPr>
      <w:rPr>
        <w:rFonts w:hint="default"/>
        <w:color w:val="B3186D" w:themeColor="accent1" w:themeShade="BF"/>
      </w:rPr>
    </w:lvl>
    <w:lvl w:ilvl="1" w:tplc="F766A816">
      <w:start w:val="1"/>
      <w:numFmt w:val="decimal"/>
      <w:lvlText w:val="1.%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216693"/>
    <w:multiLevelType w:val="hybridMultilevel"/>
    <w:tmpl w:val="BA62BBCE"/>
    <w:lvl w:ilvl="0" w:tplc="112C1A1E">
      <w:start w:val="1"/>
      <w:numFmt w:val="decimal"/>
      <w:lvlText w:val="4.2.%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662293"/>
    <w:multiLevelType w:val="hybridMultilevel"/>
    <w:tmpl w:val="179C27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3B065A"/>
    <w:multiLevelType w:val="hybridMultilevel"/>
    <w:tmpl w:val="A90804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7B302616"/>
    <w:multiLevelType w:val="multilevel"/>
    <w:tmpl w:val="91108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A26A4F"/>
    <w:multiLevelType w:val="hybridMultilevel"/>
    <w:tmpl w:val="43405912"/>
    <w:lvl w:ilvl="0" w:tplc="08FE4F6C">
      <w:start w:val="1"/>
      <w:numFmt w:val="decimal"/>
      <w:lvlText w:val="%1."/>
      <w:lvlJc w:val="left"/>
      <w:pPr>
        <w:ind w:left="1069" w:hanging="360"/>
      </w:pPr>
      <w:rPr>
        <w:rFonts w:hint="default"/>
        <w:i/>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58598095">
    <w:abstractNumId w:val="23"/>
  </w:num>
  <w:num w:numId="2" w16cid:durableId="1458454749">
    <w:abstractNumId w:val="34"/>
  </w:num>
  <w:num w:numId="3" w16cid:durableId="218904693">
    <w:abstractNumId w:val="27"/>
  </w:num>
  <w:num w:numId="4" w16cid:durableId="1640379797">
    <w:abstractNumId w:val="22"/>
  </w:num>
  <w:num w:numId="5" w16cid:durableId="1432623011">
    <w:abstractNumId w:val="34"/>
    <w:lvlOverride w:ilvl="0">
      <w:startOverride w:val="1"/>
    </w:lvlOverride>
  </w:num>
  <w:num w:numId="6" w16cid:durableId="1256206573">
    <w:abstractNumId w:val="34"/>
    <w:lvlOverride w:ilvl="0">
      <w:startOverride w:val="1"/>
    </w:lvlOverride>
  </w:num>
  <w:num w:numId="7" w16cid:durableId="516385750">
    <w:abstractNumId w:val="34"/>
    <w:lvlOverride w:ilvl="0">
      <w:startOverride w:val="1"/>
    </w:lvlOverride>
  </w:num>
  <w:num w:numId="8" w16cid:durableId="674843433">
    <w:abstractNumId w:val="29"/>
  </w:num>
  <w:num w:numId="9" w16cid:durableId="1179274711">
    <w:abstractNumId w:val="20"/>
  </w:num>
  <w:num w:numId="10" w16cid:durableId="1490561525">
    <w:abstractNumId w:val="20"/>
  </w:num>
  <w:num w:numId="11" w16cid:durableId="1364208209">
    <w:abstractNumId w:val="5"/>
  </w:num>
  <w:num w:numId="12" w16cid:durableId="1401366940">
    <w:abstractNumId w:val="6"/>
  </w:num>
  <w:num w:numId="13" w16cid:durableId="2131433504">
    <w:abstractNumId w:val="21"/>
  </w:num>
  <w:num w:numId="14" w16cid:durableId="1461654921">
    <w:abstractNumId w:val="33"/>
  </w:num>
  <w:num w:numId="15" w16cid:durableId="1701273396">
    <w:abstractNumId w:val="18"/>
  </w:num>
  <w:num w:numId="16" w16cid:durableId="178588985">
    <w:abstractNumId w:val="2"/>
  </w:num>
  <w:num w:numId="17" w16cid:durableId="2028406242">
    <w:abstractNumId w:val="36"/>
  </w:num>
  <w:num w:numId="18" w16cid:durableId="1717658101">
    <w:abstractNumId w:val="12"/>
  </w:num>
  <w:num w:numId="19" w16cid:durableId="331639215">
    <w:abstractNumId w:val="37"/>
  </w:num>
  <w:num w:numId="20" w16cid:durableId="1016812250">
    <w:abstractNumId w:val="26"/>
  </w:num>
  <w:num w:numId="21" w16cid:durableId="1688678869">
    <w:abstractNumId w:val="32"/>
  </w:num>
  <w:num w:numId="22" w16cid:durableId="772628928">
    <w:abstractNumId w:val="1"/>
  </w:num>
  <w:num w:numId="23" w16cid:durableId="710301851">
    <w:abstractNumId w:val="10"/>
  </w:num>
  <w:num w:numId="24" w16cid:durableId="2015450566">
    <w:abstractNumId w:val="25"/>
  </w:num>
  <w:num w:numId="25" w16cid:durableId="1312321716">
    <w:abstractNumId w:val="35"/>
  </w:num>
  <w:num w:numId="26" w16cid:durableId="777718495">
    <w:abstractNumId w:val="19"/>
  </w:num>
  <w:num w:numId="27" w16cid:durableId="964048259">
    <w:abstractNumId w:val="9"/>
  </w:num>
  <w:num w:numId="28" w16cid:durableId="2146925802">
    <w:abstractNumId w:val="0"/>
  </w:num>
  <w:num w:numId="29" w16cid:durableId="1522544995">
    <w:abstractNumId w:val="31"/>
  </w:num>
  <w:num w:numId="30" w16cid:durableId="2090927247">
    <w:abstractNumId w:val="3"/>
  </w:num>
  <w:num w:numId="31" w16cid:durableId="93983561">
    <w:abstractNumId w:val="4"/>
  </w:num>
  <w:num w:numId="32" w16cid:durableId="1826700077">
    <w:abstractNumId w:val="13"/>
  </w:num>
  <w:num w:numId="33" w16cid:durableId="666254114">
    <w:abstractNumId w:val="30"/>
  </w:num>
  <w:num w:numId="34" w16cid:durableId="2099595983">
    <w:abstractNumId w:val="15"/>
  </w:num>
  <w:num w:numId="35" w16cid:durableId="2025015115">
    <w:abstractNumId w:val="11"/>
  </w:num>
  <w:num w:numId="36" w16cid:durableId="1384866788">
    <w:abstractNumId w:val="38"/>
  </w:num>
  <w:num w:numId="37" w16cid:durableId="393708">
    <w:abstractNumId w:val="24"/>
  </w:num>
  <w:num w:numId="38" w16cid:durableId="493567331">
    <w:abstractNumId w:val="16"/>
  </w:num>
  <w:num w:numId="39" w16cid:durableId="1739135501">
    <w:abstractNumId w:val="7"/>
  </w:num>
  <w:num w:numId="40" w16cid:durableId="1191410999">
    <w:abstractNumId w:val="39"/>
  </w:num>
  <w:num w:numId="41" w16cid:durableId="1019431046">
    <w:abstractNumId w:val="8"/>
  </w:num>
  <w:num w:numId="42" w16cid:durableId="1046487771">
    <w:abstractNumId w:val="28"/>
  </w:num>
  <w:num w:numId="43" w16cid:durableId="1885631053">
    <w:abstractNumId w:val="14"/>
  </w:num>
  <w:num w:numId="44" w16cid:durableId="1221632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varAuditRef" w:val="No response"/>
    <w:docVar w:name="varAuditTitle" w:val="Evidence Based Practice"/>
    <w:docVar w:name="varAuditYear" w:val="No response"/>
    <w:docVar w:name="varClientName" w:val="Valleys to Coast"/>
    <w:docVar w:name="varLBClientName" w:val="No response"/>
  </w:docVars>
  <w:rsids>
    <w:rsidRoot w:val="00A03239"/>
    <w:rsid w:val="00005EA4"/>
    <w:rsid w:val="0002239D"/>
    <w:rsid w:val="00025416"/>
    <w:rsid w:val="00026D6D"/>
    <w:rsid w:val="00027637"/>
    <w:rsid w:val="00030502"/>
    <w:rsid w:val="000340DB"/>
    <w:rsid w:val="0004047A"/>
    <w:rsid w:val="00054B55"/>
    <w:rsid w:val="0005769C"/>
    <w:rsid w:val="0006154F"/>
    <w:rsid w:val="0006587F"/>
    <w:rsid w:val="0006637D"/>
    <w:rsid w:val="000740BE"/>
    <w:rsid w:val="00075B9E"/>
    <w:rsid w:val="000845F6"/>
    <w:rsid w:val="000866B7"/>
    <w:rsid w:val="000928C3"/>
    <w:rsid w:val="00095724"/>
    <w:rsid w:val="00097C8D"/>
    <w:rsid w:val="000A4E12"/>
    <w:rsid w:val="000B00EC"/>
    <w:rsid w:val="000C06D6"/>
    <w:rsid w:val="000C7483"/>
    <w:rsid w:val="000D1271"/>
    <w:rsid w:val="000D243F"/>
    <w:rsid w:val="000D38AC"/>
    <w:rsid w:val="000D59B6"/>
    <w:rsid w:val="000E2285"/>
    <w:rsid w:val="000E46F1"/>
    <w:rsid w:val="000F2430"/>
    <w:rsid w:val="000F6E98"/>
    <w:rsid w:val="00102350"/>
    <w:rsid w:val="00102D9C"/>
    <w:rsid w:val="00105F38"/>
    <w:rsid w:val="00121BED"/>
    <w:rsid w:val="001239ED"/>
    <w:rsid w:val="00131D93"/>
    <w:rsid w:val="00133A32"/>
    <w:rsid w:val="00135B7D"/>
    <w:rsid w:val="00136BD9"/>
    <w:rsid w:val="0014043E"/>
    <w:rsid w:val="001553E9"/>
    <w:rsid w:val="00157840"/>
    <w:rsid w:val="00164E3D"/>
    <w:rsid w:val="00171F71"/>
    <w:rsid w:val="0017201A"/>
    <w:rsid w:val="00181721"/>
    <w:rsid w:val="00183172"/>
    <w:rsid w:val="0019001F"/>
    <w:rsid w:val="00193852"/>
    <w:rsid w:val="0019396F"/>
    <w:rsid w:val="0019422D"/>
    <w:rsid w:val="00194B4A"/>
    <w:rsid w:val="001A4F77"/>
    <w:rsid w:val="001A76F8"/>
    <w:rsid w:val="001B138A"/>
    <w:rsid w:val="001D2736"/>
    <w:rsid w:val="001D5A11"/>
    <w:rsid w:val="001D678E"/>
    <w:rsid w:val="001D706E"/>
    <w:rsid w:val="001E4522"/>
    <w:rsid w:val="001E7A59"/>
    <w:rsid w:val="001F427F"/>
    <w:rsid w:val="001F68BD"/>
    <w:rsid w:val="001F68E1"/>
    <w:rsid w:val="0020046B"/>
    <w:rsid w:val="002038E7"/>
    <w:rsid w:val="00205799"/>
    <w:rsid w:val="00205E2D"/>
    <w:rsid w:val="0021339C"/>
    <w:rsid w:val="0021462F"/>
    <w:rsid w:val="00220117"/>
    <w:rsid w:val="00222547"/>
    <w:rsid w:val="00222B6B"/>
    <w:rsid w:val="00223CFE"/>
    <w:rsid w:val="00230C28"/>
    <w:rsid w:val="0023128A"/>
    <w:rsid w:val="00231929"/>
    <w:rsid w:val="00231C3F"/>
    <w:rsid w:val="002378D4"/>
    <w:rsid w:val="00241C15"/>
    <w:rsid w:val="00241FAE"/>
    <w:rsid w:val="00245726"/>
    <w:rsid w:val="00245CF2"/>
    <w:rsid w:val="0024670B"/>
    <w:rsid w:val="002523C9"/>
    <w:rsid w:val="00263081"/>
    <w:rsid w:val="0027058A"/>
    <w:rsid w:val="00272343"/>
    <w:rsid w:val="00280E0B"/>
    <w:rsid w:val="002829C2"/>
    <w:rsid w:val="002841AD"/>
    <w:rsid w:val="00285DB8"/>
    <w:rsid w:val="00286244"/>
    <w:rsid w:val="00286B66"/>
    <w:rsid w:val="00286EA8"/>
    <w:rsid w:val="002878C8"/>
    <w:rsid w:val="002957DA"/>
    <w:rsid w:val="002A34CB"/>
    <w:rsid w:val="002A42F3"/>
    <w:rsid w:val="002A7C39"/>
    <w:rsid w:val="002B0ABA"/>
    <w:rsid w:val="002B208F"/>
    <w:rsid w:val="002C0924"/>
    <w:rsid w:val="002C10AB"/>
    <w:rsid w:val="002C1701"/>
    <w:rsid w:val="002C2AC3"/>
    <w:rsid w:val="002C4E96"/>
    <w:rsid w:val="002D0460"/>
    <w:rsid w:val="002D0708"/>
    <w:rsid w:val="002D19CC"/>
    <w:rsid w:val="002D64EE"/>
    <w:rsid w:val="002E1F2B"/>
    <w:rsid w:val="002E52F6"/>
    <w:rsid w:val="002E53E7"/>
    <w:rsid w:val="002E62DE"/>
    <w:rsid w:val="002F2BB7"/>
    <w:rsid w:val="00300749"/>
    <w:rsid w:val="00307D5E"/>
    <w:rsid w:val="0032030F"/>
    <w:rsid w:val="003366C9"/>
    <w:rsid w:val="00337E10"/>
    <w:rsid w:val="00340249"/>
    <w:rsid w:val="00346A4E"/>
    <w:rsid w:val="0034780A"/>
    <w:rsid w:val="00347FD7"/>
    <w:rsid w:val="00351B1D"/>
    <w:rsid w:val="00361383"/>
    <w:rsid w:val="003617C9"/>
    <w:rsid w:val="00362D8A"/>
    <w:rsid w:val="00363E6B"/>
    <w:rsid w:val="003665DA"/>
    <w:rsid w:val="003773ED"/>
    <w:rsid w:val="00380FC8"/>
    <w:rsid w:val="0038552C"/>
    <w:rsid w:val="003864F7"/>
    <w:rsid w:val="00386577"/>
    <w:rsid w:val="00392503"/>
    <w:rsid w:val="003A137B"/>
    <w:rsid w:val="003A1A42"/>
    <w:rsid w:val="003A1BBE"/>
    <w:rsid w:val="003A21AB"/>
    <w:rsid w:val="003A62F5"/>
    <w:rsid w:val="003B032E"/>
    <w:rsid w:val="003B1E60"/>
    <w:rsid w:val="003B3581"/>
    <w:rsid w:val="003C21A9"/>
    <w:rsid w:val="003D3402"/>
    <w:rsid w:val="003D715B"/>
    <w:rsid w:val="003F57A0"/>
    <w:rsid w:val="003F5916"/>
    <w:rsid w:val="00400D9E"/>
    <w:rsid w:val="004038C1"/>
    <w:rsid w:val="00407958"/>
    <w:rsid w:val="004100C0"/>
    <w:rsid w:val="004153F3"/>
    <w:rsid w:val="00427514"/>
    <w:rsid w:val="004277E2"/>
    <w:rsid w:val="00435C43"/>
    <w:rsid w:val="00437A8F"/>
    <w:rsid w:val="00451F4A"/>
    <w:rsid w:val="004525CC"/>
    <w:rsid w:val="00454F46"/>
    <w:rsid w:val="00462F34"/>
    <w:rsid w:val="00464602"/>
    <w:rsid w:val="004744D0"/>
    <w:rsid w:val="004779E6"/>
    <w:rsid w:val="00480066"/>
    <w:rsid w:val="00480252"/>
    <w:rsid w:val="00481385"/>
    <w:rsid w:val="00490F02"/>
    <w:rsid w:val="00491225"/>
    <w:rsid w:val="00493975"/>
    <w:rsid w:val="00493A95"/>
    <w:rsid w:val="00493B5D"/>
    <w:rsid w:val="00493E10"/>
    <w:rsid w:val="004944DE"/>
    <w:rsid w:val="00496253"/>
    <w:rsid w:val="004968A6"/>
    <w:rsid w:val="004A547F"/>
    <w:rsid w:val="004A7E8E"/>
    <w:rsid w:val="004B33C3"/>
    <w:rsid w:val="004B5D99"/>
    <w:rsid w:val="004B73E8"/>
    <w:rsid w:val="004C1667"/>
    <w:rsid w:val="004C2287"/>
    <w:rsid w:val="004C422B"/>
    <w:rsid w:val="004C5DD5"/>
    <w:rsid w:val="004D4112"/>
    <w:rsid w:val="004D5CD0"/>
    <w:rsid w:val="004D7C6A"/>
    <w:rsid w:val="004E021A"/>
    <w:rsid w:val="004E4BD5"/>
    <w:rsid w:val="004E53E8"/>
    <w:rsid w:val="005019C3"/>
    <w:rsid w:val="00503E7C"/>
    <w:rsid w:val="005077A6"/>
    <w:rsid w:val="00514CE1"/>
    <w:rsid w:val="00517E5E"/>
    <w:rsid w:val="00520AA9"/>
    <w:rsid w:val="00527263"/>
    <w:rsid w:val="00531F8C"/>
    <w:rsid w:val="005321DB"/>
    <w:rsid w:val="0053238F"/>
    <w:rsid w:val="005419A3"/>
    <w:rsid w:val="005426FA"/>
    <w:rsid w:val="0054617B"/>
    <w:rsid w:val="00555E8B"/>
    <w:rsid w:val="00562881"/>
    <w:rsid w:val="00563DC9"/>
    <w:rsid w:val="005652CD"/>
    <w:rsid w:val="005708A0"/>
    <w:rsid w:val="00593B4B"/>
    <w:rsid w:val="00595E49"/>
    <w:rsid w:val="00597CD0"/>
    <w:rsid w:val="005B56D8"/>
    <w:rsid w:val="005C1DD5"/>
    <w:rsid w:val="005C23C6"/>
    <w:rsid w:val="005D46CC"/>
    <w:rsid w:val="005D4EAA"/>
    <w:rsid w:val="005D74D7"/>
    <w:rsid w:val="005E1709"/>
    <w:rsid w:val="005E1D9C"/>
    <w:rsid w:val="005E2534"/>
    <w:rsid w:val="005E4527"/>
    <w:rsid w:val="005E61AA"/>
    <w:rsid w:val="005F48D4"/>
    <w:rsid w:val="006001DB"/>
    <w:rsid w:val="0060288B"/>
    <w:rsid w:val="00605D26"/>
    <w:rsid w:val="006074F3"/>
    <w:rsid w:val="006113DA"/>
    <w:rsid w:val="00611BAA"/>
    <w:rsid w:val="00614935"/>
    <w:rsid w:val="00614D22"/>
    <w:rsid w:val="00615662"/>
    <w:rsid w:val="0062094E"/>
    <w:rsid w:val="006209B6"/>
    <w:rsid w:val="006225A9"/>
    <w:rsid w:val="00625E80"/>
    <w:rsid w:val="00632085"/>
    <w:rsid w:val="00632DE7"/>
    <w:rsid w:val="00634EA2"/>
    <w:rsid w:val="00635561"/>
    <w:rsid w:val="0063619C"/>
    <w:rsid w:val="006379C0"/>
    <w:rsid w:val="00643214"/>
    <w:rsid w:val="006601AD"/>
    <w:rsid w:val="00660D37"/>
    <w:rsid w:val="00661AFC"/>
    <w:rsid w:val="00667ECD"/>
    <w:rsid w:val="006705D8"/>
    <w:rsid w:val="0067654A"/>
    <w:rsid w:val="006810AF"/>
    <w:rsid w:val="0068121B"/>
    <w:rsid w:val="00681DDD"/>
    <w:rsid w:val="00685471"/>
    <w:rsid w:val="00685CA9"/>
    <w:rsid w:val="006865CF"/>
    <w:rsid w:val="00687CFC"/>
    <w:rsid w:val="00687D99"/>
    <w:rsid w:val="00695CB7"/>
    <w:rsid w:val="006B1A22"/>
    <w:rsid w:val="006B4DFF"/>
    <w:rsid w:val="006B54A8"/>
    <w:rsid w:val="006C61E6"/>
    <w:rsid w:val="006C652C"/>
    <w:rsid w:val="006D1B3C"/>
    <w:rsid w:val="006E267A"/>
    <w:rsid w:val="006E2BA0"/>
    <w:rsid w:val="006E4406"/>
    <w:rsid w:val="006E513C"/>
    <w:rsid w:val="006E617D"/>
    <w:rsid w:val="006F59D7"/>
    <w:rsid w:val="007005D0"/>
    <w:rsid w:val="007017BC"/>
    <w:rsid w:val="00702197"/>
    <w:rsid w:val="00710D96"/>
    <w:rsid w:val="00711EBD"/>
    <w:rsid w:val="00724A6B"/>
    <w:rsid w:val="0072576E"/>
    <w:rsid w:val="00731370"/>
    <w:rsid w:val="00733FA9"/>
    <w:rsid w:val="00734908"/>
    <w:rsid w:val="0073555B"/>
    <w:rsid w:val="00736313"/>
    <w:rsid w:val="00742704"/>
    <w:rsid w:val="00743EFF"/>
    <w:rsid w:val="007507A1"/>
    <w:rsid w:val="007601D7"/>
    <w:rsid w:val="00760972"/>
    <w:rsid w:val="00777522"/>
    <w:rsid w:val="0078631F"/>
    <w:rsid w:val="0078694E"/>
    <w:rsid w:val="00795108"/>
    <w:rsid w:val="007A2A1B"/>
    <w:rsid w:val="007A7D1C"/>
    <w:rsid w:val="007B0152"/>
    <w:rsid w:val="007B1FAC"/>
    <w:rsid w:val="007B3977"/>
    <w:rsid w:val="007C26B9"/>
    <w:rsid w:val="007D0F7B"/>
    <w:rsid w:val="007D1406"/>
    <w:rsid w:val="007D378D"/>
    <w:rsid w:val="007D6940"/>
    <w:rsid w:val="007E79A2"/>
    <w:rsid w:val="007F138F"/>
    <w:rsid w:val="007F26B4"/>
    <w:rsid w:val="007F31C8"/>
    <w:rsid w:val="007F3BFA"/>
    <w:rsid w:val="0080394C"/>
    <w:rsid w:val="00803E7F"/>
    <w:rsid w:val="00811281"/>
    <w:rsid w:val="008123BB"/>
    <w:rsid w:val="00813066"/>
    <w:rsid w:val="00816A69"/>
    <w:rsid w:val="008259C9"/>
    <w:rsid w:val="00825EE1"/>
    <w:rsid w:val="00826CC7"/>
    <w:rsid w:val="008318F1"/>
    <w:rsid w:val="00834284"/>
    <w:rsid w:val="00836393"/>
    <w:rsid w:val="00851D12"/>
    <w:rsid w:val="00853D95"/>
    <w:rsid w:val="00856FC7"/>
    <w:rsid w:val="00857549"/>
    <w:rsid w:val="00863AA9"/>
    <w:rsid w:val="008670C7"/>
    <w:rsid w:val="008724EA"/>
    <w:rsid w:val="0087285B"/>
    <w:rsid w:val="00874425"/>
    <w:rsid w:val="00874452"/>
    <w:rsid w:val="00876BEB"/>
    <w:rsid w:val="00880091"/>
    <w:rsid w:val="00880906"/>
    <w:rsid w:val="00881916"/>
    <w:rsid w:val="008936E8"/>
    <w:rsid w:val="00895DE4"/>
    <w:rsid w:val="0089653F"/>
    <w:rsid w:val="00896A49"/>
    <w:rsid w:val="00896E71"/>
    <w:rsid w:val="008B0B2F"/>
    <w:rsid w:val="008B3A40"/>
    <w:rsid w:val="008C20AE"/>
    <w:rsid w:val="008C2D1D"/>
    <w:rsid w:val="008C6CC3"/>
    <w:rsid w:val="008D00DF"/>
    <w:rsid w:val="008D477E"/>
    <w:rsid w:val="008E37FC"/>
    <w:rsid w:val="008E4F5B"/>
    <w:rsid w:val="009003DA"/>
    <w:rsid w:val="00900D10"/>
    <w:rsid w:val="009045F4"/>
    <w:rsid w:val="009155A8"/>
    <w:rsid w:val="009165EE"/>
    <w:rsid w:val="00916624"/>
    <w:rsid w:val="009217CC"/>
    <w:rsid w:val="00921B21"/>
    <w:rsid w:val="0092314E"/>
    <w:rsid w:val="00935477"/>
    <w:rsid w:val="00942603"/>
    <w:rsid w:val="009430FF"/>
    <w:rsid w:val="0095209E"/>
    <w:rsid w:val="00961198"/>
    <w:rsid w:val="00961C48"/>
    <w:rsid w:val="00962051"/>
    <w:rsid w:val="00962C77"/>
    <w:rsid w:val="00973475"/>
    <w:rsid w:val="00975AF0"/>
    <w:rsid w:val="00977DBD"/>
    <w:rsid w:val="00990938"/>
    <w:rsid w:val="00991EB9"/>
    <w:rsid w:val="009934D3"/>
    <w:rsid w:val="009A0AF8"/>
    <w:rsid w:val="009A715D"/>
    <w:rsid w:val="009B06B8"/>
    <w:rsid w:val="009B088B"/>
    <w:rsid w:val="009B2D5F"/>
    <w:rsid w:val="009B3931"/>
    <w:rsid w:val="009B797E"/>
    <w:rsid w:val="009C0179"/>
    <w:rsid w:val="009D0F6D"/>
    <w:rsid w:val="009D2578"/>
    <w:rsid w:val="009D5E82"/>
    <w:rsid w:val="009E37CA"/>
    <w:rsid w:val="009F63BC"/>
    <w:rsid w:val="009F79C4"/>
    <w:rsid w:val="00A00500"/>
    <w:rsid w:val="00A03239"/>
    <w:rsid w:val="00A1385E"/>
    <w:rsid w:val="00A21E89"/>
    <w:rsid w:val="00A31A70"/>
    <w:rsid w:val="00A40B7B"/>
    <w:rsid w:val="00A40ECF"/>
    <w:rsid w:val="00A43669"/>
    <w:rsid w:val="00A444B7"/>
    <w:rsid w:val="00A478FF"/>
    <w:rsid w:val="00A47E3D"/>
    <w:rsid w:val="00A50CA5"/>
    <w:rsid w:val="00A52CBE"/>
    <w:rsid w:val="00A579B9"/>
    <w:rsid w:val="00A7733E"/>
    <w:rsid w:val="00A86112"/>
    <w:rsid w:val="00A91333"/>
    <w:rsid w:val="00A92387"/>
    <w:rsid w:val="00A94DE3"/>
    <w:rsid w:val="00AA0156"/>
    <w:rsid w:val="00AA7E86"/>
    <w:rsid w:val="00AC0165"/>
    <w:rsid w:val="00AC2470"/>
    <w:rsid w:val="00AC42EA"/>
    <w:rsid w:val="00AC503C"/>
    <w:rsid w:val="00AD570A"/>
    <w:rsid w:val="00AE0FAD"/>
    <w:rsid w:val="00AE6802"/>
    <w:rsid w:val="00AF10BB"/>
    <w:rsid w:val="00AF5CE2"/>
    <w:rsid w:val="00B01CD8"/>
    <w:rsid w:val="00B0704C"/>
    <w:rsid w:val="00B07360"/>
    <w:rsid w:val="00B07379"/>
    <w:rsid w:val="00B23FB3"/>
    <w:rsid w:val="00B25F32"/>
    <w:rsid w:val="00B2761B"/>
    <w:rsid w:val="00B27F0D"/>
    <w:rsid w:val="00B348C5"/>
    <w:rsid w:val="00B36158"/>
    <w:rsid w:val="00B41C41"/>
    <w:rsid w:val="00B44CD1"/>
    <w:rsid w:val="00B45733"/>
    <w:rsid w:val="00B50B86"/>
    <w:rsid w:val="00B55CE9"/>
    <w:rsid w:val="00B6015F"/>
    <w:rsid w:val="00B609EB"/>
    <w:rsid w:val="00B624F1"/>
    <w:rsid w:val="00B63704"/>
    <w:rsid w:val="00B66B07"/>
    <w:rsid w:val="00B66BC3"/>
    <w:rsid w:val="00B70157"/>
    <w:rsid w:val="00B7366C"/>
    <w:rsid w:val="00B7761E"/>
    <w:rsid w:val="00B92FC7"/>
    <w:rsid w:val="00BA3FC0"/>
    <w:rsid w:val="00BA66C8"/>
    <w:rsid w:val="00BB4208"/>
    <w:rsid w:val="00BB603C"/>
    <w:rsid w:val="00BB61D2"/>
    <w:rsid w:val="00BB7094"/>
    <w:rsid w:val="00BB70F7"/>
    <w:rsid w:val="00BC213B"/>
    <w:rsid w:val="00BC4E8D"/>
    <w:rsid w:val="00BD35AF"/>
    <w:rsid w:val="00BD477E"/>
    <w:rsid w:val="00BD5801"/>
    <w:rsid w:val="00BD6141"/>
    <w:rsid w:val="00BF3873"/>
    <w:rsid w:val="00C061BB"/>
    <w:rsid w:val="00C0688A"/>
    <w:rsid w:val="00C12080"/>
    <w:rsid w:val="00C15BC6"/>
    <w:rsid w:val="00C23911"/>
    <w:rsid w:val="00C31DAF"/>
    <w:rsid w:val="00C408BF"/>
    <w:rsid w:val="00C46F93"/>
    <w:rsid w:val="00C568B9"/>
    <w:rsid w:val="00C6365C"/>
    <w:rsid w:val="00C71240"/>
    <w:rsid w:val="00C72583"/>
    <w:rsid w:val="00C8506A"/>
    <w:rsid w:val="00C87068"/>
    <w:rsid w:val="00CA05C9"/>
    <w:rsid w:val="00CA2A5B"/>
    <w:rsid w:val="00CA50FE"/>
    <w:rsid w:val="00CA6E6F"/>
    <w:rsid w:val="00CB0B49"/>
    <w:rsid w:val="00CB7B45"/>
    <w:rsid w:val="00CC61FA"/>
    <w:rsid w:val="00CC65B0"/>
    <w:rsid w:val="00CC7962"/>
    <w:rsid w:val="00CD13BD"/>
    <w:rsid w:val="00CD61A0"/>
    <w:rsid w:val="00CD6385"/>
    <w:rsid w:val="00CE13DE"/>
    <w:rsid w:val="00CE4102"/>
    <w:rsid w:val="00CE6637"/>
    <w:rsid w:val="00CE7220"/>
    <w:rsid w:val="00CF7034"/>
    <w:rsid w:val="00D17178"/>
    <w:rsid w:val="00D22B26"/>
    <w:rsid w:val="00D244E0"/>
    <w:rsid w:val="00D31918"/>
    <w:rsid w:val="00D34F43"/>
    <w:rsid w:val="00D52E75"/>
    <w:rsid w:val="00D6057F"/>
    <w:rsid w:val="00D62965"/>
    <w:rsid w:val="00D63D09"/>
    <w:rsid w:val="00D75BFA"/>
    <w:rsid w:val="00D8177D"/>
    <w:rsid w:val="00D83005"/>
    <w:rsid w:val="00D83816"/>
    <w:rsid w:val="00D87968"/>
    <w:rsid w:val="00D9425F"/>
    <w:rsid w:val="00D9557E"/>
    <w:rsid w:val="00DA3938"/>
    <w:rsid w:val="00DA7A1E"/>
    <w:rsid w:val="00DB1B03"/>
    <w:rsid w:val="00DB680C"/>
    <w:rsid w:val="00DC388F"/>
    <w:rsid w:val="00DC4D10"/>
    <w:rsid w:val="00DC6DE4"/>
    <w:rsid w:val="00DC7573"/>
    <w:rsid w:val="00DD40DB"/>
    <w:rsid w:val="00DE44E0"/>
    <w:rsid w:val="00DF3E12"/>
    <w:rsid w:val="00E00249"/>
    <w:rsid w:val="00E07F4F"/>
    <w:rsid w:val="00E11D72"/>
    <w:rsid w:val="00E12762"/>
    <w:rsid w:val="00E22742"/>
    <w:rsid w:val="00E348E1"/>
    <w:rsid w:val="00E47235"/>
    <w:rsid w:val="00E53DD9"/>
    <w:rsid w:val="00E57A11"/>
    <w:rsid w:val="00E63E6E"/>
    <w:rsid w:val="00E6523D"/>
    <w:rsid w:val="00E70754"/>
    <w:rsid w:val="00E7484E"/>
    <w:rsid w:val="00E75F50"/>
    <w:rsid w:val="00E76033"/>
    <w:rsid w:val="00E80537"/>
    <w:rsid w:val="00E872AB"/>
    <w:rsid w:val="00E90973"/>
    <w:rsid w:val="00EA327E"/>
    <w:rsid w:val="00EA39C4"/>
    <w:rsid w:val="00EA6184"/>
    <w:rsid w:val="00EA7A3C"/>
    <w:rsid w:val="00EB0965"/>
    <w:rsid w:val="00EB1E57"/>
    <w:rsid w:val="00EB771B"/>
    <w:rsid w:val="00EC2E53"/>
    <w:rsid w:val="00EC5390"/>
    <w:rsid w:val="00EC7705"/>
    <w:rsid w:val="00ED2CE3"/>
    <w:rsid w:val="00ED3CC5"/>
    <w:rsid w:val="00ED596A"/>
    <w:rsid w:val="00ED5FE3"/>
    <w:rsid w:val="00ED6982"/>
    <w:rsid w:val="00ED7C4B"/>
    <w:rsid w:val="00EE56E9"/>
    <w:rsid w:val="00EF27CC"/>
    <w:rsid w:val="00EF2F48"/>
    <w:rsid w:val="00EF389A"/>
    <w:rsid w:val="00EF6622"/>
    <w:rsid w:val="00EF78AD"/>
    <w:rsid w:val="00F02A62"/>
    <w:rsid w:val="00F02C25"/>
    <w:rsid w:val="00F02F26"/>
    <w:rsid w:val="00F05DF8"/>
    <w:rsid w:val="00F105A7"/>
    <w:rsid w:val="00F15461"/>
    <w:rsid w:val="00F24EC6"/>
    <w:rsid w:val="00F25658"/>
    <w:rsid w:val="00F33B69"/>
    <w:rsid w:val="00F44958"/>
    <w:rsid w:val="00F460BC"/>
    <w:rsid w:val="00F57207"/>
    <w:rsid w:val="00F60D68"/>
    <w:rsid w:val="00F83F3A"/>
    <w:rsid w:val="00F9776C"/>
    <w:rsid w:val="00FA2219"/>
    <w:rsid w:val="00FA2778"/>
    <w:rsid w:val="00FA4463"/>
    <w:rsid w:val="00FA6A73"/>
    <w:rsid w:val="00FB28A2"/>
    <w:rsid w:val="00FC2B36"/>
    <w:rsid w:val="00FC60D1"/>
    <w:rsid w:val="00FD132C"/>
    <w:rsid w:val="00FD3AD2"/>
    <w:rsid w:val="00FD49F3"/>
    <w:rsid w:val="00FD6A6E"/>
    <w:rsid w:val="00FF4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5AB98B"/>
  <w15:docId w15:val="{5D77C2B6-E994-4905-9F34-4F1ABE12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573"/>
    <w:pPr>
      <w:spacing w:before="60" w:after="60"/>
      <w:ind w:left="709"/>
    </w:pPr>
    <w:rPr>
      <w:rFonts w:ascii="Arial" w:hAnsi="Arial"/>
      <w:sz w:val="20"/>
    </w:rPr>
  </w:style>
  <w:style w:type="paragraph" w:styleId="Heading1">
    <w:name w:val="heading 1"/>
    <w:basedOn w:val="Normal"/>
    <w:next w:val="Normal"/>
    <w:link w:val="Heading1Char"/>
    <w:uiPriority w:val="9"/>
    <w:qFormat/>
    <w:rsid w:val="00881916"/>
    <w:pPr>
      <w:keepNext/>
      <w:keepLines/>
      <w:spacing w:before="480" w:after="0"/>
      <w:outlineLvl w:val="0"/>
    </w:pPr>
    <w:rPr>
      <w:rFonts w:asciiTheme="majorHAnsi" w:eastAsiaTheme="majorEastAsia" w:hAnsiTheme="majorHAnsi" w:cstheme="majorBidi"/>
      <w:b/>
      <w:bCs/>
      <w:caps/>
      <w:color w:val="B3186D" w:themeColor="accent1" w:themeShade="BF"/>
      <w:sz w:val="28"/>
      <w:szCs w:val="28"/>
    </w:rPr>
  </w:style>
  <w:style w:type="paragraph" w:styleId="Heading2">
    <w:name w:val="heading 2"/>
    <w:basedOn w:val="Normal"/>
    <w:next w:val="Normal"/>
    <w:link w:val="Heading2Char"/>
    <w:uiPriority w:val="9"/>
    <w:unhideWhenUsed/>
    <w:qFormat/>
    <w:rsid w:val="002E52F6"/>
    <w:pPr>
      <w:keepNext/>
      <w:tabs>
        <w:tab w:val="left" w:pos="709"/>
      </w:tabs>
      <w:suppressAutoHyphens/>
      <w:spacing w:before="360" w:line="240" w:lineRule="auto"/>
      <w:ind w:left="0"/>
      <w:jc w:val="both"/>
      <w:outlineLvl w:val="1"/>
    </w:pPr>
    <w:rPr>
      <w:rFonts w:asciiTheme="majorHAnsi" w:eastAsiaTheme="majorEastAsia" w:hAnsiTheme="majorHAnsi" w:cstheme="majorBidi"/>
      <w:b/>
      <w:bCs/>
      <w:color w:val="E32D91"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1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D9C"/>
    <w:rPr>
      <w:rFonts w:ascii="Tahoma" w:hAnsi="Tahoma" w:cs="Tahoma"/>
      <w:sz w:val="16"/>
      <w:szCs w:val="16"/>
    </w:rPr>
  </w:style>
  <w:style w:type="character" w:styleId="IntenseEmphasis">
    <w:name w:val="Intense Emphasis"/>
    <w:basedOn w:val="DefaultParagraphFont"/>
    <w:uiPriority w:val="21"/>
    <w:qFormat/>
    <w:rsid w:val="005E1D9C"/>
    <w:rPr>
      <w:b/>
      <w:bCs/>
      <w:i/>
      <w:iCs/>
      <w:color w:val="E32D91" w:themeColor="accent1"/>
    </w:rPr>
  </w:style>
  <w:style w:type="paragraph" w:styleId="Header">
    <w:name w:val="header"/>
    <w:basedOn w:val="Normal"/>
    <w:link w:val="HeaderChar"/>
    <w:uiPriority w:val="99"/>
    <w:unhideWhenUsed/>
    <w:rsid w:val="002E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2B"/>
  </w:style>
  <w:style w:type="paragraph" w:styleId="Footer">
    <w:name w:val="footer"/>
    <w:basedOn w:val="Normal"/>
    <w:link w:val="FooterChar"/>
    <w:uiPriority w:val="99"/>
    <w:unhideWhenUsed/>
    <w:rsid w:val="002E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2B"/>
  </w:style>
  <w:style w:type="character" w:customStyle="1" w:styleId="Heading1Char">
    <w:name w:val="Heading 1 Char"/>
    <w:basedOn w:val="DefaultParagraphFont"/>
    <w:link w:val="Heading1"/>
    <w:uiPriority w:val="9"/>
    <w:rsid w:val="00881916"/>
    <w:rPr>
      <w:rFonts w:asciiTheme="majorHAnsi" w:eastAsiaTheme="majorEastAsia" w:hAnsiTheme="majorHAnsi" w:cstheme="majorBidi"/>
      <w:b/>
      <w:bCs/>
      <w:caps/>
      <w:color w:val="B3186D" w:themeColor="accent1" w:themeShade="BF"/>
      <w:sz w:val="28"/>
      <w:szCs w:val="28"/>
    </w:rPr>
  </w:style>
  <w:style w:type="paragraph" w:styleId="TOCHeading">
    <w:name w:val="TOC Heading"/>
    <w:basedOn w:val="Heading1"/>
    <w:next w:val="Normal"/>
    <w:uiPriority w:val="39"/>
    <w:semiHidden/>
    <w:unhideWhenUsed/>
    <w:qFormat/>
    <w:rsid w:val="007B3977"/>
    <w:pPr>
      <w:outlineLvl w:val="9"/>
    </w:pPr>
    <w:rPr>
      <w:lang w:val="en-US" w:eastAsia="ja-JP"/>
    </w:rPr>
  </w:style>
  <w:style w:type="table" w:styleId="TableGrid">
    <w:name w:val="Table Grid"/>
    <w:basedOn w:val="TableNormal"/>
    <w:uiPriority w:val="59"/>
    <w:rsid w:val="007B3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419A3"/>
    <w:pPr>
      <w:tabs>
        <w:tab w:val="left" w:pos="426"/>
        <w:tab w:val="left" w:pos="1701"/>
        <w:tab w:val="right" w:pos="9639"/>
      </w:tabs>
      <w:spacing w:after="100"/>
      <w:ind w:left="0"/>
    </w:pPr>
  </w:style>
  <w:style w:type="character" w:styleId="Hyperlink">
    <w:name w:val="Hyperlink"/>
    <w:basedOn w:val="DefaultParagraphFont"/>
    <w:uiPriority w:val="99"/>
    <w:unhideWhenUsed/>
    <w:rsid w:val="00881916"/>
    <w:rPr>
      <w:color w:val="6B9F25" w:themeColor="hyperlink"/>
      <w:u w:val="single"/>
    </w:rPr>
  </w:style>
  <w:style w:type="character" w:customStyle="1" w:styleId="Heading2Char">
    <w:name w:val="Heading 2 Char"/>
    <w:basedOn w:val="DefaultParagraphFont"/>
    <w:link w:val="Heading2"/>
    <w:uiPriority w:val="9"/>
    <w:rsid w:val="002E52F6"/>
    <w:rPr>
      <w:rFonts w:asciiTheme="majorHAnsi" w:eastAsiaTheme="majorEastAsia" w:hAnsiTheme="majorHAnsi" w:cstheme="majorBidi"/>
      <w:b/>
      <w:bCs/>
      <w:color w:val="E32D91" w:themeColor="accent1"/>
      <w:sz w:val="26"/>
      <w:szCs w:val="26"/>
    </w:rPr>
  </w:style>
  <w:style w:type="paragraph" w:styleId="BodyText">
    <w:name w:val="Body Text"/>
    <w:basedOn w:val="Normal"/>
    <w:link w:val="BodyTextChar"/>
    <w:uiPriority w:val="1"/>
    <w:qFormat/>
    <w:rsid w:val="00881916"/>
    <w:pPr>
      <w:tabs>
        <w:tab w:val="left" w:pos="-720"/>
      </w:tabs>
      <w:suppressAutoHyphens/>
      <w:autoSpaceDE w:val="0"/>
      <w:autoSpaceDN w:val="0"/>
      <w:spacing w:after="0" w:line="240" w:lineRule="auto"/>
      <w:jc w:val="both"/>
    </w:pPr>
    <w:rPr>
      <w:rFonts w:ascii="Times New Roman" w:eastAsia="Times New Roman" w:hAnsi="Times New Roman" w:cs="Times New Roman"/>
      <w:spacing w:val="-2"/>
      <w:sz w:val="24"/>
      <w:szCs w:val="24"/>
      <w:lang w:eastAsia="en-GB"/>
    </w:rPr>
  </w:style>
  <w:style w:type="character" w:customStyle="1" w:styleId="BodyTextChar">
    <w:name w:val="Body Text Char"/>
    <w:basedOn w:val="DefaultParagraphFont"/>
    <w:link w:val="BodyText"/>
    <w:uiPriority w:val="1"/>
    <w:rsid w:val="00881916"/>
    <w:rPr>
      <w:rFonts w:ascii="Times New Roman" w:eastAsia="Times New Roman" w:hAnsi="Times New Roman" w:cs="Times New Roman"/>
      <w:spacing w:val="-2"/>
      <w:sz w:val="24"/>
      <w:szCs w:val="24"/>
      <w:lang w:eastAsia="en-GB"/>
    </w:rPr>
  </w:style>
  <w:style w:type="paragraph" w:styleId="ListParagraph">
    <w:name w:val="List Paragraph"/>
    <w:basedOn w:val="Normal"/>
    <w:uiPriority w:val="34"/>
    <w:qFormat/>
    <w:rsid w:val="00634EA2"/>
    <w:pPr>
      <w:ind w:left="720"/>
      <w:contextualSpacing/>
    </w:pPr>
  </w:style>
  <w:style w:type="paragraph" w:styleId="TOC2">
    <w:name w:val="toc 2"/>
    <w:basedOn w:val="Normal"/>
    <w:next w:val="Normal"/>
    <w:autoRedefine/>
    <w:uiPriority w:val="39"/>
    <w:unhideWhenUsed/>
    <w:rsid w:val="005419A3"/>
    <w:pPr>
      <w:spacing w:after="100"/>
      <w:ind w:left="567"/>
    </w:pPr>
  </w:style>
  <w:style w:type="character" w:styleId="PlaceholderText">
    <w:name w:val="Placeholder Text"/>
    <w:basedOn w:val="DefaultParagraphFont"/>
    <w:uiPriority w:val="99"/>
    <w:semiHidden/>
    <w:rsid w:val="004D4112"/>
    <w:rPr>
      <w:color w:val="808080"/>
    </w:rPr>
  </w:style>
  <w:style w:type="paragraph" w:customStyle="1" w:styleId="Default">
    <w:name w:val="Default"/>
    <w:rsid w:val="006D1B3C"/>
    <w:pPr>
      <w:autoSpaceDE w:val="0"/>
      <w:autoSpaceDN w:val="0"/>
      <w:adjustRightInd w:val="0"/>
      <w:spacing w:after="0" w:line="240" w:lineRule="auto"/>
    </w:pPr>
    <w:rPr>
      <w:rFonts w:ascii="Georgia" w:hAnsi="Georgia" w:cs="Georgia"/>
      <w:color w:val="000000"/>
      <w:sz w:val="24"/>
      <w:szCs w:val="24"/>
    </w:rPr>
  </w:style>
  <w:style w:type="paragraph" w:styleId="NormalWeb">
    <w:name w:val="Normal (Web)"/>
    <w:basedOn w:val="Normal"/>
    <w:uiPriority w:val="99"/>
    <w:unhideWhenUsed/>
    <w:rsid w:val="006D1B3C"/>
    <w:pPr>
      <w:spacing w:before="0" w:after="0" w:line="240" w:lineRule="auto"/>
      <w:ind w:left="0"/>
    </w:pPr>
    <w:rPr>
      <w:rFonts w:ascii="Times New Roman" w:hAnsi="Times New Roman" w:cs="Times New Roman"/>
      <w:sz w:val="24"/>
      <w:szCs w:val="24"/>
      <w:lang w:eastAsia="en-GB"/>
    </w:rPr>
  </w:style>
  <w:style w:type="paragraph" w:styleId="FootnoteText">
    <w:name w:val="footnote text"/>
    <w:basedOn w:val="Normal"/>
    <w:link w:val="FootnoteTextChar"/>
    <w:uiPriority w:val="99"/>
    <w:unhideWhenUsed/>
    <w:rsid w:val="004944DE"/>
    <w:pPr>
      <w:spacing w:before="0" w:after="0" w:line="240" w:lineRule="auto"/>
      <w:ind w:left="0"/>
    </w:pPr>
    <w:rPr>
      <w:szCs w:val="20"/>
    </w:rPr>
  </w:style>
  <w:style w:type="character" w:customStyle="1" w:styleId="FootnoteTextChar">
    <w:name w:val="Footnote Text Char"/>
    <w:basedOn w:val="DefaultParagraphFont"/>
    <w:link w:val="FootnoteText"/>
    <w:uiPriority w:val="99"/>
    <w:rsid w:val="004944DE"/>
    <w:rPr>
      <w:rFonts w:ascii="Arial" w:hAnsi="Arial"/>
      <w:sz w:val="20"/>
      <w:szCs w:val="20"/>
    </w:rPr>
  </w:style>
  <w:style w:type="character" w:styleId="FootnoteReference">
    <w:name w:val="footnote reference"/>
    <w:basedOn w:val="DefaultParagraphFont"/>
    <w:uiPriority w:val="99"/>
    <w:semiHidden/>
    <w:unhideWhenUsed/>
    <w:rsid w:val="004944DE"/>
    <w:rPr>
      <w:vertAlign w:val="superscript"/>
    </w:rPr>
  </w:style>
  <w:style w:type="paragraph" w:styleId="Title">
    <w:name w:val="Title"/>
    <w:basedOn w:val="Normal"/>
    <w:link w:val="TitleChar"/>
    <w:qFormat/>
    <w:rsid w:val="00E00249"/>
    <w:pPr>
      <w:spacing w:before="0" w:after="0" w:line="240" w:lineRule="auto"/>
      <w:ind w:left="0"/>
      <w:jc w:val="center"/>
    </w:pPr>
    <w:rPr>
      <w:rFonts w:ascii="Times New Roman" w:eastAsia="Times New Roman" w:hAnsi="Times New Roman" w:cs="Times New Roman"/>
      <w:b/>
      <w:sz w:val="24"/>
      <w:szCs w:val="20"/>
      <w:lang w:eastAsia="en-GB"/>
    </w:rPr>
  </w:style>
  <w:style w:type="character" w:customStyle="1" w:styleId="TitleChar">
    <w:name w:val="Title Char"/>
    <w:basedOn w:val="DefaultParagraphFont"/>
    <w:link w:val="Title"/>
    <w:rsid w:val="00E00249"/>
    <w:rPr>
      <w:rFonts w:ascii="Times New Roman" w:eastAsia="Times New Roman" w:hAnsi="Times New Roman" w:cs="Times New Roman"/>
      <w:b/>
      <w:sz w:val="24"/>
      <w:szCs w:val="20"/>
      <w:lang w:eastAsia="en-GB"/>
    </w:rPr>
  </w:style>
  <w:style w:type="character" w:styleId="Emphasis">
    <w:name w:val="Emphasis"/>
    <w:basedOn w:val="DefaultParagraphFont"/>
    <w:uiPriority w:val="20"/>
    <w:qFormat/>
    <w:rsid w:val="00121BED"/>
    <w:rPr>
      <w:i/>
      <w:iCs/>
    </w:rPr>
  </w:style>
  <w:style w:type="character" w:styleId="Strong">
    <w:name w:val="Strong"/>
    <w:basedOn w:val="DefaultParagraphFont"/>
    <w:uiPriority w:val="22"/>
    <w:qFormat/>
    <w:rsid w:val="00B2761B"/>
    <w:rPr>
      <w:b/>
      <w:bCs/>
    </w:rPr>
  </w:style>
  <w:style w:type="character" w:styleId="UnresolvedMention">
    <w:name w:val="Unresolved Mention"/>
    <w:basedOn w:val="DefaultParagraphFont"/>
    <w:uiPriority w:val="99"/>
    <w:semiHidden/>
    <w:unhideWhenUsed/>
    <w:rsid w:val="00AA0156"/>
    <w:rPr>
      <w:color w:val="605E5C"/>
      <w:shd w:val="clear" w:color="auto" w:fill="E1DFDD"/>
    </w:rPr>
  </w:style>
  <w:style w:type="character" w:styleId="FollowedHyperlink">
    <w:name w:val="FollowedHyperlink"/>
    <w:basedOn w:val="DefaultParagraphFont"/>
    <w:uiPriority w:val="99"/>
    <w:semiHidden/>
    <w:unhideWhenUsed/>
    <w:rsid w:val="007F31C8"/>
    <w:rPr>
      <w:color w:val="8C8C8C" w:themeColor="followedHyperlink"/>
      <w:u w:val="single"/>
    </w:rPr>
  </w:style>
  <w:style w:type="character" w:customStyle="1" w:styleId="authorname">
    <w:name w:val="authorname"/>
    <w:basedOn w:val="DefaultParagraphFont"/>
    <w:rsid w:val="00F05DF8"/>
  </w:style>
  <w:style w:type="paragraph" w:customStyle="1" w:styleId="tabsroottab-jpvcxo">
    <w:name w:val="tabs__roottab-jpvcxo"/>
    <w:basedOn w:val="Normal"/>
    <w:rsid w:val="00D8177D"/>
    <w:pPr>
      <w:spacing w:before="100" w:beforeAutospacing="1" w:after="100" w:afterAutospacing="1" w:line="240" w:lineRule="auto"/>
      <w:ind w:left="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90607">
      <w:bodyDiv w:val="1"/>
      <w:marLeft w:val="0"/>
      <w:marRight w:val="0"/>
      <w:marTop w:val="0"/>
      <w:marBottom w:val="0"/>
      <w:divBdr>
        <w:top w:val="none" w:sz="0" w:space="0" w:color="auto"/>
        <w:left w:val="none" w:sz="0" w:space="0" w:color="auto"/>
        <w:bottom w:val="none" w:sz="0" w:space="0" w:color="auto"/>
        <w:right w:val="none" w:sz="0" w:space="0" w:color="auto"/>
      </w:divBdr>
    </w:div>
    <w:div w:id="438598839">
      <w:bodyDiv w:val="1"/>
      <w:marLeft w:val="0"/>
      <w:marRight w:val="0"/>
      <w:marTop w:val="0"/>
      <w:marBottom w:val="0"/>
      <w:divBdr>
        <w:top w:val="none" w:sz="0" w:space="0" w:color="auto"/>
        <w:left w:val="none" w:sz="0" w:space="0" w:color="auto"/>
        <w:bottom w:val="none" w:sz="0" w:space="0" w:color="auto"/>
        <w:right w:val="none" w:sz="0" w:space="0" w:color="auto"/>
      </w:divBdr>
    </w:div>
    <w:div w:id="614168129">
      <w:bodyDiv w:val="1"/>
      <w:marLeft w:val="0"/>
      <w:marRight w:val="0"/>
      <w:marTop w:val="0"/>
      <w:marBottom w:val="0"/>
      <w:divBdr>
        <w:top w:val="none" w:sz="0" w:space="0" w:color="auto"/>
        <w:left w:val="none" w:sz="0" w:space="0" w:color="auto"/>
        <w:bottom w:val="none" w:sz="0" w:space="0" w:color="auto"/>
        <w:right w:val="none" w:sz="0" w:space="0" w:color="auto"/>
      </w:divBdr>
    </w:div>
    <w:div w:id="658928289">
      <w:bodyDiv w:val="1"/>
      <w:marLeft w:val="0"/>
      <w:marRight w:val="0"/>
      <w:marTop w:val="0"/>
      <w:marBottom w:val="0"/>
      <w:divBdr>
        <w:top w:val="none" w:sz="0" w:space="0" w:color="auto"/>
        <w:left w:val="none" w:sz="0" w:space="0" w:color="auto"/>
        <w:bottom w:val="none" w:sz="0" w:space="0" w:color="auto"/>
        <w:right w:val="none" w:sz="0" w:space="0" w:color="auto"/>
      </w:divBdr>
    </w:div>
    <w:div w:id="786235962">
      <w:bodyDiv w:val="1"/>
      <w:marLeft w:val="0"/>
      <w:marRight w:val="0"/>
      <w:marTop w:val="0"/>
      <w:marBottom w:val="0"/>
      <w:divBdr>
        <w:top w:val="none" w:sz="0" w:space="0" w:color="auto"/>
        <w:left w:val="none" w:sz="0" w:space="0" w:color="auto"/>
        <w:bottom w:val="none" w:sz="0" w:space="0" w:color="auto"/>
        <w:right w:val="none" w:sz="0" w:space="0" w:color="auto"/>
      </w:divBdr>
    </w:div>
    <w:div w:id="874385944">
      <w:bodyDiv w:val="1"/>
      <w:marLeft w:val="0"/>
      <w:marRight w:val="0"/>
      <w:marTop w:val="0"/>
      <w:marBottom w:val="0"/>
      <w:divBdr>
        <w:top w:val="none" w:sz="0" w:space="0" w:color="auto"/>
        <w:left w:val="none" w:sz="0" w:space="0" w:color="auto"/>
        <w:bottom w:val="none" w:sz="0" w:space="0" w:color="auto"/>
        <w:right w:val="none" w:sz="0" w:space="0" w:color="auto"/>
      </w:divBdr>
    </w:div>
    <w:div w:id="931278903">
      <w:bodyDiv w:val="1"/>
      <w:marLeft w:val="0"/>
      <w:marRight w:val="0"/>
      <w:marTop w:val="0"/>
      <w:marBottom w:val="0"/>
      <w:divBdr>
        <w:top w:val="none" w:sz="0" w:space="0" w:color="auto"/>
        <w:left w:val="none" w:sz="0" w:space="0" w:color="auto"/>
        <w:bottom w:val="none" w:sz="0" w:space="0" w:color="auto"/>
        <w:right w:val="none" w:sz="0" w:space="0" w:color="auto"/>
      </w:divBdr>
    </w:div>
    <w:div w:id="1379477345">
      <w:bodyDiv w:val="1"/>
      <w:marLeft w:val="0"/>
      <w:marRight w:val="0"/>
      <w:marTop w:val="0"/>
      <w:marBottom w:val="0"/>
      <w:divBdr>
        <w:top w:val="none" w:sz="0" w:space="0" w:color="auto"/>
        <w:left w:val="none" w:sz="0" w:space="0" w:color="auto"/>
        <w:bottom w:val="none" w:sz="0" w:space="0" w:color="auto"/>
        <w:right w:val="none" w:sz="0" w:space="0" w:color="auto"/>
      </w:divBdr>
    </w:div>
    <w:div w:id="1442456097">
      <w:bodyDiv w:val="1"/>
      <w:marLeft w:val="0"/>
      <w:marRight w:val="0"/>
      <w:marTop w:val="0"/>
      <w:marBottom w:val="0"/>
      <w:divBdr>
        <w:top w:val="none" w:sz="0" w:space="0" w:color="auto"/>
        <w:left w:val="none" w:sz="0" w:space="0" w:color="auto"/>
        <w:bottom w:val="none" w:sz="0" w:space="0" w:color="auto"/>
        <w:right w:val="none" w:sz="0" w:space="0" w:color="auto"/>
      </w:divBdr>
    </w:div>
    <w:div w:id="1483042868">
      <w:bodyDiv w:val="1"/>
      <w:marLeft w:val="0"/>
      <w:marRight w:val="0"/>
      <w:marTop w:val="0"/>
      <w:marBottom w:val="0"/>
      <w:divBdr>
        <w:top w:val="none" w:sz="0" w:space="0" w:color="auto"/>
        <w:left w:val="none" w:sz="0" w:space="0" w:color="auto"/>
        <w:bottom w:val="none" w:sz="0" w:space="0" w:color="auto"/>
        <w:right w:val="none" w:sz="0" w:space="0" w:color="auto"/>
      </w:divBdr>
      <w:divsChild>
        <w:div w:id="1469014071">
          <w:marLeft w:val="0"/>
          <w:marRight w:val="0"/>
          <w:marTop w:val="0"/>
          <w:marBottom w:val="0"/>
          <w:divBdr>
            <w:top w:val="none" w:sz="0" w:space="0" w:color="auto"/>
            <w:left w:val="none" w:sz="0" w:space="0" w:color="auto"/>
            <w:bottom w:val="none" w:sz="0" w:space="0" w:color="auto"/>
            <w:right w:val="none" w:sz="0" w:space="0" w:color="auto"/>
          </w:divBdr>
        </w:div>
        <w:div w:id="1134908461">
          <w:marLeft w:val="0"/>
          <w:marRight w:val="0"/>
          <w:marTop w:val="0"/>
          <w:marBottom w:val="0"/>
          <w:divBdr>
            <w:top w:val="none" w:sz="0" w:space="0" w:color="auto"/>
            <w:left w:val="none" w:sz="0" w:space="0" w:color="auto"/>
            <w:bottom w:val="none" w:sz="0" w:space="0" w:color="auto"/>
            <w:right w:val="none" w:sz="0" w:space="0" w:color="auto"/>
          </w:divBdr>
          <w:divsChild>
            <w:div w:id="90711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272145">
      <w:bodyDiv w:val="1"/>
      <w:marLeft w:val="0"/>
      <w:marRight w:val="0"/>
      <w:marTop w:val="0"/>
      <w:marBottom w:val="0"/>
      <w:divBdr>
        <w:top w:val="none" w:sz="0" w:space="0" w:color="auto"/>
        <w:left w:val="none" w:sz="0" w:space="0" w:color="auto"/>
        <w:bottom w:val="none" w:sz="0" w:space="0" w:color="auto"/>
        <w:right w:val="none" w:sz="0" w:space="0" w:color="auto"/>
      </w:divBdr>
    </w:div>
    <w:div w:id="1554660577">
      <w:bodyDiv w:val="1"/>
      <w:marLeft w:val="0"/>
      <w:marRight w:val="0"/>
      <w:marTop w:val="0"/>
      <w:marBottom w:val="0"/>
      <w:divBdr>
        <w:top w:val="none" w:sz="0" w:space="0" w:color="auto"/>
        <w:left w:val="none" w:sz="0" w:space="0" w:color="auto"/>
        <w:bottom w:val="none" w:sz="0" w:space="0" w:color="auto"/>
        <w:right w:val="none" w:sz="0" w:space="0" w:color="auto"/>
      </w:divBdr>
    </w:div>
    <w:div w:id="1702510464">
      <w:bodyDiv w:val="1"/>
      <w:marLeft w:val="0"/>
      <w:marRight w:val="0"/>
      <w:marTop w:val="0"/>
      <w:marBottom w:val="0"/>
      <w:divBdr>
        <w:top w:val="none" w:sz="0" w:space="0" w:color="auto"/>
        <w:left w:val="none" w:sz="0" w:space="0" w:color="auto"/>
        <w:bottom w:val="none" w:sz="0" w:space="0" w:color="auto"/>
        <w:right w:val="none" w:sz="0" w:space="0" w:color="auto"/>
      </w:divBdr>
    </w:div>
    <w:div w:id="1723626657">
      <w:bodyDiv w:val="1"/>
      <w:marLeft w:val="0"/>
      <w:marRight w:val="0"/>
      <w:marTop w:val="0"/>
      <w:marBottom w:val="0"/>
      <w:divBdr>
        <w:top w:val="none" w:sz="0" w:space="0" w:color="auto"/>
        <w:left w:val="none" w:sz="0" w:space="0" w:color="auto"/>
        <w:bottom w:val="none" w:sz="0" w:space="0" w:color="auto"/>
        <w:right w:val="none" w:sz="0" w:space="0" w:color="auto"/>
      </w:divBdr>
    </w:div>
    <w:div w:id="1935554350">
      <w:bodyDiv w:val="1"/>
      <w:marLeft w:val="0"/>
      <w:marRight w:val="0"/>
      <w:marTop w:val="0"/>
      <w:marBottom w:val="0"/>
      <w:divBdr>
        <w:top w:val="none" w:sz="0" w:space="0" w:color="auto"/>
        <w:left w:val="none" w:sz="0" w:space="0" w:color="auto"/>
        <w:bottom w:val="none" w:sz="0" w:space="0" w:color="auto"/>
        <w:right w:val="none" w:sz="0" w:space="0" w:color="auto"/>
      </w:divBdr>
    </w:div>
    <w:div w:id="20341149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hrdconnect.com/2023/05/04/hrbps-reimagined-a-data-enabled-model-for-business-driven-hr/" TargetMode="External"/><Relationship Id="rId26" Type="http://schemas.openxmlformats.org/officeDocument/2006/relationships/footer" Target="footer2.xml"/><Relationship Id="rId39" Type="http://schemas.openxmlformats.org/officeDocument/2006/relationships/hyperlink" Target="https://www.cipd.org/globalassets/media/comms/code-of-conduct/2023-cipd-code-of-conduct-and-ethics.pdf" TargetMode="External"/><Relationship Id="rId21" Type="http://schemas.openxmlformats.org/officeDocument/2006/relationships/chart" Target="charts/chart3.xml"/><Relationship Id="rId34" Type="http://schemas.openxmlformats.org/officeDocument/2006/relationships/hyperlink" Target="https://www.cipd.org/uk/knowledge/factsheets/analytics-factsheet/" TargetMode="External"/><Relationship Id="rId42" Type="http://schemas.openxmlformats.org/officeDocument/2006/relationships/hyperlink" Target="https://www.managers.org.uk/knowledge-and-insights/resource/performance-management/" TargetMode="External"/><Relationship Id="rId47" Type="http://schemas.openxmlformats.org/officeDocument/2006/relationships/hyperlink" Target="https://www.cipd.org/uk/knowledge/factsheets/swot-analysis-factsheet/" TargetMode="External"/><Relationship Id="rId50" Type="http://schemas.openxmlformats.org/officeDocument/2006/relationships/hyperlink" Target="https://plato.stanford.edu/entries/sidgwick/"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asana.com/resources/problem-framing" TargetMode="External"/><Relationship Id="rId11" Type="http://schemas.openxmlformats.org/officeDocument/2006/relationships/image" Target="media/image1.png"/><Relationship Id="rId24" Type="http://schemas.openxmlformats.org/officeDocument/2006/relationships/chart" Target="charts/chart6.xml"/><Relationship Id="rId32" Type="http://schemas.openxmlformats.org/officeDocument/2006/relationships/hyperlink" Target="https://www.cipd.org/uk/knowledge/guides/ethics-work-guide/" TargetMode="External"/><Relationship Id="rId37" Type="http://schemas.openxmlformats.org/officeDocument/2006/relationships/hyperlink" Target="https://www.cipd.org/uk/knowledge/podcasts/purpose-and-value-of-hr/" TargetMode="External"/><Relationship Id="rId40" Type="http://schemas.openxmlformats.org/officeDocument/2006/relationships/hyperlink" Target="https://cipdforum.co.uk/forums/topic/discuss-problem-outcome-frame-hr/" TargetMode="External"/><Relationship Id="rId45" Type="http://schemas.openxmlformats.org/officeDocument/2006/relationships/hyperlink" Target="https://www.cipd.org/uk/knowledge/factsheets/performance-factsheet/" TargetMode="External"/><Relationship Id="rId53" Type="http://schemas.openxmlformats.org/officeDocument/2006/relationships/hyperlink" Target="https://www.cipd.org/uk/knowledge/guides/gender-pay-gap-reporting-guide/?_gl=1*6wqbbr*_ga*MTQ0NTM4Nzc3LjE2ODY2NjY2OTc.*_ga_D9HN5GYHYY*MTcwMDU2OTM3My4yNi4xLjE3MDA1Njk1ODQuNTAuMC4w"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hyperlink" Target="https://www.cipd.org/globalassets/media/comms/the-people-profession/profession-map-pdfs/ethical-decision-making-2015-eight-perspectives-on-workplace-dilemmas_tcm29-9564.pdf" TargetMode="External"/><Relationship Id="rId44" Type="http://schemas.openxmlformats.org/officeDocument/2006/relationships/hyperlink" Target="https://www.iia.org.uk/media/1693097/ciia-risk-in-focus-2024_final-web.pdf" TargetMode="External"/><Relationship Id="rId52" Type="http://schemas.openxmlformats.org/officeDocument/2006/relationships/hyperlink" Target="https://www.ed.ac.uk/institute-academic-development/study-hub/learning-resources/critica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4.xml"/><Relationship Id="rId27" Type="http://schemas.openxmlformats.org/officeDocument/2006/relationships/chart" Target="charts/chart7.xm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www.cipd.org/uk/knowledge/guides/analytics-prac*titioner-guide/" TargetMode="External"/><Relationship Id="rId43" Type="http://schemas.openxmlformats.org/officeDocument/2006/relationships/hyperlink" Target="https://www.crforum.co.uk/research-and-resources/research-strong-foundations-evidence-based-hr/" TargetMode="External"/><Relationship Id="rId48" Type="http://schemas.openxmlformats.org/officeDocument/2006/relationships/hyperlink" Target="https://www.mckinsey.com/featured-insights/diversity-and-inclusion/diversity-wins-how-inclusion-matter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thepersimmongroup.com/six-thinking-hats-us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eader" Target="header2.xml"/><Relationship Id="rId33" Type="http://schemas.openxmlformats.org/officeDocument/2006/relationships/hyperlink" Target="https://www.cipd.org/uk/knowledge/case-studies/people-analytics-case-studies/" TargetMode="External"/><Relationship Id="rId38" Type="http://schemas.openxmlformats.org/officeDocument/2006/relationships/hyperlink" Target="https://www.cipd.org/uk/knowledge/case-studies/bbc/" TargetMode="External"/><Relationship Id="rId46" Type="http://schemas.openxmlformats.org/officeDocument/2006/relationships/hyperlink" Target="https://uk.greatplacetowork.co.uk/best-workplaces-2021-publication" TargetMode="External"/><Relationship Id="rId20" Type="http://schemas.openxmlformats.org/officeDocument/2006/relationships/chart" Target="charts/chart2.xml"/><Relationship Id="rId41" Type="http://schemas.openxmlformats.org/officeDocument/2006/relationships/hyperlink" Target="https://www.managers.org.uk/knowledge-and-insights/resource/decision-making/" TargetMode="External"/><Relationship Id="rId54" Type="http://schemas.openxmlformats.org/officeDocument/2006/relationships/hyperlink" Target="https://www.cipd.co.uk/knowledge/strategy/analytics/evidence-based-practice-factsh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chart" Target="charts/chart5.xml"/><Relationship Id="rId28" Type="http://schemas.openxmlformats.org/officeDocument/2006/relationships/hyperlink" Target="https://www.cipd.org/uk/knowledge/factsheets/diversity-factsheet/" TargetMode="External"/><Relationship Id="rId36" Type="http://schemas.openxmlformats.org/officeDocument/2006/relationships/hyperlink" Target="https://www.cipd.org/uk/knowledge/factsheets/appraisals-factsheet/?_gl=1*1qyrbzr*_ga*MTQ0NTM4Nzc3LjE2ODY2NjY2OTc.*_ga_D9HN5GYHYY*MTcwMDgzMzQ5NC4yOS4xLjE3MDA4MzM1NjMuNjAuMC4w" TargetMode="External"/><Relationship Id="rId49" Type="http://schemas.openxmlformats.org/officeDocument/2006/relationships/hyperlink" Target="https://gbr01.safelinks.protection.outlook.com/?url=https%3A%2F%2Fwww.peoplemanagement.co.uk%2Farticle%2F1845833%2Fconsidering-application-relevance-evidence-based-hr&amp;data=05%7C01%7Csarah%40astari.org.uk%7C2cd9b22ef2d14cc4510108dbdf8574ce%7C65d8578aa18f4208afb6354c207cf975%7C0%7C0%7C638349536503137189%7CUnknown%7CTWFpbGZsb3d8eyJWIjoiMC4wLjAwMDAiLCJQIjoiV2luMzIiLCJBTiI6Ik1haWwiLCJXVCI6Mn0%3D%7C3000%7C%7C%7C&amp;sdata=%2FADd%2F8Ooj%2Fq5nCVMVTADjjqegIecZn07XDyJHrB3x%2FQ%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Griffiths\OneDrive%20-%20Barcud%20Shared%20Services\Templates\Barcud\07.6%20-%20Internal%20Audit%20Short%20Report%20Template%20-%20Portrait.dot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20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Gender by team</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Sheet7!$B$2</c:f>
              <c:strCache>
                <c:ptCount val="1"/>
                <c:pt idx="0">
                  <c:v>Female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Sheet7!$B$3:$B$20</c:f>
              <c:numCache>
                <c:formatCode>0%</c:formatCode>
                <c:ptCount val="18"/>
                <c:pt idx="0">
                  <c:v>0.77777777777777779</c:v>
                </c:pt>
                <c:pt idx="1">
                  <c:v>0.7142857142857143</c:v>
                </c:pt>
                <c:pt idx="2">
                  <c:v>0.73333333333333328</c:v>
                </c:pt>
                <c:pt idx="3">
                  <c:v>0.8</c:v>
                </c:pt>
                <c:pt idx="4">
                  <c:v>0.5</c:v>
                </c:pt>
                <c:pt idx="5">
                  <c:v>0.3</c:v>
                </c:pt>
                <c:pt idx="6">
                  <c:v>0.33333333333333331</c:v>
                </c:pt>
                <c:pt idx="7">
                  <c:v>0.25</c:v>
                </c:pt>
                <c:pt idx="8">
                  <c:v>0.77777777777777779</c:v>
                </c:pt>
                <c:pt idx="9">
                  <c:v>0.52631578947368418</c:v>
                </c:pt>
                <c:pt idx="10">
                  <c:v>0.33333333333333331</c:v>
                </c:pt>
                <c:pt idx="11">
                  <c:v>0.5</c:v>
                </c:pt>
                <c:pt idx="12">
                  <c:v>0.75</c:v>
                </c:pt>
                <c:pt idx="13">
                  <c:v>0.63636363636363635</c:v>
                </c:pt>
                <c:pt idx="14">
                  <c:v>0.19191919191919191</c:v>
                </c:pt>
                <c:pt idx="15">
                  <c:v>1</c:v>
                </c:pt>
                <c:pt idx="16">
                  <c:v>0.81818181818181823</c:v>
                </c:pt>
                <c:pt idx="17">
                  <c:v>0.72727272727272729</c:v>
                </c:pt>
              </c:numCache>
            </c:numRef>
          </c:val>
          <c:extLst>
            <c:ext xmlns:c16="http://schemas.microsoft.com/office/drawing/2014/chart" uri="{C3380CC4-5D6E-409C-BE32-E72D297353CC}">
              <c16:uniqueId val="{00000000-B131-4294-918E-D171B9DFBE81}"/>
            </c:ext>
          </c:extLst>
        </c:ser>
        <c:ser>
          <c:idx val="1"/>
          <c:order val="1"/>
          <c:tx>
            <c:strRef>
              <c:f>Sheet7!$C$2</c:f>
              <c:strCache>
                <c:ptCount val="1"/>
                <c:pt idx="0">
                  <c:v>Male</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Sheet7!$C$3:$C$20</c:f>
              <c:numCache>
                <c:formatCode>0%</c:formatCode>
                <c:ptCount val="18"/>
                <c:pt idx="0">
                  <c:v>0.1111111111111111</c:v>
                </c:pt>
                <c:pt idx="1">
                  <c:v>0.2857142857142857</c:v>
                </c:pt>
                <c:pt idx="2">
                  <c:v>0.26666666666666666</c:v>
                </c:pt>
                <c:pt idx="3">
                  <c:v>0.2</c:v>
                </c:pt>
                <c:pt idx="4">
                  <c:v>0.5</c:v>
                </c:pt>
                <c:pt idx="5">
                  <c:v>0.7</c:v>
                </c:pt>
                <c:pt idx="6">
                  <c:v>0.66666666666666663</c:v>
                </c:pt>
                <c:pt idx="7">
                  <c:v>0.75</c:v>
                </c:pt>
                <c:pt idx="8">
                  <c:v>0.22222222222222221</c:v>
                </c:pt>
                <c:pt idx="9">
                  <c:v>0.47368421052631576</c:v>
                </c:pt>
                <c:pt idx="10">
                  <c:v>0.66666666666666663</c:v>
                </c:pt>
                <c:pt idx="11">
                  <c:v>0.5</c:v>
                </c:pt>
                <c:pt idx="12">
                  <c:v>0.25</c:v>
                </c:pt>
                <c:pt idx="13">
                  <c:v>0.36363636363636365</c:v>
                </c:pt>
                <c:pt idx="14">
                  <c:v>0.79797979797979801</c:v>
                </c:pt>
                <c:pt idx="16">
                  <c:v>0.18181818181818182</c:v>
                </c:pt>
                <c:pt idx="17">
                  <c:v>0.27272727272727271</c:v>
                </c:pt>
              </c:numCache>
            </c:numRef>
          </c:val>
          <c:extLst>
            <c:ext xmlns:c16="http://schemas.microsoft.com/office/drawing/2014/chart" uri="{C3380CC4-5D6E-409C-BE32-E72D297353CC}">
              <c16:uniqueId val="{00000001-B131-4294-918E-D171B9DFBE81}"/>
            </c:ext>
          </c:extLst>
        </c:ser>
        <c:ser>
          <c:idx val="2"/>
          <c:order val="2"/>
          <c:tx>
            <c:strRef>
              <c:f>Sheet7!$D$2</c:f>
              <c:strCache>
                <c:ptCount val="1"/>
                <c:pt idx="0">
                  <c:v>Non-binary</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dLbl>
              <c:idx val="0"/>
              <c:layout>
                <c:manualLayout>
                  <c:x val="3.7622272385251895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131-4294-918E-D171B9DFBE81}"/>
                </c:ext>
              </c:extLst>
            </c:dLbl>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Sheet7!$D$3:$D$20</c:f>
              <c:numCache>
                <c:formatCode>General</c:formatCode>
                <c:ptCount val="18"/>
                <c:pt idx="0" formatCode="0%">
                  <c:v>0.1111111111111111</c:v>
                </c:pt>
                <c:pt idx="14" formatCode="0%">
                  <c:v>1.0101010101010102E-2</c:v>
                </c:pt>
              </c:numCache>
            </c:numRef>
          </c:val>
          <c:extLst>
            <c:ext xmlns:c16="http://schemas.microsoft.com/office/drawing/2014/chart" uri="{C3380CC4-5D6E-409C-BE32-E72D297353CC}">
              <c16:uniqueId val="{00000003-B131-4294-918E-D171B9DFBE81}"/>
            </c:ext>
          </c:extLst>
        </c:ser>
        <c:dLbls>
          <c:dLblPos val="outEnd"/>
          <c:showLegendKey val="0"/>
          <c:showVal val="1"/>
          <c:showCatName val="0"/>
          <c:showSerName val="0"/>
          <c:showPercent val="0"/>
          <c:showBubbleSize val="0"/>
        </c:dLbls>
        <c:gapWidth val="164"/>
        <c:overlap val="-22"/>
        <c:axId val="414527168"/>
        <c:axId val="1611859616"/>
      </c:barChart>
      <c:catAx>
        <c:axId val="41452716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859616"/>
        <c:crosses val="autoZero"/>
        <c:auto val="1"/>
        <c:lblAlgn val="ctr"/>
        <c:lblOffset val="100"/>
        <c:noMultiLvlLbl val="0"/>
      </c:catAx>
      <c:valAx>
        <c:axId val="161185961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5271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Status - Organisational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lumMod val="75000"/>
                </a:schemeClr>
              </a:solidFill>
              <a:ln w="19050">
                <a:solidFill>
                  <a:schemeClr val="lt1"/>
                </a:solidFill>
              </a:ln>
              <a:effectLst/>
            </c:spPr>
            <c:extLst>
              <c:ext xmlns:c16="http://schemas.microsoft.com/office/drawing/2014/chart" uri="{C3380CC4-5D6E-409C-BE32-E72D297353CC}">
                <c16:uniqueId val="{00000001-19C3-4B7D-8DA9-2D7E858124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C3-4B7D-8DA9-2D7E858124BD}"/>
              </c:ext>
            </c:extLst>
          </c:dPt>
          <c:dLbls>
            <c:dLbl>
              <c:idx val="0"/>
              <c:tx>
                <c:rich>
                  <a:bodyPr/>
                  <a:lstStyle/>
                  <a:p>
                    <a:r>
                      <a:rPr lang="en-US"/>
                      <a:t>8%</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19C3-4B7D-8DA9-2D7E858124BD}"/>
                </c:ext>
              </c:extLst>
            </c:dLbl>
            <c:dLbl>
              <c:idx val="1"/>
              <c:layout>
                <c:manualLayout>
                  <c:x val="1.6480971128608923E-2"/>
                  <c:y val="-0.19606918926800818"/>
                </c:manualLayout>
              </c:layout>
              <c:tx>
                <c:rich>
                  <a:bodyPr/>
                  <a:lstStyle/>
                  <a:p>
                    <a:r>
                      <a:rPr lang="en-US"/>
                      <a:t>92%</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9C3-4B7D-8DA9-2D7E858124BD}"/>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'Disability organisational '!$A$1:$A$2</c:f>
              <c:strCache>
                <c:ptCount val="2"/>
                <c:pt idx="0">
                  <c:v>Disabled</c:v>
                </c:pt>
                <c:pt idx="1">
                  <c:v>Not disabled</c:v>
                </c:pt>
              </c:strCache>
            </c:strRef>
          </c:cat>
          <c:val>
            <c:numRef>
              <c:f>'Disability organisational '!$B$1:$B$2</c:f>
              <c:numCache>
                <c:formatCode>General</c:formatCode>
                <c:ptCount val="2"/>
                <c:pt idx="0">
                  <c:v>21</c:v>
                </c:pt>
                <c:pt idx="1">
                  <c:v>239</c:v>
                </c:pt>
              </c:numCache>
            </c:numRef>
          </c:val>
          <c:extLst>
            <c:ext xmlns:c16="http://schemas.microsoft.com/office/drawing/2014/chart" uri="{C3380CC4-5D6E-409C-BE32-E72D297353CC}">
              <c16:uniqueId val="{00000004-19C3-4B7D-8DA9-2D7E858124B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Disability status by Team</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23597069116360456"/>
          <c:y val="0.17171296296296296"/>
          <c:w val="0.62836264216972881"/>
          <c:h val="0.61498432487605714"/>
        </c:manualLayout>
      </c:layout>
      <c:barChart>
        <c:barDir val="bar"/>
        <c:grouping val="stacked"/>
        <c:varyColors val="0"/>
        <c:ser>
          <c:idx val="0"/>
          <c:order val="0"/>
          <c:tx>
            <c:strRef>
              <c:f>'Disability 2'!$C$4</c:f>
              <c:strCache>
                <c:ptCount val="1"/>
                <c:pt idx="0">
                  <c:v>Disabled</c:v>
                </c:pt>
              </c:strCache>
            </c:strRef>
          </c:tx>
          <c:spPr>
            <a:solidFill>
              <a:schemeClr val="accent2"/>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'Disability 2'!$B$5:$B$22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2'!$C$5:$C$22</c:f>
              <c:numCache>
                <c:formatCode>0.00%</c:formatCode>
                <c:ptCount val="18"/>
                <c:pt idx="1">
                  <c:v>0.14285714285714285</c:v>
                </c:pt>
                <c:pt idx="2">
                  <c:v>0.2</c:v>
                </c:pt>
                <c:pt idx="5">
                  <c:v>0.2</c:v>
                </c:pt>
                <c:pt idx="7">
                  <c:v>8.3333333333333329E-2</c:v>
                </c:pt>
                <c:pt idx="8">
                  <c:v>0.1111111111111111</c:v>
                </c:pt>
                <c:pt idx="9">
                  <c:v>5.2631578947368418E-2</c:v>
                </c:pt>
                <c:pt idx="10">
                  <c:v>0.22222222222222221</c:v>
                </c:pt>
                <c:pt idx="11">
                  <c:v>0.1</c:v>
                </c:pt>
                <c:pt idx="13">
                  <c:v>0.18181818181818182</c:v>
                </c:pt>
                <c:pt idx="14">
                  <c:v>5.0505050505050504E-2</c:v>
                </c:pt>
                <c:pt idx="17">
                  <c:v>9.0909090909090912E-2</c:v>
                </c:pt>
              </c:numCache>
            </c:numRef>
          </c:val>
          <c:extLst>
            <c:ext xmlns:c16="http://schemas.microsoft.com/office/drawing/2014/chart" uri="{C3380CC4-5D6E-409C-BE32-E72D297353CC}">
              <c16:uniqueId val="{00000000-B18E-4D12-9CB9-43FC8291CAC8}"/>
            </c:ext>
          </c:extLst>
        </c:ser>
        <c:ser>
          <c:idx val="1"/>
          <c:order val="1"/>
          <c:tx>
            <c:strRef>
              <c:f>'Disability 2'!$D$4</c:f>
              <c:strCache>
                <c:ptCount val="1"/>
                <c:pt idx="0">
                  <c:v>Not disabled</c:v>
                </c:pt>
              </c:strCache>
            </c:strRef>
          </c:tx>
          <c:spPr>
            <a:solidFill>
              <a:schemeClr val="accent4"/>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'Disability 2'!$B$5:$B$22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2'!$D$5:$D$22</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B18E-4D12-9CB9-43FC8291CAC8}"/>
            </c:ext>
          </c:extLst>
        </c:ser>
        <c:dLbls>
          <c:dLblPos val="ctr"/>
          <c:showLegendKey val="0"/>
          <c:showVal val="1"/>
          <c:showCatName val="0"/>
          <c:showSerName val="0"/>
          <c:showPercent val="0"/>
          <c:showBubbleSize val="0"/>
        </c:dLbls>
        <c:gapWidth val="150"/>
        <c:overlap val="100"/>
        <c:axId val="1235351344"/>
        <c:axId val="1230732736"/>
      </c:barChart>
      <c:catAx>
        <c:axId val="1235351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230732736"/>
        <c:crosses val="autoZero"/>
        <c:auto val="1"/>
        <c:lblAlgn val="ctr"/>
        <c:lblOffset val="100"/>
        <c:noMultiLvlLbl val="0"/>
      </c:catAx>
      <c:valAx>
        <c:axId val="1230732736"/>
        <c:scaling>
          <c:orientation val="minMax"/>
          <c:max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3513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1200">
                <a:latin typeface="+mn-lt"/>
              </a:rPr>
              <a:t>Average salaries - by gender and organisation wide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Salary!$A$1:$A$4</c:f>
              <c:strCache>
                <c:ptCount val="4"/>
                <c:pt idx="0">
                  <c:v>Average salary </c:v>
                </c:pt>
                <c:pt idx="1">
                  <c:v>Average Male</c:v>
                </c:pt>
                <c:pt idx="2">
                  <c:v>Average Female</c:v>
                </c:pt>
                <c:pt idx="3">
                  <c:v>Average Non Binary </c:v>
                </c:pt>
              </c:strCache>
            </c:strRef>
          </c:cat>
          <c:val>
            <c:numRef>
              <c:f>Salary!$B$1:$B$4</c:f>
              <c:numCache>
                <c:formatCode>"£"#,##0.00_);[Red]\("£"#,##0.00\)</c:formatCode>
                <c:ptCount val="4"/>
                <c:pt idx="0">
                  <c:v>31757.46</c:v>
                </c:pt>
                <c:pt idx="1">
                  <c:v>31161.857142857141</c:v>
                </c:pt>
                <c:pt idx="2">
                  <c:v>31300.127118644068</c:v>
                </c:pt>
                <c:pt idx="3">
                  <c:v>19500</c:v>
                </c:pt>
              </c:numCache>
            </c:numRef>
          </c:val>
          <c:extLst>
            <c:ext xmlns:c16="http://schemas.microsoft.com/office/drawing/2014/chart" uri="{C3380CC4-5D6E-409C-BE32-E72D297353CC}">
              <c16:uniqueId val="{00000000-1386-47D2-87D4-795B76713FB4}"/>
            </c:ext>
          </c:extLst>
        </c:ser>
        <c:dLbls>
          <c:dLblPos val="inEnd"/>
          <c:showLegendKey val="0"/>
          <c:showVal val="1"/>
          <c:showCatName val="0"/>
          <c:showSerName val="0"/>
          <c:showPercent val="0"/>
          <c:showBubbleSize val="0"/>
        </c:dLbls>
        <c:gapWidth val="269"/>
        <c:axId val="170262927"/>
        <c:axId val="158866511"/>
      </c:barChart>
      <c:catAx>
        <c:axId val="170262927"/>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8866511"/>
        <c:crosses val="autoZero"/>
        <c:auto val="1"/>
        <c:lblAlgn val="ctr"/>
        <c:lblOffset val="100"/>
        <c:noMultiLvlLbl val="0"/>
      </c:catAx>
      <c:valAx>
        <c:axId val="158866511"/>
        <c:scaling>
          <c:orientation val="minMax"/>
        </c:scaling>
        <c:delete val="1"/>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quot;£&quot;#,##0.00_);[Red]\(&quot;£&quot;#,##0.00\)" sourceLinked="1"/>
        <c:majorTickMark val="none"/>
        <c:minorTickMark val="none"/>
        <c:tickLblPos val="nextTo"/>
        <c:crossAx val="170262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Race</a:t>
            </a:r>
            <a:r>
              <a:rPr lang="en-GB" baseline="0"/>
              <a:t> - Organisational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Sheet3!$B$4:$K$4</c:f>
            </c:numRef>
          </c:val>
          <c:extLst>
            <c:ext xmlns:c16="http://schemas.microsoft.com/office/drawing/2014/chart" uri="{C3380CC4-5D6E-409C-BE32-E72D297353CC}">
              <c16:uniqueId val="{00000000-B7D0-44DA-80DB-93BED82B1BA4}"/>
            </c:ext>
          </c:extLst>
        </c:ser>
        <c:ser>
          <c:idx val="1"/>
          <c:order val="1"/>
          <c:spPr>
            <a:solidFill>
              <a:schemeClr val="accent2"/>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Sheet3!$B$5:$K$5</c:f>
            </c:numRef>
          </c:val>
          <c:extLst>
            <c:ext xmlns:c16="http://schemas.microsoft.com/office/drawing/2014/chart" uri="{C3380CC4-5D6E-409C-BE32-E72D297353CC}">
              <c16:uniqueId val="{00000001-B7D0-44DA-80DB-93BED82B1BA4}"/>
            </c:ext>
          </c:extLst>
        </c:ser>
        <c:ser>
          <c:idx val="2"/>
          <c:order val="2"/>
          <c:spPr>
            <a:solidFill>
              <a:schemeClr val="accent3"/>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Sheet3!$B$6:$K$6</c:f>
            </c:numRef>
          </c:val>
          <c:extLst>
            <c:ext xmlns:c16="http://schemas.microsoft.com/office/drawing/2014/chart" uri="{C3380CC4-5D6E-409C-BE32-E72D297353CC}">
              <c16:uniqueId val="{00000002-B7D0-44DA-80DB-93BED82B1BA4}"/>
            </c:ext>
          </c:extLst>
        </c:ser>
        <c:ser>
          <c:idx val="3"/>
          <c:order val="3"/>
          <c:spPr>
            <a:solidFill>
              <a:schemeClr val="accent4"/>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Sheet3!$B$7:$K$7</c:f>
            </c:numRef>
          </c:val>
          <c:extLst>
            <c:ext xmlns:c16="http://schemas.microsoft.com/office/drawing/2014/chart" uri="{C3380CC4-5D6E-409C-BE32-E72D297353CC}">
              <c16:uniqueId val="{00000003-B7D0-44DA-80DB-93BED82B1BA4}"/>
            </c:ext>
          </c:extLst>
        </c:ser>
        <c:ser>
          <c:idx val="4"/>
          <c:order val="4"/>
          <c:spPr>
            <a:solidFill>
              <a:schemeClr val="accent5"/>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Sheet3!$B$8:$K$8</c:f>
            </c:numRef>
          </c:val>
          <c:extLst>
            <c:ext xmlns:c16="http://schemas.microsoft.com/office/drawing/2014/chart" uri="{C3380CC4-5D6E-409C-BE32-E72D297353CC}">
              <c16:uniqueId val="{00000004-B7D0-44DA-80DB-93BED82B1BA4}"/>
            </c:ext>
          </c:extLst>
        </c:ser>
        <c:ser>
          <c:idx val="5"/>
          <c:order val="5"/>
          <c:spPr>
            <a:solidFill>
              <a:schemeClr val="accent6"/>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Sheet3!$B$9:$K$9</c:f>
            </c:numRef>
          </c:val>
          <c:extLst>
            <c:ext xmlns:c16="http://schemas.microsoft.com/office/drawing/2014/chart" uri="{C3380CC4-5D6E-409C-BE32-E72D297353CC}">
              <c16:uniqueId val="{00000005-B7D0-44DA-80DB-93BED82B1BA4}"/>
            </c:ext>
          </c:extLst>
        </c:ser>
        <c:ser>
          <c:idx val="6"/>
          <c:order val="6"/>
          <c:spPr>
            <a:solidFill>
              <a:schemeClr val="accent1">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Sheet3!$B$10:$K$10</c:f>
            </c:numRef>
          </c:val>
          <c:extLst>
            <c:ext xmlns:c16="http://schemas.microsoft.com/office/drawing/2014/chart" uri="{C3380CC4-5D6E-409C-BE32-E72D297353CC}">
              <c16:uniqueId val="{00000006-B7D0-44DA-80DB-93BED82B1BA4}"/>
            </c:ext>
          </c:extLst>
        </c:ser>
        <c:ser>
          <c:idx val="7"/>
          <c:order val="7"/>
          <c:spPr>
            <a:solidFill>
              <a:schemeClr val="accent2">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Sheet3!$B$11:$K$11</c:f>
            </c:numRef>
          </c:val>
          <c:extLst>
            <c:ext xmlns:c16="http://schemas.microsoft.com/office/drawing/2014/chart" uri="{C3380CC4-5D6E-409C-BE32-E72D297353CC}">
              <c16:uniqueId val="{00000007-B7D0-44DA-80DB-93BED82B1BA4}"/>
            </c:ext>
          </c:extLst>
        </c:ser>
        <c:ser>
          <c:idx val="8"/>
          <c:order val="8"/>
          <c:spPr>
            <a:solidFill>
              <a:schemeClr val="accent3">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Sheet3!$B$12:$K$12</c:f>
            </c:numRef>
          </c:val>
          <c:extLst>
            <c:ext xmlns:c16="http://schemas.microsoft.com/office/drawing/2014/chart" uri="{C3380CC4-5D6E-409C-BE32-E72D297353CC}">
              <c16:uniqueId val="{00000008-B7D0-44DA-80DB-93BED82B1BA4}"/>
            </c:ext>
          </c:extLst>
        </c:ser>
        <c:ser>
          <c:idx val="9"/>
          <c:order val="9"/>
          <c:spPr>
            <a:solidFill>
              <a:schemeClr val="accent4">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Sheet3!$B$13:$K$13</c:f>
            </c:numRef>
          </c:val>
          <c:extLst>
            <c:ext xmlns:c16="http://schemas.microsoft.com/office/drawing/2014/chart" uri="{C3380CC4-5D6E-409C-BE32-E72D297353CC}">
              <c16:uniqueId val="{00000009-B7D0-44DA-80DB-93BED82B1BA4}"/>
            </c:ext>
          </c:extLst>
        </c:ser>
        <c:ser>
          <c:idx val="10"/>
          <c:order val="10"/>
          <c:spPr>
            <a:solidFill>
              <a:schemeClr val="accent5">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Sheet3!$B$14:$K$14</c:f>
            </c:numRef>
          </c:val>
          <c:extLst>
            <c:ext xmlns:c16="http://schemas.microsoft.com/office/drawing/2014/chart" uri="{C3380CC4-5D6E-409C-BE32-E72D297353CC}">
              <c16:uniqueId val="{0000000A-B7D0-44DA-80DB-93BED82B1BA4}"/>
            </c:ext>
          </c:extLst>
        </c:ser>
        <c:ser>
          <c:idx val="11"/>
          <c:order val="11"/>
          <c:spPr>
            <a:solidFill>
              <a:schemeClr val="accent6">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Sheet3!$B$15:$K$15</c:f>
            </c:numRef>
          </c:val>
          <c:extLst>
            <c:ext xmlns:c16="http://schemas.microsoft.com/office/drawing/2014/chart" uri="{C3380CC4-5D6E-409C-BE32-E72D297353CC}">
              <c16:uniqueId val="{0000000B-B7D0-44DA-80DB-93BED82B1BA4}"/>
            </c:ext>
          </c:extLst>
        </c:ser>
        <c:ser>
          <c:idx val="12"/>
          <c:order val="12"/>
          <c:spPr>
            <a:solidFill>
              <a:schemeClr val="accent1">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Sheet3!$B$16:$K$16</c:f>
            </c:numRef>
          </c:val>
          <c:extLst>
            <c:ext xmlns:c16="http://schemas.microsoft.com/office/drawing/2014/chart" uri="{C3380CC4-5D6E-409C-BE32-E72D297353CC}">
              <c16:uniqueId val="{0000000C-B7D0-44DA-80DB-93BED82B1BA4}"/>
            </c:ext>
          </c:extLst>
        </c:ser>
        <c:ser>
          <c:idx val="13"/>
          <c:order val="13"/>
          <c:spPr>
            <a:solidFill>
              <a:schemeClr val="accent2">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Sheet3!$B$17:$K$17</c:f>
            </c:numRef>
          </c:val>
          <c:extLst>
            <c:ext xmlns:c16="http://schemas.microsoft.com/office/drawing/2014/chart" uri="{C3380CC4-5D6E-409C-BE32-E72D297353CC}">
              <c16:uniqueId val="{0000000D-B7D0-44DA-80DB-93BED82B1BA4}"/>
            </c:ext>
          </c:extLst>
        </c:ser>
        <c:ser>
          <c:idx val="14"/>
          <c:order val="14"/>
          <c:spPr>
            <a:solidFill>
              <a:schemeClr val="accent3">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Sheet3!$B$18:$K$18</c:f>
            </c:numRef>
          </c:val>
          <c:extLst>
            <c:ext xmlns:c16="http://schemas.microsoft.com/office/drawing/2014/chart" uri="{C3380CC4-5D6E-409C-BE32-E72D297353CC}">
              <c16:uniqueId val="{0000000E-B7D0-44DA-80DB-93BED82B1BA4}"/>
            </c:ext>
          </c:extLst>
        </c:ser>
        <c:ser>
          <c:idx val="15"/>
          <c:order val="15"/>
          <c:spPr>
            <a:solidFill>
              <a:schemeClr val="accent4">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Sheet3!$B$19:$K$19</c:f>
            </c:numRef>
          </c:val>
          <c:extLst>
            <c:ext xmlns:c16="http://schemas.microsoft.com/office/drawing/2014/chart" uri="{C3380CC4-5D6E-409C-BE32-E72D297353CC}">
              <c16:uniqueId val="{0000000F-B7D0-44DA-80DB-93BED82B1BA4}"/>
            </c:ext>
          </c:extLst>
        </c:ser>
        <c:ser>
          <c:idx val="16"/>
          <c:order val="16"/>
          <c:spPr>
            <a:solidFill>
              <a:schemeClr val="accent5">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Sheet3!$B$20:$K$20</c:f>
            </c:numRef>
          </c:val>
          <c:extLst>
            <c:ext xmlns:c16="http://schemas.microsoft.com/office/drawing/2014/chart" uri="{C3380CC4-5D6E-409C-BE32-E72D297353CC}">
              <c16:uniqueId val="{00000010-B7D0-44DA-80DB-93BED82B1BA4}"/>
            </c:ext>
          </c:extLst>
        </c:ser>
        <c:ser>
          <c:idx val="17"/>
          <c:order val="17"/>
          <c:spPr>
            <a:solidFill>
              <a:schemeClr val="accent6">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Sheet3!$B$21:$K$21</c:f>
            </c:numRef>
          </c:val>
          <c:extLst>
            <c:ext xmlns:c16="http://schemas.microsoft.com/office/drawing/2014/chart" uri="{C3380CC4-5D6E-409C-BE32-E72D297353CC}">
              <c16:uniqueId val="{00000011-B7D0-44DA-80DB-93BED82B1BA4}"/>
            </c:ext>
          </c:extLst>
        </c:ser>
        <c:ser>
          <c:idx val="18"/>
          <c:order val="18"/>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Sheet3!$B$22:$K$22</c:f>
              <c:numCache>
                <c:formatCode>General</c:formatCode>
                <c:ptCount val="10"/>
                <c:pt idx="0">
                  <c:v>1</c:v>
                </c:pt>
                <c:pt idx="1">
                  <c:v>2</c:v>
                </c:pt>
                <c:pt idx="2">
                  <c:v>2</c:v>
                </c:pt>
                <c:pt idx="3">
                  <c:v>4</c:v>
                </c:pt>
                <c:pt idx="4">
                  <c:v>1</c:v>
                </c:pt>
                <c:pt idx="5">
                  <c:v>3</c:v>
                </c:pt>
                <c:pt idx="6">
                  <c:v>3</c:v>
                </c:pt>
                <c:pt idx="7">
                  <c:v>237</c:v>
                </c:pt>
                <c:pt idx="8">
                  <c:v>2</c:v>
                </c:pt>
                <c:pt idx="9">
                  <c:v>5</c:v>
                </c:pt>
              </c:numCache>
            </c:numRef>
          </c:val>
          <c:extLst>
            <c:ext xmlns:c16="http://schemas.microsoft.com/office/drawing/2014/chart" uri="{C3380CC4-5D6E-409C-BE32-E72D297353CC}">
              <c16:uniqueId val="{00000012-B7D0-44DA-80DB-93BED82B1BA4}"/>
            </c:ext>
          </c:extLst>
        </c:ser>
        <c:dLbls>
          <c:showLegendKey val="0"/>
          <c:showVal val="0"/>
          <c:showCatName val="0"/>
          <c:showSerName val="0"/>
          <c:showPercent val="0"/>
          <c:showBubbleSize val="0"/>
        </c:dLbls>
        <c:gapWidth val="182"/>
        <c:axId val="1629123312"/>
        <c:axId val="1230801184"/>
      </c:barChart>
      <c:catAx>
        <c:axId val="16291233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1184"/>
        <c:crosses val="autoZero"/>
        <c:auto val="1"/>
        <c:lblAlgn val="ctr"/>
        <c:lblOffset val="100"/>
        <c:noMultiLvlLbl val="0"/>
      </c:catAx>
      <c:valAx>
        <c:axId val="12308011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9123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Sheet1!$B$3</c:f>
              <c:strCache>
                <c:ptCount val="1"/>
                <c:pt idx="0">
                  <c:v>Asian - Bangladesh</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Sheet1!$B$4:$B$21</c:f>
              <c:numCache>
                <c:formatCode>General</c:formatCode>
                <c:ptCount val="18"/>
                <c:pt idx="8" formatCode="0%">
                  <c:v>5.5555555555555552E-2</c:v>
                </c:pt>
              </c:numCache>
            </c:numRef>
          </c:val>
          <c:extLst>
            <c:ext xmlns:c16="http://schemas.microsoft.com/office/drawing/2014/chart" uri="{C3380CC4-5D6E-409C-BE32-E72D297353CC}">
              <c16:uniqueId val="{00000000-3707-47A3-B1C1-D1F57D5A45D2}"/>
            </c:ext>
          </c:extLst>
        </c:ser>
        <c:ser>
          <c:idx val="1"/>
          <c:order val="1"/>
          <c:tx>
            <c:strRef>
              <c:f>Sheet1!$C$3</c:f>
              <c:strCache>
                <c:ptCount val="1"/>
                <c:pt idx="0">
                  <c:v>Black - Other</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Sheet1!$C$4:$C$21</c:f>
              <c:numCache>
                <c:formatCode>General</c:formatCode>
                <c:ptCount val="18"/>
                <c:pt idx="5" formatCode="0%">
                  <c:v>0.1</c:v>
                </c:pt>
                <c:pt idx="10" formatCode="0%">
                  <c:v>0.1111111111111111</c:v>
                </c:pt>
              </c:numCache>
            </c:numRef>
          </c:val>
          <c:extLst>
            <c:ext xmlns:c16="http://schemas.microsoft.com/office/drawing/2014/chart" uri="{C3380CC4-5D6E-409C-BE32-E72D297353CC}">
              <c16:uniqueId val="{00000001-3707-47A3-B1C1-D1F57D5A45D2}"/>
            </c:ext>
          </c:extLst>
        </c:ser>
        <c:ser>
          <c:idx val="2"/>
          <c:order val="2"/>
          <c:tx>
            <c:strRef>
              <c:f>Sheet1!$D$3</c:f>
              <c:strCache>
                <c:ptCount val="1"/>
                <c:pt idx="0">
                  <c:v>Chinese</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Sheet1!$D$4:$D$21</c:f>
              <c:numCache>
                <c:formatCode>General</c:formatCode>
                <c:ptCount val="18"/>
                <c:pt idx="2" formatCode="0%">
                  <c:v>6.6666666666666666E-2</c:v>
                </c:pt>
                <c:pt idx="13" formatCode="0%">
                  <c:v>9.0909090909090912E-2</c:v>
                </c:pt>
              </c:numCache>
            </c:numRef>
          </c:val>
          <c:extLst>
            <c:ext xmlns:c16="http://schemas.microsoft.com/office/drawing/2014/chart" uri="{C3380CC4-5D6E-409C-BE32-E72D297353CC}">
              <c16:uniqueId val="{00000002-3707-47A3-B1C1-D1F57D5A45D2}"/>
            </c:ext>
          </c:extLst>
        </c:ser>
        <c:ser>
          <c:idx val="3"/>
          <c:order val="3"/>
          <c:tx>
            <c:strRef>
              <c:f>Sheet1!$E$3</c:f>
              <c:strCache>
                <c:ptCount val="1"/>
                <c:pt idx="0">
                  <c:v>Indian</c:v>
                </c:pt>
              </c:strCache>
            </c:strRef>
          </c:tx>
          <c:spPr>
            <a:solidFill>
              <a:schemeClr val="accent1">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Sheet1!$E$4:$E$21</c:f>
              <c:numCache>
                <c:formatCode>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03-3707-47A3-B1C1-D1F57D5A45D2}"/>
            </c:ext>
          </c:extLst>
        </c:ser>
        <c:ser>
          <c:idx val="4"/>
          <c:order val="4"/>
          <c:tx>
            <c:strRef>
              <c:f>Sheet1!$F$3</c:f>
              <c:strCache>
                <c:ptCount val="1"/>
                <c:pt idx="0">
                  <c:v>Mixed - Other</c:v>
                </c:pt>
              </c:strCache>
            </c:strRef>
          </c:tx>
          <c:spPr>
            <a:solidFill>
              <a:schemeClr val="accent3">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Sheet1!$F$4:$F$21</c:f>
              <c:numCache>
                <c:formatCode>0%</c:formatCode>
                <c:ptCount val="18"/>
                <c:pt idx="1">
                  <c:v>0.14285714285714285</c:v>
                </c:pt>
              </c:numCache>
            </c:numRef>
          </c:val>
          <c:extLst>
            <c:ext xmlns:c16="http://schemas.microsoft.com/office/drawing/2014/chart" uri="{C3380CC4-5D6E-409C-BE32-E72D297353CC}">
              <c16:uniqueId val="{00000004-3707-47A3-B1C1-D1F57D5A45D2}"/>
            </c:ext>
          </c:extLst>
        </c:ser>
        <c:ser>
          <c:idx val="5"/>
          <c:order val="5"/>
          <c:tx>
            <c:strRef>
              <c:f>Sheet1!$G$3</c:f>
              <c:strCache>
                <c:ptCount val="1"/>
                <c:pt idx="0">
                  <c:v>Pakistani</c:v>
                </c:pt>
              </c:strCache>
            </c:strRef>
          </c:tx>
          <c:spPr>
            <a:solidFill>
              <a:schemeClr val="accent5">
                <a:lumMod val="60000"/>
              </a:schemeClr>
            </a:solidFill>
            <a:ln>
              <a:noFill/>
            </a:ln>
            <a:effectLst/>
            <a:sp3d/>
          </c:spPr>
          <c:invertIfNegative val="0"/>
          <c:dLbls>
            <c:dLbl>
              <c:idx val="14"/>
              <c:layout>
                <c:manualLayout>
                  <c:x val="1.5287597936174279E-2"/>
                  <c:y val="-2.592016588906169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707-47A3-B1C1-D1F57D5A45D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Sheet1!$G$4:$G$21</c:f>
              <c:numCache>
                <c:formatCode>General</c:formatCode>
                <c:ptCount val="18"/>
                <c:pt idx="2" formatCode="0%">
                  <c:v>0.13333333333333333</c:v>
                </c:pt>
                <c:pt idx="14" formatCode="0%">
                  <c:v>1.0101010101010102E-2</c:v>
                </c:pt>
              </c:numCache>
            </c:numRef>
          </c:val>
          <c:extLst>
            <c:ext xmlns:c16="http://schemas.microsoft.com/office/drawing/2014/chart" uri="{C3380CC4-5D6E-409C-BE32-E72D297353CC}">
              <c16:uniqueId val="{00000006-3707-47A3-B1C1-D1F57D5A45D2}"/>
            </c:ext>
          </c:extLst>
        </c:ser>
        <c:ser>
          <c:idx val="6"/>
          <c:order val="6"/>
          <c:tx>
            <c:strRef>
              <c:f>Sheet1!$H$3</c:f>
              <c:strCache>
                <c:ptCount val="1"/>
                <c:pt idx="0">
                  <c:v>White and Black Caribbean</c:v>
                </c:pt>
              </c:strCache>
            </c:strRef>
          </c:tx>
          <c:spPr>
            <a:solidFill>
              <a:schemeClr val="accent1">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Sheet1!$H$4:$H$21</c:f>
              <c:numCache>
                <c:formatCode>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07-3707-47A3-B1C1-D1F57D5A45D2}"/>
            </c:ext>
          </c:extLst>
        </c:ser>
        <c:ser>
          <c:idx val="7"/>
          <c:order val="7"/>
          <c:tx>
            <c:strRef>
              <c:f>Sheet1!$I$3</c:f>
              <c:strCache>
                <c:ptCount val="1"/>
                <c:pt idx="0">
                  <c:v>White British</c:v>
                </c:pt>
              </c:strCache>
            </c:strRef>
          </c:tx>
          <c:spPr>
            <a:solidFill>
              <a:schemeClr val="accent3">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Sheet1!$I$4:$I$21</c:f>
              <c:numCache>
                <c:formatCode>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8-3707-47A3-B1C1-D1F57D5A45D2}"/>
            </c:ext>
          </c:extLst>
        </c:ser>
        <c:ser>
          <c:idx val="8"/>
          <c:order val="8"/>
          <c:tx>
            <c:strRef>
              <c:f>Sheet1!$J$3</c:f>
              <c:strCache>
                <c:ptCount val="1"/>
                <c:pt idx="0">
                  <c:v>White Irish</c:v>
                </c:pt>
              </c:strCache>
            </c:strRef>
          </c:tx>
          <c:spPr>
            <a:solidFill>
              <a:schemeClr val="accent5">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Sheet1!$J$4:$J$21</c:f>
              <c:numCache>
                <c:formatCode>General</c:formatCode>
                <c:ptCount val="18"/>
                <c:pt idx="0" formatCode="0%">
                  <c:v>0.1111111111111111</c:v>
                </c:pt>
                <c:pt idx="9" formatCode="0%">
                  <c:v>5.2631578947368418E-2</c:v>
                </c:pt>
              </c:numCache>
            </c:numRef>
          </c:val>
          <c:extLst>
            <c:ext xmlns:c16="http://schemas.microsoft.com/office/drawing/2014/chart" uri="{C3380CC4-5D6E-409C-BE32-E72D297353CC}">
              <c16:uniqueId val="{00000009-3707-47A3-B1C1-D1F57D5A45D2}"/>
            </c:ext>
          </c:extLst>
        </c:ser>
        <c:ser>
          <c:idx val="9"/>
          <c:order val="9"/>
          <c:tx>
            <c:strRef>
              <c:f>Sheet1!$K$3</c:f>
              <c:strCache>
                <c:ptCount val="1"/>
                <c:pt idx="0">
                  <c:v>White Other</c:v>
                </c:pt>
              </c:strCache>
            </c:strRef>
          </c:tx>
          <c:spPr>
            <a:solidFill>
              <a:schemeClr val="accent1">
                <a:lumMod val="8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Sheet1!$K$4:$K$21</c:f>
              <c:numCache>
                <c:formatCode>General</c:formatCode>
                <c:ptCount val="18"/>
                <c:pt idx="0" formatCode="0%">
                  <c:v>0.1111111111111111</c:v>
                </c:pt>
                <c:pt idx="7" formatCode="0%">
                  <c:v>8.3333333333333329E-2</c:v>
                </c:pt>
                <c:pt idx="9" formatCode="0%">
                  <c:v>5.2631578947368418E-2</c:v>
                </c:pt>
                <c:pt idx="17" formatCode="0%">
                  <c:v>0.18181818181818182</c:v>
                </c:pt>
              </c:numCache>
            </c:numRef>
          </c:val>
          <c:extLst>
            <c:ext xmlns:c16="http://schemas.microsoft.com/office/drawing/2014/chart" uri="{C3380CC4-5D6E-409C-BE32-E72D297353CC}">
              <c16:uniqueId val="{0000000A-3707-47A3-B1C1-D1F57D5A45D2}"/>
            </c:ext>
          </c:extLst>
        </c:ser>
        <c:dLbls>
          <c:showLegendKey val="0"/>
          <c:showVal val="1"/>
          <c:showCatName val="0"/>
          <c:showSerName val="0"/>
          <c:showPercent val="0"/>
          <c:showBubbleSize val="0"/>
        </c:dLbls>
        <c:gapWidth val="150"/>
        <c:shape val="box"/>
        <c:axId val="330432832"/>
        <c:axId val="135872896"/>
        <c:axId val="0"/>
      </c:bar3DChart>
      <c:catAx>
        <c:axId val="33043283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872896"/>
        <c:crosses val="autoZero"/>
        <c:auto val="1"/>
        <c:lblAlgn val="ctr"/>
        <c:lblOffset val="100"/>
        <c:noMultiLvlLbl val="0"/>
      </c:catAx>
      <c:valAx>
        <c:axId val="135872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32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Survey Results on Hybrid Working Practices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3"/>
          <c:order val="3"/>
          <c:tx>
            <c:strRef>
              <c:f>'[Data 2.xlsx]Sheet2'!$E$1</c:f>
              <c:strCache>
                <c:ptCount val="1"/>
                <c:pt idx="0">
                  <c:v>1</c:v>
                </c:pt>
              </c:strCache>
            </c:strRef>
          </c:tx>
          <c:spPr>
            <a:solidFill>
              <a:schemeClr val="accent4"/>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[1]Sheet2!$E$2:$E$15</c:f>
            </c:numRef>
          </c:val>
          <c:extLst>
            <c:ext xmlns:c16="http://schemas.microsoft.com/office/drawing/2014/chart" uri="{C3380CC4-5D6E-409C-BE32-E72D297353CC}">
              <c16:uniqueId val="{00000000-F9D8-480C-9576-18C486BFFC99}"/>
            </c:ext>
          </c:extLst>
        </c:ser>
        <c:ser>
          <c:idx val="4"/>
          <c:order val="4"/>
          <c:tx>
            <c:strRef>
              <c:f>'[Data 2.xlsx]Sheet2'!$F$1</c:f>
              <c:strCache>
                <c:ptCount val="1"/>
                <c:pt idx="0">
                  <c:v>2</c:v>
                </c:pt>
              </c:strCache>
            </c:strRef>
          </c:tx>
          <c:spPr>
            <a:solidFill>
              <a:schemeClr val="accent5"/>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[1]Sheet2!$F$2:$F$15</c:f>
            </c:numRef>
          </c:val>
          <c:extLst>
            <c:ext xmlns:c16="http://schemas.microsoft.com/office/drawing/2014/chart" uri="{C3380CC4-5D6E-409C-BE32-E72D297353CC}">
              <c16:uniqueId val="{00000001-F9D8-480C-9576-18C486BFFC99}"/>
            </c:ext>
          </c:extLst>
        </c:ser>
        <c:ser>
          <c:idx val="5"/>
          <c:order val="5"/>
          <c:tx>
            <c:strRef>
              <c:f>'[Data 2.xlsx]Sheet2'!$G$1</c:f>
              <c:strCache>
                <c:ptCount val="1"/>
                <c:pt idx="0">
                  <c:v>3</c:v>
                </c:pt>
              </c:strCache>
            </c:strRef>
          </c:tx>
          <c:spPr>
            <a:solidFill>
              <a:schemeClr val="accent6"/>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[1]Sheet2!$G$2:$G$15</c:f>
            </c:numRef>
          </c:val>
          <c:extLst>
            <c:ext xmlns:c16="http://schemas.microsoft.com/office/drawing/2014/chart" uri="{C3380CC4-5D6E-409C-BE32-E72D297353CC}">
              <c16:uniqueId val="{00000002-F9D8-480C-9576-18C486BFFC99}"/>
            </c:ext>
          </c:extLst>
        </c:ser>
        <c:ser>
          <c:idx val="6"/>
          <c:order val="6"/>
          <c:tx>
            <c:strRef>
              <c:f>'[Data 2.xlsx]Sheet2'!$H$1</c:f>
              <c:strCache>
                <c:ptCount val="1"/>
                <c:pt idx="0">
                  <c:v>4</c:v>
                </c:pt>
              </c:strCache>
            </c:strRef>
          </c:tx>
          <c:spPr>
            <a:solidFill>
              <a:schemeClr val="accent1">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[1]Sheet2!$H$2:$H$15</c:f>
            </c:numRef>
          </c:val>
          <c:extLst>
            <c:ext xmlns:c16="http://schemas.microsoft.com/office/drawing/2014/chart" uri="{C3380CC4-5D6E-409C-BE32-E72D297353CC}">
              <c16:uniqueId val="{00000003-F9D8-480C-9576-18C486BFFC99}"/>
            </c:ext>
          </c:extLst>
        </c:ser>
        <c:ser>
          <c:idx val="7"/>
          <c:order val="7"/>
          <c:tx>
            <c:strRef>
              <c:f>'[Data 2.xlsx]Sheet2'!$I$1</c:f>
              <c:strCache>
                <c:ptCount val="1"/>
                <c:pt idx="0">
                  <c:v>5</c:v>
                </c:pt>
              </c:strCache>
            </c:strRef>
          </c:tx>
          <c:spPr>
            <a:solidFill>
              <a:schemeClr val="accent2">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[1]Sheet2!$I$2:$I$15</c:f>
            </c:numRef>
          </c:val>
          <c:extLst>
            <c:ext xmlns:c16="http://schemas.microsoft.com/office/drawing/2014/chart" uri="{C3380CC4-5D6E-409C-BE32-E72D297353CC}">
              <c16:uniqueId val="{00000004-F9D8-480C-9576-18C486BFFC99}"/>
            </c:ext>
          </c:extLst>
        </c:ser>
        <c:ser>
          <c:idx val="8"/>
          <c:order val="8"/>
          <c:tx>
            <c:strRef>
              <c:f>'[Data 2.xlsx]Sheet2'!$J$1</c:f>
              <c:strCache>
                <c:ptCount val="1"/>
                <c:pt idx="0">
                  <c:v>Agree</c:v>
                </c:pt>
              </c:strCache>
            </c:strRef>
          </c:tx>
          <c:spPr>
            <a:solidFill>
              <a:schemeClr val="accent3">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[1]Sheet2!$J$2:$J$15</c:f>
            </c:numRef>
          </c:val>
          <c:extLst>
            <c:ext xmlns:c16="http://schemas.microsoft.com/office/drawing/2014/chart" uri="{C3380CC4-5D6E-409C-BE32-E72D297353CC}">
              <c16:uniqueId val="{00000005-F9D8-480C-9576-18C486BFFC99}"/>
            </c:ext>
          </c:extLst>
        </c:ser>
        <c:ser>
          <c:idx val="9"/>
          <c:order val="9"/>
          <c:tx>
            <c:strRef>
              <c:f>'[Data 2.xlsx]Sheet2'!$K$1</c:f>
              <c:strCache>
                <c:ptCount val="1"/>
                <c:pt idx="0">
                  <c:v>Not sure</c:v>
                </c:pt>
              </c:strCache>
            </c:strRef>
          </c:tx>
          <c:spPr>
            <a:solidFill>
              <a:schemeClr val="accent4">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[1]Sheet2!$K$2:$K$15</c:f>
            </c:numRef>
          </c:val>
          <c:extLst>
            <c:ext xmlns:c16="http://schemas.microsoft.com/office/drawing/2014/chart" uri="{C3380CC4-5D6E-409C-BE32-E72D297353CC}">
              <c16:uniqueId val="{00000006-F9D8-480C-9576-18C486BFFC99}"/>
            </c:ext>
          </c:extLst>
        </c:ser>
        <c:ser>
          <c:idx val="10"/>
          <c:order val="10"/>
          <c:tx>
            <c:strRef>
              <c:f>'[Data 2.xlsx]Sheet2'!$L$1</c:f>
              <c:strCache>
                <c:ptCount val="1"/>
                <c:pt idx="0">
                  <c:v>Disagree</c:v>
                </c:pt>
              </c:strCache>
            </c:strRef>
          </c:tx>
          <c:spPr>
            <a:solidFill>
              <a:schemeClr val="accent5">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[1]Sheet2!$L$2:$L$15</c:f>
            </c:numRef>
          </c:val>
          <c:extLst>
            <c:ext xmlns:c16="http://schemas.microsoft.com/office/drawing/2014/chart" uri="{C3380CC4-5D6E-409C-BE32-E72D297353CC}">
              <c16:uniqueId val="{00000007-F9D8-480C-9576-18C486BFFC99}"/>
            </c:ext>
          </c:extLst>
        </c:ser>
        <c:ser>
          <c:idx val="11"/>
          <c:order val="11"/>
          <c:tx>
            <c:strRef>
              <c:f>'[Data 2.xlsx]Sheet2'!$M$1</c:f>
              <c:strCache>
                <c:ptCount val="1"/>
                <c:pt idx="0">
                  <c:v>Total</c:v>
                </c:pt>
              </c:strCache>
            </c:strRef>
          </c:tx>
          <c:spPr>
            <a:solidFill>
              <a:schemeClr val="accent6">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[1]Sheet2!$M$2:$M$15</c:f>
            </c:numRef>
          </c:val>
          <c:extLst>
            <c:ext xmlns:c16="http://schemas.microsoft.com/office/drawing/2014/chart" uri="{C3380CC4-5D6E-409C-BE32-E72D297353CC}">
              <c16:uniqueId val="{00000008-F9D8-480C-9576-18C486BFFC99}"/>
            </c:ext>
          </c:extLst>
        </c:ser>
        <c:ser>
          <c:idx val="12"/>
          <c:order val="12"/>
          <c:tx>
            <c:strRef>
              <c:f>'[Data 2.xlsx]Sheet2'!$N$1</c:f>
              <c:strCache>
                <c:ptCount val="1"/>
                <c:pt idx="0">
                  <c:v>Agree</c:v>
                </c:pt>
              </c:strCache>
            </c:strRef>
          </c:tx>
          <c:spPr>
            <a:solidFill>
              <a:schemeClr val="accent1">
                <a:lumMod val="80000"/>
                <a:lumOff val="20000"/>
              </a:schemeClr>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[1]Sheet2!$N$2:$N$15</c:f>
              <c:numCache>
                <c:formatCode>0.00%</c:formatCode>
                <c:ptCount val="14"/>
                <c:pt idx="0">
                  <c:v>0.56333333333333335</c:v>
                </c:pt>
                <c:pt idx="1">
                  <c:v>0.82333333333333336</c:v>
                </c:pt>
                <c:pt idx="2">
                  <c:v>7.0000000000000007E-2</c:v>
                </c:pt>
                <c:pt idx="3">
                  <c:v>0.14000000000000001</c:v>
                </c:pt>
                <c:pt idx="4">
                  <c:v>0.24333333333333335</c:v>
                </c:pt>
                <c:pt idx="5">
                  <c:v>0.64333333333333331</c:v>
                </c:pt>
                <c:pt idx="6">
                  <c:v>0.49333333333333335</c:v>
                </c:pt>
                <c:pt idx="7">
                  <c:v>0.38666666666666666</c:v>
                </c:pt>
                <c:pt idx="8">
                  <c:v>0.62</c:v>
                </c:pt>
                <c:pt idx="9">
                  <c:v>0.33666666666666667</c:v>
                </c:pt>
                <c:pt idx="10">
                  <c:v>0.49</c:v>
                </c:pt>
                <c:pt idx="11">
                  <c:v>0.59</c:v>
                </c:pt>
                <c:pt idx="12">
                  <c:v>0.15</c:v>
                </c:pt>
                <c:pt idx="13">
                  <c:v>0.46333333333333332</c:v>
                </c:pt>
              </c:numCache>
            </c:numRef>
          </c:val>
          <c:extLst>
            <c:ext xmlns:c16="http://schemas.microsoft.com/office/drawing/2014/chart" uri="{C3380CC4-5D6E-409C-BE32-E72D297353CC}">
              <c16:uniqueId val="{00000009-F9D8-480C-9576-18C486BFFC99}"/>
            </c:ext>
          </c:extLst>
        </c:ser>
        <c:ser>
          <c:idx val="13"/>
          <c:order val="13"/>
          <c:tx>
            <c:strRef>
              <c:f>'[Data 2.xlsx]Sheet2'!$O$1</c:f>
              <c:strCache>
                <c:ptCount val="1"/>
                <c:pt idx="0">
                  <c:v>Not sure</c:v>
                </c:pt>
              </c:strCache>
            </c:strRef>
          </c:tx>
          <c:spPr>
            <a:solidFill>
              <a:schemeClr val="accent2">
                <a:lumMod val="80000"/>
                <a:lumOff val="20000"/>
              </a:schemeClr>
            </a:solidFill>
            <a:ln>
              <a:noFill/>
            </a:ln>
            <a:effectLst/>
          </c:spPr>
          <c:invertIfNegative val="0"/>
          <c:dLbls>
            <c:dLbl>
              <c:idx val="12"/>
              <c:delete val="1"/>
              <c:extLst>
                <c:ext xmlns:c15="http://schemas.microsoft.com/office/drawing/2012/chart" uri="{CE6537A1-D6FC-4f65-9D91-7224C49458BB}"/>
                <c:ext xmlns:c16="http://schemas.microsoft.com/office/drawing/2014/chart" uri="{C3380CC4-5D6E-409C-BE32-E72D297353CC}">
                  <c16:uniqueId val="{0000000A-F9D8-480C-9576-18C486BFFC9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[1]Sheet2!$O$2:$O$15</c:f>
              <c:numCache>
                <c:formatCode>0.00%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B-F9D8-480C-9576-18C486BFFC99}"/>
            </c:ext>
          </c:extLst>
        </c:ser>
        <c:ser>
          <c:idx val="14"/>
          <c:order val="14"/>
          <c:tx>
            <c:strRef>
              <c:f>'[Data 2.xlsx]Sheet2'!$P$1</c:f>
              <c:strCache>
                <c:ptCount val="1"/>
                <c:pt idx="0">
                  <c:v>Disagree</c:v>
                </c:pt>
              </c:strCache>
            </c:strRef>
          </c:tx>
          <c:spPr>
            <a:solidFill>
              <a:schemeClr val="accent3">
                <a:lumMod val="80000"/>
                <a:lumOff val="20000"/>
              </a:schemeClr>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[1]Sheet2!$P$2:$P$15</c:f>
              <c:numCache>
                <c:formatCode>0.00%</c:formatCode>
                <c:ptCount val="14"/>
                <c:pt idx="0">
                  <c:v>0.37333333333333335</c:v>
                </c:pt>
                <c:pt idx="1">
                  <c:v>0.14000000000000001</c:v>
                </c:pt>
                <c:pt idx="2">
                  <c:v>0.83</c:v>
                </c:pt>
                <c:pt idx="3">
                  <c:v>0.8</c:v>
                </c:pt>
                <c:pt idx="4">
                  <c:v>0.42</c:v>
                </c:pt>
                <c:pt idx="5">
                  <c:v>0.28000000000000003</c:v>
                </c:pt>
                <c:pt idx="6">
                  <c:v>0.49</c:v>
                </c:pt>
                <c:pt idx="7">
                  <c:v>0.59666666666666668</c:v>
                </c:pt>
                <c:pt idx="8">
                  <c:v>0.37</c:v>
                </c:pt>
                <c:pt idx="9">
                  <c:v>0.66333333333333333</c:v>
                </c:pt>
                <c:pt idx="10">
                  <c:v>0.49</c:v>
                </c:pt>
                <c:pt idx="11">
                  <c:v>0.38666666666666666</c:v>
                </c:pt>
                <c:pt idx="12">
                  <c:v>0.85</c:v>
                </c:pt>
                <c:pt idx="13">
                  <c:v>0.53</c:v>
                </c:pt>
              </c:numCache>
            </c:numRef>
          </c:val>
          <c:extLst>
            <c:ext xmlns:c16="http://schemas.microsoft.com/office/drawing/2014/chart" uri="{C3380CC4-5D6E-409C-BE32-E72D297353CC}">
              <c16:uniqueId val="{0000000C-F9D8-480C-9576-18C486BFFC99}"/>
            </c:ext>
          </c:extLst>
        </c:ser>
        <c:dLbls>
          <c:showLegendKey val="0"/>
          <c:showVal val="0"/>
          <c:showCatName val="0"/>
          <c:showSerName val="0"/>
          <c:showPercent val="0"/>
          <c:showBubbleSize val="0"/>
        </c:dLbls>
        <c:gapWidth val="150"/>
        <c:overlap val="100"/>
        <c:axId val="344395104"/>
        <c:axId val="1230788784"/>
        <c:extLst>
          <c:ext xmlns:c15="http://schemas.microsoft.com/office/drawing/2012/chart" uri="{02D57815-91ED-43cb-92C2-25804820EDAC}">
            <c15:filteredBarSeries>
              <c15:ser>
                <c:idx val="0"/>
                <c:order val="0"/>
                <c:tx>
                  <c:strRef>
                    <c:extLst>
                      <c:ext uri="{02D57815-91ED-43cb-92C2-25804820EDAC}">
                        <c15:formulaRef>
                          <c15:sqref>'[Data 2.xlsx]Sheet2'!$B$1</c15:sqref>
                        </c15:formulaRef>
                      </c:ext>
                    </c:extLst>
                    <c:strCache>
                      <c:ptCount val="1"/>
                    </c:strCache>
                  </c:strRef>
                </c:tx>
                <c:spPr>
                  <a:solidFill>
                    <a:schemeClr val="accent1"/>
                  </a:solidFill>
                  <a:ln>
                    <a:noFill/>
                  </a:ln>
                  <a:effectLst/>
                </c:spPr>
                <c:invertIfNegative val="0"/>
                <c:cat>
                  <c:strRef>
                    <c:extLst>
                      <c:ex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c:ext uri="{02D57815-91ED-43cb-92C2-25804820EDAC}">
                        <c15:formulaRef>
                          <c15:sqref>[1]Sheet2!$B$2:$B$15</c15:sqref>
                        </c15:formulaRef>
                      </c:ext>
                    </c:extLst>
                    <c:numCache>
                      <c:formatCode>General</c:formatCode>
                      <c:ptCount val="14"/>
                    </c:numCache>
                  </c:numRef>
                </c:val>
                <c:extLst>
                  <c:ext xmlns:c16="http://schemas.microsoft.com/office/drawing/2014/chart" uri="{C3380CC4-5D6E-409C-BE32-E72D297353CC}">
                    <c16:uniqueId val="{0000000D-F9D8-480C-9576-18C486BFFC99}"/>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'[Data 2.xlsx]Sheet2'!$C$1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[1]Sheet2!$C$2:$C$15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E-F9D8-480C-9576-18C486BFFC9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'[Data 2.xlsx]Sheet2'!$D$1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[1]Sheet2!$D$2:$D$15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F-F9D8-480C-9576-18C486BFFC99}"/>
                  </c:ext>
                </c:extLst>
              </c15:ser>
            </c15:filteredBarSeries>
          </c:ext>
        </c:extLst>
      </c:barChart>
      <c:catAx>
        <c:axId val="344395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788784"/>
        <c:crosses val="autoZero"/>
        <c:auto val="1"/>
        <c:lblAlgn val="ctr"/>
        <c:lblOffset val="100"/>
        <c:noMultiLvlLbl val="0"/>
      </c:catAx>
      <c:valAx>
        <c:axId val="1230788784"/>
        <c:scaling>
          <c:orientation val="minMax"/>
          <c:max val="1"/>
        </c:scaling>
        <c:delete val="1"/>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344395104"/>
        <c:crosses val="autoZero"/>
        <c:crossBetween val="between"/>
        <c:majorUnit val="0.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Elemental">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Arial"/>
        <a:ea typeface=""/>
        <a:cs typeface=""/>
      </a:majorFont>
      <a:minorFont>
        <a:latin typeface="Arial"/>
        <a:ea typeface=""/>
        <a:cs typeface=""/>
      </a:minorFont>
    </a:fontScheme>
    <a:fmtScheme name="Elemental">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glow" dir="tl">
              <a:rot lat="0" lon="0" rev="19800000"/>
            </a:lightRig>
          </a:scene3d>
          <a:sp3d prstMaterial="metal">
            <a:bevelT w="38100" h="3810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50800" h="50800"/>
          </a:sp3d>
        </a:effectStyle>
      </a:effectStyleLst>
      <a:bgFillStyleLst>
        <a:solidFill>
          <a:schemeClr val="phClr"/>
        </a:solidFill>
        <a:gradFill rotWithShape="1">
          <a:gsLst>
            <a:gs pos="0">
              <a:schemeClr val="phClr">
                <a:tint val="95000"/>
              </a:schemeClr>
            </a:gs>
            <a:gs pos="100000">
              <a:schemeClr val="phClr">
                <a:shade val="40000"/>
                <a:satMod val="180000"/>
              </a:schemeClr>
            </a:gs>
          </a:gsLst>
          <a:lin ang="5400000" scaled="0"/>
        </a:gradFill>
        <a:blipFill>
          <a:blip xmlns:r="http://schemas.openxmlformats.org/officeDocument/2006/relationships" r:embed="rId1">
            <a:duotone>
              <a:schemeClr val="phClr">
                <a:shade val="14000"/>
                <a:satMod val="280000"/>
              </a:schemeClr>
              <a:schemeClr val="phClr">
                <a:tint val="60000"/>
                <a:satMod val="1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E38A4216C94804BAD91942FAB6E0464" ma:contentTypeVersion="5" ma:contentTypeDescription="Create a new document." ma:contentTypeScope="" ma:versionID="2b7ec8555cce6ef9255d4536df5d62e6">
  <xsd:schema xmlns:xsd="http://www.w3.org/2001/XMLSchema" xmlns:xs="http://www.w3.org/2001/XMLSchema" xmlns:p="http://schemas.microsoft.com/office/2006/metadata/properties" xmlns:ns2="e25b2faf-a167-42a5-94ec-fc42d259d5f0" targetNamespace="http://schemas.microsoft.com/office/2006/metadata/properties" ma:root="true" ma:fieldsID="1ffe3168cc391a711e09dc1e466937b3" ns2:_="">
    <xsd:import namespace="e25b2faf-a167-42a5-94ec-fc42d259d5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b2faf-a167-42a5-94ec-fc42d259d5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045540-D0ED-4943-B482-D55DCA2D2CF0}">
  <ds:schemaRefs>
    <ds:schemaRef ds:uri="http://schemas.microsoft.com/sharepoint/v3/contenttype/forms"/>
  </ds:schemaRefs>
</ds:datastoreItem>
</file>

<file path=customXml/itemProps2.xml><?xml version="1.0" encoding="utf-8"?>
<ds:datastoreItem xmlns:ds="http://schemas.openxmlformats.org/officeDocument/2006/customXml" ds:itemID="{21ED2DFD-AF08-49EC-B05B-A04AE925573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E004916-2940-49DC-9680-F178971530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b2faf-a167-42a5-94ec-fc42d259d5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5CB57A-ADFB-4E35-B9F2-7DBA30A4A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07.6 - Internal Audit Short Report Template - Portrait</Template>
  <TotalTime>263</TotalTime>
  <Pages>17</Pages>
  <Words>5468</Words>
  <Characters>31169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V2C</Company>
  <LinksUpToDate>false</LinksUpToDate>
  <CharactersWithSpaces>36564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91</cp:revision>
  <cp:lastPrinted>2012-11-21T16:59:00Z</cp:lastPrinted>
  <dcterms:created xsi:type="dcterms:W3CDTF">2023-11-29T13:33:00Z</dcterms:created>
  <dcterms:modified xsi:type="dcterms:W3CDTF">2023-12-02T21:04:00Z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0x0101005E38A4216C94804BAD91942FAB6E0464</vt:lpwstr>
  </property>
</Properties>
</file>