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inorHAnsi" w:hAnsi="Times New Roman"/>
          <w:color w:val="4472C4" w:themeColor="accent1"/>
          <w:kern w:val="2"/>
          <w:sz w:val="24"/>
          <w:lang w:val="en-GB"/>
          <w14:ligatures w14:val="standardContextual"/>
        </w:rPr>
        <w:id w:val="1651628486"/>
        <w:docPartObj>
          <w:docPartGallery w:val="Cover Pages"/>
          <w:docPartUnique/>
        </w:docPartObj>
      </w:sdtPr>
      <w:sdtEndPr>
        <w:rPr>
          <w:color w:val="auto"/>
        </w:rPr>
      </w:sdtEndPr>
      <w:sdtContent>
        <w:p w14:paraId="3DD64F5A" w14:textId="0FEDCF5D" w:rsidR="00781394" w:rsidRDefault="00781394">
          <w:pPr>
            <w:pStyle w:val="NoSpacing"/>
            <w:spacing w:before="1540" w:after="240"/>
            <w:jc w:val="center"/>
            <w:rPr>
              <w:color w:val="4472C4" w:themeColor="accent1"/>
            </w:rPr>
          </w:pPr>
          <w:r>
            <w:rPr>
              <w:noProof/>
              <w:color w:val="4472C4" w:themeColor="accent1"/>
            </w:rPr>
            <w:drawing>
              <wp:inline distT="0" distB="0" distL="0" distR="0" wp14:anchorId="31B792D1" wp14:editId="6A88255A">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4472C4" w:themeColor="accent1"/>
              <w:sz w:val="96"/>
              <w:szCs w:val="96"/>
            </w:rPr>
            <w:alias w:val="Title"/>
            <w:tag w:val=""/>
            <w:id w:val="1735040861"/>
            <w:placeholder>
              <w:docPart w:val="1A761020A14B4AF6A04672DDD27105A8"/>
            </w:placeholder>
            <w:dataBinding w:prefixMappings="xmlns:ns0='http://purl.org/dc/elements/1.1/' xmlns:ns1='http://schemas.openxmlformats.org/package/2006/metadata/core-properties' " w:xpath="/ns1:coreProperties[1]/ns0:title[1]" w:storeItemID="{6C3C8BC8-F283-45AE-878A-BAB7291924A1}"/>
            <w:text/>
          </w:sdtPr>
          <w:sdtContent>
            <w:p w14:paraId="61AEF7A0" w14:textId="264117AC" w:rsidR="00781394" w:rsidRPr="00781394" w:rsidRDefault="00781394">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color w:val="4472C4" w:themeColor="accent1"/>
                  <w:sz w:val="96"/>
                  <w:szCs w:val="96"/>
                </w:rPr>
              </w:pPr>
              <w:r w:rsidRPr="00781394">
                <w:rPr>
                  <w:rFonts w:ascii="Times New Roman" w:eastAsiaTheme="majorEastAsia" w:hAnsi="Times New Roman" w:cs="Times New Roman"/>
                  <w:caps/>
                  <w:color w:val="4472C4" w:themeColor="accent1"/>
                  <w:sz w:val="96"/>
                  <w:szCs w:val="96"/>
                </w:rPr>
                <w:t>Leaders in a Global Business</w:t>
              </w:r>
            </w:p>
          </w:sdtContent>
        </w:sdt>
        <w:p w14:paraId="18C75293" w14:textId="565C827B" w:rsidR="00781394" w:rsidRDefault="00781394">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40DEE34" wp14:editId="2577E1B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7-21T00:00:00Z">
                                    <w:dateFormat w:val="MMMM d, yyyy"/>
                                    <w:lid w:val="en-US"/>
                                    <w:storeMappedDataAs w:val="dateTime"/>
                                    <w:calendar w:val="gregorian"/>
                                  </w:date>
                                </w:sdtPr>
                                <w:sdtContent>
                                  <w:p w14:paraId="0DF09D67" w14:textId="64F0BBE3" w:rsidR="00781394" w:rsidRPr="00781394" w:rsidRDefault="00781394">
                                    <w:pPr>
                                      <w:pStyle w:val="NoSpacing"/>
                                      <w:spacing w:after="40"/>
                                      <w:jc w:val="center"/>
                                      <w:rPr>
                                        <w:rFonts w:ascii="Times New Roman" w:hAnsi="Times New Roman" w:cs="Times New Roman"/>
                                        <w:caps/>
                                        <w:color w:val="4472C4" w:themeColor="accent1"/>
                                        <w:sz w:val="28"/>
                                        <w:szCs w:val="28"/>
                                      </w:rPr>
                                    </w:pPr>
                                    <w:r w:rsidRPr="00781394">
                                      <w:rPr>
                                        <w:rFonts w:ascii="Times New Roman" w:hAnsi="Times New Roman" w:cs="Times New Roman"/>
                                        <w:caps/>
                                        <w:color w:val="4472C4" w:themeColor="accent1"/>
                                        <w:sz w:val="28"/>
                                        <w:szCs w:val="28"/>
                                      </w:rPr>
                                      <w:t>July 21, 2025</w:t>
                                    </w:r>
                                  </w:p>
                                </w:sdtContent>
                              </w:sdt>
                              <w:p w14:paraId="5DD6F8DE" w14:textId="340CE56A" w:rsidR="00781394" w:rsidRPr="00781394" w:rsidRDefault="00000000" w:rsidP="00781394">
                                <w:pPr>
                                  <w:pStyle w:val="NoSpacing"/>
                                  <w:jc w:val="center"/>
                                  <w:rPr>
                                    <w:rFonts w:ascii="Times New Roman" w:hAnsi="Times New Roman" w:cs="Times New Roman"/>
                                    <w:color w:val="4472C4" w:themeColor="accent1"/>
                                    <w:sz w:val="28"/>
                                    <w:szCs w:val="28"/>
                                  </w:rPr>
                                </w:pPr>
                                <w:sdt>
                                  <w:sdtPr>
                                    <w:rPr>
                                      <w:rFonts w:ascii="Times New Roman" w:hAnsi="Times New Roman" w:cs="Times New Roman"/>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00781394" w:rsidRPr="00781394">
                                      <w:rPr>
                                        <w:rFonts w:ascii="Times New Roman" w:hAnsi="Times New Roman" w:cs="Times New Roman"/>
                                        <w:caps/>
                                        <w:color w:val="4472C4" w:themeColor="accent1"/>
                                        <w:sz w:val="28"/>
                                        <w:szCs w:val="28"/>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40DEE34"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Times New Roman" w:hAnsi="Times New Roman" w:cs="Times New Roman"/>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7-21T00:00:00Z">
                              <w:dateFormat w:val="MMMM d, yyyy"/>
                              <w:lid w:val="en-US"/>
                              <w:storeMappedDataAs w:val="dateTime"/>
                              <w:calendar w:val="gregorian"/>
                            </w:date>
                          </w:sdtPr>
                          <w:sdtContent>
                            <w:p w14:paraId="0DF09D67" w14:textId="64F0BBE3" w:rsidR="00781394" w:rsidRPr="00781394" w:rsidRDefault="00781394">
                              <w:pPr>
                                <w:pStyle w:val="NoSpacing"/>
                                <w:spacing w:after="40"/>
                                <w:jc w:val="center"/>
                                <w:rPr>
                                  <w:rFonts w:ascii="Times New Roman" w:hAnsi="Times New Roman" w:cs="Times New Roman"/>
                                  <w:caps/>
                                  <w:color w:val="4472C4" w:themeColor="accent1"/>
                                  <w:sz w:val="28"/>
                                  <w:szCs w:val="28"/>
                                </w:rPr>
                              </w:pPr>
                              <w:r w:rsidRPr="00781394">
                                <w:rPr>
                                  <w:rFonts w:ascii="Times New Roman" w:hAnsi="Times New Roman" w:cs="Times New Roman"/>
                                  <w:caps/>
                                  <w:color w:val="4472C4" w:themeColor="accent1"/>
                                  <w:sz w:val="28"/>
                                  <w:szCs w:val="28"/>
                                </w:rPr>
                                <w:t>July 21, 2025</w:t>
                              </w:r>
                            </w:p>
                          </w:sdtContent>
                        </w:sdt>
                        <w:p w14:paraId="5DD6F8DE" w14:textId="340CE56A" w:rsidR="00781394" w:rsidRPr="00781394" w:rsidRDefault="00000000" w:rsidP="00781394">
                          <w:pPr>
                            <w:pStyle w:val="NoSpacing"/>
                            <w:jc w:val="center"/>
                            <w:rPr>
                              <w:rFonts w:ascii="Times New Roman" w:hAnsi="Times New Roman" w:cs="Times New Roman"/>
                              <w:color w:val="4472C4" w:themeColor="accent1"/>
                              <w:sz w:val="28"/>
                              <w:szCs w:val="28"/>
                            </w:rPr>
                          </w:pPr>
                          <w:sdt>
                            <w:sdtPr>
                              <w:rPr>
                                <w:rFonts w:ascii="Times New Roman" w:hAnsi="Times New Roman" w:cs="Times New Roman"/>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00781394" w:rsidRPr="00781394">
                                <w:rPr>
                                  <w:rFonts w:ascii="Times New Roman" w:hAnsi="Times New Roman" w:cs="Times New Roman"/>
                                  <w:caps/>
                                  <w:color w:val="4472C4" w:themeColor="accent1"/>
                                  <w:sz w:val="28"/>
                                  <w:szCs w:val="28"/>
                                </w:rPr>
                                <w:t>UNIVERSITY OF WALES TRINITY SAINT DAVID</w:t>
                              </w:r>
                            </w:sdtContent>
                          </w:sdt>
                        </w:p>
                      </w:txbxContent>
                    </v:textbox>
                    <w10:wrap anchorx="margin" anchory="page"/>
                  </v:shape>
                </w:pict>
              </mc:Fallback>
            </mc:AlternateContent>
          </w:r>
          <w:r>
            <w:rPr>
              <w:noProof/>
              <w:color w:val="4472C4" w:themeColor="accent1"/>
            </w:rPr>
            <w:drawing>
              <wp:inline distT="0" distB="0" distL="0" distR="0" wp14:anchorId="031ACC07" wp14:editId="3611D1E8">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AB4991B" w14:textId="77777777" w:rsidR="00781394" w:rsidRDefault="00781394" w:rsidP="00781394">
          <w:pPr>
            <w:pStyle w:val="NoSpacing"/>
            <w:spacing w:line="480" w:lineRule="auto"/>
            <w:jc w:val="center"/>
            <w:rPr>
              <w:rFonts w:cs="Times New Roman"/>
              <w:color w:val="4472C4" w:themeColor="accent1"/>
              <w:szCs w:val="24"/>
            </w:rPr>
          </w:pPr>
        </w:p>
        <w:p w14:paraId="37FC2D7A" w14:textId="77777777" w:rsidR="00781394" w:rsidRDefault="00781394" w:rsidP="00781394">
          <w:pPr>
            <w:pStyle w:val="NoSpacing"/>
            <w:spacing w:line="480" w:lineRule="auto"/>
            <w:jc w:val="center"/>
            <w:rPr>
              <w:rFonts w:cs="Times New Roman"/>
              <w:color w:val="4472C4" w:themeColor="accent1"/>
              <w:szCs w:val="24"/>
            </w:rPr>
          </w:pPr>
        </w:p>
        <w:p w14:paraId="459BD420" w14:textId="77777777" w:rsidR="00781394" w:rsidRDefault="00781394" w:rsidP="00781394">
          <w:pPr>
            <w:pStyle w:val="NoSpacing"/>
            <w:spacing w:line="480" w:lineRule="auto"/>
            <w:jc w:val="center"/>
            <w:rPr>
              <w:rFonts w:cs="Times New Roman"/>
              <w:color w:val="4472C4" w:themeColor="accent1"/>
              <w:szCs w:val="24"/>
            </w:rPr>
          </w:pPr>
        </w:p>
        <w:p w14:paraId="68AC50CB" w14:textId="77777777" w:rsidR="00781394" w:rsidRDefault="00781394" w:rsidP="00781394">
          <w:pPr>
            <w:pStyle w:val="NoSpacing"/>
            <w:spacing w:line="480" w:lineRule="auto"/>
            <w:jc w:val="center"/>
            <w:rPr>
              <w:rFonts w:cs="Times New Roman"/>
              <w:color w:val="4472C4" w:themeColor="accent1"/>
              <w:szCs w:val="24"/>
            </w:rPr>
          </w:pPr>
        </w:p>
        <w:p w14:paraId="7CEA07DC" w14:textId="77777777" w:rsidR="00781394" w:rsidRDefault="00781394" w:rsidP="00781394">
          <w:pPr>
            <w:pStyle w:val="NoSpacing"/>
            <w:spacing w:line="480" w:lineRule="auto"/>
            <w:jc w:val="center"/>
            <w:rPr>
              <w:rFonts w:cs="Times New Roman"/>
              <w:color w:val="4472C4" w:themeColor="accent1"/>
              <w:szCs w:val="24"/>
            </w:rPr>
          </w:pPr>
        </w:p>
        <w:p w14:paraId="5F1AEFFE" w14:textId="77777777" w:rsidR="00781394" w:rsidRDefault="00781394" w:rsidP="00781394">
          <w:pPr>
            <w:pStyle w:val="NoSpacing"/>
            <w:spacing w:line="480" w:lineRule="auto"/>
            <w:jc w:val="center"/>
            <w:rPr>
              <w:rFonts w:cs="Times New Roman"/>
              <w:color w:val="4472C4" w:themeColor="accent1"/>
              <w:szCs w:val="24"/>
            </w:rPr>
          </w:pPr>
        </w:p>
        <w:p w14:paraId="6C3AE3D1" w14:textId="77777777" w:rsidR="00781394" w:rsidRDefault="00781394" w:rsidP="00781394">
          <w:pPr>
            <w:pStyle w:val="NoSpacing"/>
            <w:spacing w:line="480" w:lineRule="auto"/>
            <w:jc w:val="center"/>
            <w:rPr>
              <w:rFonts w:cs="Times New Roman"/>
              <w:color w:val="4472C4" w:themeColor="accent1"/>
              <w:szCs w:val="24"/>
            </w:rPr>
          </w:pPr>
        </w:p>
        <w:p w14:paraId="3F385910" w14:textId="6069602F" w:rsidR="00781394" w:rsidRPr="00781394" w:rsidRDefault="00781394" w:rsidP="00781394">
          <w:pPr>
            <w:pStyle w:val="NoSpacing"/>
            <w:spacing w:line="480" w:lineRule="auto"/>
            <w:jc w:val="center"/>
            <w:rPr>
              <w:rFonts w:ascii="Times New Roman" w:hAnsi="Times New Roman" w:cs="Times New Roman"/>
              <w:color w:val="4472C4" w:themeColor="accent1"/>
              <w:sz w:val="24"/>
              <w:szCs w:val="24"/>
            </w:rPr>
          </w:pPr>
          <w:r w:rsidRPr="00781394">
            <w:rPr>
              <w:rFonts w:ascii="Times New Roman" w:hAnsi="Times New Roman" w:cs="Times New Roman"/>
              <w:color w:val="4472C4" w:themeColor="accent1"/>
              <w:sz w:val="24"/>
              <w:szCs w:val="24"/>
            </w:rPr>
            <w:t>Student: Andrei Stafi</w:t>
          </w:r>
        </w:p>
        <w:p w14:paraId="6FBD87E9" w14:textId="77777777" w:rsidR="00781394" w:rsidRPr="00781394" w:rsidRDefault="00781394" w:rsidP="00781394">
          <w:pPr>
            <w:pStyle w:val="NoSpacing"/>
            <w:spacing w:line="480" w:lineRule="auto"/>
            <w:jc w:val="center"/>
            <w:rPr>
              <w:rFonts w:ascii="Times New Roman" w:hAnsi="Times New Roman" w:cs="Times New Roman"/>
              <w:color w:val="4472C4" w:themeColor="accent1"/>
              <w:sz w:val="24"/>
              <w:szCs w:val="24"/>
            </w:rPr>
          </w:pPr>
          <w:r w:rsidRPr="00781394">
            <w:rPr>
              <w:rFonts w:ascii="Times New Roman" w:hAnsi="Times New Roman" w:cs="Times New Roman"/>
              <w:color w:val="4472C4" w:themeColor="accent1"/>
              <w:sz w:val="24"/>
              <w:szCs w:val="24"/>
            </w:rPr>
            <w:t>Student number: 2114799</w:t>
          </w:r>
        </w:p>
        <w:p w14:paraId="5513F253" w14:textId="4467B769" w:rsidR="00781394" w:rsidRPr="00781394" w:rsidRDefault="00781394" w:rsidP="00781394">
          <w:pPr>
            <w:pStyle w:val="NoSpacing"/>
            <w:spacing w:line="480" w:lineRule="auto"/>
            <w:jc w:val="center"/>
            <w:rPr>
              <w:rFonts w:ascii="Times New Roman" w:hAnsi="Times New Roman" w:cs="Times New Roman"/>
              <w:color w:val="4472C4" w:themeColor="accent1"/>
              <w:sz w:val="24"/>
              <w:szCs w:val="24"/>
            </w:rPr>
          </w:pPr>
          <w:r w:rsidRPr="00781394">
            <w:rPr>
              <w:rFonts w:ascii="Times New Roman" w:hAnsi="Times New Roman" w:cs="Times New Roman"/>
              <w:color w:val="4472C4" w:themeColor="accent1"/>
              <w:sz w:val="24"/>
              <w:szCs w:val="24"/>
            </w:rPr>
            <w:t>Module: Leaders in a Global Business</w:t>
          </w:r>
        </w:p>
        <w:p w14:paraId="12630879" w14:textId="44E909A1" w:rsidR="00781394" w:rsidRPr="00781394" w:rsidRDefault="00781394" w:rsidP="00781394">
          <w:pPr>
            <w:spacing w:line="259" w:lineRule="auto"/>
            <w:jc w:val="center"/>
            <w:rPr>
              <w:rFonts w:cs="Times New Roman"/>
              <w:color w:val="4472C4" w:themeColor="accent1"/>
              <w:szCs w:val="24"/>
            </w:rPr>
          </w:pPr>
          <w:r w:rsidRPr="00781394">
            <w:rPr>
              <w:rFonts w:cs="Times New Roman"/>
              <w:color w:val="4472C4" w:themeColor="accent1"/>
              <w:szCs w:val="24"/>
            </w:rPr>
            <w:t>Module code: BMSW7002</w:t>
          </w:r>
        </w:p>
        <w:p w14:paraId="0CEBA4C2" w14:textId="77777777" w:rsidR="00781394" w:rsidRDefault="00781394" w:rsidP="00781394">
          <w:pPr>
            <w:spacing w:line="259" w:lineRule="auto"/>
            <w:jc w:val="center"/>
            <w:rPr>
              <w:rFonts w:cs="Times New Roman"/>
              <w:color w:val="4472C4" w:themeColor="accent1"/>
              <w:szCs w:val="24"/>
            </w:rPr>
          </w:pPr>
        </w:p>
        <w:p w14:paraId="28379A58" w14:textId="77777777" w:rsidR="00781394" w:rsidRDefault="00781394" w:rsidP="00781394">
          <w:pPr>
            <w:spacing w:line="259" w:lineRule="auto"/>
            <w:jc w:val="center"/>
            <w:rPr>
              <w:rFonts w:cs="Times New Roman"/>
              <w:color w:val="4472C4" w:themeColor="accent1"/>
              <w:szCs w:val="24"/>
            </w:rPr>
          </w:pPr>
        </w:p>
        <w:p w14:paraId="65E67F31" w14:textId="2302AC3C" w:rsidR="00781394" w:rsidRDefault="00000000" w:rsidP="00781394">
          <w:pPr>
            <w:spacing w:line="259" w:lineRule="auto"/>
          </w:pPr>
        </w:p>
      </w:sdtContent>
    </w:sdt>
    <w:p w14:paraId="7B5E3023" w14:textId="77777777" w:rsidR="00781394" w:rsidRDefault="00781394" w:rsidP="00781394">
      <w:pPr>
        <w:pStyle w:val="Heading1"/>
      </w:pPr>
      <w:bookmarkStart w:id="0" w:name="_Toc203840727"/>
      <w:r>
        <w:lastRenderedPageBreak/>
        <w:t>Executive Summary</w:t>
      </w:r>
      <w:bookmarkEnd w:id="0"/>
    </w:p>
    <w:p w14:paraId="7E2897F9" w14:textId="7B90F5B3" w:rsidR="00781394" w:rsidRDefault="00781394" w:rsidP="00781394">
      <w:r>
        <w:t xml:space="preserve">This report critically evaluates </w:t>
      </w:r>
      <w:r w:rsidR="000B14F9">
        <w:t>the roles and responsibilities of global business leader</w:t>
      </w:r>
      <w:r>
        <w:t>s in addressing climate change, with a specific focus on Unilever. Climate change is among today</w:t>
      </w:r>
      <w:r w:rsidR="000B14F9">
        <w:t>'</w:t>
      </w:r>
      <w:r>
        <w:t>s most significant global challenges, demanding urgent and collaborative action across sectors. The report examines how multinational enterprises (MNEs) strategically respond to climate issues, highlighting their responsibilities, stakeholder relationships, ethical considerations, and potential business benefits derived from effective climate leadership.</w:t>
      </w:r>
    </w:p>
    <w:p w14:paraId="2233C951" w14:textId="05101C2D" w:rsidR="00781394" w:rsidRDefault="00781394" w:rsidP="00781394">
      <w:r>
        <w:t xml:space="preserve">The analysis </w:t>
      </w:r>
      <w:r w:rsidR="000B14F9">
        <w:t>highlights that global leaders must strategically integrate sustainability into their</w:t>
      </w:r>
      <w:r>
        <w:t xml:space="preserve"> core business operations, foster technological innovation, enhance transparency, and proactively engage diverse stakeholders. Ethical conduct is crucial, as leaders must align their stated environmental commitments with genuine actions to avoid accusations of greenwashing and maintain stakeholder trust. Real-world cases</w:t>
      </w:r>
      <w:r w:rsidR="000B14F9">
        <w:t xml:space="preserve">, such as those of Unilever, IKEA, Morganstone, and Welsh Water, </w:t>
      </w:r>
      <w:r w:rsidR="00167090">
        <w:t>demonstrate how effective climate leadership can positively impact</w:t>
      </w:r>
      <w:r w:rsidR="000B14F9">
        <w:t xml:space="preserve"> reputation, competitive advantage, efficiency, and stakeholder trust. In contrast,</w:t>
      </w:r>
      <w:r>
        <w:t xml:space="preserve"> inadequate practices, exemplified by Volkswagen</w:t>
      </w:r>
      <w:r w:rsidR="000B14F9">
        <w:t>'</w:t>
      </w:r>
      <w:r>
        <w:t>s emissions scandal, demonstrate significant reputational and financial risks.</w:t>
      </w:r>
    </w:p>
    <w:p w14:paraId="33A82956" w14:textId="0F5FE155" w:rsidR="00473F8C" w:rsidRDefault="00781394" w:rsidP="00781394">
      <w:r>
        <w:t>Key recommendations include integrating sustainability into strategic operations, investing in tailored leadership development programmes, enhancing transparency and accountability, prioriti</w:t>
      </w:r>
      <w:r w:rsidR="000B14F9">
        <w:t>sing ethical practices, and cultivating culturally sensitive stakeholder engagement strategies. Implementing these recommendations can substantially contribute to achieving global climate goals and enhancing organis</w:t>
      </w:r>
      <w:r>
        <w:t>ational sustainability.</w:t>
      </w:r>
    </w:p>
    <w:p w14:paraId="08B7F0B5" w14:textId="77777777" w:rsidR="00F77057" w:rsidRDefault="00F77057" w:rsidP="00781394"/>
    <w:p w14:paraId="13EB5D98" w14:textId="77777777" w:rsidR="00F77057" w:rsidRDefault="00F77057" w:rsidP="00781394"/>
    <w:sdt>
      <w:sdtPr>
        <w:rPr>
          <w:rFonts w:ascii="Times New Roman" w:eastAsiaTheme="minorHAnsi" w:hAnsi="Times New Roman" w:cstheme="minorBidi"/>
          <w:color w:val="auto"/>
          <w:kern w:val="2"/>
          <w:sz w:val="24"/>
          <w:szCs w:val="22"/>
          <w:lang w:val="en-GB"/>
          <w14:ligatures w14:val="standardContextual"/>
        </w:rPr>
        <w:id w:val="214016369"/>
        <w:docPartObj>
          <w:docPartGallery w:val="Table of Contents"/>
          <w:docPartUnique/>
        </w:docPartObj>
      </w:sdtPr>
      <w:sdtEndPr>
        <w:rPr>
          <w:b/>
          <w:bCs/>
          <w:noProof/>
        </w:rPr>
      </w:sdtEndPr>
      <w:sdtContent>
        <w:p w14:paraId="1D41683D" w14:textId="6F6164B2" w:rsidR="00134A69" w:rsidRDefault="00134A69">
          <w:pPr>
            <w:pStyle w:val="TOCHeading"/>
          </w:pPr>
          <w:r>
            <w:t>Table of Contents</w:t>
          </w:r>
        </w:p>
        <w:p w14:paraId="0C1B1F46" w14:textId="0A417C3B" w:rsidR="0061544A" w:rsidRDefault="00134A69">
          <w:pPr>
            <w:pStyle w:val="TOC1"/>
            <w:tabs>
              <w:tab w:val="right" w:leader="dot" w:pos="9016"/>
            </w:tabs>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203840727" w:history="1">
            <w:r w:rsidR="0061544A" w:rsidRPr="004C0FBF">
              <w:rPr>
                <w:rStyle w:val="Hyperlink"/>
                <w:noProof/>
              </w:rPr>
              <w:t>Executive Summary</w:t>
            </w:r>
            <w:r w:rsidR="0061544A">
              <w:rPr>
                <w:noProof/>
                <w:webHidden/>
              </w:rPr>
              <w:tab/>
            </w:r>
            <w:r w:rsidR="0061544A">
              <w:rPr>
                <w:noProof/>
                <w:webHidden/>
              </w:rPr>
              <w:fldChar w:fldCharType="begin"/>
            </w:r>
            <w:r w:rsidR="0061544A">
              <w:rPr>
                <w:noProof/>
                <w:webHidden/>
              </w:rPr>
              <w:instrText xml:space="preserve"> PAGEREF _Toc203840727 \h </w:instrText>
            </w:r>
            <w:r w:rsidR="0061544A">
              <w:rPr>
                <w:noProof/>
                <w:webHidden/>
              </w:rPr>
            </w:r>
            <w:r w:rsidR="0061544A">
              <w:rPr>
                <w:noProof/>
                <w:webHidden/>
              </w:rPr>
              <w:fldChar w:fldCharType="separate"/>
            </w:r>
            <w:r w:rsidR="0061544A">
              <w:rPr>
                <w:noProof/>
                <w:webHidden/>
              </w:rPr>
              <w:t>1</w:t>
            </w:r>
            <w:r w:rsidR="0061544A">
              <w:rPr>
                <w:noProof/>
                <w:webHidden/>
              </w:rPr>
              <w:fldChar w:fldCharType="end"/>
            </w:r>
          </w:hyperlink>
        </w:p>
        <w:p w14:paraId="078B67B2" w14:textId="0E6F7A94" w:rsidR="0061544A" w:rsidRDefault="0061544A">
          <w:pPr>
            <w:pStyle w:val="TOC1"/>
            <w:tabs>
              <w:tab w:val="right" w:leader="dot" w:pos="9016"/>
            </w:tabs>
            <w:rPr>
              <w:rFonts w:asciiTheme="minorHAnsi" w:eastAsiaTheme="minorEastAsia" w:hAnsiTheme="minorHAnsi"/>
              <w:noProof/>
              <w:szCs w:val="24"/>
              <w:lang w:eastAsia="en-GB"/>
            </w:rPr>
          </w:pPr>
          <w:hyperlink w:anchor="_Toc203840728" w:history="1">
            <w:r w:rsidRPr="004C0FBF">
              <w:rPr>
                <w:rStyle w:val="Hyperlink"/>
                <w:noProof/>
              </w:rPr>
              <w:t>1. Introduction</w:t>
            </w:r>
            <w:r>
              <w:rPr>
                <w:noProof/>
                <w:webHidden/>
              </w:rPr>
              <w:tab/>
            </w:r>
            <w:r>
              <w:rPr>
                <w:noProof/>
                <w:webHidden/>
              </w:rPr>
              <w:fldChar w:fldCharType="begin"/>
            </w:r>
            <w:r>
              <w:rPr>
                <w:noProof/>
                <w:webHidden/>
              </w:rPr>
              <w:instrText xml:space="preserve"> PAGEREF _Toc203840728 \h </w:instrText>
            </w:r>
            <w:r>
              <w:rPr>
                <w:noProof/>
                <w:webHidden/>
              </w:rPr>
            </w:r>
            <w:r>
              <w:rPr>
                <w:noProof/>
                <w:webHidden/>
              </w:rPr>
              <w:fldChar w:fldCharType="separate"/>
            </w:r>
            <w:r>
              <w:rPr>
                <w:noProof/>
                <w:webHidden/>
              </w:rPr>
              <w:t>3</w:t>
            </w:r>
            <w:r>
              <w:rPr>
                <w:noProof/>
                <w:webHidden/>
              </w:rPr>
              <w:fldChar w:fldCharType="end"/>
            </w:r>
          </w:hyperlink>
        </w:p>
        <w:p w14:paraId="0A15D209" w14:textId="4DEB95BF" w:rsidR="0061544A" w:rsidRDefault="0061544A">
          <w:pPr>
            <w:pStyle w:val="TOC1"/>
            <w:tabs>
              <w:tab w:val="right" w:leader="dot" w:pos="9016"/>
            </w:tabs>
            <w:rPr>
              <w:rFonts w:asciiTheme="minorHAnsi" w:eastAsiaTheme="minorEastAsia" w:hAnsiTheme="minorHAnsi"/>
              <w:noProof/>
              <w:szCs w:val="24"/>
              <w:lang w:eastAsia="en-GB"/>
            </w:rPr>
          </w:pPr>
          <w:hyperlink w:anchor="_Toc203840729" w:history="1">
            <w:r w:rsidRPr="004C0FBF">
              <w:rPr>
                <w:rStyle w:val="Hyperlink"/>
                <w:noProof/>
              </w:rPr>
              <w:t>2. Evaluation</w:t>
            </w:r>
            <w:r>
              <w:rPr>
                <w:noProof/>
                <w:webHidden/>
              </w:rPr>
              <w:tab/>
            </w:r>
            <w:r>
              <w:rPr>
                <w:noProof/>
                <w:webHidden/>
              </w:rPr>
              <w:fldChar w:fldCharType="begin"/>
            </w:r>
            <w:r>
              <w:rPr>
                <w:noProof/>
                <w:webHidden/>
              </w:rPr>
              <w:instrText xml:space="preserve"> PAGEREF _Toc203840729 \h </w:instrText>
            </w:r>
            <w:r>
              <w:rPr>
                <w:noProof/>
                <w:webHidden/>
              </w:rPr>
            </w:r>
            <w:r>
              <w:rPr>
                <w:noProof/>
                <w:webHidden/>
              </w:rPr>
              <w:fldChar w:fldCharType="separate"/>
            </w:r>
            <w:r>
              <w:rPr>
                <w:noProof/>
                <w:webHidden/>
              </w:rPr>
              <w:t>4</w:t>
            </w:r>
            <w:r>
              <w:rPr>
                <w:noProof/>
                <w:webHidden/>
              </w:rPr>
              <w:fldChar w:fldCharType="end"/>
            </w:r>
          </w:hyperlink>
        </w:p>
        <w:p w14:paraId="022769DB" w14:textId="660740E6" w:rsidR="0061544A" w:rsidRDefault="0061544A">
          <w:pPr>
            <w:pStyle w:val="TOC2"/>
            <w:tabs>
              <w:tab w:val="right" w:leader="dot" w:pos="9016"/>
            </w:tabs>
            <w:rPr>
              <w:rFonts w:asciiTheme="minorHAnsi" w:eastAsiaTheme="minorEastAsia" w:hAnsiTheme="minorHAnsi"/>
              <w:noProof/>
              <w:szCs w:val="24"/>
              <w:lang w:eastAsia="en-GB"/>
            </w:rPr>
          </w:pPr>
          <w:hyperlink w:anchor="_Toc203840730" w:history="1">
            <w:r w:rsidRPr="004C0FBF">
              <w:rPr>
                <w:rStyle w:val="Hyperlink"/>
                <w:noProof/>
              </w:rPr>
              <w:t>2.1. Unique Role and Responsibilities of Global Business Leaders Regarding Climate Change</w:t>
            </w:r>
            <w:r>
              <w:rPr>
                <w:noProof/>
                <w:webHidden/>
              </w:rPr>
              <w:tab/>
            </w:r>
            <w:r>
              <w:rPr>
                <w:noProof/>
                <w:webHidden/>
              </w:rPr>
              <w:fldChar w:fldCharType="begin"/>
            </w:r>
            <w:r>
              <w:rPr>
                <w:noProof/>
                <w:webHidden/>
              </w:rPr>
              <w:instrText xml:space="preserve"> PAGEREF _Toc203840730 \h </w:instrText>
            </w:r>
            <w:r>
              <w:rPr>
                <w:noProof/>
                <w:webHidden/>
              </w:rPr>
            </w:r>
            <w:r>
              <w:rPr>
                <w:noProof/>
                <w:webHidden/>
              </w:rPr>
              <w:fldChar w:fldCharType="separate"/>
            </w:r>
            <w:r>
              <w:rPr>
                <w:noProof/>
                <w:webHidden/>
              </w:rPr>
              <w:t>4</w:t>
            </w:r>
            <w:r>
              <w:rPr>
                <w:noProof/>
                <w:webHidden/>
              </w:rPr>
              <w:fldChar w:fldCharType="end"/>
            </w:r>
          </w:hyperlink>
        </w:p>
        <w:p w14:paraId="3D14AE15" w14:textId="37C21BAC" w:rsidR="0061544A" w:rsidRDefault="0061544A">
          <w:pPr>
            <w:pStyle w:val="TOC3"/>
            <w:tabs>
              <w:tab w:val="right" w:leader="dot" w:pos="9016"/>
            </w:tabs>
            <w:rPr>
              <w:rFonts w:asciiTheme="minorHAnsi" w:eastAsiaTheme="minorEastAsia" w:hAnsiTheme="minorHAnsi"/>
              <w:noProof/>
              <w:szCs w:val="24"/>
              <w:lang w:eastAsia="en-GB"/>
            </w:rPr>
          </w:pPr>
          <w:hyperlink w:anchor="_Toc203840731" w:history="1">
            <w:r w:rsidRPr="004C0FBF">
              <w:rPr>
                <w:rStyle w:val="Hyperlink"/>
                <w:noProof/>
              </w:rPr>
              <w:t>2.1.1. Arguments For and Against the Leading Role of MNCs</w:t>
            </w:r>
            <w:r>
              <w:rPr>
                <w:noProof/>
                <w:webHidden/>
              </w:rPr>
              <w:tab/>
            </w:r>
            <w:r>
              <w:rPr>
                <w:noProof/>
                <w:webHidden/>
              </w:rPr>
              <w:fldChar w:fldCharType="begin"/>
            </w:r>
            <w:r>
              <w:rPr>
                <w:noProof/>
                <w:webHidden/>
              </w:rPr>
              <w:instrText xml:space="preserve"> PAGEREF _Toc203840731 \h </w:instrText>
            </w:r>
            <w:r>
              <w:rPr>
                <w:noProof/>
                <w:webHidden/>
              </w:rPr>
            </w:r>
            <w:r>
              <w:rPr>
                <w:noProof/>
                <w:webHidden/>
              </w:rPr>
              <w:fldChar w:fldCharType="separate"/>
            </w:r>
            <w:r>
              <w:rPr>
                <w:noProof/>
                <w:webHidden/>
              </w:rPr>
              <w:t>4</w:t>
            </w:r>
            <w:r>
              <w:rPr>
                <w:noProof/>
                <w:webHidden/>
              </w:rPr>
              <w:fldChar w:fldCharType="end"/>
            </w:r>
          </w:hyperlink>
        </w:p>
        <w:p w14:paraId="5D6725F5" w14:textId="6FB8C37E" w:rsidR="0061544A" w:rsidRDefault="0061544A">
          <w:pPr>
            <w:pStyle w:val="TOC3"/>
            <w:tabs>
              <w:tab w:val="right" w:leader="dot" w:pos="9016"/>
            </w:tabs>
            <w:rPr>
              <w:rFonts w:asciiTheme="minorHAnsi" w:eastAsiaTheme="minorEastAsia" w:hAnsiTheme="minorHAnsi"/>
              <w:noProof/>
              <w:szCs w:val="24"/>
              <w:lang w:eastAsia="en-GB"/>
            </w:rPr>
          </w:pPr>
          <w:hyperlink w:anchor="_Toc203840732" w:history="1">
            <w:r w:rsidRPr="004C0FBF">
              <w:rPr>
                <w:rStyle w:val="Hyperlink"/>
                <w:noProof/>
              </w:rPr>
              <w:t>2.1.2. Impact of Proactive versus Obstructive Roles of MNCs</w:t>
            </w:r>
            <w:r>
              <w:rPr>
                <w:noProof/>
                <w:webHidden/>
              </w:rPr>
              <w:tab/>
            </w:r>
            <w:r>
              <w:rPr>
                <w:noProof/>
                <w:webHidden/>
              </w:rPr>
              <w:fldChar w:fldCharType="begin"/>
            </w:r>
            <w:r>
              <w:rPr>
                <w:noProof/>
                <w:webHidden/>
              </w:rPr>
              <w:instrText xml:space="preserve"> PAGEREF _Toc203840732 \h </w:instrText>
            </w:r>
            <w:r>
              <w:rPr>
                <w:noProof/>
                <w:webHidden/>
              </w:rPr>
            </w:r>
            <w:r>
              <w:rPr>
                <w:noProof/>
                <w:webHidden/>
              </w:rPr>
              <w:fldChar w:fldCharType="separate"/>
            </w:r>
            <w:r>
              <w:rPr>
                <w:noProof/>
                <w:webHidden/>
              </w:rPr>
              <w:t>5</w:t>
            </w:r>
            <w:r>
              <w:rPr>
                <w:noProof/>
                <w:webHidden/>
              </w:rPr>
              <w:fldChar w:fldCharType="end"/>
            </w:r>
          </w:hyperlink>
        </w:p>
        <w:p w14:paraId="5928200A" w14:textId="4BDF3B77" w:rsidR="0061544A" w:rsidRDefault="0061544A">
          <w:pPr>
            <w:pStyle w:val="TOC2"/>
            <w:tabs>
              <w:tab w:val="right" w:leader="dot" w:pos="9016"/>
            </w:tabs>
            <w:rPr>
              <w:rFonts w:asciiTheme="minorHAnsi" w:eastAsiaTheme="minorEastAsia" w:hAnsiTheme="minorHAnsi"/>
              <w:noProof/>
              <w:szCs w:val="24"/>
              <w:lang w:eastAsia="en-GB"/>
            </w:rPr>
          </w:pPr>
          <w:hyperlink w:anchor="_Toc203840733" w:history="1">
            <w:r w:rsidRPr="004C0FBF">
              <w:rPr>
                <w:rStyle w:val="Hyperlink"/>
                <w:noProof/>
              </w:rPr>
              <w:t>2.2. Ethical Considerations and Stakeholder Relationships</w:t>
            </w:r>
            <w:r>
              <w:rPr>
                <w:noProof/>
                <w:webHidden/>
              </w:rPr>
              <w:tab/>
            </w:r>
            <w:r>
              <w:rPr>
                <w:noProof/>
                <w:webHidden/>
              </w:rPr>
              <w:fldChar w:fldCharType="begin"/>
            </w:r>
            <w:r>
              <w:rPr>
                <w:noProof/>
                <w:webHidden/>
              </w:rPr>
              <w:instrText xml:space="preserve"> PAGEREF _Toc203840733 \h </w:instrText>
            </w:r>
            <w:r>
              <w:rPr>
                <w:noProof/>
                <w:webHidden/>
              </w:rPr>
            </w:r>
            <w:r>
              <w:rPr>
                <w:noProof/>
                <w:webHidden/>
              </w:rPr>
              <w:fldChar w:fldCharType="separate"/>
            </w:r>
            <w:r>
              <w:rPr>
                <w:noProof/>
                <w:webHidden/>
              </w:rPr>
              <w:t>6</w:t>
            </w:r>
            <w:r>
              <w:rPr>
                <w:noProof/>
                <w:webHidden/>
              </w:rPr>
              <w:fldChar w:fldCharType="end"/>
            </w:r>
          </w:hyperlink>
        </w:p>
        <w:p w14:paraId="7361F905" w14:textId="6BF76832" w:rsidR="0061544A" w:rsidRDefault="0061544A">
          <w:pPr>
            <w:pStyle w:val="TOC3"/>
            <w:tabs>
              <w:tab w:val="right" w:leader="dot" w:pos="9016"/>
            </w:tabs>
            <w:rPr>
              <w:rFonts w:asciiTheme="minorHAnsi" w:eastAsiaTheme="minorEastAsia" w:hAnsiTheme="minorHAnsi"/>
              <w:noProof/>
              <w:szCs w:val="24"/>
              <w:lang w:eastAsia="en-GB"/>
            </w:rPr>
          </w:pPr>
          <w:hyperlink w:anchor="_Toc203840734" w:history="1">
            <w:r w:rsidRPr="004C0FBF">
              <w:rPr>
                <w:rStyle w:val="Hyperlink"/>
                <w:noProof/>
              </w:rPr>
              <w:t>2.2.1. Role of Business Ethics and Understanding Stakeholder Expectations</w:t>
            </w:r>
            <w:r>
              <w:rPr>
                <w:noProof/>
                <w:webHidden/>
              </w:rPr>
              <w:tab/>
            </w:r>
            <w:r>
              <w:rPr>
                <w:noProof/>
                <w:webHidden/>
              </w:rPr>
              <w:fldChar w:fldCharType="begin"/>
            </w:r>
            <w:r>
              <w:rPr>
                <w:noProof/>
                <w:webHidden/>
              </w:rPr>
              <w:instrText xml:space="preserve"> PAGEREF _Toc203840734 \h </w:instrText>
            </w:r>
            <w:r>
              <w:rPr>
                <w:noProof/>
                <w:webHidden/>
              </w:rPr>
            </w:r>
            <w:r>
              <w:rPr>
                <w:noProof/>
                <w:webHidden/>
              </w:rPr>
              <w:fldChar w:fldCharType="separate"/>
            </w:r>
            <w:r>
              <w:rPr>
                <w:noProof/>
                <w:webHidden/>
              </w:rPr>
              <w:t>7</w:t>
            </w:r>
            <w:r>
              <w:rPr>
                <w:noProof/>
                <w:webHidden/>
              </w:rPr>
              <w:fldChar w:fldCharType="end"/>
            </w:r>
          </w:hyperlink>
        </w:p>
        <w:p w14:paraId="109B2968" w14:textId="7FC54747" w:rsidR="0061544A" w:rsidRDefault="0061544A">
          <w:pPr>
            <w:pStyle w:val="TOC3"/>
            <w:tabs>
              <w:tab w:val="right" w:leader="dot" w:pos="9016"/>
            </w:tabs>
            <w:rPr>
              <w:rFonts w:asciiTheme="minorHAnsi" w:eastAsiaTheme="minorEastAsia" w:hAnsiTheme="minorHAnsi"/>
              <w:noProof/>
              <w:szCs w:val="24"/>
              <w:lang w:eastAsia="en-GB"/>
            </w:rPr>
          </w:pPr>
          <w:hyperlink w:anchor="_Toc203840735" w:history="1">
            <w:r w:rsidRPr="004C0FBF">
              <w:rPr>
                <w:rStyle w:val="Hyperlink"/>
                <w:noProof/>
              </w:rPr>
              <w:t>2.2.2. Modes of Engagement with International Markets</w:t>
            </w:r>
            <w:r>
              <w:rPr>
                <w:noProof/>
                <w:webHidden/>
              </w:rPr>
              <w:tab/>
            </w:r>
            <w:r>
              <w:rPr>
                <w:noProof/>
                <w:webHidden/>
              </w:rPr>
              <w:fldChar w:fldCharType="begin"/>
            </w:r>
            <w:r>
              <w:rPr>
                <w:noProof/>
                <w:webHidden/>
              </w:rPr>
              <w:instrText xml:space="preserve"> PAGEREF _Toc203840735 \h </w:instrText>
            </w:r>
            <w:r>
              <w:rPr>
                <w:noProof/>
                <w:webHidden/>
              </w:rPr>
            </w:r>
            <w:r>
              <w:rPr>
                <w:noProof/>
                <w:webHidden/>
              </w:rPr>
              <w:fldChar w:fldCharType="separate"/>
            </w:r>
            <w:r>
              <w:rPr>
                <w:noProof/>
                <w:webHidden/>
              </w:rPr>
              <w:t>7</w:t>
            </w:r>
            <w:r>
              <w:rPr>
                <w:noProof/>
                <w:webHidden/>
              </w:rPr>
              <w:fldChar w:fldCharType="end"/>
            </w:r>
          </w:hyperlink>
        </w:p>
        <w:p w14:paraId="2B904689" w14:textId="625CC036" w:rsidR="0061544A" w:rsidRDefault="0061544A">
          <w:pPr>
            <w:pStyle w:val="TOC3"/>
            <w:tabs>
              <w:tab w:val="right" w:leader="dot" w:pos="9016"/>
            </w:tabs>
            <w:rPr>
              <w:rFonts w:asciiTheme="minorHAnsi" w:eastAsiaTheme="minorEastAsia" w:hAnsiTheme="minorHAnsi"/>
              <w:noProof/>
              <w:szCs w:val="24"/>
              <w:lang w:eastAsia="en-GB"/>
            </w:rPr>
          </w:pPr>
          <w:hyperlink w:anchor="_Toc203840736" w:history="1">
            <w:r w:rsidRPr="004C0FBF">
              <w:rPr>
                <w:rStyle w:val="Hyperlink"/>
                <w:noProof/>
              </w:rPr>
              <w:t>2.2.3. Interconnectedness of Economic, Legal, Political, Ecological, and Cultural Environments</w:t>
            </w:r>
            <w:r>
              <w:rPr>
                <w:noProof/>
                <w:webHidden/>
              </w:rPr>
              <w:tab/>
            </w:r>
            <w:r>
              <w:rPr>
                <w:noProof/>
                <w:webHidden/>
              </w:rPr>
              <w:fldChar w:fldCharType="begin"/>
            </w:r>
            <w:r>
              <w:rPr>
                <w:noProof/>
                <w:webHidden/>
              </w:rPr>
              <w:instrText xml:space="preserve"> PAGEREF _Toc203840736 \h </w:instrText>
            </w:r>
            <w:r>
              <w:rPr>
                <w:noProof/>
                <w:webHidden/>
              </w:rPr>
            </w:r>
            <w:r>
              <w:rPr>
                <w:noProof/>
                <w:webHidden/>
              </w:rPr>
              <w:fldChar w:fldCharType="separate"/>
            </w:r>
            <w:r>
              <w:rPr>
                <w:noProof/>
                <w:webHidden/>
              </w:rPr>
              <w:t>8</w:t>
            </w:r>
            <w:r>
              <w:rPr>
                <w:noProof/>
                <w:webHidden/>
              </w:rPr>
              <w:fldChar w:fldCharType="end"/>
            </w:r>
          </w:hyperlink>
        </w:p>
        <w:p w14:paraId="58EEC1BF" w14:textId="044EAD72" w:rsidR="0061544A" w:rsidRDefault="0061544A">
          <w:pPr>
            <w:pStyle w:val="TOC3"/>
            <w:tabs>
              <w:tab w:val="right" w:leader="dot" w:pos="9016"/>
            </w:tabs>
            <w:rPr>
              <w:rFonts w:asciiTheme="minorHAnsi" w:eastAsiaTheme="minorEastAsia" w:hAnsiTheme="minorHAnsi"/>
              <w:noProof/>
              <w:szCs w:val="24"/>
              <w:lang w:eastAsia="en-GB"/>
            </w:rPr>
          </w:pPr>
          <w:hyperlink w:anchor="_Toc203840737" w:history="1">
            <w:r w:rsidRPr="004C0FBF">
              <w:rPr>
                <w:rStyle w:val="Hyperlink"/>
                <w:noProof/>
              </w:rPr>
              <w:t>2.2.4. Contemporary Global Issues: Responsible Stewardship, Diversity, Inclusion, Ethics, and Intercultural Awareness</w:t>
            </w:r>
            <w:r>
              <w:rPr>
                <w:noProof/>
                <w:webHidden/>
              </w:rPr>
              <w:tab/>
            </w:r>
            <w:r>
              <w:rPr>
                <w:noProof/>
                <w:webHidden/>
              </w:rPr>
              <w:fldChar w:fldCharType="begin"/>
            </w:r>
            <w:r>
              <w:rPr>
                <w:noProof/>
                <w:webHidden/>
              </w:rPr>
              <w:instrText xml:space="preserve"> PAGEREF _Toc203840737 \h </w:instrText>
            </w:r>
            <w:r>
              <w:rPr>
                <w:noProof/>
                <w:webHidden/>
              </w:rPr>
            </w:r>
            <w:r>
              <w:rPr>
                <w:noProof/>
                <w:webHidden/>
              </w:rPr>
              <w:fldChar w:fldCharType="separate"/>
            </w:r>
            <w:r>
              <w:rPr>
                <w:noProof/>
                <w:webHidden/>
              </w:rPr>
              <w:t>9</w:t>
            </w:r>
            <w:r>
              <w:rPr>
                <w:noProof/>
                <w:webHidden/>
              </w:rPr>
              <w:fldChar w:fldCharType="end"/>
            </w:r>
          </w:hyperlink>
        </w:p>
        <w:p w14:paraId="5A8B9D45" w14:textId="68F3733C" w:rsidR="0061544A" w:rsidRDefault="0061544A">
          <w:pPr>
            <w:pStyle w:val="TOC2"/>
            <w:tabs>
              <w:tab w:val="right" w:leader="dot" w:pos="9016"/>
            </w:tabs>
            <w:rPr>
              <w:rFonts w:asciiTheme="minorHAnsi" w:eastAsiaTheme="minorEastAsia" w:hAnsiTheme="minorHAnsi"/>
              <w:noProof/>
              <w:szCs w:val="24"/>
              <w:lang w:eastAsia="en-GB"/>
            </w:rPr>
          </w:pPr>
          <w:hyperlink w:anchor="_Toc203840738" w:history="1">
            <w:r w:rsidRPr="004C0FBF">
              <w:rPr>
                <w:rStyle w:val="Hyperlink"/>
                <w:noProof/>
              </w:rPr>
              <w:t>2.3. Business Benefits Derived from Climate Leadership</w:t>
            </w:r>
            <w:r>
              <w:rPr>
                <w:noProof/>
                <w:webHidden/>
              </w:rPr>
              <w:tab/>
            </w:r>
            <w:r>
              <w:rPr>
                <w:noProof/>
                <w:webHidden/>
              </w:rPr>
              <w:fldChar w:fldCharType="begin"/>
            </w:r>
            <w:r>
              <w:rPr>
                <w:noProof/>
                <w:webHidden/>
              </w:rPr>
              <w:instrText xml:space="preserve"> PAGEREF _Toc203840738 \h </w:instrText>
            </w:r>
            <w:r>
              <w:rPr>
                <w:noProof/>
                <w:webHidden/>
              </w:rPr>
            </w:r>
            <w:r>
              <w:rPr>
                <w:noProof/>
                <w:webHidden/>
              </w:rPr>
              <w:fldChar w:fldCharType="separate"/>
            </w:r>
            <w:r>
              <w:rPr>
                <w:noProof/>
                <w:webHidden/>
              </w:rPr>
              <w:t>9</w:t>
            </w:r>
            <w:r>
              <w:rPr>
                <w:noProof/>
                <w:webHidden/>
              </w:rPr>
              <w:fldChar w:fldCharType="end"/>
            </w:r>
          </w:hyperlink>
        </w:p>
        <w:p w14:paraId="391D3496" w14:textId="22242CB4" w:rsidR="0061544A" w:rsidRDefault="0061544A">
          <w:pPr>
            <w:pStyle w:val="TOC3"/>
            <w:tabs>
              <w:tab w:val="right" w:leader="dot" w:pos="9016"/>
            </w:tabs>
            <w:rPr>
              <w:rFonts w:asciiTheme="minorHAnsi" w:eastAsiaTheme="minorEastAsia" w:hAnsiTheme="minorHAnsi"/>
              <w:noProof/>
              <w:szCs w:val="24"/>
              <w:lang w:eastAsia="en-GB"/>
            </w:rPr>
          </w:pPr>
          <w:hyperlink w:anchor="_Toc203840739" w:history="1">
            <w:r w:rsidRPr="004C0FBF">
              <w:rPr>
                <w:rStyle w:val="Hyperlink"/>
                <w:noProof/>
              </w:rPr>
              <w:t>2.3.1. The Value of Leadership Development Programmes in Achieving Sustainability Goals</w:t>
            </w:r>
            <w:r>
              <w:rPr>
                <w:noProof/>
                <w:webHidden/>
              </w:rPr>
              <w:tab/>
            </w:r>
            <w:r>
              <w:rPr>
                <w:noProof/>
                <w:webHidden/>
              </w:rPr>
              <w:fldChar w:fldCharType="begin"/>
            </w:r>
            <w:r>
              <w:rPr>
                <w:noProof/>
                <w:webHidden/>
              </w:rPr>
              <w:instrText xml:space="preserve"> PAGEREF _Toc203840739 \h </w:instrText>
            </w:r>
            <w:r>
              <w:rPr>
                <w:noProof/>
                <w:webHidden/>
              </w:rPr>
            </w:r>
            <w:r>
              <w:rPr>
                <w:noProof/>
                <w:webHidden/>
              </w:rPr>
              <w:fldChar w:fldCharType="separate"/>
            </w:r>
            <w:r>
              <w:rPr>
                <w:noProof/>
                <w:webHidden/>
              </w:rPr>
              <w:t>10</w:t>
            </w:r>
            <w:r>
              <w:rPr>
                <w:noProof/>
                <w:webHidden/>
              </w:rPr>
              <w:fldChar w:fldCharType="end"/>
            </w:r>
          </w:hyperlink>
        </w:p>
        <w:p w14:paraId="30773423" w14:textId="382F42B4" w:rsidR="0061544A" w:rsidRDefault="0061544A">
          <w:pPr>
            <w:pStyle w:val="TOC3"/>
            <w:tabs>
              <w:tab w:val="right" w:leader="dot" w:pos="9016"/>
            </w:tabs>
            <w:rPr>
              <w:rFonts w:asciiTheme="minorHAnsi" w:eastAsiaTheme="minorEastAsia" w:hAnsiTheme="minorHAnsi"/>
              <w:noProof/>
              <w:szCs w:val="24"/>
              <w:lang w:eastAsia="en-GB"/>
            </w:rPr>
          </w:pPr>
          <w:hyperlink w:anchor="_Toc203840740" w:history="1">
            <w:r w:rsidRPr="004C0FBF">
              <w:rPr>
                <w:rStyle w:val="Hyperlink"/>
                <w:noProof/>
              </w:rPr>
              <w:t>2.3.2. Analysis of Real Company Examples in Climate Leadership</w:t>
            </w:r>
            <w:r>
              <w:rPr>
                <w:noProof/>
                <w:webHidden/>
              </w:rPr>
              <w:tab/>
            </w:r>
            <w:r>
              <w:rPr>
                <w:noProof/>
                <w:webHidden/>
              </w:rPr>
              <w:fldChar w:fldCharType="begin"/>
            </w:r>
            <w:r>
              <w:rPr>
                <w:noProof/>
                <w:webHidden/>
              </w:rPr>
              <w:instrText xml:space="preserve"> PAGEREF _Toc203840740 \h </w:instrText>
            </w:r>
            <w:r>
              <w:rPr>
                <w:noProof/>
                <w:webHidden/>
              </w:rPr>
            </w:r>
            <w:r>
              <w:rPr>
                <w:noProof/>
                <w:webHidden/>
              </w:rPr>
              <w:fldChar w:fldCharType="separate"/>
            </w:r>
            <w:r>
              <w:rPr>
                <w:noProof/>
                <w:webHidden/>
              </w:rPr>
              <w:t>11</w:t>
            </w:r>
            <w:r>
              <w:rPr>
                <w:noProof/>
                <w:webHidden/>
              </w:rPr>
              <w:fldChar w:fldCharType="end"/>
            </w:r>
          </w:hyperlink>
        </w:p>
        <w:p w14:paraId="6817EDCA" w14:textId="1DA3656A" w:rsidR="0061544A" w:rsidRDefault="0061544A">
          <w:pPr>
            <w:pStyle w:val="TOC1"/>
            <w:tabs>
              <w:tab w:val="right" w:leader="dot" w:pos="9016"/>
            </w:tabs>
            <w:rPr>
              <w:rFonts w:asciiTheme="minorHAnsi" w:eastAsiaTheme="minorEastAsia" w:hAnsiTheme="minorHAnsi"/>
              <w:noProof/>
              <w:szCs w:val="24"/>
              <w:lang w:eastAsia="en-GB"/>
            </w:rPr>
          </w:pPr>
          <w:hyperlink w:anchor="_Toc203840741" w:history="1">
            <w:r w:rsidRPr="004C0FBF">
              <w:rPr>
                <w:rStyle w:val="Hyperlink"/>
                <w:noProof/>
              </w:rPr>
              <w:t>3. Conclusion</w:t>
            </w:r>
            <w:r>
              <w:rPr>
                <w:noProof/>
                <w:webHidden/>
              </w:rPr>
              <w:tab/>
            </w:r>
            <w:r>
              <w:rPr>
                <w:noProof/>
                <w:webHidden/>
              </w:rPr>
              <w:fldChar w:fldCharType="begin"/>
            </w:r>
            <w:r>
              <w:rPr>
                <w:noProof/>
                <w:webHidden/>
              </w:rPr>
              <w:instrText xml:space="preserve"> PAGEREF _Toc203840741 \h </w:instrText>
            </w:r>
            <w:r>
              <w:rPr>
                <w:noProof/>
                <w:webHidden/>
              </w:rPr>
            </w:r>
            <w:r>
              <w:rPr>
                <w:noProof/>
                <w:webHidden/>
              </w:rPr>
              <w:fldChar w:fldCharType="separate"/>
            </w:r>
            <w:r>
              <w:rPr>
                <w:noProof/>
                <w:webHidden/>
              </w:rPr>
              <w:t>13</w:t>
            </w:r>
            <w:r>
              <w:rPr>
                <w:noProof/>
                <w:webHidden/>
              </w:rPr>
              <w:fldChar w:fldCharType="end"/>
            </w:r>
          </w:hyperlink>
        </w:p>
        <w:p w14:paraId="790A5EBB" w14:textId="765CCE65" w:rsidR="0061544A" w:rsidRDefault="0061544A">
          <w:pPr>
            <w:pStyle w:val="TOC1"/>
            <w:tabs>
              <w:tab w:val="right" w:leader="dot" w:pos="9016"/>
            </w:tabs>
            <w:rPr>
              <w:rFonts w:asciiTheme="minorHAnsi" w:eastAsiaTheme="minorEastAsia" w:hAnsiTheme="minorHAnsi"/>
              <w:noProof/>
              <w:szCs w:val="24"/>
              <w:lang w:eastAsia="en-GB"/>
            </w:rPr>
          </w:pPr>
          <w:hyperlink w:anchor="_Toc203840742" w:history="1">
            <w:r w:rsidRPr="004C0FBF">
              <w:rPr>
                <w:rStyle w:val="Hyperlink"/>
                <w:noProof/>
              </w:rPr>
              <w:t>4. Recommendation</w:t>
            </w:r>
            <w:r>
              <w:rPr>
                <w:noProof/>
                <w:webHidden/>
              </w:rPr>
              <w:tab/>
            </w:r>
            <w:r>
              <w:rPr>
                <w:noProof/>
                <w:webHidden/>
              </w:rPr>
              <w:fldChar w:fldCharType="begin"/>
            </w:r>
            <w:r>
              <w:rPr>
                <w:noProof/>
                <w:webHidden/>
              </w:rPr>
              <w:instrText xml:space="preserve"> PAGEREF _Toc203840742 \h </w:instrText>
            </w:r>
            <w:r>
              <w:rPr>
                <w:noProof/>
                <w:webHidden/>
              </w:rPr>
            </w:r>
            <w:r>
              <w:rPr>
                <w:noProof/>
                <w:webHidden/>
              </w:rPr>
              <w:fldChar w:fldCharType="separate"/>
            </w:r>
            <w:r>
              <w:rPr>
                <w:noProof/>
                <w:webHidden/>
              </w:rPr>
              <w:t>14</w:t>
            </w:r>
            <w:r>
              <w:rPr>
                <w:noProof/>
                <w:webHidden/>
              </w:rPr>
              <w:fldChar w:fldCharType="end"/>
            </w:r>
          </w:hyperlink>
        </w:p>
        <w:p w14:paraId="1DE131E8" w14:textId="44A3EF51" w:rsidR="0061544A" w:rsidRDefault="0061544A">
          <w:pPr>
            <w:pStyle w:val="TOC1"/>
            <w:tabs>
              <w:tab w:val="right" w:leader="dot" w:pos="9016"/>
            </w:tabs>
            <w:rPr>
              <w:rFonts w:asciiTheme="minorHAnsi" w:eastAsiaTheme="minorEastAsia" w:hAnsiTheme="minorHAnsi"/>
              <w:noProof/>
              <w:szCs w:val="24"/>
              <w:lang w:eastAsia="en-GB"/>
            </w:rPr>
          </w:pPr>
          <w:hyperlink w:anchor="_Toc203840743" w:history="1">
            <w:r w:rsidRPr="004C0FBF">
              <w:rPr>
                <w:rStyle w:val="Hyperlink"/>
                <w:noProof/>
              </w:rPr>
              <w:t>Bibliography</w:t>
            </w:r>
            <w:r>
              <w:rPr>
                <w:noProof/>
                <w:webHidden/>
              </w:rPr>
              <w:tab/>
            </w:r>
            <w:r>
              <w:rPr>
                <w:noProof/>
                <w:webHidden/>
              </w:rPr>
              <w:fldChar w:fldCharType="begin"/>
            </w:r>
            <w:r>
              <w:rPr>
                <w:noProof/>
                <w:webHidden/>
              </w:rPr>
              <w:instrText xml:space="preserve"> PAGEREF _Toc203840743 \h </w:instrText>
            </w:r>
            <w:r>
              <w:rPr>
                <w:noProof/>
                <w:webHidden/>
              </w:rPr>
            </w:r>
            <w:r>
              <w:rPr>
                <w:noProof/>
                <w:webHidden/>
              </w:rPr>
              <w:fldChar w:fldCharType="separate"/>
            </w:r>
            <w:r>
              <w:rPr>
                <w:noProof/>
                <w:webHidden/>
              </w:rPr>
              <w:t>15</w:t>
            </w:r>
            <w:r>
              <w:rPr>
                <w:noProof/>
                <w:webHidden/>
              </w:rPr>
              <w:fldChar w:fldCharType="end"/>
            </w:r>
          </w:hyperlink>
        </w:p>
        <w:p w14:paraId="7148B344" w14:textId="6344626D" w:rsidR="00134A69" w:rsidRDefault="00134A69">
          <w:r>
            <w:rPr>
              <w:b/>
              <w:bCs/>
              <w:noProof/>
            </w:rPr>
            <w:fldChar w:fldCharType="end"/>
          </w:r>
        </w:p>
      </w:sdtContent>
    </w:sdt>
    <w:p w14:paraId="36D0C5DE" w14:textId="5431A98F" w:rsidR="00781394" w:rsidRPr="00F77057" w:rsidRDefault="00781394" w:rsidP="00F77057">
      <w:pPr>
        <w:pStyle w:val="Heading1"/>
        <w:rPr>
          <w:b/>
          <w:bCs/>
          <w:noProof/>
        </w:rPr>
      </w:pPr>
      <w:bookmarkStart w:id="1" w:name="_Toc203840728"/>
      <w:r>
        <w:lastRenderedPageBreak/>
        <w:t>1. Introduction</w:t>
      </w:r>
      <w:bookmarkEnd w:id="1"/>
    </w:p>
    <w:p w14:paraId="08C361AE" w14:textId="17209025" w:rsidR="00781394" w:rsidRDefault="00781394" w:rsidP="00781394">
      <w:r>
        <w:t xml:space="preserve">Climate change represents one of the most critical global challenges, impacting natural ecosystems, economies, and societies </w:t>
      </w:r>
      <w:r w:rsidR="000B14F9">
        <w:t>worldwide (Chatterjee, Chaudhuri, &amp; Vrontis, 2023). The United Nations Sustainable Development Goals (SDGs) and the Paris Agreement (2015) clearly outline global commitments to limit</w:t>
      </w:r>
      <w:r>
        <w:t xml:space="preserve"> warming below 2°C, </w:t>
      </w:r>
      <w:r w:rsidR="00167090">
        <w:t>with the aim of</w:t>
      </w:r>
      <w:r>
        <w:t xml:space="preserve"> 1.5°C, underscoring the urgency for collective action (UNFCCC, 2015).</w:t>
      </w:r>
    </w:p>
    <w:p w14:paraId="38AB085A" w14:textId="77777777" w:rsidR="00781394" w:rsidRDefault="00781394" w:rsidP="00781394">
      <w:r>
        <w:t>Multinational enterprises (MNEs), with their extensive global reach, bear significant responsibilities to mitigate climate change, given their historical contributions to greenhouse gas emissions (Delmas &amp; Burbano, 2011). At the same time, they possess substantial resources and capabilities to drive transformative sustainability practices (Netto et al., 2020).</w:t>
      </w:r>
    </w:p>
    <w:p w14:paraId="165A6E72" w14:textId="024FC0FD" w:rsidR="00781394" w:rsidRDefault="00781394" w:rsidP="00781394">
      <w:r>
        <w:t xml:space="preserve">This report critically evaluates </w:t>
      </w:r>
      <w:r w:rsidR="000B14F9">
        <w:t>the specific roles, responsibilities, and competencies required of global business leaders</w:t>
      </w:r>
      <w:r>
        <w:t xml:space="preserve"> to effectively tackle climate change, using Unilever as a representative case. Unilever, a global leader in consumer goods, has distinguished itself through proactive sustainability strategies, making it an ideal subject for analysis (McKinsey &amp; Company, 2023; Unilever, 2023).</w:t>
      </w:r>
    </w:p>
    <w:p w14:paraId="457C24C1" w14:textId="7AAD9949" w:rsidR="00781394" w:rsidRDefault="00781394" w:rsidP="00781394">
      <w:r>
        <w:t>The study will draw on established theoretical frameworks, including Hofstede</w:t>
      </w:r>
      <w:r w:rsidR="000B14F9">
        <w:t>'</w:t>
      </w:r>
      <w:r>
        <w:t>s cultural dimensions (2001), Hall</w:t>
      </w:r>
      <w:r w:rsidR="000B14F9">
        <w:t>'</w:t>
      </w:r>
      <w:r>
        <w:t>s communication model, Lewi</w:t>
      </w:r>
      <w:r w:rsidR="000B14F9">
        <w:t>s'</w:t>
      </w:r>
      <w:r>
        <w:t>s model, and the GLOBE project findings (House et al., 2004), a</w:t>
      </w:r>
      <w:r w:rsidR="000B14F9">
        <w:t>s well as</w:t>
      </w:r>
      <w:r>
        <w:t xml:space="preserve"> transformational and transactional leadership models (Bass &amp; Avolio, 2004). These frameworks provide robust insights into how global leaders can effectively navigate complex international contexts and stakeholder relationships.</w:t>
      </w:r>
    </w:p>
    <w:p w14:paraId="24FAA6FB" w14:textId="2207EF9D" w:rsidR="00781394" w:rsidRDefault="00781394" w:rsidP="00781394">
      <w:r>
        <w:t>Ultimately, the report identifies practical recommendations for enhancing global leadership development programmes, aimed at embedding sustainability into organi</w:t>
      </w:r>
      <w:r w:rsidR="000B14F9">
        <w:t>s</w:t>
      </w:r>
      <w:r>
        <w:t xml:space="preserve">ational strategies and equipping leaders to </w:t>
      </w:r>
      <w:r w:rsidR="000B14F9">
        <w:t>manage and mitigate climate-related risks effectively</w:t>
      </w:r>
      <w:r>
        <w:t>, thus contributing positively to a sustainable global economy (Lundby, Moriarty &amp; Lee, 2014).</w:t>
      </w:r>
    </w:p>
    <w:p w14:paraId="2EE1ADD0" w14:textId="132FAD1B" w:rsidR="00781394" w:rsidRDefault="001B2F79" w:rsidP="001B2F79">
      <w:pPr>
        <w:pStyle w:val="Heading1"/>
      </w:pPr>
      <w:bookmarkStart w:id="2" w:name="_Toc203840729"/>
      <w:r>
        <w:lastRenderedPageBreak/>
        <w:t>2. Evaluation</w:t>
      </w:r>
      <w:bookmarkEnd w:id="2"/>
      <w:r>
        <w:t xml:space="preserve"> </w:t>
      </w:r>
    </w:p>
    <w:p w14:paraId="4269FD4C" w14:textId="38AAE2AA" w:rsidR="001B2F79" w:rsidRDefault="001B2F79" w:rsidP="00134A69">
      <w:pPr>
        <w:pStyle w:val="Heading2"/>
        <w:ind w:firstLine="720"/>
      </w:pPr>
      <w:bookmarkStart w:id="3" w:name="_Toc203840730"/>
      <w:r>
        <w:t xml:space="preserve">2.1. </w:t>
      </w:r>
      <w:r w:rsidRPr="001B2F79">
        <w:t>Unique Role and Responsibilities of Global Business Leaders Regarding Climate Change</w:t>
      </w:r>
      <w:bookmarkEnd w:id="3"/>
    </w:p>
    <w:p w14:paraId="6A6ED33E" w14:textId="3F730B28" w:rsidR="001B2F79" w:rsidRDefault="001B2F79" w:rsidP="001B2F79">
      <w:r w:rsidRPr="001B2F79">
        <w:t>Multinational companies (MNCs) occupy a central and influential position in the global response to climate change. Due to their extensive operations and substantial resource capabilities, MNCs are uniquely p</w:t>
      </w:r>
      <w:r w:rsidR="000B14F9">
        <w:t>ositioned to have a significant impact</w:t>
      </w:r>
      <w:r w:rsidRPr="001B2F79">
        <w:t>, both positive and negative, on climate mitigation efforts. Their role can be seen as twofold: on one hand, they are principal contributors to environmental degradation through high levels of resource consumption, emissions, and global supply chains; on the other hand, they hold considerable power and resources to drive sustainable practices, technological innovation, and global policy advocacy (Delmas &amp; Burbano, 2011).</w:t>
      </w:r>
    </w:p>
    <w:p w14:paraId="745AE7F0" w14:textId="0BC7AEA6" w:rsidR="001B2F79" w:rsidRDefault="001B2F79" w:rsidP="00134A69">
      <w:pPr>
        <w:pStyle w:val="Heading3"/>
        <w:ind w:left="720" w:firstLine="720"/>
      </w:pPr>
      <w:bookmarkStart w:id="4" w:name="_Toc203840731"/>
      <w:r>
        <w:t xml:space="preserve">2.1.1. </w:t>
      </w:r>
      <w:r w:rsidRPr="001B2F79">
        <w:t>Arguments For and Against the Leading Role of MNCs</w:t>
      </w:r>
      <w:bookmarkEnd w:id="4"/>
    </w:p>
    <w:p w14:paraId="235AB2E3" w14:textId="77777777" w:rsidR="001B2F79" w:rsidRDefault="001B2F79" w:rsidP="001B2F79">
      <w:r>
        <w:t>There are compelling arguments supporting the notion that MNCs should take a leading role in climate change mitigation. Given their extensive resources, global presence, and technological capabilities, MNCs are positioned to implement innovative and large-scale sustainability solutions effectively. For instance, companies such as Unilever, IKEA, and Patagonia have demonstrated substantial leadership by setting ambitious emission reduction targets, investing in renewable energy sources, and integrating sustainability deeply into their business operations (McKinsey &amp; Company, 2023). Furthermore, due to their influential status, these companies can set industry standards, influence consumer behaviour, and inspire broader systemic change. Their significant research and development capabilities also allow for the advancement of sustainable technologies and practices that can benefit entire industries and regions (Netto et al., 2020).</w:t>
      </w:r>
    </w:p>
    <w:p w14:paraId="4D1DA097" w14:textId="7B6D77EC" w:rsidR="001B2F79" w:rsidRDefault="001B2F79" w:rsidP="001B2F79">
      <w:r>
        <w:lastRenderedPageBreak/>
        <w:t xml:space="preserve">However, there are valid arguments against entrusting MNCs with primary leadership responsibility in climate mitigation. Firstly, their core motivation remains profit generation and </w:t>
      </w:r>
      <w:r w:rsidR="000B14F9">
        <w:t>maximisation of shareholder value</w:t>
      </w:r>
      <w:r>
        <w:t>, which could lead to prioritising economic performance over genuine environmental responsibility. This inherent tension can result in superficial commitments or greenwashing, where companies portray an exaggerated</w:t>
      </w:r>
      <w:r w:rsidR="000B14F9">
        <w:t>ly positive environmental image without taking substantial action (Chatterjee, Chaudhuri,</w:t>
      </w:r>
      <w:r>
        <w:t xml:space="preserve"> &amp; Vrontis, 2023; Netto et al., 2020). Additionally, </w:t>
      </w:r>
      <w:r w:rsidR="000B14F9">
        <w:t>the global scale of MNCs can sometimes allow them to evade stringent environmental regulations by relocating operations to countries with more lenient regulatory frameworks, thereby</w:t>
      </w:r>
      <w:r>
        <w:t xml:space="preserve"> undermining global sustainability goals. Their considerable lobbying power also enables them to influence public policy, which can potentially impede </w:t>
      </w:r>
      <w:r w:rsidR="000B14F9">
        <w:t xml:space="preserve">the implementation of </w:t>
      </w:r>
      <w:r>
        <w:t>strict environmental regulations that might adversely affect their business interests (Delmas &amp; Burbano, 2011).</w:t>
      </w:r>
    </w:p>
    <w:p w14:paraId="52921EDB" w14:textId="0DF7AE42" w:rsidR="001B2F79" w:rsidRDefault="001B2F79" w:rsidP="00134A69">
      <w:pPr>
        <w:pStyle w:val="Heading3"/>
        <w:ind w:left="720" w:firstLine="720"/>
      </w:pPr>
      <w:bookmarkStart w:id="5" w:name="_Toc203840732"/>
      <w:r>
        <w:t xml:space="preserve">2.1.2. </w:t>
      </w:r>
      <w:r w:rsidRPr="001B2F79">
        <w:t>Impact of Proactive versus Obstructive Roles of MNCs</w:t>
      </w:r>
      <w:bookmarkEnd w:id="5"/>
    </w:p>
    <w:p w14:paraId="623550A6" w14:textId="7F0962FC" w:rsidR="001B2F79" w:rsidRDefault="001B2F79" w:rsidP="001B2F79">
      <w:r>
        <w:t xml:space="preserve">The impact of MNCs can significantly differ based on their proactive or obstructive roles in climate change mitigation. Proactive MNCs </w:t>
      </w:r>
      <w:r w:rsidR="000B14F9">
        <w:t>adopt an anticipatory and responsible approach, integrating sustainability into their core strategies, investing in green technologies, and advocating for stringent climate policies (Lundby, Moriarty,</w:t>
      </w:r>
      <w:r>
        <w:t xml:space="preserve"> &amp; Lee, 2014). Companies such as Unilever demonstrate this approach by actively pursuing sustainable product innovation, </w:t>
      </w:r>
      <w:r w:rsidR="000B14F9">
        <w:t>adopting renewable energy, and providing</w:t>
      </w:r>
      <w:r>
        <w:t xml:space="preserve"> transparent climate reporting, thereby positively influencing global supply chains and encouraging other companies to follow suit (Unilever, 2023).</w:t>
      </w:r>
    </w:p>
    <w:p w14:paraId="7446FEBE" w14:textId="50D9AE30" w:rsidR="001B2F79" w:rsidRDefault="001B2F79" w:rsidP="001B2F79">
      <w:r>
        <w:t xml:space="preserve">Conversely, obstructive roles by MNCs can considerably hinder global climate change mitigation efforts. Obstructive MNCs prioritise short-term profitability over long-term sustainability, often resisting regulatory changes, avoiding substantial investment in sustainable practices, or actively lobbying against stricter environmental regulations. Such </w:t>
      </w:r>
      <w:r>
        <w:lastRenderedPageBreak/>
        <w:t xml:space="preserve">actions can perpetuate reliance on fossil fuels, delay the adoption of innovative technologies, and undermine collective global initiatives, </w:t>
      </w:r>
      <w:r w:rsidR="000B14F9">
        <w:t>thereby exacerbating environmental degradation and negatively impacting</w:t>
      </w:r>
      <w:r>
        <w:t xml:space="preserve"> public perceptions of corporate sustainability (Delmas &amp; Burbano, 2011).</w:t>
      </w:r>
    </w:p>
    <w:p w14:paraId="185F010D" w14:textId="7A76B0DD" w:rsidR="001B2F79" w:rsidRDefault="00ED2CBD" w:rsidP="00134A69">
      <w:pPr>
        <w:pStyle w:val="Heading2"/>
        <w:ind w:firstLine="720"/>
      </w:pPr>
      <w:bookmarkStart w:id="6" w:name="_Toc203840733"/>
      <w:r>
        <w:t xml:space="preserve">2.2. </w:t>
      </w:r>
      <w:r w:rsidRPr="00ED2CBD">
        <w:t>Ethical Considerations and Stakeholder Relationships</w:t>
      </w:r>
      <w:bookmarkEnd w:id="6"/>
    </w:p>
    <w:p w14:paraId="3FE2F993" w14:textId="62CAD6CF" w:rsidR="00ED2CBD" w:rsidRDefault="00ED2CBD" w:rsidP="00ED2CBD">
      <w:r>
        <w:t xml:space="preserve">Multinational companies (MNCs) face considerable ethical implications when addressing climate change. The actions of MNCs significantly affect environmental integrity, social equity, and global economic stability. </w:t>
      </w:r>
      <w:r w:rsidR="000E70AB">
        <w:t>Mor</w:t>
      </w:r>
      <w:r>
        <w:t>al considerations arise when evaluating the alignment between companies' declared environmental commitments and their actual operational practices. For instance, greenwashing—where companies misrepresent their e</w:t>
      </w:r>
      <w:r w:rsidR="000E70AB">
        <w:t>cologic</w:t>
      </w:r>
      <w:r>
        <w:t>al performance to enhance public perception—highlights a significant ethical dilemma. It erodes stakeholder trust and hampers meaningful progress in combating climate change (Netto et al., 2020). Ethical integrity demands transparency, accurate disclosure of sustainability impacts, and genuine adherence to environmental commitments.</w:t>
      </w:r>
    </w:p>
    <w:p w14:paraId="05F1E21B" w14:textId="7E17DF8E" w:rsidR="00ED2CBD" w:rsidRDefault="00ED2CBD" w:rsidP="00ED2CBD">
      <w:r>
        <w:t>Moreover, the principle of climate justice demands that MNCs recogni</w:t>
      </w:r>
      <w:r w:rsidR="000B14F9">
        <w:t>s</w:t>
      </w:r>
      <w:r>
        <w:t>e their responsibilities beyond mere regulatory compliance. Companies must acknowledge their role in the disproportionate impacts of climate change, which often adversely affect vulnerable communities, despite these communities typically contributing the least to global emissions (Chatterjee, Chaudhuri &amp; Vrontis, 2023). Ethically responsible businesses must integrate fairness, accountability, and social responsibility into their climate strategies, striving to mitigate inequalities and deliver just outcomes for all stakeholders involved (UN Global Compact, 2015).</w:t>
      </w:r>
    </w:p>
    <w:p w14:paraId="0ADDF954" w14:textId="1CE3ED56" w:rsidR="00ED2CBD" w:rsidRDefault="00ED2CBD" w:rsidP="00134A69">
      <w:pPr>
        <w:pStyle w:val="Heading3"/>
        <w:ind w:left="1440"/>
      </w:pPr>
      <w:bookmarkStart w:id="7" w:name="_Toc203840734"/>
      <w:r>
        <w:lastRenderedPageBreak/>
        <w:t xml:space="preserve">2.2.1. </w:t>
      </w:r>
      <w:r w:rsidRPr="00ED2CBD">
        <w:t>Role of Business Ethics and Understanding Stakeholder Expectations</w:t>
      </w:r>
      <w:bookmarkEnd w:id="7"/>
    </w:p>
    <w:p w14:paraId="6077D4E5" w14:textId="7179998F" w:rsidR="00ED2CBD" w:rsidRDefault="00ED2CBD" w:rsidP="00ED2CBD">
      <w:r>
        <w:t>Business ethics play a pivotal role in guiding MNCs</w:t>
      </w:r>
      <w:r w:rsidR="000B14F9">
        <w:t>'</w:t>
      </w:r>
      <w:r>
        <w:t xml:space="preserve"> strategic and operational responses to climate change. Ethical leadership within multinational companies </w:t>
      </w:r>
      <w:r w:rsidR="000B14F9">
        <w:t>enables the navigation of complex decisions and the reconciliation of economic objectives with environmental and social responsibilities (Lundby, Moriarty,</w:t>
      </w:r>
      <w:r>
        <w:t xml:space="preserve"> &amp; Lee, 2014). Business ethics influence companies</w:t>
      </w:r>
      <w:r w:rsidR="000B14F9">
        <w:t>'</w:t>
      </w:r>
      <w:r>
        <w:t xml:space="preserve"> internal and external practices, ensuring they uphold high standards of corporate governance, compl</w:t>
      </w:r>
      <w:r w:rsidR="000B14F9">
        <w:t>y with international environmental regulations, and engage genuinely with stakeholders</w:t>
      </w:r>
      <w:r>
        <w:t>. Companies with strong ethical foundations, such as Unilever and IKEA, actively integrate sustainability goals into their core business strategies, fostering long-term trust and loyalty from stakeholders.</w:t>
      </w:r>
    </w:p>
    <w:p w14:paraId="0B774B8C" w14:textId="18BB5C77" w:rsidR="00ED2CBD" w:rsidRDefault="00ED2CBD" w:rsidP="00ED2CBD">
      <w:r>
        <w:t>Understanding and meeting the diverse expectations of stakeholders is critical for effective climate leadership. Different stakeholders, including investors, governments, consumers, local communities, and employees, have varied priorities and concerns regarding climate change. Investors typically seek robust financial returns and strong environmental, social, and governance (ESG) performance, while consumers increasingly demand eco-friendly products and transparency in sustainability practices (McKinsey &amp; Company, 2023). MNCs must proactively engage with stakeholders through clear</w:t>
      </w:r>
      <w:r w:rsidR="000B14F9">
        <w:t xml:space="preserve"> and regular communication, as well as collaborative decision-making processes, which can foster stakeholder trust, ensure th</w:t>
      </w:r>
      <w:r>
        <w:t>e effective alignment of interests, and enhance corporate reputation (Deloitte, 2019).</w:t>
      </w:r>
    </w:p>
    <w:p w14:paraId="41B109C2" w14:textId="2D7457DD" w:rsidR="00ED2CBD" w:rsidRDefault="00ED2CBD" w:rsidP="00134A69">
      <w:pPr>
        <w:pStyle w:val="Heading3"/>
        <w:ind w:left="720" w:firstLine="720"/>
      </w:pPr>
      <w:bookmarkStart w:id="8" w:name="_Toc203840735"/>
      <w:r>
        <w:t xml:space="preserve">2.2.2. </w:t>
      </w:r>
      <w:r w:rsidRPr="00ED2CBD">
        <w:t>Modes of Engagement with International Markets</w:t>
      </w:r>
      <w:bookmarkEnd w:id="8"/>
    </w:p>
    <w:p w14:paraId="46C6F6BC" w14:textId="62DD8E3D" w:rsidR="00ED2CBD" w:rsidRDefault="00ED2CBD" w:rsidP="00ED2CBD">
      <w:r w:rsidRPr="00ED2CBD">
        <w:t xml:space="preserve">Effective stakeholder engagement in international markets involves tailored approaches to accommodate differing cultural norms, expectations, and regulatory environments. MNCs must navigate complex political, economic, ecological, legal, and cultural landscapes that </w:t>
      </w:r>
      <w:r w:rsidRPr="00ED2CBD">
        <w:lastRenderedPageBreak/>
        <w:t xml:space="preserve">vary significantly across different regions. For example, stringent environmental regulations in Europe (e.g., </w:t>
      </w:r>
      <w:r w:rsidR="000B14F9">
        <w:t>the EU's Corporate Sustainability Reporting Directive) demand comprehensive transparency and rigorous environmental disclosures, whereas developing countries may</w:t>
      </w:r>
      <w:r w:rsidRPr="00ED2CBD">
        <w:t xml:space="preserve"> offer weaker regulatory frameworks, potentially creating ethical and operational dilemmas (UN Global Compact, 2015). Successful engagement requires a nuanced understanding of local contexts, culturally sensitive strategies, and collaborative partnerships with local stakeholders to ensure meaningful and context-specific climate action.</w:t>
      </w:r>
    </w:p>
    <w:p w14:paraId="28608213" w14:textId="6A6D7065" w:rsidR="00ED2CBD" w:rsidRDefault="00ED2CBD" w:rsidP="00134A69">
      <w:pPr>
        <w:pStyle w:val="Heading3"/>
        <w:ind w:left="720" w:firstLine="720"/>
      </w:pPr>
      <w:bookmarkStart w:id="9" w:name="_Toc203840736"/>
      <w:r>
        <w:t xml:space="preserve">2.2.3. </w:t>
      </w:r>
      <w:r w:rsidRPr="00ED2CBD">
        <w:t>Interconnectedness of Economic, Legal, Political, Ecological, and Cultural Environments</w:t>
      </w:r>
      <w:bookmarkEnd w:id="9"/>
    </w:p>
    <w:p w14:paraId="7E07CCEB" w14:textId="67209D38" w:rsidR="00ED2CBD" w:rsidRDefault="00ED2CBD" w:rsidP="00ED2CBD">
      <w:r>
        <w:t xml:space="preserve">The interconnectedness between economic, legal, political, ecological, and cultural environments </w:t>
      </w:r>
      <w:r w:rsidR="000B14F9">
        <w:t>significantly influences multinational companies' ability to implement effective climate strategies</w:t>
      </w:r>
      <w:r>
        <w:t xml:space="preserve">. Economic factors, such as market conditions and consumer demand, determine the feasibility of sustainable initiatives, while legal frameworks set the regulatory boundaries within which companies operate (Delmas &amp; Burbano, 2011). Political environments, shaped by international agreements and national policies, influence companies' strategic responses, </w:t>
      </w:r>
      <w:r w:rsidR="000B14F9">
        <w:t>underscoring the need for proactive advocacy and alignment with global climate commitments, such as</w:t>
      </w:r>
      <w:r>
        <w:t xml:space="preserve"> the Paris Agreement (UNFCCC, 2015).</w:t>
      </w:r>
    </w:p>
    <w:p w14:paraId="756865AF" w14:textId="0F834FA5" w:rsidR="00ED2CBD" w:rsidRDefault="00ED2CBD" w:rsidP="00ED2CBD">
      <w:r>
        <w:t xml:space="preserve">Ecological factors, particularly </w:t>
      </w:r>
      <w:r w:rsidR="000B14F9">
        <w:t>the availability of natural resources and climate risks, directly impact operational sustainability and necessitat</w:t>
      </w:r>
      <w:r>
        <w:t>e adaptive and innovative solutions. Cultural factors significantly influence employee and consumer attitudes towards sustainability, necessitating culturally competent leadership and contextually tailored sustainability practices (House et al., 2004; Hofstede, 2001). For example, companies operating in collectivist cultures may benefit from approaches that emphasi</w:t>
      </w:r>
      <w:r w:rsidR="000B14F9">
        <w:t>s</w:t>
      </w:r>
      <w:r>
        <w:t>e collective responsibility and community-oriented sustainability efforts</w:t>
      </w:r>
      <w:r w:rsidR="000B14F9">
        <w:t>. In contrast,</w:t>
      </w:r>
      <w:r>
        <w:t xml:space="preserve"> individualist cultures may respond </w:t>
      </w:r>
      <w:r w:rsidR="000B14F9">
        <w:lastRenderedPageBreak/>
        <w:t>more effectively to initiatives that promote</w:t>
      </w:r>
      <w:r>
        <w:t xml:space="preserve"> personal accountability and individual incentives (House et al., 2004).</w:t>
      </w:r>
    </w:p>
    <w:p w14:paraId="3D15DEF2" w14:textId="4628648C" w:rsidR="00ED2CBD" w:rsidRDefault="00ED2CBD" w:rsidP="00134A69">
      <w:pPr>
        <w:pStyle w:val="Heading3"/>
        <w:ind w:left="720" w:firstLine="720"/>
      </w:pPr>
      <w:bookmarkStart w:id="10" w:name="_Toc203840737"/>
      <w:r>
        <w:t xml:space="preserve">2.2.4. </w:t>
      </w:r>
      <w:r w:rsidRPr="00ED2CBD">
        <w:t>Contemporary Global Issues: Responsible Stewardship, Diversity, Inclusion, Ethics, and Intercultural Awareness</w:t>
      </w:r>
      <w:bookmarkEnd w:id="10"/>
    </w:p>
    <w:p w14:paraId="7EB4CC07" w14:textId="1727E9B3" w:rsidR="00ED2CBD" w:rsidRDefault="00ED2CBD" w:rsidP="00ED2CBD">
      <w:r>
        <w:t>Contemporary global issues</w:t>
      </w:r>
      <w:r w:rsidR="000B14F9">
        <w:t>, such as responsible stewardship, diversity, inclusion, ethics, and intercultural awareness, are increasingly integral to MNCs' climate leadership strategies. Responsible stewardship requires companies to consider long-term environmental, social, and economic consequences, emphasising resource conservation, biodiversity protection, and minimising</w:t>
      </w:r>
      <w:r>
        <w:t xml:space="preserve"> ecological footprints (UN Global Compact, 2015).</w:t>
      </w:r>
    </w:p>
    <w:p w14:paraId="79042F43" w14:textId="77777777" w:rsidR="00ED2CBD" w:rsidRDefault="00ED2CBD" w:rsidP="00ED2CBD">
      <w:r>
        <w:t>Diversity and inclusion initiatives enhance innovation, creativity, and problem-solving capabilities, vital for developing robust and context-sensitive sustainability strategies. Diverse teams bring multiple perspectives, leading to more comprehensive and inclusive approaches to climate change mitigation (Deloitte, 2019).</w:t>
      </w:r>
    </w:p>
    <w:p w14:paraId="025CAB35" w14:textId="30960DF5" w:rsidR="00ED2CBD" w:rsidRDefault="00ED2CBD" w:rsidP="00ED2CBD">
      <w:r>
        <w:t>Finally, heightened intercultural awareness is essential for effective global climate leadership. Leaders who understand and value cultural diversity can better engage stakeholders across different cultural contexts, ensuring that climate initiatives are meaningful, relevant, and widely supported. Integrating intercultural competence within leadership development programmes enhances global collaboration and fosters a unified and effective response to the climate crisis (Lundby, Moriarty &amp; Lee, 2014).</w:t>
      </w:r>
    </w:p>
    <w:p w14:paraId="7803349F" w14:textId="059165F5" w:rsidR="00ED2CBD" w:rsidRDefault="00ED2CBD" w:rsidP="00134A69">
      <w:pPr>
        <w:pStyle w:val="Heading2"/>
        <w:ind w:firstLine="720"/>
      </w:pPr>
      <w:bookmarkStart w:id="11" w:name="_Toc203840738"/>
      <w:r>
        <w:t xml:space="preserve">2.3. </w:t>
      </w:r>
      <w:r w:rsidRPr="00ED2CBD">
        <w:t>Business Benefits Derived from Climate Leadership</w:t>
      </w:r>
      <w:bookmarkEnd w:id="11"/>
    </w:p>
    <w:p w14:paraId="389EBFAA" w14:textId="1928CBE9" w:rsidR="00ED2CBD" w:rsidRDefault="00ED2CBD" w:rsidP="00ED2CBD">
      <w:r>
        <w:t>Global leadership competencies, as identified by frameworks such as the GLOBE Project (House et al., 2004) and Hofstede</w:t>
      </w:r>
      <w:r w:rsidR="000B14F9">
        <w:t>'</w:t>
      </w:r>
      <w:r>
        <w:t xml:space="preserve">s cultural dimensions (Hofstede, 2001), play a significant role in determining how effectively multinational enterprises (MNEs) manage climate-related issues and achieve sustainable outcomes. The GLOBE Project highlights competencies such </w:t>
      </w:r>
      <w:r>
        <w:lastRenderedPageBreak/>
        <w:t>as charismatic/value-based, team-oriented, participative, and humane-oriented leadership as essential for successfully navigating global challenges, including climate change (House et al., 2004). Charismatic/value-based leaders inspire collective action through visionary goals and foster a deep organisational commitment to sustainability. Similarly, team-oriented leadership facilitates collaborative efforts across organisational boundaries, driving collective action toward climate goals.</w:t>
      </w:r>
    </w:p>
    <w:p w14:paraId="60EA4D7D" w14:textId="52534A31" w:rsidR="00ED2CBD" w:rsidRDefault="00ED2CBD" w:rsidP="00ED2CBD">
      <w:r>
        <w:t>Applying Hofstede</w:t>
      </w:r>
      <w:r w:rsidR="000B14F9">
        <w:t>'</w:t>
      </w:r>
      <w:r>
        <w:t>s cultural dimensions provides valuable insights into how different cultural contexts influence leadership effectiveness. For instance, leaders operating in low</w:t>
      </w:r>
      <w:r w:rsidR="000B14F9">
        <w:t>-power-distance societies may successfully implement participative and inclusive sustainability strategies, enabling effective bottom-up engagement in climate action initiatives (Hofstede, 2001). Conversely, in higher-</w:t>
      </w:r>
      <w:r>
        <w:t>power-distance cultures, effective leaders may adopt more directive approaches to sustainability, leveraging hierarchical structures to enforce robust sustainability standards and practices. Understanding and adapting to these cultural dimensions are crucial for leaders in driving meaningful climate actions and achieving sustainability goals globally (House et al., 2004; Hofstede, 2001).</w:t>
      </w:r>
    </w:p>
    <w:p w14:paraId="0D3D9FFE" w14:textId="3182311A" w:rsidR="00ED2CBD" w:rsidRDefault="00ED2CBD" w:rsidP="00134A69">
      <w:pPr>
        <w:pStyle w:val="Heading3"/>
        <w:ind w:left="720" w:firstLine="720"/>
      </w:pPr>
      <w:bookmarkStart w:id="12" w:name="_Toc203840739"/>
      <w:r>
        <w:t xml:space="preserve">2.3.1. </w:t>
      </w:r>
      <w:r w:rsidRPr="00ED2CBD">
        <w:t>The Value of Leadership Development Programmes in Achieving Sustainability Goals</w:t>
      </w:r>
      <w:bookmarkEnd w:id="12"/>
    </w:p>
    <w:p w14:paraId="3049893B" w14:textId="49D52F34" w:rsidR="00ED2CBD" w:rsidRDefault="00ED2CBD" w:rsidP="00ED2CBD">
      <w:r>
        <w:t>Leadership development programmes are integral to equipping global leaders with the necessary skills, knowledge, and ethical awareness to tackle climate change effectively (Lundby, Moriarty</w:t>
      </w:r>
      <w:r w:rsidR="000B14F9">
        <w:t>, &amp; Lee, 2014). Structured leadership programmes, designed explicitly around sustainability,</w:t>
      </w:r>
      <w:r>
        <w:t xml:space="preserve"> enable leaders to enhance their strategic thinking, ethical decision-making, and stakeholder management skills. These programmes foster leaders' abilities to integrate sustainability into core business operations, ensuring alignment between organisational strategies and global sustainability standards, such as those outlined in the United Nations Sustainable Development Goals (SDGs) (UNFCCC, 2015).</w:t>
      </w:r>
    </w:p>
    <w:p w14:paraId="750CEACE" w14:textId="102279CC" w:rsidR="00ED2CBD" w:rsidRDefault="00ED2CBD" w:rsidP="00ED2CBD">
      <w:r>
        <w:lastRenderedPageBreak/>
        <w:t>Moreover, targeted leadership development initiatives can cultivate the competencies required to manage complex global challenges, including intercultural competence, strategic foresight, and innovation management. These programmes often involve scenario planning, stakeholder engagement training, ethical leadership frameworks, and crisis management exercises, which collectively build robust leadership capabilities. Consequently, organisations that invest in comprehensive leadership development programmes are better positioned to meet their sustainability targets and respond effectively to evolving global environmental challenges (Deloitte, 2019).</w:t>
      </w:r>
    </w:p>
    <w:p w14:paraId="4D5C88B2" w14:textId="53F11BEB" w:rsidR="00ED2CBD" w:rsidRDefault="00ED2CBD" w:rsidP="00134A69">
      <w:pPr>
        <w:pStyle w:val="Heading3"/>
        <w:ind w:left="720" w:firstLine="720"/>
      </w:pPr>
      <w:bookmarkStart w:id="13" w:name="_Toc203840740"/>
      <w:r>
        <w:t xml:space="preserve">2.3.2. </w:t>
      </w:r>
      <w:r w:rsidRPr="00ED2CBD">
        <w:t>Analysis of Real Company Examples in Climate Leadership</w:t>
      </w:r>
      <w:bookmarkEnd w:id="13"/>
    </w:p>
    <w:p w14:paraId="5C536310" w14:textId="7079C291" w:rsidR="00ED2CBD" w:rsidRDefault="00ED2CBD" w:rsidP="00ED2CBD">
      <w:r w:rsidRPr="00ED2CBD">
        <w:rPr>
          <w:b/>
          <w:bCs/>
        </w:rPr>
        <w:t>Unilever</w:t>
      </w:r>
      <w:r>
        <w:t xml:space="preserve"> has established itself as a global leader in climate action through </w:t>
      </w:r>
      <w:r w:rsidR="000B14F9">
        <w:t>its comprehensive sustainability commitments and transparent reporting. The company's ambitious Climate Transition Action Plan, which targets net-zero emissions by 2039, demonstrates a</w:t>
      </w:r>
      <w:r>
        <w:t xml:space="preserve"> strategic alignment of corporate objectives with global climate commitments. Unilever</w:t>
      </w:r>
      <w:r w:rsidR="000B14F9">
        <w:t>'</w:t>
      </w:r>
      <w:r>
        <w:t>s proactive leadership in sustainability has positively impacted its reputation, enhanced consumer trust, attracted environmentally conscious talent, and improved long-term profitability and market competitiveness (Unilever, 2023).</w:t>
      </w:r>
    </w:p>
    <w:p w14:paraId="060C3395" w14:textId="0E52C379" w:rsidR="00ED2CBD" w:rsidRDefault="00ED2CBD" w:rsidP="00ED2CBD">
      <w:r w:rsidRPr="00ED2CBD">
        <w:rPr>
          <w:b/>
          <w:bCs/>
        </w:rPr>
        <w:t>IKEA</w:t>
      </w:r>
      <w:r>
        <w:t xml:space="preserve"> similarly exemplifies strong climate leadership by </w:t>
      </w:r>
      <w:r w:rsidR="000B14F9">
        <w:t>integrating sustainability into its corporate strategy, aiming to become climate-</w:t>
      </w:r>
      <w:r>
        <w:t>positive by 2030. IKEA</w:t>
      </w:r>
      <w:r w:rsidR="000B14F9">
        <w:t>'</w:t>
      </w:r>
      <w:r>
        <w:t>s leadership in sustainable sourcing, renewable energy adoption, and circular economy initiatives has substantially reduced its environmental footprint, strengthened its brand image, and enhanced its competitive advantage. The company's sustainability-driven approach has positively influenced customer loyalty, market positioning, and stakeholder relationships (McKinsey &amp; Company, 2023).</w:t>
      </w:r>
    </w:p>
    <w:p w14:paraId="1D239BA5" w14:textId="7838BBB9" w:rsidR="00ED2CBD" w:rsidRDefault="00ED2CBD" w:rsidP="00ED2CBD">
      <w:r w:rsidRPr="00ED2CBD">
        <w:rPr>
          <w:b/>
          <w:bCs/>
        </w:rPr>
        <w:t>Morganstone</w:t>
      </w:r>
      <w:r>
        <w:t xml:space="preserve">, a leading Welsh construction company, demonstrates successful climate leadership at a regional level by integrating sustainable practices into its construction </w:t>
      </w:r>
      <w:r>
        <w:lastRenderedPageBreak/>
        <w:t xml:space="preserve">operations and supply chains. Through </w:t>
      </w:r>
      <w:r w:rsidR="000B14F9">
        <w:t xml:space="preserve">the use of </w:t>
      </w:r>
      <w:r>
        <w:t xml:space="preserve">innovative technologies, sustainable building materials, and energy-efficient designs, Morganstone has </w:t>
      </w:r>
      <w:r w:rsidR="000E70AB">
        <w:t>made significant contributions</w:t>
      </w:r>
      <w:r>
        <w:t xml:space="preserve"> to regional sustainability goals. This proactive stance has enhanced its competitive advantage in a market increasingly demanding sustainable solutions, improved its community relations, and strengthened its overall reputation.</w:t>
      </w:r>
    </w:p>
    <w:p w14:paraId="7A16CB79" w14:textId="292D4CDD" w:rsidR="00ED2CBD" w:rsidRDefault="00ED2CBD" w:rsidP="00ED2CBD">
      <w:r w:rsidRPr="00ED2CBD">
        <w:rPr>
          <w:b/>
          <w:bCs/>
        </w:rPr>
        <w:t>Welsh Water</w:t>
      </w:r>
      <w:r>
        <w:t xml:space="preserve"> exemplifies responsible stewardship and effective climate leadership within the water utilities sector. Its comprehensive approach to sustainability includes climate resilience initiatives, biodiversity enhancement, and significant investment in renewable energy sources. Welsh Water</w:t>
      </w:r>
      <w:r w:rsidR="000B14F9">
        <w:t>'</w:t>
      </w:r>
      <w:r>
        <w:t xml:space="preserve">s strategic sustainability efforts have not only mitigated environmental risks but also </w:t>
      </w:r>
      <w:r w:rsidR="000B14F9">
        <w:t>enhanced operational efficiency, improved regulatory compliance, and fostere</w:t>
      </w:r>
      <w:r>
        <w:t>d stakeholder trust (Welsh Water, 2023).</w:t>
      </w:r>
    </w:p>
    <w:p w14:paraId="2C4E494A" w14:textId="4F193E11" w:rsidR="00ED2CBD" w:rsidRDefault="00ED2CBD" w:rsidP="00ED2CBD">
      <w:r>
        <w:t>Conversely, cases of ineffective climate leadership, such as the Volkswagen emissions scandal, illustrate the severe consequences of obstructive or unethical approaches to sustainability. Volkswagen</w:t>
      </w:r>
      <w:r w:rsidR="000B14F9">
        <w:t>'</w:t>
      </w:r>
      <w:r>
        <w:t>s deliberate deception in emissions reporting significantly damaged its corporate reputation, led to severe financial penalties, and resulted in a long-lasting loss of consumer trust. This example underscores the importance of transparency, ethical integrity, and genuine commitment in climate leadership (Netto et al., 2020).</w:t>
      </w:r>
    </w:p>
    <w:p w14:paraId="48C0391D" w14:textId="77777777" w:rsidR="00134A69" w:rsidRDefault="00134A69" w:rsidP="00ED2CBD"/>
    <w:p w14:paraId="0C58301B" w14:textId="77777777" w:rsidR="00134A69" w:rsidRDefault="00134A69" w:rsidP="00ED2CBD"/>
    <w:p w14:paraId="249911B3" w14:textId="77777777" w:rsidR="00134A69" w:rsidRDefault="00134A69" w:rsidP="00ED2CBD"/>
    <w:p w14:paraId="716E724E" w14:textId="77777777" w:rsidR="00134A69" w:rsidRDefault="00134A69" w:rsidP="00ED2CBD"/>
    <w:p w14:paraId="62F15A51" w14:textId="27D1CE96" w:rsidR="00ED2CBD" w:rsidRDefault="00ED2CBD" w:rsidP="00ED2CBD">
      <w:pPr>
        <w:pStyle w:val="Heading1"/>
      </w:pPr>
      <w:bookmarkStart w:id="14" w:name="_Toc203840741"/>
      <w:r>
        <w:lastRenderedPageBreak/>
        <w:t>3. Conclusion</w:t>
      </w:r>
      <w:bookmarkEnd w:id="14"/>
    </w:p>
    <w:p w14:paraId="61FF196A" w14:textId="466CAADE" w:rsidR="00ED2CBD" w:rsidRDefault="00ED2CBD" w:rsidP="00ED2CBD">
      <w:r>
        <w:t xml:space="preserve">In conclusion, this report critically evaluates the unique and pivotal role of global business leaders and multinational corporations (MNCs) in mitigating climate change, highlighting their significant responsibilities, ethical considerations, and potential business benefits. </w:t>
      </w:r>
      <w:r w:rsidR="000B14F9">
        <w:t>G</w:t>
      </w:r>
      <w:r>
        <w:t>lobal leaders have a crucial responsibility to proactively embed sustainability into strategic decision-making, leveraging their resources, influence, and capabilities to drive meaningful change. However, their effectiveness in addressing climate change fundamentally depends on their ability to align strategic business objectives with ethical standards, stakeholder expectations, and global sustainability norms.</w:t>
      </w:r>
    </w:p>
    <w:p w14:paraId="127EDF96" w14:textId="707F3F8D" w:rsidR="00ED2CBD" w:rsidRDefault="00ED2CBD" w:rsidP="00ED2CBD">
      <w:r>
        <w:t>The analysis demonstrates that leadership competencies, particularly those outlined by the GLOBE Project and Hofstede</w:t>
      </w:r>
      <w:r w:rsidR="000B14F9">
        <w:t>'</w:t>
      </w:r>
      <w:r>
        <w:t xml:space="preserve">s cultural dimensions, </w:t>
      </w:r>
      <w:r w:rsidR="000B14F9">
        <w:t>have a significant impact on</w:t>
      </w:r>
      <w:r>
        <w:t xml:space="preserve"> the effectiveness of climate leadership. Competencies such as charismatic, transformational, and team-oriented leadership were identified as instrumental in facilitating sustainable practices. Conversely, culturally sensitive, inclusive, and transparent leadership practices help navigate diverse stakeholder expectations and regulatory environments. Companies </w:t>
      </w:r>
      <w:r w:rsidR="000B14F9">
        <w:t>such as Unilever and IKEA exemplify the potential business benefits derived from robust climate leadership, including an</w:t>
      </w:r>
      <w:r>
        <w:t xml:space="preserve"> enhanced corporate reputation, competitive advantage, operational efficiency, and stakeholder trust.</w:t>
      </w:r>
    </w:p>
    <w:p w14:paraId="10490FC7" w14:textId="0EA78145" w:rsidR="00ED2CBD" w:rsidRDefault="00ED2CBD" w:rsidP="00ED2CBD">
      <w:r>
        <w:t>Conversely, cases such as Volkswagen's emissions scandal illustrate the severe consequences that unethical or obstructive leadership can entail, emphasi</w:t>
      </w:r>
      <w:r w:rsidR="000B14F9">
        <w:t>s</w:t>
      </w:r>
      <w:r>
        <w:t>ing the importance of transparency, genuine commitment, and accountability. The interconnectedness of economic, legal, political, ecological, and cultural factors underscores the complexity and multifaceted nature of global climate leadership, demanding comprehensive and context-specific leadership development programmes to prepare leaders effectively.</w:t>
      </w:r>
    </w:p>
    <w:p w14:paraId="15ABBAA7" w14:textId="4B5C37CC" w:rsidR="00ED2CBD" w:rsidRDefault="00ED2CBD" w:rsidP="00ED2CBD">
      <w:pPr>
        <w:pStyle w:val="Heading1"/>
      </w:pPr>
      <w:bookmarkStart w:id="15" w:name="_Toc203840742"/>
      <w:r>
        <w:lastRenderedPageBreak/>
        <w:t>4. Recom</w:t>
      </w:r>
      <w:r w:rsidR="000B14F9">
        <w:t>me</w:t>
      </w:r>
      <w:r>
        <w:t>ndation</w:t>
      </w:r>
      <w:bookmarkEnd w:id="15"/>
    </w:p>
    <w:p w14:paraId="2C3BEA07" w14:textId="77777777" w:rsidR="00ED2CBD" w:rsidRDefault="00ED2CBD" w:rsidP="00ED2CBD">
      <w:r>
        <w:t>To practically and effectively incorporate climate leadership into strategies, management practices, and leadership development programmes, the following recommendations are proposed:</w:t>
      </w:r>
    </w:p>
    <w:p w14:paraId="118DD49B" w14:textId="22C40701" w:rsidR="00ED2CBD" w:rsidRDefault="00ED2CBD" w:rsidP="00ED2CBD">
      <w:pPr>
        <w:pStyle w:val="ListParagraph"/>
        <w:numPr>
          <w:ilvl w:val="0"/>
          <w:numId w:val="2"/>
        </w:numPr>
      </w:pPr>
      <w:r>
        <w:t xml:space="preserve">Embed </w:t>
      </w:r>
      <w:r w:rsidR="000B14F9">
        <w:t>s</w:t>
      </w:r>
      <w:r>
        <w:t>ustainability Strategically: MNCs should integrate clear, ambitious, and measurable sustainability goals into their core business strategies, aligning closely with frameworks such as the Paris Agreement and UN SDGs.</w:t>
      </w:r>
    </w:p>
    <w:p w14:paraId="0921EB6B" w14:textId="2C97A9FF" w:rsidR="00ED2CBD" w:rsidRDefault="00ED2CBD" w:rsidP="00ED2CBD">
      <w:pPr>
        <w:pStyle w:val="ListParagraph"/>
        <w:numPr>
          <w:ilvl w:val="0"/>
          <w:numId w:val="2"/>
        </w:numPr>
      </w:pPr>
      <w:r>
        <w:t>Enhance Leadership Development Programmes: Invest in comprehensive, tailored leadership development programmes that build competencies in climate literacy, ethical decision-making, intercultural awareness, stakeholder engagement, and strategic innovation.</w:t>
      </w:r>
    </w:p>
    <w:p w14:paraId="755128AE" w14:textId="42955E82" w:rsidR="00ED2CBD" w:rsidRDefault="00ED2CBD" w:rsidP="00ED2CBD">
      <w:pPr>
        <w:pStyle w:val="ListParagraph"/>
        <w:numPr>
          <w:ilvl w:val="0"/>
          <w:numId w:val="2"/>
        </w:numPr>
      </w:pPr>
      <w:r>
        <w:t>Transparency and Accountability: Implement rigorous sustainability reporting and disclosure frameworks, such as those outlined by the Corporate Sustainability Reporting Directive (CSRD), to ensure accountability, build stakeholder trust, and mitigate the risks of greenwashing.</w:t>
      </w:r>
    </w:p>
    <w:p w14:paraId="45929FFC" w14:textId="6680DCB3" w:rsidR="00ED2CBD" w:rsidRDefault="00ED2CBD" w:rsidP="00ED2CBD">
      <w:pPr>
        <w:pStyle w:val="ListParagraph"/>
        <w:numPr>
          <w:ilvl w:val="0"/>
          <w:numId w:val="2"/>
        </w:numPr>
      </w:pPr>
      <w:r>
        <w:t>Stakeholder Engagement and Collaboration: Engage proactively and consistently with diverse stakeholders, including suppliers, customers, governments, and local communities, fostering collaboration and co-creation of climate solutions.</w:t>
      </w:r>
    </w:p>
    <w:p w14:paraId="25105B4B" w14:textId="14FF1CAD" w:rsidR="00ED2CBD" w:rsidRDefault="00ED2CBD" w:rsidP="00ED2CBD">
      <w:pPr>
        <w:pStyle w:val="ListParagraph"/>
        <w:numPr>
          <w:ilvl w:val="0"/>
          <w:numId w:val="2"/>
        </w:numPr>
      </w:pPr>
      <w:r>
        <w:t>Cultural Sensitivity and Inclusivity: Incorporate cultural awareness and inclusivity in global climate strategies, ensuring that leadership practices are contextually appropriate, culturally sensitive, and responsive to local expectations and conditions.</w:t>
      </w:r>
    </w:p>
    <w:p w14:paraId="65AD33A5" w14:textId="6007829C" w:rsidR="00F77057" w:rsidRDefault="00ED2CBD" w:rsidP="00ED2CBD">
      <w:pPr>
        <w:pStyle w:val="ListParagraph"/>
        <w:numPr>
          <w:ilvl w:val="0"/>
          <w:numId w:val="2"/>
        </w:numPr>
      </w:pPr>
      <w:r>
        <w:t>Climate Justice and Ethical Practices: Prioritise climate justice and ethical leadership by addressing the disproportionate impacts of climate change on vulnerable communities, ensuring fair treatment, equitable outcomes, and responsible stewardship across all global operations.</w:t>
      </w:r>
    </w:p>
    <w:p w14:paraId="4E5BBED6" w14:textId="24B0B9C4" w:rsidR="003207CD" w:rsidRDefault="00134A69" w:rsidP="003207CD">
      <w:pPr>
        <w:pStyle w:val="Heading1"/>
      </w:pPr>
      <w:bookmarkStart w:id="16" w:name="_Toc203840743"/>
      <w:r>
        <w:lastRenderedPageBreak/>
        <w:t>B</w:t>
      </w:r>
      <w:r w:rsidR="003207CD">
        <w:t>ibliography</w:t>
      </w:r>
      <w:bookmarkEnd w:id="16"/>
    </w:p>
    <w:p w14:paraId="1053D223" w14:textId="77777777" w:rsidR="000E70AB" w:rsidRPr="000E70AB" w:rsidRDefault="000E70AB" w:rsidP="000E70AB">
      <w:pPr>
        <w:pStyle w:val="NormalWeb"/>
      </w:pPr>
      <w:r w:rsidRPr="000E70AB">
        <w:rPr>
          <w:rStyle w:val="Strong"/>
          <w:rFonts w:eastAsiaTheme="majorEastAsia"/>
          <w:b w:val="0"/>
          <w:bCs w:val="0"/>
        </w:rPr>
        <w:t>Abrahams, N.R. &amp; Morgan (2017)</w:t>
      </w:r>
      <w:r w:rsidRPr="000E70AB">
        <w:t xml:space="preserve"> </w:t>
      </w:r>
      <w:r w:rsidRPr="000E70AB">
        <w:rPr>
          <w:rStyle w:val="Emphasis"/>
          <w:rFonts w:eastAsiaTheme="majorEastAsia"/>
        </w:rPr>
        <w:t>Managing Cultural Differences: Global Leadership for the 21st Century.</w:t>
      </w:r>
      <w:r w:rsidRPr="000E70AB">
        <w:t xml:space="preserve"> UK: Routledge.</w:t>
      </w:r>
    </w:p>
    <w:p w14:paraId="7AB1345B" w14:textId="77777777" w:rsidR="000E70AB" w:rsidRPr="000E70AB" w:rsidRDefault="000E70AB" w:rsidP="000E70AB">
      <w:pPr>
        <w:pStyle w:val="NormalWeb"/>
      </w:pPr>
      <w:r w:rsidRPr="000E70AB">
        <w:rPr>
          <w:rStyle w:val="Strong"/>
          <w:rFonts w:eastAsiaTheme="majorEastAsia"/>
          <w:b w:val="0"/>
          <w:bCs w:val="0"/>
        </w:rPr>
        <w:t>Chatterjee, S., Chaudhuri, R. &amp; Vrontis, D. (2023)</w:t>
      </w:r>
      <w:r w:rsidRPr="000E70AB">
        <w:t xml:space="preserve"> ‘Creating organizational value and sustainability through green HR practices: An innovative approach with moderating role of top management support’, </w:t>
      </w:r>
      <w:r w:rsidRPr="000E70AB">
        <w:rPr>
          <w:rStyle w:val="Emphasis"/>
          <w:rFonts w:eastAsiaTheme="majorEastAsia"/>
        </w:rPr>
        <w:t>Business Ethics, Environment &amp; Responsibility</w:t>
      </w:r>
      <w:r w:rsidRPr="000E70AB">
        <w:t>, 34(1), pp. 17–31.</w:t>
      </w:r>
    </w:p>
    <w:p w14:paraId="7B3292FC" w14:textId="77777777" w:rsidR="000E70AB" w:rsidRPr="000E70AB" w:rsidRDefault="000E70AB" w:rsidP="000E70AB">
      <w:pPr>
        <w:pStyle w:val="NormalWeb"/>
      </w:pPr>
      <w:r w:rsidRPr="000E70AB">
        <w:rPr>
          <w:rStyle w:val="Strong"/>
          <w:rFonts w:eastAsiaTheme="majorEastAsia"/>
          <w:b w:val="0"/>
          <w:bCs w:val="0"/>
        </w:rPr>
        <w:t>Delmas, M.A. &amp; Burbano, V.C. (2011)</w:t>
      </w:r>
      <w:r w:rsidRPr="000E70AB">
        <w:t xml:space="preserve"> ‘The Drivers of Greenwashing’, </w:t>
      </w:r>
      <w:r w:rsidRPr="000E70AB">
        <w:rPr>
          <w:rStyle w:val="Emphasis"/>
          <w:rFonts w:eastAsiaTheme="majorEastAsia"/>
        </w:rPr>
        <w:t>California Management Review</w:t>
      </w:r>
      <w:r w:rsidRPr="000E70AB">
        <w:t>, 54(1), pp. 64–87.</w:t>
      </w:r>
    </w:p>
    <w:p w14:paraId="5E3DC2CF" w14:textId="77777777" w:rsidR="000E70AB" w:rsidRPr="000E70AB" w:rsidRDefault="000E70AB" w:rsidP="000E70AB">
      <w:pPr>
        <w:pStyle w:val="NormalWeb"/>
      </w:pPr>
      <w:r w:rsidRPr="000E70AB">
        <w:rPr>
          <w:rStyle w:val="Strong"/>
          <w:rFonts w:eastAsiaTheme="majorEastAsia"/>
          <w:b w:val="0"/>
          <w:bCs w:val="0"/>
        </w:rPr>
        <w:t>Deloitte (2019)</w:t>
      </w:r>
      <w:r w:rsidRPr="000E70AB">
        <w:t xml:space="preserve"> </w:t>
      </w:r>
      <w:r w:rsidRPr="000E70AB">
        <w:rPr>
          <w:rStyle w:val="Emphasis"/>
          <w:rFonts w:eastAsiaTheme="majorEastAsia"/>
        </w:rPr>
        <w:t>The Future of Work and Leadership Communication in Financial Sector</w:t>
      </w:r>
      <w:r w:rsidRPr="000E70AB">
        <w:t xml:space="preserve">. Deloitte Insights. Available at: </w:t>
      </w:r>
      <w:hyperlink r:id="rId9" w:tgtFrame="_new" w:history="1">
        <w:r w:rsidRPr="000E70AB">
          <w:rPr>
            <w:rStyle w:val="Hyperlink"/>
            <w:rFonts w:eastAsiaTheme="majorEastAsia"/>
          </w:rPr>
          <w:t>https://www.deloitte.com/insights/future-work-leadership-communication</w:t>
        </w:r>
      </w:hyperlink>
      <w:r w:rsidRPr="000E70AB">
        <w:t xml:space="preserve"> (Accessed: 15 July 2025).</w:t>
      </w:r>
    </w:p>
    <w:p w14:paraId="535C5475" w14:textId="77777777" w:rsidR="000E70AB" w:rsidRPr="000E70AB" w:rsidRDefault="000E70AB" w:rsidP="000E70AB">
      <w:pPr>
        <w:pStyle w:val="NormalWeb"/>
      </w:pPr>
      <w:r w:rsidRPr="000E70AB">
        <w:rPr>
          <w:rStyle w:val="Strong"/>
          <w:rFonts w:eastAsiaTheme="majorEastAsia"/>
          <w:b w:val="0"/>
          <w:bCs w:val="0"/>
        </w:rPr>
        <w:t>Francis, R.D. &amp; Bishop, S. (2015)</w:t>
      </w:r>
      <w:r w:rsidRPr="000E70AB">
        <w:t xml:space="preserve"> </w:t>
      </w:r>
      <w:r w:rsidRPr="000E70AB">
        <w:rPr>
          <w:rStyle w:val="Emphasis"/>
          <w:rFonts w:eastAsiaTheme="majorEastAsia"/>
        </w:rPr>
        <w:t>Global Business Ethics: Responsible Decision Making in an International Context.</w:t>
      </w:r>
      <w:r w:rsidRPr="000E70AB">
        <w:t xml:space="preserve"> London: Kogan.</w:t>
      </w:r>
    </w:p>
    <w:p w14:paraId="1820ECA4" w14:textId="77777777" w:rsidR="000E70AB" w:rsidRPr="000E70AB" w:rsidRDefault="000E70AB" w:rsidP="000E70AB">
      <w:pPr>
        <w:pStyle w:val="NormalWeb"/>
      </w:pPr>
      <w:r w:rsidRPr="000E70AB">
        <w:rPr>
          <w:rStyle w:val="Strong"/>
          <w:rFonts w:eastAsiaTheme="majorEastAsia"/>
          <w:b w:val="0"/>
          <w:bCs w:val="0"/>
        </w:rPr>
        <w:t>Hofstede, G. (2001)</w:t>
      </w:r>
      <w:r w:rsidRPr="000E70AB">
        <w:t xml:space="preserve"> </w:t>
      </w:r>
      <w:r w:rsidRPr="000E70AB">
        <w:rPr>
          <w:rStyle w:val="Emphasis"/>
          <w:rFonts w:eastAsiaTheme="majorEastAsia"/>
        </w:rPr>
        <w:t>Culture’s Consequences: Comparing Values, Behaviors, Institutions and Organizations Across Nations.</w:t>
      </w:r>
      <w:r w:rsidRPr="000E70AB">
        <w:t xml:space="preserve"> 2nd ed. Thousand Oaks, CA: SAGE Publications.</w:t>
      </w:r>
    </w:p>
    <w:p w14:paraId="42231BC8" w14:textId="77777777" w:rsidR="000E70AB" w:rsidRPr="000E70AB" w:rsidRDefault="000E70AB" w:rsidP="000E70AB">
      <w:pPr>
        <w:pStyle w:val="NormalWeb"/>
      </w:pPr>
      <w:r w:rsidRPr="000E70AB">
        <w:rPr>
          <w:rStyle w:val="Strong"/>
          <w:rFonts w:eastAsiaTheme="majorEastAsia"/>
          <w:b w:val="0"/>
          <w:bCs w:val="0"/>
        </w:rPr>
        <w:t>House, R.J., Hanges, P.J., Javidan, M., Dorfman, P.W. &amp; Gupta, V. (2004)</w:t>
      </w:r>
      <w:r w:rsidRPr="000E70AB">
        <w:t xml:space="preserve"> </w:t>
      </w:r>
      <w:r w:rsidRPr="000E70AB">
        <w:rPr>
          <w:rStyle w:val="Emphasis"/>
          <w:rFonts w:eastAsiaTheme="majorEastAsia"/>
        </w:rPr>
        <w:t>Culture, Leadership, and Organizations: The GLOBE Study of 62 Societies.</w:t>
      </w:r>
      <w:r w:rsidRPr="000E70AB">
        <w:t xml:space="preserve"> Thousand Oaks, CA: SAGE Publications.</w:t>
      </w:r>
    </w:p>
    <w:p w14:paraId="57ED9714" w14:textId="77777777" w:rsidR="000E70AB" w:rsidRDefault="000E70AB" w:rsidP="000E70AB">
      <w:pPr>
        <w:pStyle w:val="NormalWeb"/>
      </w:pPr>
      <w:r w:rsidRPr="000E70AB">
        <w:rPr>
          <w:rStyle w:val="Strong"/>
          <w:rFonts w:eastAsiaTheme="majorEastAsia"/>
          <w:b w:val="0"/>
          <w:bCs w:val="0"/>
        </w:rPr>
        <w:t>Liddle, D. (2021)</w:t>
      </w:r>
      <w:r w:rsidRPr="000E70AB">
        <w:t xml:space="preserve"> </w:t>
      </w:r>
      <w:r w:rsidRPr="000E70AB">
        <w:rPr>
          <w:rStyle w:val="Emphasis"/>
          <w:rFonts w:eastAsiaTheme="majorEastAsia"/>
        </w:rPr>
        <w:t>Transformational Culture.</w:t>
      </w:r>
      <w:r w:rsidRPr="000E70AB">
        <w:t xml:space="preserve"> UK: Kogan.</w:t>
      </w:r>
    </w:p>
    <w:p w14:paraId="21AFC2DC" w14:textId="61C2025A" w:rsidR="00C00130" w:rsidRPr="000E70AB" w:rsidRDefault="00C00130" w:rsidP="000E70AB">
      <w:pPr>
        <w:pStyle w:val="NormalWeb"/>
      </w:pPr>
      <w:r w:rsidRPr="000E70AB">
        <w:rPr>
          <w:rStyle w:val="Strong"/>
          <w:rFonts w:eastAsiaTheme="majorEastAsia"/>
          <w:b w:val="0"/>
          <w:bCs w:val="0"/>
        </w:rPr>
        <w:t>Liddle, D. (202</w:t>
      </w:r>
      <w:r>
        <w:rPr>
          <w:rStyle w:val="Strong"/>
          <w:rFonts w:eastAsiaTheme="majorEastAsia"/>
          <w:b w:val="0"/>
          <w:bCs w:val="0"/>
        </w:rPr>
        <w:t>5</w:t>
      </w:r>
      <w:r w:rsidRPr="000E70AB">
        <w:rPr>
          <w:rStyle w:val="Strong"/>
          <w:rFonts w:eastAsiaTheme="majorEastAsia"/>
          <w:b w:val="0"/>
          <w:bCs w:val="0"/>
        </w:rPr>
        <w:t>)</w:t>
      </w:r>
      <w:r w:rsidRPr="000E70AB">
        <w:t xml:space="preserve"> </w:t>
      </w:r>
      <w:r w:rsidRPr="00C00130">
        <w:rPr>
          <w:rStyle w:val="Emphasis"/>
          <w:rFonts w:eastAsiaTheme="majorEastAsia"/>
        </w:rPr>
        <w:t>People and Culture: A Practical Guide for HR Professionals and Leaders</w:t>
      </w:r>
      <w:r w:rsidRPr="000E70AB">
        <w:rPr>
          <w:rStyle w:val="Emphasis"/>
          <w:rFonts w:eastAsiaTheme="majorEastAsia"/>
        </w:rPr>
        <w:t>.</w:t>
      </w:r>
      <w:r w:rsidRPr="000E70AB">
        <w:t xml:space="preserve"> UK: Kogan.</w:t>
      </w:r>
    </w:p>
    <w:p w14:paraId="50C9C8C9" w14:textId="77777777" w:rsidR="000E70AB" w:rsidRPr="000E70AB" w:rsidRDefault="000E70AB" w:rsidP="000E70AB">
      <w:pPr>
        <w:pStyle w:val="NormalWeb"/>
      </w:pPr>
      <w:r w:rsidRPr="000E70AB">
        <w:rPr>
          <w:rStyle w:val="Strong"/>
          <w:rFonts w:eastAsiaTheme="majorEastAsia"/>
          <w:b w:val="0"/>
          <w:bCs w:val="0"/>
        </w:rPr>
        <w:t>Lundby, K., Moriarty, R. &amp; Lee, J. (2014)</w:t>
      </w:r>
      <w:r w:rsidRPr="000E70AB">
        <w:t xml:space="preserve"> ‘A Tall Order and Some Practical Advice for Global Leaders’, </w:t>
      </w:r>
      <w:r w:rsidRPr="000E70AB">
        <w:rPr>
          <w:rStyle w:val="Emphasis"/>
          <w:rFonts w:eastAsiaTheme="majorEastAsia"/>
        </w:rPr>
        <w:t>Journal of Leadership Studies</w:t>
      </w:r>
      <w:r w:rsidRPr="000E70AB">
        <w:t>, 8(3), pp. 46–56.</w:t>
      </w:r>
    </w:p>
    <w:p w14:paraId="68289DC9" w14:textId="77777777" w:rsidR="000E70AB" w:rsidRPr="000E70AB" w:rsidRDefault="000E70AB" w:rsidP="000E70AB">
      <w:pPr>
        <w:pStyle w:val="NormalWeb"/>
      </w:pPr>
      <w:r w:rsidRPr="000E70AB">
        <w:rPr>
          <w:rStyle w:val="Strong"/>
          <w:rFonts w:eastAsiaTheme="majorEastAsia"/>
          <w:b w:val="0"/>
          <w:bCs w:val="0"/>
        </w:rPr>
        <w:t>McKinsey &amp; Company (2023)</w:t>
      </w:r>
      <w:r w:rsidRPr="000E70AB">
        <w:t xml:space="preserve"> </w:t>
      </w:r>
      <w:r w:rsidRPr="000E70AB">
        <w:rPr>
          <w:rStyle w:val="Emphasis"/>
          <w:rFonts w:eastAsiaTheme="majorEastAsia"/>
        </w:rPr>
        <w:t>How Big Business is Taking the Lead on Climate Change.</w:t>
      </w:r>
      <w:r w:rsidRPr="000E70AB">
        <w:t xml:space="preserve"> Available at: </w:t>
      </w:r>
      <w:hyperlink r:id="rId10" w:tgtFrame="_new" w:history="1">
        <w:r w:rsidRPr="000E70AB">
          <w:rPr>
            <w:rStyle w:val="Hyperlink"/>
            <w:rFonts w:eastAsiaTheme="majorEastAsia"/>
          </w:rPr>
          <w:t>https://www.mckinsey.com/capabilities/sustainability/our-insights/sustainability-blog/how-big-business-is-taking-the-lead-on-climate-change</w:t>
        </w:r>
      </w:hyperlink>
      <w:r w:rsidRPr="000E70AB">
        <w:t xml:space="preserve"> (Accessed: 14 July 2025).</w:t>
      </w:r>
    </w:p>
    <w:p w14:paraId="793A0EE5" w14:textId="77777777" w:rsidR="000E70AB" w:rsidRPr="000E70AB" w:rsidRDefault="000E70AB" w:rsidP="000E70AB">
      <w:pPr>
        <w:pStyle w:val="NormalWeb"/>
      </w:pPr>
      <w:r w:rsidRPr="000E70AB">
        <w:rPr>
          <w:rStyle w:val="Strong"/>
          <w:rFonts w:eastAsiaTheme="majorEastAsia"/>
          <w:b w:val="0"/>
          <w:bCs w:val="0"/>
        </w:rPr>
        <w:t>Meadenall, M., Osland, J. (Eds.) &amp; Bird, A. (2017)</w:t>
      </w:r>
      <w:r w:rsidRPr="000E70AB">
        <w:t xml:space="preserve"> </w:t>
      </w:r>
      <w:r w:rsidRPr="000E70AB">
        <w:rPr>
          <w:rStyle w:val="Emphasis"/>
          <w:rFonts w:eastAsiaTheme="majorEastAsia"/>
        </w:rPr>
        <w:t>Global Leadership: Research, Practice and Development.</w:t>
      </w:r>
      <w:r w:rsidRPr="000E70AB">
        <w:t xml:space="preserve"> UK: Routledge.</w:t>
      </w:r>
    </w:p>
    <w:p w14:paraId="435A5017" w14:textId="77777777" w:rsidR="000E70AB" w:rsidRPr="000E70AB" w:rsidRDefault="000E70AB" w:rsidP="000E70AB">
      <w:pPr>
        <w:pStyle w:val="NormalWeb"/>
      </w:pPr>
      <w:r w:rsidRPr="000E70AB">
        <w:rPr>
          <w:rStyle w:val="Strong"/>
          <w:rFonts w:eastAsiaTheme="majorEastAsia"/>
          <w:b w:val="0"/>
          <w:bCs w:val="0"/>
        </w:rPr>
        <w:t>Molinsky, A. (2013)</w:t>
      </w:r>
      <w:r w:rsidRPr="000E70AB">
        <w:t xml:space="preserve"> </w:t>
      </w:r>
      <w:r w:rsidRPr="000E70AB">
        <w:rPr>
          <w:rStyle w:val="Emphasis"/>
          <w:rFonts w:eastAsiaTheme="majorEastAsia"/>
        </w:rPr>
        <w:t>Global Dexterity.</w:t>
      </w:r>
      <w:r w:rsidRPr="000E70AB">
        <w:t xml:space="preserve"> Boston: Harvard Business Review Press.</w:t>
      </w:r>
    </w:p>
    <w:p w14:paraId="7ABF6795" w14:textId="77777777" w:rsidR="000E70AB" w:rsidRPr="000E70AB" w:rsidRDefault="000E70AB" w:rsidP="000E70AB">
      <w:pPr>
        <w:pStyle w:val="NormalWeb"/>
      </w:pPr>
      <w:r w:rsidRPr="000E70AB">
        <w:rPr>
          <w:rStyle w:val="Strong"/>
          <w:rFonts w:eastAsiaTheme="majorEastAsia"/>
          <w:b w:val="0"/>
          <w:bCs w:val="0"/>
        </w:rPr>
        <w:t>Morrison, J. (2016)</w:t>
      </w:r>
      <w:r w:rsidRPr="000E70AB">
        <w:t xml:space="preserve"> </w:t>
      </w:r>
      <w:r w:rsidRPr="000E70AB">
        <w:rPr>
          <w:rStyle w:val="Emphasis"/>
          <w:rFonts w:eastAsiaTheme="majorEastAsia"/>
        </w:rPr>
        <w:t>The Global Business Environment.</w:t>
      </w:r>
      <w:r w:rsidRPr="000E70AB">
        <w:t xml:space="preserve"> 4th ed. UK: Palgrave.</w:t>
      </w:r>
    </w:p>
    <w:p w14:paraId="1BF5A82E" w14:textId="77777777" w:rsidR="000E70AB" w:rsidRPr="000E70AB" w:rsidRDefault="000E70AB" w:rsidP="000E70AB">
      <w:pPr>
        <w:pStyle w:val="NormalWeb"/>
      </w:pPr>
      <w:r w:rsidRPr="000E70AB">
        <w:rPr>
          <w:rStyle w:val="Strong"/>
          <w:rFonts w:eastAsiaTheme="majorEastAsia"/>
          <w:b w:val="0"/>
          <w:bCs w:val="0"/>
        </w:rPr>
        <w:t>Mullins, L.J. (2019)</w:t>
      </w:r>
      <w:r w:rsidRPr="000E70AB">
        <w:t xml:space="preserve"> </w:t>
      </w:r>
      <w:r w:rsidRPr="000E70AB">
        <w:rPr>
          <w:rStyle w:val="Emphasis"/>
          <w:rFonts w:eastAsiaTheme="majorEastAsia"/>
        </w:rPr>
        <w:t>Organisational Behaviour in the Workplace.</w:t>
      </w:r>
      <w:r w:rsidRPr="000E70AB">
        <w:t xml:space="preserve"> 12th ed. Harlow: Pearson.</w:t>
      </w:r>
    </w:p>
    <w:p w14:paraId="3A41B9AA" w14:textId="77777777" w:rsidR="000E70AB" w:rsidRPr="000E70AB" w:rsidRDefault="000E70AB" w:rsidP="000E70AB">
      <w:pPr>
        <w:pStyle w:val="NormalWeb"/>
      </w:pPr>
      <w:r w:rsidRPr="000E70AB">
        <w:rPr>
          <w:rStyle w:val="Strong"/>
          <w:rFonts w:eastAsiaTheme="majorEastAsia"/>
          <w:b w:val="0"/>
          <w:bCs w:val="0"/>
        </w:rPr>
        <w:lastRenderedPageBreak/>
        <w:t>Netto, S.V.F., Sobral, M.F.F., Ribeiro, A.R.B. &amp; Soares, G.R.L. (2020)</w:t>
      </w:r>
      <w:r w:rsidRPr="000E70AB">
        <w:t xml:space="preserve"> ‘Concepts and forms of greenwashing: a systematic review’, </w:t>
      </w:r>
      <w:r w:rsidRPr="000E70AB">
        <w:rPr>
          <w:rStyle w:val="Emphasis"/>
          <w:rFonts w:eastAsiaTheme="majorEastAsia"/>
        </w:rPr>
        <w:t>Environmental Sciences Europe</w:t>
      </w:r>
      <w:r w:rsidRPr="000E70AB">
        <w:t>, 32, pp. 1–12.</w:t>
      </w:r>
    </w:p>
    <w:p w14:paraId="067C7724" w14:textId="77777777" w:rsidR="000E70AB" w:rsidRPr="000E70AB" w:rsidRDefault="000E70AB" w:rsidP="000E70AB">
      <w:pPr>
        <w:pStyle w:val="NormalWeb"/>
      </w:pPr>
      <w:r w:rsidRPr="000E70AB">
        <w:rPr>
          <w:rStyle w:val="Strong"/>
          <w:rFonts w:eastAsiaTheme="majorEastAsia"/>
          <w:b w:val="0"/>
          <w:bCs w:val="0"/>
        </w:rPr>
        <w:t>Pullan, P. (2022)</w:t>
      </w:r>
      <w:r w:rsidRPr="000E70AB">
        <w:t xml:space="preserve"> </w:t>
      </w:r>
      <w:r w:rsidRPr="000E70AB">
        <w:rPr>
          <w:rStyle w:val="Emphasis"/>
          <w:rFonts w:eastAsiaTheme="majorEastAsia"/>
        </w:rPr>
        <w:t>Virtual Leadership.</w:t>
      </w:r>
      <w:r w:rsidRPr="000E70AB">
        <w:t xml:space="preserve"> 2nd ed. UK: Kogan.</w:t>
      </w:r>
    </w:p>
    <w:p w14:paraId="6FF36562" w14:textId="77777777" w:rsidR="000E70AB" w:rsidRPr="000E70AB" w:rsidRDefault="000E70AB" w:rsidP="000E70AB">
      <w:pPr>
        <w:pStyle w:val="NormalWeb"/>
      </w:pPr>
      <w:r w:rsidRPr="000E70AB">
        <w:rPr>
          <w:rStyle w:val="Strong"/>
          <w:rFonts w:eastAsiaTheme="majorEastAsia"/>
          <w:b w:val="0"/>
          <w:bCs w:val="0"/>
        </w:rPr>
        <w:t>Ramakrishnan, K. (2013)</w:t>
      </w:r>
      <w:r w:rsidRPr="000E70AB">
        <w:t xml:space="preserve"> </w:t>
      </w:r>
      <w:r w:rsidRPr="000E70AB">
        <w:rPr>
          <w:rStyle w:val="Emphasis"/>
          <w:rFonts w:eastAsiaTheme="majorEastAsia"/>
        </w:rPr>
        <w:t>Managerial Leadership in Multicultural Organisations.</w:t>
      </w:r>
      <w:r w:rsidRPr="000E70AB">
        <w:t xml:space="preserve"> UK: Prentice-Hall.</w:t>
      </w:r>
    </w:p>
    <w:p w14:paraId="6785617A" w14:textId="77777777" w:rsidR="000E70AB" w:rsidRPr="000E70AB" w:rsidRDefault="000E70AB" w:rsidP="000E70AB">
      <w:pPr>
        <w:pStyle w:val="NormalWeb"/>
      </w:pPr>
      <w:r w:rsidRPr="000E70AB">
        <w:rPr>
          <w:rStyle w:val="Strong"/>
          <w:rFonts w:eastAsiaTheme="majorEastAsia"/>
          <w:b w:val="0"/>
          <w:bCs w:val="0"/>
        </w:rPr>
        <w:t>Spencer-Oatey, H. (2020)</w:t>
      </w:r>
      <w:r w:rsidRPr="000E70AB">
        <w:t xml:space="preserve"> ‘Global Leadership: Key Concepts and Frameworks’, in Jordans, E., Ng’weno, B. &amp; Spencer-Oatey, H. (eds.) </w:t>
      </w:r>
      <w:r w:rsidRPr="000E70AB">
        <w:rPr>
          <w:rStyle w:val="Emphasis"/>
          <w:rFonts w:eastAsiaTheme="majorEastAsia"/>
        </w:rPr>
        <w:t>Developing Global Leaders: Insights from African Case Studies.</w:t>
      </w:r>
      <w:r w:rsidRPr="000E70AB">
        <w:t xml:space="preserve"> UK: Palgrave.</w:t>
      </w:r>
    </w:p>
    <w:p w14:paraId="02F96F59" w14:textId="77777777" w:rsidR="000E70AB" w:rsidRPr="000E70AB" w:rsidRDefault="000E70AB" w:rsidP="000E70AB">
      <w:pPr>
        <w:pStyle w:val="NormalWeb"/>
      </w:pPr>
      <w:r w:rsidRPr="000E70AB">
        <w:rPr>
          <w:rStyle w:val="Strong"/>
          <w:rFonts w:eastAsiaTheme="majorEastAsia"/>
          <w:b w:val="0"/>
          <w:bCs w:val="0"/>
        </w:rPr>
        <w:t>UN Global Compact (2015)</w:t>
      </w:r>
      <w:r w:rsidRPr="000E70AB">
        <w:t xml:space="preserve"> </w:t>
      </w:r>
      <w:r w:rsidRPr="000E70AB">
        <w:rPr>
          <w:rStyle w:val="Emphasis"/>
          <w:rFonts w:eastAsiaTheme="majorEastAsia"/>
        </w:rPr>
        <w:t>The Ten Principles of the UN Global Compact.</w:t>
      </w:r>
      <w:r w:rsidRPr="000E70AB">
        <w:t xml:space="preserve"> Available at: </w:t>
      </w:r>
      <w:hyperlink r:id="rId11" w:tgtFrame="_new" w:history="1">
        <w:r w:rsidRPr="000E70AB">
          <w:rPr>
            <w:rStyle w:val="Hyperlink"/>
            <w:rFonts w:eastAsiaTheme="majorEastAsia"/>
          </w:rPr>
          <w:t>https://www.unglobalcompact.org/what-is-gc/mission/principles</w:t>
        </w:r>
      </w:hyperlink>
      <w:r w:rsidRPr="000E70AB">
        <w:t xml:space="preserve"> (Accessed: 17 July 2025).</w:t>
      </w:r>
    </w:p>
    <w:p w14:paraId="36315DA2" w14:textId="77777777" w:rsidR="000E70AB" w:rsidRPr="000E70AB" w:rsidRDefault="000E70AB" w:rsidP="000E70AB">
      <w:pPr>
        <w:pStyle w:val="NormalWeb"/>
      </w:pPr>
      <w:r w:rsidRPr="000E70AB">
        <w:rPr>
          <w:rStyle w:val="Strong"/>
          <w:rFonts w:eastAsiaTheme="majorEastAsia"/>
          <w:b w:val="0"/>
          <w:bCs w:val="0"/>
        </w:rPr>
        <w:t>UNFCCC (2015)</w:t>
      </w:r>
      <w:r w:rsidRPr="000E70AB">
        <w:t xml:space="preserve"> </w:t>
      </w:r>
      <w:r w:rsidRPr="000E70AB">
        <w:rPr>
          <w:rStyle w:val="Emphasis"/>
          <w:rFonts w:eastAsiaTheme="majorEastAsia"/>
        </w:rPr>
        <w:t>Paris Agreement 2015.</w:t>
      </w:r>
      <w:r w:rsidRPr="000E70AB">
        <w:t xml:space="preserve"> Available at: </w:t>
      </w:r>
      <w:hyperlink r:id="rId12" w:tgtFrame="_new" w:history="1">
        <w:r w:rsidRPr="000E70AB">
          <w:rPr>
            <w:rStyle w:val="Hyperlink"/>
            <w:rFonts w:eastAsiaTheme="majorEastAsia"/>
          </w:rPr>
          <w:t>https://unfccc.int/process-and-meetings/the-paris-agreement/the-paris-agreement</w:t>
        </w:r>
      </w:hyperlink>
      <w:r w:rsidRPr="000E70AB">
        <w:t xml:space="preserve"> (Accessed: 15 July 2025).</w:t>
      </w:r>
    </w:p>
    <w:p w14:paraId="1EE1E174" w14:textId="77777777" w:rsidR="000E70AB" w:rsidRPr="000E70AB" w:rsidRDefault="000E70AB" w:rsidP="000E70AB">
      <w:pPr>
        <w:pStyle w:val="NormalWeb"/>
      </w:pPr>
      <w:r w:rsidRPr="000E70AB">
        <w:rPr>
          <w:rStyle w:val="Strong"/>
          <w:rFonts w:eastAsiaTheme="majorEastAsia"/>
          <w:b w:val="0"/>
          <w:bCs w:val="0"/>
        </w:rPr>
        <w:t>Unilever (2023)</w:t>
      </w:r>
      <w:r w:rsidRPr="000E70AB">
        <w:t xml:space="preserve"> </w:t>
      </w:r>
      <w:r w:rsidRPr="000E70AB">
        <w:rPr>
          <w:rStyle w:val="Emphasis"/>
          <w:rFonts w:eastAsiaTheme="majorEastAsia"/>
        </w:rPr>
        <w:t>Climate Action.</w:t>
      </w:r>
      <w:r w:rsidRPr="000E70AB">
        <w:t xml:space="preserve"> Available at: </w:t>
      </w:r>
      <w:hyperlink r:id="rId13" w:tgtFrame="_new" w:history="1">
        <w:r w:rsidRPr="000E70AB">
          <w:rPr>
            <w:rStyle w:val="Hyperlink"/>
            <w:rFonts w:eastAsiaTheme="majorEastAsia"/>
          </w:rPr>
          <w:t>https://www.unilever.com/planet-and-society/climate-action/</w:t>
        </w:r>
      </w:hyperlink>
      <w:r w:rsidRPr="000E70AB">
        <w:t xml:space="preserve"> (Accessed: 12 July 2025).</w:t>
      </w:r>
    </w:p>
    <w:p w14:paraId="5A92E233" w14:textId="77777777" w:rsidR="000E70AB" w:rsidRPr="000E70AB" w:rsidRDefault="000E70AB" w:rsidP="000E70AB">
      <w:pPr>
        <w:pStyle w:val="NormalWeb"/>
      </w:pPr>
      <w:r w:rsidRPr="000E70AB">
        <w:rPr>
          <w:rStyle w:val="Strong"/>
          <w:rFonts w:eastAsiaTheme="majorEastAsia"/>
          <w:b w:val="0"/>
          <w:bCs w:val="0"/>
        </w:rPr>
        <w:t>Welsh Water (2023)</w:t>
      </w:r>
      <w:r w:rsidRPr="000E70AB">
        <w:t xml:space="preserve"> </w:t>
      </w:r>
      <w:r w:rsidRPr="000E70AB">
        <w:rPr>
          <w:rStyle w:val="Emphasis"/>
          <w:rFonts w:eastAsiaTheme="majorEastAsia"/>
        </w:rPr>
        <w:t>Environmental, Social and Governance.</w:t>
      </w:r>
      <w:r w:rsidRPr="000E70AB">
        <w:t xml:space="preserve"> Available at: </w:t>
      </w:r>
      <w:hyperlink r:id="rId14" w:tgtFrame="_new" w:history="1">
        <w:r w:rsidRPr="000E70AB">
          <w:rPr>
            <w:rStyle w:val="Hyperlink"/>
            <w:rFonts w:eastAsiaTheme="majorEastAsia"/>
          </w:rPr>
          <w:t>https://corporate.dwrcymru.com/en/about-us/investors/environmental-social-and-governance</w:t>
        </w:r>
      </w:hyperlink>
      <w:r w:rsidRPr="000E70AB">
        <w:t xml:space="preserve"> (Accessed: 14 July 2025).</w:t>
      </w:r>
    </w:p>
    <w:p w14:paraId="4FFCAE2B" w14:textId="77777777" w:rsidR="000E70AB" w:rsidRPr="000E70AB" w:rsidRDefault="000E70AB" w:rsidP="000E70AB">
      <w:pPr>
        <w:pStyle w:val="NormalWeb"/>
      </w:pPr>
      <w:r w:rsidRPr="000E70AB">
        <w:rPr>
          <w:rStyle w:val="Strong"/>
          <w:rFonts w:eastAsiaTheme="majorEastAsia"/>
          <w:b w:val="0"/>
          <w:bCs w:val="0"/>
        </w:rPr>
        <w:t>Yukl, G. &amp; Gardner, W.L. (2020)</w:t>
      </w:r>
      <w:r w:rsidRPr="000E70AB">
        <w:t xml:space="preserve"> </w:t>
      </w:r>
      <w:r w:rsidRPr="000E70AB">
        <w:rPr>
          <w:rStyle w:val="Emphasis"/>
          <w:rFonts w:eastAsiaTheme="majorEastAsia"/>
        </w:rPr>
        <w:t>Leadership in Organisations.</w:t>
      </w:r>
      <w:r w:rsidRPr="000E70AB">
        <w:t xml:space="preserve"> Global Edition, 9th ed. England: Pearson.</w:t>
      </w:r>
    </w:p>
    <w:p w14:paraId="63088FAD" w14:textId="77777777" w:rsidR="000E70AB" w:rsidRPr="000E70AB" w:rsidRDefault="000E70AB" w:rsidP="000E70AB"/>
    <w:sectPr w:rsidR="000E70AB" w:rsidRPr="000E70AB" w:rsidSect="00134A69">
      <w:pgSz w:w="11906" w:h="16838"/>
      <w:pgMar w:top="1440" w:right="1440" w:bottom="1134"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D5775A"/>
    <w:multiLevelType w:val="hybridMultilevel"/>
    <w:tmpl w:val="06AA09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3BD31A7"/>
    <w:multiLevelType w:val="hybridMultilevel"/>
    <w:tmpl w:val="0DC001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97407246">
    <w:abstractNumId w:val="1"/>
  </w:num>
  <w:num w:numId="2" w16cid:durableId="14313950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NDe2NLQ0tbS0NDc1MDJU0lEKTi0uzszPAykwqQUA2r8eBiwAAAA="/>
  </w:docVars>
  <w:rsids>
    <w:rsidRoot w:val="00781394"/>
    <w:rsid w:val="000B14F9"/>
    <w:rsid w:val="000E70AB"/>
    <w:rsid w:val="00134A69"/>
    <w:rsid w:val="00167090"/>
    <w:rsid w:val="001B2F79"/>
    <w:rsid w:val="003207CD"/>
    <w:rsid w:val="00473F8C"/>
    <w:rsid w:val="004B2EAA"/>
    <w:rsid w:val="005C2BAE"/>
    <w:rsid w:val="0061544A"/>
    <w:rsid w:val="00715976"/>
    <w:rsid w:val="00781394"/>
    <w:rsid w:val="008E50CA"/>
    <w:rsid w:val="009C2285"/>
    <w:rsid w:val="00A54655"/>
    <w:rsid w:val="00A93FD6"/>
    <w:rsid w:val="00AD72C7"/>
    <w:rsid w:val="00C00130"/>
    <w:rsid w:val="00E60A87"/>
    <w:rsid w:val="00ED2CBD"/>
    <w:rsid w:val="00F770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FDDE6F"/>
  <w15:chartTrackingRefBased/>
  <w15:docId w15:val="{06898B93-574A-4B13-8397-B2685EC03D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1394"/>
    <w:pPr>
      <w:spacing w:line="480" w:lineRule="auto"/>
    </w:pPr>
    <w:rPr>
      <w:rFonts w:ascii="Times New Roman" w:hAnsi="Times New Roman"/>
      <w:sz w:val="24"/>
    </w:rPr>
  </w:style>
  <w:style w:type="paragraph" w:styleId="Heading1">
    <w:name w:val="heading 1"/>
    <w:basedOn w:val="Normal"/>
    <w:next w:val="Normal"/>
    <w:link w:val="Heading1Char"/>
    <w:uiPriority w:val="9"/>
    <w:qFormat/>
    <w:rsid w:val="00781394"/>
    <w:pPr>
      <w:keepNext/>
      <w:keepLines/>
      <w:spacing w:before="360" w:after="80"/>
      <w:outlineLvl w:val="0"/>
    </w:pPr>
    <w:rPr>
      <w:rFonts w:eastAsiaTheme="majorEastAsia" w:cstheme="majorBidi"/>
      <w:color w:val="2F5496" w:themeColor="accent1" w:themeShade="BF"/>
      <w:sz w:val="32"/>
      <w:szCs w:val="40"/>
    </w:rPr>
  </w:style>
  <w:style w:type="paragraph" w:styleId="Heading2">
    <w:name w:val="heading 2"/>
    <w:basedOn w:val="Normal"/>
    <w:next w:val="Normal"/>
    <w:link w:val="Heading2Char"/>
    <w:uiPriority w:val="9"/>
    <w:unhideWhenUsed/>
    <w:qFormat/>
    <w:rsid w:val="00781394"/>
    <w:pPr>
      <w:keepNext/>
      <w:keepLines/>
      <w:spacing w:before="160" w:after="80"/>
      <w:outlineLvl w:val="1"/>
    </w:pPr>
    <w:rPr>
      <w:rFonts w:eastAsiaTheme="majorEastAsia" w:cstheme="majorBidi"/>
      <w:color w:val="2F5496" w:themeColor="accent1" w:themeShade="BF"/>
      <w:sz w:val="28"/>
      <w:szCs w:val="32"/>
    </w:rPr>
  </w:style>
  <w:style w:type="paragraph" w:styleId="Heading3">
    <w:name w:val="heading 3"/>
    <w:basedOn w:val="Normal"/>
    <w:next w:val="Normal"/>
    <w:link w:val="Heading3Char"/>
    <w:uiPriority w:val="9"/>
    <w:unhideWhenUsed/>
    <w:qFormat/>
    <w:rsid w:val="0078139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8139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8139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813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13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13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13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1394"/>
    <w:rPr>
      <w:rFonts w:ascii="Times New Roman" w:eastAsiaTheme="majorEastAsia" w:hAnsi="Times New Roman" w:cstheme="majorBidi"/>
      <w:color w:val="2F5496" w:themeColor="accent1" w:themeShade="BF"/>
      <w:sz w:val="32"/>
      <w:szCs w:val="40"/>
    </w:rPr>
  </w:style>
  <w:style w:type="character" w:customStyle="1" w:styleId="Heading2Char">
    <w:name w:val="Heading 2 Char"/>
    <w:basedOn w:val="DefaultParagraphFont"/>
    <w:link w:val="Heading2"/>
    <w:uiPriority w:val="9"/>
    <w:rsid w:val="00781394"/>
    <w:rPr>
      <w:rFonts w:ascii="Times New Roman" w:eastAsiaTheme="majorEastAsia" w:hAnsi="Times New Roman" w:cstheme="majorBidi"/>
      <w:color w:val="2F5496" w:themeColor="accent1" w:themeShade="BF"/>
      <w:sz w:val="28"/>
      <w:szCs w:val="32"/>
    </w:rPr>
  </w:style>
  <w:style w:type="character" w:customStyle="1" w:styleId="Heading3Char">
    <w:name w:val="Heading 3 Char"/>
    <w:basedOn w:val="DefaultParagraphFont"/>
    <w:link w:val="Heading3"/>
    <w:uiPriority w:val="9"/>
    <w:rsid w:val="0078139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8139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8139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813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13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13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1394"/>
    <w:rPr>
      <w:rFonts w:eastAsiaTheme="majorEastAsia" w:cstheme="majorBidi"/>
      <w:color w:val="272727" w:themeColor="text1" w:themeTint="D8"/>
    </w:rPr>
  </w:style>
  <w:style w:type="paragraph" w:styleId="Title">
    <w:name w:val="Title"/>
    <w:basedOn w:val="Normal"/>
    <w:next w:val="Normal"/>
    <w:link w:val="TitleChar"/>
    <w:uiPriority w:val="10"/>
    <w:qFormat/>
    <w:rsid w:val="007813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13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13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13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1394"/>
    <w:pPr>
      <w:spacing w:before="160"/>
      <w:jc w:val="center"/>
    </w:pPr>
    <w:rPr>
      <w:i/>
      <w:iCs/>
      <w:color w:val="404040" w:themeColor="text1" w:themeTint="BF"/>
    </w:rPr>
  </w:style>
  <w:style w:type="character" w:customStyle="1" w:styleId="QuoteChar">
    <w:name w:val="Quote Char"/>
    <w:basedOn w:val="DefaultParagraphFont"/>
    <w:link w:val="Quote"/>
    <w:uiPriority w:val="29"/>
    <w:rsid w:val="00781394"/>
    <w:rPr>
      <w:i/>
      <w:iCs/>
      <w:color w:val="404040" w:themeColor="text1" w:themeTint="BF"/>
    </w:rPr>
  </w:style>
  <w:style w:type="paragraph" w:styleId="ListParagraph">
    <w:name w:val="List Paragraph"/>
    <w:basedOn w:val="Normal"/>
    <w:uiPriority w:val="34"/>
    <w:qFormat/>
    <w:rsid w:val="00781394"/>
    <w:pPr>
      <w:ind w:left="720"/>
      <w:contextualSpacing/>
    </w:pPr>
  </w:style>
  <w:style w:type="character" w:styleId="IntenseEmphasis">
    <w:name w:val="Intense Emphasis"/>
    <w:basedOn w:val="DefaultParagraphFont"/>
    <w:uiPriority w:val="21"/>
    <w:qFormat/>
    <w:rsid w:val="00781394"/>
    <w:rPr>
      <w:i/>
      <w:iCs/>
      <w:color w:val="2F5496" w:themeColor="accent1" w:themeShade="BF"/>
    </w:rPr>
  </w:style>
  <w:style w:type="paragraph" w:styleId="IntenseQuote">
    <w:name w:val="Intense Quote"/>
    <w:basedOn w:val="Normal"/>
    <w:next w:val="Normal"/>
    <w:link w:val="IntenseQuoteChar"/>
    <w:uiPriority w:val="30"/>
    <w:qFormat/>
    <w:rsid w:val="0078139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81394"/>
    <w:rPr>
      <w:i/>
      <w:iCs/>
      <w:color w:val="2F5496" w:themeColor="accent1" w:themeShade="BF"/>
    </w:rPr>
  </w:style>
  <w:style w:type="character" w:styleId="IntenseReference">
    <w:name w:val="Intense Reference"/>
    <w:basedOn w:val="DefaultParagraphFont"/>
    <w:uiPriority w:val="32"/>
    <w:qFormat/>
    <w:rsid w:val="00781394"/>
    <w:rPr>
      <w:b/>
      <w:bCs/>
      <w:smallCaps/>
      <w:color w:val="2F5496" w:themeColor="accent1" w:themeShade="BF"/>
      <w:spacing w:val="5"/>
    </w:rPr>
  </w:style>
  <w:style w:type="paragraph" w:styleId="NoSpacing">
    <w:name w:val="No Spacing"/>
    <w:link w:val="NoSpacingChar"/>
    <w:uiPriority w:val="1"/>
    <w:qFormat/>
    <w:rsid w:val="0078139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81394"/>
    <w:rPr>
      <w:rFonts w:eastAsiaTheme="minorEastAsia"/>
      <w:kern w:val="0"/>
      <w:lang w:val="en-US"/>
      <w14:ligatures w14:val="none"/>
    </w:rPr>
  </w:style>
  <w:style w:type="paragraph" w:styleId="TOCHeading">
    <w:name w:val="TOC Heading"/>
    <w:basedOn w:val="Heading1"/>
    <w:next w:val="Normal"/>
    <w:uiPriority w:val="39"/>
    <w:unhideWhenUsed/>
    <w:qFormat/>
    <w:rsid w:val="00781394"/>
    <w:pPr>
      <w:spacing w:before="240" w:after="0" w:line="259" w:lineRule="auto"/>
      <w:outlineLvl w:val="9"/>
    </w:pPr>
    <w:rPr>
      <w:rFonts w:asciiTheme="majorHAnsi" w:hAnsiTheme="majorHAnsi"/>
      <w:kern w:val="0"/>
      <w:szCs w:val="32"/>
      <w:lang w:val="en-US"/>
      <w14:ligatures w14:val="none"/>
    </w:rPr>
  </w:style>
  <w:style w:type="paragraph" w:styleId="TOC1">
    <w:name w:val="toc 1"/>
    <w:basedOn w:val="Normal"/>
    <w:next w:val="Normal"/>
    <w:autoRedefine/>
    <w:uiPriority w:val="39"/>
    <w:unhideWhenUsed/>
    <w:rsid w:val="00781394"/>
    <w:pPr>
      <w:spacing w:after="100"/>
    </w:pPr>
  </w:style>
  <w:style w:type="character" w:styleId="Hyperlink">
    <w:name w:val="Hyperlink"/>
    <w:basedOn w:val="DefaultParagraphFont"/>
    <w:uiPriority w:val="99"/>
    <w:unhideWhenUsed/>
    <w:rsid w:val="00781394"/>
    <w:rPr>
      <w:color w:val="0563C1" w:themeColor="hyperlink"/>
      <w:u w:val="single"/>
    </w:rPr>
  </w:style>
  <w:style w:type="paragraph" w:styleId="TOC2">
    <w:name w:val="toc 2"/>
    <w:basedOn w:val="Normal"/>
    <w:next w:val="Normal"/>
    <w:autoRedefine/>
    <w:uiPriority w:val="39"/>
    <w:unhideWhenUsed/>
    <w:rsid w:val="001B2F79"/>
    <w:pPr>
      <w:spacing w:after="100"/>
      <w:ind w:left="240"/>
    </w:pPr>
  </w:style>
  <w:style w:type="paragraph" w:styleId="TOC3">
    <w:name w:val="toc 3"/>
    <w:basedOn w:val="Normal"/>
    <w:next w:val="Normal"/>
    <w:autoRedefine/>
    <w:uiPriority w:val="39"/>
    <w:unhideWhenUsed/>
    <w:rsid w:val="001B2F79"/>
    <w:pPr>
      <w:spacing w:after="100"/>
      <w:ind w:left="480"/>
    </w:pPr>
  </w:style>
  <w:style w:type="paragraph" w:styleId="NormalWeb">
    <w:name w:val="Normal (Web)"/>
    <w:basedOn w:val="Normal"/>
    <w:uiPriority w:val="99"/>
    <w:semiHidden/>
    <w:unhideWhenUsed/>
    <w:rsid w:val="000E70AB"/>
    <w:pPr>
      <w:spacing w:before="100" w:beforeAutospacing="1" w:after="100" w:afterAutospacing="1" w:line="240" w:lineRule="auto"/>
    </w:pPr>
    <w:rPr>
      <w:rFonts w:eastAsia="Times New Roman" w:cs="Times New Roman"/>
      <w:kern w:val="0"/>
      <w:szCs w:val="24"/>
      <w:lang w:eastAsia="en-GB"/>
      <w14:ligatures w14:val="none"/>
    </w:rPr>
  </w:style>
  <w:style w:type="character" w:styleId="Emphasis">
    <w:name w:val="Emphasis"/>
    <w:basedOn w:val="DefaultParagraphFont"/>
    <w:uiPriority w:val="20"/>
    <w:qFormat/>
    <w:rsid w:val="000E70AB"/>
    <w:rPr>
      <w:i/>
      <w:iCs/>
    </w:rPr>
  </w:style>
  <w:style w:type="character" w:styleId="Strong">
    <w:name w:val="Strong"/>
    <w:basedOn w:val="DefaultParagraphFont"/>
    <w:uiPriority w:val="22"/>
    <w:qFormat/>
    <w:rsid w:val="000E70A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unilever.com/planet-and-society/climate-action/" TargetMode="Externa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s://unfccc.int/process-and-meetings/the-paris-agreement/the-paris-agreement"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unglobalcompact.org/what-is-gc/mission/principles"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mckinsey.com/capabilities/sustainability/our-insights/sustainability-blog/how-big-business-is-taking-the-lead-on-climate-change" TargetMode="External"/><Relationship Id="rId4" Type="http://schemas.openxmlformats.org/officeDocument/2006/relationships/styles" Target="styles.xml"/><Relationship Id="rId9" Type="http://schemas.openxmlformats.org/officeDocument/2006/relationships/hyperlink" Target="https://www.deloitte.com/insights/future-work-leadership-communication" TargetMode="External"/><Relationship Id="rId14" Type="http://schemas.openxmlformats.org/officeDocument/2006/relationships/hyperlink" Target="https://corporate.dwrcymru.com/en/about-us/investors/environmental-social-and-governanc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A761020A14B4AF6A04672DDD27105A8"/>
        <w:category>
          <w:name w:val="General"/>
          <w:gallery w:val="placeholder"/>
        </w:category>
        <w:types>
          <w:type w:val="bbPlcHdr"/>
        </w:types>
        <w:behaviors>
          <w:behavior w:val="content"/>
        </w:behaviors>
        <w:guid w:val="{E72BDC99-1DB7-4453-B96C-403793E74600}"/>
      </w:docPartPr>
      <w:docPartBody>
        <w:p w:rsidR="006446C0" w:rsidRDefault="000A70AB" w:rsidP="000A70AB">
          <w:pPr>
            <w:pStyle w:val="1A761020A14B4AF6A04672DDD27105A8"/>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70AB"/>
    <w:rsid w:val="000A70AB"/>
    <w:rsid w:val="001000BF"/>
    <w:rsid w:val="00270336"/>
    <w:rsid w:val="005B6B90"/>
    <w:rsid w:val="005C2BAE"/>
    <w:rsid w:val="006446C0"/>
    <w:rsid w:val="00A54655"/>
    <w:rsid w:val="00C770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A761020A14B4AF6A04672DDD27105A8">
    <w:name w:val="1A761020A14B4AF6A04672DDD27105A8"/>
    <w:rsid w:val="000A70A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2025-07-21T00:00:00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1EE64D-F353-421C-B0A0-EBC0D82D00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4587</Words>
  <Characters>26151</Characters>
  <Application>Microsoft Office Word</Application>
  <DocSecurity>0</DocSecurity>
  <Lines>217</Lines>
  <Paragraphs>61</Paragraphs>
  <ScaleCrop>false</ScaleCrop>
  <Company>UNIVERSITY OF WALES TRINITY SAINT DAVID</Company>
  <LinksUpToDate>false</LinksUpToDate>
  <CharactersWithSpaces>30677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 in a Global Business</dc:title>
  <dc:subject/>
  <dc:creator>Andrei Stafi</dc:creator>
  <cp:keywords/>
  <dc:description/>
  <cp:lastModifiedBy>Andrei Stafi</cp:lastModifiedBy>
  <cp:revision>3</cp:revision>
  <dcterms:created xsi:type="dcterms:W3CDTF">2025-07-19T17:06:00Z</dcterms:created>
  <dcterms:modified xsi:type="dcterms:W3CDTF">2025-07-19T17:22:00Z</dcterms:modified>
</cp:coreProperties>
</file>