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691080" w14:textId="036EC341" w:rsidR="007D743A" w:rsidRPr="00760AAE" w:rsidRDefault="0021314A" w:rsidP="00405EE8">
      <w:pPr>
        <w:pStyle w:val="Heading1"/>
        <w:pBdr>
          <w:left w:val="single" w:sz="24" w:space="14" w:color="156082" w:themeColor="accent1"/>
        </w:pBdr>
        <w:rPr>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21314A">
        <w:rPr>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Joan’s Story</w:t>
      </w:r>
      <w:r w:rsidR="00B338BD" w:rsidRPr="00FB19BD">
        <w:rPr>
          <w:noProof/>
        </w:rPr>
        <w:drawing>
          <wp:inline distT="0" distB="0" distL="0" distR="0" wp14:anchorId="6E5CDFA8" wp14:editId="6E096007">
            <wp:extent cx="5195274" cy="2922270"/>
            <wp:effectExtent l="95250" t="95250" r="100965" b="906780"/>
            <wp:docPr id="2015305172" name="Picture 1" descr="A person on a book co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05172" name="Picture 1" descr="A person on a book cov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03996" cy="2983425"/>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1C0D96FD" w14:textId="77777777" w:rsidR="00EA13E2" w:rsidRPr="00EA13E2" w:rsidRDefault="00EA13E2" w:rsidP="00EA13E2">
      <w:pPr>
        <w:keepNext/>
        <w:keepLines/>
        <w:spacing w:before="360" w:after="80" w:line="278" w:lineRule="auto"/>
        <w:jc w:val="center"/>
        <w:outlineLvl w:val="0"/>
        <w:rPr>
          <w:rFonts w:asciiTheme="majorHAnsi" w:eastAsiaTheme="majorEastAsia" w:hAnsiTheme="majorHAnsi" w:cstheme="majorBidi"/>
          <w:b/>
          <w:color w:val="262626" w:themeColor="text1" w:themeTint="D9"/>
          <w:kern w:val="2"/>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ligatures w14:val="standardContextual"/>
        </w:rPr>
      </w:pPr>
      <w:r w:rsidRPr="00EA13E2">
        <w:rPr>
          <w:rFonts w:asciiTheme="majorHAnsi" w:eastAsiaTheme="majorEastAsia" w:hAnsiTheme="majorHAnsi" w:cstheme="majorBidi"/>
          <w:b/>
          <w:color w:val="262626" w:themeColor="text1" w:themeTint="D9"/>
          <w:kern w:val="2"/>
          <w:sz w:val="52"/>
          <w:szCs w:val="5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ligatures w14:val="standardContextual"/>
        </w:rPr>
        <w:t>Joan Hannington</w:t>
      </w:r>
    </w:p>
    <w:p w14:paraId="0A8BCBFA" w14:textId="77777777" w:rsidR="00A03A2C" w:rsidRDefault="00A03A2C" w:rsidP="00A03A2C">
      <w:pPr>
        <w:rPr>
          <w:sz w:val="24"/>
          <w:szCs w:val="24"/>
        </w:rPr>
      </w:pPr>
    </w:p>
    <w:p w14:paraId="5A60FE7D" w14:textId="77777777" w:rsidR="00BA4239" w:rsidRPr="00BA4239" w:rsidRDefault="00BA4239" w:rsidP="00BA4239">
      <w:pPr>
        <w:spacing w:before="0" w:after="160" w:line="278" w:lineRule="auto"/>
        <w:rPr>
          <w:rFonts w:eastAsiaTheme="minorHAnsi"/>
          <w:kern w:val="2"/>
          <w:sz w:val="24"/>
          <w:szCs w:val="24"/>
          <w14:ligatures w14:val="standardContextual"/>
        </w:rPr>
      </w:pPr>
    </w:p>
    <w:p w14:paraId="560FFA45" w14:textId="77777777" w:rsidR="00BA4239" w:rsidRPr="00BA4239" w:rsidRDefault="00BA4239" w:rsidP="00BA4239">
      <w:pPr>
        <w:spacing w:before="0" w:after="160" w:line="278" w:lineRule="auto"/>
        <w:rPr>
          <w:rFonts w:eastAsiaTheme="minorHAnsi"/>
          <w:kern w:val="2"/>
          <w:sz w:val="24"/>
          <w:szCs w:val="24"/>
          <w14:ligatures w14:val="standardContextual"/>
        </w:rPr>
      </w:pPr>
      <w:r w:rsidRPr="00BA4239">
        <w:rPr>
          <w:rFonts w:eastAsiaTheme="minorHAnsi"/>
          <w:b/>
          <w:bCs/>
          <w:kern w:val="2"/>
          <w:sz w:val="24"/>
          <w:szCs w:val="24"/>
          <w14:ligatures w14:val="standardContextual"/>
        </w:rPr>
        <w:t>Your name:</w:t>
      </w:r>
      <w:r w:rsidRPr="00BA4239">
        <w:rPr>
          <w:rFonts w:eastAsiaTheme="minorHAnsi"/>
          <w:kern w:val="2"/>
          <w:sz w:val="24"/>
          <w:szCs w:val="24"/>
          <w14:ligatures w14:val="standardContextual"/>
        </w:rPr>
        <w:t xml:space="preserve"> Muna Sheikh</w:t>
      </w:r>
    </w:p>
    <w:p w14:paraId="3E010262" w14:textId="77777777" w:rsidR="00BA4239" w:rsidRPr="00BA4239" w:rsidRDefault="00BA4239" w:rsidP="00BA4239">
      <w:pPr>
        <w:spacing w:before="0" w:after="160" w:line="278" w:lineRule="auto"/>
        <w:rPr>
          <w:rFonts w:eastAsiaTheme="minorHAnsi"/>
          <w:kern w:val="2"/>
          <w:sz w:val="24"/>
          <w:szCs w:val="24"/>
          <w14:ligatures w14:val="standardContextual"/>
        </w:rPr>
      </w:pPr>
      <w:r w:rsidRPr="00BA4239">
        <w:rPr>
          <w:rFonts w:eastAsiaTheme="minorHAnsi"/>
          <w:b/>
          <w:bCs/>
          <w:kern w:val="2"/>
          <w:sz w:val="24"/>
          <w:szCs w:val="24"/>
          <w14:ligatures w14:val="standardContextual"/>
        </w:rPr>
        <w:t>Student number:</w:t>
      </w:r>
      <w:r w:rsidRPr="00BA4239">
        <w:rPr>
          <w:rFonts w:eastAsiaTheme="minorHAnsi"/>
          <w:kern w:val="2"/>
          <w:sz w:val="24"/>
          <w:szCs w:val="24"/>
          <w14:ligatures w14:val="standardContextual"/>
        </w:rPr>
        <w:t xml:space="preserve"> 2226434</w:t>
      </w:r>
    </w:p>
    <w:p w14:paraId="47C530DC" w14:textId="77777777" w:rsidR="00BA4239" w:rsidRPr="00BA4239" w:rsidRDefault="00BA4239" w:rsidP="00BA4239">
      <w:pPr>
        <w:spacing w:before="0" w:after="160" w:line="278" w:lineRule="auto"/>
        <w:rPr>
          <w:rFonts w:eastAsiaTheme="minorHAnsi"/>
          <w:b/>
          <w:bCs/>
          <w:kern w:val="2"/>
          <w:sz w:val="24"/>
          <w:szCs w:val="24"/>
          <w14:ligatures w14:val="standardContextual"/>
        </w:rPr>
      </w:pPr>
      <w:r w:rsidRPr="00BA4239">
        <w:rPr>
          <w:rFonts w:eastAsiaTheme="minorHAnsi"/>
          <w:b/>
          <w:bCs/>
          <w:kern w:val="2"/>
          <w:sz w:val="24"/>
          <w:szCs w:val="24"/>
          <w14:ligatures w14:val="standardContextual"/>
        </w:rPr>
        <w:t xml:space="preserve">Programme: </w:t>
      </w:r>
      <w:r w:rsidRPr="00BA4239">
        <w:rPr>
          <w:rFonts w:eastAsiaTheme="minorHAnsi"/>
          <w:kern w:val="2"/>
          <w:sz w:val="24"/>
          <w:szCs w:val="24"/>
          <w14:ligatures w14:val="standardContextual"/>
        </w:rPr>
        <w:t>BSc Health and Social Care</w:t>
      </w:r>
    </w:p>
    <w:p w14:paraId="72F037CB" w14:textId="77777777" w:rsidR="00BA4239" w:rsidRPr="00BA4239" w:rsidRDefault="00BA4239" w:rsidP="00BA4239">
      <w:pPr>
        <w:spacing w:before="0" w:after="160" w:line="278" w:lineRule="auto"/>
        <w:rPr>
          <w:rFonts w:eastAsiaTheme="minorHAnsi"/>
          <w:kern w:val="2"/>
          <w:sz w:val="24"/>
          <w:szCs w:val="24"/>
          <w14:ligatures w14:val="standardContextual"/>
        </w:rPr>
      </w:pPr>
      <w:r w:rsidRPr="00BA4239">
        <w:rPr>
          <w:rFonts w:eastAsiaTheme="minorHAnsi"/>
          <w:b/>
          <w:bCs/>
          <w:kern w:val="2"/>
          <w:sz w:val="24"/>
          <w:szCs w:val="24"/>
          <w14:ligatures w14:val="standardContextual"/>
        </w:rPr>
        <w:t>Module code :</w:t>
      </w:r>
      <w:r w:rsidRPr="00BA4239">
        <w:rPr>
          <w:rFonts w:eastAsiaTheme="minorHAnsi"/>
          <w:kern w:val="2"/>
          <w:sz w:val="24"/>
          <w:szCs w:val="24"/>
          <w14:ligatures w14:val="standardContextual"/>
        </w:rPr>
        <w:t xml:space="preserve"> BMHP5016_BIRM</w:t>
      </w:r>
    </w:p>
    <w:p w14:paraId="049958B7" w14:textId="77777777" w:rsidR="00BA4239" w:rsidRPr="00BA4239" w:rsidRDefault="00BA4239" w:rsidP="00BA4239">
      <w:pPr>
        <w:spacing w:before="0" w:after="160" w:line="278" w:lineRule="auto"/>
        <w:rPr>
          <w:rFonts w:eastAsiaTheme="minorHAnsi"/>
          <w:kern w:val="2"/>
          <w:sz w:val="24"/>
          <w:szCs w:val="24"/>
          <w14:ligatures w14:val="standardContextual"/>
        </w:rPr>
      </w:pPr>
      <w:r w:rsidRPr="00BA4239">
        <w:rPr>
          <w:rFonts w:eastAsiaTheme="minorHAnsi"/>
          <w:b/>
          <w:bCs/>
          <w:kern w:val="2"/>
          <w:sz w:val="24"/>
          <w:szCs w:val="24"/>
          <w14:ligatures w14:val="standardContextual"/>
        </w:rPr>
        <w:t xml:space="preserve">Title: </w:t>
      </w:r>
      <w:r w:rsidRPr="00BA4239">
        <w:rPr>
          <w:rFonts w:eastAsiaTheme="minorHAnsi"/>
          <w:kern w:val="2"/>
          <w:sz w:val="24"/>
          <w:szCs w:val="24"/>
          <w14:ligatures w14:val="standardContextual"/>
        </w:rPr>
        <w:t>Principles of Health and Social Care Practice (BMHP5016_BIRM)</w:t>
      </w:r>
    </w:p>
    <w:p w14:paraId="09ED229A" w14:textId="77777777" w:rsidR="00BA4239" w:rsidRPr="00BA4239" w:rsidRDefault="00BA4239" w:rsidP="00BA4239">
      <w:pPr>
        <w:spacing w:before="0" w:after="160" w:line="278" w:lineRule="auto"/>
        <w:rPr>
          <w:rFonts w:eastAsiaTheme="minorHAnsi"/>
          <w:b/>
          <w:bCs/>
          <w:kern w:val="2"/>
          <w:sz w:val="24"/>
          <w:szCs w:val="24"/>
          <w14:ligatures w14:val="standardContextual"/>
        </w:rPr>
      </w:pPr>
      <w:r w:rsidRPr="00BA4239">
        <w:rPr>
          <w:rFonts w:eastAsiaTheme="minorHAnsi"/>
          <w:b/>
          <w:bCs/>
          <w:kern w:val="2"/>
          <w:sz w:val="24"/>
          <w:szCs w:val="24"/>
          <w14:ligatures w14:val="standardContextual"/>
        </w:rPr>
        <w:t xml:space="preserve">Assignment title : </w:t>
      </w:r>
      <w:r w:rsidRPr="00BA4239">
        <w:rPr>
          <w:rFonts w:eastAsiaTheme="minorHAnsi"/>
          <w:bCs/>
          <w:kern w:val="2"/>
          <w:sz w:val="24"/>
          <w:szCs w:val="24"/>
          <w14:ligatures w14:val="standardContextual"/>
        </w:rPr>
        <w:t>Component 2: Written Assignment (Report)</w:t>
      </w:r>
    </w:p>
    <w:p w14:paraId="2DA5323E" w14:textId="1859BD21" w:rsidR="007D743A" w:rsidRPr="00F67E02" w:rsidRDefault="00F67E02" w:rsidP="007D743A">
      <w:pPr>
        <w:rPr>
          <w:b/>
          <w:bCs/>
          <w:sz w:val="24"/>
          <w:szCs w:val="24"/>
        </w:rPr>
      </w:pPr>
      <w:r w:rsidRPr="00F67E02">
        <w:rPr>
          <w:b/>
          <w:bCs/>
          <w:sz w:val="24"/>
          <w:szCs w:val="24"/>
        </w:rPr>
        <w:t>Word count:</w:t>
      </w:r>
    </w:p>
    <w:p w14:paraId="242D52DF" w14:textId="77777777" w:rsidR="007D743A" w:rsidRDefault="007D743A" w:rsidP="007D743A"/>
    <w:p w14:paraId="603440E8" w14:textId="77777777" w:rsidR="007D743A" w:rsidRDefault="007D743A" w:rsidP="007D743A"/>
    <w:p w14:paraId="6A710D6A" w14:textId="77777777" w:rsidR="007D743A" w:rsidRDefault="007D743A" w:rsidP="007D743A"/>
    <w:p w14:paraId="3F4B7FAA"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lastRenderedPageBreak/>
        <w:t>ABSTRACT:</w:t>
      </w:r>
    </w:p>
    <w:p w14:paraId="4E6D8608" w14:textId="2A9A13B9"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This report looks at the implementation of Partnership Working (PW) and Person-centred Care (PCC) within the framework of NHS England's case study, Joan's Story. Joan, an older adult with chronic obstructive pulmonary disease (COPD) and long-standing Crohn's disease, experienced frequent </w:t>
      </w:r>
      <w:r w:rsidR="00E01584" w:rsidRPr="005A51E0">
        <w:rPr>
          <w:rFonts w:eastAsiaTheme="minorHAnsi"/>
          <w:kern w:val="2"/>
          <w:sz w:val="24"/>
          <w:szCs w:val="24"/>
          <w14:ligatures w14:val="standardContextual"/>
        </w:rPr>
        <w:t>hospitalisations,</w:t>
      </w:r>
      <w:r w:rsidRPr="005A51E0">
        <w:rPr>
          <w:rFonts w:eastAsiaTheme="minorHAnsi"/>
          <w:kern w:val="2"/>
          <w:sz w:val="24"/>
          <w:szCs w:val="24"/>
          <w14:ligatures w14:val="standardContextual"/>
        </w:rPr>
        <w:t xml:space="preserve"> and poor quality of life until her care shifted from a condition-led approach to one focused on her dignity, </w:t>
      </w:r>
      <w:r w:rsidR="00E01584" w:rsidRPr="005A51E0">
        <w:rPr>
          <w:rFonts w:eastAsiaTheme="minorHAnsi"/>
          <w:kern w:val="2"/>
          <w:sz w:val="24"/>
          <w:szCs w:val="24"/>
          <w14:ligatures w14:val="standardContextual"/>
        </w:rPr>
        <w:t>priorities,</w:t>
      </w:r>
      <w:r w:rsidRPr="005A51E0">
        <w:rPr>
          <w:rFonts w:eastAsiaTheme="minorHAnsi"/>
          <w:kern w:val="2"/>
          <w:sz w:val="24"/>
          <w:szCs w:val="24"/>
          <w14:ligatures w14:val="standardContextual"/>
        </w:rPr>
        <w:t xml:space="preserve"> and circumstances. The report defines PCC, explores its theoretical basis, ethical </w:t>
      </w:r>
      <w:r w:rsidR="00E864C7" w:rsidRPr="005A51E0">
        <w:rPr>
          <w:rFonts w:eastAsiaTheme="minorHAnsi"/>
          <w:kern w:val="2"/>
          <w:sz w:val="24"/>
          <w:szCs w:val="24"/>
          <w14:ligatures w14:val="standardContextual"/>
        </w:rPr>
        <w:t>underpinnings,</w:t>
      </w:r>
      <w:r w:rsidRPr="005A51E0">
        <w:rPr>
          <w:rFonts w:eastAsiaTheme="minorHAnsi"/>
          <w:kern w:val="2"/>
          <w:sz w:val="24"/>
          <w:szCs w:val="24"/>
          <w14:ligatures w14:val="standardContextual"/>
        </w:rPr>
        <w:t xml:space="preserve"> and relevant UK policy, and then considers the extent to which Joan's outcomes were transformed by the collaboration between primary, </w:t>
      </w:r>
      <w:r w:rsidR="00E864C7" w:rsidRPr="005A51E0">
        <w:rPr>
          <w:rFonts w:eastAsiaTheme="minorHAnsi"/>
          <w:kern w:val="2"/>
          <w:sz w:val="24"/>
          <w:szCs w:val="24"/>
          <w14:ligatures w14:val="standardContextual"/>
        </w:rPr>
        <w:t>community,</w:t>
      </w:r>
      <w:r w:rsidRPr="005A51E0">
        <w:rPr>
          <w:rFonts w:eastAsiaTheme="minorHAnsi"/>
          <w:kern w:val="2"/>
          <w:sz w:val="24"/>
          <w:szCs w:val="24"/>
          <w14:ligatures w14:val="standardContextual"/>
        </w:rPr>
        <w:t xml:space="preserve"> and voluntary services. Key findings show that PCC improves wellbeing, reduces the use of avoidable services, and increases patient activation, with partnership working being essential to meet complex, overlapping needs. However, challenges such as fragmented systems, lack of resources and inconsistent training are experienced by both approaches. Full benefit of person-centred, joined-up care is delivered through sustained cross-sector collaboration, integrated digital systems and embedded education. </w:t>
      </w:r>
    </w:p>
    <w:p w14:paraId="5ABBC29D" w14:textId="34FAD5AC" w:rsidR="005A51E0" w:rsidRPr="005A51E0" w:rsidRDefault="007E2A8E"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Introduction</w:t>
      </w:r>
    </w:p>
    <w:p w14:paraId="7025D57A" w14:textId="70FE09C0"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The objective of this report is to critically analyse the principles and practice of Person-centred Care and Partnership Working within the framework of contemporary health and social care. Joan’s Story is a </w:t>
      </w:r>
      <w:r w:rsidR="003520DA" w:rsidRPr="005A51E0">
        <w:rPr>
          <w:rFonts w:eastAsiaTheme="minorHAnsi"/>
          <w:kern w:val="2"/>
          <w:sz w:val="24"/>
          <w:szCs w:val="24"/>
          <w14:ligatures w14:val="standardContextual"/>
        </w:rPr>
        <w:t>real-life</w:t>
      </w:r>
      <w:r w:rsidRPr="005A51E0">
        <w:rPr>
          <w:rFonts w:eastAsiaTheme="minorHAnsi"/>
          <w:kern w:val="2"/>
          <w:sz w:val="24"/>
          <w:szCs w:val="24"/>
          <w14:ligatures w14:val="standardContextual"/>
        </w:rPr>
        <w:t xml:space="preserve"> case study of the potential successes and potential failings of these approaches. It aims to clarify key concepts, relate them to established theory and ethical standards, map relevant legislation and suggest evidence-based improvements for UK services.</w:t>
      </w:r>
    </w:p>
    <w:p w14:paraId="767B9E5B" w14:textId="0169D1F2"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PCC is first defined in the </w:t>
      </w:r>
      <w:r w:rsidR="003520DA" w:rsidRPr="005A51E0">
        <w:rPr>
          <w:rFonts w:eastAsiaTheme="minorHAnsi"/>
          <w:kern w:val="2"/>
          <w:sz w:val="24"/>
          <w:szCs w:val="24"/>
          <w14:ligatures w14:val="standardContextual"/>
        </w:rPr>
        <w:t>report,</w:t>
      </w:r>
      <w:r w:rsidRPr="005A51E0">
        <w:rPr>
          <w:rFonts w:eastAsiaTheme="minorHAnsi"/>
          <w:kern w:val="2"/>
          <w:sz w:val="24"/>
          <w:szCs w:val="24"/>
          <w14:ligatures w14:val="standardContextual"/>
        </w:rPr>
        <w:t xml:space="preserve"> and the advantages and disadvantages are explained before they are applied to the chosen environment. It then explores the theoretical frameworks that provide the underpinning of person-centred practice and finishes with an examination of the ethical principles guiding decision-making. The next step is to consider the role of partnership working in Integrated Care Systems (ICSs) and the associated policy and legislation. Finally, general reference list and final summary are given, and recommendations for further development are made.</w:t>
      </w:r>
    </w:p>
    <w:p w14:paraId="7F76FEC4" w14:textId="3DB6B7F0"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The practical setting referred to throughout is primary and community care. It is in this environment that most long-term condition management takes </w:t>
      </w:r>
      <w:r w:rsidR="003520DA" w:rsidRPr="005A51E0">
        <w:rPr>
          <w:rFonts w:eastAsiaTheme="minorHAnsi"/>
          <w:kern w:val="2"/>
          <w:sz w:val="24"/>
          <w:szCs w:val="24"/>
          <w14:ligatures w14:val="standardContextual"/>
        </w:rPr>
        <w:t>place,</w:t>
      </w:r>
      <w:r w:rsidRPr="005A51E0">
        <w:rPr>
          <w:rFonts w:eastAsiaTheme="minorHAnsi"/>
          <w:kern w:val="2"/>
          <w:sz w:val="24"/>
          <w:szCs w:val="24"/>
          <w14:ligatures w14:val="standardContextual"/>
        </w:rPr>
        <w:t xml:space="preserve"> and it is here that people like Joan feel most keenly the gaps in communication and collaboration.</w:t>
      </w:r>
    </w:p>
    <w:p w14:paraId="1318B332"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359F40BC"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39832F49"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lastRenderedPageBreak/>
        <w:t>Person-centred Care Definition</w:t>
      </w:r>
    </w:p>
    <w:p w14:paraId="78B9C5D4" w14:textId="5CBBBD2D"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“Person-Centred Care is generally described as ‘</w:t>
      </w:r>
      <w:r w:rsidR="00830E45" w:rsidRPr="005A51E0">
        <w:rPr>
          <w:rFonts w:eastAsiaTheme="minorHAnsi"/>
          <w:kern w:val="2"/>
          <w:sz w:val="24"/>
          <w:szCs w:val="24"/>
          <w14:ligatures w14:val="standardContextual"/>
        </w:rPr>
        <w:t>collaborating</w:t>
      </w:r>
      <w:r w:rsidRPr="005A51E0">
        <w:rPr>
          <w:rFonts w:eastAsiaTheme="minorHAnsi"/>
          <w:kern w:val="2"/>
          <w:sz w:val="24"/>
          <w:szCs w:val="24"/>
          <w14:ligatures w14:val="standardContextual"/>
        </w:rPr>
        <w:t xml:space="preserve"> with individuals to ensure that care is tailored to their values, preferences and needs, rather than to clinical guidelines or organisational convenience’ (Health Innovation Network, 2023, p. 2). This is often encapsulated as the movement from “What is the matter with you?” to “What is important to you?” (NHS England, 2024) and requires that people </w:t>
      </w:r>
      <w:r w:rsidR="00830E45" w:rsidRPr="005A51E0">
        <w:rPr>
          <w:rFonts w:eastAsiaTheme="minorHAnsi"/>
          <w:kern w:val="2"/>
          <w:sz w:val="24"/>
          <w:szCs w:val="24"/>
          <w14:ligatures w14:val="standardContextual"/>
        </w:rPr>
        <w:t>be</w:t>
      </w:r>
      <w:r w:rsidRPr="005A51E0">
        <w:rPr>
          <w:rFonts w:eastAsiaTheme="minorHAnsi"/>
          <w:kern w:val="2"/>
          <w:sz w:val="24"/>
          <w:szCs w:val="24"/>
          <w14:ligatures w14:val="standardContextual"/>
        </w:rPr>
        <w:t xml:space="preserve"> recognised as equal partners in every aspect of their care.</w:t>
      </w:r>
    </w:p>
    <w:p w14:paraId="09E74CB5"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Benefits of PCC</w:t>
      </w:r>
    </w:p>
    <w:p w14:paraId="09766472"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Research consistently finds PCC is associated with improved outcomes:</w:t>
      </w:r>
    </w:p>
    <w:p w14:paraId="1DF80EBB"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Better health and well-being: People receiving person-centred care are more likely to adhere to their medication, recover faster and have lower rates of emergency admission (Health Foundation, 2022). Joan’s narrative shift helped her halve her preventable hospital visits in six months.</w:t>
      </w:r>
    </w:p>
    <w:p w14:paraId="5059E0F1"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Greater satisfaction and empowerment: Joan’s Patient Activation Measure score increased by 40% when staff listened to her feelings of humiliation regarding Crohn’s-related symptoms and her fear of leaving home, rather than judging her (NHS England, 2026).</w:t>
      </w:r>
    </w:p>
    <w:p w14:paraId="2317628E" w14:textId="6B35715F"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 Sustainable service delivery: PCC ensures that primary care teams are not burdened with wasted appointments, repeated </w:t>
      </w:r>
      <w:r w:rsidR="00830E45" w:rsidRPr="005A51E0">
        <w:rPr>
          <w:rFonts w:eastAsiaTheme="minorHAnsi"/>
          <w:kern w:val="2"/>
          <w:sz w:val="24"/>
          <w:szCs w:val="24"/>
          <w14:ligatures w14:val="standardContextual"/>
        </w:rPr>
        <w:t>assessments,</w:t>
      </w:r>
      <w:r w:rsidRPr="005A51E0">
        <w:rPr>
          <w:rFonts w:eastAsiaTheme="minorHAnsi"/>
          <w:kern w:val="2"/>
          <w:sz w:val="24"/>
          <w:szCs w:val="24"/>
          <w14:ligatures w14:val="standardContextual"/>
        </w:rPr>
        <w:t xml:space="preserve"> and unnecessary interventions (NHS Confederation, 2023).</w:t>
      </w:r>
    </w:p>
    <w:p w14:paraId="532CB5BB"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Cons of PCC</w:t>
      </w:r>
    </w:p>
    <w:p w14:paraId="7544A018"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While the clear advantages exist however, embedding PCC is not without challenge:</w:t>
      </w:r>
    </w:p>
    <w:p w14:paraId="64BEBEC3" w14:textId="00ED4BC6"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 Resource constraints: Resources are often limited in community care, requiring extra staffing and funding to enable longer consultations, home </w:t>
      </w:r>
      <w:r w:rsidR="00E01584" w:rsidRPr="005A51E0">
        <w:rPr>
          <w:rFonts w:eastAsiaTheme="minorHAnsi"/>
          <w:kern w:val="2"/>
          <w:sz w:val="24"/>
          <w:szCs w:val="24"/>
          <w14:ligatures w14:val="standardContextual"/>
        </w:rPr>
        <w:t>visits,</w:t>
      </w:r>
      <w:r w:rsidRPr="005A51E0">
        <w:rPr>
          <w:rFonts w:eastAsiaTheme="minorHAnsi"/>
          <w:kern w:val="2"/>
          <w:sz w:val="24"/>
          <w:szCs w:val="24"/>
          <w14:ligatures w14:val="standardContextual"/>
        </w:rPr>
        <w:t xml:space="preserve"> and relationship building (Baird et al., 2021).</w:t>
      </w:r>
    </w:p>
    <w:p w14:paraId="04A93D66"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Cultural and behavioural barriers: Some practitioners still follow traditional "expert-led" models, viewing shared decision-making as time-consuming or risky (Rycroft-Malone et al., 2022).</w:t>
      </w:r>
    </w:p>
    <w:p w14:paraId="6BA51D83" w14:textId="4457EEA5"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Inconsistent training: Many staff members have not received formal training in communication, </w:t>
      </w:r>
      <w:r w:rsidR="00E01584" w:rsidRPr="005A51E0">
        <w:rPr>
          <w:rFonts w:eastAsiaTheme="minorHAnsi"/>
          <w:kern w:val="2"/>
          <w:sz w:val="24"/>
          <w:szCs w:val="24"/>
          <w14:ligatures w14:val="standardContextual"/>
        </w:rPr>
        <w:t>empathy,</w:t>
      </w:r>
      <w:r w:rsidRPr="005A51E0">
        <w:rPr>
          <w:rFonts w:eastAsiaTheme="minorHAnsi"/>
          <w:kern w:val="2"/>
          <w:sz w:val="24"/>
          <w:szCs w:val="24"/>
          <w14:ligatures w14:val="standardContextual"/>
        </w:rPr>
        <w:t xml:space="preserve"> or strengths-based practice, meaning PCC is delivered inconsistently across services (Simpson, 2021).</w:t>
      </w:r>
    </w:p>
    <w:p w14:paraId="386A11EB"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lastRenderedPageBreak/>
        <w:t>Joan has seen these tensions in primary and community care. While her GP and community matron endorsed PCC, the early delays around engaging specialist teams showed how uneven commitment may impede progress.</w:t>
      </w:r>
    </w:p>
    <w:p w14:paraId="583E2A6E"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63EE916E"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Pertinent theories</w:t>
      </w:r>
    </w:p>
    <w:p w14:paraId="524E1023"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The three complementary hypotheses provide a strong evidence base for PCC and explain Joan's success.</w:t>
      </w:r>
    </w:p>
    <w:p w14:paraId="17CDED21"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520EB95E"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The Humanistic Theory (Carl Rogers)</w:t>
      </w:r>
    </w:p>
    <w:p w14:paraId="19EA35B3"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Rogers (1961) argued that people’s potential can be developed in supportive relationships based on empathy, unconditional positive regard, and congruence. This when dealing with health and social care means not to make assumptions, to acknowledge others' emotions without condemnation, and to be forthright about the limitations and possibilities of the situation. For Joan, this approach allowed her to reveal how much Crohn’s had affected her mobility and confidence, information she had not shared with clinicians who focused exclusively on her COPD.</w:t>
      </w:r>
    </w:p>
    <w:p w14:paraId="491AD2BE"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25139E23"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Patient Activation Model</w:t>
      </w:r>
    </w:p>
    <w:p w14:paraId="7CA679C1"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This model, developed by Hibbard and Gilburt (2014), uses the Patient Activation Measure (PAM) to assess the confidence and ability of individuals to manage their own health. It describes PCC as a process of building capacity, rather than just teaching. Activation theory is the process that brings PCC principles into practice; an example of this is Joan’s journey from “low activation” (not being able to manage even the basic care) to “high activation” (leading her own rehabilitation plan).</w:t>
      </w:r>
    </w:p>
    <w:p w14:paraId="1999E78A"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Empowerment Theory</w:t>
      </w:r>
    </w:p>
    <w:p w14:paraId="40544784"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According to Rappaport (1987), empowerment is defined as the process of gaining more control over one’s life and the resources that affect it. In community care this means that information is exchanged, support is provided in a way and place chosen by the individual and that their lived experience is valued along with their professional expertise. Instead of imposing a care plan, Joan’s was co-produced; she preferred small group sessions to large courses and started rehabilitation at home, which gave her the confidence to make progress.</w:t>
      </w:r>
    </w:p>
    <w:p w14:paraId="7C485722"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lastRenderedPageBreak/>
        <w:t>Critical Synthesis</w:t>
      </w:r>
    </w:p>
    <w:p w14:paraId="7E43BECA"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Taken together, these theories undermine the standard ‘paternalistic’ paradigm of care whereby professionals decide the most appropriate course of action. Critics argue that empowerment may place too much responsibility on vulnerable individuals, especially those with low levels of literacy or social support. However, Joan’s example shows that empowerment can be beneficial when support is tailored to the individual rather than being a burden (Entwistle &amp; Watt, 2021).</w:t>
      </w:r>
    </w:p>
    <w:p w14:paraId="07FB4CF0" w14:textId="77777777" w:rsidR="005A51E0" w:rsidRPr="005A51E0" w:rsidRDefault="005A51E0" w:rsidP="005A51E0">
      <w:pPr>
        <w:spacing w:before="0" w:after="160" w:line="278" w:lineRule="auto"/>
        <w:rPr>
          <w:rFonts w:eastAsiaTheme="minorHAnsi"/>
          <w:kern w:val="2"/>
          <w:sz w:val="24"/>
          <w:szCs w:val="24"/>
          <w14:ligatures w14:val="standardContextual"/>
        </w:rPr>
      </w:pPr>
    </w:p>
    <w:p w14:paraId="4EC348E9"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Ethical Underpinnings</w:t>
      </w:r>
    </w:p>
    <w:p w14:paraId="34D0F58D"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Four core ethical principles underpin health and social care practice (Beauchamp and Childress, 2019) and are all central to both PCC and partnership working:</w:t>
      </w:r>
    </w:p>
    <w:p w14:paraId="4F68F312"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Autonomy: Recognising an individual's right to make informed decisions for themselves. The decision to delay pulmonary rehabilitation until her gastrointestinal symptoms were resolved, rather than being forced to start it immediately, was supported.</w:t>
      </w:r>
    </w:p>
    <w:p w14:paraId="0841D302"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Beneficence. To do what is best for the individual. Joan was not referred primarily for her Crohn’s disease. However, it was an important component of the improvement of her overall wellbeing and COPD.</w:t>
      </w:r>
    </w:p>
    <w:p w14:paraId="6048A28E"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Non-maleficence: To do no harm. If Joan's humiliation were ignored or objectives were prioritised over her well-being, it would have led to more isolation and a decline in her health.</w:t>
      </w:r>
    </w:p>
    <w:p w14:paraId="5D910F94"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Justice: Fair access to health care. Home visits and flexible appointments removed barriers related to her mobility and anxiety, so she received the same level of support as those who could attend clinics.</w:t>
      </w:r>
    </w:p>
    <w:p w14:paraId="210F937C"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6D99B30B"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Ethical Dilemmas and Different Opinions</w:t>
      </w:r>
    </w:p>
    <w:p w14:paraId="3C769346"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The dilemma was created by Joan’s refusal to share her care plan with social services, for fear that she would be assessed as needing residential care. Some employees argued that she needed the information for her protection; others argued that she had the right to control her own data. This was addressed through partnership working: the team clarified the purpose of the information, confirmed that no decisions would be made without her and agreed a phased approach to sharing, which would balance autonomy with safety (Seedhouse, 2021).</w:t>
      </w:r>
    </w:p>
    <w:p w14:paraId="2BFCBC06"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lastRenderedPageBreak/>
        <w:t>There is still debate about whether autonomy should be prioritised over clinical advice, especially when individuals make decisions involving risk. However, evidence shows that informed, supported decision-making leads to more sustained compliance than imposed care (Entwistle and Watt, 2021).</w:t>
      </w:r>
    </w:p>
    <w:p w14:paraId="19C5F29F"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59F97954"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Assessment of Collaborative Working</w:t>
      </w:r>
    </w:p>
    <w:p w14:paraId="52B074DD"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Working is defined as 'the active collaboration of health, social care, voluntary, community and independent sector organisations to deliver seamless, person-centred care' (Social Care Institute for Excellence [SCIE], 2022, p. 3). The Health and Care Act 2022 requires the establishment of Integrated Care Systems (ICSs).</w:t>
      </w:r>
    </w:p>
    <w:p w14:paraId="56802AF5"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0DFCEFB2"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Advantages of working in partnership</w:t>
      </w:r>
    </w:p>
    <w:p w14:paraId="3B84285A" w14:textId="47DA74AC"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 Holistic care: The needs of Joan cannot be fulfilled by one professional. However, the collaboration of GPs, community nurses, gastroenterologists, respiratory </w:t>
      </w:r>
      <w:r w:rsidR="00E01584" w:rsidRPr="005A51E0">
        <w:rPr>
          <w:rFonts w:eastAsiaTheme="minorHAnsi"/>
          <w:kern w:val="2"/>
          <w:sz w:val="24"/>
          <w:szCs w:val="24"/>
          <w14:ligatures w14:val="standardContextual"/>
        </w:rPr>
        <w:t>therapists,</w:t>
      </w:r>
      <w:r w:rsidRPr="005A51E0">
        <w:rPr>
          <w:rFonts w:eastAsiaTheme="minorHAnsi"/>
          <w:kern w:val="2"/>
          <w:sz w:val="24"/>
          <w:szCs w:val="24"/>
          <w14:ligatures w14:val="standardContextual"/>
        </w:rPr>
        <w:t xml:space="preserve"> and social prescriber ensured that both physical and emotional needs were met.</w:t>
      </w:r>
    </w:p>
    <w:p w14:paraId="580CD05F"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Less repetition: Shared assessments and care documents meant less frustration and time for Joan and no need to retell her story to each new service (NHS England, 2023).</w:t>
      </w:r>
    </w:p>
    <w:p w14:paraId="7EA2B7E1"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Smoother transitions: Effective partnership working meant Joan transitioned from hospital support to community rehabilitation without any break or confusion.</w:t>
      </w:r>
    </w:p>
    <w:p w14:paraId="43753E1B"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Difficulties of working in partnership</w:t>
      </w:r>
    </w:p>
    <w:p w14:paraId="03DC65F5"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System fragmentation: The first delay in sharing Joan’s records happened because of the inconsistency of IT systems between health and social care teams (King's Fund, 2023).</w:t>
      </w:r>
    </w:p>
    <w:p w14:paraId="39401ACE"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Cultural and funding silos: The Audit Commission (2022) explains that health services and local authority social care have separate budgets and priorities, leading to delays in establishing who is responsible for what support.</w:t>
      </w:r>
    </w:p>
    <w:p w14:paraId="6B513084"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Communication barriers: Organisations may have different terminologies and meeting protocols, leading to misunderstandings.</w:t>
      </w:r>
    </w:p>
    <w:p w14:paraId="24BF366F"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When effective, partnership working is transformative in primary and community care, as illustrated by Joan’s recovery. But it is fragile when systems and cultures are not perfectly aligned.</w:t>
      </w:r>
    </w:p>
    <w:p w14:paraId="56980B2D" w14:textId="77777777" w:rsidR="005A51E0" w:rsidRPr="005A51E0" w:rsidRDefault="005A51E0" w:rsidP="005A51E0">
      <w:pPr>
        <w:spacing w:before="0" w:after="160" w:line="278" w:lineRule="auto"/>
        <w:rPr>
          <w:rFonts w:eastAsiaTheme="minorHAnsi"/>
          <w:kern w:val="2"/>
          <w:sz w:val="24"/>
          <w:szCs w:val="24"/>
          <w14:ligatures w14:val="standardContextual"/>
        </w:rPr>
      </w:pPr>
    </w:p>
    <w:p w14:paraId="21F1A8CC"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lastRenderedPageBreak/>
        <w:t>Policy and Law</w:t>
      </w:r>
    </w:p>
    <w:p w14:paraId="4EE55FB8"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There are a number of key laws and policies that influence the way in which PCC and partnership working is delivered in England.</w:t>
      </w:r>
    </w:p>
    <w:p w14:paraId="5095E5DE"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A number of key laws and policies impact on the delivery of PCC and partnership working in England:</w:t>
      </w:r>
    </w:p>
    <w:p w14:paraId="21A04F31"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The Human Rights Act 1998: Article 8 protects the right to respect for private and family life and so services need to care for people with dignity and take account of the individual circumstances. This provision directly supports Joan’s wish to be cared for at home.</w:t>
      </w:r>
    </w:p>
    <w:p w14:paraId="1E0AC09A" w14:textId="7814BBA2"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 Equality Act 2010: Prohibits discrimination on the basis of age or health </w:t>
      </w:r>
      <w:r w:rsidR="00914314" w:rsidRPr="005A51E0">
        <w:rPr>
          <w:rFonts w:eastAsiaTheme="minorHAnsi"/>
          <w:kern w:val="2"/>
          <w:sz w:val="24"/>
          <w:szCs w:val="24"/>
          <w14:ligatures w14:val="standardContextual"/>
        </w:rPr>
        <w:t>status and</w:t>
      </w:r>
      <w:r w:rsidRPr="005A51E0">
        <w:rPr>
          <w:rFonts w:eastAsiaTheme="minorHAnsi"/>
          <w:kern w:val="2"/>
          <w:sz w:val="24"/>
          <w:szCs w:val="24"/>
          <w14:ligatures w14:val="standardContextual"/>
        </w:rPr>
        <w:t xml:space="preserve"> requires reasonable accommodations for people with disabilities or health conditions. This was why the decision was taken to offer home visits and flexible appointments.</w:t>
      </w:r>
    </w:p>
    <w:p w14:paraId="1D8B9775" w14:textId="7CC39876"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 Health and Social Care Act 2012: This Act established a statutory duty for NHS bodies to consult with the public on the design of services, patient </w:t>
      </w:r>
      <w:r w:rsidR="00E01584" w:rsidRPr="005A51E0">
        <w:rPr>
          <w:rFonts w:eastAsiaTheme="minorHAnsi"/>
          <w:kern w:val="2"/>
          <w:sz w:val="24"/>
          <w:szCs w:val="24"/>
          <w14:ligatures w14:val="standardContextual"/>
        </w:rPr>
        <w:t>choice,</w:t>
      </w:r>
      <w:r w:rsidRPr="005A51E0">
        <w:rPr>
          <w:rFonts w:eastAsiaTheme="minorHAnsi"/>
          <w:kern w:val="2"/>
          <w:sz w:val="24"/>
          <w:szCs w:val="24"/>
          <w14:ligatures w14:val="standardContextual"/>
        </w:rPr>
        <w:t xml:space="preserve"> and public involvement (Department of Health [DoH], 2012).</w:t>
      </w:r>
    </w:p>
    <w:p w14:paraId="0F3E303C" w14:textId="674584F2"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 Care Act 2014: Local authorities need to work with health services and place wellbeing at the </w:t>
      </w:r>
      <w:r w:rsidR="003520DA" w:rsidRPr="005A51E0">
        <w:rPr>
          <w:rFonts w:eastAsiaTheme="minorHAnsi"/>
          <w:kern w:val="2"/>
          <w:sz w:val="24"/>
          <w:szCs w:val="24"/>
          <w14:ligatures w14:val="standardContextual"/>
        </w:rPr>
        <w:t>centre</w:t>
      </w:r>
      <w:r w:rsidRPr="005A51E0">
        <w:rPr>
          <w:rFonts w:eastAsiaTheme="minorHAnsi"/>
          <w:kern w:val="2"/>
          <w:sz w:val="24"/>
          <w:szCs w:val="24"/>
          <w14:ligatures w14:val="standardContextual"/>
        </w:rPr>
        <w:t xml:space="preserve"> of assessment and care planning, which is a core element of Joan’s individual plan (SCIE, 2023).</w:t>
      </w:r>
    </w:p>
    <w:p w14:paraId="5FCD2145"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The Health and Care Act 2022 will make ICSs statutory bodies, with duties to promote integration, reduce health inequalities and engage service users (Department of Health and Social Care [DHSC], 2022).</w:t>
      </w:r>
    </w:p>
    <w:p w14:paraId="5B824C1A"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30AE5AD6"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t>Practice Implications</w:t>
      </w:r>
    </w:p>
    <w:p w14:paraId="2BDF91F8"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kern w:val="2"/>
          <w:sz w:val="24"/>
          <w:szCs w:val="24"/>
          <w14:ligatures w14:val="standardContextual"/>
        </w:rPr>
        <w:t>While they provide a sound legal basis for PCC and partnership working, the implementation of these frameworks is inconsistent. For example, person-centred planning is required by the Care Act 2014, but primary care staff say that they are too busy doing the paperwork required to show that they are complying (NHS Confederation, 2024). ‘The Health and Care Act 2022 has accelerated collaboration, but funding silos continue to restrict colla</w:t>
      </w:r>
      <w:r w:rsidRPr="005A51E0">
        <w:rPr>
          <w:rFonts w:eastAsiaTheme="minorHAnsi"/>
          <w:b/>
          <w:bCs/>
          <w:kern w:val="2"/>
          <w:sz w:val="32"/>
          <w:szCs w:val="32"/>
          <w14:ligatures w14:val="standardContextual"/>
        </w:rPr>
        <w:t>boration in many areas.</w:t>
      </w:r>
    </w:p>
    <w:p w14:paraId="3AEFA2D9"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16472AD0"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43422815"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5C088226"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lastRenderedPageBreak/>
        <w:t>Advice</w:t>
      </w:r>
    </w:p>
    <w:p w14:paraId="4D75C172"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Based on Joan’s experience and wider evidence, a series of linked steps are required to improve PCC and partnership working across primary and community care.</w:t>
      </w:r>
    </w:p>
    <w:p w14:paraId="398B23DB" w14:textId="02AC2403"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All frontline and managerial staff in primary and community services should be involved in ongoing mandatory training in person-cantered communication, shared </w:t>
      </w:r>
      <w:r w:rsidR="00E01584" w:rsidRPr="005A51E0">
        <w:rPr>
          <w:rFonts w:eastAsiaTheme="minorHAnsi"/>
          <w:kern w:val="2"/>
          <w:sz w:val="24"/>
          <w:szCs w:val="24"/>
          <w14:ligatures w14:val="standardContextual"/>
        </w:rPr>
        <w:t>decision-making,</w:t>
      </w:r>
      <w:r w:rsidRPr="005A51E0">
        <w:rPr>
          <w:rFonts w:eastAsiaTheme="minorHAnsi"/>
          <w:kern w:val="2"/>
          <w:sz w:val="24"/>
          <w:szCs w:val="24"/>
          <w14:ligatures w14:val="standardContextual"/>
        </w:rPr>
        <w:t xml:space="preserve"> and cross-sector partnership as the first step. Such training should include hands-on learning with case studies, as in Joan’s Story. This should be included in pre-registration education and CPD, with designated time to avoid disruption to service delivery. Although initial costs and burden concerns are prevalent barriers, research shows that such training improves the patient experience and decreases the use of expensive services, leading to long-term savings (Gilburt et al., 2021).</w:t>
      </w:r>
    </w:p>
    <w:p w14:paraId="29EB628D" w14:textId="77777777"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Secondly, ICSs need to prioritise the implementation of interoperable digital care records so that those professionals working across health, social care and the voluntary sector can access up-to-date care plans securely. This would eliminate the initial communication delays that hampered Joan’s care, while still respecting data protection rules. Although upfront investment and staff training are barriers to implementation, The King’s Fund (2023) estimates that integrated systems could reduce administrative duplication by up to 30% in community settings.</w:t>
      </w:r>
    </w:p>
    <w:p w14:paraId="46307478" w14:textId="3A2DB050"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Third, local ICSs should establish regular multi-disciplinary meetings involving patients, </w:t>
      </w:r>
      <w:r w:rsidR="00E01584" w:rsidRPr="005A51E0">
        <w:rPr>
          <w:rFonts w:eastAsiaTheme="minorHAnsi"/>
          <w:kern w:val="2"/>
          <w:sz w:val="24"/>
          <w:szCs w:val="24"/>
          <w14:ligatures w14:val="standardContextual"/>
        </w:rPr>
        <w:t>carers,</w:t>
      </w:r>
      <w:r w:rsidRPr="005A51E0">
        <w:rPr>
          <w:rFonts w:eastAsiaTheme="minorHAnsi"/>
          <w:kern w:val="2"/>
          <w:sz w:val="24"/>
          <w:szCs w:val="24"/>
          <w14:ligatures w14:val="standardContextual"/>
        </w:rPr>
        <w:t xml:space="preserve"> and voluntary sector partners. They should also extend social prescribing to connect people to community support for mobility, </w:t>
      </w:r>
      <w:r w:rsidR="00E01584" w:rsidRPr="005A51E0">
        <w:rPr>
          <w:rFonts w:eastAsiaTheme="minorHAnsi"/>
          <w:kern w:val="2"/>
          <w:sz w:val="24"/>
          <w:szCs w:val="24"/>
          <w14:ligatures w14:val="standardContextual"/>
        </w:rPr>
        <w:t>isolation,</w:t>
      </w:r>
      <w:r w:rsidRPr="005A51E0">
        <w:rPr>
          <w:rFonts w:eastAsiaTheme="minorHAnsi"/>
          <w:kern w:val="2"/>
          <w:sz w:val="24"/>
          <w:szCs w:val="24"/>
          <w14:ligatures w14:val="standardContextual"/>
        </w:rPr>
        <w:t xml:space="preserve"> and confidence, which were vital to Joan's recovery. The main limitation is the current capacity, but research has shown that social prescribing improves the quality of life of people with long-term conditions and reduces emergency admissions (Bickerdike et al., 2022).</w:t>
      </w:r>
    </w:p>
    <w:p w14:paraId="4BF0F0BE" w14:textId="77777777" w:rsidR="005A51E0" w:rsidRPr="005A51E0" w:rsidRDefault="005A51E0" w:rsidP="005A51E0">
      <w:pPr>
        <w:spacing w:before="0" w:after="160" w:line="278" w:lineRule="auto"/>
        <w:rPr>
          <w:rFonts w:eastAsiaTheme="minorHAnsi"/>
          <w:kern w:val="2"/>
          <w:sz w:val="24"/>
          <w:szCs w:val="24"/>
          <w14:ligatures w14:val="standardContextual"/>
        </w:rPr>
      </w:pPr>
    </w:p>
    <w:p w14:paraId="755077FF"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2B185CB6"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60A97B52"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60ECE462"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7B027D82"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2995D25F"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73B460F3"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69F82D55" w14:textId="77777777" w:rsidR="005A51E0" w:rsidRPr="005A51E0" w:rsidRDefault="005A51E0" w:rsidP="005A51E0">
      <w:pPr>
        <w:spacing w:before="0" w:after="160" w:line="278" w:lineRule="auto"/>
        <w:rPr>
          <w:rFonts w:eastAsiaTheme="minorHAnsi"/>
          <w:b/>
          <w:bCs/>
          <w:kern w:val="2"/>
          <w:sz w:val="32"/>
          <w:szCs w:val="32"/>
          <w14:ligatures w14:val="standardContextual"/>
        </w:rPr>
      </w:pPr>
      <w:r w:rsidRPr="005A51E0">
        <w:rPr>
          <w:rFonts w:eastAsiaTheme="minorHAnsi"/>
          <w:b/>
          <w:bCs/>
          <w:kern w:val="2"/>
          <w:sz w:val="32"/>
          <w:szCs w:val="32"/>
          <w14:ligatures w14:val="standardContextual"/>
        </w:rPr>
        <w:lastRenderedPageBreak/>
        <w:t>Summary</w:t>
      </w:r>
    </w:p>
    <w:p w14:paraId="70EFF4CF" w14:textId="1B913C55" w:rsidR="005A51E0" w:rsidRPr="005A51E0" w:rsidRDefault="005A51E0" w:rsidP="005A51E0">
      <w:p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Joan’s story demonstrates the importance of partnership and person-cantered care. Working are not just nice principles. It is vital that we offer effective and compassionate support for people with complex needs. As this report has shown, PCC is grounded in strong ethical principles and established </w:t>
      </w:r>
      <w:r w:rsidR="00914314" w:rsidRPr="005A51E0">
        <w:rPr>
          <w:rFonts w:eastAsiaTheme="minorHAnsi"/>
          <w:kern w:val="2"/>
          <w:sz w:val="24"/>
          <w:szCs w:val="24"/>
          <w14:ligatures w14:val="standardContextual"/>
        </w:rPr>
        <w:t>theory and</w:t>
      </w:r>
      <w:r w:rsidRPr="005A51E0">
        <w:rPr>
          <w:rFonts w:eastAsiaTheme="minorHAnsi"/>
          <w:kern w:val="2"/>
          <w:sz w:val="24"/>
          <w:szCs w:val="24"/>
          <w14:ligatures w14:val="standardContextual"/>
        </w:rPr>
        <w:t xml:space="preserve"> is supported by explicit policy and legislation. However, implementation is difficult without adequate resources, training, and system integration. “ICSs are about partnership working and providing a way of breaking down traditional </w:t>
      </w:r>
      <w:r w:rsidR="00914314" w:rsidRPr="005A51E0">
        <w:rPr>
          <w:rFonts w:eastAsiaTheme="minorHAnsi"/>
          <w:kern w:val="2"/>
          <w:sz w:val="24"/>
          <w:szCs w:val="24"/>
          <w14:ligatures w14:val="standardContextual"/>
        </w:rPr>
        <w:t>barriers,</w:t>
      </w:r>
      <w:r w:rsidRPr="005A51E0">
        <w:rPr>
          <w:rFonts w:eastAsiaTheme="minorHAnsi"/>
          <w:kern w:val="2"/>
          <w:sz w:val="24"/>
          <w:szCs w:val="24"/>
          <w14:ligatures w14:val="standardContextual"/>
        </w:rPr>
        <w:t xml:space="preserve"> but it takes a commitment to culture change and investment together. The recommendations presented here are based on practical, evidence-based actions that can be taken to address existing inequalities, thus ensuring that more people like Joan receive care that is comprehensive, </w:t>
      </w:r>
      <w:r w:rsidR="00E01584" w:rsidRPr="005A51E0">
        <w:rPr>
          <w:rFonts w:eastAsiaTheme="minorHAnsi"/>
          <w:kern w:val="2"/>
          <w:sz w:val="24"/>
          <w:szCs w:val="24"/>
          <w14:ligatures w14:val="standardContextual"/>
        </w:rPr>
        <w:t>respectful,</w:t>
      </w:r>
      <w:r w:rsidRPr="005A51E0">
        <w:rPr>
          <w:rFonts w:eastAsiaTheme="minorHAnsi"/>
          <w:kern w:val="2"/>
          <w:sz w:val="24"/>
          <w:szCs w:val="24"/>
          <w14:ligatures w14:val="standardContextual"/>
        </w:rPr>
        <w:t xml:space="preserve"> and genuinely cantered on their needs.</w:t>
      </w:r>
    </w:p>
    <w:p w14:paraId="408FAEB9"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632EBD0E"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1317B7BA"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0FF014CB"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085A6865"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0F63AA75"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7D8F1414"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750251B4"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75054BC4"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67389543"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00C31D4F"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58481DBD"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61A9C4C9"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48EF3241"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1B67BC49" w14:textId="77777777" w:rsidR="005A51E0" w:rsidRPr="005A51E0" w:rsidRDefault="005A51E0" w:rsidP="005A51E0">
      <w:pPr>
        <w:spacing w:before="0" w:after="160" w:line="278" w:lineRule="auto"/>
        <w:rPr>
          <w:rFonts w:eastAsiaTheme="minorHAnsi"/>
          <w:b/>
          <w:bCs/>
          <w:kern w:val="2"/>
          <w:sz w:val="32"/>
          <w:szCs w:val="32"/>
          <w14:ligatures w14:val="standardContextual"/>
        </w:rPr>
      </w:pPr>
    </w:p>
    <w:p w14:paraId="75AEF9BC" w14:textId="77777777" w:rsidR="005A51E0" w:rsidRPr="005A51E0" w:rsidRDefault="005A51E0" w:rsidP="005A51E0">
      <w:pPr>
        <w:spacing w:before="0" w:after="160" w:line="278" w:lineRule="auto"/>
        <w:rPr>
          <w:rFonts w:eastAsiaTheme="minorHAnsi"/>
          <w:b/>
          <w:bCs/>
          <w:kern w:val="2"/>
          <w:sz w:val="36"/>
          <w:szCs w:val="36"/>
          <w14:ligatures w14:val="standardContextual"/>
        </w:rPr>
      </w:pPr>
      <w:r w:rsidRPr="005A51E0">
        <w:rPr>
          <w:rFonts w:eastAsiaTheme="minorHAnsi"/>
          <w:b/>
          <w:bCs/>
          <w:kern w:val="2"/>
          <w:sz w:val="36"/>
          <w:szCs w:val="36"/>
          <w14:ligatures w14:val="standardContextual"/>
        </w:rPr>
        <w:lastRenderedPageBreak/>
        <w:t xml:space="preserve">Reference </w:t>
      </w:r>
    </w:p>
    <w:p w14:paraId="54AF8A7F"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Audit Commission (2022) </w:t>
      </w:r>
      <w:r w:rsidRPr="005A51E0">
        <w:rPr>
          <w:rFonts w:eastAsiaTheme="minorHAnsi"/>
          <w:i/>
          <w:iCs/>
          <w:kern w:val="2"/>
          <w:sz w:val="24"/>
          <w:szCs w:val="24"/>
          <w14:ligatures w14:val="standardContextual"/>
        </w:rPr>
        <w:t>Joined-up Care: Progress and Challenges</w:t>
      </w:r>
      <w:r w:rsidRPr="005A51E0">
        <w:rPr>
          <w:rFonts w:eastAsiaTheme="minorHAnsi"/>
          <w:kern w:val="2"/>
          <w:sz w:val="24"/>
          <w:szCs w:val="24"/>
          <w14:ligatures w14:val="standardContextual"/>
        </w:rPr>
        <w:t>. London: HMSO.</w:t>
      </w:r>
    </w:p>
    <w:p w14:paraId="6D6104DF"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Baird, B., Lewis, G., and Redfern, J. (2021) ‘Resourcing person-centred care in general practice: a qualitative study’, </w:t>
      </w:r>
      <w:r w:rsidRPr="005A51E0">
        <w:rPr>
          <w:rFonts w:eastAsiaTheme="minorHAnsi"/>
          <w:i/>
          <w:iCs/>
          <w:kern w:val="2"/>
          <w:sz w:val="24"/>
          <w:szCs w:val="24"/>
          <w14:ligatures w14:val="standardContextual"/>
        </w:rPr>
        <w:t>British Journal of General Practice</w:t>
      </w:r>
      <w:r w:rsidRPr="005A51E0">
        <w:rPr>
          <w:rFonts w:eastAsiaTheme="minorHAnsi"/>
          <w:kern w:val="2"/>
          <w:sz w:val="24"/>
          <w:szCs w:val="24"/>
          <w14:ligatures w14:val="standardContextual"/>
        </w:rPr>
        <w:t>, 71(708), pp. 322–329.</w:t>
      </w:r>
    </w:p>
    <w:p w14:paraId="3E04DDF1" w14:textId="2B15A240"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Beauchamp, T.L. and Childress, J.F. (2019) </w:t>
      </w:r>
      <w:r w:rsidRPr="005A51E0">
        <w:rPr>
          <w:rFonts w:eastAsiaTheme="minorHAnsi"/>
          <w:i/>
          <w:iCs/>
          <w:kern w:val="2"/>
          <w:sz w:val="24"/>
          <w:szCs w:val="24"/>
          <w14:ligatures w14:val="standardContextual"/>
        </w:rPr>
        <w:t>Principles of Biomedical Ethics</w:t>
      </w:r>
      <w:r w:rsidRPr="005A51E0">
        <w:rPr>
          <w:rFonts w:eastAsiaTheme="minorHAnsi"/>
          <w:kern w:val="2"/>
          <w:sz w:val="24"/>
          <w:szCs w:val="24"/>
          <w14:ligatures w14:val="standardContextual"/>
        </w:rPr>
        <w:t xml:space="preserve">. 8th </w:t>
      </w:r>
      <w:r w:rsidR="003520DA" w:rsidRPr="005A51E0">
        <w:rPr>
          <w:rFonts w:eastAsiaTheme="minorHAnsi"/>
          <w:kern w:val="2"/>
          <w:sz w:val="24"/>
          <w:szCs w:val="24"/>
          <w14:ligatures w14:val="standardContextual"/>
        </w:rPr>
        <w:t>end</w:t>
      </w:r>
      <w:r w:rsidRPr="005A51E0">
        <w:rPr>
          <w:rFonts w:eastAsiaTheme="minorHAnsi"/>
          <w:kern w:val="2"/>
          <w:sz w:val="24"/>
          <w:szCs w:val="24"/>
          <w14:ligatures w14:val="standardContextual"/>
        </w:rPr>
        <w:t>. Oxford: Oxford University Press.</w:t>
      </w:r>
    </w:p>
    <w:p w14:paraId="5BC33500"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Bickerdike, L., Booth, A., Wilson, P., Farley, K., and Wright, K. (2022) ‘Social prescribing for long-term conditions: a systematic review and meta-analysis’, </w:t>
      </w:r>
      <w:r w:rsidRPr="005A51E0">
        <w:rPr>
          <w:rFonts w:eastAsiaTheme="minorHAnsi"/>
          <w:i/>
          <w:iCs/>
          <w:kern w:val="2"/>
          <w:sz w:val="24"/>
          <w:szCs w:val="24"/>
          <w14:ligatures w14:val="standardContextual"/>
        </w:rPr>
        <w:t>Health &amp; Social Care in the Community</w:t>
      </w:r>
      <w:r w:rsidRPr="005A51E0">
        <w:rPr>
          <w:rFonts w:eastAsiaTheme="minorHAnsi"/>
          <w:kern w:val="2"/>
          <w:sz w:val="24"/>
          <w:szCs w:val="24"/>
          <w14:ligatures w14:val="standardContextual"/>
        </w:rPr>
        <w:t>, 30(3), pp. 892–906.</w:t>
      </w:r>
    </w:p>
    <w:p w14:paraId="6AD521A8"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Care Quality Commission (2023) </w:t>
      </w:r>
      <w:r w:rsidRPr="005A51E0">
        <w:rPr>
          <w:rFonts w:eastAsiaTheme="minorHAnsi"/>
          <w:i/>
          <w:iCs/>
          <w:kern w:val="2"/>
          <w:sz w:val="24"/>
          <w:szCs w:val="24"/>
          <w14:ligatures w14:val="standardContextual"/>
        </w:rPr>
        <w:t>The State of Health and Social Care in England 2023</w:t>
      </w:r>
      <w:r w:rsidRPr="005A51E0">
        <w:rPr>
          <w:rFonts w:eastAsiaTheme="minorHAnsi"/>
          <w:kern w:val="2"/>
          <w:sz w:val="24"/>
          <w:szCs w:val="24"/>
          <w14:ligatures w14:val="standardContextual"/>
        </w:rPr>
        <w:t>. London: CQC.</w:t>
      </w:r>
    </w:p>
    <w:p w14:paraId="0D791003"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bookmarkStart w:id="0" w:name="_Int_swPjKDUd"/>
      <w:r w:rsidRPr="005A51E0">
        <w:rPr>
          <w:rFonts w:eastAsiaTheme="minorHAnsi"/>
          <w:kern w:val="2"/>
          <w:sz w:val="24"/>
          <w:szCs w:val="24"/>
          <w14:ligatures w14:val="standardContextual"/>
        </w:rPr>
        <w:t xml:space="preserve">Department of Health (2012) </w:t>
      </w:r>
      <w:r w:rsidRPr="005A51E0">
        <w:rPr>
          <w:rFonts w:eastAsiaTheme="minorHAnsi"/>
          <w:i/>
          <w:iCs/>
          <w:kern w:val="2"/>
          <w:sz w:val="24"/>
          <w:szCs w:val="24"/>
          <w14:ligatures w14:val="standardContextual"/>
        </w:rPr>
        <w:t>Health and Social Care Act 2012</w:t>
      </w:r>
      <w:r w:rsidRPr="005A51E0">
        <w:rPr>
          <w:rFonts w:eastAsiaTheme="minorHAnsi"/>
          <w:kern w:val="2"/>
          <w:sz w:val="24"/>
          <w:szCs w:val="24"/>
          <w14:ligatures w14:val="standardContextual"/>
        </w:rPr>
        <w:t>.</w:t>
      </w:r>
      <w:bookmarkEnd w:id="0"/>
      <w:r w:rsidRPr="005A51E0">
        <w:rPr>
          <w:rFonts w:eastAsiaTheme="minorHAnsi"/>
          <w:kern w:val="2"/>
          <w:sz w:val="24"/>
          <w:szCs w:val="24"/>
          <w14:ligatures w14:val="standardContextual"/>
        </w:rPr>
        <w:t xml:space="preserve"> London: The Stationery Office.</w:t>
      </w:r>
    </w:p>
    <w:p w14:paraId="7867FECE"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Department of Health and Social Care (2022) </w:t>
      </w:r>
      <w:r w:rsidRPr="005A51E0">
        <w:rPr>
          <w:rFonts w:eastAsiaTheme="minorHAnsi"/>
          <w:i/>
          <w:iCs/>
          <w:kern w:val="2"/>
          <w:sz w:val="24"/>
          <w:szCs w:val="24"/>
          <w14:ligatures w14:val="standardContextual"/>
        </w:rPr>
        <w:t>Health and Care Act 2022</w:t>
      </w:r>
      <w:r w:rsidRPr="005A51E0">
        <w:rPr>
          <w:rFonts w:eastAsiaTheme="minorHAnsi"/>
          <w:kern w:val="2"/>
          <w:sz w:val="24"/>
          <w:szCs w:val="24"/>
          <w14:ligatures w14:val="standardContextual"/>
        </w:rPr>
        <w:t>. London: The Stationery Office.</w:t>
      </w:r>
    </w:p>
    <w:p w14:paraId="48A71C1F"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Entwistle, V.A. and Watt, I.S. (2021) ‘Patient autonomy and shared decision-making: balancing rights and responsibilities’, </w:t>
      </w:r>
      <w:r w:rsidRPr="005A51E0">
        <w:rPr>
          <w:rFonts w:eastAsiaTheme="minorHAnsi"/>
          <w:i/>
          <w:iCs/>
          <w:kern w:val="2"/>
          <w:sz w:val="24"/>
          <w:szCs w:val="24"/>
          <w14:ligatures w14:val="standardContextual"/>
        </w:rPr>
        <w:t>Journal of Health Services Research &amp; Policy</w:t>
      </w:r>
      <w:r w:rsidRPr="005A51E0">
        <w:rPr>
          <w:rFonts w:eastAsiaTheme="minorHAnsi"/>
          <w:kern w:val="2"/>
          <w:sz w:val="24"/>
          <w:szCs w:val="24"/>
          <w14:ligatures w14:val="standardContextual"/>
        </w:rPr>
        <w:t>, 26(1), pp. 56–62.</w:t>
      </w:r>
    </w:p>
    <w:p w14:paraId="4DEEB1B2"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Gilburt, H., Foot, C., and Gash, M. (2021) </w:t>
      </w:r>
      <w:r w:rsidRPr="005A51E0">
        <w:rPr>
          <w:rFonts w:eastAsiaTheme="minorHAnsi"/>
          <w:i/>
          <w:iCs/>
          <w:kern w:val="2"/>
          <w:sz w:val="24"/>
          <w:szCs w:val="24"/>
          <w14:ligatures w14:val="standardContextual"/>
        </w:rPr>
        <w:t>Patient Activation and Health Outcomes: Evidence and Implications</w:t>
      </w:r>
      <w:r w:rsidRPr="005A51E0">
        <w:rPr>
          <w:rFonts w:eastAsiaTheme="minorHAnsi"/>
          <w:kern w:val="2"/>
          <w:sz w:val="24"/>
          <w:szCs w:val="24"/>
          <w14:ligatures w14:val="standardContextual"/>
        </w:rPr>
        <w:t>. London: The King’s Fund.</w:t>
      </w:r>
    </w:p>
    <w:p w14:paraId="5923CABC"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Health Foundation (2022) </w:t>
      </w:r>
      <w:r w:rsidRPr="005A51E0">
        <w:rPr>
          <w:rFonts w:eastAsiaTheme="minorHAnsi"/>
          <w:i/>
          <w:iCs/>
          <w:kern w:val="2"/>
          <w:sz w:val="24"/>
          <w:szCs w:val="24"/>
          <w14:ligatures w14:val="standardContextual"/>
        </w:rPr>
        <w:t>Understanding Person-Centred Care: Principles and Practice</w:t>
      </w:r>
      <w:r w:rsidRPr="005A51E0">
        <w:rPr>
          <w:rFonts w:eastAsiaTheme="minorHAnsi"/>
          <w:kern w:val="2"/>
          <w:sz w:val="24"/>
          <w:szCs w:val="24"/>
          <w14:ligatures w14:val="standardContextual"/>
        </w:rPr>
        <w:t>. London: Health Foundation.</w:t>
      </w:r>
    </w:p>
    <w:p w14:paraId="4D257CAA"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Health Innovation Network (2023) </w:t>
      </w:r>
      <w:r w:rsidRPr="005A51E0">
        <w:rPr>
          <w:rFonts w:eastAsiaTheme="minorHAnsi"/>
          <w:i/>
          <w:iCs/>
          <w:kern w:val="2"/>
          <w:sz w:val="24"/>
          <w:szCs w:val="24"/>
          <w14:ligatures w14:val="standardContextual"/>
        </w:rPr>
        <w:t>Person-Centred Care: A Definition and Framework</w:t>
      </w:r>
      <w:r w:rsidRPr="005A51E0">
        <w:rPr>
          <w:rFonts w:eastAsiaTheme="minorHAnsi"/>
          <w:kern w:val="2"/>
          <w:sz w:val="24"/>
          <w:szCs w:val="24"/>
          <w14:ligatures w14:val="standardContextual"/>
        </w:rPr>
        <w:t>. London: NHS Health Innovation Network.</w:t>
      </w:r>
    </w:p>
    <w:p w14:paraId="322C74F4"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Hibbard, J.H. and Gilburt, H. (2014) </w:t>
      </w:r>
      <w:r w:rsidRPr="005A51E0">
        <w:rPr>
          <w:rFonts w:eastAsiaTheme="minorHAnsi"/>
          <w:i/>
          <w:iCs/>
          <w:kern w:val="2"/>
          <w:sz w:val="24"/>
          <w:szCs w:val="24"/>
          <w14:ligatures w14:val="standardContextual"/>
        </w:rPr>
        <w:t>Supporting People to Manage Their Health: An Introduction to the Patient Activation Measure</w:t>
      </w:r>
      <w:r w:rsidRPr="005A51E0">
        <w:rPr>
          <w:rFonts w:eastAsiaTheme="minorHAnsi"/>
          <w:kern w:val="2"/>
          <w:sz w:val="24"/>
          <w:szCs w:val="24"/>
          <w14:ligatures w14:val="standardContextual"/>
        </w:rPr>
        <w:t>. London: The King’s Fund.</w:t>
      </w:r>
    </w:p>
    <w:p w14:paraId="6E8F7D65"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King’s Fund (2023) </w:t>
      </w:r>
      <w:r w:rsidRPr="005A51E0">
        <w:rPr>
          <w:rFonts w:eastAsiaTheme="minorHAnsi"/>
          <w:i/>
          <w:iCs/>
          <w:kern w:val="2"/>
          <w:sz w:val="24"/>
          <w:szCs w:val="24"/>
          <w14:ligatures w14:val="standardContextual"/>
        </w:rPr>
        <w:t>Integrated Care Systems: Early Progress and Future Challenges</w:t>
      </w:r>
      <w:r w:rsidRPr="005A51E0">
        <w:rPr>
          <w:rFonts w:eastAsiaTheme="minorHAnsi"/>
          <w:kern w:val="2"/>
          <w:sz w:val="24"/>
          <w:szCs w:val="24"/>
          <w14:ligatures w14:val="standardContextual"/>
        </w:rPr>
        <w:t>. London: The King’s Fund.</w:t>
      </w:r>
    </w:p>
    <w:p w14:paraId="11CA73D8"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NHS Confederation (2023) </w:t>
      </w:r>
      <w:r w:rsidRPr="005A51E0">
        <w:rPr>
          <w:rFonts w:eastAsiaTheme="minorHAnsi"/>
          <w:i/>
          <w:iCs/>
          <w:kern w:val="2"/>
          <w:sz w:val="24"/>
          <w:szCs w:val="24"/>
          <w14:ligatures w14:val="standardContextual"/>
        </w:rPr>
        <w:t>Funding Pressures in Primary and Community Care</w:t>
      </w:r>
      <w:r w:rsidRPr="005A51E0">
        <w:rPr>
          <w:rFonts w:eastAsiaTheme="minorHAnsi"/>
          <w:kern w:val="2"/>
          <w:sz w:val="24"/>
          <w:szCs w:val="24"/>
          <w14:ligatures w14:val="standardContextual"/>
        </w:rPr>
        <w:t>. London: NHS Confederation.</w:t>
      </w:r>
    </w:p>
    <w:p w14:paraId="1ECAEB87"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lastRenderedPageBreak/>
        <w:t xml:space="preserve">NHS Confederation (2024) </w:t>
      </w:r>
      <w:r w:rsidRPr="005A51E0">
        <w:rPr>
          <w:rFonts w:eastAsiaTheme="minorHAnsi"/>
          <w:i/>
          <w:iCs/>
          <w:kern w:val="2"/>
          <w:sz w:val="24"/>
          <w:szCs w:val="24"/>
          <w14:ligatures w14:val="standardContextual"/>
        </w:rPr>
        <w:t>Implementing the Health and Care Act 2022: One Year On</w:t>
      </w:r>
      <w:r w:rsidRPr="005A51E0">
        <w:rPr>
          <w:rFonts w:eastAsiaTheme="minorHAnsi"/>
          <w:kern w:val="2"/>
          <w:sz w:val="24"/>
          <w:szCs w:val="24"/>
          <w14:ligatures w14:val="standardContextual"/>
        </w:rPr>
        <w:t>. London: NHS Confederation.</w:t>
      </w:r>
    </w:p>
    <w:p w14:paraId="69BA6D83"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NHS England (2024) </w:t>
      </w:r>
      <w:r w:rsidRPr="005A51E0">
        <w:rPr>
          <w:rFonts w:eastAsiaTheme="minorHAnsi"/>
          <w:i/>
          <w:iCs/>
          <w:kern w:val="2"/>
          <w:sz w:val="24"/>
          <w:szCs w:val="24"/>
          <w14:ligatures w14:val="standardContextual"/>
        </w:rPr>
        <w:t>Personalised Care and Support Framework</w:t>
      </w:r>
      <w:r w:rsidRPr="005A51E0">
        <w:rPr>
          <w:rFonts w:eastAsiaTheme="minorHAnsi"/>
          <w:kern w:val="2"/>
          <w:sz w:val="24"/>
          <w:szCs w:val="24"/>
          <w14:ligatures w14:val="standardContextual"/>
        </w:rPr>
        <w:t>. London: NHS England.</w:t>
      </w:r>
    </w:p>
    <w:p w14:paraId="300821C4"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NHS England (2026) </w:t>
      </w:r>
      <w:r w:rsidRPr="005A51E0">
        <w:rPr>
          <w:rFonts w:eastAsiaTheme="minorHAnsi"/>
          <w:i/>
          <w:iCs/>
          <w:kern w:val="2"/>
          <w:sz w:val="24"/>
          <w:szCs w:val="24"/>
          <w14:ligatures w14:val="standardContextual"/>
        </w:rPr>
        <w:t>Joan’s Story</w:t>
      </w:r>
      <w:r w:rsidRPr="005A51E0">
        <w:rPr>
          <w:rFonts w:eastAsiaTheme="minorHAnsi"/>
          <w:kern w:val="2"/>
          <w:sz w:val="24"/>
          <w:szCs w:val="24"/>
          <w14:ligatures w14:val="standardContextual"/>
        </w:rPr>
        <w:t xml:space="preserve">. Available at: </w:t>
      </w:r>
      <w:hyperlink r:id="rId10" w:tgtFrame="_blank" w:tooltip="autolink" w:history="1">
        <w:r w:rsidRPr="005A51E0">
          <w:rPr>
            <w:rFonts w:eastAsiaTheme="minorHAnsi"/>
            <w:color w:val="467886" w:themeColor="hyperlink"/>
            <w:kern w:val="2"/>
            <w:sz w:val="24"/>
            <w:szCs w:val="24"/>
            <w:u w:val="single"/>
            <w14:ligatures w14:val="standardContextual"/>
          </w:rPr>
          <w:t>https://www.england.nhs.uk/personalisedcare/comprehensive-model/case-studies/joans-story/</w:t>
        </w:r>
      </w:hyperlink>
      <w:r w:rsidRPr="005A51E0">
        <w:rPr>
          <w:rFonts w:eastAsiaTheme="minorHAnsi"/>
          <w:kern w:val="2"/>
          <w:sz w:val="24"/>
          <w:szCs w:val="24"/>
          <w14:ligatures w14:val="standardContextual"/>
        </w:rPr>
        <w:t xml:space="preserve"> (Accessed: 16 July 2026).</w:t>
      </w:r>
    </w:p>
    <w:p w14:paraId="43043A9D"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Rappaport, J. (1987) ‘Terms of empowerment/exemplars of prevention: toward a theory for community psychology’, </w:t>
      </w:r>
      <w:r w:rsidRPr="005A51E0">
        <w:rPr>
          <w:rFonts w:eastAsiaTheme="minorHAnsi"/>
          <w:i/>
          <w:iCs/>
          <w:kern w:val="2"/>
          <w:sz w:val="24"/>
          <w:szCs w:val="24"/>
          <w14:ligatures w14:val="standardContextual"/>
        </w:rPr>
        <w:t>American Journal of Community Psychology</w:t>
      </w:r>
      <w:r w:rsidRPr="005A51E0">
        <w:rPr>
          <w:rFonts w:eastAsiaTheme="minorHAnsi"/>
          <w:kern w:val="2"/>
          <w:sz w:val="24"/>
          <w:szCs w:val="24"/>
          <w14:ligatures w14:val="standardContextual"/>
        </w:rPr>
        <w:t>, 15(2), pp. 121–148.</w:t>
      </w:r>
    </w:p>
    <w:p w14:paraId="14496DC8"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Rogers, C.R. (1961) </w:t>
      </w:r>
      <w:r w:rsidRPr="005A51E0">
        <w:rPr>
          <w:rFonts w:eastAsiaTheme="minorHAnsi"/>
          <w:i/>
          <w:iCs/>
          <w:kern w:val="2"/>
          <w:sz w:val="24"/>
          <w:szCs w:val="24"/>
          <w14:ligatures w14:val="standardContextual"/>
        </w:rPr>
        <w:t>On Becoming a Person</w:t>
      </w:r>
      <w:r w:rsidRPr="005A51E0">
        <w:rPr>
          <w:rFonts w:eastAsiaTheme="minorHAnsi"/>
          <w:kern w:val="2"/>
          <w:sz w:val="24"/>
          <w:szCs w:val="24"/>
          <w14:ligatures w14:val="standardContextual"/>
        </w:rPr>
        <w:t>. Boston: Houghton Mifflin.</w:t>
      </w:r>
    </w:p>
    <w:p w14:paraId="600555D7"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Rycroft-Malone, J., Kitson, A., and Harvey, G. (2022) ‘Implementing person-centred care: a realist review of the evidence’, </w:t>
      </w:r>
      <w:r w:rsidRPr="005A51E0">
        <w:rPr>
          <w:rFonts w:eastAsiaTheme="minorHAnsi"/>
          <w:i/>
          <w:iCs/>
          <w:kern w:val="2"/>
          <w:sz w:val="24"/>
          <w:szCs w:val="24"/>
          <w14:ligatures w14:val="standardContextual"/>
        </w:rPr>
        <w:t>Journal of Advanced Nursing</w:t>
      </w:r>
      <w:r w:rsidRPr="005A51E0">
        <w:rPr>
          <w:rFonts w:eastAsiaTheme="minorHAnsi"/>
          <w:kern w:val="2"/>
          <w:sz w:val="24"/>
          <w:szCs w:val="24"/>
          <w14:ligatures w14:val="standardContextual"/>
        </w:rPr>
        <w:t>, 78(4), pp. 987–1002.</w:t>
      </w:r>
    </w:p>
    <w:p w14:paraId="47BAFE2F"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Social Care Institute for Excellence (2022) </w:t>
      </w:r>
      <w:r w:rsidRPr="005A51E0">
        <w:rPr>
          <w:rFonts w:eastAsiaTheme="minorHAnsi"/>
          <w:i/>
          <w:iCs/>
          <w:kern w:val="2"/>
          <w:sz w:val="24"/>
          <w:szCs w:val="24"/>
          <w14:ligatures w14:val="standardContextual"/>
        </w:rPr>
        <w:t>Partnership Working in Health and Social Care: Practice Guide</w:t>
      </w:r>
      <w:r w:rsidRPr="005A51E0">
        <w:rPr>
          <w:rFonts w:eastAsiaTheme="minorHAnsi"/>
          <w:kern w:val="2"/>
          <w:sz w:val="24"/>
          <w:szCs w:val="24"/>
          <w14:ligatures w14:val="standardContextual"/>
        </w:rPr>
        <w:t>. London: SCIE.</w:t>
      </w:r>
    </w:p>
    <w:p w14:paraId="6BB62C2F"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Social Care Institute for Excellence (2023) </w:t>
      </w:r>
      <w:r w:rsidRPr="005A51E0">
        <w:rPr>
          <w:rFonts w:eastAsiaTheme="minorHAnsi"/>
          <w:i/>
          <w:iCs/>
          <w:kern w:val="2"/>
          <w:sz w:val="24"/>
          <w:szCs w:val="24"/>
          <w14:ligatures w14:val="standardContextual"/>
        </w:rPr>
        <w:t>Care Act 2014: Revised Practice Guidance</w:t>
      </w:r>
      <w:r w:rsidRPr="005A51E0">
        <w:rPr>
          <w:rFonts w:eastAsiaTheme="minorHAnsi"/>
          <w:kern w:val="2"/>
          <w:sz w:val="24"/>
          <w:szCs w:val="24"/>
          <w14:ligatures w14:val="standardContextual"/>
        </w:rPr>
        <w:t>. London: SCIE.</w:t>
      </w:r>
    </w:p>
    <w:p w14:paraId="46CA027B"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Seedhouse, D. (2021) </w:t>
      </w:r>
      <w:r w:rsidRPr="005A51E0">
        <w:rPr>
          <w:rFonts w:eastAsiaTheme="minorHAnsi"/>
          <w:i/>
          <w:iCs/>
          <w:kern w:val="2"/>
          <w:sz w:val="24"/>
          <w:szCs w:val="24"/>
          <w14:ligatures w14:val="standardContextual"/>
        </w:rPr>
        <w:t>Ethics: The Heart of Health Care</w:t>
      </w:r>
      <w:r w:rsidRPr="005A51E0">
        <w:rPr>
          <w:rFonts w:eastAsiaTheme="minorHAnsi"/>
          <w:kern w:val="2"/>
          <w:sz w:val="24"/>
          <w:szCs w:val="24"/>
          <w14:ligatures w14:val="standardContextual"/>
        </w:rPr>
        <w:t>. 4th edn. Chichester: Wiley-Blackwell.</w:t>
      </w:r>
    </w:p>
    <w:p w14:paraId="4ECE08D1" w14:textId="77777777" w:rsidR="005A51E0" w:rsidRPr="005A51E0" w:rsidRDefault="005A51E0" w:rsidP="005A51E0">
      <w:pPr>
        <w:numPr>
          <w:ilvl w:val="0"/>
          <w:numId w:val="5"/>
        </w:numPr>
        <w:spacing w:before="0" w:after="160" w:line="278" w:lineRule="auto"/>
        <w:rPr>
          <w:rFonts w:eastAsiaTheme="minorHAnsi"/>
          <w:kern w:val="2"/>
          <w:sz w:val="24"/>
          <w:szCs w:val="24"/>
          <w14:ligatures w14:val="standardContextual"/>
        </w:rPr>
      </w:pPr>
      <w:r w:rsidRPr="005A51E0">
        <w:rPr>
          <w:rFonts w:eastAsiaTheme="minorHAnsi"/>
          <w:kern w:val="2"/>
          <w:sz w:val="24"/>
          <w:szCs w:val="24"/>
          <w14:ligatures w14:val="standardContextual"/>
        </w:rPr>
        <w:t xml:space="preserve">Simpson, A. (2021) ‘Educational interventions to improve person-centred communication skills: a systematic review’, </w:t>
      </w:r>
      <w:r w:rsidRPr="005A51E0">
        <w:rPr>
          <w:rFonts w:eastAsiaTheme="minorHAnsi"/>
          <w:i/>
          <w:iCs/>
          <w:kern w:val="2"/>
          <w:sz w:val="24"/>
          <w:szCs w:val="24"/>
          <w14:ligatures w14:val="standardContextual"/>
        </w:rPr>
        <w:t>Nurse Education Today</w:t>
      </w:r>
      <w:r w:rsidRPr="005A51E0">
        <w:rPr>
          <w:rFonts w:eastAsiaTheme="minorHAnsi"/>
          <w:kern w:val="2"/>
          <w:sz w:val="24"/>
          <w:szCs w:val="24"/>
          <w14:ligatures w14:val="standardContextual"/>
        </w:rPr>
        <w:t>, 105, article 105067.</w:t>
      </w:r>
    </w:p>
    <w:p w14:paraId="10F6535B" w14:textId="77777777" w:rsidR="005A51E0" w:rsidRDefault="005A51E0" w:rsidP="007D743A"/>
    <w:p w14:paraId="755E6289" w14:textId="77777777" w:rsidR="007D743A" w:rsidRDefault="007D743A" w:rsidP="007D743A"/>
    <w:p w14:paraId="61ABB88D" w14:textId="77777777" w:rsidR="007D743A" w:rsidRDefault="007D743A" w:rsidP="007D743A"/>
    <w:p w14:paraId="419F6F9D" w14:textId="77777777" w:rsidR="007D743A" w:rsidRDefault="007D743A" w:rsidP="007D743A"/>
    <w:p w14:paraId="67ACE23B" w14:textId="77777777" w:rsidR="007D743A" w:rsidRDefault="007D743A" w:rsidP="007D743A"/>
    <w:p w14:paraId="5246290F" w14:textId="77777777" w:rsidR="007D743A" w:rsidRDefault="007D743A" w:rsidP="007D743A"/>
    <w:p w14:paraId="287FFBBF" w14:textId="77777777" w:rsidR="007D743A" w:rsidRDefault="007D743A" w:rsidP="007D743A"/>
    <w:p w14:paraId="2E970E5D" w14:textId="77777777" w:rsidR="007D743A" w:rsidRDefault="007D743A" w:rsidP="007D743A"/>
    <w:p w14:paraId="79A00F0D" w14:textId="77777777" w:rsidR="007D743A" w:rsidRDefault="007D743A" w:rsidP="007D743A"/>
    <w:p w14:paraId="23F142B1" w14:textId="77777777" w:rsidR="007D743A" w:rsidRDefault="007D743A" w:rsidP="007D743A"/>
    <w:sectPr w:rsidR="007D74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07653"/>
    <w:multiLevelType w:val="hybridMultilevel"/>
    <w:tmpl w:val="2384F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F2ED7"/>
    <w:multiLevelType w:val="hybridMultilevel"/>
    <w:tmpl w:val="6ED2F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53417E"/>
    <w:multiLevelType w:val="multilevel"/>
    <w:tmpl w:val="861C8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CA5424"/>
    <w:multiLevelType w:val="hybridMultilevel"/>
    <w:tmpl w:val="D96C99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2066C98"/>
    <w:multiLevelType w:val="hybridMultilevel"/>
    <w:tmpl w:val="F0FEFC00"/>
    <w:lvl w:ilvl="0" w:tplc="69E2832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3896403">
    <w:abstractNumId w:val="1"/>
  </w:num>
  <w:num w:numId="2" w16cid:durableId="1186750507">
    <w:abstractNumId w:val="0"/>
  </w:num>
  <w:num w:numId="3" w16cid:durableId="1547982954">
    <w:abstractNumId w:val="4"/>
  </w:num>
  <w:num w:numId="4" w16cid:durableId="606625159">
    <w:abstractNumId w:val="3"/>
  </w:num>
  <w:num w:numId="5" w16cid:durableId="18578449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14A"/>
    <w:rsid w:val="0005249E"/>
    <w:rsid w:val="000800FC"/>
    <w:rsid w:val="000D116A"/>
    <w:rsid w:val="00172065"/>
    <w:rsid w:val="001C77FC"/>
    <w:rsid w:val="001E1A97"/>
    <w:rsid w:val="0021314A"/>
    <w:rsid w:val="00243002"/>
    <w:rsid w:val="002E757A"/>
    <w:rsid w:val="003520DA"/>
    <w:rsid w:val="00405EE8"/>
    <w:rsid w:val="00407894"/>
    <w:rsid w:val="005129E6"/>
    <w:rsid w:val="00546585"/>
    <w:rsid w:val="0056664A"/>
    <w:rsid w:val="005A51E0"/>
    <w:rsid w:val="006D1C99"/>
    <w:rsid w:val="006F2735"/>
    <w:rsid w:val="00713B6A"/>
    <w:rsid w:val="00760AAE"/>
    <w:rsid w:val="00793EE1"/>
    <w:rsid w:val="007D743A"/>
    <w:rsid w:val="007E2A8E"/>
    <w:rsid w:val="00830E45"/>
    <w:rsid w:val="008608C2"/>
    <w:rsid w:val="00884810"/>
    <w:rsid w:val="008B02FA"/>
    <w:rsid w:val="00914314"/>
    <w:rsid w:val="00962A6C"/>
    <w:rsid w:val="009D0F1B"/>
    <w:rsid w:val="009F3DC9"/>
    <w:rsid w:val="00A03A2C"/>
    <w:rsid w:val="00A511B1"/>
    <w:rsid w:val="00AF09A6"/>
    <w:rsid w:val="00B07F01"/>
    <w:rsid w:val="00B338BD"/>
    <w:rsid w:val="00BA4239"/>
    <w:rsid w:val="00BC217F"/>
    <w:rsid w:val="00BC7E2D"/>
    <w:rsid w:val="00BE1140"/>
    <w:rsid w:val="00C070DC"/>
    <w:rsid w:val="00D43D3C"/>
    <w:rsid w:val="00E01584"/>
    <w:rsid w:val="00E2774D"/>
    <w:rsid w:val="00E344C9"/>
    <w:rsid w:val="00E864C7"/>
    <w:rsid w:val="00EA13E2"/>
    <w:rsid w:val="00F441B6"/>
    <w:rsid w:val="00F51D7A"/>
    <w:rsid w:val="00F53941"/>
    <w:rsid w:val="00F67E02"/>
    <w:rsid w:val="00FB19BD"/>
    <w:rsid w:val="00FB5C37"/>
    <w:rsid w:val="00FF6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7E42E"/>
  <w15:chartTrackingRefBased/>
  <w15:docId w15:val="{AD7CD53A-1FC1-42C3-80AC-2CD2F9CB2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3002"/>
  </w:style>
  <w:style w:type="paragraph" w:styleId="Heading1">
    <w:name w:val="heading 1"/>
    <w:basedOn w:val="Normal"/>
    <w:next w:val="Normal"/>
    <w:link w:val="Heading1Char"/>
    <w:uiPriority w:val="9"/>
    <w:qFormat/>
    <w:rsid w:val="00243002"/>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243002"/>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243002"/>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243002"/>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243002"/>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243002"/>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243002"/>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24300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4300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002"/>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243002"/>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243002"/>
    <w:rPr>
      <w:caps/>
      <w:color w:val="0A2F40" w:themeColor="accent1" w:themeShade="7F"/>
      <w:spacing w:val="15"/>
    </w:rPr>
  </w:style>
  <w:style w:type="character" w:customStyle="1" w:styleId="Heading4Char">
    <w:name w:val="Heading 4 Char"/>
    <w:basedOn w:val="DefaultParagraphFont"/>
    <w:link w:val="Heading4"/>
    <w:uiPriority w:val="9"/>
    <w:semiHidden/>
    <w:rsid w:val="00243002"/>
    <w:rPr>
      <w:caps/>
      <w:color w:val="0F4761" w:themeColor="accent1" w:themeShade="BF"/>
      <w:spacing w:val="10"/>
    </w:rPr>
  </w:style>
  <w:style w:type="character" w:customStyle="1" w:styleId="Heading5Char">
    <w:name w:val="Heading 5 Char"/>
    <w:basedOn w:val="DefaultParagraphFont"/>
    <w:link w:val="Heading5"/>
    <w:uiPriority w:val="9"/>
    <w:semiHidden/>
    <w:rsid w:val="00243002"/>
    <w:rPr>
      <w:caps/>
      <w:color w:val="0F4761" w:themeColor="accent1" w:themeShade="BF"/>
      <w:spacing w:val="10"/>
    </w:rPr>
  </w:style>
  <w:style w:type="character" w:customStyle="1" w:styleId="Heading6Char">
    <w:name w:val="Heading 6 Char"/>
    <w:basedOn w:val="DefaultParagraphFont"/>
    <w:link w:val="Heading6"/>
    <w:uiPriority w:val="9"/>
    <w:semiHidden/>
    <w:rsid w:val="00243002"/>
    <w:rPr>
      <w:caps/>
      <w:color w:val="0F4761" w:themeColor="accent1" w:themeShade="BF"/>
      <w:spacing w:val="10"/>
    </w:rPr>
  </w:style>
  <w:style w:type="character" w:customStyle="1" w:styleId="Heading7Char">
    <w:name w:val="Heading 7 Char"/>
    <w:basedOn w:val="DefaultParagraphFont"/>
    <w:link w:val="Heading7"/>
    <w:uiPriority w:val="9"/>
    <w:semiHidden/>
    <w:rsid w:val="00243002"/>
    <w:rPr>
      <w:caps/>
      <w:color w:val="0F4761" w:themeColor="accent1" w:themeShade="BF"/>
      <w:spacing w:val="10"/>
    </w:rPr>
  </w:style>
  <w:style w:type="character" w:customStyle="1" w:styleId="Heading8Char">
    <w:name w:val="Heading 8 Char"/>
    <w:basedOn w:val="DefaultParagraphFont"/>
    <w:link w:val="Heading8"/>
    <w:uiPriority w:val="9"/>
    <w:semiHidden/>
    <w:rsid w:val="00243002"/>
    <w:rPr>
      <w:caps/>
      <w:spacing w:val="10"/>
      <w:sz w:val="18"/>
      <w:szCs w:val="18"/>
    </w:rPr>
  </w:style>
  <w:style w:type="character" w:customStyle="1" w:styleId="Heading9Char">
    <w:name w:val="Heading 9 Char"/>
    <w:basedOn w:val="DefaultParagraphFont"/>
    <w:link w:val="Heading9"/>
    <w:uiPriority w:val="9"/>
    <w:semiHidden/>
    <w:rsid w:val="00243002"/>
    <w:rPr>
      <w:i/>
      <w:iCs/>
      <w:caps/>
      <w:spacing w:val="10"/>
      <w:sz w:val="18"/>
      <w:szCs w:val="18"/>
    </w:rPr>
  </w:style>
  <w:style w:type="paragraph" w:styleId="Title">
    <w:name w:val="Title"/>
    <w:basedOn w:val="Normal"/>
    <w:next w:val="Normal"/>
    <w:link w:val="TitleChar"/>
    <w:uiPriority w:val="10"/>
    <w:qFormat/>
    <w:rsid w:val="00243002"/>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243002"/>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24300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243002"/>
    <w:rPr>
      <w:caps/>
      <w:color w:val="595959" w:themeColor="text1" w:themeTint="A6"/>
      <w:spacing w:val="10"/>
      <w:sz w:val="21"/>
      <w:szCs w:val="21"/>
    </w:rPr>
  </w:style>
  <w:style w:type="paragraph" w:styleId="Quote">
    <w:name w:val="Quote"/>
    <w:basedOn w:val="Normal"/>
    <w:next w:val="Normal"/>
    <w:link w:val="QuoteChar"/>
    <w:uiPriority w:val="29"/>
    <w:qFormat/>
    <w:rsid w:val="00243002"/>
    <w:rPr>
      <w:i/>
      <w:iCs/>
      <w:sz w:val="24"/>
      <w:szCs w:val="24"/>
    </w:rPr>
  </w:style>
  <w:style w:type="character" w:customStyle="1" w:styleId="QuoteChar">
    <w:name w:val="Quote Char"/>
    <w:basedOn w:val="DefaultParagraphFont"/>
    <w:link w:val="Quote"/>
    <w:uiPriority w:val="29"/>
    <w:rsid w:val="00243002"/>
    <w:rPr>
      <w:i/>
      <w:iCs/>
      <w:sz w:val="24"/>
      <w:szCs w:val="24"/>
    </w:rPr>
  </w:style>
  <w:style w:type="paragraph" w:styleId="ListParagraph">
    <w:name w:val="List Paragraph"/>
    <w:basedOn w:val="Normal"/>
    <w:uiPriority w:val="34"/>
    <w:qFormat/>
    <w:rsid w:val="0021314A"/>
    <w:pPr>
      <w:ind w:left="720"/>
      <w:contextualSpacing/>
    </w:pPr>
  </w:style>
  <w:style w:type="character" w:styleId="IntenseEmphasis">
    <w:name w:val="Intense Emphasis"/>
    <w:uiPriority w:val="21"/>
    <w:qFormat/>
    <w:rsid w:val="00243002"/>
    <w:rPr>
      <w:b/>
      <w:bCs/>
      <w:caps/>
      <w:color w:val="0A2F40" w:themeColor="accent1" w:themeShade="7F"/>
      <w:spacing w:val="10"/>
    </w:rPr>
  </w:style>
  <w:style w:type="paragraph" w:styleId="IntenseQuote">
    <w:name w:val="Intense Quote"/>
    <w:basedOn w:val="Normal"/>
    <w:next w:val="Normal"/>
    <w:link w:val="IntenseQuoteChar"/>
    <w:uiPriority w:val="30"/>
    <w:qFormat/>
    <w:rsid w:val="00243002"/>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243002"/>
    <w:rPr>
      <w:color w:val="156082" w:themeColor="accent1"/>
      <w:sz w:val="24"/>
      <w:szCs w:val="24"/>
    </w:rPr>
  </w:style>
  <w:style w:type="character" w:styleId="IntenseReference">
    <w:name w:val="Intense Reference"/>
    <w:uiPriority w:val="32"/>
    <w:qFormat/>
    <w:rsid w:val="00243002"/>
    <w:rPr>
      <w:b/>
      <w:bCs/>
      <w:i/>
      <w:iCs/>
      <w:caps/>
      <w:color w:val="156082" w:themeColor="accent1"/>
    </w:rPr>
  </w:style>
  <w:style w:type="paragraph" w:styleId="Caption">
    <w:name w:val="caption"/>
    <w:basedOn w:val="Normal"/>
    <w:next w:val="Normal"/>
    <w:uiPriority w:val="35"/>
    <w:semiHidden/>
    <w:unhideWhenUsed/>
    <w:qFormat/>
    <w:rsid w:val="00243002"/>
    <w:rPr>
      <w:b/>
      <w:bCs/>
      <w:color w:val="0F4761" w:themeColor="accent1" w:themeShade="BF"/>
      <w:sz w:val="16"/>
      <w:szCs w:val="16"/>
    </w:rPr>
  </w:style>
  <w:style w:type="character" w:styleId="Strong">
    <w:name w:val="Strong"/>
    <w:uiPriority w:val="22"/>
    <w:qFormat/>
    <w:rsid w:val="00243002"/>
    <w:rPr>
      <w:b/>
      <w:bCs/>
    </w:rPr>
  </w:style>
  <w:style w:type="character" w:styleId="Emphasis">
    <w:name w:val="Emphasis"/>
    <w:uiPriority w:val="20"/>
    <w:qFormat/>
    <w:rsid w:val="00243002"/>
    <w:rPr>
      <w:caps/>
      <w:color w:val="0A2F40" w:themeColor="accent1" w:themeShade="7F"/>
      <w:spacing w:val="5"/>
    </w:rPr>
  </w:style>
  <w:style w:type="paragraph" w:styleId="NoSpacing">
    <w:name w:val="No Spacing"/>
    <w:uiPriority w:val="1"/>
    <w:qFormat/>
    <w:rsid w:val="00243002"/>
    <w:pPr>
      <w:spacing w:after="0" w:line="240" w:lineRule="auto"/>
    </w:pPr>
  </w:style>
  <w:style w:type="character" w:styleId="SubtleEmphasis">
    <w:name w:val="Subtle Emphasis"/>
    <w:uiPriority w:val="19"/>
    <w:qFormat/>
    <w:rsid w:val="00243002"/>
    <w:rPr>
      <w:i/>
      <w:iCs/>
      <w:color w:val="0A2F40" w:themeColor="accent1" w:themeShade="7F"/>
    </w:rPr>
  </w:style>
  <w:style w:type="character" w:styleId="SubtleReference">
    <w:name w:val="Subtle Reference"/>
    <w:uiPriority w:val="31"/>
    <w:qFormat/>
    <w:rsid w:val="00243002"/>
    <w:rPr>
      <w:b/>
      <w:bCs/>
      <w:color w:val="156082" w:themeColor="accent1"/>
    </w:rPr>
  </w:style>
  <w:style w:type="character" w:styleId="BookTitle">
    <w:name w:val="Book Title"/>
    <w:uiPriority w:val="33"/>
    <w:qFormat/>
    <w:rsid w:val="00243002"/>
    <w:rPr>
      <w:b/>
      <w:bCs/>
      <w:i/>
      <w:iCs/>
      <w:spacing w:val="0"/>
    </w:rPr>
  </w:style>
  <w:style w:type="paragraph" w:styleId="TOCHeading">
    <w:name w:val="TOC Heading"/>
    <w:basedOn w:val="Heading1"/>
    <w:next w:val="Normal"/>
    <w:uiPriority w:val="39"/>
    <w:semiHidden/>
    <w:unhideWhenUsed/>
    <w:qFormat/>
    <w:rsid w:val="00243002"/>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sg-link.byteoversea.com/?target=https%3A%2F%2Fwww.england.nhs.uk%2Fpersonalisedcare%2Fcomprehensive-model%2Fcase-studies%2Fjoans-story%2F&amp;scene=im&amp;aid=495671&amp;lang=en-GB" TargetMode="External"/><Relationship Id="rId4" Type="http://schemas.openxmlformats.org/officeDocument/2006/relationships/customXml" Target="../customXml/item4.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87EA78ED68B5C40BF2C1A213AA97DF9" ma:contentTypeVersion="4" ma:contentTypeDescription="Create a new document." ma:contentTypeScope="" ma:versionID="6ec3743d8d94db75394ec6598edd1149">
  <xsd:schema xmlns:xsd="http://www.w3.org/2001/XMLSchema" xmlns:xs="http://www.w3.org/2001/XMLSchema" xmlns:p="http://schemas.microsoft.com/office/2006/metadata/properties" xmlns:ns3="b645a2db-68a0-4966-a6ea-94c306327b66" targetNamespace="http://schemas.microsoft.com/office/2006/metadata/properties" ma:root="true" ma:fieldsID="1472414d1ad503b189619f11830e7150" ns3:_="">
    <xsd:import namespace="b645a2db-68a0-4966-a6ea-94c306327b6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45a2db-68a0-4966-a6ea-94c306327b6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FB1D94-E3F5-49BA-AEF6-B33507D3BC8C}">
  <ds:schemaRefs>
    <ds:schemaRef ds:uri="http://schemas.microsoft.com/sharepoint/v3/contenttype/forms"/>
  </ds:schemaRefs>
</ds:datastoreItem>
</file>

<file path=customXml/itemProps2.xml><?xml version="1.0" encoding="utf-8"?>
<ds:datastoreItem xmlns:ds="http://schemas.openxmlformats.org/officeDocument/2006/customXml" ds:itemID="{486534B6-9285-4F03-AA4D-E62ED715612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964DCC4-2ECC-4D6D-8FB9-2715529BC6E1}">
  <ds:schemaRefs>
    <ds:schemaRef ds:uri="http://schemas.openxmlformats.org/officeDocument/2006/bibliography"/>
  </ds:schemaRefs>
</ds:datastoreItem>
</file>

<file path=customXml/itemProps4.xml><?xml version="1.0" encoding="utf-8"?>
<ds:datastoreItem xmlns:ds="http://schemas.openxmlformats.org/officeDocument/2006/customXml" ds:itemID="{CE497EB1-6FFA-4941-8017-58D54553CF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45a2db-68a0-4966-a6ea-94c306327b6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12</Pages>
  <Words>2765</Words>
  <Characters>16182</Characters>
  <Application>Microsoft Office Word</Application>
  <DocSecurity>0</DocSecurity>
  <Lines>279</Lines>
  <Paragraphs>1</Paragraphs>
  <ScaleCrop>false</ScaleCrop>
  <Company/>
  <LinksUpToDate>false</LinksUpToDate>
  <CharactersWithSpaces>18946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Muna Sheikh (24185964)</dc:creator>
  <cp:keywords/>
  <dc:description/>
  <cp:lastModifiedBy>Muna Sheikh (2226434)</cp:lastModifiedBy>
  <cp:revision>46</cp:revision>
  <dcterms:created xsi:type="dcterms:W3CDTF">2026-05-29T10:44:00Z</dcterms:created>
  <dcterms:modified xsi:type="dcterms:W3CDTF">2026-10-09T08:42:00Z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0x010100187EA78ED68B5C40BF2C1A213AA97DF9</vt:lpwstr>
  </property>
</Properties>
</file>