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FC4795" w14:textId="7753AFE0" w:rsidR="003D1013" w:rsidRPr="00875E72" w:rsidRDefault="00427FA5">
      <w:pPr>
        <w:rPr>
          <w:rFonts w:ascii="Arial" w:hAnsi="Arial" w:cs="Arial"/>
          <w:sz w:val="24"/>
          <w:szCs w:val="24"/>
        </w:rPr>
      </w:pPr>
      <w:r w:rsidRPr="233E209B">
        <w:rPr>
          <w:rFonts w:ascii="Arial" w:hAnsi="Arial" w:cs="Arial"/>
          <w:sz w:val="24"/>
          <w:szCs w:val="24"/>
        </w:rPr>
        <w:t xml:space="preserve">What does the study of archaeological remains – ancient burials, cemeteries, tombs etc. - tell us about </w:t>
      </w:r>
      <w:r w:rsidRPr="00F221C8">
        <w:rPr>
          <w:rFonts w:ascii="Arial" w:hAnsi="Arial" w:cs="Arial"/>
          <w:b/>
          <w:bCs/>
          <w:sz w:val="24"/>
          <w:szCs w:val="24"/>
        </w:rPr>
        <w:t>ancient burial practices and/or beliefs in an afterlife?</w:t>
      </w:r>
      <w:r w:rsidRPr="233E209B">
        <w:rPr>
          <w:rFonts w:ascii="Arial" w:hAnsi="Arial" w:cs="Arial"/>
          <w:sz w:val="24"/>
          <w:szCs w:val="24"/>
        </w:rPr>
        <w:t xml:space="preserve"> Discuss in relation to one of the case studies covered in the module.</w:t>
      </w:r>
    </w:p>
    <w:p w14:paraId="37801ED7" w14:textId="77777777" w:rsidR="003D1013" w:rsidRDefault="003D1013"/>
    <w:p w14:paraId="246F9B54" w14:textId="77777777" w:rsidR="00581CC8" w:rsidRPr="00581CC8" w:rsidRDefault="00581CC8"/>
    <w:p w14:paraId="5CAF3E45" w14:textId="148E8B39" w:rsidR="00581CC8" w:rsidRDefault="00581CC8" w:rsidP="00581CC8">
      <w:pPr>
        <w:ind w:firstLine="720"/>
        <w:rPr>
          <w:rFonts w:ascii="Calibri" w:hAnsi="Calibri" w:cs="Calibri"/>
          <w:sz w:val="24"/>
          <w:szCs w:val="24"/>
        </w:rPr>
      </w:pPr>
      <w:r w:rsidRPr="00581CC8">
        <w:rPr>
          <w:rFonts w:ascii="Calibri" w:hAnsi="Calibri" w:cs="Calibri"/>
          <w:sz w:val="24"/>
          <w:szCs w:val="24"/>
        </w:rPr>
        <w:t xml:space="preserve">Burials are one of the most common archaeological sites almost across the board. Much of what we know about ancient civilisations and communities has been inferred from their burial practices and the surrounding iconography and material culture of their tombs. This is flawed in many conceivable ways. The survivorship bias of burial culture undoubtedly has a large influence over our understanding of the past. None the less, a great deal can be learned from these numerous sites, and often they are all we </w:t>
      </w:r>
      <w:proofErr w:type="gramStart"/>
      <w:r w:rsidRPr="00581CC8">
        <w:rPr>
          <w:rFonts w:ascii="Calibri" w:hAnsi="Calibri" w:cs="Calibri"/>
          <w:sz w:val="24"/>
          <w:szCs w:val="24"/>
        </w:rPr>
        <w:t>have to</w:t>
      </w:r>
      <w:proofErr w:type="gramEnd"/>
      <w:r w:rsidRPr="00581CC8">
        <w:rPr>
          <w:rFonts w:ascii="Calibri" w:hAnsi="Calibri" w:cs="Calibri"/>
          <w:sz w:val="24"/>
          <w:szCs w:val="24"/>
        </w:rPr>
        <w:t xml:space="preserve"> go on. This essay will seek to understand and demonstrate what we can learn</w:t>
      </w:r>
      <w:r w:rsidR="001D2D32">
        <w:rPr>
          <w:rFonts w:ascii="Calibri" w:hAnsi="Calibri" w:cs="Calibri"/>
          <w:sz w:val="24"/>
          <w:szCs w:val="24"/>
        </w:rPr>
        <w:t xml:space="preserve"> about funerary rituals and beliefs in the afterlife</w:t>
      </w:r>
      <w:r w:rsidRPr="00581CC8">
        <w:rPr>
          <w:rFonts w:ascii="Calibri" w:hAnsi="Calibri" w:cs="Calibri"/>
          <w:sz w:val="24"/>
          <w:szCs w:val="24"/>
        </w:rPr>
        <w:t xml:space="preserve"> from the archaeological remains of ancient mortuary practices in relation to the Early Geometric period in Iron age Greece.</w:t>
      </w:r>
      <w:r>
        <w:rPr>
          <w:rFonts w:ascii="Calibri" w:hAnsi="Calibri" w:cs="Calibri"/>
          <w:sz w:val="24"/>
          <w:szCs w:val="24"/>
        </w:rPr>
        <w:t xml:space="preserve"> </w:t>
      </w:r>
      <w:r w:rsidR="001D2D32">
        <w:rPr>
          <w:rFonts w:ascii="Calibri" w:hAnsi="Calibri" w:cs="Calibri"/>
          <w:sz w:val="24"/>
          <w:szCs w:val="24"/>
        </w:rPr>
        <w:t xml:space="preserve">This essay will discuss </w:t>
      </w:r>
      <w:r w:rsidR="00875E72">
        <w:rPr>
          <w:rFonts w:ascii="Calibri" w:hAnsi="Calibri" w:cs="Calibri"/>
          <w:sz w:val="24"/>
          <w:szCs w:val="24"/>
        </w:rPr>
        <w:t xml:space="preserve">the phenomena of </w:t>
      </w:r>
      <w:r w:rsidR="00DF0721">
        <w:rPr>
          <w:rFonts w:ascii="Calibri" w:hAnsi="Calibri" w:cs="Calibri"/>
          <w:sz w:val="24"/>
          <w:szCs w:val="24"/>
        </w:rPr>
        <w:t xml:space="preserve">feasting with the dead, </w:t>
      </w:r>
      <w:r w:rsidR="00875E72">
        <w:rPr>
          <w:rFonts w:ascii="Calibri" w:hAnsi="Calibri" w:cs="Calibri"/>
          <w:sz w:val="24"/>
          <w:szCs w:val="24"/>
        </w:rPr>
        <w:t>“killed swords,”</w:t>
      </w:r>
      <w:r w:rsidR="001D2D32">
        <w:rPr>
          <w:rFonts w:ascii="Calibri" w:hAnsi="Calibri" w:cs="Calibri"/>
          <w:sz w:val="24"/>
          <w:szCs w:val="24"/>
        </w:rPr>
        <w:t xml:space="preserve"> </w:t>
      </w:r>
      <w:r w:rsidR="00875E72">
        <w:rPr>
          <w:rFonts w:ascii="Calibri" w:hAnsi="Calibri" w:cs="Calibri"/>
          <w:sz w:val="24"/>
          <w:szCs w:val="24"/>
        </w:rPr>
        <w:t xml:space="preserve">and </w:t>
      </w:r>
      <w:r w:rsidR="00DF0721">
        <w:rPr>
          <w:rFonts w:ascii="Calibri" w:hAnsi="Calibri" w:cs="Calibri"/>
          <w:sz w:val="24"/>
          <w:szCs w:val="24"/>
        </w:rPr>
        <w:t>funerary clay shoes</w:t>
      </w:r>
      <w:r w:rsidR="001D2D32">
        <w:rPr>
          <w:rFonts w:ascii="Calibri" w:hAnsi="Calibri" w:cs="Calibri"/>
          <w:sz w:val="24"/>
          <w:szCs w:val="24"/>
        </w:rPr>
        <w:t xml:space="preserve">, and </w:t>
      </w:r>
      <w:r w:rsidR="00DF0721">
        <w:rPr>
          <w:rFonts w:ascii="Calibri" w:hAnsi="Calibri" w:cs="Calibri"/>
          <w:sz w:val="24"/>
          <w:szCs w:val="24"/>
        </w:rPr>
        <w:t xml:space="preserve">will </w:t>
      </w:r>
      <w:r w:rsidR="001D2D32">
        <w:rPr>
          <w:rFonts w:ascii="Calibri" w:hAnsi="Calibri" w:cs="Calibri"/>
          <w:sz w:val="24"/>
          <w:szCs w:val="24"/>
        </w:rPr>
        <w:t xml:space="preserve">conclude that when understood in their relevant contexts, there is a great deal that can be learned from the archaeological remains of burials. </w:t>
      </w:r>
    </w:p>
    <w:p w14:paraId="5A8A9F18" w14:textId="77777777" w:rsidR="00875E72" w:rsidRDefault="00875E72" w:rsidP="00581CC8">
      <w:pPr>
        <w:ind w:firstLine="720"/>
        <w:rPr>
          <w:rFonts w:ascii="Calibri" w:hAnsi="Calibri" w:cs="Calibri"/>
          <w:sz w:val="24"/>
          <w:szCs w:val="24"/>
        </w:rPr>
      </w:pPr>
    </w:p>
    <w:p w14:paraId="0E3C4036" w14:textId="0311BAD4" w:rsidR="001D2D32" w:rsidRDefault="00875E72" w:rsidP="00356200">
      <w:pPr>
        <w:ind w:firstLine="720"/>
        <w:rPr>
          <w:rFonts w:ascii="Calibri" w:hAnsi="Calibri" w:cs="Calibri"/>
          <w:sz w:val="24"/>
          <w:szCs w:val="24"/>
        </w:rPr>
      </w:pPr>
      <w:r>
        <w:rPr>
          <w:rFonts w:ascii="Calibri" w:hAnsi="Calibri" w:cs="Calibri"/>
          <w:sz w:val="24"/>
          <w:szCs w:val="24"/>
        </w:rPr>
        <w:t xml:space="preserve">Early Iron age Greece is best understood through its burials. Burial culture is </w:t>
      </w:r>
      <w:r w:rsidR="003751A0">
        <w:rPr>
          <w:rFonts w:ascii="Calibri" w:hAnsi="Calibri" w:cs="Calibri"/>
          <w:sz w:val="24"/>
          <w:szCs w:val="24"/>
        </w:rPr>
        <w:t>varied,</w:t>
      </w:r>
      <w:r>
        <w:rPr>
          <w:rFonts w:ascii="Calibri" w:hAnsi="Calibri" w:cs="Calibri"/>
          <w:sz w:val="24"/>
          <w:szCs w:val="24"/>
        </w:rPr>
        <w:t xml:space="preserve"> and the complexity of these intentional deposits must be interpreted with care.</w:t>
      </w:r>
      <w:r>
        <w:rPr>
          <w:rStyle w:val="FootnoteReference"/>
          <w:rFonts w:ascii="Calibri" w:hAnsi="Calibri" w:cs="Calibri"/>
          <w:sz w:val="24"/>
          <w:szCs w:val="24"/>
        </w:rPr>
        <w:footnoteReference w:id="1"/>
      </w:r>
      <w:r w:rsidR="003751A0">
        <w:rPr>
          <w:rFonts w:ascii="Calibri" w:hAnsi="Calibri" w:cs="Calibri"/>
          <w:sz w:val="24"/>
          <w:szCs w:val="24"/>
        </w:rPr>
        <w:t xml:space="preserve"> In the early Iron age, cremation was one of the most common burial practices in Greece. </w:t>
      </w:r>
      <w:r w:rsidR="007271BC">
        <w:rPr>
          <w:rFonts w:ascii="Calibri" w:hAnsi="Calibri" w:cs="Calibri"/>
          <w:sz w:val="24"/>
          <w:szCs w:val="24"/>
        </w:rPr>
        <w:t xml:space="preserve">This included primary cremation where the remains are burnt in their place of rest, and secondary cremation where the remains are burnt and then moved to a new location for burial. In the Attic region, most cremations appear to be secondary. </w:t>
      </w:r>
      <w:r w:rsidR="0087258C">
        <w:rPr>
          <w:rFonts w:ascii="Calibri" w:hAnsi="Calibri" w:cs="Calibri"/>
          <w:sz w:val="24"/>
          <w:szCs w:val="24"/>
        </w:rPr>
        <w:t xml:space="preserve">During the later Geometric period, figured vases can be found used as funerary monuments. </w:t>
      </w:r>
      <w:r w:rsidR="00492BD5">
        <w:rPr>
          <w:rFonts w:ascii="Calibri" w:hAnsi="Calibri" w:cs="Calibri"/>
          <w:sz w:val="24"/>
          <w:szCs w:val="24"/>
        </w:rPr>
        <w:t xml:space="preserve">As far as the actual ceremony proceeded, </w:t>
      </w:r>
      <w:r w:rsidR="006D2D13">
        <w:rPr>
          <w:rFonts w:ascii="Calibri" w:hAnsi="Calibri" w:cs="Calibri"/>
          <w:sz w:val="24"/>
          <w:szCs w:val="24"/>
        </w:rPr>
        <w:t>the remains of some burials can give clues, although the variety in the burials present do not appear to all fall down the same standardised ritual. T</w:t>
      </w:r>
      <w:r w:rsidR="00492BD5">
        <w:rPr>
          <w:rFonts w:ascii="Calibri" w:hAnsi="Calibri" w:cs="Calibri"/>
          <w:sz w:val="24"/>
          <w:szCs w:val="24"/>
        </w:rPr>
        <w:t xml:space="preserve">he </w:t>
      </w:r>
      <w:r w:rsidR="006D2D13">
        <w:rPr>
          <w:rFonts w:ascii="Calibri" w:hAnsi="Calibri" w:cs="Calibri"/>
          <w:sz w:val="24"/>
          <w:szCs w:val="24"/>
        </w:rPr>
        <w:t>cremation and burial of a young woman on the Areopagus, parallel to the Sacred Way to Eleusis (D16:</w:t>
      </w:r>
      <w:r w:rsidR="007D37F2">
        <w:rPr>
          <w:rFonts w:ascii="Calibri" w:hAnsi="Calibri" w:cs="Calibri"/>
          <w:sz w:val="24"/>
          <w:szCs w:val="24"/>
        </w:rPr>
        <w:t>2</w:t>
      </w:r>
      <w:r w:rsidR="006D2D13">
        <w:rPr>
          <w:rFonts w:ascii="Calibri" w:hAnsi="Calibri" w:cs="Calibri"/>
          <w:sz w:val="24"/>
          <w:szCs w:val="24"/>
        </w:rPr>
        <w:t xml:space="preserve">) was discovered in 1948. It is a part of a family plot and contained a large assemblage of </w:t>
      </w:r>
      <w:r w:rsidR="00356200">
        <w:rPr>
          <w:rFonts w:ascii="Calibri" w:hAnsi="Calibri" w:cs="Calibri"/>
          <w:sz w:val="24"/>
          <w:szCs w:val="24"/>
        </w:rPr>
        <w:t>grave goods</w:t>
      </w:r>
      <w:r w:rsidR="006D2D13">
        <w:rPr>
          <w:rFonts w:ascii="Calibri" w:hAnsi="Calibri" w:cs="Calibri"/>
          <w:sz w:val="24"/>
          <w:szCs w:val="24"/>
        </w:rPr>
        <w:t xml:space="preserve"> including 19 vases, 2 br</w:t>
      </w:r>
      <w:r w:rsidR="007D37F2">
        <w:rPr>
          <w:rFonts w:ascii="Calibri" w:hAnsi="Calibri" w:cs="Calibri"/>
          <w:sz w:val="24"/>
          <w:szCs w:val="24"/>
        </w:rPr>
        <w:t>o</w:t>
      </w:r>
      <w:r w:rsidR="006D2D13">
        <w:rPr>
          <w:rFonts w:ascii="Calibri" w:hAnsi="Calibri" w:cs="Calibri"/>
          <w:sz w:val="24"/>
          <w:szCs w:val="24"/>
        </w:rPr>
        <w:t>nze pins, 2 fibulae</w:t>
      </w:r>
      <w:r w:rsidR="006F7641">
        <w:rPr>
          <w:rFonts w:ascii="Calibri" w:hAnsi="Calibri" w:cs="Calibri"/>
          <w:sz w:val="24"/>
          <w:szCs w:val="24"/>
        </w:rPr>
        <w:t xml:space="preserve">, </w:t>
      </w:r>
      <w:r w:rsidR="00356200">
        <w:rPr>
          <w:rFonts w:ascii="Calibri" w:hAnsi="Calibri" w:cs="Calibri"/>
          <w:sz w:val="24"/>
          <w:szCs w:val="24"/>
        </w:rPr>
        <w:t xml:space="preserve">a pair of </w:t>
      </w:r>
      <w:r w:rsidR="006F7641">
        <w:rPr>
          <w:rFonts w:ascii="Calibri" w:hAnsi="Calibri" w:cs="Calibri"/>
          <w:sz w:val="24"/>
          <w:szCs w:val="24"/>
        </w:rPr>
        <w:t>electrum earrings, a bone cylinder, a small iron knife, a terracotta spindle whorl, carbonised figs and two pairs of miniature terracotta boots.</w:t>
      </w:r>
      <w:r w:rsidR="006F7641">
        <w:rPr>
          <w:rStyle w:val="FootnoteReference"/>
          <w:rFonts w:ascii="Calibri" w:hAnsi="Calibri" w:cs="Calibri"/>
          <w:sz w:val="24"/>
          <w:szCs w:val="24"/>
        </w:rPr>
        <w:footnoteReference w:id="2"/>
      </w:r>
      <w:r w:rsidR="006F7641">
        <w:rPr>
          <w:rFonts w:ascii="Calibri" w:hAnsi="Calibri" w:cs="Calibri"/>
          <w:sz w:val="24"/>
          <w:szCs w:val="24"/>
        </w:rPr>
        <w:t xml:space="preserve"> From the circumstantial account of the evidence</w:t>
      </w:r>
      <w:r w:rsidR="00356200">
        <w:rPr>
          <w:rFonts w:ascii="Calibri" w:hAnsi="Calibri" w:cs="Calibri"/>
          <w:sz w:val="24"/>
          <w:szCs w:val="24"/>
        </w:rPr>
        <w:t xml:space="preserve">. </w:t>
      </w:r>
      <w:r w:rsidR="007D37F2">
        <w:rPr>
          <w:rFonts w:ascii="Calibri" w:hAnsi="Calibri" w:cs="Calibri"/>
          <w:sz w:val="24"/>
          <w:szCs w:val="24"/>
        </w:rPr>
        <w:t>using</w:t>
      </w:r>
      <w:r w:rsidR="00356200">
        <w:rPr>
          <w:rFonts w:ascii="Calibri" w:hAnsi="Calibri" w:cs="Calibri"/>
          <w:sz w:val="24"/>
          <w:szCs w:val="24"/>
        </w:rPr>
        <w:t xml:space="preserve"> the carbonised food and wider site it has been interpreted that during the burning of her body, a feast of the people who knew her in life took place in her honour. </w:t>
      </w:r>
      <w:proofErr w:type="spellStart"/>
      <w:r w:rsidR="00356200" w:rsidRPr="00356200">
        <w:rPr>
          <w:rFonts w:ascii="Calibri" w:hAnsi="Calibri" w:cs="Calibri"/>
          <w:sz w:val="24"/>
          <w:szCs w:val="24"/>
        </w:rPr>
        <w:t>Oinochoai</w:t>
      </w:r>
      <w:proofErr w:type="spellEnd"/>
      <w:r w:rsidR="00356200" w:rsidRPr="00356200">
        <w:rPr>
          <w:rFonts w:ascii="Calibri" w:hAnsi="Calibri" w:cs="Calibri"/>
          <w:sz w:val="24"/>
          <w:szCs w:val="24"/>
        </w:rPr>
        <w:t>, drinking</w:t>
      </w:r>
      <w:r w:rsidR="00356200">
        <w:rPr>
          <w:rFonts w:ascii="Calibri" w:hAnsi="Calibri" w:cs="Calibri"/>
          <w:sz w:val="24"/>
          <w:szCs w:val="24"/>
        </w:rPr>
        <w:t xml:space="preserve"> v</w:t>
      </w:r>
      <w:r w:rsidR="00356200" w:rsidRPr="00356200">
        <w:rPr>
          <w:rFonts w:ascii="Calibri" w:hAnsi="Calibri" w:cs="Calibri"/>
          <w:sz w:val="24"/>
          <w:szCs w:val="24"/>
        </w:rPr>
        <w:t xml:space="preserve">essels, and </w:t>
      </w:r>
      <w:proofErr w:type="spellStart"/>
      <w:r w:rsidR="00356200" w:rsidRPr="00356200">
        <w:rPr>
          <w:rFonts w:ascii="Calibri" w:hAnsi="Calibri" w:cs="Calibri"/>
          <w:sz w:val="24"/>
          <w:szCs w:val="24"/>
        </w:rPr>
        <w:t>pyxides</w:t>
      </w:r>
      <w:proofErr w:type="spellEnd"/>
      <w:r w:rsidR="00356200" w:rsidRPr="00356200">
        <w:rPr>
          <w:rFonts w:ascii="Calibri" w:hAnsi="Calibri" w:cs="Calibri"/>
          <w:sz w:val="24"/>
          <w:szCs w:val="24"/>
        </w:rPr>
        <w:t xml:space="preserve"> were thrown on to the flames and</w:t>
      </w:r>
      <w:r w:rsidR="00356200">
        <w:rPr>
          <w:rFonts w:ascii="Calibri" w:hAnsi="Calibri" w:cs="Calibri"/>
          <w:sz w:val="24"/>
          <w:szCs w:val="24"/>
        </w:rPr>
        <w:t xml:space="preserve"> smashed. After her body was burned, her bones were gathered and placed in an </w:t>
      </w:r>
      <w:r w:rsidR="00942C2F">
        <w:rPr>
          <w:rFonts w:ascii="Calibri" w:hAnsi="Calibri" w:cs="Calibri"/>
          <w:sz w:val="24"/>
          <w:szCs w:val="24"/>
        </w:rPr>
        <w:t xml:space="preserve">urn together with the </w:t>
      </w:r>
      <w:proofErr w:type="gramStart"/>
      <w:r w:rsidR="00942C2F">
        <w:rPr>
          <w:rFonts w:ascii="Calibri" w:hAnsi="Calibri" w:cs="Calibri"/>
          <w:sz w:val="24"/>
          <w:szCs w:val="24"/>
        </w:rPr>
        <w:t>aforementioned grave</w:t>
      </w:r>
      <w:proofErr w:type="gramEnd"/>
      <w:r w:rsidR="00942C2F">
        <w:rPr>
          <w:rFonts w:ascii="Calibri" w:hAnsi="Calibri" w:cs="Calibri"/>
          <w:sz w:val="24"/>
          <w:szCs w:val="24"/>
        </w:rPr>
        <w:t xml:space="preserve"> goods. The urn then being lowered into a hole and closed by an unburnt pyxis. The pyre debris and the two pairs of boots, were swept into the shallow section of the trench before the grave was filled in. The position of the urn was then marked by a flat stone slab supported on two small revetments.</w:t>
      </w:r>
      <w:r w:rsidR="00942C2F">
        <w:rPr>
          <w:rStyle w:val="FootnoteReference"/>
          <w:rFonts w:ascii="Calibri" w:hAnsi="Calibri" w:cs="Calibri"/>
          <w:sz w:val="24"/>
          <w:szCs w:val="24"/>
        </w:rPr>
        <w:footnoteReference w:id="3"/>
      </w:r>
      <w:r w:rsidR="007D37F2">
        <w:rPr>
          <w:rFonts w:ascii="Calibri" w:hAnsi="Calibri" w:cs="Calibri"/>
          <w:sz w:val="24"/>
          <w:szCs w:val="24"/>
        </w:rPr>
        <w:t xml:space="preserve"> The trail left by the assemblage is impressive. The potsherds and carbonised food are not only evidence of the feat but the fact they are included in the </w:t>
      </w:r>
      <w:r w:rsidR="00901606">
        <w:rPr>
          <w:rFonts w:ascii="Calibri" w:hAnsi="Calibri" w:cs="Calibri"/>
          <w:sz w:val="24"/>
          <w:szCs w:val="24"/>
        </w:rPr>
        <w:t xml:space="preserve">burial display a ritual and significant meaning to them as a part of the </w:t>
      </w:r>
      <w:r w:rsidR="00901606">
        <w:rPr>
          <w:rFonts w:ascii="Calibri" w:hAnsi="Calibri" w:cs="Calibri"/>
          <w:sz w:val="24"/>
          <w:szCs w:val="24"/>
        </w:rPr>
        <w:lastRenderedPageBreak/>
        <w:t>ceremony. In later classical Athenian burials, the women of Athens would make regular visits to a grave with food offerings.</w:t>
      </w:r>
      <w:r w:rsidR="00901606">
        <w:rPr>
          <w:rStyle w:val="FootnoteReference"/>
          <w:rFonts w:ascii="Calibri" w:hAnsi="Calibri" w:cs="Calibri"/>
          <w:sz w:val="24"/>
          <w:szCs w:val="24"/>
        </w:rPr>
        <w:footnoteReference w:id="4"/>
      </w:r>
      <w:r w:rsidR="00911EC7">
        <w:rPr>
          <w:rFonts w:ascii="Calibri" w:hAnsi="Calibri" w:cs="Calibri"/>
          <w:sz w:val="24"/>
          <w:szCs w:val="24"/>
        </w:rPr>
        <w:t xml:space="preserve"> These offerings may have been to the Gods so that they would watch over the deceased in the afterlife. However, especially in the case of feasting with the dead. It is also entirely possible that these offerings were for the deceased. A last meal tasted after death. </w:t>
      </w:r>
    </w:p>
    <w:p w14:paraId="59265784" w14:textId="77777777" w:rsidR="00015F82" w:rsidRDefault="00015F82" w:rsidP="00356200">
      <w:pPr>
        <w:ind w:firstLine="720"/>
        <w:rPr>
          <w:rFonts w:ascii="Calibri" w:hAnsi="Calibri" w:cs="Calibri"/>
          <w:sz w:val="24"/>
          <w:szCs w:val="24"/>
        </w:rPr>
      </w:pPr>
    </w:p>
    <w:p w14:paraId="0604551E" w14:textId="79BB841F" w:rsidR="00015F82" w:rsidRDefault="00015F82" w:rsidP="00356200">
      <w:pPr>
        <w:ind w:firstLine="720"/>
        <w:rPr>
          <w:rFonts w:ascii="Calibri" w:hAnsi="Calibri" w:cs="Calibri"/>
          <w:sz w:val="24"/>
          <w:szCs w:val="24"/>
        </w:rPr>
      </w:pPr>
      <w:r>
        <w:rPr>
          <w:rFonts w:ascii="Calibri" w:hAnsi="Calibri" w:cs="Calibri"/>
          <w:sz w:val="24"/>
          <w:szCs w:val="24"/>
        </w:rPr>
        <w:t xml:space="preserve">Another fascinating part of this burial is the two pairs of clay shoes buried with the ashes. This is by no means a unique case. The remains of terracotta footwear in ancient burials from this period are an interesting </w:t>
      </w:r>
      <w:r w:rsidR="00906955">
        <w:rPr>
          <w:rFonts w:ascii="Calibri" w:hAnsi="Calibri" w:cs="Calibri"/>
          <w:sz w:val="24"/>
          <w:szCs w:val="24"/>
        </w:rPr>
        <w:t xml:space="preserve">yet </w:t>
      </w:r>
      <w:r>
        <w:rPr>
          <w:rFonts w:ascii="Calibri" w:hAnsi="Calibri" w:cs="Calibri"/>
          <w:sz w:val="24"/>
          <w:szCs w:val="24"/>
        </w:rPr>
        <w:t xml:space="preserve">unresolved topic of debate. </w:t>
      </w:r>
      <w:r w:rsidR="000022D2">
        <w:rPr>
          <w:rFonts w:ascii="Calibri" w:hAnsi="Calibri" w:cs="Calibri"/>
          <w:sz w:val="24"/>
          <w:szCs w:val="24"/>
        </w:rPr>
        <w:t>Although by far not the norm, there are in fact quite a few burials containing clay shoes from the geometric period. Most of these are from the Attic region,</w:t>
      </w:r>
      <w:r w:rsidR="00EC67AA">
        <w:rPr>
          <w:rFonts w:ascii="Calibri" w:hAnsi="Calibri" w:cs="Calibri"/>
          <w:sz w:val="24"/>
          <w:szCs w:val="24"/>
        </w:rPr>
        <w:t xml:space="preserve"> in turn most of these are in and around the site of Eleusis. The famous Isis grave discovered during the Greek archaeological campaign of 1896 – 1898, contain the inhumed bones of a young woman, possibly a young girl with a lavish array of mixed Greek and Near Eastern grave goods containing famously an Isis figurine, and 2 pairs of clay boots.</w:t>
      </w:r>
      <w:r w:rsidR="008B70F5">
        <w:rPr>
          <w:rFonts w:ascii="Calibri" w:hAnsi="Calibri" w:cs="Calibri"/>
          <w:sz w:val="24"/>
          <w:szCs w:val="24"/>
        </w:rPr>
        <w:t xml:space="preserve"> </w:t>
      </w:r>
      <w:r w:rsidR="00EC67AA">
        <w:rPr>
          <w:rFonts w:ascii="Calibri" w:hAnsi="Calibri" w:cs="Calibri"/>
          <w:sz w:val="24"/>
          <w:szCs w:val="24"/>
        </w:rPr>
        <w:t>Grave XVII, found 5 years later, also contained 2 pairs of clay boots within the funerary urn of a young girl. The previously mentioned D16:2 grave was found in 1948 along the sacred way.</w:t>
      </w:r>
      <w:r w:rsidR="008B70F5">
        <w:rPr>
          <w:rFonts w:ascii="Calibri" w:hAnsi="Calibri" w:cs="Calibri"/>
          <w:sz w:val="24"/>
          <w:szCs w:val="24"/>
        </w:rPr>
        <w:t xml:space="preserve"> More remains of clay shoes were found in 1964 and 1966, all in the burials of young women and girls. The Museum of </w:t>
      </w:r>
      <w:proofErr w:type="spellStart"/>
      <w:r w:rsidR="008B70F5">
        <w:rPr>
          <w:rFonts w:ascii="Calibri" w:hAnsi="Calibri" w:cs="Calibri"/>
          <w:sz w:val="24"/>
          <w:szCs w:val="24"/>
        </w:rPr>
        <w:t>Isthmia</w:t>
      </w:r>
      <w:proofErr w:type="spellEnd"/>
      <w:r w:rsidR="008B70F5">
        <w:rPr>
          <w:rFonts w:ascii="Calibri" w:hAnsi="Calibri" w:cs="Calibri"/>
          <w:sz w:val="24"/>
          <w:szCs w:val="24"/>
        </w:rPr>
        <w:t xml:space="preserve"> also contains one Attic shoe, as part of an assemblage of votive offerings to Poseidon.</w:t>
      </w:r>
      <w:r w:rsidR="008B70F5">
        <w:rPr>
          <w:rStyle w:val="FootnoteReference"/>
          <w:rFonts w:ascii="Calibri" w:hAnsi="Calibri" w:cs="Calibri"/>
          <w:sz w:val="24"/>
          <w:szCs w:val="24"/>
        </w:rPr>
        <w:footnoteReference w:id="5"/>
      </w:r>
      <w:r w:rsidR="008B70F5">
        <w:rPr>
          <w:rFonts w:ascii="Calibri" w:hAnsi="Calibri" w:cs="Calibri"/>
          <w:sz w:val="24"/>
          <w:szCs w:val="24"/>
        </w:rPr>
        <w:t xml:space="preserve"> These shoes are intriguing. Being made of clay, it is exceedingly unlikely they were worn by the deceased</w:t>
      </w:r>
      <w:r w:rsidR="007072B1">
        <w:rPr>
          <w:rFonts w:ascii="Calibri" w:hAnsi="Calibri" w:cs="Calibri"/>
          <w:sz w:val="24"/>
          <w:szCs w:val="24"/>
        </w:rPr>
        <w:t>. The additional use of these shoes as votive offerings could be some clue as to their purpose in the graves. One interpretation of the shoes follows the tradition of the Sumerian boot shaped funerary vases, the vases were symbols of the Near Eastern aristocracies wealth and status, they were supposed to be gifts to the gods of the underworld, in order to assure safe passage.</w:t>
      </w:r>
      <w:r w:rsidR="007072B1">
        <w:rPr>
          <w:rStyle w:val="FootnoteReference"/>
          <w:rFonts w:ascii="Calibri" w:hAnsi="Calibri" w:cs="Calibri"/>
          <w:sz w:val="24"/>
          <w:szCs w:val="24"/>
        </w:rPr>
        <w:footnoteReference w:id="6"/>
      </w:r>
      <w:r w:rsidR="007072B1">
        <w:rPr>
          <w:rFonts w:ascii="Calibri" w:hAnsi="Calibri" w:cs="Calibri"/>
          <w:sz w:val="24"/>
          <w:szCs w:val="24"/>
        </w:rPr>
        <w:t xml:space="preserve"> It is unlikely that this is the exact reason why these different terracotta boots appear in Geometric era Greek burials, however cultural contact with the near east was present and a mild diffusion of ideas into the diverse pantheon of Greek religion is more than possible. </w:t>
      </w:r>
      <w:r w:rsidR="00FF52DE">
        <w:rPr>
          <w:rFonts w:ascii="Calibri" w:hAnsi="Calibri" w:cs="Calibri"/>
          <w:sz w:val="24"/>
          <w:szCs w:val="24"/>
        </w:rPr>
        <w:t>It is a legitimate interpretation to see the shoes as votive offerings to the Gods of the underworld. Another interpretation is that the shoes were to be worn by the deceased to ensure a pleasant trip to the underworld.</w:t>
      </w:r>
      <w:r w:rsidR="00FF52DE">
        <w:rPr>
          <w:rStyle w:val="FootnoteReference"/>
          <w:rFonts w:ascii="Calibri" w:hAnsi="Calibri" w:cs="Calibri"/>
          <w:sz w:val="24"/>
          <w:szCs w:val="24"/>
        </w:rPr>
        <w:footnoteReference w:id="7"/>
      </w:r>
      <w:r w:rsidR="00FF52DE">
        <w:rPr>
          <w:rFonts w:ascii="Calibri" w:hAnsi="Calibri" w:cs="Calibri"/>
          <w:sz w:val="24"/>
          <w:szCs w:val="24"/>
        </w:rPr>
        <w:t xml:space="preserve"> Perhaps one pair was devoted to the deceased and the other as an offering of safe passage. What neither of these explanations solves is why all these graves are those of women. Ann </w:t>
      </w:r>
      <w:r w:rsidR="001D39DA">
        <w:rPr>
          <w:rFonts w:ascii="Calibri" w:hAnsi="Calibri" w:cs="Calibri"/>
          <w:sz w:val="24"/>
          <w:szCs w:val="24"/>
        </w:rPr>
        <w:t xml:space="preserve">M. E. </w:t>
      </w:r>
      <w:proofErr w:type="spellStart"/>
      <w:r w:rsidR="001D39DA" w:rsidRPr="001D39DA">
        <w:rPr>
          <w:rFonts w:ascii="Calibri" w:hAnsi="Calibri" w:cs="Calibri"/>
          <w:sz w:val="24"/>
          <w:szCs w:val="24"/>
        </w:rPr>
        <w:t>Haentjens</w:t>
      </w:r>
      <w:proofErr w:type="spellEnd"/>
      <w:r w:rsidR="001D39DA" w:rsidRPr="001D39DA">
        <w:rPr>
          <w:rFonts w:ascii="Calibri" w:hAnsi="Calibri" w:cs="Calibri"/>
          <w:sz w:val="24"/>
          <w:szCs w:val="24"/>
        </w:rPr>
        <w:t>,</w:t>
      </w:r>
      <w:r w:rsidR="001D39DA">
        <w:rPr>
          <w:rFonts w:ascii="Calibri" w:hAnsi="Calibri" w:cs="Calibri"/>
          <w:sz w:val="24"/>
          <w:szCs w:val="24"/>
        </w:rPr>
        <w:t xml:space="preserve"> draws a link with religions of the time and the link between passage of deities to the underworld and infertility on the earth. In the Greek version of this myth (the Homeric Hymn to Demeter) no mention is made of shoes. However perhaps a more nuanced link can still be made. In matters of non-codified religion and beliefs, such as that of ancient Greece, a cultural link does not have to be with direct purpose. Women in the period, partly due to the fear men had of them, were deeply associated with mother nature, thought to be in contact with her at all times, due to this the shoes of women become important symbols of fertility in Greek eyes, this may have deemed them appropriate gifts for the Gods to ensure the safe passage to the afterlife.</w:t>
      </w:r>
      <w:r w:rsidR="001D39DA">
        <w:rPr>
          <w:rStyle w:val="FootnoteReference"/>
          <w:rFonts w:ascii="Calibri" w:hAnsi="Calibri" w:cs="Calibri"/>
          <w:sz w:val="24"/>
          <w:szCs w:val="24"/>
        </w:rPr>
        <w:footnoteReference w:id="8"/>
      </w:r>
      <w:r w:rsidR="001D39DA">
        <w:rPr>
          <w:rFonts w:ascii="Calibri" w:hAnsi="Calibri" w:cs="Calibri"/>
          <w:sz w:val="24"/>
          <w:szCs w:val="24"/>
        </w:rPr>
        <w:t xml:space="preserve"> Through study of just one aspect of grave goods found in only a handful of Greek burials, a fragmented picture of Greek culture and belief in the afterlife emerges. </w:t>
      </w:r>
      <w:r w:rsidR="001D39DA">
        <w:rPr>
          <w:rFonts w:ascii="Calibri" w:hAnsi="Calibri" w:cs="Calibri"/>
          <w:sz w:val="24"/>
          <w:szCs w:val="24"/>
        </w:rPr>
        <w:lastRenderedPageBreak/>
        <w:t xml:space="preserve">Possible involvement of </w:t>
      </w:r>
      <w:r w:rsidR="007D695A">
        <w:rPr>
          <w:rFonts w:ascii="Calibri" w:hAnsi="Calibri" w:cs="Calibri"/>
          <w:sz w:val="24"/>
          <w:szCs w:val="24"/>
        </w:rPr>
        <w:t xml:space="preserve">Near Eastern practices in the Greek pantheon </w:t>
      </w:r>
      <w:proofErr w:type="gramStart"/>
      <w:r w:rsidR="007D695A">
        <w:rPr>
          <w:rFonts w:ascii="Calibri" w:hAnsi="Calibri" w:cs="Calibri"/>
          <w:sz w:val="24"/>
          <w:szCs w:val="24"/>
        </w:rPr>
        <w:t>and also</w:t>
      </w:r>
      <w:proofErr w:type="gramEnd"/>
      <w:r w:rsidR="007D695A">
        <w:rPr>
          <w:rFonts w:ascii="Calibri" w:hAnsi="Calibri" w:cs="Calibri"/>
          <w:sz w:val="24"/>
          <w:szCs w:val="24"/>
        </w:rPr>
        <w:t xml:space="preserve"> a thoughtful carefully crafted gift for a lost daughter. </w:t>
      </w:r>
    </w:p>
    <w:p w14:paraId="0E3BACD9" w14:textId="77777777" w:rsidR="007D695A" w:rsidRDefault="007D695A" w:rsidP="00356200">
      <w:pPr>
        <w:ind w:firstLine="720"/>
        <w:rPr>
          <w:rFonts w:ascii="Calibri" w:hAnsi="Calibri" w:cs="Calibri"/>
          <w:sz w:val="24"/>
          <w:szCs w:val="24"/>
        </w:rPr>
      </w:pPr>
    </w:p>
    <w:p w14:paraId="4005285D" w14:textId="40CE7A2F" w:rsidR="007D695A" w:rsidRDefault="007D695A" w:rsidP="00356200">
      <w:pPr>
        <w:ind w:firstLine="720"/>
        <w:rPr>
          <w:rFonts w:ascii="Calibri" w:hAnsi="Calibri" w:cs="Calibri"/>
          <w:sz w:val="24"/>
          <w:szCs w:val="24"/>
        </w:rPr>
      </w:pPr>
      <w:r>
        <w:rPr>
          <w:rFonts w:ascii="Calibri" w:hAnsi="Calibri" w:cs="Calibri"/>
          <w:sz w:val="24"/>
          <w:szCs w:val="24"/>
        </w:rPr>
        <w:t xml:space="preserve">Another aspect of many Iron Age cremation burials more often debated is that of weaponry. </w:t>
      </w:r>
      <w:proofErr w:type="gramStart"/>
      <w:r>
        <w:rPr>
          <w:rFonts w:ascii="Calibri" w:hAnsi="Calibri" w:cs="Calibri"/>
          <w:sz w:val="24"/>
          <w:szCs w:val="24"/>
        </w:rPr>
        <w:t>In particular the</w:t>
      </w:r>
      <w:proofErr w:type="gramEnd"/>
      <w:r>
        <w:rPr>
          <w:rFonts w:ascii="Calibri" w:hAnsi="Calibri" w:cs="Calibri"/>
          <w:sz w:val="24"/>
          <w:szCs w:val="24"/>
        </w:rPr>
        <w:t xml:space="preserve"> practice of burying the dead with swords. These burials were at one point mistakenly called “warrior burials,” in truth we do not know whether the deceased contained in these burials was in fact a warrior. While entirely possible, just because an item was found in the burial, does not mean it was important to the occupant in life. There could be a myriad of alternative reasons to be </w:t>
      </w:r>
      <w:r w:rsidR="002A6202">
        <w:rPr>
          <w:rFonts w:ascii="Calibri" w:hAnsi="Calibri" w:cs="Calibri"/>
          <w:sz w:val="24"/>
          <w:szCs w:val="24"/>
        </w:rPr>
        <w:t xml:space="preserve">buried with a sword: as a </w:t>
      </w:r>
      <w:r>
        <w:rPr>
          <w:rFonts w:ascii="Calibri" w:hAnsi="Calibri" w:cs="Calibri"/>
          <w:sz w:val="24"/>
          <w:szCs w:val="24"/>
        </w:rPr>
        <w:t>symbols of masculinity</w:t>
      </w:r>
      <w:r w:rsidR="002A6202">
        <w:rPr>
          <w:rFonts w:ascii="Calibri" w:hAnsi="Calibri" w:cs="Calibri"/>
          <w:sz w:val="24"/>
          <w:szCs w:val="24"/>
        </w:rPr>
        <w:t>, an offering to the Gods, a gift to the deceased. These some of many alternate possibilities. The more modern, yet also mildly flawed term for these burials is “burial with weapons.” Although this fails to distinguish an intentionally laid weapon from perhaps the fatal arrowhead still lodged in the inhumed body, it is a far more appropriate term. The interesting aspect of many Geometric burials with weapons is that swords are “killed.” This is the practice of deliberately ending the swords functionality by bending it out of shape. The term “killed” is also slightly flawed as it assumes the purpose of this was to ‘kill’ the sword. This tradition is by no means unique to Iron age Greece. ‘Killed’ weapons are found in burials of multiple different cultures across a very wide timeframe. This style of burial with weapons however is telling of the beliefs of the early Iron Age Greeks. During post palatial Bronze Age culture, burial with weapons</w:t>
      </w:r>
      <w:r w:rsidR="00DF0721">
        <w:rPr>
          <w:rFonts w:ascii="Calibri" w:hAnsi="Calibri" w:cs="Calibri"/>
          <w:sz w:val="24"/>
          <w:szCs w:val="24"/>
        </w:rPr>
        <w:t xml:space="preserve"> became a </w:t>
      </w:r>
      <w:proofErr w:type="spellStart"/>
      <w:r w:rsidR="00DF0721">
        <w:rPr>
          <w:rFonts w:ascii="Calibri" w:hAnsi="Calibri" w:cs="Calibri"/>
          <w:sz w:val="24"/>
          <w:szCs w:val="24"/>
        </w:rPr>
        <w:t>non core</w:t>
      </w:r>
      <w:proofErr w:type="spellEnd"/>
      <w:r w:rsidR="00DF0721">
        <w:rPr>
          <w:rFonts w:ascii="Calibri" w:hAnsi="Calibri" w:cs="Calibri"/>
          <w:sz w:val="24"/>
          <w:szCs w:val="24"/>
        </w:rPr>
        <w:t xml:space="preserve"> element of burial culture. It appears that this remains much the same in the early Iron Age with some areas practicing it often while it remains absent elsewhere.</w:t>
      </w:r>
      <w:r w:rsidR="00DF0721">
        <w:rPr>
          <w:rStyle w:val="FootnoteReference"/>
          <w:rFonts w:ascii="Calibri" w:hAnsi="Calibri" w:cs="Calibri"/>
          <w:sz w:val="24"/>
          <w:szCs w:val="24"/>
        </w:rPr>
        <w:footnoteReference w:id="9"/>
      </w:r>
      <w:r w:rsidR="00DF0721">
        <w:rPr>
          <w:rFonts w:ascii="Calibri" w:hAnsi="Calibri" w:cs="Calibri"/>
          <w:sz w:val="24"/>
          <w:szCs w:val="24"/>
        </w:rPr>
        <w:t xml:space="preserve"> It is uncertain whether the swords were cremated with the remains or were added secondary however items the sword of the ‘hero’ at </w:t>
      </w:r>
      <w:proofErr w:type="spellStart"/>
      <w:r w:rsidR="00DF0721">
        <w:rPr>
          <w:rFonts w:ascii="Calibri" w:hAnsi="Calibri" w:cs="Calibri"/>
          <w:sz w:val="24"/>
          <w:szCs w:val="24"/>
        </w:rPr>
        <w:t>Lefkandi</w:t>
      </w:r>
      <w:proofErr w:type="spellEnd"/>
      <w:r w:rsidR="00DF0721">
        <w:rPr>
          <w:rFonts w:ascii="Calibri" w:hAnsi="Calibri" w:cs="Calibri"/>
          <w:sz w:val="24"/>
          <w:szCs w:val="24"/>
        </w:rPr>
        <w:t xml:space="preserve"> retains parts of its wooden scabbard and the fact some swords were wrapped around the urns they are associated with also suggests they were </w:t>
      </w:r>
      <w:proofErr w:type="spellStart"/>
      <w:r w:rsidR="00DF0721">
        <w:rPr>
          <w:rFonts w:ascii="Calibri" w:hAnsi="Calibri" w:cs="Calibri"/>
          <w:sz w:val="24"/>
          <w:szCs w:val="24"/>
        </w:rPr>
        <w:t>atleast</w:t>
      </w:r>
      <w:proofErr w:type="spellEnd"/>
      <w:r w:rsidR="00DF0721">
        <w:rPr>
          <w:rFonts w:ascii="Calibri" w:hAnsi="Calibri" w:cs="Calibri"/>
          <w:sz w:val="24"/>
          <w:szCs w:val="24"/>
        </w:rPr>
        <w:t xml:space="preserve"> in many cases a secondary addition. While other grave goods such as pottery were also intentionally destroyed at burials, the act of ‘killing’ a sword is no easy feat. </w:t>
      </w:r>
      <w:r w:rsidR="0074519B">
        <w:rPr>
          <w:rFonts w:ascii="Calibri" w:hAnsi="Calibri" w:cs="Calibri"/>
          <w:sz w:val="24"/>
          <w:szCs w:val="24"/>
        </w:rPr>
        <w:t>Lloyd argues that the act of bending a sword into the shapes seen would require the help of a professional, meaning that the emphasis of the burial was likely on the sword.</w:t>
      </w:r>
      <w:r w:rsidR="0074519B">
        <w:rPr>
          <w:rStyle w:val="FootnoteReference"/>
          <w:rFonts w:ascii="Calibri" w:hAnsi="Calibri" w:cs="Calibri"/>
          <w:sz w:val="24"/>
          <w:szCs w:val="24"/>
        </w:rPr>
        <w:footnoteReference w:id="10"/>
      </w:r>
      <w:r w:rsidR="0074519B">
        <w:rPr>
          <w:rFonts w:ascii="Calibri" w:hAnsi="Calibri" w:cs="Calibri"/>
          <w:sz w:val="24"/>
          <w:szCs w:val="24"/>
        </w:rPr>
        <w:t xml:space="preserve"> As to why, it is a complex topic with different interpretations. One interpretation, in line with the prehistoric Germanic warriors for whom a sword was a “faithful companion,” The weapon must be ‘killed’ if it is to join its master in the afterlife.</w:t>
      </w:r>
      <w:r w:rsidR="0074519B">
        <w:rPr>
          <w:rStyle w:val="FootnoteReference"/>
          <w:rFonts w:ascii="Calibri" w:hAnsi="Calibri" w:cs="Calibri"/>
          <w:sz w:val="24"/>
          <w:szCs w:val="24"/>
        </w:rPr>
        <w:footnoteReference w:id="11"/>
      </w:r>
      <w:r w:rsidR="0074519B">
        <w:rPr>
          <w:rFonts w:ascii="Calibri" w:hAnsi="Calibri" w:cs="Calibri"/>
          <w:sz w:val="24"/>
          <w:szCs w:val="24"/>
        </w:rPr>
        <w:t xml:space="preserve"> It is true that in the Homeric hero culture, the armour holds a great place of honour. In book 6 of the </w:t>
      </w:r>
      <w:proofErr w:type="spellStart"/>
      <w:r w:rsidR="0074519B">
        <w:rPr>
          <w:rFonts w:ascii="Calibri" w:hAnsi="Calibri" w:cs="Calibri"/>
          <w:sz w:val="24"/>
          <w:szCs w:val="24"/>
        </w:rPr>
        <w:t>Illiad</w:t>
      </w:r>
      <w:proofErr w:type="spellEnd"/>
      <w:r w:rsidR="0074519B">
        <w:rPr>
          <w:rFonts w:ascii="Calibri" w:hAnsi="Calibri" w:cs="Calibri"/>
          <w:sz w:val="24"/>
          <w:szCs w:val="24"/>
        </w:rPr>
        <w:t xml:space="preserve">, Andromache recounts how her father </w:t>
      </w:r>
      <w:proofErr w:type="spellStart"/>
      <w:r w:rsidR="0074519B" w:rsidRPr="0074519B">
        <w:rPr>
          <w:rFonts w:ascii="Calibri" w:hAnsi="Calibri" w:cs="Calibri"/>
          <w:sz w:val="24"/>
          <w:szCs w:val="24"/>
        </w:rPr>
        <w:t>Eëtion</w:t>
      </w:r>
      <w:proofErr w:type="spellEnd"/>
      <w:r w:rsidR="0074519B">
        <w:rPr>
          <w:rFonts w:ascii="Calibri" w:hAnsi="Calibri" w:cs="Calibri"/>
          <w:sz w:val="24"/>
          <w:szCs w:val="24"/>
        </w:rPr>
        <w:t xml:space="preserve"> after being killed by Achilles was granted the great honour of being cremated with his armour.</w:t>
      </w:r>
      <w:r w:rsidR="0074519B">
        <w:rPr>
          <w:rStyle w:val="FootnoteReference"/>
          <w:rFonts w:ascii="Calibri" w:hAnsi="Calibri" w:cs="Calibri"/>
          <w:sz w:val="24"/>
          <w:szCs w:val="24"/>
        </w:rPr>
        <w:footnoteReference w:id="12"/>
      </w:r>
      <w:r w:rsidR="0074519B">
        <w:rPr>
          <w:rFonts w:ascii="Calibri" w:hAnsi="Calibri" w:cs="Calibri"/>
          <w:sz w:val="24"/>
          <w:szCs w:val="24"/>
        </w:rPr>
        <w:t xml:space="preserve"> However no mention of the sword specifically is made, nor of killing the weapon. The slightly less enticing definition is that the act of ‘killing</w:t>
      </w:r>
      <w:r w:rsidR="00BC04E3">
        <w:rPr>
          <w:rFonts w:ascii="Calibri" w:hAnsi="Calibri" w:cs="Calibri"/>
          <w:sz w:val="24"/>
          <w:szCs w:val="24"/>
        </w:rPr>
        <w:t>’</w:t>
      </w:r>
      <w:r w:rsidR="0074519B">
        <w:rPr>
          <w:rFonts w:ascii="Calibri" w:hAnsi="Calibri" w:cs="Calibri"/>
          <w:sz w:val="24"/>
          <w:szCs w:val="24"/>
        </w:rPr>
        <w:t xml:space="preserve"> the blade is simply </w:t>
      </w:r>
      <w:r w:rsidR="00BC04E3">
        <w:rPr>
          <w:rFonts w:ascii="Calibri" w:hAnsi="Calibri" w:cs="Calibri"/>
          <w:sz w:val="24"/>
          <w:szCs w:val="24"/>
        </w:rPr>
        <w:t>to make it fit the burial. This however doesn’t fit with the evidence.</w:t>
      </w:r>
      <w:r w:rsidR="00BC04E3">
        <w:rPr>
          <w:rStyle w:val="FootnoteReference"/>
          <w:rFonts w:ascii="Calibri" w:hAnsi="Calibri" w:cs="Calibri"/>
          <w:sz w:val="24"/>
          <w:szCs w:val="24"/>
        </w:rPr>
        <w:footnoteReference w:id="13"/>
      </w:r>
      <w:r w:rsidR="00BC04E3">
        <w:rPr>
          <w:rFonts w:ascii="Calibri" w:hAnsi="Calibri" w:cs="Calibri"/>
          <w:sz w:val="24"/>
          <w:szCs w:val="24"/>
        </w:rPr>
        <w:t xml:space="preserve"> It seems more likely that the sword was </w:t>
      </w:r>
      <w:proofErr w:type="spellStart"/>
      <w:r w:rsidR="00BC04E3">
        <w:rPr>
          <w:rFonts w:ascii="Calibri" w:hAnsi="Calibri" w:cs="Calibri"/>
          <w:sz w:val="24"/>
          <w:szCs w:val="24"/>
        </w:rPr>
        <w:t>infact</w:t>
      </w:r>
      <w:proofErr w:type="spellEnd"/>
      <w:r w:rsidR="00BC04E3">
        <w:rPr>
          <w:rFonts w:ascii="Calibri" w:hAnsi="Calibri" w:cs="Calibri"/>
          <w:sz w:val="24"/>
          <w:szCs w:val="24"/>
        </w:rPr>
        <w:t xml:space="preserve"> a symbol of respect and honour. The true afterlife in the Homeric culture was that of </w:t>
      </w:r>
      <w:proofErr w:type="spellStart"/>
      <w:r w:rsidR="00BC04E3">
        <w:rPr>
          <w:rFonts w:ascii="Calibri" w:hAnsi="Calibri" w:cs="Calibri"/>
          <w:sz w:val="24"/>
          <w:szCs w:val="24"/>
        </w:rPr>
        <w:t>Kleos</w:t>
      </w:r>
      <w:proofErr w:type="spellEnd"/>
      <w:r w:rsidR="00BC04E3">
        <w:rPr>
          <w:rFonts w:ascii="Calibri" w:hAnsi="Calibri" w:cs="Calibri"/>
          <w:sz w:val="24"/>
          <w:szCs w:val="24"/>
        </w:rPr>
        <w:t xml:space="preserve">, to be talked about after your death. Whether the swords were </w:t>
      </w:r>
      <w:r w:rsidR="00BC04E3">
        <w:rPr>
          <w:rFonts w:ascii="Calibri" w:hAnsi="Calibri" w:cs="Calibri"/>
          <w:sz w:val="24"/>
          <w:szCs w:val="24"/>
        </w:rPr>
        <w:lastRenderedPageBreak/>
        <w:t xml:space="preserve">owned or used by the deceased is to an extent irrelevant to the honour they certainly appear to bestow. </w:t>
      </w:r>
    </w:p>
    <w:p w14:paraId="3C43AE42" w14:textId="77777777" w:rsidR="00BC04E3" w:rsidRDefault="00BC04E3" w:rsidP="00356200">
      <w:pPr>
        <w:ind w:firstLine="720"/>
        <w:rPr>
          <w:rFonts w:ascii="Calibri" w:hAnsi="Calibri" w:cs="Calibri"/>
          <w:sz w:val="24"/>
          <w:szCs w:val="24"/>
        </w:rPr>
      </w:pPr>
    </w:p>
    <w:p w14:paraId="2BA1240B" w14:textId="77777777" w:rsidR="00BC04E3" w:rsidRPr="001D39DA" w:rsidRDefault="00BC04E3" w:rsidP="00356200">
      <w:pPr>
        <w:ind w:firstLine="720"/>
        <w:rPr>
          <w:rFonts w:ascii="Calibri" w:hAnsi="Calibri" w:cs="Calibri"/>
          <w:sz w:val="24"/>
          <w:szCs w:val="24"/>
        </w:rPr>
      </w:pPr>
      <w:r>
        <w:rPr>
          <w:rFonts w:ascii="Calibri" w:hAnsi="Calibri" w:cs="Calibri"/>
          <w:sz w:val="24"/>
          <w:szCs w:val="24"/>
        </w:rPr>
        <w:t>In conclusion, much can be understood about the past through the burials left behind. To lose a loved one will always be a poignant time in life, the way we honour the deceased and the way we bury our dead tells a great deal about our beliefs and cultural understanding.</w:t>
      </w:r>
    </w:p>
    <w:sdt>
      <w:sdtPr>
        <w:id w:val="598144752"/>
        <w:docPartObj>
          <w:docPartGallery w:val="Bibliographies"/>
          <w:docPartUnique/>
        </w:docPartObj>
      </w:sdtPr>
      <w:sdtEndPr>
        <w:rPr>
          <w:rFonts w:ascii="Times New Roman" w:eastAsia="Times New Roman" w:hAnsi="Times New Roman" w:cs="Times New Roman"/>
          <w:color w:val="auto"/>
          <w:kern w:val="0"/>
          <w:sz w:val="20"/>
          <w:szCs w:val="20"/>
          <w:lang w:eastAsia="en-GB"/>
          <w14:ligatures w14:val="none"/>
        </w:rPr>
      </w:sdtEndPr>
      <w:sdtContent>
        <w:p w14:paraId="5FF07DE1" w14:textId="500F6689" w:rsidR="00BC04E3" w:rsidRDefault="00BC04E3">
          <w:pPr>
            <w:pStyle w:val="Heading1"/>
          </w:pPr>
          <w:r>
            <w:t>Bibliography</w:t>
          </w:r>
        </w:p>
        <w:sdt>
          <w:sdtPr>
            <w:id w:val="111145805"/>
            <w:bibliography/>
          </w:sdtPr>
          <w:sdtEndPr>
            <w:rPr>
              <w:rFonts w:ascii="Times New Roman" w:eastAsia="Times New Roman" w:hAnsi="Times New Roman" w:cs="Times New Roman"/>
              <w:kern w:val="0"/>
              <w:sz w:val="20"/>
              <w:szCs w:val="20"/>
              <w:lang w:eastAsia="en-GB"/>
              <w14:ligatures w14:val="none"/>
            </w:rPr>
          </w:sdtEndPr>
          <w:sdtContent>
            <w:p w14:paraId="1891EEA3" w14:textId="220FC3C8" w:rsidR="00BC04E3" w:rsidRPr="00BC04E3" w:rsidRDefault="00BC04E3" w:rsidP="00BC04E3">
              <w:pPr>
                <w:pStyle w:val="ListParagraph"/>
                <w:numPr>
                  <w:ilvl w:val="0"/>
                  <w:numId w:val="1"/>
                </w:numPr>
                <w:rPr>
                  <w:b/>
                  <w:bCs/>
                  <w:noProof/>
                </w:rPr>
              </w:pPr>
              <w:r>
                <w:t xml:space="preserve">Ann M.E. </w:t>
              </w:r>
              <w:proofErr w:type="spellStart"/>
              <w:r>
                <w:t>Haentjens</w:t>
              </w:r>
              <w:proofErr w:type="spellEnd"/>
              <w:r>
                <w:t>, ‘Ritual Shoes in Early Greek Female Graves’</w:t>
              </w:r>
              <w:r w:rsidRPr="006F7641">
                <w:rPr>
                  <w:i/>
                  <w:iCs/>
                </w:rPr>
                <w:t xml:space="preserve">, </w:t>
              </w:r>
              <w:proofErr w:type="spellStart"/>
              <w:r w:rsidRPr="006F7641">
                <w:rPr>
                  <w:i/>
                  <w:iCs/>
                </w:rPr>
                <w:t>L'Antiquité</w:t>
              </w:r>
              <w:proofErr w:type="spellEnd"/>
              <w:r w:rsidRPr="006F7641">
                <w:rPr>
                  <w:i/>
                  <w:iCs/>
                </w:rPr>
                <w:t xml:space="preserve"> Classiqu</w:t>
              </w:r>
              <w:r>
                <w:rPr>
                  <w:i/>
                  <w:iCs/>
                </w:rPr>
                <w:t>e</w:t>
              </w:r>
              <w:r>
                <w:t>, T. 71 (2002) pp. 171 – 184</w:t>
              </w:r>
              <w:r>
                <w:t>.</w:t>
              </w:r>
            </w:p>
            <w:p w14:paraId="31375592" w14:textId="7294240B" w:rsidR="00BC04E3" w:rsidRPr="00BC04E3" w:rsidRDefault="00BC04E3" w:rsidP="00BC04E3">
              <w:pPr>
                <w:pStyle w:val="ListParagraph"/>
                <w:numPr>
                  <w:ilvl w:val="0"/>
                  <w:numId w:val="1"/>
                </w:numPr>
                <w:rPr>
                  <w:b/>
                  <w:bCs/>
                  <w:noProof/>
                </w:rPr>
              </w:pPr>
              <w:r>
                <w:t xml:space="preserve">Mathew Lloyd, ‘Death of a Swordsman, Death of a Sword: The Killing of Swords in the Early Iron Age Aegean (CA. 1050 to CA. 690 B.C.E)’, </w:t>
              </w:r>
              <w:r>
                <w:rPr>
                  <w:i/>
                  <w:iCs/>
                </w:rPr>
                <w:t>Ancient Warfare: Introducing Current Research</w:t>
              </w:r>
              <w:r>
                <w:t>, 1:2 (2015) pp. 14-32</w:t>
              </w:r>
              <w:r>
                <w:t>.</w:t>
              </w:r>
            </w:p>
            <w:p w14:paraId="4A93636F" w14:textId="7A18BF3C" w:rsidR="00BC04E3" w:rsidRPr="00BC04E3" w:rsidRDefault="00BC04E3" w:rsidP="00BC04E3">
              <w:pPr>
                <w:pStyle w:val="ListParagraph"/>
                <w:numPr>
                  <w:ilvl w:val="0"/>
                  <w:numId w:val="1"/>
                </w:numPr>
                <w:rPr>
                  <w:b/>
                  <w:bCs/>
                  <w:noProof/>
                </w:rPr>
              </w:pPr>
              <w:r>
                <w:t xml:space="preserve">J. N. Coldstream, </w:t>
              </w:r>
              <w:r>
                <w:rPr>
                  <w:i/>
                  <w:iCs/>
                </w:rPr>
                <w:t xml:space="preserve">Geometric </w:t>
              </w:r>
              <w:proofErr w:type="gramStart"/>
              <w:r>
                <w:rPr>
                  <w:i/>
                  <w:iCs/>
                </w:rPr>
                <w:t>Greece :</w:t>
              </w:r>
              <w:proofErr w:type="gramEnd"/>
              <w:r>
                <w:rPr>
                  <w:i/>
                  <w:iCs/>
                </w:rPr>
                <w:t xml:space="preserve"> 900-700 BC</w:t>
              </w:r>
              <w:r>
                <w:t>, 2</w:t>
              </w:r>
              <w:r w:rsidRPr="00942C2F">
                <w:rPr>
                  <w:vertAlign w:val="superscript"/>
                </w:rPr>
                <w:t>nd</w:t>
              </w:r>
              <w:r>
                <w:t xml:space="preserve"> </w:t>
              </w:r>
              <w:proofErr w:type="spellStart"/>
              <w:r>
                <w:t>edn</w:t>
              </w:r>
              <w:proofErr w:type="spellEnd"/>
              <w:r>
                <w:t>. (Routledge: 2003)</w:t>
              </w:r>
              <w:r>
                <w:t>.</w:t>
              </w:r>
            </w:p>
            <w:p w14:paraId="281A104F" w14:textId="491A7F49" w:rsidR="00BC04E3" w:rsidRDefault="00BC04E3"/>
          </w:sdtContent>
        </w:sdt>
      </w:sdtContent>
    </w:sdt>
    <w:p w14:paraId="6EA038E1" w14:textId="2F88BC00" w:rsidR="00BC04E3" w:rsidRPr="001D39DA" w:rsidRDefault="00BC04E3" w:rsidP="00356200">
      <w:pPr>
        <w:ind w:firstLine="720"/>
        <w:rPr>
          <w:rFonts w:ascii="Calibri" w:hAnsi="Calibri" w:cs="Calibri"/>
          <w:sz w:val="24"/>
          <w:szCs w:val="24"/>
        </w:rPr>
      </w:pPr>
    </w:p>
    <w:sectPr w:rsidR="00BC04E3" w:rsidRPr="001D39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3DA9DB" w14:textId="77777777" w:rsidR="009C768E" w:rsidRDefault="009C768E" w:rsidP="00875E72">
      <w:r>
        <w:separator/>
      </w:r>
    </w:p>
  </w:endnote>
  <w:endnote w:type="continuationSeparator" w:id="0">
    <w:p w14:paraId="38A31D7B" w14:textId="77777777" w:rsidR="009C768E" w:rsidRDefault="009C768E" w:rsidP="00875E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ABB836" w14:textId="77777777" w:rsidR="009C768E" w:rsidRDefault="009C768E" w:rsidP="00875E72">
      <w:r>
        <w:separator/>
      </w:r>
    </w:p>
  </w:footnote>
  <w:footnote w:type="continuationSeparator" w:id="0">
    <w:p w14:paraId="2FC79D41" w14:textId="77777777" w:rsidR="009C768E" w:rsidRDefault="009C768E" w:rsidP="00875E72">
      <w:r>
        <w:continuationSeparator/>
      </w:r>
    </w:p>
  </w:footnote>
  <w:footnote w:id="1">
    <w:p w14:paraId="75BBC13A" w14:textId="518179F9" w:rsidR="00875E72" w:rsidRPr="003751A0" w:rsidRDefault="00875E72">
      <w:pPr>
        <w:pStyle w:val="FootnoteText"/>
      </w:pPr>
      <w:r>
        <w:rPr>
          <w:rStyle w:val="FootnoteReference"/>
        </w:rPr>
        <w:footnoteRef/>
      </w:r>
      <w:r>
        <w:t xml:space="preserve"> </w:t>
      </w:r>
      <w:r w:rsidR="003751A0">
        <w:t xml:space="preserve">Mathew Lloyd, ‘Death of a Swordsman, Death of a Sword: The Killing of Swords in the Early Iron Age Aegean (CA. 1050 to CA. 690 B.C.E)’, </w:t>
      </w:r>
      <w:r w:rsidR="003751A0">
        <w:rPr>
          <w:i/>
          <w:iCs/>
        </w:rPr>
        <w:t>Ancient Warfare: Introducing Current Research</w:t>
      </w:r>
      <w:r w:rsidR="003751A0">
        <w:t>, 1:2 (2015) pp. 14-32, p. 14.</w:t>
      </w:r>
    </w:p>
  </w:footnote>
  <w:footnote w:id="2">
    <w:p w14:paraId="50C62243" w14:textId="15A3BEE6" w:rsidR="006F7641" w:rsidRPr="006F7641" w:rsidRDefault="006F7641">
      <w:pPr>
        <w:pStyle w:val="FootnoteText"/>
      </w:pPr>
      <w:r>
        <w:rPr>
          <w:rStyle w:val="FootnoteReference"/>
        </w:rPr>
        <w:footnoteRef/>
      </w:r>
      <w:r>
        <w:t xml:space="preserve"> Ann M.E. </w:t>
      </w:r>
      <w:proofErr w:type="spellStart"/>
      <w:r>
        <w:t>Haentjens</w:t>
      </w:r>
      <w:proofErr w:type="spellEnd"/>
      <w:r>
        <w:t>, ‘Ritual Shoes in Early Greek Female Graves’</w:t>
      </w:r>
      <w:r w:rsidRPr="006F7641">
        <w:rPr>
          <w:i/>
          <w:iCs/>
        </w:rPr>
        <w:t xml:space="preserve">, </w:t>
      </w:r>
      <w:proofErr w:type="spellStart"/>
      <w:r w:rsidRPr="006F7641">
        <w:rPr>
          <w:i/>
          <w:iCs/>
        </w:rPr>
        <w:t>L'Antiquité</w:t>
      </w:r>
      <w:proofErr w:type="spellEnd"/>
      <w:r w:rsidRPr="006F7641">
        <w:rPr>
          <w:i/>
          <w:iCs/>
        </w:rPr>
        <w:t xml:space="preserve"> Classiqu</w:t>
      </w:r>
      <w:r>
        <w:rPr>
          <w:i/>
          <w:iCs/>
        </w:rPr>
        <w:t>e</w:t>
      </w:r>
      <w:r>
        <w:t>, T. 71 (2002) pp. 171 – 184, p. 171.</w:t>
      </w:r>
    </w:p>
  </w:footnote>
  <w:footnote w:id="3">
    <w:p w14:paraId="57230054" w14:textId="4B8A36B1" w:rsidR="00942C2F" w:rsidRPr="00942C2F" w:rsidRDefault="00942C2F">
      <w:pPr>
        <w:pStyle w:val="FootnoteText"/>
      </w:pPr>
      <w:r>
        <w:rPr>
          <w:rStyle w:val="FootnoteReference"/>
        </w:rPr>
        <w:footnoteRef/>
      </w:r>
      <w:r>
        <w:t xml:space="preserve"> J. N. Coldstream, </w:t>
      </w:r>
      <w:r>
        <w:rPr>
          <w:i/>
          <w:iCs/>
        </w:rPr>
        <w:t xml:space="preserve">Geometric </w:t>
      </w:r>
      <w:proofErr w:type="gramStart"/>
      <w:r>
        <w:rPr>
          <w:i/>
          <w:iCs/>
        </w:rPr>
        <w:t>Greece :</w:t>
      </w:r>
      <w:proofErr w:type="gramEnd"/>
      <w:r>
        <w:rPr>
          <w:i/>
          <w:iCs/>
        </w:rPr>
        <w:t xml:space="preserve"> 900-700 BC</w:t>
      </w:r>
      <w:r>
        <w:t>, 2</w:t>
      </w:r>
      <w:r w:rsidRPr="00942C2F">
        <w:rPr>
          <w:vertAlign w:val="superscript"/>
        </w:rPr>
        <w:t>nd</w:t>
      </w:r>
      <w:r>
        <w:t xml:space="preserve"> </w:t>
      </w:r>
      <w:proofErr w:type="spellStart"/>
      <w:r>
        <w:t>edn</w:t>
      </w:r>
      <w:proofErr w:type="spellEnd"/>
      <w:r>
        <w:t>. (Routledge: 200</w:t>
      </w:r>
      <w:r w:rsidR="007D37F2">
        <w:t>3) p. 7.</w:t>
      </w:r>
    </w:p>
  </w:footnote>
  <w:footnote w:id="4">
    <w:p w14:paraId="61EF52D8" w14:textId="71075719" w:rsidR="00901606" w:rsidRPr="00901606" w:rsidRDefault="00901606">
      <w:pPr>
        <w:pStyle w:val="FootnoteText"/>
      </w:pPr>
      <w:r>
        <w:rPr>
          <w:rStyle w:val="FootnoteReference"/>
        </w:rPr>
        <w:footnoteRef/>
      </w:r>
      <w:r>
        <w:t xml:space="preserve"> The Metropolitan Museum of Art, </w:t>
      </w:r>
      <w:r>
        <w:rPr>
          <w:i/>
          <w:iCs/>
        </w:rPr>
        <w:t>Death Burial and the Afterlife in Ancient Greece</w:t>
      </w:r>
      <w:r>
        <w:t xml:space="preserve"> (2003) </w:t>
      </w:r>
      <w:hyperlink r:id="rId1" w:history="1">
        <w:r w:rsidRPr="00B41395">
          <w:rPr>
            <w:rStyle w:val="Hyperlink"/>
          </w:rPr>
          <w:t>https://www.metmuseum.org/toah/hd/dbag/hd_dbag.htm</w:t>
        </w:r>
      </w:hyperlink>
      <w:r>
        <w:t xml:space="preserve"> </w:t>
      </w:r>
      <w:r w:rsidR="00911EC7">
        <w:t>[accessed 13th March 2024].</w:t>
      </w:r>
    </w:p>
  </w:footnote>
  <w:footnote w:id="5">
    <w:p w14:paraId="25221161" w14:textId="64C3902D" w:rsidR="008B70F5" w:rsidRDefault="008B70F5">
      <w:pPr>
        <w:pStyle w:val="FootnoteText"/>
      </w:pPr>
      <w:r>
        <w:rPr>
          <w:rStyle w:val="FootnoteReference"/>
        </w:rPr>
        <w:footnoteRef/>
      </w:r>
      <w:r>
        <w:t xml:space="preserve"> </w:t>
      </w:r>
      <w:proofErr w:type="spellStart"/>
      <w:r w:rsidR="00DF0721">
        <w:t>Haentjens</w:t>
      </w:r>
      <w:proofErr w:type="spellEnd"/>
      <w:r w:rsidR="00DF0721">
        <w:t xml:space="preserve">, ‘Ritual Shoes in Early Greek Female Graves’, </w:t>
      </w:r>
      <w:r>
        <w:t>p. 171</w:t>
      </w:r>
      <w:r>
        <w:t xml:space="preserve"> – 173.</w:t>
      </w:r>
    </w:p>
  </w:footnote>
  <w:footnote w:id="6">
    <w:p w14:paraId="3C1BF3FD" w14:textId="4593C641" w:rsidR="007072B1" w:rsidRDefault="007072B1">
      <w:pPr>
        <w:pStyle w:val="FootnoteText"/>
      </w:pPr>
      <w:r>
        <w:rPr>
          <w:rStyle w:val="FootnoteReference"/>
        </w:rPr>
        <w:footnoteRef/>
      </w:r>
      <w:r>
        <w:t xml:space="preserve"> </w:t>
      </w:r>
      <w:proofErr w:type="spellStart"/>
      <w:r w:rsidR="00DF0721" w:rsidRPr="00DF0721">
        <w:t>Haentjens</w:t>
      </w:r>
      <w:proofErr w:type="spellEnd"/>
      <w:r w:rsidR="00DF0721" w:rsidRPr="00DF0721">
        <w:t xml:space="preserve">, ‘Ritual Shoes in Early Greek Female Graves’, </w:t>
      </w:r>
      <w:r>
        <w:t xml:space="preserve">p. </w:t>
      </w:r>
      <w:r>
        <w:t>173 – 174.</w:t>
      </w:r>
    </w:p>
  </w:footnote>
  <w:footnote w:id="7">
    <w:p w14:paraId="530B3A52" w14:textId="4BCBC682" w:rsidR="00FF52DE" w:rsidRDefault="00FF52DE">
      <w:pPr>
        <w:pStyle w:val="FootnoteText"/>
      </w:pPr>
      <w:r>
        <w:rPr>
          <w:rStyle w:val="FootnoteReference"/>
        </w:rPr>
        <w:footnoteRef/>
      </w:r>
      <w:r>
        <w:t xml:space="preserve"> </w:t>
      </w:r>
      <w:proofErr w:type="spellStart"/>
      <w:r w:rsidR="00DF0721">
        <w:t>Haentjens</w:t>
      </w:r>
      <w:proofErr w:type="spellEnd"/>
      <w:r w:rsidR="00DF0721">
        <w:t xml:space="preserve">, ‘Ritual Shoes in Early Greek Female Graves’, </w:t>
      </w:r>
      <w:r>
        <w:t>p. 1</w:t>
      </w:r>
      <w:r>
        <w:t>79.</w:t>
      </w:r>
    </w:p>
  </w:footnote>
  <w:footnote w:id="8">
    <w:p w14:paraId="078B9019" w14:textId="17EB8641" w:rsidR="001D39DA" w:rsidRDefault="001D39DA">
      <w:pPr>
        <w:pStyle w:val="FootnoteText"/>
      </w:pPr>
      <w:r>
        <w:rPr>
          <w:rStyle w:val="FootnoteReference"/>
        </w:rPr>
        <w:footnoteRef/>
      </w:r>
      <w:r>
        <w:t xml:space="preserve"> </w:t>
      </w:r>
      <w:proofErr w:type="spellStart"/>
      <w:r>
        <w:t>Haentjens</w:t>
      </w:r>
      <w:proofErr w:type="spellEnd"/>
      <w:r>
        <w:t>, ‘Ritual Shoes in Early Greek Female Graves’</w:t>
      </w:r>
      <w:r w:rsidR="00DF0721">
        <w:t>,</w:t>
      </w:r>
      <w:r>
        <w:t xml:space="preserve"> p. 1</w:t>
      </w:r>
      <w:r>
        <w:t>81.</w:t>
      </w:r>
    </w:p>
  </w:footnote>
  <w:footnote w:id="9">
    <w:p w14:paraId="1418AABB" w14:textId="73F9EDEB" w:rsidR="00DF0721" w:rsidRDefault="00DF0721">
      <w:pPr>
        <w:pStyle w:val="FootnoteText"/>
      </w:pPr>
      <w:r>
        <w:rPr>
          <w:rStyle w:val="FootnoteReference"/>
        </w:rPr>
        <w:footnoteRef/>
      </w:r>
      <w:r>
        <w:t xml:space="preserve"> </w:t>
      </w:r>
      <w:r>
        <w:t>Lloyd, ‘Death of a Swordsman, Death of a Sword: The Killing of Swords in the Early Iron Age Aegean (CA. 1050 to CA. 690 B.C.E)’, p. 1</w:t>
      </w:r>
      <w:r>
        <w:t>6.</w:t>
      </w:r>
    </w:p>
  </w:footnote>
  <w:footnote w:id="10">
    <w:p w14:paraId="145728C2" w14:textId="4F136B29" w:rsidR="0074519B" w:rsidRDefault="0074519B">
      <w:pPr>
        <w:pStyle w:val="FootnoteText"/>
      </w:pPr>
      <w:r>
        <w:rPr>
          <w:rStyle w:val="FootnoteReference"/>
        </w:rPr>
        <w:footnoteRef/>
      </w:r>
      <w:r>
        <w:t xml:space="preserve"> </w:t>
      </w:r>
      <w:r>
        <w:t>Lloyd, ‘Death of a Swordsman, Death of a Sword: The Killing of Swords in the Early Iron Age Aegean (CA. 1050 to CA. 690 B.C.E)’, p. 1</w:t>
      </w:r>
      <w:r>
        <w:t>9.</w:t>
      </w:r>
    </w:p>
  </w:footnote>
  <w:footnote w:id="11">
    <w:p w14:paraId="68D0827B" w14:textId="2E48FA97" w:rsidR="0074519B" w:rsidRDefault="0074519B">
      <w:pPr>
        <w:pStyle w:val="FootnoteText"/>
      </w:pPr>
      <w:r>
        <w:rPr>
          <w:rStyle w:val="FootnoteReference"/>
        </w:rPr>
        <w:footnoteRef/>
      </w:r>
      <w:r>
        <w:t xml:space="preserve"> </w:t>
      </w:r>
      <w:r>
        <w:t xml:space="preserve">Lloyd, ‘Death of a Swordsman, Death of a Sword: The Killing of Swords in the Early Iron Age Aegean (CA. 1050 to CA. 690 B.C.E)’, p. </w:t>
      </w:r>
      <w:r>
        <w:t>22.</w:t>
      </w:r>
    </w:p>
  </w:footnote>
  <w:footnote w:id="12">
    <w:p w14:paraId="5CD473E0" w14:textId="00897C47" w:rsidR="0074519B" w:rsidRDefault="0074519B">
      <w:pPr>
        <w:pStyle w:val="FootnoteText"/>
      </w:pPr>
      <w:r>
        <w:rPr>
          <w:rStyle w:val="FootnoteReference"/>
        </w:rPr>
        <w:footnoteRef/>
      </w:r>
      <w:r>
        <w:t xml:space="preserve"> Ibid.</w:t>
      </w:r>
    </w:p>
  </w:footnote>
  <w:footnote w:id="13">
    <w:p w14:paraId="4E29286A" w14:textId="322B165F" w:rsidR="00BC04E3" w:rsidRDefault="00BC04E3">
      <w:pPr>
        <w:pStyle w:val="FootnoteText"/>
      </w:pPr>
      <w:r>
        <w:rPr>
          <w:rStyle w:val="FootnoteReference"/>
        </w:rPr>
        <w:footnoteRef/>
      </w:r>
      <w:r>
        <w:t xml:space="preserve"> </w:t>
      </w:r>
      <w:r>
        <w:t xml:space="preserve">Lloyd, ‘Death of a Swordsman, Death of a Sword: The Killing of Swords in the Early Iron Age Aegean (CA. 1050 to CA. 690 B.C.E)’, p. </w:t>
      </w:r>
      <w:r>
        <w:t>23.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167019"/>
    <w:multiLevelType w:val="hybridMultilevel"/>
    <w:tmpl w:val="D0AC0118"/>
    <w:lvl w:ilvl="0" w:tplc="44A8711C">
      <w:start w:val="10"/>
      <w:numFmt w:val="bullet"/>
      <w:lvlText w:val="-"/>
      <w:lvlJc w:val="left"/>
      <w:pPr>
        <w:ind w:left="720" w:hanging="360"/>
      </w:pPr>
      <w:rPr>
        <w:rFonts w:ascii="Times New Roman" w:eastAsia="Times New Roman" w:hAnsi="Times New Roman" w:cs="Times New Roman"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24834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291"/>
    <w:rsid w:val="000022D2"/>
    <w:rsid w:val="00015F82"/>
    <w:rsid w:val="001D2D32"/>
    <w:rsid w:val="001D39DA"/>
    <w:rsid w:val="002A6202"/>
    <w:rsid w:val="00356200"/>
    <w:rsid w:val="003751A0"/>
    <w:rsid w:val="003D1013"/>
    <w:rsid w:val="003E7FA8"/>
    <w:rsid w:val="003F4291"/>
    <w:rsid w:val="00427FA5"/>
    <w:rsid w:val="00492BD5"/>
    <w:rsid w:val="00581CC8"/>
    <w:rsid w:val="005835C2"/>
    <w:rsid w:val="006D2D13"/>
    <w:rsid w:val="006F7641"/>
    <w:rsid w:val="007072B1"/>
    <w:rsid w:val="007271BC"/>
    <w:rsid w:val="0074519B"/>
    <w:rsid w:val="007D37F2"/>
    <w:rsid w:val="007D695A"/>
    <w:rsid w:val="0087258C"/>
    <w:rsid w:val="00875E72"/>
    <w:rsid w:val="008B70F5"/>
    <w:rsid w:val="0090028B"/>
    <w:rsid w:val="00901606"/>
    <w:rsid w:val="00906955"/>
    <w:rsid w:val="00911EC7"/>
    <w:rsid w:val="00942C2F"/>
    <w:rsid w:val="009C768E"/>
    <w:rsid w:val="00BC04E3"/>
    <w:rsid w:val="00DF0721"/>
    <w:rsid w:val="00E44F4A"/>
    <w:rsid w:val="00E80298"/>
    <w:rsid w:val="00EC67AA"/>
    <w:rsid w:val="00F221C8"/>
    <w:rsid w:val="00FF52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931C1C"/>
  <w15:chartTrackingRefBased/>
  <w15:docId w15:val="{1268E19A-F167-AA4C-A50B-C0EBB7E65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7FA5"/>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3F4291"/>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3F4291"/>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3F4291"/>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3F4291"/>
    <w:pPr>
      <w:keepNext/>
      <w:keepLines/>
      <w:spacing w:before="80" w:after="40"/>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3F4291"/>
    <w:pPr>
      <w:keepNext/>
      <w:keepLines/>
      <w:spacing w:before="80" w:after="40"/>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3F4291"/>
    <w:pPr>
      <w:keepNext/>
      <w:keepLines/>
      <w:spacing w:before="40"/>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3F4291"/>
    <w:pPr>
      <w:keepNext/>
      <w:keepLines/>
      <w:spacing w:before="40"/>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3F4291"/>
    <w:pPr>
      <w:keepNext/>
      <w:keepLines/>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3F4291"/>
    <w:pPr>
      <w:keepNext/>
      <w:keepLines/>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42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42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42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42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42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42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42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42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4291"/>
    <w:rPr>
      <w:rFonts w:eastAsiaTheme="majorEastAsia" w:cstheme="majorBidi"/>
      <w:color w:val="272727" w:themeColor="text1" w:themeTint="D8"/>
    </w:rPr>
  </w:style>
  <w:style w:type="paragraph" w:styleId="Title">
    <w:name w:val="Title"/>
    <w:basedOn w:val="Normal"/>
    <w:next w:val="Normal"/>
    <w:link w:val="TitleChar"/>
    <w:uiPriority w:val="10"/>
    <w:qFormat/>
    <w:rsid w:val="003F4291"/>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3F42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4291"/>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3F42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4291"/>
    <w:pPr>
      <w:spacing w:before="160" w:after="160"/>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3F4291"/>
    <w:rPr>
      <w:i/>
      <w:iCs/>
      <w:color w:val="404040" w:themeColor="text1" w:themeTint="BF"/>
    </w:rPr>
  </w:style>
  <w:style w:type="paragraph" w:styleId="ListParagraph">
    <w:name w:val="List Paragraph"/>
    <w:basedOn w:val="Normal"/>
    <w:uiPriority w:val="34"/>
    <w:qFormat/>
    <w:rsid w:val="003F4291"/>
    <w:pPr>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3F4291"/>
    <w:rPr>
      <w:i/>
      <w:iCs/>
      <w:color w:val="0F4761" w:themeColor="accent1" w:themeShade="BF"/>
    </w:rPr>
  </w:style>
  <w:style w:type="paragraph" w:styleId="IntenseQuote">
    <w:name w:val="Intense Quote"/>
    <w:basedOn w:val="Normal"/>
    <w:next w:val="Normal"/>
    <w:link w:val="IntenseQuoteChar"/>
    <w:uiPriority w:val="30"/>
    <w:qFormat/>
    <w:rsid w:val="003F4291"/>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3F4291"/>
    <w:rPr>
      <w:i/>
      <w:iCs/>
      <w:color w:val="0F4761" w:themeColor="accent1" w:themeShade="BF"/>
    </w:rPr>
  </w:style>
  <w:style w:type="character" w:styleId="IntenseReference">
    <w:name w:val="Intense Reference"/>
    <w:basedOn w:val="DefaultParagraphFont"/>
    <w:uiPriority w:val="32"/>
    <w:qFormat/>
    <w:rsid w:val="003F4291"/>
    <w:rPr>
      <w:b/>
      <w:bCs/>
      <w:smallCaps/>
      <w:color w:val="0F4761" w:themeColor="accent1" w:themeShade="BF"/>
      <w:spacing w:val="5"/>
    </w:rPr>
  </w:style>
  <w:style w:type="paragraph" w:styleId="FootnoteText">
    <w:name w:val="footnote text"/>
    <w:basedOn w:val="Normal"/>
    <w:link w:val="FootnoteTextChar"/>
    <w:uiPriority w:val="99"/>
    <w:semiHidden/>
    <w:unhideWhenUsed/>
    <w:rsid w:val="00875E72"/>
  </w:style>
  <w:style w:type="character" w:customStyle="1" w:styleId="FootnoteTextChar">
    <w:name w:val="Footnote Text Char"/>
    <w:basedOn w:val="DefaultParagraphFont"/>
    <w:link w:val="FootnoteText"/>
    <w:uiPriority w:val="99"/>
    <w:semiHidden/>
    <w:rsid w:val="00875E72"/>
    <w:rPr>
      <w:rFonts w:ascii="Times New Roman" w:eastAsia="Times New Roman" w:hAnsi="Times New Roman" w:cs="Times New Roman"/>
      <w:kern w:val="0"/>
      <w:sz w:val="20"/>
      <w:szCs w:val="20"/>
      <w:lang w:eastAsia="en-GB"/>
      <w14:ligatures w14:val="none"/>
    </w:rPr>
  </w:style>
  <w:style w:type="character" w:styleId="FootnoteReference">
    <w:name w:val="footnote reference"/>
    <w:basedOn w:val="DefaultParagraphFont"/>
    <w:uiPriority w:val="99"/>
    <w:semiHidden/>
    <w:unhideWhenUsed/>
    <w:rsid w:val="00875E72"/>
    <w:rPr>
      <w:vertAlign w:val="superscript"/>
    </w:rPr>
  </w:style>
  <w:style w:type="character" w:styleId="Hyperlink">
    <w:name w:val="Hyperlink"/>
    <w:basedOn w:val="DefaultParagraphFont"/>
    <w:uiPriority w:val="99"/>
    <w:unhideWhenUsed/>
    <w:rsid w:val="00901606"/>
    <w:rPr>
      <w:color w:val="467886" w:themeColor="hyperlink"/>
      <w:u w:val="single"/>
    </w:rPr>
  </w:style>
  <w:style w:type="character" w:styleId="UnresolvedMention">
    <w:name w:val="Unresolved Mention"/>
    <w:basedOn w:val="DefaultParagraphFont"/>
    <w:uiPriority w:val="99"/>
    <w:semiHidden/>
    <w:unhideWhenUsed/>
    <w:rsid w:val="009016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metmuseum.org/toah/hd/dbag/hd_dbag.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B03D2E-83AA-1848-A582-8CCB8ED8B3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263</TotalTime>
  <Pages>4</Pages>
  <Words>1674</Words>
  <Characters>9548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Caradoc Ewing (2305893)</dc:creator>
  <cp:keywords/>
  <dc:description/>
  <cp:lastModifiedBy>Caradoc Ewing (2305893)</cp:lastModifiedBy>
  <cp:revision>1</cp:revision>
  <dcterms:created xsi:type="dcterms:W3CDTF">2024-03-04T14:07:00Z</dcterms:created>
  <dcterms:modified xsi:type="dcterms:W3CDTF">2024-03-13T23:54:00Z</dcterms:modified>
</cp:coreProperties>
</file>