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3B5BE" w14:textId="77777777" w:rsidR="001D606C" w:rsidRDefault="001D606C" w:rsidP="001D606C">
      <w:pPr>
        <w:jc w:val="center"/>
        <w:rPr>
          <w:b/>
          <w:u w:val="single"/>
        </w:rPr>
      </w:pPr>
      <w:r>
        <w:rPr>
          <w:b/>
          <w:u w:val="single"/>
        </w:rPr>
        <w:t>How does the presentation of Persian women support Herodotus’ overall presentation of Persia?</w:t>
      </w:r>
    </w:p>
    <w:p w14:paraId="62BE7E48" w14:textId="07E8E7B5" w:rsidR="00C0562D" w:rsidRDefault="0076739D" w:rsidP="00EB7958">
      <w:pPr>
        <w:spacing w:line="480" w:lineRule="auto"/>
      </w:pPr>
      <w:r>
        <w:t xml:space="preserve">Throughout the </w:t>
      </w:r>
      <w:r>
        <w:rPr>
          <w:i/>
        </w:rPr>
        <w:t xml:space="preserve">Histories </w:t>
      </w:r>
      <w:r>
        <w:t>Herodotus presents Persia through its contrast with Greek culture.</w:t>
      </w:r>
      <w:r w:rsidR="001118B7">
        <w:rPr>
          <w:rStyle w:val="FootnoteReference"/>
        </w:rPr>
        <w:footnoteReference w:id="1"/>
      </w:r>
      <w:r>
        <w:t xml:space="preserve">  </w:t>
      </w:r>
      <w:r w:rsidR="00C0562D">
        <w:t xml:space="preserve">Flower and </w:t>
      </w:r>
      <w:proofErr w:type="spellStart"/>
      <w:r w:rsidR="00C0562D">
        <w:t>Marincola</w:t>
      </w:r>
      <w:proofErr w:type="spellEnd"/>
      <w:r w:rsidR="00C0562D">
        <w:t xml:space="preserve"> argue that there is a dichotomy between the Greeks and Persians which resolves by the end of Book 9.</w:t>
      </w:r>
      <w:r w:rsidR="001118B7">
        <w:rPr>
          <w:rStyle w:val="FootnoteReference"/>
        </w:rPr>
        <w:footnoteReference w:id="2"/>
      </w:r>
      <w:r w:rsidR="00C0562D">
        <w:t xml:space="preserve">  Cartledge and Greenwood have argued that this ‘polarisation’ is to make Herodotus appear more credible,</w:t>
      </w:r>
      <w:r w:rsidR="001118B7">
        <w:rPr>
          <w:rStyle w:val="FootnoteReference"/>
        </w:rPr>
        <w:footnoteReference w:id="3"/>
      </w:r>
      <w:r w:rsidR="00C0562D">
        <w:t xml:space="preserve"> although an alternative suggestion by Munson is that it makes the eventual cross-cultural similarities more incredible.</w:t>
      </w:r>
      <w:r w:rsidR="001118B7">
        <w:rPr>
          <w:rStyle w:val="FootnoteReference"/>
        </w:rPr>
        <w:footnoteReference w:id="4"/>
      </w:r>
      <w:r w:rsidR="008545F9">
        <w:t xml:space="preserve">  The Persians are continually portrayed as an overall powerful nation that is </w:t>
      </w:r>
      <w:r w:rsidR="00870AC5">
        <w:t>continuously expanding, but whose values</w:t>
      </w:r>
      <w:r w:rsidR="00556C01">
        <w:t>,</w:t>
      </w:r>
      <w:r w:rsidR="00870AC5">
        <w:t xml:space="preserve"> although often contrary to those of the Greeks</w:t>
      </w:r>
      <w:r w:rsidR="00556C01">
        <w:t>,</w:t>
      </w:r>
      <w:r w:rsidR="00870AC5">
        <w:t xml:space="preserve"> </w:t>
      </w:r>
      <w:r w:rsidR="00D54C55">
        <w:t>can sometimes dovetail together,</w:t>
      </w:r>
      <w:r w:rsidR="001C3AE5">
        <w:rPr>
          <w:rStyle w:val="FootnoteReference"/>
        </w:rPr>
        <w:footnoteReference w:id="5"/>
      </w:r>
      <w:r w:rsidR="00870AC5">
        <w:t xml:space="preserve"> </w:t>
      </w:r>
      <w:r w:rsidR="00D54C55">
        <w:t xml:space="preserve">as </w:t>
      </w:r>
      <w:r w:rsidR="00870AC5">
        <w:t xml:space="preserve">seen </w:t>
      </w:r>
      <w:r w:rsidR="00D54C55">
        <w:t>in their</w:t>
      </w:r>
      <w:r w:rsidR="00870AC5">
        <w:t xml:space="preserve"> value </w:t>
      </w:r>
      <w:r w:rsidR="00D54C55">
        <w:t xml:space="preserve">for </w:t>
      </w:r>
      <w:r w:rsidR="00870AC5">
        <w:t>freedom.</w:t>
      </w:r>
      <w:r w:rsidR="001C3AE5">
        <w:rPr>
          <w:rStyle w:val="FootnoteReference"/>
        </w:rPr>
        <w:footnoteReference w:id="6"/>
      </w:r>
      <w:r w:rsidR="008E3CAC">
        <w:t xml:space="preserve">  </w:t>
      </w:r>
      <w:r w:rsidR="007671C0">
        <w:t xml:space="preserve">Herodotus’ main </w:t>
      </w:r>
      <w:r w:rsidR="0077148B">
        <w:t>portrayal</w:t>
      </w:r>
      <w:r w:rsidR="007671C0">
        <w:t xml:space="preserve"> of Persia is </w:t>
      </w:r>
      <w:r w:rsidR="0077148B">
        <w:t>centred</w:t>
      </w:r>
      <w:r w:rsidR="007671C0">
        <w:t xml:space="preserve"> </w:t>
      </w:r>
      <w:r w:rsidR="009D4882">
        <w:t>on</w:t>
      </w:r>
      <w:r w:rsidR="007671C0">
        <w:t xml:space="preserve"> their social and religious customs,</w:t>
      </w:r>
      <w:r w:rsidR="007671C0">
        <w:rPr>
          <w:rStyle w:val="FootnoteReference"/>
        </w:rPr>
        <w:footnoteReference w:id="7"/>
      </w:r>
      <w:r w:rsidR="007671C0">
        <w:t xml:space="preserve"> </w:t>
      </w:r>
      <w:r w:rsidR="00F50470">
        <w:t>b</w:t>
      </w:r>
      <w:r w:rsidR="00B07E21">
        <w:t>ut mainly their power</w:t>
      </w:r>
      <w:r w:rsidR="00F50470">
        <w:t xml:space="preserve"> as an empire</w:t>
      </w:r>
      <w:r w:rsidR="0077148B">
        <w:t xml:space="preserve"> from the lands they control,</w:t>
      </w:r>
      <w:r w:rsidR="009D4882">
        <w:rPr>
          <w:rStyle w:val="FootnoteReference"/>
        </w:rPr>
        <w:footnoteReference w:id="8"/>
      </w:r>
      <w:r w:rsidR="0077148B">
        <w:t xml:space="preserve"> to their origin,</w:t>
      </w:r>
      <w:r w:rsidR="009D4882">
        <w:rPr>
          <w:rStyle w:val="FootnoteReference"/>
        </w:rPr>
        <w:footnoteReference w:id="9"/>
      </w:r>
      <w:r w:rsidR="0077148B">
        <w:t xml:space="preserve"> and their state structure.</w:t>
      </w:r>
      <w:r w:rsidR="009D4882">
        <w:rPr>
          <w:rStyle w:val="FootnoteReference"/>
        </w:rPr>
        <w:footnoteReference w:id="10"/>
      </w:r>
      <w:r w:rsidR="009D4882">
        <w:t xml:space="preserve">  </w:t>
      </w:r>
      <w:r w:rsidR="00E8390A">
        <w:t xml:space="preserve">This essay </w:t>
      </w:r>
      <w:r w:rsidR="00700A5B">
        <w:t>discusses</w:t>
      </w:r>
      <w:r w:rsidR="00E8390A">
        <w:t xml:space="preserve"> how the presentation of Persian women as both victims and adulterers, especially when compared to the Greek representation of women, is vital as a part of the overall presentation of Persia.  It will then go on to discuss how the </w:t>
      </w:r>
      <w:r w:rsidR="004A5EF9">
        <w:t>portrayal</w:t>
      </w:r>
      <w:r w:rsidR="00E8390A">
        <w:t xml:space="preserve"> of powerful Persian women is </w:t>
      </w:r>
      <w:r w:rsidR="004A5EF9">
        <w:t xml:space="preserve">a fundamental part of the portrayal of the power of </w:t>
      </w:r>
      <w:r w:rsidR="00EB7958">
        <w:t>Persia but</w:t>
      </w:r>
      <w:r w:rsidR="004A5EF9">
        <w:t xml:space="preserve"> is still viewed as a transgressive nature of the women.</w:t>
      </w:r>
    </w:p>
    <w:p w14:paraId="2938E85B" w14:textId="77777777" w:rsidR="00EB7958" w:rsidRDefault="00EB7958" w:rsidP="00EB7958">
      <w:pPr>
        <w:spacing w:line="480" w:lineRule="auto"/>
      </w:pPr>
    </w:p>
    <w:p w14:paraId="0100C865" w14:textId="244C0D16" w:rsidR="00251510" w:rsidRDefault="004F24BA" w:rsidP="00EB7958">
      <w:pPr>
        <w:spacing w:line="480" w:lineRule="auto"/>
      </w:pPr>
      <w:r>
        <w:t xml:space="preserve">There are examples of Persian women being presented as victims, mainly of male </w:t>
      </w:r>
      <w:proofErr w:type="spellStart"/>
      <w:r>
        <w:rPr>
          <w:i/>
        </w:rPr>
        <w:t>eros</w:t>
      </w:r>
      <w:proofErr w:type="spellEnd"/>
      <w:r>
        <w:t xml:space="preserve">, through the </w:t>
      </w:r>
      <w:r>
        <w:rPr>
          <w:i/>
        </w:rPr>
        <w:t>Histories.</w:t>
      </w:r>
      <w:r>
        <w:t xml:space="preserve"> </w:t>
      </w:r>
      <w:r w:rsidR="00562549">
        <w:t xml:space="preserve"> The idea of </w:t>
      </w:r>
      <w:proofErr w:type="spellStart"/>
      <w:r w:rsidR="00562549">
        <w:rPr>
          <w:i/>
        </w:rPr>
        <w:t>eros</w:t>
      </w:r>
      <w:proofErr w:type="spellEnd"/>
      <w:r w:rsidR="00562549">
        <w:rPr>
          <w:i/>
        </w:rPr>
        <w:t xml:space="preserve"> </w:t>
      </w:r>
      <w:r w:rsidR="00562549">
        <w:t xml:space="preserve">was significant in Greek culture as although often translated as ‘love’ in English, it is of important note that the Greeks had different types of love, </w:t>
      </w:r>
      <w:proofErr w:type="spellStart"/>
      <w:r w:rsidR="00562549">
        <w:rPr>
          <w:i/>
        </w:rPr>
        <w:t>eros</w:t>
      </w:r>
      <w:proofErr w:type="spellEnd"/>
      <w:r w:rsidR="00562549">
        <w:rPr>
          <w:i/>
        </w:rPr>
        <w:t xml:space="preserve"> </w:t>
      </w:r>
      <w:r w:rsidR="00562549">
        <w:t xml:space="preserve">being that which relates to erotic love which is portrayed towards </w:t>
      </w:r>
      <w:r w:rsidR="00E84286">
        <w:t>prostitutes</w:t>
      </w:r>
      <w:r w:rsidR="00562549">
        <w:t>,</w:t>
      </w:r>
      <w:r w:rsidR="00E84286">
        <w:rPr>
          <w:rStyle w:val="FootnoteReference"/>
        </w:rPr>
        <w:footnoteReference w:id="11"/>
      </w:r>
      <w:r w:rsidR="00562549">
        <w:t xml:space="preserve"> in comparison to </w:t>
      </w:r>
      <w:proofErr w:type="spellStart"/>
      <w:r w:rsidR="00562549">
        <w:rPr>
          <w:i/>
        </w:rPr>
        <w:t>filia</w:t>
      </w:r>
      <w:proofErr w:type="spellEnd"/>
      <w:r w:rsidR="00562549">
        <w:rPr>
          <w:i/>
        </w:rPr>
        <w:t xml:space="preserve"> </w:t>
      </w:r>
      <w:r w:rsidR="00562549">
        <w:t xml:space="preserve">which is familial </w:t>
      </w:r>
      <w:r w:rsidR="00562549">
        <w:lastRenderedPageBreak/>
        <w:t xml:space="preserve">love towards your spouse and children. </w:t>
      </w:r>
      <w:r>
        <w:t xml:space="preserve"> This presentation of Persian women is similar to that of Greek women by Herodotus’ </w:t>
      </w:r>
      <w:r w:rsidR="0070360F">
        <w:t>contemporaries</w:t>
      </w:r>
      <w:r>
        <w:t xml:space="preserve"> and later </w:t>
      </w:r>
      <w:r w:rsidR="0070360F">
        <w:t xml:space="preserve">Greek </w:t>
      </w:r>
      <w:r>
        <w:t>authors.</w:t>
      </w:r>
      <w:r w:rsidR="0070360F">
        <w:rPr>
          <w:rStyle w:val="FootnoteReference"/>
        </w:rPr>
        <w:footnoteReference w:id="12"/>
      </w:r>
      <w:r>
        <w:t xml:space="preserve">  </w:t>
      </w:r>
      <w:r w:rsidR="0070360F">
        <w:t xml:space="preserve">Herodotus’ main presentation of these women is through the narrative device of not giving them a name, </w:t>
      </w:r>
      <w:r w:rsidR="005A4667">
        <w:t>by supressing their name it has been argued that he is giving the women respect and removing them from the blame of actions taken against them.</w:t>
      </w:r>
      <w:r w:rsidR="00D9215F">
        <w:rPr>
          <w:rStyle w:val="FootnoteReference"/>
        </w:rPr>
        <w:footnoteReference w:id="13"/>
      </w:r>
      <w:r w:rsidR="00D9215F">
        <w:t xml:space="preserve">  </w:t>
      </w:r>
      <w:r w:rsidR="00C64159">
        <w:t xml:space="preserve">This view is expressed by the </w:t>
      </w:r>
      <w:r w:rsidR="00D174D4">
        <w:t xml:space="preserve">later Athenian </w:t>
      </w:r>
      <w:r w:rsidR="00C64159">
        <w:t>orator Pericles in his funeral oration where he declares that ‘the greatest glory of a woman is to be least talked about by men’.</w:t>
      </w:r>
      <w:r w:rsidR="00D174D4">
        <w:rPr>
          <w:rStyle w:val="FootnoteReference"/>
        </w:rPr>
        <w:footnoteReference w:id="14"/>
      </w:r>
    </w:p>
    <w:p w14:paraId="149EBD0B" w14:textId="77777777" w:rsidR="00EB7958" w:rsidRDefault="00EB7958" w:rsidP="00EB7958">
      <w:pPr>
        <w:spacing w:line="480" w:lineRule="auto"/>
      </w:pPr>
    </w:p>
    <w:p w14:paraId="0A363BC2" w14:textId="28C6FD61" w:rsidR="00842C5B" w:rsidRDefault="00640FA6" w:rsidP="00EB7958">
      <w:pPr>
        <w:spacing w:line="480" w:lineRule="auto"/>
      </w:pPr>
      <w:r>
        <w:t xml:space="preserve">Examples in Herodotus of victimised women include that of </w:t>
      </w:r>
      <w:proofErr w:type="spellStart"/>
      <w:r>
        <w:t>Masistes</w:t>
      </w:r>
      <w:proofErr w:type="spellEnd"/>
      <w:r w:rsidR="00EF5B3F">
        <w:t>’</w:t>
      </w:r>
      <w:r>
        <w:t xml:space="preserve"> wife and Cambyses’ sisters.</w:t>
      </w:r>
      <w:r w:rsidR="001C5FCA">
        <w:rPr>
          <w:rStyle w:val="FootnoteReference"/>
        </w:rPr>
        <w:footnoteReference w:id="15"/>
      </w:r>
      <w:r w:rsidR="00EF1BFF">
        <w:t xml:space="preserve">  </w:t>
      </w:r>
      <w:r w:rsidR="00842C5B">
        <w:t xml:space="preserve">The narrative surrounding </w:t>
      </w:r>
      <w:proofErr w:type="spellStart"/>
      <w:r w:rsidR="00842C5B">
        <w:t>Masistes</w:t>
      </w:r>
      <w:proofErr w:type="spellEnd"/>
      <w:r w:rsidR="00842C5B">
        <w:t xml:space="preserve">’ wife tells of how she is married to </w:t>
      </w:r>
      <w:proofErr w:type="spellStart"/>
      <w:r w:rsidR="00842C5B">
        <w:t>Masistes</w:t>
      </w:r>
      <w:proofErr w:type="spellEnd"/>
      <w:r w:rsidR="00842C5B">
        <w:t xml:space="preserve">, Xerxes’ younger brother.  Unfortunately, Xerxes falls in love with her.  However, due to her faithfulness to her husband </w:t>
      </w:r>
      <w:proofErr w:type="spellStart"/>
      <w:r w:rsidR="00842C5B">
        <w:t>Masistes</w:t>
      </w:r>
      <w:proofErr w:type="spellEnd"/>
      <w:r w:rsidR="00842C5B">
        <w:t xml:space="preserve">’ she </w:t>
      </w:r>
      <w:proofErr w:type="gramStart"/>
      <w:r w:rsidR="00842C5B">
        <w:t>is able to</w:t>
      </w:r>
      <w:proofErr w:type="gramEnd"/>
      <w:r w:rsidR="00842C5B">
        <w:t xml:space="preserve"> resist Xerxes’ amorous advances.</w:t>
      </w:r>
      <w:r w:rsidR="00BB240A" w:rsidRPr="00BB240A">
        <w:rPr>
          <w:rStyle w:val="FootnoteReference"/>
        </w:rPr>
        <w:t xml:space="preserve"> </w:t>
      </w:r>
      <w:r w:rsidR="00BB240A">
        <w:rPr>
          <w:rStyle w:val="FootnoteReference"/>
        </w:rPr>
        <w:footnoteReference w:id="16"/>
      </w:r>
      <w:r w:rsidR="00842C5B">
        <w:t xml:space="preserve">  It is this loyalty that Herodotus is portraying in </w:t>
      </w:r>
      <w:proofErr w:type="spellStart"/>
      <w:r w:rsidR="00842C5B">
        <w:t>Masistes</w:t>
      </w:r>
      <w:proofErr w:type="spellEnd"/>
      <w:r w:rsidR="00842C5B">
        <w:t xml:space="preserve">’ wife by not giving her a name.  </w:t>
      </w:r>
      <w:r w:rsidR="0081079F">
        <w:t>This is emphasised in</w:t>
      </w:r>
      <w:r w:rsidR="00842C5B">
        <w:t xml:space="preserve"> considering that in the narrative that surrounds her she is the only one of three women that is not named.</w:t>
      </w:r>
      <w:r w:rsidR="00BB240A" w:rsidRPr="00BB240A">
        <w:rPr>
          <w:rStyle w:val="FootnoteReference"/>
        </w:rPr>
        <w:t xml:space="preserve"> </w:t>
      </w:r>
      <w:r w:rsidR="00BB240A">
        <w:rPr>
          <w:rStyle w:val="FootnoteReference"/>
        </w:rPr>
        <w:footnoteReference w:id="17"/>
      </w:r>
      <w:r w:rsidR="00BB240A">
        <w:t xml:space="preserve">  However, an argument could be made that by not </w:t>
      </w:r>
      <w:r w:rsidR="005D588E">
        <w:t xml:space="preserve">naming her, and instead always referring to her as </w:t>
      </w:r>
      <w:r w:rsidR="003828E1">
        <w:t>‘</w:t>
      </w:r>
      <w:proofErr w:type="spellStart"/>
      <w:r w:rsidR="005D588E">
        <w:t>Masistes</w:t>
      </w:r>
      <w:proofErr w:type="spellEnd"/>
      <w:r w:rsidR="005D588E">
        <w:t>’ wife</w:t>
      </w:r>
      <w:r w:rsidR="003828E1">
        <w:t>’</w:t>
      </w:r>
      <w:r w:rsidR="005D588E">
        <w:t>,</w:t>
      </w:r>
      <w:r w:rsidR="003828E1">
        <w:rPr>
          <w:rStyle w:val="FootnoteReference"/>
        </w:rPr>
        <w:footnoteReference w:id="18"/>
      </w:r>
      <w:r w:rsidR="005D588E">
        <w:t xml:space="preserve"> she becomes objectified and treated like his possession,</w:t>
      </w:r>
      <w:r w:rsidR="00F5284C">
        <w:t xml:space="preserve"> as</w:t>
      </w:r>
      <w:r w:rsidR="005D588E">
        <w:t xml:space="preserve"> she has no value apart from what his name gives her.  She ultimately becomes the victim of the narrative as she is mutilated to death by Xerxes’ wife </w:t>
      </w:r>
      <w:proofErr w:type="spellStart"/>
      <w:r w:rsidR="005D588E">
        <w:t>Amestris</w:t>
      </w:r>
      <w:proofErr w:type="spellEnd"/>
      <w:r w:rsidR="00F85200">
        <w:t xml:space="preserve">, because of Xerxes’ affair with </w:t>
      </w:r>
      <w:proofErr w:type="spellStart"/>
      <w:r w:rsidR="00F85200">
        <w:t>Artaynte</w:t>
      </w:r>
      <w:proofErr w:type="spellEnd"/>
      <w:r w:rsidR="00F85200">
        <w:t xml:space="preserve">, </w:t>
      </w:r>
      <w:proofErr w:type="spellStart"/>
      <w:r w:rsidR="00F85200">
        <w:t>Masistes</w:t>
      </w:r>
      <w:proofErr w:type="spellEnd"/>
      <w:r w:rsidR="00F85200">
        <w:t>’ wife’s daughter</w:t>
      </w:r>
      <w:r w:rsidR="005D588E">
        <w:t>,</w:t>
      </w:r>
      <w:r w:rsidR="0053665C" w:rsidRPr="0053665C">
        <w:rPr>
          <w:rStyle w:val="FootnoteReference"/>
        </w:rPr>
        <w:t xml:space="preserve"> </w:t>
      </w:r>
      <w:r w:rsidR="0053665C">
        <w:rPr>
          <w:rStyle w:val="FootnoteReference"/>
        </w:rPr>
        <w:footnoteReference w:id="19"/>
      </w:r>
      <w:r w:rsidR="0053665C">
        <w:t xml:space="preserve"> </w:t>
      </w:r>
      <w:r w:rsidR="005D588E">
        <w:t>in the belief that it is the mother that causes a daughter to become an adulterer.</w:t>
      </w:r>
      <w:r w:rsidR="0053665C" w:rsidRPr="0053665C">
        <w:rPr>
          <w:rStyle w:val="FootnoteReference"/>
        </w:rPr>
        <w:t xml:space="preserve"> </w:t>
      </w:r>
      <w:r w:rsidR="0053665C">
        <w:rPr>
          <w:rStyle w:val="FootnoteReference"/>
        </w:rPr>
        <w:footnoteReference w:id="20"/>
      </w:r>
    </w:p>
    <w:p w14:paraId="74F3366C" w14:textId="77777777" w:rsidR="00EB7958" w:rsidRDefault="00EB7958" w:rsidP="00EB7958">
      <w:pPr>
        <w:spacing w:line="480" w:lineRule="auto"/>
      </w:pPr>
    </w:p>
    <w:p w14:paraId="57B015CF" w14:textId="317BB250" w:rsidR="001D606C" w:rsidRDefault="00F4757C" w:rsidP="00EB7958">
      <w:pPr>
        <w:spacing w:line="480" w:lineRule="auto"/>
      </w:pPr>
      <w:r>
        <w:t xml:space="preserve">An example of Persian women being victims of </w:t>
      </w:r>
      <w:proofErr w:type="spellStart"/>
      <w:r>
        <w:rPr>
          <w:i/>
        </w:rPr>
        <w:t>eros</w:t>
      </w:r>
      <w:proofErr w:type="spellEnd"/>
      <w:r>
        <w:rPr>
          <w:i/>
        </w:rPr>
        <w:t xml:space="preserve"> </w:t>
      </w:r>
      <w:r>
        <w:t xml:space="preserve">can be seen through </w:t>
      </w:r>
      <w:r w:rsidR="00B91A2C">
        <w:t xml:space="preserve">Herodotus’ presentation of </w:t>
      </w:r>
      <w:r>
        <w:t>Cambyses’ sisters</w:t>
      </w:r>
      <w:r w:rsidR="00EC6AAF">
        <w:t xml:space="preserve">, who </w:t>
      </w:r>
      <w:r w:rsidR="0094193C">
        <w:t>were</w:t>
      </w:r>
      <w:r>
        <w:t xml:space="preserve"> ‘passionately lusted after’</w:t>
      </w:r>
      <w:r w:rsidR="0094193C">
        <w:t xml:space="preserve"> by Cambyses’</w:t>
      </w:r>
      <w:r w:rsidR="00C24CAD">
        <w:t>.</w:t>
      </w:r>
      <w:r>
        <w:rPr>
          <w:rStyle w:val="FootnoteReference"/>
        </w:rPr>
        <w:footnoteReference w:id="21"/>
      </w:r>
      <w:r w:rsidR="00C24CAD">
        <w:t xml:space="preserve">  This presentation of Persian women and the treatment of them represents </w:t>
      </w:r>
      <w:r w:rsidR="00B3625E">
        <w:t>how</w:t>
      </w:r>
      <w:r w:rsidR="00C24CAD">
        <w:t xml:space="preserve"> Persia</w:t>
      </w:r>
      <w:r w:rsidR="00B3625E">
        <w:t xml:space="preserve"> as a whole is shown in the </w:t>
      </w:r>
      <w:r w:rsidR="00B3625E">
        <w:rPr>
          <w:i/>
        </w:rPr>
        <w:t>Histories</w:t>
      </w:r>
      <w:r w:rsidR="00C24CAD">
        <w:t xml:space="preserve"> because it states that </w:t>
      </w:r>
      <w:r w:rsidR="00B3625E">
        <w:t>Cambyses</w:t>
      </w:r>
      <w:r w:rsidR="00C24CAD">
        <w:t xml:space="preserve"> is marrying outside of the law</w:t>
      </w:r>
      <w:r w:rsidR="006A15A7">
        <w:t>: it</w:t>
      </w:r>
      <w:r w:rsidR="00C24CAD">
        <w:t xml:space="preserve"> ‘had not remotely been the habit of the Persians to set up house with their sisters’</w:t>
      </w:r>
      <w:r w:rsidR="007F256E">
        <w:t>.</w:t>
      </w:r>
      <w:r w:rsidR="00C24CAD">
        <w:rPr>
          <w:rStyle w:val="FootnoteReference"/>
        </w:rPr>
        <w:footnoteReference w:id="22"/>
      </w:r>
      <w:r w:rsidR="00F91D74">
        <w:t xml:space="preserve"> </w:t>
      </w:r>
      <w:r w:rsidR="007F256E">
        <w:t xml:space="preserve"> This</w:t>
      </w:r>
      <w:r w:rsidR="00F91D74">
        <w:t xml:space="preserve"> has alternately been translated as this ‘not [being] the custom of the Persians’;</w:t>
      </w:r>
      <w:r w:rsidR="00F91D74">
        <w:rPr>
          <w:rStyle w:val="FootnoteReference"/>
        </w:rPr>
        <w:footnoteReference w:id="23"/>
      </w:r>
      <w:r w:rsidR="00F91D74">
        <w:t xml:space="preserve"> </w:t>
      </w:r>
      <w:r w:rsidR="00CD599D">
        <w:t xml:space="preserve">and </w:t>
      </w:r>
      <w:r w:rsidR="00F91D74">
        <w:t>both translations emphasis</w:t>
      </w:r>
      <w:r w:rsidR="00CD599D">
        <w:t>e</w:t>
      </w:r>
      <w:r w:rsidR="00F91D74">
        <w:t xml:space="preserve"> that such behaviour was c</w:t>
      </w:r>
      <w:r w:rsidR="00244C83">
        <w:t xml:space="preserve">ontrary to that which was typical of the Persians.  </w:t>
      </w:r>
      <w:r w:rsidR="00020495">
        <w:t xml:space="preserve">The idea of women being the victim of male </w:t>
      </w:r>
      <w:proofErr w:type="spellStart"/>
      <w:r w:rsidR="00020495">
        <w:rPr>
          <w:i/>
        </w:rPr>
        <w:t>eros</w:t>
      </w:r>
      <w:proofErr w:type="spellEnd"/>
      <w:r w:rsidR="00020495">
        <w:rPr>
          <w:i/>
        </w:rPr>
        <w:t xml:space="preserve"> </w:t>
      </w:r>
      <w:r w:rsidR="005B4878">
        <w:t>is seen</w:t>
      </w:r>
      <w:r w:rsidR="00020495">
        <w:t xml:space="preserve"> most notably in the plays Medea and Hippolytus</w:t>
      </w:r>
      <w:r w:rsidR="00E834CE">
        <w:t>,</w:t>
      </w:r>
      <w:r w:rsidR="00020495">
        <w:t xml:space="preserve"> both by Euripides,</w:t>
      </w:r>
      <w:r w:rsidR="00020495">
        <w:rPr>
          <w:rStyle w:val="FootnoteReference"/>
        </w:rPr>
        <w:footnoteReference w:id="24"/>
      </w:r>
      <w:r w:rsidR="00020495">
        <w:t xml:space="preserve"> and Herodotus’ </w:t>
      </w:r>
      <w:r w:rsidR="007B06D6">
        <w:t>overall presentation of Persian women</w:t>
      </w:r>
      <w:r w:rsidR="00DD6A9B">
        <w:t xml:space="preserve"> within the </w:t>
      </w:r>
      <w:r w:rsidR="00DD6A9B">
        <w:rPr>
          <w:i/>
        </w:rPr>
        <w:t>Histories</w:t>
      </w:r>
      <w:r w:rsidR="007B06D6">
        <w:t xml:space="preserve"> fulfils a similar presentation of Greek women in</w:t>
      </w:r>
      <w:r w:rsidR="00016DE5">
        <w:t xml:space="preserve"> the wider Greek literature.</w:t>
      </w:r>
    </w:p>
    <w:p w14:paraId="7174823F" w14:textId="77777777" w:rsidR="00EB7958" w:rsidRDefault="00EB7958" w:rsidP="00EB7958">
      <w:pPr>
        <w:spacing w:line="480" w:lineRule="auto"/>
      </w:pPr>
    </w:p>
    <w:p w14:paraId="5AABA419" w14:textId="5FEADBC3" w:rsidR="00C97FF3" w:rsidRDefault="00016DE5" w:rsidP="00EB7958">
      <w:pPr>
        <w:spacing w:line="480" w:lineRule="auto"/>
      </w:pPr>
      <w:r>
        <w:t>However, a</w:t>
      </w:r>
      <w:r w:rsidR="00386F05">
        <w:t xml:space="preserve"> contrary representation of Persian women </w:t>
      </w:r>
      <w:r w:rsidR="000003E4">
        <w:t xml:space="preserve">as victims </w:t>
      </w:r>
      <w:r w:rsidR="00386F05">
        <w:t xml:space="preserve">in Herodotus is that of the adulteress woman.  </w:t>
      </w:r>
      <w:r w:rsidR="00113EA6">
        <w:t xml:space="preserve">It has been argued by </w:t>
      </w:r>
      <w:proofErr w:type="spellStart"/>
      <w:r w:rsidR="00113EA6">
        <w:t>Wenghofer</w:t>
      </w:r>
      <w:proofErr w:type="spellEnd"/>
      <w:r w:rsidR="00113EA6">
        <w:t xml:space="preserve"> that the sexual representation of women from non-Greek cultures in Herodotus is used to highlight their cultural differences and </w:t>
      </w:r>
      <w:r w:rsidR="00A21EF2">
        <w:t>transgression c</w:t>
      </w:r>
      <w:r w:rsidR="00113EA6">
        <w:t>ompared to the Greek cultures, especially the Greek views of Herodotus’ audience.</w:t>
      </w:r>
      <w:r w:rsidR="00610E0E">
        <w:rPr>
          <w:rStyle w:val="FootnoteReference"/>
        </w:rPr>
        <w:footnoteReference w:id="25"/>
      </w:r>
      <w:r w:rsidR="00610E0E">
        <w:t xml:space="preserve">  </w:t>
      </w:r>
      <w:r w:rsidR="001C6D88">
        <w:t>I</w:t>
      </w:r>
      <w:r w:rsidR="00610E0E">
        <w:t xml:space="preserve">t could be argued that Herodotus’ inclusion of adulterous and promiscuous women is included in the </w:t>
      </w:r>
      <w:r w:rsidR="00610E0E">
        <w:rPr>
          <w:i/>
        </w:rPr>
        <w:t xml:space="preserve">Histories </w:t>
      </w:r>
      <w:r w:rsidR="00610E0E">
        <w:t>due to the uniqueness of the acts</w:t>
      </w:r>
      <w:r w:rsidR="00AA0284">
        <w:t>,</w:t>
      </w:r>
      <w:r w:rsidR="00610E0E">
        <w:t xml:space="preserve"> and to highlight that such acts do go against the customs of both Greeks and Persians.  </w:t>
      </w:r>
      <w:proofErr w:type="spellStart"/>
      <w:r w:rsidR="00610E0E">
        <w:t>Wenghofer’s</w:t>
      </w:r>
      <w:proofErr w:type="spellEnd"/>
      <w:r w:rsidR="00610E0E">
        <w:t xml:space="preserve"> argument groups the ‘other’ cultures within the </w:t>
      </w:r>
      <w:r w:rsidR="00610E0E">
        <w:rPr>
          <w:i/>
        </w:rPr>
        <w:t>Histories</w:t>
      </w:r>
      <w:r w:rsidR="00610E0E">
        <w:t xml:space="preserve"> and presents them all as representing the same </w:t>
      </w:r>
      <w:r w:rsidR="00EB7958">
        <w:t>thing and</w:t>
      </w:r>
      <w:r w:rsidR="00610E0E">
        <w:t xml:space="preserve"> is a very narrow view of the narrative.</w:t>
      </w:r>
      <w:r w:rsidR="0068570F">
        <w:t xml:space="preserve">  The adulterous Persian woman is represented in </w:t>
      </w:r>
      <w:proofErr w:type="spellStart"/>
      <w:r w:rsidR="0068570F">
        <w:t>Artaynte</w:t>
      </w:r>
      <w:proofErr w:type="spellEnd"/>
      <w:r w:rsidR="0068570F">
        <w:t xml:space="preserve"> the daughter of </w:t>
      </w:r>
      <w:proofErr w:type="spellStart"/>
      <w:r w:rsidR="0068570F">
        <w:t>Masistes</w:t>
      </w:r>
      <w:proofErr w:type="spellEnd"/>
      <w:r w:rsidR="0068570F">
        <w:t xml:space="preserve">’ wife who is married </w:t>
      </w:r>
      <w:r w:rsidR="0068570F">
        <w:lastRenderedPageBreak/>
        <w:t xml:space="preserve">by Xerxes to his son Darius II in an attempt to </w:t>
      </w:r>
      <w:r w:rsidR="00381184">
        <w:t>seduce her mother.</w:t>
      </w:r>
      <w:r w:rsidR="00381184">
        <w:rPr>
          <w:rStyle w:val="FootnoteReference"/>
        </w:rPr>
        <w:footnoteReference w:id="26"/>
      </w:r>
      <w:r w:rsidR="00E84B01">
        <w:t xml:space="preserve">  </w:t>
      </w:r>
      <w:r w:rsidR="005A0EE8">
        <w:t xml:space="preserve">The narrative surrounds Xerxes’ misdemeanours with women as he begins an affair with his daughter-in-law, but it has been argued that Herodotus by naming </w:t>
      </w:r>
      <w:proofErr w:type="spellStart"/>
      <w:r w:rsidR="005A0EE8">
        <w:t>Artaynte</w:t>
      </w:r>
      <w:proofErr w:type="spellEnd"/>
      <w:r w:rsidR="005A0EE8">
        <w:t xml:space="preserve"> portrays her as a willing participate in the affair, and</w:t>
      </w:r>
      <w:r w:rsidR="001E1BBC">
        <w:t xml:space="preserve"> </w:t>
      </w:r>
      <w:r w:rsidR="00AA0284">
        <w:t>as Larson argues the</w:t>
      </w:r>
      <w:r w:rsidR="005A0EE8">
        <w:t xml:space="preserve"> giving </w:t>
      </w:r>
      <w:r w:rsidR="00A4566D">
        <w:t xml:space="preserve">of </w:t>
      </w:r>
      <w:r w:rsidR="005A0EE8">
        <w:t>her a name</w:t>
      </w:r>
      <w:r w:rsidR="001E1BBC">
        <w:t xml:space="preserve"> </w:t>
      </w:r>
      <w:r w:rsidR="005A0EE8">
        <w:t>is a way of disgracing her.</w:t>
      </w:r>
      <w:r w:rsidR="00684DDE">
        <w:rPr>
          <w:rStyle w:val="FootnoteReference"/>
        </w:rPr>
        <w:footnoteReference w:id="27"/>
      </w:r>
      <w:r w:rsidR="00684DDE">
        <w:t xml:space="preserve">  </w:t>
      </w:r>
      <w:r w:rsidR="008B4AB5">
        <w:t xml:space="preserve">It has been </w:t>
      </w:r>
      <w:r w:rsidR="009B2A00">
        <w:t>put forward</w:t>
      </w:r>
      <w:r w:rsidR="008B4AB5">
        <w:t xml:space="preserve"> by </w:t>
      </w:r>
      <w:proofErr w:type="spellStart"/>
      <w:r w:rsidR="008B4AB5">
        <w:t>Gr</w:t>
      </w:r>
      <w:r w:rsidR="00253928">
        <w:t>a</w:t>
      </w:r>
      <w:r w:rsidR="008B4AB5">
        <w:t>y</w:t>
      </w:r>
      <w:proofErr w:type="spellEnd"/>
      <w:r w:rsidR="008B4AB5">
        <w:t xml:space="preserve"> that </w:t>
      </w:r>
      <w:proofErr w:type="spellStart"/>
      <w:r w:rsidR="008B4AB5">
        <w:t>Artyante</w:t>
      </w:r>
      <w:proofErr w:type="spellEnd"/>
      <w:r w:rsidR="008B4AB5">
        <w:t xml:space="preserve"> is the force that destroys </w:t>
      </w:r>
      <w:proofErr w:type="spellStart"/>
      <w:r w:rsidR="008B4AB5">
        <w:t>Masistes</w:t>
      </w:r>
      <w:proofErr w:type="spellEnd"/>
      <w:r w:rsidR="008B4AB5">
        <w:t xml:space="preserve">’ </w:t>
      </w:r>
      <w:r w:rsidR="0077454F">
        <w:rPr>
          <w:i/>
        </w:rPr>
        <w:t xml:space="preserve">oikos, </w:t>
      </w:r>
      <w:r w:rsidR="0077454F">
        <w:t xml:space="preserve">metaphorically meaning the home and family, the people </w:t>
      </w:r>
      <w:r w:rsidR="0028331C">
        <w:t xml:space="preserve">and familial structures </w:t>
      </w:r>
      <w:r w:rsidR="0077454F">
        <w:t xml:space="preserve">that surround </w:t>
      </w:r>
      <w:r w:rsidR="00BC47BE">
        <w:t>a person</w:t>
      </w:r>
      <w:r w:rsidR="0077454F">
        <w:t>.</w:t>
      </w:r>
      <w:r w:rsidR="00AF1CEE">
        <w:rPr>
          <w:rStyle w:val="FootnoteReference"/>
        </w:rPr>
        <w:footnoteReference w:id="28"/>
      </w:r>
    </w:p>
    <w:p w14:paraId="4FFDA0EE" w14:textId="77777777" w:rsidR="00EB7958" w:rsidRDefault="00EB7958" w:rsidP="00EB7958">
      <w:pPr>
        <w:spacing w:line="480" w:lineRule="auto"/>
      </w:pPr>
    </w:p>
    <w:p w14:paraId="29E9F377" w14:textId="5013A32D" w:rsidR="00060E5B" w:rsidRDefault="00732FE3" w:rsidP="00EB7958">
      <w:pPr>
        <w:spacing w:line="480" w:lineRule="auto"/>
      </w:pPr>
      <w:r>
        <w:t xml:space="preserve">The empire of </w:t>
      </w:r>
      <w:r w:rsidR="008D549F">
        <w:t xml:space="preserve">Persia is presented by Herodotus as </w:t>
      </w:r>
      <w:r>
        <w:t>powerful and</w:t>
      </w:r>
      <w:r w:rsidR="008D549F">
        <w:t xml:space="preserve"> continuing to expand</w:t>
      </w:r>
      <w:r w:rsidR="00771B1D">
        <w:t>. The Persians</w:t>
      </w:r>
      <w:r w:rsidR="008D549F">
        <w:t xml:space="preserve"> have control over vast territories, seen in both Darius’ tribute districts</w:t>
      </w:r>
      <w:r w:rsidR="008D549F">
        <w:rPr>
          <w:rStyle w:val="FootnoteReference"/>
        </w:rPr>
        <w:footnoteReference w:id="29"/>
      </w:r>
      <w:r w:rsidR="008D549F">
        <w:t xml:space="preserve"> and later on Xerxes’ military contingents.</w:t>
      </w:r>
      <w:r w:rsidR="008D549F">
        <w:rPr>
          <w:rStyle w:val="FootnoteReference"/>
        </w:rPr>
        <w:footnoteReference w:id="30"/>
      </w:r>
      <w:r w:rsidR="008D549F">
        <w:t xml:space="preserve">  </w:t>
      </w:r>
      <w:r w:rsidR="00F4794E">
        <w:t xml:space="preserve">In this </w:t>
      </w:r>
      <w:r w:rsidR="00D43354">
        <w:t>context</w:t>
      </w:r>
      <w:r w:rsidR="00F4794E">
        <w:t xml:space="preserve"> some Persian women are presented as being powerful, however, their power is represented </w:t>
      </w:r>
      <w:r w:rsidR="008D549F">
        <w:t>through the negative aspects of bein</w:t>
      </w:r>
      <w:r w:rsidR="00E9347A">
        <w:t>g manipulative and clever as seen in</w:t>
      </w:r>
      <w:r w:rsidR="001C3269">
        <w:t xml:space="preserve"> </w:t>
      </w:r>
      <w:proofErr w:type="spellStart"/>
      <w:r w:rsidR="001C3269">
        <w:t>Amestris</w:t>
      </w:r>
      <w:proofErr w:type="spellEnd"/>
      <w:r w:rsidR="001C3269">
        <w:t>’ revenge in Book 9.</w:t>
      </w:r>
      <w:r w:rsidR="001C3269">
        <w:rPr>
          <w:rStyle w:val="FootnoteReference"/>
        </w:rPr>
        <w:footnoteReference w:id="31"/>
      </w:r>
      <w:r w:rsidR="001C3269">
        <w:t xml:space="preserve">  </w:t>
      </w:r>
      <w:proofErr w:type="spellStart"/>
      <w:r w:rsidR="00767D9A">
        <w:t>Amestris</w:t>
      </w:r>
      <w:proofErr w:type="spellEnd"/>
      <w:r w:rsidR="00767D9A">
        <w:t xml:space="preserve">, </w:t>
      </w:r>
      <w:r w:rsidR="00BD6311">
        <w:t xml:space="preserve">wife </w:t>
      </w:r>
      <w:r w:rsidR="000F1B28">
        <w:t>of</w:t>
      </w:r>
      <w:r w:rsidR="00BD6311">
        <w:t xml:space="preserve"> Xerxes</w:t>
      </w:r>
      <w:r w:rsidR="00A959EC">
        <w:t>,</w:t>
      </w:r>
      <w:r w:rsidR="00BD6311">
        <w:t xml:space="preserve"> is portrayed as the savage and powerful queen.</w:t>
      </w:r>
      <w:r w:rsidR="004D47CA">
        <w:rPr>
          <w:rStyle w:val="FootnoteReference"/>
        </w:rPr>
        <w:footnoteReference w:id="32"/>
      </w:r>
      <w:r w:rsidR="00BD6311">
        <w:t xml:space="preserve">  </w:t>
      </w:r>
      <w:r w:rsidR="003D6954">
        <w:t>She</w:t>
      </w:r>
      <w:r w:rsidR="004D47CA">
        <w:t xml:space="preserve"> manipulates her power as the wife of the king </w:t>
      </w:r>
      <w:r w:rsidR="003640B6">
        <w:t>in exploiting</w:t>
      </w:r>
      <w:r w:rsidR="004D47CA">
        <w:t xml:space="preserve"> the Persian custom</w:t>
      </w:r>
      <w:r w:rsidR="00EC7CA0">
        <w:t xml:space="preserve"> that</w:t>
      </w:r>
      <w:r w:rsidR="004D47CA">
        <w:t xml:space="preserve"> on his birthday the king must give gifts to all who ask.</w:t>
      </w:r>
      <w:r w:rsidR="004D47CA">
        <w:rPr>
          <w:rStyle w:val="FootnoteReference"/>
        </w:rPr>
        <w:footnoteReference w:id="33"/>
      </w:r>
      <w:r w:rsidR="004D47CA">
        <w:t xml:space="preserve">  </w:t>
      </w:r>
      <w:r w:rsidR="00B95102">
        <w:t>Notably, despite it being her husband who was adulterous</w:t>
      </w:r>
      <w:r w:rsidR="00EC7CA0">
        <w:t>,</w:t>
      </w:r>
      <w:r w:rsidR="00B95102">
        <w:t xml:space="preserve"> she does not seek her revenge on him or the daughter-in-law he slept with, </w:t>
      </w:r>
      <w:proofErr w:type="spellStart"/>
      <w:r w:rsidR="00B95102">
        <w:t>Artaynte</w:t>
      </w:r>
      <w:proofErr w:type="spellEnd"/>
      <w:r w:rsidR="00EC7CA0">
        <w:t xml:space="preserve">. </w:t>
      </w:r>
      <w:r w:rsidR="00B95102">
        <w:t xml:space="preserve"> </w:t>
      </w:r>
      <w:r w:rsidR="00EC7CA0">
        <w:t>I</w:t>
      </w:r>
      <w:r w:rsidR="00B95102">
        <w:t xml:space="preserve">nstead </w:t>
      </w:r>
      <w:proofErr w:type="spellStart"/>
      <w:r w:rsidR="00B95102">
        <w:t>Amestris</w:t>
      </w:r>
      <w:proofErr w:type="spellEnd"/>
      <w:r w:rsidR="00B95102">
        <w:t xml:space="preserve"> </w:t>
      </w:r>
      <w:r w:rsidR="00EC7CA0">
        <w:t>takes</w:t>
      </w:r>
      <w:r w:rsidR="00B95102">
        <w:t xml:space="preserve"> her revenge on the mother, </w:t>
      </w:r>
      <w:proofErr w:type="spellStart"/>
      <w:r w:rsidR="00B95102">
        <w:t>Masistes</w:t>
      </w:r>
      <w:proofErr w:type="spellEnd"/>
      <w:r w:rsidR="00B95102">
        <w:t>’</w:t>
      </w:r>
      <w:r w:rsidR="00852FF7">
        <w:t xml:space="preserve"> wife</w:t>
      </w:r>
      <w:r w:rsidR="00B95102">
        <w:t>,</w:t>
      </w:r>
      <w:r w:rsidR="00852FF7">
        <w:rPr>
          <w:rStyle w:val="FootnoteReference"/>
        </w:rPr>
        <w:footnoteReference w:id="34"/>
      </w:r>
      <w:r w:rsidR="00B95102">
        <w:t xml:space="preserve"> believing it to be ‘the mother to have been the cause’</w:t>
      </w:r>
      <w:r w:rsidR="00B95102">
        <w:rPr>
          <w:rStyle w:val="FootnoteReference"/>
        </w:rPr>
        <w:footnoteReference w:id="35"/>
      </w:r>
      <w:r w:rsidR="00B95102">
        <w:t xml:space="preserve"> which </w:t>
      </w:r>
      <w:proofErr w:type="gramStart"/>
      <w:r w:rsidR="00B95102">
        <w:t>in itself shows</w:t>
      </w:r>
      <w:proofErr w:type="gramEnd"/>
      <w:r w:rsidR="00B95102">
        <w:t xml:space="preserve"> the supposed power that a mother holds</w:t>
      </w:r>
      <w:r w:rsidR="00995528">
        <w:t xml:space="preserve"> in the Persian culture and arguably Greek </w:t>
      </w:r>
      <w:r w:rsidR="00556FA1">
        <w:t xml:space="preserve">culture </w:t>
      </w:r>
      <w:r w:rsidR="00995528">
        <w:t>as well</w:t>
      </w:r>
      <w:r w:rsidR="00B95102">
        <w:t xml:space="preserve">.  </w:t>
      </w:r>
      <w:r w:rsidR="00BD3EC3">
        <w:t xml:space="preserve">Xerxes foolishly gives </w:t>
      </w:r>
      <w:proofErr w:type="spellStart"/>
      <w:r w:rsidR="00BD3EC3">
        <w:t>Artaynte</w:t>
      </w:r>
      <w:proofErr w:type="spellEnd"/>
      <w:r w:rsidR="00BD3EC3">
        <w:t xml:space="preserve"> a robe that was specially woven by his wife, which leads to the discovery of the affair; it has been argued that this giving of </w:t>
      </w:r>
      <w:r w:rsidR="00BD3EC3">
        <w:lastRenderedPageBreak/>
        <w:t xml:space="preserve">the robe by Xerxes represents </w:t>
      </w:r>
      <w:proofErr w:type="spellStart"/>
      <w:r w:rsidR="00BD3EC3">
        <w:t>Amestris</w:t>
      </w:r>
      <w:proofErr w:type="spellEnd"/>
      <w:r w:rsidR="00BD3EC3">
        <w:t xml:space="preserve">’ loss for power, and possibly </w:t>
      </w:r>
      <w:proofErr w:type="spellStart"/>
      <w:r w:rsidR="00BD3EC3">
        <w:t>Artaynte’s</w:t>
      </w:r>
      <w:proofErr w:type="spellEnd"/>
      <w:r w:rsidR="00BD3EC3">
        <w:t xml:space="preserve"> gaining of power.</w:t>
      </w:r>
      <w:r w:rsidR="006A1F0D">
        <w:rPr>
          <w:rStyle w:val="FootnoteReference"/>
        </w:rPr>
        <w:footnoteReference w:id="36"/>
      </w:r>
      <w:r w:rsidR="0003466A">
        <w:t xml:space="preserve">  Comparisons have been made between th</w:t>
      </w:r>
      <w:r w:rsidR="000C4966">
        <w:t xml:space="preserve">e </w:t>
      </w:r>
      <w:proofErr w:type="spellStart"/>
      <w:r w:rsidR="000C4966">
        <w:t>Amestris</w:t>
      </w:r>
      <w:proofErr w:type="spellEnd"/>
      <w:r w:rsidR="000C4966">
        <w:t xml:space="preserve"> and Esther from the B</w:t>
      </w:r>
      <w:r w:rsidR="0003466A">
        <w:t>ible, where Xerxes fulfils the role of Ahasuerus</w:t>
      </w:r>
      <w:r w:rsidR="00C65AA9">
        <w:t>, as well as further comparisons with the story of Salome</w:t>
      </w:r>
      <w:r w:rsidR="00986380">
        <w:t>.</w:t>
      </w:r>
      <w:r w:rsidR="005C6349">
        <w:rPr>
          <w:rStyle w:val="FootnoteReference"/>
        </w:rPr>
        <w:footnoteReference w:id="37"/>
      </w:r>
      <w:r w:rsidR="00986380">
        <w:t xml:space="preserve">  </w:t>
      </w:r>
      <w:proofErr w:type="spellStart"/>
      <w:r w:rsidR="00986380">
        <w:t>Grittith</w:t>
      </w:r>
      <w:proofErr w:type="spellEnd"/>
      <w:r w:rsidR="00986380">
        <w:t xml:space="preserve"> even argues for a comparison with the myth of Semele and that Herodotus used the tale to shape his own narrative.</w:t>
      </w:r>
      <w:r w:rsidR="00A442C9">
        <w:rPr>
          <w:rStyle w:val="FootnoteReference"/>
        </w:rPr>
        <w:footnoteReference w:id="38"/>
      </w:r>
    </w:p>
    <w:p w14:paraId="1C67D196" w14:textId="77777777" w:rsidR="00EB7958" w:rsidRDefault="00EB7958" w:rsidP="00EB7958">
      <w:pPr>
        <w:spacing w:line="480" w:lineRule="auto"/>
      </w:pPr>
    </w:p>
    <w:p w14:paraId="1B7EAFF6" w14:textId="6C2BCE06" w:rsidR="00F24050" w:rsidRDefault="002748E4" w:rsidP="00EB7958">
      <w:pPr>
        <w:spacing w:line="480" w:lineRule="auto"/>
      </w:pPr>
      <w:r>
        <w:t xml:space="preserve">Another manipulative wife is seen from earlier in the narrative in the form of </w:t>
      </w:r>
      <w:proofErr w:type="spellStart"/>
      <w:r>
        <w:t>Atossa</w:t>
      </w:r>
      <w:proofErr w:type="spellEnd"/>
      <w:r>
        <w:t>, Darius’ wife.</w:t>
      </w:r>
      <w:r>
        <w:rPr>
          <w:rStyle w:val="FootnoteReference"/>
        </w:rPr>
        <w:footnoteReference w:id="39"/>
      </w:r>
      <w:r>
        <w:t xml:space="preserve">  </w:t>
      </w:r>
      <w:r w:rsidR="008E3AC8">
        <w:t xml:space="preserve">For our first impressions of </w:t>
      </w:r>
      <w:proofErr w:type="spellStart"/>
      <w:r w:rsidR="008E3AC8">
        <w:t>Atossa</w:t>
      </w:r>
      <w:proofErr w:type="spellEnd"/>
      <w:r w:rsidR="008E3AC8">
        <w:t xml:space="preserve"> she is portrayed as a typical woman of the time, ashamed due to a tumour on her breast that she tries desperately to hide.</w:t>
      </w:r>
      <w:r w:rsidR="008E3AC8">
        <w:rPr>
          <w:rStyle w:val="FootnoteReference"/>
        </w:rPr>
        <w:footnoteReference w:id="40"/>
      </w:r>
      <w:r w:rsidR="008E3AC8">
        <w:t xml:space="preserve">  She then in an act of desperation goes to a Greek doctor, </w:t>
      </w:r>
      <w:proofErr w:type="spellStart"/>
      <w:r w:rsidR="008E3AC8">
        <w:t>Democedes</w:t>
      </w:r>
      <w:proofErr w:type="spellEnd"/>
      <w:r w:rsidR="008E3AC8">
        <w:t>, for help, who then in turn begins to manipulate her.</w:t>
      </w:r>
      <w:r w:rsidR="008E3AC8">
        <w:rPr>
          <w:rStyle w:val="FootnoteReference"/>
        </w:rPr>
        <w:footnoteReference w:id="41"/>
      </w:r>
      <w:r w:rsidR="008E3AC8">
        <w:t xml:space="preserve">  She is therefore portrayed by Herodotus as being manipulated by the Greek, to then </w:t>
      </w:r>
      <w:r w:rsidR="00416313">
        <w:t>exploit her sexual power to persuade</w:t>
      </w:r>
      <w:r w:rsidR="008E3AC8">
        <w:t xml:space="preserve"> Darius into invading Greece</w:t>
      </w:r>
      <w:r w:rsidR="00756911">
        <w:t>.</w:t>
      </w:r>
      <w:r w:rsidR="00756911">
        <w:rPr>
          <w:rStyle w:val="FootnoteReference"/>
        </w:rPr>
        <w:footnoteReference w:id="42"/>
      </w:r>
      <w:r w:rsidR="00756911">
        <w:t xml:space="preserve">  </w:t>
      </w:r>
      <w:r w:rsidR="00542F32">
        <w:t>However, due to Larson’s argument as discussed earlier,</w:t>
      </w:r>
      <w:r w:rsidR="00542F32">
        <w:rPr>
          <w:rStyle w:val="FootnoteReference"/>
        </w:rPr>
        <w:footnoteReference w:id="43"/>
      </w:r>
      <w:r w:rsidR="00542F32">
        <w:t xml:space="preserve"> the fact that </w:t>
      </w:r>
      <w:proofErr w:type="spellStart"/>
      <w:r w:rsidR="00542F32">
        <w:t>Atossa’s</w:t>
      </w:r>
      <w:proofErr w:type="spellEnd"/>
      <w:r w:rsidR="00542F32">
        <w:t xml:space="preserve"> name is not suppressed by Herodot</w:t>
      </w:r>
      <w:r w:rsidR="00A27C68">
        <w:t>us suggests that he in some way</w:t>
      </w:r>
      <w:r w:rsidR="00542F32">
        <w:t xml:space="preserve"> holds her accountable for her actions</w:t>
      </w:r>
      <w:r w:rsidR="00DD0130">
        <w:t xml:space="preserve">. </w:t>
      </w:r>
      <w:r w:rsidR="00542F32">
        <w:t xml:space="preserve"> </w:t>
      </w:r>
      <w:r w:rsidR="00DD0130">
        <w:t>T</w:t>
      </w:r>
      <w:r w:rsidR="00542F32">
        <w:t>herefore</w:t>
      </w:r>
      <w:r w:rsidR="00EB7958">
        <w:t>,</w:t>
      </w:r>
      <w:r w:rsidR="00542F32">
        <w:t xml:space="preserve"> an alternative reading of the narrative could be that </w:t>
      </w:r>
      <w:proofErr w:type="spellStart"/>
      <w:r w:rsidR="00542F32">
        <w:t>Atossa</w:t>
      </w:r>
      <w:proofErr w:type="spellEnd"/>
      <w:r w:rsidR="00542F32">
        <w:t xml:space="preserve"> is a manipulative woman, who uses her power as the king’s wife to persuade him to invade Greece apparently for her own benefit.</w:t>
      </w:r>
      <w:r w:rsidR="0089618D">
        <w:rPr>
          <w:rStyle w:val="FootnoteReference"/>
        </w:rPr>
        <w:footnoteReference w:id="44"/>
      </w:r>
    </w:p>
    <w:p w14:paraId="14E9E611" w14:textId="77777777" w:rsidR="00EB7958" w:rsidRDefault="00EB7958" w:rsidP="00EB7958">
      <w:pPr>
        <w:spacing w:line="480" w:lineRule="auto"/>
      </w:pPr>
    </w:p>
    <w:p w14:paraId="389F62EB" w14:textId="53311855" w:rsidR="00A44A36" w:rsidRDefault="00D30ED0" w:rsidP="00EB7958">
      <w:pPr>
        <w:spacing w:line="480" w:lineRule="auto"/>
      </w:pPr>
      <w:r>
        <w:lastRenderedPageBreak/>
        <w:t xml:space="preserve">Interestingly, one presentation shows a </w:t>
      </w:r>
      <w:r w:rsidR="00EB7958">
        <w:t>powerful manipulative woman</w:t>
      </w:r>
      <w:r>
        <w:t xml:space="preserve">, the other shows arguably a </w:t>
      </w:r>
      <w:r w:rsidR="00EB7958">
        <w:t>manipulated woman</w:t>
      </w:r>
      <w:r>
        <w:t xml:space="preserve"> who yields power.  </w:t>
      </w:r>
      <w:r w:rsidR="00CC2877">
        <w:t>What is n</w:t>
      </w:r>
      <w:r w:rsidR="00F8393F">
        <w:t>oticeable</w:t>
      </w:r>
      <w:r>
        <w:t xml:space="preserve"> however</w:t>
      </w:r>
      <w:r w:rsidR="00F8393F">
        <w:t>,</w:t>
      </w:r>
      <w:r>
        <w:t xml:space="preserve"> is that both women are the wives of a Persian King</w:t>
      </w:r>
      <w:r w:rsidR="00F8393F">
        <w:t>.</w:t>
      </w:r>
      <w:r>
        <w:t xml:space="preserve">  </w:t>
      </w:r>
      <w:r w:rsidR="00F8393F">
        <w:t xml:space="preserve">Herodotus could </w:t>
      </w:r>
      <w:r w:rsidR="00D72538">
        <w:t xml:space="preserve">therefore </w:t>
      </w:r>
      <w:r w:rsidR="00F8393F">
        <w:t xml:space="preserve">be using the representation of powerful women as a wider </w:t>
      </w:r>
      <w:r w:rsidR="00FC0E07">
        <w:t>portrayal</w:t>
      </w:r>
      <w:r w:rsidR="00F8393F">
        <w:t xml:space="preserve"> of Persia, and Persian </w:t>
      </w:r>
      <w:proofErr w:type="gramStart"/>
      <w:r w:rsidR="00F8393F">
        <w:t>kingship as a whole</w:t>
      </w:r>
      <w:proofErr w:type="gramEnd"/>
      <w:r w:rsidR="00C46790">
        <w:t xml:space="preserve">. </w:t>
      </w:r>
      <w:r w:rsidR="00F8393F">
        <w:t xml:space="preserve"> </w:t>
      </w:r>
      <w:r w:rsidR="00C46790">
        <w:t>T</w:t>
      </w:r>
      <w:r w:rsidR="00F8393F">
        <w:t>he idea that Persians are presented as powerful, so their wives</w:t>
      </w:r>
      <w:r w:rsidR="00210656">
        <w:t xml:space="preserve"> are</w:t>
      </w:r>
      <w:r w:rsidR="00F8393F">
        <w:t xml:space="preserve"> powerful as well</w:t>
      </w:r>
      <w:r w:rsidR="00210656">
        <w:t>, especially those of the kings’</w:t>
      </w:r>
      <w:r w:rsidR="00F8393F">
        <w:t>.</w:t>
      </w:r>
      <w:r w:rsidR="0064463B">
        <w:t xml:space="preserve">  </w:t>
      </w:r>
      <w:r w:rsidR="006F7BF8">
        <w:t>There has been much d</w:t>
      </w:r>
      <w:r w:rsidR="001755A1">
        <w:t xml:space="preserve">ebate </w:t>
      </w:r>
      <w:r w:rsidR="006F7BF8">
        <w:t xml:space="preserve">within </w:t>
      </w:r>
      <w:r w:rsidR="001755A1">
        <w:t>scholarship over Herodotus</w:t>
      </w:r>
      <w:r w:rsidR="006F7BF8">
        <w:t>’</w:t>
      </w:r>
      <w:r w:rsidR="001755A1">
        <w:t xml:space="preserve"> </w:t>
      </w:r>
      <w:r w:rsidR="006F7BF8">
        <w:t>use of characterisation</w:t>
      </w:r>
      <w:r w:rsidR="001755A1">
        <w:t xml:space="preserve">, especially </w:t>
      </w:r>
      <w:proofErr w:type="gramStart"/>
      <w:r w:rsidR="006F7BF8">
        <w:t>in regard to</w:t>
      </w:r>
      <w:proofErr w:type="gramEnd"/>
      <w:r w:rsidR="006F7BF8">
        <w:t xml:space="preserve"> the </w:t>
      </w:r>
      <w:r w:rsidR="001755A1">
        <w:t>Persian king</w:t>
      </w:r>
      <w:r w:rsidR="006F7BF8">
        <w:t>s.  The prevailing argument by Pearson was that Herodotus description of characters was shaped by the expectations of his audience,</w:t>
      </w:r>
      <w:r w:rsidR="006F7BF8">
        <w:rPr>
          <w:rStyle w:val="FootnoteReference"/>
        </w:rPr>
        <w:footnoteReference w:id="45"/>
      </w:r>
      <w:r w:rsidR="006F7BF8">
        <w:t xml:space="preserve"> however, alternatively it has been argued by Waters that Herodotus did favour historiographic objectivity, especially in consideration of the kings and tyrants presented throughout the </w:t>
      </w:r>
      <w:r w:rsidR="006F7BF8">
        <w:rPr>
          <w:i/>
        </w:rPr>
        <w:t>Histories.</w:t>
      </w:r>
      <w:r w:rsidR="006F7BF8">
        <w:rPr>
          <w:rStyle w:val="FootnoteReference"/>
          <w:i/>
        </w:rPr>
        <w:footnoteReference w:id="46"/>
      </w:r>
      <w:r w:rsidR="006F7BF8">
        <w:rPr>
          <w:i/>
        </w:rPr>
        <w:t xml:space="preserve">  </w:t>
      </w:r>
      <w:r w:rsidR="006F7BF8">
        <w:t>Ultimately it can be seen that Herodotus discusses not just positive or negative features of a character, but includes both.</w:t>
      </w:r>
      <w:r w:rsidR="00261C7D">
        <w:rPr>
          <w:rStyle w:val="FootnoteReference"/>
        </w:rPr>
        <w:footnoteReference w:id="47"/>
      </w:r>
      <w:r w:rsidR="006F7BF8">
        <w:t xml:space="preserve">  However, the good characteristics may follow the type of the conventional ideas to make the individuals more believable and appealing.</w:t>
      </w:r>
      <w:r w:rsidR="00261C7D">
        <w:rPr>
          <w:rStyle w:val="FootnoteReference"/>
        </w:rPr>
        <w:footnoteReference w:id="48"/>
      </w:r>
      <w:r w:rsidR="00261C7D">
        <w:t xml:space="preserve">  Perhaps this is the reason for displaying the king’s interaction</w:t>
      </w:r>
      <w:r w:rsidR="00A94090">
        <w:t xml:space="preserve">s </w:t>
      </w:r>
      <w:r w:rsidR="00C306FC">
        <w:t>with their wives and daughters, the portrayals help to create a more rounded depiction of the king, and it i</w:t>
      </w:r>
      <w:r w:rsidR="00E5076D">
        <w:t>s interesting how the male king</w:t>
      </w:r>
      <w:r w:rsidR="00C306FC">
        <w:t>s</w:t>
      </w:r>
      <w:r w:rsidR="00E5076D">
        <w:t>’</w:t>
      </w:r>
      <w:r w:rsidR="00C306FC">
        <w:t xml:space="preserve"> faults seem to be </w:t>
      </w:r>
      <w:r w:rsidR="0064463B">
        <w:t>centred</w:t>
      </w:r>
      <w:r w:rsidR="00C306FC">
        <w:t xml:space="preserve"> </w:t>
      </w:r>
      <w:r w:rsidR="0064463B">
        <w:t>on</w:t>
      </w:r>
      <w:r w:rsidR="00C306FC">
        <w:t xml:space="preserve"> their female companions.</w:t>
      </w:r>
    </w:p>
    <w:p w14:paraId="1D7F4C79" w14:textId="77777777" w:rsidR="00CB2551" w:rsidRDefault="00CB2551" w:rsidP="00EB7958">
      <w:pPr>
        <w:spacing w:line="480" w:lineRule="auto"/>
      </w:pPr>
    </w:p>
    <w:p w14:paraId="62BF845B" w14:textId="37A57E65" w:rsidR="00924EA2" w:rsidRDefault="00924EA2" w:rsidP="00EB7958">
      <w:pPr>
        <w:spacing w:line="480" w:lineRule="auto"/>
      </w:pPr>
      <w:r>
        <w:t xml:space="preserve">It is </w:t>
      </w:r>
      <w:r w:rsidR="00EA5F4C">
        <w:t xml:space="preserve">also </w:t>
      </w:r>
      <w:r>
        <w:t xml:space="preserve">interesting </w:t>
      </w:r>
      <w:r w:rsidR="00491163">
        <w:t>that the powerful Persian women</w:t>
      </w:r>
      <w:r>
        <w:t xml:space="preserve"> </w:t>
      </w:r>
      <w:proofErr w:type="gramStart"/>
      <w:r>
        <w:t>are seen as</w:t>
      </w:r>
      <w:proofErr w:type="gramEnd"/>
      <w:r>
        <w:t xml:space="preserve"> powerful because of their relationship with a man, and the power they have the </w:t>
      </w:r>
      <w:r w:rsidR="00787771">
        <w:t>ability to exert over this male</w:t>
      </w:r>
      <w:r>
        <w:t xml:space="preserve"> who happens to be the Persian King.  This power is therefore portrayed as manipulative and a negative aspect of their character</w:t>
      </w:r>
      <w:r w:rsidR="00DB5830">
        <w:t>,</w:t>
      </w:r>
      <w:r>
        <w:t xml:space="preserve"> </w:t>
      </w:r>
      <w:r w:rsidR="00DB5830">
        <w:t>p</w:t>
      </w:r>
      <w:r>
        <w:t xml:space="preserve">erhaps suggesting a more negative image of Persia overall.  This is especially </w:t>
      </w:r>
      <w:r w:rsidR="00455D6C">
        <w:t>significant</w:t>
      </w:r>
      <w:r w:rsidR="00C73A77">
        <w:t xml:space="preserve"> in consideration of the</w:t>
      </w:r>
      <w:r>
        <w:t xml:space="preserve"> role of Artemisia, the warrior queen of </w:t>
      </w:r>
      <w:r w:rsidR="00A67B80">
        <w:t>Halicarnassus</w:t>
      </w:r>
      <w:r>
        <w:t xml:space="preserve">, </w:t>
      </w:r>
      <w:r w:rsidR="00A67B80">
        <w:t>who fights for the Persians under Xerxes.</w:t>
      </w:r>
      <w:r w:rsidR="00E5710C">
        <w:rPr>
          <w:rStyle w:val="FootnoteReference"/>
        </w:rPr>
        <w:footnoteReference w:id="49"/>
      </w:r>
      <w:r w:rsidR="00E5710C">
        <w:t xml:space="preserve">  </w:t>
      </w:r>
      <w:r w:rsidR="00385DF3">
        <w:t xml:space="preserve">She is continually portrayed as a powerful woman who impresses </w:t>
      </w:r>
      <w:r w:rsidR="00385DF3">
        <w:lastRenderedPageBreak/>
        <w:t>Xerxes so much during the battle that he declares ‘My men have become women, and my women men’.</w:t>
      </w:r>
      <w:r w:rsidR="00385DF3">
        <w:rPr>
          <w:rStyle w:val="FootnoteReference"/>
        </w:rPr>
        <w:footnoteReference w:id="50"/>
      </w:r>
      <w:r w:rsidR="00385DF3">
        <w:t xml:space="preserve">  </w:t>
      </w:r>
      <w:r w:rsidR="006E403C">
        <w:t xml:space="preserve">This more positive </w:t>
      </w:r>
      <w:r w:rsidR="00DF1FA3">
        <w:t>portrayal</w:t>
      </w:r>
      <w:r w:rsidR="006E403C">
        <w:t xml:space="preserve"> of a powerful woman, who is only Persian through association, is in contrast with the negative </w:t>
      </w:r>
      <w:r w:rsidR="00DF1FA3">
        <w:t>portrayal</w:t>
      </w:r>
      <w:r w:rsidR="006E403C">
        <w:t xml:space="preserve"> already discusse</w:t>
      </w:r>
      <w:r w:rsidR="00921F9B">
        <w:t xml:space="preserve">d on the powerful Persian women. </w:t>
      </w:r>
      <w:r w:rsidR="006E403C">
        <w:t xml:space="preserve"> </w:t>
      </w:r>
      <w:r w:rsidR="00B720C9">
        <w:t>I</w:t>
      </w:r>
      <w:r w:rsidR="006E403C">
        <w:t xml:space="preserve">t is </w:t>
      </w:r>
      <w:r w:rsidR="00514FA0">
        <w:t>notable</w:t>
      </w:r>
      <w:r w:rsidR="006E403C">
        <w:t xml:space="preserve"> how Herodotus has chosen to do this, perhaps to emphasise the position of women in Persian society as the sub</w:t>
      </w:r>
      <w:r w:rsidR="00115539">
        <w:t xml:space="preserve">missive instead of the powerful. </w:t>
      </w:r>
      <w:r w:rsidR="006E403C">
        <w:t xml:space="preserve"> </w:t>
      </w:r>
      <w:r w:rsidR="00115539">
        <w:t>W</w:t>
      </w:r>
      <w:r w:rsidR="006E403C">
        <w:t>hereas</w:t>
      </w:r>
      <w:r w:rsidR="00115539">
        <w:t>,</w:t>
      </w:r>
      <w:r w:rsidR="006E403C">
        <w:t xml:space="preserve"> Artemisia is</w:t>
      </w:r>
      <w:r w:rsidR="00107D51">
        <w:t xml:space="preserve"> positioned in-between the Persian Empire </w:t>
      </w:r>
      <w:r w:rsidR="00565A8F">
        <w:t>while Queen of a Greek province</w:t>
      </w:r>
      <w:r w:rsidR="00107D51">
        <w:t xml:space="preserve"> </w:t>
      </w:r>
      <w:r w:rsidR="00B57728">
        <w:t>and</w:t>
      </w:r>
      <w:r w:rsidR="00107D51">
        <w:t xml:space="preserve"> notably, </w:t>
      </w:r>
      <w:r w:rsidR="00D96582">
        <w:t>Halicarnassus</w:t>
      </w:r>
      <w:r w:rsidR="00107D51">
        <w:t>, Herodotus’ own town, which could suggest a bias.</w:t>
      </w:r>
      <w:r w:rsidR="00D96582">
        <w:t xml:space="preserve">  </w:t>
      </w:r>
      <w:r w:rsidR="00B375ED">
        <w:t>Ultimately though, Artemisia is repo</w:t>
      </w:r>
      <w:r w:rsidR="00C71C1D">
        <w:t>sitioned in the role of a woman</w:t>
      </w:r>
      <w:r w:rsidR="00B375ED">
        <w:t xml:space="preserve"> when she is sent off to Ephesus with Xerxes’ children,</w:t>
      </w:r>
      <w:r w:rsidR="00B375ED">
        <w:rPr>
          <w:rStyle w:val="FootnoteReference"/>
        </w:rPr>
        <w:footnoteReference w:id="51"/>
      </w:r>
      <w:r w:rsidR="00B375ED">
        <w:t xml:space="preserve"> so despite her success and impressiveness</w:t>
      </w:r>
      <w:r w:rsidR="000F77F6">
        <w:t xml:space="preserve"> in battle</w:t>
      </w:r>
      <w:r w:rsidR="00C51901">
        <w:t>, Herodotus’ final presentation of her is in a</w:t>
      </w:r>
      <w:r w:rsidR="00540907">
        <w:t xml:space="preserve"> </w:t>
      </w:r>
      <w:r w:rsidR="00B375ED">
        <w:t>typical female role of caring for the children.</w:t>
      </w:r>
    </w:p>
    <w:p w14:paraId="62EECA9F" w14:textId="77777777" w:rsidR="00CB2551" w:rsidRDefault="00CB2551" w:rsidP="00EB7958">
      <w:pPr>
        <w:spacing w:line="480" w:lineRule="auto"/>
      </w:pPr>
    </w:p>
    <w:p w14:paraId="6A0B4328" w14:textId="422FB83A" w:rsidR="008E3AC8" w:rsidRDefault="00E76F16" w:rsidP="00EB7958">
      <w:pPr>
        <w:spacing w:line="480" w:lineRule="auto"/>
      </w:pPr>
      <w:r>
        <w:t xml:space="preserve">Overall, Herodotus’ presentation of Persian women in the </w:t>
      </w:r>
      <w:r>
        <w:rPr>
          <w:i/>
        </w:rPr>
        <w:t>Histories</w:t>
      </w:r>
      <w:r>
        <w:t xml:space="preserve"> is part of his wider representation of Persia, both through how the Persians treat the women, and the female responses to their treatment.  At the same time, Herodotus is also using them as a direct comparison to </w:t>
      </w:r>
      <w:r w:rsidR="00686D77">
        <w:t>Greek women,</w:t>
      </w:r>
      <w:r w:rsidR="00A84448">
        <w:rPr>
          <w:rStyle w:val="FootnoteReference"/>
        </w:rPr>
        <w:footnoteReference w:id="52"/>
      </w:r>
      <w:r w:rsidR="00686D77">
        <w:t xml:space="preserve"> as he does with cultures throughout the </w:t>
      </w:r>
      <w:r w:rsidR="00686D77">
        <w:rPr>
          <w:i/>
        </w:rPr>
        <w:t>Histories</w:t>
      </w:r>
      <w:r w:rsidR="00686D77">
        <w:t>.</w:t>
      </w:r>
      <w:r w:rsidR="006B6654">
        <w:rPr>
          <w:rStyle w:val="FootnoteReference"/>
        </w:rPr>
        <w:footnoteReference w:id="53"/>
      </w:r>
      <w:r w:rsidR="00A84448">
        <w:t xml:space="preserve">  </w:t>
      </w:r>
      <w:r w:rsidR="001B5980">
        <w:t>Most notably Herodotus is focused on the power of the Persians as a focal point throughout the entire narrative,</w:t>
      </w:r>
      <w:r w:rsidR="00331547">
        <w:t xml:space="preserve"> and so the portrayal of powerful women is just as important.</w:t>
      </w:r>
      <w:r w:rsidR="007C27A8">
        <w:t xml:space="preserve">  It is </w:t>
      </w:r>
      <w:r w:rsidR="00A32D8F">
        <w:t>worthy of mention</w:t>
      </w:r>
      <w:r w:rsidR="007C27A8">
        <w:t xml:space="preserve"> that some scholars have emphasised the ‘otherness’ of the Persians</w:t>
      </w:r>
      <w:r w:rsidR="000A34F4">
        <w:t>,</w:t>
      </w:r>
      <w:r w:rsidR="007C27A8">
        <w:t xml:space="preserve"> and Herodotus’ presentation of non-Greeks</w:t>
      </w:r>
      <w:r w:rsidR="000A34F4">
        <w:t xml:space="preserve">, </w:t>
      </w:r>
      <w:r w:rsidR="007C27A8">
        <w:t xml:space="preserve">as a narrative technique.  This has </w:t>
      </w:r>
      <w:r w:rsidR="00F62D7C">
        <w:t>led</w:t>
      </w:r>
      <w:r w:rsidR="007C27A8">
        <w:t xml:space="preserve"> to </w:t>
      </w:r>
      <w:r w:rsidR="00030C6B">
        <w:t>scholarship</w:t>
      </w:r>
      <w:r w:rsidR="007C27A8">
        <w:t xml:space="preserve"> ultimately</w:t>
      </w:r>
      <w:r w:rsidR="00030C6B">
        <w:t xml:space="preserve"> interpreting</w:t>
      </w:r>
      <w:r w:rsidR="007C27A8">
        <w:t xml:space="preserve"> the Persian women in a negative </w:t>
      </w:r>
      <w:r w:rsidR="007C27A8">
        <w:lastRenderedPageBreak/>
        <w:t>manner,</w:t>
      </w:r>
      <w:r w:rsidR="007C27A8">
        <w:rPr>
          <w:rStyle w:val="FootnoteReference"/>
        </w:rPr>
        <w:footnoteReference w:id="54"/>
      </w:r>
      <w:r w:rsidR="007C27A8">
        <w:t xml:space="preserve"> contrary to Herodotus’ aims of detailing the marvellous deeds of non-Greeks </w:t>
      </w:r>
      <w:r w:rsidR="00636A28">
        <w:t xml:space="preserve">with </w:t>
      </w:r>
      <w:r w:rsidR="007C27A8">
        <w:t>as much</w:t>
      </w:r>
      <w:r w:rsidR="00636A28">
        <w:t xml:space="preserve"> care</w:t>
      </w:r>
      <w:r w:rsidR="007C27A8">
        <w:t xml:space="preserve"> as</w:t>
      </w:r>
      <w:r w:rsidR="00434203">
        <w:t xml:space="preserve"> his treatment of the</w:t>
      </w:r>
      <w:r w:rsidR="007C27A8">
        <w:t xml:space="preserve"> Greeks, as stated in his proem,</w:t>
      </w:r>
      <w:r w:rsidR="00ED7F43">
        <w:rPr>
          <w:rStyle w:val="FootnoteReference"/>
        </w:rPr>
        <w:footnoteReference w:id="55"/>
      </w:r>
      <w:r w:rsidR="007C27A8">
        <w:t xml:space="preserve"> with little </w:t>
      </w:r>
      <w:r w:rsidR="00F62D7C">
        <w:t>bias to either side.</w:t>
      </w:r>
    </w:p>
    <w:p w14:paraId="1C8B0F58" w14:textId="77777777" w:rsidR="00E76F16" w:rsidRPr="008B4AB5" w:rsidRDefault="00E76F16" w:rsidP="001D606C"/>
    <w:p w14:paraId="7D80C24E" w14:textId="5D45E36F" w:rsidR="00405634" w:rsidRPr="008853C0" w:rsidRDefault="008853C0" w:rsidP="001D606C">
      <w:pPr>
        <w:rPr>
          <w:b/>
        </w:rPr>
      </w:pPr>
      <w:r>
        <w:rPr>
          <w:b/>
        </w:rPr>
        <w:t>W</w:t>
      </w:r>
      <w:r w:rsidR="00BA5AA7">
        <w:rPr>
          <w:b/>
        </w:rPr>
        <w:t>ord Count: 2456</w:t>
      </w:r>
    </w:p>
    <w:p w14:paraId="38B664EB" w14:textId="18C51A3B" w:rsidR="004152BB" w:rsidRDefault="004152BB">
      <w:r>
        <w:br w:type="page"/>
      </w:r>
      <w:bookmarkStart w:id="0" w:name="_GoBack"/>
      <w:bookmarkEnd w:id="0"/>
    </w:p>
    <w:sdt>
      <w:sdtPr>
        <w:rPr>
          <w:rFonts w:asciiTheme="minorHAnsi" w:eastAsiaTheme="minorHAnsi" w:hAnsiTheme="minorHAnsi" w:cstheme="minorBidi"/>
          <w:color w:val="auto"/>
          <w:sz w:val="22"/>
          <w:szCs w:val="22"/>
          <w:lang w:val="en-GB"/>
        </w:rPr>
        <w:id w:val="-1111665562"/>
        <w:docPartObj>
          <w:docPartGallery w:val="Bibliographies"/>
          <w:docPartUnique/>
        </w:docPartObj>
      </w:sdtPr>
      <w:sdtEndPr/>
      <w:sdtContent>
        <w:p w14:paraId="672A96E6" w14:textId="01D4E196" w:rsidR="004152BB" w:rsidRDefault="004152BB">
          <w:pPr>
            <w:pStyle w:val="Heading1"/>
          </w:pPr>
          <w:r>
            <w:t>Bibliography</w:t>
          </w:r>
        </w:p>
        <w:sdt>
          <w:sdtPr>
            <w:id w:val="111145805"/>
            <w:bibliography/>
          </w:sdtPr>
          <w:sdtEndPr/>
          <w:sdtContent>
            <w:p w14:paraId="1661211D" w14:textId="41E85A77" w:rsidR="004B60B0" w:rsidRDefault="006F5EC9" w:rsidP="004152BB">
              <w:pPr>
                <w:pStyle w:val="Bibliography"/>
                <w:rPr>
                  <w:b/>
                </w:rPr>
              </w:pPr>
              <w:r>
                <w:rPr>
                  <w:b/>
                </w:rPr>
                <w:t>Ancient Sources</w:t>
              </w:r>
            </w:p>
            <w:p w14:paraId="4E3D4FC2" w14:textId="4EB95010" w:rsidR="00950AF4" w:rsidRDefault="00950AF4" w:rsidP="006F5EC9">
              <w:r>
                <w:t xml:space="preserve">Aeschylus., </w:t>
              </w:r>
              <w:r>
                <w:rPr>
                  <w:i/>
                </w:rPr>
                <w:t>Persians</w:t>
              </w:r>
              <w:r w:rsidR="00F079DD">
                <w:rPr>
                  <w:i/>
                </w:rPr>
                <w:t xml:space="preserve"> and Other Plays, </w:t>
              </w:r>
              <w:r w:rsidR="00F079DD">
                <w:t>Christopher Collard (trans.), 2008, Oxford: Oxford University Press.</w:t>
              </w:r>
            </w:p>
            <w:p w14:paraId="29825DD3" w14:textId="2861EC1B" w:rsidR="006F0ACB" w:rsidRDefault="006F0ACB" w:rsidP="006F5EC9">
              <w:r>
                <w:t xml:space="preserve">Aristophanes., </w:t>
              </w:r>
              <w:r>
                <w:rPr>
                  <w:i/>
                </w:rPr>
                <w:t xml:space="preserve">The </w:t>
              </w:r>
              <w:r w:rsidR="00EE33E4">
                <w:rPr>
                  <w:i/>
                </w:rPr>
                <w:t xml:space="preserve">Frogs and Other Plays, </w:t>
              </w:r>
              <w:r w:rsidR="00EE33E4">
                <w:t>D. Barrett (trans</w:t>
              </w:r>
              <w:r w:rsidR="00F079DD">
                <w:t>.</w:t>
              </w:r>
              <w:r w:rsidR="00EE33E4">
                <w:t>), 1964, London: Penguin Classics</w:t>
              </w:r>
              <w:r w:rsidR="00433208">
                <w:t>.</w:t>
              </w:r>
            </w:p>
            <w:p w14:paraId="2C514A63" w14:textId="705E540A" w:rsidR="006F0ACB" w:rsidRDefault="006F0ACB" w:rsidP="006F5EC9">
              <w:pPr>
                <w:rPr>
                  <w:i/>
                </w:rPr>
              </w:pPr>
              <w:r>
                <w:t xml:space="preserve">Euripides., </w:t>
              </w:r>
              <w:r>
                <w:rPr>
                  <w:i/>
                </w:rPr>
                <w:t>Medea</w:t>
              </w:r>
              <w:r w:rsidR="00A012E8">
                <w:rPr>
                  <w:i/>
                </w:rPr>
                <w:t xml:space="preserve"> and Other Plays, </w:t>
              </w:r>
              <w:r w:rsidR="00A012E8">
                <w:t>Philip Vellacott (trans.), 2000, London: Penguin Classics.</w:t>
              </w:r>
            </w:p>
            <w:p w14:paraId="7DFE45C0" w14:textId="5135DD43" w:rsidR="006F0ACB" w:rsidRDefault="006F0ACB" w:rsidP="006F5EC9">
              <w:r>
                <w:t xml:space="preserve">Euripides., </w:t>
              </w:r>
              <w:r w:rsidR="006C7A9B">
                <w:rPr>
                  <w:i/>
                </w:rPr>
                <w:t xml:space="preserve">Alcestis, and Other Plays, </w:t>
              </w:r>
              <w:r w:rsidR="006C7A9B">
                <w:t>Philip Vellacott (trans.), 1995, London: Penguin Classics.</w:t>
              </w:r>
            </w:p>
            <w:p w14:paraId="09E358E8" w14:textId="3ECBBF9A" w:rsidR="006F5EC9" w:rsidRPr="006F5EC9" w:rsidRDefault="006F5EC9" w:rsidP="006F5EC9">
              <w:r w:rsidRPr="006F5EC9">
                <w:t xml:space="preserve">Herodotus., </w:t>
              </w:r>
              <w:r w:rsidRPr="006F5EC9">
                <w:rPr>
                  <w:i/>
                </w:rPr>
                <w:t>The Histories</w:t>
              </w:r>
              <w:r w:rsidRPr="006F5EC9">
                <w:t>, Tom Holland (trans.), 2013, London: Penguin</w:t>
              </w:r>
              <w:r w:rsidR="00681A65">
                <w:t xml:space="preserve"> Classics</w:t>
              </w:r>
              <w:r w:rsidRPr="006F5EC9">
                <w:t>.</w:t>
              </w:r>
            </w:p>
            <w:p w14:paraId="1D4C80C9" w14:textId="758B923A" w:rsidR="004B60B0" w:rsidRDefault="006F5EC9" w:rsidP="006F5EC9">
              <w:pPr>
                <w:pStyle w:val="Bibliography"/>
              </w:pPr>
              <w:r w:rsidRPr="006F5EC9">
                <w:t xml:space="preserve">Herodotus., </w:t>
              </w:r>
              <w:r w:rsidRPr="007E311C">
                <w:rPr>
                  <w:i/>
                </w:rPr>
                <w:t>The Histories</w:t>
              </w:r>
              <w:r w:rsidRPr="006F5EC9">
                <w:t>, George Rawlinson (trans.), 1996, Ware: Wordsworth Classics</w:t>
              </w:r>
              <w:r>
                <w:t>.</w:t>
              </w:r>
            </w:p>
            <w:p w14:paraId="0675A805" w14:textId="0B5402C2" w:rsidR="00681A65" w:rsidRPr="00681A65" w:rsidRDefault="00681A65" w:rsidP="00681A65">
              <w:r>
                <w:t xml:space="preserve">Thucydides., </w:t>
              </w:r>
              <w:r w:rsidRPr="00681A65">
                <w:rPr>
                  <w:i/>
                </w:rPr>
                <w:t>History of the</w:t>
              </w:r>
              <w:r>
                <w:rPr>
                  <w:i/>
                </w:rPr>
                <w:t xml:space="preserve"> Peloponnesian War</w:t>
              </w:r>
              <w:r>
                <w:t>, Rex Warner (trans.), 2000, London: Penguin Classics</w:t>
              </w:r>
            </w:p>
            <w:p w14:paraId="2F06BB21" w14:textId="3834BED6" w:rsidR="006F5EC9" w:rsidRPr="006F5EC9" w:rsidRDefault="007E311C" w:rsidP="006F5EC9">
              <w:r>
                <w:t xml:space="preserve">Xenophon., </w:t>
              </w:r>
              <w:r>
                <w:rPr>
                  <w:i/>
                </w:rPr>
                <w:t xml:space="preserve">On Household Management [Oeconomicus], </w:t>
              </w:r>
              <w:r w:rsidR="009F5F04">
                <w:t xml:space="preserve">1897, </w:t>
              </w:r>
              <w:r w:rsidR="00D814BF">
                <w:t>Adelaide: University of Adelaide.</w:t>
              </w:r>
            </w:p>
            <w:p w14:paraId="72F4280D" w14:textId="77777777" w:rsidR="006F5EC9" w:rsidRPr="006F5EC9" w:rsidRDefault="006F5EC9" w:rsidP="006F5EC9"/>
            <w:p w14:paraId="3D3CD611" w14:textId="20769215" w:rsidR="004B60B0" w:rsidRPr="004B60B0" w:rsidRDefault="004B60B0" w:rsidP="004B60B0">
              <w:pPr>
                <w:rPr>
                  <w:b/>
                </w:rPr>
              </w:pPr>
              <w:r>
                <w:rPr>
                  <w:b/>
                </w:rPr>
                <w:t>Modern Scholarship</w:t>
              </w:r>
            </w:p>
            <w:p w14:paraId="01C17B32" w14:textId="591BDF25" w:rsidR="004152BB" w:rsidRDefault="004152BB" w:rsidP="004152BB">
              <w:pPr>
                <w:pStyle w:val="Bibliography"/>
                <w:rPr>
                  <w:noProof/>
                  <w:sz w:val="24"/>
                  <w:szCs w:val="24"/>
                  <w:lang w:val="en-US"/>
                </w:rPr>
              </w:pPr>
              <w:r>
                <w:fldChar w:fldCharType="begin"/>
              </w:r>
              <w:r>
                <w:instrText xml:space="preserve"> BIBLIOGRAPHY </w:instrText>
              </w:r>
              <w:r>
                <w:fldChar w:fldCharType="separate"/>
              </w:r>
              <w:r>
                <w:rPr>
                  <w:noProof/>
                  <w:lang w:val="en-US"/>
                </w:rPr>
                <w:t xml:space="preserve">Cartledge, P. &amp; Greenwood, E., 2002. Herodotus as a critic: truth, fiction, polarity. In: E. J. Bakker, I. J. F. d. Jong &amp; H. v. Wees, eds. </w:t>
              </w:r>
              <w:r>
                <w:rPr>
                  <w:i/>
                  <w:iCs/>
                  <w:noProof/>
                  <w:lang w:val="en-US"/>
                </w:rPr>
                <w:t xml:space="preserve">Brill's Companion to Herodotus. </w:t>
              </w:r>
              <w:r>
                <w:rPr>
                  <w:noProof/>
                  <w:lang w:val="en-US"/>
                </w:rPr>
                <w:t>Leiden; Boston: Brill's Academic, pp. 351-71.</w:t>
              </w:r>
            </w:p>
            <w:p w14:paraId="769FDAF1" w14:textId="77777777" w:rsidR="004152BB" w:rsidRDefault="004152BB" w:rsidP="004152BB">
              <w:pPr>
                <w:pStyle w:val="Bibliography"/>
                <w:rPr>
                  <w:noProof/>
                  <w:lang w:val="en-US"/>
                </w:rPr>
              </w:pPr>
              <w:r>
                <w:rPr>
                  <w:noProof/>
                  <w:lang w:val="en-US"/>
                </w:rPr>
                <w:t xml:space="preserve">Dillery, J., 2008. Review: Women in Herodotus: When Women Interfere. Studies in the Role of Women in Herodotus' "Histories" by M. W. Hazewindus. </w:t>
              </w:r>
              <w:r>
                <w:rPr>
                  <w:i/>
                  <w:iCs/>
                  <w:noProof/>
                  <w:lang w:val="en-US"/>
                </w:rPr>
                <w:t xml:space="preserve">The Classical Review, </w:t>
              </w:r>
              <w:r>
                <w:rPr>
                  <w:noProof/>
                  <w:lang w:val="en-US"/>
                </w:rPr>
                <w:t>58(1), pp. 38-40.</w:t>
              </w:r>
            </w:p>
            <w:p w14:paraId="6D9F4F14" w14:textId="77777777" w:rsidR="004152BB" w:rsidRDefault="004152BB" w:rsidP="004152BB">
              <w:pPr>
                <w:pStyle w:val="Bibliography"/>
                <w:rPr>
                  <w:noProof/>
                  <w:lang w:val="en-US"/>
                </w:rPr>
              </w:pPr>
              <w:r>
                <w:rPr>
                  <w:noProof/>
                  <w:lang w:val="en-US"/>
                </w:rPr>
                <w:t xml:space="preserve">Dominick, Y. H., 2007. Acting Other: Atossa and Instability in Herodotus. </w:t>
              </w:r>
              <w:r>
                <w:rPr>
                  <w:i/>
                  <w:iCs/>
                  <w:noProof/>
                  <w:lang w:val="en-US"/>
                </w:rPr>
                <w:t xml:space="preserve">The Classical Quarterly , </w:t>
              </w:r>
              <w:r>
                <w:rPr>
                  <w:noProof/>
                  <w:lang w:val="en-US"/>
                </w:rPr>
                <w:t>57(2), pp. 432-444.</w:t>
              </w:r>
            </w:p>
            <w:p w14:paraId="13A9A908" w14:textId="77777777" w:rsidR="004152BB" w:rsidRDefault="004152BB" w:rsidP="004152BB">
              <w:pPr>
                <w:pStyle w:val="Bibliography"/>
                <w:rPr>
                  <w:noProof/>
                  <w:lang w:val="en-US"/>
                </w:rPr>
              </w:pPr>
              <w:r>
                <w:rPr>
                  <w:noProof/>
                  <w:lang w:val="en-US"/>
                </w:rPr>
                <w:t xml:space="preserve">Flower, M. A. &amp; Marincola, J., 2002. </w:t>
              </w:r>
              <w:r>
                <w:rPr>
                  <w:i/>
                  <w:iCs/>
                  <w:noProof/>
                  <w:lang w:val="en-US"/>
                </w:rPr>
                <w:t xml:space="preserve">Herodotus Histories Boox IX. </w:t>
              </w:r>
              <w:r>
                <w:rPr>
                  <w:noProof/>
                  <w:lang w:val="en-US"/>
                </w:rPr>
                <w:t>Cambridge: Cambridge University Press.</w:t>
              </w:r>
            </w:p>
            <w:p w14:paraId="6EC647A2" w14:textId="77777777" w:rsidR="004152BB" w:rsidRDefault="004152BB" w:rsidP="004152BB">
              <w:pPr>
                <w:pStyle w:val="Bibliography"/>
                <w:rPr>
                  <w:noProof/>
                  <w:lang w:val="en-US"/>
                </w:rPr>
              </w:pPr>
              <w:r>
                <w:rPr>
                  <w:noProof/>
                  <w:lang w:val="en-US"/>
                </w:rPr>
                <w:t xml:space="preserve">Gammie, J. G., 1986. Herodotus on Kings and Tyrants: Objective Historiography or Conventional Portraiture?. </w:t>
              </w:r>
              <w:r>
                <w:rPr>
                  <w:i/>
                  <w:iCs/>
                  <w:noProof/>
                  <w:lang w:val="en-US"/>
                </w:rPr>
                <w:t xml:space="preserve">Journal of Near Eastern Studies, </w:t>
              </w:r>
              <w:r>
                <w:rPr>
                  <w:noProof/>
                  <w:lang w:val="en-US"/>
                </w:rPr>
                <w:t>45(3), pp. 171-195.</w:t>
              </w:r>
            </w:p>
            <w:p w14:paraId="47B706BD" w14:textId="77777777" w:rsidR="004152BB" w:rsidRDefault="004152BB" w:rsidP="004152BB">
              <w:pPr>
                <w:pStyle w:val="Bibliography"/>
                <w:rPr>
                  <w:noProof/>
                  <w:lang w:val="en-US"/>
                </w:rPr>
              </w:pPr>
              <w:r>
                <w:rPr>
                  <w:noProof/>
                  <w:lang w:val="en-US"/>
                </w:rPr>
                <w:t xml:space="preserve">Gray, V., 1995. 1995. </w:t>
              </w:r>
              <w:r>
                <w:rPr>
                  <w:i/>
                  <w:iCs/>
                  <w:noProof/>
                  <w:lang w:val="en-US"/>
                </w:rPr>
                <w:t xml:space="preserve">American Journal of Philology, </w:t>
              </w:r>
              <w:r>
                <w:rPr>
                  <w:noProof/>
                  <w:lang w:val="en-US"/>
                </w:rPr>
                <w:t>116(2), p. 208.</w:t>
              </w:r>
            </w:p>
            <w:p w14:paraId="538A6849" w14:textId="77777777" w:rsidR="004152BB" w:rsidRDefault="004152BB" w:rsidP="004152BB">
              <w:pPr>
                <w:pStyle w:val="Bibliography"/>
                <w:rPr>
                  <w:noProof/>
                  <w:lang w:val="en-US"/>
                </w:rPr>
              </w:pPr>
              <w:r>
                <w:rPr>
                  <w:noProof/>
                  <w:lang w:val="en-US"/>
                </w:rPr>
                <w:t xml:space="preserve">Griffith, R. D., 2011. An offer you can't retract: Xerxes' nod and Masistes' wife (Herodotus 9.111.1). </w:t>
              </w:r>
              <w:r>
                <w:rPr>
                  <w:i/>
                  <w:iCs/>
                  <w:noProof/>
                  <w:lang w:val="en-US"/>
                </w:rPr>
                <w:t xml:space="preserve">The Classical Quarterly, </w:t>
              </w:r>
              <w:r>
                <w:rPr>
                  <w:noProof/>
                  <w:lang w:val="en-US"/>
                </w:rPr>
                <w:t>pp. 310-312.</w:t>
              </w:r>
            </w:p>
            <w:p w14:paraId="7FCF9A5F" w14:textId="77777777" w:rsidR="004152BB" w:rsidRDefault="004152BB" w:rsidP="004152BB">
              <w:pPr>
                <w:pStyle w:val="Bibliography"/>
                <w:rPr>
                  <w:noProof/>
                  <w:lang w:val="en-US"/>
                </w:rPr>
              </w:pPr>
              <w:r>
                <w:rPr>
                  <w:noProof/>
                  <w:lang w:val="en-US"/>
                </w:rPr>
                <w:t xml:space="preserve">Hazewindus, M. W., 2004. </w:t>
              </w:r>
              <w:r>
                <w:rPr>
                  <w:i/>
                  <w:iCs/>
                  <w:noProof/>
                  <w:lang w:val="en-US"/>
                </w:rPr>
                <w:t xml:space="preserve">When Women Interfere. Studies in the Role of Women in Herodotus' Histories. </w:t>
              </w:r>
              <w:r>
                <w:rPr>
                  <w:noProof/>
                  <w:lang w:val="en-US"/>
                </w:rPr>
                <w:t>Amsterdam: Amsterdam Studies in Classical Philology, Volume 12.</w:t>
              </w:r>
            </w:p>
            <w:p w14:paraId="5A623741" w14:textId="77777777" w:rsidR="004152BB" w:rsidRDefault="004152BB" w:rsidP="004152BB">
              <w:pPr>
                <w:pStyle w:val="Bibliography"/>
                <w:rPr>
                  <w:noProof/>
                  <w:lang w:val="en-US"/>
                </w:rPr>
              </w:pPr>
              <w:r>
                <w:rPr>
                  <w:noProof/>
                  <w:lang w:val="en-US"/>
                </w:rPr>
                <w:t xml:space="preserve">Holland, T., 2013. </w:t>
              </w:r>
              <w:r>
                <w:rPr>
                  <w:i/>
                  <w:iCs/>
                  <w:noProof/>
                  <w:lang w:val="en-US"/>
                </w:rPr>
                <w:t xml:space="preserve">Herodotus: The Histories. </w:t>
              </w:r>
              <w:r>
                <w:rPr>
                  <w:noProof/>
                  <w:lang w:val="en-US"/>
                </w:rPr>
                <w:t>London: Penguin Classics.</w:t>
              </w:r>
            </w:p>
            <w:p w14:paraId="04EEA57D" w14:textId="77777777" w:rsidR="004152BB" w:rsidRDefault="004152BB" w:rsidP="004152BB">
              <w:pPr>
                <w:pStyle w:val="Bibliography"/>
                <w:rPr>
                  <w:noProof/>
                  <w:lang w:val="en-US"/>
                </w:rPr>
              </w:pPr>
              <w:r>
                <w:rPr>
                  <w:noProof/>
                  <w:lang w:val="en-US"/>
                </w:rPr>
                <w:t xml:space="preserve">How, W. W. &amp; Wells, J., 1912. </w:t>
              </w:r>
              <w:r>
                <w:rPr>
                  <w:i/>
                  <w:iCs/>
                  <w:noProof/>
                  <w:lang w:val="en-US"/>
                </w:rPr>
                <w:t xml:space="preserve">A Commentary on Herodotus. </w:t>
              </w:r>
              <w:r>
                <w:rPr>
                  <w:noProof/>
                  <w:lang w:val="en-US"/>
                </w:rPr>
                <w:t>Oxford: s.n.</w:t>
              </w:r>
            </w:p>
            <w:p w14:paraId="524F5CF7" w14:textId="77777777" w:rsidR="004152BB" w:rsidRDefault="004152BB" w:rsidP="004152BB">
              <w:pPr>
                <w:pStyle w:val="Bibliography"/>
                <w:rPr>
                  <w:noProof/>
                  <w:lang w:val="en-US"/>
                </w:rPr>
              </w:pPr>
              <w:r>
                <w:rPr>
                  <w:noProof/>
                  <w:lang w:val="en-US"/>
                </w:rPr>
                <w:t xml:space="preserve">Larson, S., 2006. Kandaules' Wife, Masistes' Wife: Herodotus' Narrative Strategy in Suppressing Names of Women: (Hdt. 1.8-12 and 9.108-13). </w:t>
              </w:r>
              <w:r>
                <w:rPr>
                  <w:i/>
                  <w:iCs/>
                  <w:noProof/>
                  <w:lang w:val="en-US"/>
                </w:rPr>
                <w:t xml:space="preserve">The Classical Journal, </w:t>
              </w:r>
              <w:r>
                <w:rPr>
                  <w:noProof/>
                  <w:lang w:val="en-US"/>
                </w:rPr>
                <w:t>101(3), pp. 225-244.</w:t>
              </w:r>
            </w:p>
            <w:p w14:paraId="49AE3E2E" w14:textId="77777777" w:rsidR="004152BB" w:rsidRDefault="004152BB" w:rsidP="004152BB">
              <w:pPr>
                <w:pStyle w:val="Bibliography"/>
                <w:rPr>
                  <w:noProof/>
                  <w:lang w:val="en-US"/>
                </w:rPr>
              </w:pPr>
              <w:r>
                <w:rPr>
                  <w:noProof/>
                  <w:lang w:val="en-US"/>
                </w:rPr>
                <w:t xml:space="preserve">Macan, R. W., 1908. </w:t>
              </w:r>
              <w:r>
                <w:rPr>
                  <w:i/>
                  <w:iCs/>
                  <w:noProof/>
                  <w:lang w:val="en-US"/>
                </w:rPr>
                <w:t xml:space="preserve">Herodotus: The Seventh, Eigth and Ninth Books. </w:t>
              </w:r>
              <w:r>
                <w:rPr>
                  <w:noProof/>
                  <w:lang w:val="en-US"/>
                </w:rPr>
                <w:t>London: s.n.</w:t>
              </w:r>
            </w:p>
            <w:p w14:paraId="3C944B5E" w14:textId="77777777" w:rsidR="004152BB" w:rsidRDefault="004152BB" w:rsidP="004152BB">
              <w:pPr>
                <w:pStyle w:val="Bibliography"/>
                <w:rPr>
                  <w:noProof/>
                  <w:lang w:val="en-US"/>
                </w:rPr>
              </w:pPr>
              <w:r>
                <w:rPr>
                  <w:noProof/>
                  <w:lang w:val="en-US"/>
                </w:rPr>
                <w:lastRenderedPageBreak/>
                <w:t xml:space="preserve">Munson, R. V., 2001. </w:t>
              </w:r>
              <w:r>
                <w:rPr>
                  <w:i/>
                  <w:iCs/>
                  <w:noProof/>
                  <w:lang w:val="en-US"/>
                </w:rPr>
                <w:t xml:space="preserve">Telling Wonders: Ethnographic and Political Discourse in the Work of Herodotus. </w:t>
              </w:r>
              <w:r>
                <w:rPr>
                  <w:noProof/>
                  <w:lang w:val="en-US"/>
                </w:rPr>
                <w:t>s.l.:Ann Arbor.</w:t>
              </w:r>
            </w:p>
            <w:p w14:paraId="201C3B21" w14:textId="77777777" w:rsidR="004152BB" w:rsidRDefault="004152BB" w:rsidP="004152BB">
              <w:pPr>
                <w:pStyle w:val="Bibliography"/>
                <w:rPr>
                  <w:noProof/>
                  <w:lang w:val="en-US"/>
                </w:rPr>
              </w:pPr>
              <w:r>
                <w:rPr>
                  <w:noProof/>
                  <w:lang w:val="en-US"/>
                </w:rPr>
                <w:t xml:space="preserve">Perason, L., 1954. Real and Conventional Personalities in Greek History. </w:t>
              </w:r>
              <w:r>
                <w:rPr>
                  <w:i/>
                  <w:iCs/>
                  <w:noProof/>
                  <w:lang w:val="en-US"/>
                </w:rPr>
                <w:t xml:space="preserve">Journal of the History of Ideas, </w:t>
              </w:r>
              <w:r>
                <w:rPr>
                  <w:noProof/>
                  <w:lang w:val="en-US"/>
                </w:rPr>
                <w:t>Volume 15, pp. 136-45.</w:t>
              </w:r>
            </w:p>
            <w:p w14:paraId="76151CA1" w14:textId="77777777" w:rsidR="004152BB" w:rsidRDefault="004152BB" w:rsidP="004152BB">
              <w:pPr>
                <w:pStyle w:val="Bibliography"/>
                <w:rPr>
                  <w:noProof/>
                  <w:lang w:val="en-US"/>
                </w:rPr>
              </w:pPr>
              <w:r>
                <w:rPr>
                  <w:noProof/>
                  <w:lang w:val="en-US"/>
                </w:rPr>
                <w:t xml:space="preserve">Schuckburgh, E. S., 1954. </w:t>
              </w:r>
              <w:r>
                <w:rPr>
                  <w:i/>
                  <w:iCs/>
                  <w:noProof/>
                  <w:lang w:val="en-US"/>
                </w:rPr>
                <w:t xml:space="preserve">Herodotus IX: Kalliope. </w:t>
              </w:r>
              <w:r>
                <w:rPr>
                  <w:noProof/>
                  <w:lang w:val="en-US"/>
                </w:rPr>
                <w:t>Cambridge: s.n.</w:t>
              </w:r>
            </w:p>
            <w:p w14:paraId="22F83CCF" w14:textId="77777777" w:rsidR="004152BB" w:rsidRDefault="004152BB" w:rsidP="004152BB">
              <w:pPr>
                <w:pStyle w:val="Bibliography"/>
                <w:rPr>
                  <w:noProof/>
                  <w:lang w:val="en-US"/>
                </w:rPr>
              </w:pPr>
              <w:r>
                <w:rPr>
                  <w:noProof/>
                  <w:lang w:val="en-US"/>
                </w:rPr>
                <w:t xml:space="preserve">Spath, T., 1968. </w:t>
              </w:r>
              <w:r>
                <w:rPr>
                  <w:i/>
                  <w:iCs/>
                  <w:noProof/>
                  <w:lang w:val="en-US"/>
                </w:rPr>
                <w:t xml:space="preserve">Das Motiv der doppelten Beleuchtung. </w:t>
              </w:r>
              <w:r>
                <w:rPr>
                  <w:noProof/>
                  <w:lang w:val="en-US"/>
                </w:rPr>
                <w:t>Vienna: Dissertation der Universitat Wien.</w:t>
              </w:r>
            </w:p>
            <w:p w14:paraId="28418F77" w14:textId="77777777" w:rsidR="004152BB" w:rsidRDefault="004152BB" w:rsidP="004152BB">
              <w:pPr>
                <w:pStyle w:val="Bibliography"/>
                <w:rPr>
                  <w:noProof/>
                  <w:lang w:val="en-US"/>
                </w:rPr>
              </w:pPr>
              <w:r>
                <w:rPr>
                  <w:noProof/>
                  <w:lang w:val="en-US"/>
                </w:rPr>
                <w:t xml:space="preserve">Tuplin, C., 2008. Herodotus on Persia and the Persian Empire. In: </w:t>
              </w:r>
              <w:r>
                <w:rPr>
                  <w:i/>
                  <w:iCs/>
                  <w:noProof/>
                  <w:lang w:val="en-US"/>
                </w:rPr>
                <w:t xml:space="preserve">The Landmark Herodotus. </w:t>
              </w:r>
              <w:r>
                <w:rPr>
                  <w:noProof/>
                  <w:lang w:val="en-US"/>
                </w:rPr>
                <w:t>London: Quercus, pp. 792-797.</w:t>
              </w:r>
            </w:p>
            <w:p w14:paraId="76299FE5" w14:textId="77777777" w:rsidR="004152BB" w:rsidRDefault="004152BB" w:rsidP="004152BB">
              <w:pPr>
                <w:pStyle w:val="Bibliography"/>
                <w:rPr>
                  <w:noProof/>
                  <w:lang w:val="en-US"/>
                </w:rPr>
              </w:pPr>
              <w:r>
                <w:rPr>
                  <w:noProof/>
                  <w:lang w:val="en-US"/>
                </w:rPr>
                <w:t xml:space="preserve">Waters, K. H., 1971. </w:t>
              </w:r>
              <w:r>
                <w:rPr>
                  <w:i/>
                  <w:iCs/>
                  <w:noProof/>
                  <w:lang w:val="en-US"/>
                </w:rPr>
                <w:t xml:space="preserve">Herodotus on Tyrants and Despots: A Study in Objectivity. </w:t>
              </w:r>
              <w:r>
                <w:rPr>
                  <w:noProof/>
                  <w:lang w:val="en-US"/>
                </w:rPr>
                <w:t>Wiesbaden: Historia Einzelschriften.</w:t>
              </w:r>
            </w:p>
            <w:p w14:paraId="35E801F6" w14:textId="77777777" w:rsidR="004152BB" w:rsidRDefault="004152BB" w:rsidP="004152BB">
              <w:pPr>
                <w:pStyle w:val="Bibliography"/>
                <w:rPr>
                  <w:noProof/>
                  <w:lang w:val="en-US"/>
                </w:rPr>
              </w:pPr>
              <w:r>
                <w:rPr>
                  <w:noProof/>
                  <w:lang w:val="en-US"/>
                </w:rPr>
                <w:t xml:space="preserve">Wenghofer, R., 2014. Sexual Promiscuity of Non-Greeks in Herodotus' Histories. </w:t>
              </w:r>
              <w:r>
                <w:rPr>
                  <w:i/>
                  <w:iCs/>
                  <w:noProof/>
                  <w:lang w:val="en-US"/>
                </w:rPr>
                <w:t xml:space="preserve">Classical World, </w:t>
              </w:r>
              <w:r>
                <w:rPr>
                  <w:noProof/>
                  <w:lang w:val="en-US"/>
                </w:rPr>
                <w:t>107(4), pp. 515-534.</w:t>
              </w:r>
            </w:p>
            <w:p w14:paraId="67EBEAF7" w14:textId="38CF3FF1" w:rsidR="004152BB" w:rsidRDefault="004152BB" w:rsidP="004152BB">
              <w:r>
                <w:rPr>
                  <w:b/>
                  <w:bCs/>
                  <w:noProof/>
                </w:rPr>
                <w:fldChar w:fldCharType="end"/>
              </w:r>
            </w:p>
          </w:sdtContent>
        </w:sdt>
      </w:sdtContent>
    </w:sdt>
    <w:p w14:paraId="5C8C0B85" w14:textId="77777777" w:rsidR="003C62E9" w:rsidRPr="001D606C" w:rsidRDefault="003C62E9" w:rsidP="001D606C"/>
    <w:sectPr w:rsidR="003C62E9" w:rsidRPr="001D60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43FCB" w14:textId="77777777" w:rsidR="00A84448" w:rsidRDefault="00A84448" w:rsidP="001118B7">
      <w:pPr>
        <w:spacing w:after="0" w:line="240" w:lineRule="auto"/>
      </w:pPr>
      <w:r>
        <w:separator/>
      </w:r>
    </w:p>
  </w:endnote>
  <w:endnote w:type="continuationSeparator" w:id="0">
    <w:p w14:paraId="764E8968" w14:textId="77777777" w:rsidR="00A84448" w:rsidRDefault="00A84448" w:rsidP="00111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3D924" w14:textId="77777777" w:rsidR="00A84448" w:rsidRDefault="00A84448" w:rsidP="001118B7">
      <w:pPr>
        <w:spacing w:after="0" w:line="240" w:lineRule="auto"/>
      </w:pPr>
      <w:r>
        <w:separator/>
      </w:r>
    </w:p>
  </w:footnote>
  <w:footnote w:type="continuationSeparator" w:id="0">
    <w:p w14:paraId="2E7FFD82" w14:textId="77777777" w:rsidR="00A84448" w:rsidRDefault="00A84448" w:rsidP="001118B7">
      <w:pPr>
        <w:spacing w:after="0" w:line="240" w:lineRule="auto"/>
      </w:pPr>
      <w:r>
        <w:continuationSeparator/>
      </w:r>
    </w:p>
  </w:footnote>
  <w:footnote w:id="1">
    <w:p w14:paraId="347675FB" w14:textId="66720DB9" w:rsidR="00A84448" w:rsidRDefault="00A84448">
      <w:pPr>
        <w:pStyle w:val="FootnoteText"/>
      </w:pPr>
      <w:r>
        <w:rPr>
          <w:rStyle w:val="FootnoteReference"/>
        </w:rPr>
        <w:footnoteRef/>
      </w:r>
      <w:r>
        <w:t xml:space="preserve"> </w:t>
      </w:r>
      <w:r w:rsidR="008E6333">
        <w:rPr>
          <w:noProof/>
        </w:rPr>
        <w:t>Dominick, 2007, p. 432</w:t>
      </w:r>
      <w:r w:rsidR="00D16578">
        <w:t>.</w:t>
      </w:r>
    </w:p>
  </w:footnote>
  <w:footnote w:id="2">
    <w:p w14:paraId="4BDCFE40" w14:textId="4D2C5C35" w:rsidR="00A84448" w:rsidRDefault="00A84448">
      <w:pPr>
        <w:pStyle w:val="FootnoteText"/>
      </w:pPr>
      <w:r>
        <w:rPr>
          <w:rStyle w:val="FootnoteReference"/>
        </w:rPr>
        <w:footnoteRef/>
      </w:r>
      <w:r>
        <w:t xml:space="preserve"> </w:t>
      </w:r>
      <w:r w:rsidR="008E6333" w:rsidRPr="00AF1CEE">
        <w:rPr>
          <w:noProof/>
        </w:rPr>
        <w:t>Flo</w:t>
      </w:r>
      <w:r w:rsidR="008E6333">
        <w:rPr>
          <w:noProof/>
        </w:rPr>
        <w:t>wer &amp; Marincola, 2002, pp. 37-9.</w:t>
      </w:r>
    </w:p>
  </w:footnote>
  <w:footnote w:id="3">
    <w:p w14:paraId="1A273EA4" w14:textId="39DA4DF2" w:rsidR="00A84448" w:rsidRDefault="00A84448">
      <w:pPr>
        <w:pStyle w:val="FootnoteText"/>
      </w:pPr>
      <w:r>
        <w:rPr>
          <w:rStyle w:val="FootnoteReference"/>
        </w:rPr>
        <w:footnoteRef/>
      </w:r>
      <w:r>
        <w:t xml:space="preserve"> </w:t>
      </w:r>
      <w:r w:rsidR="008E6333" w:rsidRPr="00AF1CEE">
        <w:rPr>
          <w:noProof/>
        </w:rPr>
        <w:t>Cartledg</w:t>
      </w:r>
      <w:r w:rsidR="008E6333">
        <w:rPr>
          <w:noProof/>
        </w:rPr>
        <w:t>e &amp; Greenwood, 2002, pp. 363-71.</w:t>
      </w:r>
    </w:p>
  </w:footnote>
  <w:footnote w:id="4">
    <w:p w14:paraId="29A80D0F" w14:textId="06ED1DF3" w:rsidR="00A84448" w:rsidRDefault="00A84448">
      <w:pPr>
        <w:pStyle w:val="FootnoteText"/>
      </w:pPr>
      <w:r>
        <w:rPr>
          <w:rStyle w:val="FootnoteReference"/>
        </w:rPr>
        <w:footnoteRef/>
      </w:r>
      <w:r>
        <w:t xml:space="preserve"> </w:t>
      </w:r>
      <w:r w:rsidR="008E6333">
        <w:rPr>
          <w:noProof/>
        </w:rPr>
        <w:t>Munson, 2001.</w:t>
      </w:r>
    </w:p>
  </w:footnote>
  <w:footnote w:id="5">
    <w:p w14:paraId="117C081B" w14:textId="51A2AF5E" w:rsidR="00A84448" w:rsidRDefault="00A84448">
      <w:pPr>
        <w:pStyle w:val="FootnoteText"/>
      </w:pPr>
      <w:r>
        <w:rPr>
          <w:rStyle w:val="FootnoteReference"/>
        </w:rPr>
        <w:footnoteRef/>
      </w:r>
      <w:r>
        <w:t xml:space="preserve"> </w:t>
      </w:r>
      <w:r w:rsidR="008E6333" w:rsidRPr="00AF1CEE">
        <w:rPr>
          <w:noProof/>
        </w:rPr>
        <w:t>Dominick,</w:t>
      </w:r>
      <w:r w:rsidR="008E6333">
        <w:rPr>
          <w:noProof/>
        </w:rPr>
        <w:t xml:space="preserve"> 2007, p. 432.</w:t>
      </w:r>
    </w:p>
  </w:footnote>
  <w:footnote w:id="6">
    <w:p w14:paraId="04C20AB4" w14:textId="692E9CE9" w:rsidR="00A84448" w:rsidRDefault="00A84448">
      <w:pPr>
        <w:pStyle w:val="FootnoteText"/>
      </w:pPr>
      <w:r>
        <w:rPr>
          <w:rStyle w:val="FootnoteReference"/>
        </w:rPr>
        <w:footnoteRef/>
      </w:r>
      <w:r>
        <w:t xml:space="preserve"> </w:t>
      </w:r>
      <w:proofErr w:type="spellStart"/>
      <w:r>
        <w:t>Hdt</w:t>
      </w:r>
      <w:proofErr w:type="spellEnd"/>
      <w:r>
        <w:t>. 9.122</w:t>
      </w:r>
      <w:r w:rsidR="008E6333">
        <w:t>.</w:t>
      </w:r>
    </w:p>
  </w:footnote>
  <w:footnote w:id="7">
    <w:p w14:paraId="747D64CF" w14:textId="57184066" w:rsidR="007671C0" w:rsidRDefault="007671C0">
      <w:pPr>
        <w:pStyle w:val="FootnoteText"/>
      </w:pPr>
      <w:r>
        <w:rPr>
          <w:rStyle w:val="FootnoteReference"/>
        </w:rPr>
        <w:footnoteRef/>
      </w:r>
      <w:r>
        <w:t xml:space="preserve"> </w:t>
      </w:r>
      <w:proofErr w:type="spellStart"/>
      <w:r>
        <w:t>Hdt</w:t>
      </w:r>
      <w:proofErr w:type="spellEnd"/>
      <w:r>
        <w:t>. 1.131-140.</w:t>
      </w:r>
      <w:r w:rsidR="00E8390A">
        <w:t xml:space="preserve"> As argued in: </w:t>
      </w:r>
      <w:r w:rsidR="008E6333">
        <w:rPr>
          <w:noProof/>
        </w:rPr>
        <w:t>Tuplin, 2008, p. 792.</w:t>
      </w:r>
    </w:p>
  </w:footnote>
  <w:footnote w:id="8">
    <w:p w14:paraId="286BC964" w14:textId="2E41D374" w:rsidR="009D4882" w:rsidRDefault="009D4882">
      <w:pPr>
        <w:pStyle w:val="FootnoteText"/>
      </w:pPr>
      <w:r>
        <w:rPr>
          <w:rStyle w:val="FootnoteReference"/>
        </w:rPr>
        <w:footnoteRef/>
      </w:r>
      <w:r>
        <w:t xml:space="preserve"> </w:t>
      </w:r>
      <w:proofErr w:type="spellStart"/>
      <w:r>
        <w:t>Hdt</w:t>
      </w:r>
      <w:proofErr w:type="spellEnd"/>
      <w:r>
        <w:t>. 3.89-95; 7.61-97.</w:t>
      </w:r>
      <w:r w:rsidR="00E8390A">
        <w:t xml:space="preserve"> As argued in: </w:t>
      </w:r>
      <w:r w:rsidR="00DF67EB">
        <w:rPr>
          <w:noProof/>
        </w:rPr>
        <w:t>Tuplin, 2008, p. 793.</w:t>
      </w:r>
    </w:p>
  </w:footnote>
  <w:footnote w:id="9">
    <w:p w14:paraId="2B125EDC" w14:textId="62385CB1" w:rsidR="009D4882" w:rsidRDefault="009D4882">
      <w:pPr>
        <w:pStyle w:val="FootnoteText"/>
      </w:pPr>
      <w:r>
        <w:rPr>
          <w:rStyle w:val="FootnoteReference"/>
        </w:rPr>
        <w:footnoteRef/>
      </w:r>
      <w:r>
        <w:t xml:space="preserve"> </w:t>
      </w:r>
      <w:proofErr w:type="spellStart"/>
      <w:r>
        <w:t>Hdt</w:t>
      </w:r>
      <w:proofErr w:type="spellEnd"/>
      <w:r>
        <w:t>. 1.125; 4.167.</w:t>
      </w:r>
      <w:r w:rsidR="00E8390A">
        <w:t xml:space="preserve"> As argued in: </w:t>
      </w:r>
      <w:r w:rsidR="00DF67EB">
        <w:rPr>
          <w:noProof/>
        </w:rPr>
        <w:t>Tuplin, 2008, p. 793.</w:t>
      </w:r>
    </w:p>
  </w:footnote>
  <w:footnote w:id="10">
    <w:p w14:paraId="29C05822" w14:textId="6524C30A" w:rsidR="009D4882" w:rsidRDefault="009D4882">
      <w:pPr>
        <w:pStyle w:val="FootnoteText"/>
      </w:pPr>
      <w:r>
        <w:rPr>
          <w:rStyle w:val="FootnoteReference"/>
        </w:rPr>
        <w:footnoteRef/>
      </w:r>
      <w:r>
        <w:t xml:space="preserve"> </w:t>
      </w:r>
      <w:proofErr w:type="spellStart"/>
      <w:r>
        <w:t>Hdt</w:t>
      </w:r>
      <w:proofErr w:type="spellEnd"/>
      <w:r>
        <w:t>. 1.188; 5.25-30; 7.135.</w:t>
      </w:r>
      <w:r w:rsidR="00E8390A">
        <w:t xml:space="preserve">  As argued in: </w:t>
      </w:r>
      <w:r w:rsidR="00DF67EB">
        <w:rPr>
          <w:noProof/>
        </w:rPr>
        <w:t>Tuplin, 2008, p. 794.</w:t>
      </w:r>
    </w:p>
  </w:footnote>
  <w:footnote w:id="11">
    <w:p w14:paraId="30097685" w14:textId="4542EB5B" w:rsidR="00E84286" w:rsidRDefault="00E84286">
      <w:pPr>
        <w:pStyle w:val="FootnoteText"/>
      </w:pPr>
      <w:r>
        <w:rPr>
          <w:rStyle w:val="FootnoteReference"/>
        </w:rPr>
        <w:footnoteRef/>
      </w:r>
      <w:r>
        <w:t xml:space="preserve"> </w:t>
      </w:r>
      <w:r w:rsidR="00DF67EB">
        <w:rPr>
          <w:noProof/>
        </w:rPr>
        <w:t>Holland, 2013, p. 642.</w:t>
      </w:r>
    </w:p>
  </w:footnote>
  <w:footnote w:id="12">
    <w:p w14:paraId="64A8C8B7" w14:textId="573E4AA9" w:rsidR="00A84448" w:rsidRDefault="00A84448">
      <w:pPr>
        <w:pStyle w:val="FootnoteText"/>
      </w:pPr>
      <w:r w:rsidRPr="00610E2F">
        <w:rPr>
          <w:rStyle w:val="FootnoteReference"/>
        </w:rPr>
        <w:footnoteRef/>
      </w:r>
      <w:r w:rsidRPr="00610E2F">
        <w:t xml:space="preserve"> Most notably see: Xenophon’s </w:t>
      </w:r>
      <w:r w:rsidR="00B2522E" w:rsidRPr="00610E2F">
        <w:rPr>
          <w:i/>
        </w:rPr>
        <w:t>Oeconomicus</w:t>
      </w:r>
      <w:r w:rsidRPr="00610E2F">
        <w:t xml:space="preserve"> and his discussion on </w:t>
      </w:r>
      <w:r w:rsidR="00481C98" w:rsidRPr="00610E2F">
        <w:t>Ischomachus’</w:t>
      </w:r>
      <w:r w:rsidRPr="00610E2F">
        <w:t xml:space="preserve"> wife</w:t>
      </w:r>
      <w:r w:rsidR="00481C98" w:rsidRPr="00610E2F">
        <w:t>: 6</w:t>
      </w:r>
      <w:r w:rsidR="00902FBA" w:rsidRPr="00610E2F">
        <w:t>.1</w:t>
      </w:r>
      <w:r w:rsidR="00481C98" w:rsidRPr="00610E2F">
        <w:t>7</w:t>
      </w:r>
      <w:r w:rsidR="00902FBA" w:rsidRPr="00610E2F">
        <w:t>-10.13</w:t>
      </w:r>
      <w:r w:rsidR="00481C98" w:rsidRPr="00610E2F">
        <w:t xml:space="preserve">. </w:t>
      </w:r>
      <w:r w:rsidR="00481C98" w:rsidRPr="00610E2F">
        <w:rPr>
          <w:i/>
        </w:rPr>
        <w:t>How to train a wife</w:t>
      </w:r>
      <w:r w:rsidRPr="00610E2F">
        <w:t>, contrasted with Greek plays like that of</w:t>
      </w:r>
      <w:r w:rsidR="00AD5465" w:rsidRPr="00610E2F">
        <w:t xml:space="preserve"> Euripides</w:t>
      </w:r>
      <w:r w:rsidRPr="00610E2F">
        <w:t xml:space="preserve"> </w:t>
      </w:r>
      <w:r w:rsidR="002D573C" w:rsidRPr="00610E2F">
        <w:t>Medea</w:t>
      </w:r>
      <w:r w:rsidR="00AD5465" w:rsidRPr="00610E2F">
        <w:t xml:space="preserve"> and</w:t>
      </w:r>
      <w:r w:rsidR="002D573C" w:rsidRPr="00610E2F">
        <w:t xml:space="preserve"> Hippolytus, and </w:t>
      </w:r>
      <w:r w:rsidR="00AD5465" w:rsidRPr="00610E2F">
        <w:t xml:space="preserve">Aristophanes’ </w:t>
      </w:r>
      <w:r w:rsidR="002D573C" w:rsidRPr="00610E2F">
        <w:t>Assembly</w:t>
      </w:r>
      <w:r w:rsidRPr="00610E2F">
        <w:t>women.</w:t>
      </w:r>
    </w:p>
  </w:footnote>
  <w:footnote w:id="13">
    <w:p w14:paraId="550183B2" w14:textId="75D0FB6A" w:rsidR="00A84448" w:rsidRDefault="00A84448">
      <w:pPr>
        <w:pStyle w:val="FootnoteText"/>
      </w:pPr>
      <w:r>
        <w:rPr>
          <w:rStyle w:val="FootnoteReference"/>
        </w:rPr>
        <w:footnoteRef/>
      </w:r>
      <w:r>
        <w:t xml:space="preserve"> </w:t>
      </w:r>
      <w:r w:rsidR="00DF67EB">
        <w:rPr>
          <w:noProof/>
        </w:rPr>
        <w:t>Larson, 2006, p. 225.</w:t>
      </w:r>
    </w:p>
  </w:footnote>
  <w:footnote w:id="14">
    <w:p w14:paraId="47B6AE22" w14:textId="6D4A01BF" w:rsidR="00A84448" w:rsidRDefault="00A84448">
      <w:pPr>
        <w:pStyle w:val="FootnoteText"/>
      </w:pPr>
      <w:r w:rsidRPr="00610E2F">
        <w:rPr>
          <w:rStyle w:val="FootnoteReference"/>
        </w:rPr>
        <w:footnoteRef/>
      </w:r>
      <w:r w:rsidRPr="00610E2F">
        <w:t xml:space="preserve"> </w:t>
      </w:r>
      <w:proofErr w:type="spellStart"/>
      <w:r w:rsidRPr="00610E2F">
        <w:t>Thuc</w:t>
      </w:r>
      <w:proofErr w:type="spellEnd"/>
      <w:r w:rsidRPr="00610E2F">
        <w:t xml:space="preserve">. </w:t>
      </w:r>
      <w:r w:rsidR="00610E2F" w:rsidRPr="00610E2F">
        <w:t>2.46</w:t>
      </w:r>
      <w:r w:rsidR="00DF67EB">
        <w:t>.</w:t>
      </w:r>
    </w:p>
  </w:footnote>
  <w:footnote w:id="15">
    <w:p w14:paraId="053B7FB1" w14:textId="5FB971DE" w:rsidR="00A84448" w:rsidRDefault="00A84448">
      <w:pPr>
        <w:pStyle w:val="FootnoteText"/>
      </w:pPr>
      <w:r>
        <w:rPr>
          <w:rStyle w:val="FootnoteReference"/>
        </w:rPr>
        <w:footnoteRef/>
      </w:r>
      <w:r>
        <w:t xml:space="preserve"> </w:t>
      </w:r>
      <w:proofErr w:type="spellStart"/>
      <w:r>
        <w:t>Hdt</w:t>
      </w:r>
      <w:proofErr w:type="spellEnd"/>
      <w:r>
        <w:t xml:space="preserve"> 9.108-13; 3.30-33.</w:t>
      </w:r>
    </w:p>
  </w:footnote>
  <w:footnote w:id="16">
    <w:p w14:paraId="4A86C8AF" w14:textId="4B32007C" w:rsidR="00BB240A" w:rsidRDefault="00BB240A" w:rsidP="00BB240A">
      <w:pPr>
        <w:pStyle w:val="FootnoteText"/>
      </w:pPr>
      <w:r>
        <w:rPr>
          <w:rStyle w:val="FootnoteReference"/>
        </w:rPr>
        <w:footnoteRef/>
      </w:r>
      <w:r>
        <w:t xml:space="preserve"> </w:t>
      </w:r>
      <w:proofErr w:type="spellStart"/>
      <w:r>
        <w:t>Hdt</w:t>
      </w:r>
      <w:proofErr w:type="spellEnd"/>
      <w:r>
        <w:t xml:space="preserve"> 9.111</w:t>
      </w:r>
      <w:r w:rsidR="00DF67EB">
        <w:t>.</w:t>
      </w:r>
    </w:p>
  </w:footnote>
  <w:footnote w:id="17">
    <w:p w14:paraId="495AD335" w14:textId="53BFF7C9" w:rsidR="00BB240A" w:rsidRDefault="00BB240A" w:rsidP="00BB240A">
      <w:pPr>
        <w:pStyle w:val="FootnoteText"/>
      </w:pPr>
      <w:r>
        <w:rPr>
          <w:rStyle w:val="FootnoteReference"/>
        </w:rPr>
        <w:footnoteRef/>
      </w:r>
      <w:r>
        <w:t xml:space="preserve"> </w:t>
      </w:r>
      <w:r w:rsidR="00DF67EB">
        <w:rPr>
          <w:noProof/>
        </w:rPr>
        <w:t>Larson, 2006, p. 230.</w:t>
      </w:r>
    </w:p>
  </w:footnote>
  <w:footnote w:id="18">
    <w:p w14:paraId="72808DDC" w14:textId="6059C32D" w:rsidR="003828E1" w:rsidRDefault="003828E1">
      <w:pPr>
        <w:pStyle w:val="FootnoteText"/>
      </w:pPr>
      <w:r>
        <w:rPr>
          <w:rStyle w:val="FootnoteReference"/>
        </w:rPr>
        <w:footnoteRef/>
      </w:r>
      <w:r>
        <w:t xml:space="preserve"> </w:t>
      </w:r>
      <w:proofErr w:type="spellStart"/>
      <w:r>
        <w:t>Hdt</w:t>
      </w:r>
      <w:proofErr w:type="spellEnd"/>
      <w:r>
        <w:t>. 9.111</w:t>
      </w:r>
    </w:p>
  </w:footnote>
  <w:footnote w:id="19">
    <w:p w14:paraId="251F682D" w14:textId="77777777" w:rsidR="0053665C" w:rsidRDefault="0053665C" w:rsidP="0053665C">
      <w:pPr>
        <w:pStyle w:val="FootnoteText"/>
      </w:pPr>
      <w:r>
        <w:rPr>
          <w:rStyle w:val="FootnoteReference"/>
        </w:rPr>
        <w:footnoteRef/>
      </w:r>
      <w:r>
        <w:t xml:space="preserve"> Notice how the vindictive </w:t>
      </w:r>
      <w:proofErr w:type="spellStart"/>
      <w:r>
        <w:t>Amestris</w:t>
      </w:r>
      <w:proofErr w:type="spellEnd"/>
      <w:r>
        <w:t xml:space="preserve"> is named in this passage.</w:t>
      </w:r>
    </w:p>
  </w:footnote>
  <w:footnote w:id="20">
    <w:p w14:paraId="72EE0D5F" w14:textId="3BFA48DA" w:rsidR="0053665C" w:rsidRDefault="0053665C" w:rsidP="0053665C">
      <w:pPr>
        <w:pStyle w:val="FootnoteText"/>
      </w:pPr>
      <w:r>
        <w:rPr>
          <w:rStyle w:val="FootnoteReference"/>
        </w:rPr>
        <w:footnoteRef/>
      </w:r>
      <w:r>
        <w:t xml:space="preserve"> </w:t>
      </w:r>
      <w:proofErr w:type="spellStart"/>
      <w:r>
        <w:t>Hdt</w:t>
      </w:r>
      <w:proofErr w:type="spellEnd"/>
      <w:r>
        <w:t xml:space="preserve">. 9.111; </w:t>
      </w:r>
      <w:r w:rsidR="00DF67EB" w:rsidRPr="00AF1CEE">
        <w:rPr>
          <w:noProof/>
        </w:rPr>
        <w:t>Griffith, 2011, p. 310</w:t>
      </w:r>
      <w:r>
        <w:t xml:space="preserve">.  See below, in a later paragraph for a more in-depth discussion on </w:t>
      </w:r>
      <w:proofErr w:type="spellStart"/>
      <w:r>
        <w:t>Amestris</w:t>
      </w:r>
      <w:proofErr w:type="spellEnd"/>
      <w:r>
        <w:t xml:space="preserve">’ </w:t>
      </w:r>
      <w:r w:rsidR="00DF67EB">
        <w:t>actions</w:t>
      </w:r>
      <w:r>
        <w:t>.</w:t>
      </w:r>
    </w:p>
  </w:footnote>
  <w:footnote w:id="21">
    <w:p w14:paraId="7F6E6AA7" w14:textId="27C00CE9" w:rsidR="00A84448" w:rsidRDefault="00A84448">
      <w:pPr>
        <w:pStyle w:val="FootnoteText"/>
      </w:pPr>
      <w:r>
        <w:rPr>
          <w:rStyle w:val="FootnoteReference"/>
        </w:rPr>
        <w:footnoteRef/>
      </w:r>
      <w:r>
        <w:t xml:space="preserve"> </w:t>
      </w:r>
      <w:proofErr w:type="spellStart"/>
      <w:r>
        <w:t>Hdt</w:t>
      </w:r>
      <w:proofErr w:type="spellEnd"/>
      <w:r>
        <w:t xml:space="preserve"> 3.31</w:t>
      </w:r>
      <w:r w:rsidR="00084FC9">
        <w:t>.</w:t>
      </w:r>
    </w:p>
  </w:footnote>
  <w:footnote w:id="22">
    <w:p w14:paraId="6C03C359" w14:textId="4A8FE138" w:rsidR="00A84448" w:rsidRDefault="00A84448">
      <w:pPr>
        <w:pStyle w:val="FootnoteText"/>
      </w:pPr>
      <w:r>
        <w:rPr>
          <w:rStyle w:val="FootnoteReference"/>
        </w:rPr>
        <w:footnoteRef/>
      </w:r>
      <w:r>
        <w:t xml:space="preserve"> </w:t>
      </w:r>
      <w:proofErr w:type="spellStart"/>
      <w:r>
        <w:t>Hdt</w:t>
      </w:r>
      <w:proofErr w:type="spellEnd"/>
      <w:r>
        <w:t xml:space="preserve"> 3.31: Trans. Holland 2013</w:t>
      </w:r>
      <w:r w:rsidR="00084FC9">
        <w:t>.</w:t>
      </w:r>
    </w:p>
  </w:footnote>
  <w:footnote w:id="23">
    <w:p w14:paraId="0DE61EF0" w14:textId="0CBFEC33" w:rsidR="00A84448" w:rsidRDefault="00A84448">
      <w:pPr>
        <w:pStyle w:val="FootnoteText"/>
      </w:pPr>
      <w:r>
        <w:rPr>
          <w:rStyle w:val="FootnoteReference"/>
        </w:rPr>
        <w:footnoteRef/>
      </w:r>
      <w:r>
        <w:t xml:space="preserve"> </w:t>
      </w:r>
      <w:proofErr w:type="spellStart"/>
      <w:r>
        <w:t>Hdt</w:t>
      </w:r>
      <w:proofErr w:type="spellEnd"/>
      <w:r>
        <w:t xml:space="preserve"> 3.31: Trans Rawlinson 1996</w:t>
      </w:r>
      <w:r w:rsidR="00084FC9">
        <w:t>.</w:t>
      </w:r>
    </w:p>
  </w:footnote>
  <w:footnote w:id="24">
    <w:p w14:paraId="5784F095" w14:textId="77777777" w:rsidR="00A84448" w:rsidRDefault="00A84448" w:rsidP="00020495">
      <w:pPr>
        <w:pStyle w:val="FootnoteText"/>
      </w:pPr>
      <w:r>
        <w:rPr>
          <w:rStyle w:val="FootnoteReference"/>
        </w:rPr>
        <w:footnoteRef/>
      </w:r>
      <w:r>
        <w:t xml:space="preserve"> Medea acts as the jilted lover and a vindictive woman looking for revenge.  Alternatively, Phaedra in Hippolytus is portrayed as the victim of Aphrodite and presented as a female tragedy driven mad by overwhelming </w:t>
      </w:r>
      <w:proofErr w:type="spellStart"/>
      <w:r>
        <w:rPr>
          <w:i/>
        </w:rPr>
        <w:t>eros</w:t>
      </w:r>
      <w:proofErr w:type="spellEnd"/>
      <w:r>
        <w:rPr>
          <w:i/>
        </w:rPr>
        <w:t xml:space="preserve"> </w:t>
      </w:r>
      <w:r>
        <w:t>as punishment for Hippolytus’ actions.</w:t>
      </w:r>
    </w:p>
  </w:footnote>
  <w:footnote w:id="25">
    <w:p w14:paraId="587F9F42" w14:textId="55961DDC" w:rsidR="00A84448" w:rsidRDefault="00A84448">
      <w:pPr>
        <w:pStyle w:val="FootnoteText"/>
      </w:pPr>
      <w:r>
        <w:rPr>
          <w:rStyle w:val="FootnoteReference"/>
        </w:rPr>
        <w:footnoteRef/>
      </w:r>
      <w:r>
        <w:t xml:space="preserve"> </w:t>
      </w:r>
      <w:r w:rsidR="00084FC9">
        <w:rPr>
          <w:noProof/>
        </w:rPr>
        <w:t>Wenghofer, 2014, p. 515.</w:t>
      </w:r>
    </w:p>
  </w:footnote>
  <w:footnote w:id="26">
    <w:p w14:paraId="7C2585E7" w14:textId="113AC96E" w:rsidR="00A84448" w:rsidRDefault="00A84448">
      <w:pPr>
        <w:pStyle w:val="FootnoteText"/>
      </w:pPr>
      <w:r>
        <w:rPr>
          <w:rStyle w:val="FootnoteReference"/>
        </w:rPr>
        <w:footnoteRef/>
      </w:r>
      <w:r>
        <w:t xml:space="preserve"> </w:t>
      </w:r>
      <w:proofErr w:type="spellStart"/>
      <w:r>
        <w:t>Hdt</w:t>
      </w:r>
      <w:proofErr w:type="spellEnd"/>
      <w:r>
        <w:t xml:space="preserve"> 9.111; </w:t>
      </w:r>
      <w:r w:rsidR="00084FC9">
        <w:rPr>
          <w:noProof/>
        </w:rPr>
        <w:t>Griffith, 2011, p. 310.</w:t>
      </w:r>
    </w:p>
  </w:footnote>
  <w:footnote w:id="27">
    <w:p w14:paraId="6533E521" w14:textId="0506B549" w:rsidR="00A84448" w:rsidRDefault="00A84448">
      <w:pPr>
        <w:pStyle w:val="FootnoteText"/>
      </w:pPr>
      <w:r>
        <w:rPr>
          <w:rStyle w:val="FootnoteReference"/>
        </w:rPr>
        <w:footnoteRef/>
      </w:r>
      <w:r>
        <w:t xml:space="preserve"> </w:t>
      </w:r>
      <w:r w:rsidR="00084FC9">
        <w:rPr>
          <w:noProof/>
        </w:rPr>
        <w:t>Larson, 2006, p. 230.</w:t>
      </w:r>
    </w:p>
  </w:footnote>
  <w:footnote w:id="28">
    <w:p w14:paraId="3D2976C0" w14:textId="6A5D28F1" w:rsidR="00A84448" w:rsidRDefault="00A84448">
      <w:pPr>
        <w:pStyle w:val="FootnoteText"/>
      </w:pPr>
      <w:r>
        <w:rPr>
          <w:rStyle w:val="FootnoteReference"/>
        </w:rPr>
        <w:footnoteRef/>
      </w:r>
      <w:r>
        <w:t xml:space="preserve"> </w:t>
      </w:r>
      <w:proofErr w:type="spellStart"/>
      <w:r>
        <w:t>Hdt</w:t>
      </w:r>
      <w:proofErr w:type="spellEnd"/>
      <w:r>
        <w:t xml:space="preserve"> 9.107; </w:t>
      </w:r>
      <w:r w:rsidR="00433CE5">
        <w:rPr>
          <w:noProof/>
        </w:rPr>
        <w:t>Gray, 1995, p. 208.</w:t>
      </w:r>
    </w:p>
  </w:footnote>
  <w:footnote w:id="29">
    <w:p w14:paraId="159978D2" w14:textId="79405EB8" w:rsidR="00A84448" w:rsidRDefault="00A84448">
      <w:pPr>
        <w:pStyle w:val="FootnoteText"/>
      </w:pPr>
      <w:r>
        <w:rPr>
          <w:rStyle w:val="FootnoteReference"/>
        </w:rPr>
        <w:footnoteRef/>
      </w:r>
      <w:r>
        <w:t xml:space="preserve"> </w:t>
      </w:r>
      <w:proofErr w:type="spellStart"/>
      <w:r>
        <w:t>Hdt</w:t>
      </w:r>
      <w:proofErr w:type="spellEnd"/>
      <w:r>
        <w:t xml:space="preserve"> 3.89-95.</w:t>
      </w:r>
    </w:p>
  </w:footnote>
  <w:footnote w:id="30">
    <w:p w14:paraId="3713EDFB" w14:textId="19F23985" w:rsidR="00A84448" w:rsidRDefault="00A84448">
      <w:pPr>
        <w:pStyle w:val="FootnoteText"/>
      </w:pPr>
      <w:r>
        <w:rPr>
          <w:rStyle w:val="FootnoteReference"/>
        </w:rPr>
        <w:footnoteRef/>
      </w:r>
      <w:r>
        <w:t xml:space="preserve"> </w:t>
      </w:r>
      <w:proofErr w:type="spellStart"/>
      <w:r>
        <w:t>Hdt</w:t>
      </w:r>
      <w:proofErr w:type="spellEnd"/>
      <w:r>
        <w:t xml:space="preserve"> 7.61-97.</w:t>
      </w:r>
    </w:p>
  </w:footnote>
  <w:footnote w:id="31">
    <w:p w14:paraId="42E279E5" w14:textId="12F8A741" w:rsidR="00A84448" w:rsidRDefault="00A84448">
      <w:pPr>
        <w:pStyle w:val="FootnoteText"/>
      </w:pPr>
      <w:r>
        <w:rPr>
          <w:rStyle w:val="FootnoteReference"/>
        </w:rPr>
        <w:footnoteRef/>
      </w:r>
      <w:r>
        <w:t xml:space="preserve"> </w:t>
      </w:r>
      <w:proofErr w:type="spellStart"/>
      <w:r>
        <w:t>Hdt</w:t>
      </w:r>
      <w:proofErr w:type="spellEnd"/>
      <w:r>
        <w:t xml:space="preserve"> 9.107-14</w:t>
      </w:r>
      <w:r w:rsidR="00433CE5">
        <w:t>.</w:t>
      </w:r>
    </w:p>
  </w:footnote>
  <w:footnote w:id="32">
    <w:p w14:paraId="6231ECFC" w14:textId="14A0D9F1" w:rsidR="00A84448" w:rsidRDefault="00A84448">
      <w:pPr>
        <w:pStyle w:val="FootnoteText"/>
      </w:pPr>
      <w:r>
        <w:rPr>
          <w:rStyle w:val="FootnoteReference"/>
        </w:rPr>
        <w:footnoteRef/>
      </w:r>
      <w:r>
        <w:t xml:space="preserve"> </w:t>
      </w:r>
      <w:r w:rsidR="00433CE5" w:rsidRPr="004D47CA">
        <w:rPr>
          <w:noProof/>
        </w:rPr>
        <w:t>Larson, 2006, p.</w:t>
      </w:r>
      <w:r w:rsidR="00433CE5">
        <w:rPr>
          <w:noProof/>
        </w:rPr>
        <w:t xml:space="preserve"> 230.</w:t>
      </w:r>
    </w:p>
  </w:footnote>
  <w:footnote w:id="33">
    <w:p w14:paraId="5552C028" w14:textId="69B09A60" w:rsidR="00A84448" w:rsidRDefault="00A84448">
      <w:pPr>
        <w:pStyle w:val="FootnoteText"/>
      </w:pPr>
      <w:r>
        <w:rPr>
          <w:rStyle w:val="FootnoteReference"/>
        </w:rPr>
        <w:footnoteRef/>
      </w:r>
      <w:r>
        <w:t xml:space="preserve"> </w:t>
      </w:r>
      <w:r w:rsidR="00433CE5">
        <w:rPr>
          <w:noProof/>
        </w:rPr>
        <w:t>Griffith, 2011, p. 310.</w:t>
      </w:r>
    </w:p>
  </w:footnote>
  <w:footnote w:id="34">
    <w:p w14:paraId="7E18A8D5" w14:textId="55E47891" w:rsidR="00A84448" w:rsidRDefault="00A84448">
      <w:pPr>
        <w:pStyle w:val="FootnoteText"/>
      </w:pPr>
      <w:r>
        <w:rPr>
          <w:rStyle w:val="FootnoteReference"/>
        </w:rPr>
        <w:footnoteRef/>
      </w:r>
      <w:r>
        <w:t xml:space="preserve"> See above in the essay for a discussion on the supposed innocence of </w:t>
      </w:r>
      <w:proofErr w:type="spellStart"/>
      <w:r>
        <w:t>Masiste’s</w:t>
      </w:r>
      <w:proofErr w:type="spellEnd"/>
      <w:r>
        <w:t xml:space="preserve"> wife.</w:t>
      </w:r>
    </w:p>
  </w:footnote>
  <w:footnote w:id="35">
    <w:p w14:paraId="451B3E89" w14:textId="371F3921" w:rsidR="00A84448" w:rsidRDefault="00A84448">
      <w:pPr>
        <w:pStyle w:val="FootnoteText"/>
      </w:pPr>
      <w:r>
        <w:rPr>
          <w:rStyle w:val="FootnoteReference"/>
        </w:rPr>
        <w:footnoteRef/>
      </w:r>
      <w:r>
        <w:t xml:space="preserve"> </w:t>
      </w:r>
      <w:proofErr w:type="spellStart"/>
      <w:r>
        <w:t>Hdt</w:t>
      </w:r>
      <w:proofErr w:type="spellEnd"/>
      <w:r>
        <w:t xml:space="preserve"> 9.110.1</w:t>
      </w:r>
      <w:r w:rsidR="00433CE5">
        <w:t>.</w:t>
      </w:r>
    </w:p>
  </w:footnote>
  <w:footnote w:id="36">
    <w:p w14:paraId="5D0C0908" w14:textId="02A934BE" w:rsidR="00A84448" w:rsidRDefault="00A84448">
      <w:pPr>
        <w:pStyle w:val="FootnoteText"/>
      </w:pPr>
      <w:r>
        <w:rPr>
          <w:rStyle w:val="FootnoteReference"/>
        </w:rPr>
        <w:footnoteRef/>
      </w:r>
      <w:r>
        <w:t xml:space="preserve"> </w:t>
      </w:r>
      <w:r w:rsidR="00433CE5">
        <w:rPr>
          <w:noProof/>
        </w:rPr>
        <w:t>Griffith, 2011, p. 310</w:t>
      </w:r>
      <w:r>
        <w:t xml:space="preserve">; </w:t>
      </w:r>
      <w:r w:rsidR="00433CE5">
        <w:rPr>
          <w:noProof/>
        </w:rPr>
        <w:t>Dillery, 2008, p. 40</w:t>
      </w:r>
      <w:r>
        <w:t xml:space="preserve">.  For further discussion on the symbolism of the robe see: </w:t>
      </w:r>
      <w:r w:rsidR="00433CE5">
        <w:rPr>
          <w:noProof/>
        </w:rPr>
        <w:t>Hazewindus, 2004</w:t>
      </w:r>
      <w:r w:rsidR="00470420">
        <w:rPr>
          <w:noProof/>
        </w:rPr>
        <w:t>.</w:t>
      </w:r>
    </w:p>
  </w:footnote>
  <w:footnote w:id="37">
    <w:p w14:paraId="55602083" w14:textId="72473513" w:rsidR="00A84448" w:rsidRDefault="00A84448">
      <w:pPr>
        <w:pStyle w:val="FootnoteText"/>
      </w:pPr>
      <w:r>
        <w:rPr>
          <w:rStyle w:val="FootnoteReference"/>
        </w:rPr>
        <w:footnoteRef/>
      </w:r>
      <w:r>
        <w:t xml:space="preserve"> </w:t>
      </w:r>
      <w:r w:rsidR="006B358A">
        <w:rPr>
          <w:noProof/>
        </w:rPr>
        <w:t>Griffith, 2011, p. 312</w:t>
      </w:r>
      <w:r>
        <w:t xml:space="preserve">.  For further discussions surrounding the comparison with </w:t>
      </w:r>
      <w:r w:rsidR="006B358A">
        <w:t xml:space="preserve">the Biblical </w:t>
      </w:r>
      <w:r>
        <w:t xml:space="preserve">Esther see: </w:t>
      </w:r>
      <w:r w:rsidR="00F92628">
        <w:rPr>
          <w:noProof/>
        </w:rPr>
        <w:t>Macan, 1908</w:t>
      </w:r>
      <w:r>
        <w:t xml:space="preserve">.  For Salome see: </w:t>
      </w:r>
      <w:r w:rsidR="00F92628" w:rsidRPr="00007712">
        <w:rPr>
          <w:noProof/>
        </w:rPr>
        <w:t>How &amp; Wells, 1912</w:t>
      </w:r>
      <w:r>
        <w:t xml:space="preserve">; </w:t>
      </w:r>
      <w:r w:rsidR="00F92628">
        <w:rPr>
          <w:noProof/>
        </w:rPr>
        <w:t>Schuckburgh, 1954</w:t>
      </w:r>
      <w:r>
        <w:t>.</w:t>
      </w:r>
    </w:p>
  </w:footnote>
  <w:footnote w:id="38">
    <w:p w14:paraId="7A4F9690" w14:textId="3058FE38" w:rsidR="00A84448" w:rsidRDefault="00A84448">
      <w:pPr>
        <w:pStyle w:val="FootnoteText"/>
      </w:pPr>
      <w:r>
        <w:rPr>
          <w:rStyle w:val="FootnoteReference"/>
        </w:rPr>
        <w:footnoteRef/>
      </w:r>
      <w:r>
        <w:t xml:space="preserve"> </w:t>
      </w:r>
      <w:r w:rsidR="00470420">
        <w:rPr>
          <w:noProof/>
        </w:rPr>
        <w:t>Griffith, 2011, p. 312.</w:t>
      </w:r>
    </w:p>
  </w:footnote>
  <w:footnote w:id="39">
    <w:p w14:paraId="087E8363" w14:textId="611D6FBA" w:rsidR="00A84448" w:rsidRDefault="00A84448">
      <w:pPr>
        <w:pStyle w:val="FootnoteText"/>
      </w:pPr>
      <w:r>
        <w:rPr>
          <w:rStyle w:val="FootnoteReference"/>
        </w:rPr>
        <w:footnoteRef/>
      </w:r>
      <w:r>
        <w:t xml:space="preserve"> </w:t>
      </w:r>
      <w:proofErr w:type="spellStart"/>
      <w:r>
        <w:t>Hdt</w:t>
      </w:r>
      <w:proofErr w:type="spellEnd"/>
      <w:r>
        <w:t>. 3.132-6</w:t>
      </w:r>
      <w:r w:rsidR="00470420">
        <w:t>.</w:t>
      </w:r>
    </w:p>
  </w:footnote>
  <w:footnote w:id="40">
    <w:p w14:paraId="188BA9CA" w14:textId="41542B0E" w:rsidR="00A84448" w:rsidRDefault="00A84448">
      <w:pPr>
        <w:pStyle w:val="FootnoteText"/>
      </w:pPr>
      <w:r>
        <w:rPr>
          <w:rStyle w:val="FootnoteReference"/>
        </w:rPr>
        <w:footnoteRef/>
      </w:r>
      <w:r>
        <w:t xml:space="preserve"> </w:t>
      </w:r>
      <w:proofErr w:type="spellStart"/>
      <w:r>
        <w:t>Hdt</w:t>
      </w:r>
      <w:proofErr w:type="spellEnd"/>
      <w:r>
        <w:t>. 3.133-4</w:t>
      </w:r>
      <w:r w:rsidR="00470420">
        <w:t>.</w:t>
      </w:r>
    </w:p>
  </w:footnote>
  <w:footnote w:id="41">
    <w:p w14:paraId="5D931D65" w14:textId="550494EC" w:rsidR="00A84448" w:rsidRDefault="00A84448">
      <w:pPr>
        <w:pStyle w:val="FootnoteText"/>
      </w:pPr>
      <w:r>
        <w:rPr>
          <w:rStyle w:val="FootnoteReference"/>
        </w:rPr>
        <w:footnoteRef/>
      </w:r>
      <w:r>
        <w:t xml:space="preserve"> </w:t>
      </w:r>
      <w:proofErr w:type="spellStart"/>
      <w:r>
        <w:t>Hdt</w:t>
      </w:r>
      <w:proofErr w:type="spellEnd"/>
      <w:r>
        <w:t>. 3.133-4</w:t>
      </w:r>
      <w:r w:rsidR="00470420">
        <w:t>.</w:t>
      </w:r>
    </w:p>
  </w:footnote>
  <w:footnote w:id="42">
    <w:p w14:paraId="50598209" w14:textId="0E237E19" w:rsidR="00A84448" w:rsidRDefault="00A84448">
      <w:pPr>
        <w:pStyle w:val="FootnoteText"/>
      </w:pPr>
      <w:r>
        <w:rPr>
          <w:rStyle w:val="FootnoteReference"/>
        </w:rPr>
        <w:footnoteRef/>
      </w:r>
      <w:r>
        <w:t xml:space="preserve"> </w:t>
      </w:r>
      <w:r w:rsidR="00470420">
        <w:rPr>
          <w:noProof/>
        </w:rPr>
        <w:t>Dominick, 2007, p. 433.</w:t>
      </w:r>
    </w:p>
  </w:footnote>
  <w:footnote w:id="43">
    <w:p w14:paraId="30F4549D" w14:textId="6123F73F" w:rsidR="00A84448" w:rsidRDefault="00A84448">
      <w:pPr>
        <w:pStyle w:val="FootnoteText"/>
      </w:pPr>
      <w:r>
        <w:rPr>
          <w:rStyle w:val="FootnoteReference"/>
        </w:rPr>
        <w:footnoteRef/>
      </w:r>
      <w:r>
        <w:t xml:space="preserve"> </w:t>
      </w:r>
      <w:r w:rsidR="00470420">
        <w:rPr>
          <w:noProof/>
        </w:rPr>
        <w:t>Larson, 2006.</w:t>
      </w:r>
    </w:p>
  </w:footnote>
  <w:footnote w:id="44">
    <w:p w14:paraId="0DE799B0" w14:textId="68F2B500" w:rsidR="00A84448" w:rsidRPr="0089618D" w:rsidRDefault="00A84448">
      <w:pPr>
        <w:pStyle w:val="FootnoteText"/>
        <w:rPr>
          <w:i/>
        </w:rPr>
      </w:pPr>
      <w:r>
        <w:rPr>
          <w:rStyle w:val="FootnoteReference"/>
        </w:rPr>
        <w:footnoteRef/>
      </w:r>
      <w:r>
        <w:t xml:space="preserve"> See</w:t>
      </w:r>
      <w:r w:rsidR="00470420">
        <w:t>:</w:t>
      </w:r>
      <w:r>
        <w:t xml:space="preserve"> </w:t>
      </w:r>
      <w:r w:rsidR="00470420">
        <w:rPr>
          <w:noProof/>
        </w:rPr>
        <w:t>Dominick, 2007, pp. 436-38,</w:t>
      </w:r>
      <w:r>
        <w:t xml:space="preserve"> for a further discussion on the similarities between Herodotus’ portrayal of </w:t>
      </w:r>
      <w:proofErr w:type="spellStart"/>
      <w:r>
        <w:t>Atossa</w:t>
      </w:r>
      <w:proofErr w:type="spellEnd"/>
      <w:r>
        <w:t xml:space="preserve"> and the portrayal by Aeschylus in his play the </w:t>
      </w:r>
      <w:r>
        <w:rPr>
          <w:i/>
        </w:rPr>
        <w:t>Persians.</w:t>
      </w:r>
    </w:p>
  </w:footnote>
  <w:footnote w:id="45">
    <w:p w14:paraId="714ABE9D" w14:textId="341B451A" w:rsidR="00A84448" w:rsidRDefault="00A84448">
      <w:pPr>
        <w:pStyle w:val="FootnoteText"/>
      </w:pPr>
      <w:r>
        <w:rPr>
          <w:rStyle w:val="FootnoteReference"/>
        </w:rPr>
        <w:footnoteRef/>
      </w:r>
      <w:r>
        <w:t xml:space="preserve"> </w:t>
      </w:r>
      <w:r w:rsidR="005920D8">
        <w:rPr>
          <w:noProof/>
        </w:rPr>
        <w:t>Perason, 1954.</w:t>
      </w:r>
    </w:p>
  </w:footnote>
  <w:footnote w:id="46">
    <w:p w14:paraId="11FB07C1" w14:textId="661C36B9" w:rsidR="00A84448" w:rsidRDefault="00A84448">
      <w:pPr>
        <w:pStyle w:val="FootnoteText"/>
      </w:pPr>
      <w:r>
        <w:rPr>
          <w:rStyle w:val="FootnoteReference"/>
        </w:rPr>
        <w:footnoteRef/>
      </w:r>
      <w:r>
        <w:t xml:space="preserve"> </w:t>
      </w:r>
      <w:r w:rsidR="004620A6">
        <w:rPr>
          <w:noProof/>
        </w:rPr>
        <w:t>Waters, 1971.</w:t>
      </w:r>
    </w:p>
  </w:footnote>
  <w:footnote w:id="47">
    <w:p w14:paraId="1D7EACC0" w14:textId="056DB533" w:rsidR="00A84448" w:rsidRDefault="00A84448">
      <w:pPr>
        <w:pStyle w:val="FootnoteText"/>
      </w:pPr>
      <w:r>
        <w:rPr>
          <w:rStyle w:val="FootnoteReference"/>
        </w:rPr>
        <w:footnoteRef/>
      </w:r>
      <w:r>
        <w:t xml:space="preserve"> </w:t>
      </w:r>
      <w:r w:rsidR="004620A6">
        <w:rPr>
          <w:noProof/>
        </w:rPr>
        <w:t>Spath, 1968.</w:t>
      </w:r>
    </w:p>
  </w:footnote>
  <w:footnote w:id="48">
    <w:p w14:paraId="62147A2F" w14:textId="40C88BA8" w:rsidR="00A84448" w:rsidRDefault="00A84448">
      <w:pPr>
        <w:pStyle w:val="FootnoteText"/>
      </w:pPr>
      <w:r>
        <w:rPr>
          <w:rStyle w:val="FootnoteReference"/>
        </w:rPr>
        <w:footnoteRef/>
      </w:r>
      <w:r>
        <w:t xml:space="preserve"> </w:t>
      </w:r>
      <w:r w:rsidR="004620A6">
        <w:rPr>
          <w:noProof/>
        </w:rPr>
        <w:t>Gammie, 1986, p. 172.</w:t>
      </w:r>
    </w:p>
  </w:footnote>
  <w:footnote w:id="49">
    <w:p w14:paraId="683877D0" w14:textId="5627D5D8" w:rsidR="00A84448" w:rsidRDefault="00A84448">
      <w:pPr>
        <w:pStyle w:val="FootnoteText"/>
      </w:pPr>
      <w:r>
        <w:rPr>
          <w:rStyle w:val="FootnoteReference"/>
        </w:rPr>
        <w:footnoteRef/>
      </w:r>
      <w:r>
        <w:t xml:space="preserve"> </w:t>
      </w:r>
      <w:proofErr w:type="spellStart"/>
      <w:r>
        <w:t>Hdt</w:t>
      </w:r>
      <w:proofErr w:type="spellEnd"/>
      <w:r>
        <w:t>. 7.99.</w:t>
      </w:r>
    </w:p>
  </w:footnote>
  <w:footnote w:id="50">
    <w:p w14:paraId="1D7B35D9" w14:textId="68A2832C" w:rsidR="00A84448" w:rsidRDefault="00A84448">
      <w:pPr>
        <w:pStyle w:val="FootnoteText"/>
      </w:pPr>
      <w:r>
        <w:rPr>
          <w:rStyle w:val="FootnoteReference"/>
        </w:rPr>
        <w:footnoteRef/>
      </w:r>
      <w:r>
        <w:t xml:space="preserve"> </w:t>
      </w:r>
      <w:proofErr w:type="spellStart"/>
      <w:r>
        <w:t>Hdt</w:t>
      </w:r>
      <w:proofErr w:type="spellEnd"/>
      <w:r w:rsidR="00ED7F43">
        <w:t>.</w:t>
      </w:r>
      <w:r>
        <w:t xml:space="preserve"> 8.88</w:t>
      </w:r>
      <w:r w:rsidR="004620A6">
        <w:t>.</w:t>
      </w:r>
    </w:p>
  </w:footnote>
  <w:footnote w:id="51">
    <w:p w14:paraId="1D118FEA" w14:textId="2E01C9A8" w:rsidR="00A84448" w:rsidRDefault="00A84448">
      <w:pPr>
        <w:pStyle w:val="FootnoteText"/>
      </w:pPr>
      <w:r>
        <w:rPr>
          <w:rStyle w:val="FootnoteReference"/>
        </w:rPr>
        <w:footnoteRef/>
      </w:r>
      <w:r>
        <w:t xml:space="preserve"> </w:t>
      </w:r>
      <w:proofErr w:type="spellStart"/>
      <w:r>
        <w:t>Hdt</w:t>
      </w:r>
      <w:proofErr w:type="spellEnd"/>
      <w:r w:rsidR="00ED7F43">
        <w:t>.</w:t>
      </w:r>
      <w:r>
        <w:t xml:space="preserve"> 8.102-3</w:t>
      </w:r>
      <w:r w:rsidR="004620A6">
        <w:t>.</w:t>
      </w:r>
    </w:p>
  </w:footnote>
  <w:footnote w:id="52">
    <w:p w14:paraId="5AC119E7" w14:textId="15A2097A" w:rsidR="00A84448" w:rsidRPr="00A84448" w:rsidRDefault="00A84448">
      <w:pPr>
        <w:pStyle w:val="FootnoteText"/>
      </w:pPr>
      <w:r>
        <w:rPr>
          <w:rStyle w:val="FootnoteReference"/>
        </w:rPr>
        <w:footnoteRef/>
      </w:r>
      <w:r>
        <w:t xml:space="preserve"> Discussions here could include the cleverness of the Spartan princess </w:t>
      </w:r>
      <w:proofErr w:type="spellStart"/>
      <w:r>
        <w:t>Gorgo</w:t>
      </w:r>
      <w:proofErr w:type="spellEnd"/>
      <w:r>
        <w:t xml:space="preserve">: (5.51; 7.239), although this could be unique to Sparta and not to the rest of Greece, notably Athens.  Other women seen in the </w:t>
      </w:r>
      <w:r>
        <w:rPr>
          <w:i/>
        </w:rPr>
        <w:t xml:space="preserve">Histories </w:t>
      </w:r>
      <w:r>
        <w:t xml:space="preserve">who could be compared to the portrayals of Persian women include: </w:t>
      </w:r>
      <w:proofErr w:type="spellStart"/>
      <w:r>
        <w:t>Mycerinus</w:t>
      </w:r>
      <w:proofErr w:type="spellEnd"/>
      <w:r>
        <w:t>’ daughter in Egypt and the supposed lust he had for her which ultimately caused her death (2.129-134), which can be compared to Cambyses’ l</w:t>
      </w:r>
      <w:r w:rsidR="007C27A8">
        <w:t>ust for his sisters (3.</w:t>
      </w:r>
      <w:r>
        <w:t xml:space="preserve">30-33); and </w:t>
      </w:r>
      <w:proofErr w:type="spellStart"/>
      <w:r>
        <w:t>Candaules</w:t>
      </w:r>
      <w:proofErr w:type="spellEnd"/>
      <w:r>
        <w:t>’ wife within the Gyges episode (</w:t>
      </w:r>
      <w:r w:rsidR="00044D91">
        <w:t>1.8-13)</w:t>
      </w:r>
      <w:r>
        <w:t xml:space="preserve">, which can be compared to </w:t>
      </w:r>
      <w:r w:rsidR="00044D91">
        <w:t xml:space="preserve">the Xerxes episode with </w:t>
      </w:r>
      <w:proofErr w:type="spellStart"/>
      <w:r w:rsidR="00044D91">
        <w:t>Masistes</w:t>
      </w:r>
      <w:proofErr w:type="spellEnd"/>
      <w:r w:rsidR="00044D91">
        <w:t>’ wife (9.111).</w:t>
      </w:r>
    </w:p>
  </w:footnote>
  <w:footnote w:id="53">
    <w:p w14:paraId="307E000E" w14:textId="1A802AC7" w:rsidR="00A84448" w:rsidRDefault="00A84448">
      <w:pPr>
        <w:pStyle w:val="FootnoteText"/>
      </w:pPr>
      <w:r>
        <w:rPr>
          <w:rStyle w:val="FootnoteReference"/>
        </w:rPr>
        <w:footnoteRef/>
      </w:r>
      <w:r>
        <w:t xml:space="preserve"> </w:t>
      </w:r>
      <w:r w:rsidRPr="005A62F4">
        <w:t xml:space="preserve">For comparisons of Greek cultures with other cultures, see the ethnographic </w:t>
      </w:r>
      <w:r w:rsidRPr="005A62F4">
        <w:rPr>
          <w:i/>
        </w:rPr>
        <w:t>logoi</w:t>
      </w:r>
      <w:r w:rsidRPr="005A62F4">
        <w:t xml:space="preserve"> within the </w:t>
      </w:r>
      <w:r w:rsidRPr="005A62F4">
        <w:rPr>
          <w:i/>
        </w:rPr>
        <w:t>Histories</w:t>
      </w:r>
      <w:r w:rsidRPr="005A62F4">
        <w:t xml:space="preserve"> of: Scythia</w:t>
      </w:r>
      <w:r w:rsidR="009A078B" w:rsidRPr="005A62F4">
        <w:t xml:space="preserve">, Hdt.4.2; </w:t>
      </w:r>
      <w:r w:rsidRPr="005A62F4">
        <w:t>Egypt</w:t>
      </w:r>
      <w:r w:rsidR="00DF1923" w:rsidRPr="005A62F4">
        <w:t xml:space="preserve">; </w:t>
      </w:r>
      <w:proofErr w:type="spellStart"/>
      <w:r w:rsidR="00DF1923" w:rsidRPr="005A62F4">
        <w:t>Hdt</w:t>
      </w:r>
      <w:proofErr w:type="spellEnd"/>
      <w:r w:rsidR="00DF1923" w:rsidRPr="005A62F4">
        <w:t>. 2</w:t>
      </w:r>
      <w:r w:rsidR="00C82407" w:rsidRPr="005A62F4">
        <w:t>.14-180</w:t>
      </w:r>
      <w:r w:rsidR="009A078B" w:rsidRPr="005A62F4">
        <w:t>;</w:t>
      </w:r>
      <w:r w:rsidRPr="005A62F4">
        <w:t xml:space="preserve"> India</w:t>
      </w:r>
      <w:r w:rsidR="00DF1923" w:rsidRPr="005A62F4">
        <w:t xml:space="preserve">, </w:t>
      </w:r>
      <w:proofErr w:type="spellStart"/>
      <w:r w:rsidR="00DF1923" w:rsidRPr="005A62F4">
        <w:t>Hdt</w:t>
      </w:r>
      <w:proofErr w:type="spellEnd"/>
      <w:r w:rsidR="00DF1923" w:rsidRPr="005A62F4">
        <w:t>. 3.94-104</w:t>
      </w:r>
      <w:r w:rsidR="009A078B" w:rsidRPr="005A62F4">
        <w:t xml:space="preserve">; Lydians, </w:t>
      </w:r>
      <w:proofErr w:type="spellStart"/>
      <w:r w:rsidR="009A078B" w:rsidRPr="005A62F4">
        <w:t>Hdt</w:t>
      </w:r>
      <w:proofErr w:type="spellEnd"/>
      <w:r w:rsidR="009A078B" w:rsidRPr="005A62F4">
        <w:t xml:space="preserve"> 1.193-216.</w:t>
      </w:r>
    </w:p>
  </w:footnote>
  <w:footnote w:id="54">
    <w:p w14:paraId="51D8F0C9" w14:textId="6E480A0F" w:rsidR="007C27A8" w:rsidRDefault="007C27A8">
      <w:pPr>
        <w:pStyle w:val="FootnoteText"/>
      </w:pPr>
      <w:r>
        <w:rPr>
          <w:rStyle w:val="FootnoteReference"/>
        </w:rPr>
        <w:footnoteRef/>
      </w:r>
      <w:r>
        <w:t xml:space="preserve"> For example: </w:t>
      </w:r>
      <w:r w:rsidR="004620A6">
        <w:rPr>
          <w:noProof/>
        </w:rPr>
        <w:t>Wenghofer, 2014.</w:t>
      </w:r>
    </w:p>
  </w:footnote>
  <w:footnote w:id="55">
    <w:p w14:paraId="7F224636" w14:textId="5CB6C939" w:rsidR="00ED7F43" w:rsidRDefault="00ED7F43">
      <w:pPr>
        <w:pStyle w:val="FootnoteText"/>
      </w:pPr>
      <w:r>
        <w:rPr>
          <w:rStyle w:val="FootnoteReference"/>
        </w:rPr>
        <w:footnoteRef/>
      </w:r>
      <w:r>
        <w:t xml:space="preserve"> </w:t>
      </w:r>
      <w:proofErr w:type="spellStart"/>
      <w:r>
        <w:t>Hdt</w:t>
      </w:r>
      <w:proofErr w:type="spellEnd"/>
      <w:r>
        <w:t>. 1.0</w:t>
      </w:r>
      <w:r w:rsidR="004620A6">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E1tTAwNjcyNjRX0lEKTi0uzszPAykwrAUAqsVFEiwAAAA="/>
  </w:docVars>
  <w:rsids>
    <w:rsidRoot w:val="001D606C"/>
    <w:rsid w:val="000003E4"/>
    <w:rsid w:val="00007712"/>
    <w:rsid w:val="00012642"/>
    <w:rsid w:val="00016DE5"/>
    <w:rsid w:val="00020495"/>
    <w:rsid w:val="00030C6B"/>
    <w:rsid w:val="0003466A"/>
    <w:rsid w:val="00041352"/>
    <w:rsid w:val="00044D91"/>
    <w:rsid w:val="00060E5B"/>
    <w:rsid w:val="0008424E"/>
    <w:rsid w:val="00084FC9"/>
    <w:rsid w:val="000A34F4"/>
    <w:rsid w:val="000A3570"/>
    <w:rsid w:val="000C4966"/>
    <w:rsid w:val="000F1B28"/>
    <w:rsid w:val="000F77F6"/>
    <w:rsid w:val="00101A70"/>
    <w:rsid w:val="00107D51"/>
    <w:rsid w:val="001118B7"/>
    <w:rsid w:val="00113EA6"/>
    <w:rsid w:val="00115539"/>
    <w:rsid w:val="00155D72"/>
    <w:rsid w:val="001755A1"/>
    <w:rsid w:val="001A1663"/>
    <w:rsid w:val="001B5980"/>
    <w:rsid w:val="001C3269"/>
    <w:rsid w:val="001C3AE5"/>
    <w:rsid w:val="001C5FCA"/>
    <w:rsid w:val="001C6D88"/>
    <w:rsid w:val="001D606C"/>
    <w:rsid w:val="001E1BBC"/>
    <w:rsid w:val="001E1E95"/>
    <w:rsid w:val="00210656"/>
    <w:rsid w:val="00244C83"/>
    <w:rsid w:val="00251510"/>
    <w:rsid w:val="00253928"/>
    <w:rsid w:val="00261C7D"/>
    <w:rsid w:val="002748E4"/>
    <w:rsid w:val="0028331C"/>
    <w:rsid w:val="00295D01"/>
    <w:rsid w:val="002D573C"/>
    <w:rsid w:val="00331547"/>
    <w:rsid w:val="003640B6"/>
    <w:rsid w:val="00381184"/>
    <w:rsid w:val="003828E1"/>
    <w:rsid w:val="00385DF3"/>
    <w:rsid w:val="00386F05"/>
    <w:rsid w:val="003C62E9"/>
    <w:rsid w:val="003D6954"/>
    <w:rsid w:val="003E594F"/>
    <w:rsid w:val="003F41AA"/>
    <w:rsid w:val="00405634"/>
    <w:rsid w:val="004152BB"/>
    <w:rsid w:val="00415B4B"/>
    <w:rsid w:val="00416313"/>
    <w:rsid w:val="00416ABC"/>
    <w:rsid w:val="00433208"/>
    <w:rsid w:val="00433CE5"/>
    <w:rsid w:val="00434203"/>
    <w:rsid w:val="00455D6C"/>
    <w:rsid w:val="004620A6"/>
    <w:rsid w:val="00470420"/>
    <w:rsid w:val="00481C98"/>
    <w:rsid w:val="00487C61"/>
    <w:rsid w:val="00491163"/>
    <w:rsid w:val="004A5EF9"/>
    <w:rsid w:val="004B60B0"/>
    <w:rsid w:val="004D47CA"/>
    <w:rsid w:val="004F24BA"/>
    <w:rsid w:val="00502AFD"/>
    <w:rsid w:val="00506175"/>
    <w:rsid w:val="00514FA0"/>
    <w:rsid w:val="0053665C"/>
    <w:rsid w:val="00540907"/>
    <w:rsid w:val="00542F32"/>
    <w:rsid w:val="00556C01"/>
    <w:rsid w:val="00556FA1"/>
    <w:rsid w:val="00562549"/>
    <w:rsid w:val="00565A8F"/>
    <w:rsid w:val="005920D8"/>
    <w:rsid w:val="005A0EE8"/>
    <w:rsid w:val="005A4667"/>
    <w:rsid w:val="005A62F4"/>
    <w:rsid w:val="005B4878"/>
    <w:rsid w:val="005C6349"/>
    <w:rsid w:val="005D588E"/>
    <w:rsid w:val="00610E0E"/>
    <w:rsid w:val="00610E2F"/>
    <w:rsid w:val="00636A28"/>
    <w:rsid w:val="00640FA6"/>
    <w:rsid w:val="0064463B"/>
    <w:rsid w:val="00681A65"/>
    <w:rsid w:val="00684DDE"/>
    <w:rsid w:val="0068570F"/>
    <w:rsid w:val="00686D77"/>
    <w:rsid w:val="006A15A7"/>
    <w:rsid w:val="006A1F0D"/>
    <w:rsid w:val="006A3A19"/>
    <w:rsid w:val="006B358A"/>
    <w:rsid w:val="006B37B1"/>
    <w:rsid w:val="006B5BB4"/>
    <w:rsid w:val="006B6654"/>
    <w:rsid w:val="006C7A9B"/>
    <w:rsid w:val="006D6837"/>
    <w:rsid w:val="006E403C"/>
    <w:rsid w:val="006F0ACB"/>
    <w:rsid w:val="006F5EC9"/>
    <w:rsid w:val="006F7BF8"/>
    <w:rsid w:val="00700A5B"/>
    <w:rsid w:val="0070360F"/>
    <w:rsid w:val="00720A77"/>
    <w:rsid w:val="00721760"/>
    <w:rsid w:val="00732FE3"/>
    <w:rsid w:val="007406A4"/>
    <w:rsid w:val="00756911"/>
    <w:rsid w:val="007671C0"/>
    <w:rsid w:val="0076739D"/>
    <w:rsid w:val="00767D9A"/>
    <w:rsid w:val="0077148B"/>
    <w:rsid w:val="00771B1D"/>
    <w:rsid w:val="0077454F"/>
    <w:rsid w:val="00777276"/>
    <w:rsid w:val="00787771"/>
    <w:rsid w:val="007B06D6"/>
    <w:rsid w:val="007C27A8"/>
    <w:rsid w:val="007E311C"/>
    <w:rsid w:val="007F256E"/>
    <w:rsid w:val="0081079F"/>
    <w:rsid w:val="00842C5B"/>
    <w:rsid w:val="00852FF7"/>
    <w:rsid w:val="008545F9"/>
    <w:rsid w:val="00862F11"/>
    <w:rsid w:val="00870AC5"/>
    <w:rsid w:val="00884B8F"/>
    <w:rsid w:val="008853C0"/>
    <w:rsid w:val="00894F39"/>
    <w:rsid w:val="0089618D"/>
    <w:rsid w:val="008A6F32"/>
    <w:rsid w:val="008B4AB5"/>
    <w:rsid w:val="008C271F"/>
    <w:rsid w:val="008D549F"/>
    <w:rsid w:val="008E3AC8"/>
    <w:rsid w:val="008E3CAC"/>
    <w:rsid w:val="008E6333"/>
    <w:rsid w:val="00901D63"/>
    <w:rsid w:val="00902FBA"/>
    <w:rsid w:val="0091523B"/>
    <w:rsid w:val="00915A70"/>
    <w:rsid w:val="00921F9B"/>
    <w:rsid w:val="00924EA2"/>
    <w:rsid w:val="0094193C"/>
    <w:rsid w:val="00950AF4"/>
    <w:rsid w:val="00986380"/>
    <w:rsid w:val="00995528"/>
    <w:rsid w:val="009A078B"/>
    <w:rsid w:val="009A4E5B"/>
    <w:rsid w:val="009B2A00"/>
    <w:rsid w:val="009B41DB"/>
    <w:rsid w:val="009D2F42"/>
    <w:rsid w:val="009D4882"/>
    <w:rsid w:val="009F5F04"/>
    <w:rsid w:val="00A012E8"/>
    <w:rsid w:val="00A072DC"/>
    <w:rsid w:val="00A21EF2"/>
    <w:rsid w:val="00A23A67"/>
    <w:rsid w:val="00A27C68"/>
    <w:rsid w:val="00A32D8F"/>
    <w:rsid w:val="00A442C9"/>
    <w:rsid w:val="00A44A36"/>
    <w:rsid w:val="00A4566D"/>
    <w:rsid w:val="00A67B80"/>
    <w:rsid w:val="00A83B6B"/>
    <w:rsid w:val="00A84448"/>
    <w:rsid w:val="00A94090"/>
    <w:rsid w:val="00A959EC"/>
    <w:rsid w:val="00AA0284"/>
    <w:rsid w:val="00AB3631"/>
    <w:rsid w:val="00AC3555"/>
    <w:rsid w:val="00AD5465"/>
    <w:rsid w:val="00AF1CEE"/>
    <w:rsid w:val="00AF4DBB"/>
    <w:rsid w:val="00B07E21"/>
    <w:rsid w:val="00B22BB6"/>
    <w:rsid w:val="00B2522E"/>
    <w:rsid w:val="00B33960"/>
    <w:rsid w:val="00B3625E"/>
    <w:rsid w:val="00B375ED"/>
    <w:rsid w:val="00B46303"/>
    <w:rsid w:val="00B57728"/>
    <w:rsid w:val="00B720C9"/>
    <w:rsid w:val="00B851CF"/>
    <w:rsid w:val="00B91A2C"/>
    <w:rsid w:val="00B95102"/>
    <w:rsid w:val="00BA5AA7"/>
    <w:rsid w:val="00BB240A"/>
    <w:rsid w:val="00BC47BE"/>
    <w:rsid w:val="00BD3EC3"/>
    <w:rsid w:val="00BD6311"/>
    <w:rsid w:val="00BE5878"/>
    <w:rsid w:val="00C0562D"/>
    <w:rsid w:val="00C24CAD"/>
    <w:rsid w:val="00C306FC"/>
    <w:rsid w:val="00C46790"/>
    <w:rsid w:val="00C51901"/>
    <w:rsid w:val="00C64159"/>
    <w:rsid w:val="00C65AA9"/>
    <w:rsid w:val="00C71C1D"/>
    <w:rsid w:val="00C72831"/>
    <w:rsid w:val="00C72946"/>
    <w:rsid w:val="00C73A77"/>
    <w:rsid w:val="00C73F96"/>
    <w:rsid w:val="00C82407"/>
    <w:rsid w:val="00C97FF3"/>
    <w:rsid w:val="00CB20B2"/>
    <w:rsid w:val="00CB2551"/>
    <w:rsid w:val="00CC2877"/>
    <w:rsid w:val="00CD599D"/>
    <w:rsid w:val="00CE4DDE"/>
    <w:rsid w:val="00D16578"/>
    <w:rsid w:val="00D174D4"/>
    <w:rsid w:val="00D30ED0"/>
    <w:rsid w:val="00D31C0C"/>
    <w:rsid w:val="00D43354"/>
    <w:rsid w:val="00D507A7"/>
    <w:rsid w:val="00D54C55"/>
    <w:rsid w:val="00D70501"/>
    <w:rsid w:val="00D72538"/>
    <w:rsid w:val="00D814BF"/>
    <w:rsid w:val="00D9215F"/>
    <w:rsid w:val="00D96582"/>
    <w:rsid w:val="00DA3619"/>
    <w:rsid w:val="00DB5830"/>
    <w:rsid w:val="00DD0130"/>
    <w:rsid w:val="00DD6A9B"/>
    <w:rsid w:val="00DF1923"/>
    <w:rsid w:val="00DF1FA3"/>
    <w:rsid w:val="00DF67EB"/>
    <w:rsid w:val="00E325EE"/>
    <w:rsid w:val="00E5076D"/>
    <w:rsid w:val="00E5710C"/>
    <w:rsid w:val="00E73710"/>
    <w:rsid w:val="00E76F16"/>
    <w:rsid w:val="00E834CE"/>
    <w:rsid w:val="00E8390A"/>
    <w:rsid w:val="00E84286"/>
    <w:rsid w:val="00E84B01"/>
    <w:rsid w:val="00E9347A"/>
    <w:rsid w:val="00EA52CA"/>
    <w:rsid w:val="00EA5F4C"/>
    <w:rsid w:val="00EB7958"/>
    <w:rsid w:val="00EC6AAF"/>
    <w:rsid w:val="00EC7CA0"/>
    <w:rsid w:val="00ED7F43"/>
    <w:rsid w:val="00EE33E4"/>
    <w:rsid w:val="00EF1BFF"/>
    <w:rsid w:val="00EF5B3F"/>
    <w:rsid w:val="00F079DD"/>
    <w:rsid w:val="00F24050"/>
    <w:rsid w:val="00F2471D"/>
    <w:rsid w:val="00F27A78"/>
    <w:rsid w:val="00F320D4"/>
    <w:rsid w:val="00F4757C"/>
    <w:rsid w:val="00F4794E"/>
    <w:rsid w:val="00F50470"/>
    <w:rsid w:val="00F5284C"/>
    <w:rsid w:val="00F62D7C"/>
    <w:rsid w:val="00F8393F"/>
    <w:rsid w:val="00F85200"/>
    <w:rsid w:val="00F91D74"/>
    <w:rsid w:val="00F92628"/>
    <w:rsid w:val="00FC0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382541A4"/>
  <w15:chartTrackingRefBased/>
  <w15:docId w15:val="{EE032E32-BE60-47D3-B954-A562FBD2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606C"/>
  </w:style>
  <w:style w:type="paragraph" w:styleId="Heading1">
    <w:name w:val="heading 1"/>
    <w:basedOn w:val="Normal"/>
    <w:next w:val="Normal"/>
    <w:link w:val="Heading1Char"/>
    <w:uiPriority w:val="9"/>
    <w:qFormat/>
    <w:rsid w:val="004152B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18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18B7"/>
    <w:rPr>
      <w:sz w:val="20"/>
      <w:szCs w:val="20"/>
    </w:rPr>
  </w:style>
  <w:style w:type="character" w:styleId="FootnoteReference">
    <w:name w:val="footnote reference"/>
    <w:basedOn w:val="DefaultParagraphFont"/>
    <w:uiPriority w:val="99"/>
    <w:semiHidden/>
    <w:unhideWhenUsed/>
    <w:rsid w:val="001118B7"/>
    <w:rPr>
      <w:vertAlign w:val="superscript"/>
    </w:rPr>
  </w:style>
  <w:style w:type="character" w:styleId="CommentReference">
    <w:name w:val="annotation reference"/>
    <w:basedOn w:val="DefaultParagraphFont"/>
    <w:uiPriority w:val="99"/>
    <w:semiHidden/>
    <w:unhideWhenUsed/>
    <w:rsid w:val="00C24CAD"/>
    <w:rPr>
      <w:sz w:val="16"/>
      <w:szCs w:val="16"/>
    </w:rPr>
  </w:style>
  <w:style w:type="paragraph" w:styleId="CommentText">
    <w:name w:val="annotation text"/>
    <w:basedOn w:val="Normal"/>
    <w:link w:val="CommentTextChar"/>
    <w:uiPriority w:val="99"/>
    <w:semiHidden/>
    <w:unhideWhenUsed/>
    <w:rsid w:val="00C24CAD"/>
    <w:pPr>
      <w:spacing w:line="240" w:lineRule="auto"/>
    </w:pPr>
    <w:rPr>
      <w:sz w:val="20"/>
      <w:szCs w:val="20"/>
    </w:rPr>
  </w:style>
  <w:style w:type="character" w:customStyle="1" w:styleId="CommentTextChar">
    <w:name w:val="Comment Text Char"/>
    <w:basedOn w:val="DefaultParagraphFont"/>
    <w:link w:val="CommentText"/>
    <w:uiPriority w:val="99"/>
    <w:semiHidden/>
    <w:rsid w:val="00C24CAD"/>
    <w:rPr>
      <w:sz w:val="20"/>
      <w:szCs w:val="20"/>
    </w:rPr>
  </w:style>
  <w:style w:type="paragraph" w:styleId="CommentSubject">
    <w:name w:val="annotation subject"/>
    <w:basedOn w:val="CommentText"/>
    <w:next w:val="CommentText"/>
    <w:link w:val="CommentSubjectChar"/>
    <w:uiPriority w:val="99"/>
    <w:semiHidden/>
    <w:unhideWhenUsed/>
    <w:rsid w:val="00C24CAD"/>
    <w:rPr>
      <w:b/>
      <w:bCs/>
    </w:rPr>
  </w:style>
  <w:style w:type="character" w:customStyle="1" w:styleId="CommentSubjectChar">
    <w:name w:val="Comment Subject Char"/>
    <w:basedOn w:val="CommentTextChar"/>
    <w:link w:val="CommentSubject"/>
    <w:uiPriority w:val="99"/>
    <w:semiHidden/>
    <w:rsid w:val="00C24CAD"/>
    <w:rPr>
      <w:b/>
      <w:bCs/>
      <w:sz w:val="20"/>
      <w:szCs w:val="20"/>
    </w:rPr>
  </w:style>
  <w:style w:type="paragraph" w:styleId="BalloonText">
    <w:name w:val="Balloon Text"/>
    <w:basedOn w:val="Normal"/>
    <w:link w:val="BalloonTextChar"/>
    <w:uiPriority w:val="99"/>
    <w:semiHidden/>
    <w:unhideWhenUsed/>
    <w:rsid w:val="00C24C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4CAD"/>
    <w:rPr>
      <w:rFonts w:ascii="Segoe UI" w:hAnsi="Segoe UI" w:cs="Segoe UI"/>
      <w:sz w:val="18"/>
      <w:szCs w:val="18"/>
    </w:rPr>
  </w:style>
  <w:style w:type="character" w:customStyle="1" w:styleId="Heading1Char">
    <w:name w:val="Heading 1 Char"/>
    <w:basedOn w:val="DefaultParagraphFont"/>
    <w:link w:val="Heading1"/>
    <w:uiPriority w:val="9"/>
    <w:rsid w:val="004152B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152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91045">
      <w:bodyDiv w:val="1"/>
      <w:marLeft w:val="0"/>
      <w:marRight w:val="0"/>
      <w:marTop w:val="0"/>
      <w:marBottom w:val="0"/>
      <w:divBdr>
        <w:top w:val="none" w:sz="0" w:space="0" w:color="auto"/>
        <w:left w:val="none" w:sz="0" w:space="0" w:color="auto"/>
        <w:bottom w:val="none" w:sz="0" w:space="0" w:color="auto"/>
        <w:right w:val="none" w:sz="0" w:space="0" w:color="auto"/>
      </w:divBdr>
    </w:div>
    <w:div w:id="54207528">
      <w:bodyDiv w:val="1"/>
      <w:marLeft w:val="0"/>
      <w:marRight w:val="0"/>
      <w:marTop w:val="0"/>
      <w:marBottom w:val="0"/>
      <w:divBdr>
        <w:top w:val="none" w:sz="0" w:space="0" w:color="auto"/>
        <w:left w:val="none" w:sz="0" w:space="0" w:color="auto"/>
        <w:bottom w:val="none" w:sz="0" w:space="0" w:color="auto"/>
        <w:right w:val="none" w:sz="0" w:space="0" w:color="auto"/>
      </w:divBdr>
    </w:div>
    <w:div w:id="79837487">
      <w:bodyDiv w:val="1"/>
      <w:marLeft w:val="0"/>
      <w:marRight w:val="0"/>
      <w:marTop w:val="0"/>
      <w:marBottom w:val="0"/>
      <w:divBdr>
        <w:top w:val="none" w:sz="0" w:space="0" w:color="auto"/>
        <w:left w:val="none" w:sz="0" w:space="0" w:color="auto"/>
        <w:bottom w:val="none" w:sz="0" w:space="0" w:color="auto"/>
        <w:right w:val="none" w:sz="0" w:space="0" w:color="auto"/>
      </w:divBdr>
    </w:div>
    <w:div w:id="86461863">
      <w:bodyDiv w:val="1"/>
      <w:marLeft w:val="0"/>
      <w:marRight w:val="0"/>
      <w:marTop w:val="0"/>
      <w:marBottom w:val="0"/>
      <w:divBdr>
        <w:top w:val="none" w:sz="0" w:space="0" w:color="auto"/>
        <w:left w:val="none" w:sz="0" w:space="0" w:color="auto"/>
        <w:bottom w:val="none" w:sz="0" w:space="0" w:color="auto"/>
        <w:right w:val="none" w:sz="0" w:space="0" w:color="auto"/>
      </w:divBdr>
    </w:div>
    <w:div w:id="88047466">
      <w:bodyDiv w:val="1"/>
      <w:marLeft w:val="0"/>
      <w:marRight w:val="0"/>
      <w:marTop w:val="0"/>
      <w:marBottom w:val="0"/>
      <w:divBdr>
        <w:top w:val="none" w:sz="0" w:space="0" w:color="auto"/>
        <w:left w:val="none" w:sz="0" w:space="0" w:color="auto"/>
        <w:bottom w:val="none" w:sz="0" w:space="0" w:color="auto"/>
        <w:right w:val="none" w:sz="0" w:space="0" w:color="auto"/>
      </w:divBdr>
    </w:div>
    <w:div w:id="155533002">
      <w:bodyDiv w:val="1"/>
      <w:marLeft w:val="0"/>
      <w:marRight w:val="0"/>
      <w:marTop w:val="0"/>
      <w:marBottom w:val="0"/>
      <w:divBdr>
        <w:top w:val="none" w:sz="0" w:space="0" w:color="auto"/>
        <w:left w:val="none" w:sz="0" w:space="0" w:color="auto"/>
        <w:bottom w:val="none" w:sz="0" w:space="0" w:color="auto"/>
        <w:right w:val="none" w:sz="0" w:space="0" w:color="auto"/>
      </w:divBdr>
    </w:div>
    <w:div w:id="171265534">
      <w:bodyDiv w:val="1"/>
      <w:marLeft w:val="0"/>
      <w:marRight w:val="0"/>
      <w:marTop w:val="0"/>
      <w:marBottom w:val="0"/>
      <w:divBdr>
        <w:top w:val="none" w:sz="0" w:space="0" w:color="auto"/>
        <w:left w:val="none" w:sz="0" w:space="0" w:color="auto"/>
        <w:bottom w:val="none" w:sz="0" w:space="0" w:color="auto"/>
        <w:right w:val="none" w:sz="0" w:space="0" w:color="auto"/>
      </w:divBdr>
    </w:div>
    <w:div w:id="299580833">
      <w:bodyDiv w:val="1"/>
      <w:marLeft w:val="0"/>
      <w:marRight w:val="0"/>
      <w:marTop w:val="0"/>
      <w:marBottom w:val="0"/>
      <w:divBdr>
        <w:top w:val="none" w:sz="0" w:space="0" w:color="auto"/>
        <w:left w:val="none" w:sz="0" w:space="0" w:color="auto"/>
        <w:bottom w:val="none" w:sz="0" w:space="0" w:color="auto"/>
        <w:right w:val="none" w:sz="0" w:space="0" w:color="auto"/>
      </w:divBdr>
    </w:div>
    <w:div w:id="302199632">
      <w:bodyDiv w:val="1"/>
      <w:marLeft w:val="0"/>
      <w:marRight w:val="0"/>
      <w:marTop w:val="0"/>
      <w:marBottom w:val="0"/>
      <w:divBdr>
        <w:top w:val="none" w:sz="0" w:space="0" w:color="auto"/>
        <w:left w:val="none" w:sz="0" w:space="0" w:color="auto"/>
        <w:bottom w:val="none" w:sz="0" w:space="0" w:color="auto"/>
        <w:right w:val="none" w:sz="0" w:space="0" w:color="auto"/>
      </w:divBdr>
    </w:div>
    <w:div w:id="308632854">
      <w:bodyDiv w:val="1"/>
      <w:marLeft w:val="0"/>
      <w:marRight w:val="0"/>
      <w:marTop w:val="0"/>
      <w:marBottom w:val="0"/>
      <w:divBdr>
        <w:top w:val="none" w:sz="0" w:space="0" w:color="auto"/>
        <w:left w:val="none" w:sz="0" w:space="0" w:color="auto"/>
        <w:bottom w:val="none" w:sz="0" w:space="0" w:color="auto"/>
        <w:right w:val="none" w:sz="0" w:space="0" w:color="auto"/>
      </w:divBdr>
    </w:div>
    <w:div w:id="316155142">
      <w:bodyDiv w:val="1"/>
      <w:marLeft w:val="0"/>
      <w:marRight w:val="0"/>
      <w:marTop w:val="0"/>
      <w:marBottom w:val="0"/>
      <w:divBdr>
        <w:top w:val="none" w:sz="0" w:space="0" w:color="auto"/>
        <w:left w:val="none" w:sz="0" w:space="0" w:color="auto"/>
        <w:bottom w:val="none" w:sz="0" w:space="0" w:color="auto"/>
        <w:right w:val="none" w:sz="0" w:space="0" w:color="auto"/>
      </w:divBdr>
    </w:div>
    <w:div w:id="328800765">
      <w:bodyDiv w:val="1"/>
      <w:marLeft w:val="0"/>
      <w:marRight w:val="0"/>
      <w:marTop w:val="0"/>
      <w:marBottom w:val="0"/>
      <w:divBdr>
        <w:top w:val="none" w:sz="0" w:space="0" w:color="auto"/>
        <w:left w:val="none" w:sz="0" w:space="0" w:color="auto"/>
        <w:bottom w:val="none" w:sz="0" w:space="0" w:color="auto"/>
        <w:right w:val="none" w:sz="0" w:space="0" w:color="auto"/>
      </w:divBdr>
    </w:div>
    <w:div w:id="360327610">
      <w:bodyDiv w:val="1"/>
      <w:marLeft w:val="0"/>
      <w:marRight w:val="0"/>
      <w:marTop w:val="0"/>
      <w:marBottom w:val="0"/>
      <w:divBdr>
        <w:top w:val="none" w:sz="0" w:space="0" w:color="auto"/>
        <w:left w:val="none" w:sz="0" w:space="0" w:color="auto"/>
        <w:bottom w:val="none" w:sz="0" w:space="0" w:color="auto"/>
        <w:right w:val="none" w:sz="0" w:space="0" w:color="auto"/>
      </w:divBdr>
    </w:div>
    <w:div w:id="372310495">
      <w:bodyDiv w:val="1"/>
      <w:marLeft w:val="0"/>
      <w:marRight w:val="0"/>
      <w:marTop w:val="0"/>
      <w:marBottom w:val="0"/>
      <w:divBdr>
        <w:top w:val="none" w:sz="0" w:space="0" w:color="auto"/>
        <w:left w:val="none" w:sz="0" w:space="0" w:color="auto"/>
        <w:bottom w:val="none" w:sz="0" w:space="0" w:color="auto"/>
        <w:right w:val="none" w:sz="0" w:space="0" w:color="auto"/>
      </w:divBdr>
    </w:div>
    <w:div w:id="409229782">
      <w:bodyDiv w:val="1"/>
      <w:marLeft w:val="0"/>
      <w:marRight w:val="0"/>
      <w:marTop w:val="0"/>
      <w:marBottom w:val="0"/>
      <w:divBdr>
        <w:top w:val="none" w:sz="0" w:space="0" w:color="auto"/>
        <w:left w:val="none" w:sz="0" w:space="0" w:color="auto"/>
        <w:bottom w:val="none" w:sz="0" w:space="0" w:color="auto"/>
        <w:right w:val="none" w:sz="0" w:space="0" w:color="auto"/>
      </w:divBdr>
    </w:div>
    <w:div w:id="409735812">
      <w:bodyDiv w:val="1"/>
      <w:marLeft w:val="0"/>
      <w:marRight w:val="0"/>
      <w:marTop w:val="0"/>
      <w:marBottom w:val="0"/>
      <w:divBdr>
        <w:top w:val="none" w:sz="0" w:space="0" w:color="auto"/>
        <w:left w:val="none" w:sz="0" w:space="0" w:color="auto"/>
        <w:bottom w:val="none" w:sz="0" w:space="0" w:color="auto"/>
        <w:right w:val="none" w:sz="0" w:space="0" w:color="auto"/>
      </w:divBdr>
    </w:div>
    <w:div w:id="438447895">
      <w:bodyDiv w:val="1"/>
      <w:marLeft w:val="0"/>
      <w:marRight w:val="0"/>
      <w:marTop w:val="0"/>
      <w:marBottom w:val="0"/>
      <w:divBdr>
        <w:top w:val="none" w:sz="0" w:space="0" w:color="auto"/>
        <w:left w:val="none" w:sz="0" w:space="0" w:color="auto"/>
        <w:bottom w:val="none" w:sz="0" w:space="0" w:color="auto"/>
        <w:right w:val="none" w:sz="0" w:space="0" w:color="auto"/>
      </w:divBdr>
    </w:div>
    <w:div w:id="444152302">
      <w:bodyDiv w:val="1"/>
      <w:marLeft w:val="0"/>
      <w:marRight w:val="0"/>
      <w:marTop w:val="0"/>
      <w:marBottom w:val="0"/>
      <w:divBdr>
        <w:top w:val="none" w:sz="0" w:space="0" w:color="auto"/>
        <w:left w:val="none" w:sz="0" w:space="0" w:color="auto"/>
        <w:bottom w:val="none" w:sz="0" w:space="0" w:color="auto"/>
        <w:right w:val="none" w:sz="0" w:space="0" w:color="auto"/>
      </w:divBdr>
    </w:div>
    <w:div w:id="474416781">
      <w:bodyDiv w:val="1"/>
      <w:marLeft w:val="0"/>
      <w:marRight w:val="0"/>
      <w:marTop w:val="0"/>
      <w:marBottom w:val="0"/>
      <w:divBdr>
        <w:top w:val="none" w:sz="0" w:space="0" w:color="auto"/>
        <w:left w:val="none" w:sz="0" w:space="0" w:color="auto"/>
        <w:bottom w:val="none" w:sz="0" w:space="0" w:color="auto"/>
        <w:right w:val="none" w:sz="0" w:space="0" w:color="auto"/>
      </w:divBdr>
    </w:div>
    <w:div w:id="486213413">
      <w:bodyDiv w:val="1"/>
      <w:marLeft w:val="0"/>
      <w:marRight w:val="0"/>
      <w:marTop w:val="0"/>
      <w:marBottom w:val="0"/>
      <w:divBdr>
        <w:top w:val="none" w:sz="0" w:space="0" w:color="auto"/>
        <w:left w:val="none" w:sz="0" w:space="0" w:color="auto"/>
        <w:bottom w:val="none" w:sz="0" w:space="0" w:color="auto"/>
        <w:right w:val="none" w:sz="0" w:space="0" w:color="auto"/>
      </w:divBdr>
    </w:div>
    <w:div w:id="487483604">
      <w:bodyDiv w:val="1"/>
      <w:marLeft w:val="0"/>
      <w:marRight w:val="0"/>
      <w:marTop w:val="0"/>
      <w:marBottom w:val="0"/>
      <w:divBdr>
        <w:top w:val="none" w:sz="0" w:space="0" w:color="auto"/>
        <w:left w:val="none" w:sz="0" w:space="0" w:color="auto"/>
        <w:bottom w:val="none" w:sz="0" w:space="0" w:color="auto"/>
        <w:right w:val="none" w:sz="0" w:space="0" w:color="auto"/>
      </w:divBdr>
    </w:div>
    <w:div w:id="526141361">
      <w:bodyDiv w:val="1"/>
      <w:marLeft w:val="0"/>
      <w:marRight w:val="0"/>
      <w:marTop w:val="0"/>
      <w:marBottom w:val="0"/>
      <w:divBdr>
        <w:top w:val="none" w:sz="0" w:space="0" w:color="auto"/>
        <w:left w:val="none" w:sz="0" w:space="0" w:color="auto"/>
        <w:bottom w:val="none" w:sz="0" w:space="0" w:color="auto"/>
        <w:right w:val="none" w:sz="0" w:space="0" w:color="auto"/>
      </w:divBdr>
    </w:div>
    <w:div w:id="536624635">
      <w:bodyDiv w:val="1"/>
      <w:marLeft w:val="0"/>
      <w:marRight w:val="0"/>
      <w:marTop w:val="0"/>
      <w:marBottom w:val="0"/>
      <w:divBdr>
        <w:top w:val="none" w:sz="0" w:space="0" w:color="auto"/>
        <w:left w:val="none" w:sz="0" w:space="0" w:color="auto"/>
        <w:bottom w:val="none" w:sz="0" w:space="0" w:color="auto"/>
        <w:right w:val="none" w:sz="0" w:space="0" w:color="auto"/>
      </w:divBdr>
    </w:div>
    <w:div w:id="541984926">
      <w:bodyDiv w:val="1"/>
      <w:marLeft w:val="0"/>
      <w:marRight w:val="0"/>
      <w:marTop w:val="0"/>
      <w:marBottom w:val="0"/>
      <w:divBdr>
        <w:top w:val="none" w:sz="0" w:space="0" w:color="auto"/>
        <w:left w:val="none" w:sz="0" w:space="0" w:color="auto"/>
        <w:bottom w:val="none" w:sz="0" w:space="0" w:color="auto"/>
        <w:right w:val="none" w:sz="0" w:space="0" w:color="auto"/>
      </w:divBdr>
    </w:div>
    <w:div w:id="542792716">
      <w:bodyDiv w:val="1"/>
      <w:marLeft w:val="0"/>
      <w:marRight w:val="0"/>
      <w:marTop w:val="0"/>
      <w:marBottom w:val="0"/>
      <w:divBdr>
        <w:top w:val="none" w:sz="0" w:space="0" w:color="auto"/>
        <w:left w:val="none" w:sz="0" w:space="0" w:color="auto"/>
        <w:bottom w:val="none" w:sz="0" w:space="0" w:color="auto"/>
        <w:right w:val="none" w:sz="0" w:space="0" w:color="auto"/>
      </w:divBdr>
    </w:div>
    <w:div w:id="543251738">
      <w:bodyDiv w:val="1"/>
      <w:marLeft w:val="0"/>
      <w:marRight w:val="0"/>
      <w:marTop w:val="0"/>
      <w:marBottom w:val="0"/>
      <w:divBdr>
        <w:top w:val="none" w:sz="0" w:space="0" w:color="auto"/>
        <w:left w:val="none" w:sz="0" w:space="0" w:color="auto"/>
        <w:bottom w:val="none" w:sz="0" w:space="0" w:color="auto"/>
        <w:right w:val="none" w:sz="0" w:space="0" w:color="auto"/>
      </w:divBdr>
    </w:div>
    <w:div w:id="547379515">
      <w:bodyDiv w:val="1"/>
      <w:marLeft w:val="0"/>
      <w:marRight w:val="0"/>
      <w:marTop w:val="0"/>
      <w:marBottom w:val="0"/>
      <w:divBdr>
        <w:top w:val="none" w:sz="0" w:space="0" w:color="auto"/>
        <w:left w:val="none" w:sz="0" w:space="0" w:color="auto"/>
        <w:bottom w:val="none" w:sz="0" w:space="0" w:color="auto"/>
        <w:right w:val="none" w:sz="0" w:space="0" w:color="auto"/>
      </w:divBdr>
    </w:div>
    <w:div w:id="556818065">
      <w:bodyDiv w:val="1"/>
      <w:marLeft w:val="0"/>
      <w:marRight w:val="0"/>
      <w:marTop w:val="0"/>
      <w:marBottom w:val="0"/>
      <w:divBdr>
        <w:top w:val="none" w:sz="0" w:space="0" w:color="auto"/>
        <w:left w:val="none" w:sz="0" w:space="0" w:color="auto"/>
        <w:bottom w:val="none" w:sz="0" w:space="0" w:color="auto"/>
        <w:right w:val="none" w:sz="0" w:space="0" w:color="auto"/>
      </w:divBdr>
    </w:div>
    <w:div w:id="699816892">
      <w:bodyDiv w:val="1"/>
      <w:marLeft w:val="0"/>
      <w:marRight w:val="0"/>
      <w:marTop w:val="0"/>
      <w:marBottom w:val="0"/>
      <w:divBdr>
        <w:top w:val="none" w:sz="0" w:space="0" w:color="auto"/>
        <w:left w:val="none" w:sz="0" w:space="0" w:color="auto"/>
        <w:bottom w:val="none" w:sz="0" w:space="0" w:color="auto"/>
        <w:right w:val="none" w:sz="0" w:space="0" w:color="auto"/>
      </w:divBdr>
    </w:div>
    <w:div w:id="731074427">
      <w:bodyDiv w:val="1"/>
      <w:marLeft w:val="0"/>
      <w:marRight w:val="0"/>
      <w:marTop w:val="0"/>
      <w:marBottom w:val="0"/>
      <w:divBdr>
        <w:top w:val="none" w:sz="0" w:space="0" w:color="auto"/>
        <w:left w:val="none" w:sz="0" w:space="0" w:color="auto"/>
        <w:bottom w:val="none" w:sz="0" w:space="0" w:color="auto"/>
        <w:right w:val="none" w:sz="0" w:space="0" w:color="auto"/>
      </w:divBdr>
    </w:div>
    <w:div w:id="738290596">
      <w:bodyDiv w:val="1"/>
      <w:marLeft w:val="0"/>
      <w:marRight w:val="0"/>
      <w:marTop w:val="0"/>
      <w:marBottom w:val="0"/>
      <w:divBdr>
        <w:top w:val="none" w:sz="0" w:space="0" w:color="auto"/>
        <w:left w:val="none" w:sz="0" w:space="0" w:color="auto"/>
        <w:bottom w:val="none" w:sz="0" w:space="0" w:color="auto"/>
        <w:right w:val="none" w:sz="0" w:space="0" w:color="auto"/>
      </w:divBdr>
    </w:div>
    <w:div w:id="739669056">
      <w:bodyDiv w:val="1"/>
      <w:marLeft w:val="0"/>
      <w:marRight w:val="0"/>
      <w:marTop w:val="0"/>
      <w:marBottom w:val="0"/>
      <w:divBdr>
        <w:top w:val="none" w:sz="0" w:space="0" w:color="auto"/>
        <w:left w:val="none" w:sz="0" w:space="0" w:color="auto"/>
        <w:bottom w:val="none" w:sz="0" w:space="0" w:color="auto"/>
        <w:right w:val="none" w:sz="0" w:space="0" w:color="auto"/>
      </w:divBdr>
    </w:div>
    <w:div w:id="849953138">
      <w:bodyDiv w:val="1"/>
      <w:marLeft w:val="0"/>
      <w:marRight w:val="0"/>
      <w:marTop w:val="0"/>
      <w:marBottom w:val="0"/>
      <w:divBdr>
        <w:top w:val="none" w:sz="0" w:space="0" w:color="auto"/>
        <w:left w:val="none" w:sz="0" w:space="0" w:color="auto"/>
        <w:bottom w:val="none" w:sz="0" w:space="0" w:color="auto"/>
        <w:right w:val="none" w:sz="0" w:space="0" w:color="auto"/>
      </w:divBdr>
    </w:div>
    <w:div w:id="880289779">
      <w:bodyDiv w:val="1"/>
      <w:marLeft w:val="0"/>
      <w:marRight w:val="0"/>
      <w:marTop w:val="0"/>
      <w:marBottom w:val="0"/>
      <w:divBdr>
        <w:top w:val="none" w:sz="0" w:space="0" w:color="auto"/>
        <w:left w:val="none" w:sz="0" w:space="0" w:color="auto"/>
        <w:bottom w:val="none" w:sz="0" w:space="0" w:color="auto"/>
        <w:right w:val="none" w:sz="0" w:space="0" w:color="auto"/>
      </w:divBdr>
    </w:div>
    <w:div w:id="890118885">
      <w:bodyDiv w:val="1"/>
      <w:marLeft w:val="0"/>
      <w:marRight w:val="0"/>
      <w:marTop w:val="0"/>
      <w:marBottom w:val="0"/>
      <w:divBdr>
        <w:top w:val="none" w:sz="0" w:space="0" w:color="auto"/>
        <w:left w:val="none" w:sz="0" w:space="0" w:color="auto"/>
        <w:bottom w:val="none" w:sz="0" w:space="0" w:color="auto"/>
        <w:right w:val="none" w:sz="0" w:space="0" w:color="auto"/>
      </w:divBdr>
    </w:div>
    <w:div w:id="915938884">
      <w:bodyDiv w:val="1"/>
      <w:marLeft w:val="0"/>
      <w:marRight w:val="0"/>
      <w:marTop w:val="0"/>
      <w:marBottom w:val="0"/>
      <w:divBdr>
        <w:top w:val="none" w:sz="0" w:space="0" w:color="auto"/>
        <w:left w:val="none" w:sz="0" w:space="0" w:color="auto"/>
        <w:bottom w:val="none" w:sz="0" w:space="0" w:color="auto"/>
        <w:right w:val="none" w:sz="0" w:space="0" w:color="auto"/>
      </w:divBdr>
    </w:div>
    <w:div w:id="966082850">
      <w:bodyDiv w:val="1"/>
      <w:marLeft w:val="0"/>
      <w:marRight w:val="0"/>
      <w:marTop w:val="0"/>
      <w:marBottom w:val="0"/>
      <w:divBdr>
        <w:top w:val="none" w:sz="0" w:space="0" w:color="auto"/>
        <w:left w:val="none" w:sz="0" w:space="0" w:color="auto"/>
        <w:bottom w:val="none" w:sz="0" w:space="0" w:color="auto"/>
        <w:right w:val="none" w:sz="0" w:space="0" w:color="auto"/>
      </w:divBdr>
    </w:div>
    <w:div w:id="1024598046">
      <w:bodyDiv w:val="1"/>
      <w:marLeft w:val="0"/>
      <w:marRight w:val="0"/>
      <w:marTop w:val="0"/>
      <w:marBottom w:val="0"/>
      <w:divBdr>
        <w:top w:val="none" w:sz="0" w:space="0" w:color="auto"/>
        <w:left w:val="none" w:sz="0" w:space="0" w:color="auto"/>
        <w:bottom w:val="none" w:sz="0" w:space="0" w:color="auto"/>
        <w:right w:val="none" w:sz="0" w:space="0" w:color="auto"/>
      </w:divBdr>
    </w:div>
    <w:div w:id="1047683040">
      <w:bodyDiv w:val="1"/>
      <w:marLeft w:val="0"/>
      <w:marRight w:val="0"/>
      <w:marTop w:val="0"/>
      <w:marBottom w:val="0"/>
      <w:divBdr>
        <w:top w:val="none" w:sz="0" w:space="0" w:color="auto"/>
        <w:left w:val="none" w:sz="0" w:space="0" w:color="auto"/>
        <w:bottom w:val="none" w:sz="0" w:space="0" w:color="auto"/>
        <w:right w:val="none" w:sz="0" w:space="0" w:color="auto"/>
      </w:divBdr>
    </w:div>
    <w:div w:id="1064334288">
      <w:bodyDiv w:val="1"/>
      <w:marLeft w:val="0"/>
      <w:marRight w:val="0"/>
      <w:marTop w:val="0"/>
      <w:marBottom w:val="0"/>
      <w:divBdr>
        <w:top w:val="none" w:sz="0" w:space="0" w:color="auto"/>
        <w:left w:val="none" w:sz="0" w:space="0" w:color="auto"/>
        <w:bottom w:val="none" w:sz="0" w:space="0" w:color="auto"/>
        <w:right w:val="none" w:sz="0" w:space="0" w:color="auto"/>
      </w:divBdr>
    </w:div>
    <w:div w:id="1088311695">
      <w:bodyDiv w:val="1"/>
      <w:marLeft w:val="0"/>
      <w:marRight w:val="0"/>
      <w:marTop w:val="0"/>
      <w:marBottom w:val="0"/>
      <w:divBdr>
        <w:top w:val="none" w:sz="0" w:space="0" w:color="auto"/>
        <w:left w:val="none" w:sz="0" w:space="0" w:color="auto"/>
        <w:bottom w:val="none" w:sz="0" w:space="0" w:color="auto"/>
        <w:right w:val="none" w:sz="0" w:space="0" w:color="auto"/>
      </w:divBdr>
    </w:div>
    <w:div w:id="1096754218">
      <w:bodyDiv w:val="1"/>
      <w:marLeft w:val="0"/>
      <w:marRight w:val="0"/>
      <w:marTop w:val="0"/>
      <w:marBottom w:val="0"/>
      <w:divBdr>
        <w:top w:val="none" w:sz="0" w:space="0" w:color="auto"/>
        <w:left w:val="none" w:sz="0" w:space="0" w:color="auto"/>
        <w:bottom w:val="none" w:sz="0" w:space="0" w:color="auto"/>
        <w:right w:val="none" w:sz="0" w:space="0" w:color="auto"/>
      </w:divBdr>
    </w:div>
    <w:div w:id="1107041632">
      <w:bodyDiv w:val="1"/>
      <w:marLeft w:val="0"/>
      <w:marRight w:val="0"/>
      <w:marTop w:val="0"/>
      <w:marBottom w:val="0"/>
      <w:divBdr>
        <w:top w:val="none" w:sz="0" w:space="0" w:color="auto"/>
        <w:left w:val="none" w:sz="0" w:space="0" w:color="auto"/>
        <w:bottom w:val="none" w:sz="0" w:space="0" w:color="auto"/>
        <w:right w:val="none" w:sz="0" w:space="0" w:color="auto"/>
      </w:divBdr>
    </w:div>
    <w:div w:id="1163744515">
      <w:bodyDiv w:val="1"/>
      <w:marLeft w:val="0"/>
      <w:marRight w:val="0"/>
      <w:marTop w:val="0"/>
      <w:marBottom w:val="0"/>
      <w:divBdr>
        <w:top w:val="none" w:sz="0" w:space="0" w:color="auto"/>
        <w:left w:val="none" w:sz="0" w:space="0" w:color="auto"/>
        <w:bottom w:val="none" w:sz="0" w:space="0" w:color="auto"/>
        <w:right w:val="none" w:sz="0" w:space="0" w:color="auto"/>
      </w:divBdr>
    </w:div>
    <w:div w:id="1200557391">
      <w:bodyDiv w:val="1"/>
      <w:marLeft w:val="0"/>
      <w:marRight w:val="0"/>
      <w:marTop w:val="0"/>
      <w:marBottom w:val="0"/>
      <w:divBdr>
        <w:top w:val="none" w:sz="0" w:space="0" w:color="auto"/>
        <w:left w:val="none" w:sz="0" w:space="0" w:color="auto"/>
        <w:bottom w:val="none" w:sz="0" w:space="0" w:color="auto"/>
        <w:right w:val="none" w:sz="0" w:space="0" w:color="auto"/>
      </w:divBdr>
    </w:div>
    <w:div w:id="1238204302">
      <w:bodyDiv w:val="1"/>
      <w:marLeft w:val="0"/>
      <w:marRight w:val="0"/>
      <w:marTop w:val="0"/>
      <w:marBottom w:val="0"/>
      <w:divBdr>
        <w:top w:val="none" w:sz="0" w:space="0" w:color="auto"/>
        <w:left w:val="none" w:sz="0" w:space="0" w:color="auto"/>
        <w:bottom w:val="none" w:sz="0" w:space="0" w:color="auto"/>
        <w:right w:val="none" w:sz="0" w:space="0" w:color="auto"/>
      </w:divBdr>
    </w:div>
    <w:div w:id="1238637109">
      <w:bodyDiv w:val="1"/>
      <w:marLeft w:val="0"/>
      <w:marRight w:val="0"/>
      <w:marTop w:val="0"/>
      <w:marBottom w:val="0"/>
      <w:divBdr>
        <w:top w:val="none" w:sz="0" w:space="0" w:color="auto"/>
        <w:left w:val="none" w:sz="0" w:space="0" w:color="auto"/>
        <w:bottom w:val="none" w:sz="0" w:space="0" w:color="auto"/>
        <w:right w:val="none" w:sz="0" w:space="0" w:color="auto"/>
      </w:divBdr>
    </w:div>
    <w:div w:id="1273711977">
      <w:bodyDiv w:val="1"/>
      <w:marLeft w:val="0"/>
      <w:marRight w:val="0"/>
      <w:marTop w:val="0"/>
      <w:marBottom w:val="0"/>
      <w:divBdr>
        <w:top w:val="none" w:sz="0" w:space="0" w:color="auto"/>
        <w:left w:val="none" w:sz="0" w:space="0" w:color="auto"/>
        <w:bottom w:val="none" w:sz="0" w:space="0" w:color="auto"/>
        <w:right w:val="none" w:sz="0" w:space="0" w:color="auto"/>
      </w:divBdr>
    </w:div>
    <w:div w:id="1279609254">
      <w:bodyDiv w:val="1"/>
      <w:marLeft w:val="0"/>
      <w:marRight w:val="0"/>
      <w:marTop w:val="0"/>
      <w:marBottom w:val="0"/>
      <w:divBdr>
        <w:top w:val="none" w:sz="0" w:space="0" w:color="auto"/>
        <w:left w:val="none" w:sz="0" w:space="0" w:color="auto"/>
        <w:bottom w:val="none" w:sz="0" w:space="0" w:color="auto"/>
        <w:right w:val="none" w:sz="0" w:space="0" w:color="auto"/>
      </w:divBdr>
    </w:div>
    <w:div w:id="1296721370">
      <w:bodyDiv w:val="1"/>
      <w:marLeft w:val="0"/>
      <w:marRight w:val="0"/>
      <w:marTop w:val="0"/>
      <w:marBottom w:val="0"/>
      <w:divBdr>
        <w:top w:val="none" w:sz="0" w:space="0" w:color="auto"/>
        <w:left w:val="none" w:sz="0" w:space="0" w:color="auto"/>
        <w:bottom w:val="none" w:sz="0" w:space="0" w:color="auto"/>
        <w:right w:val="none" w:sz="0" w:space="0" w:color="auto"/>
      </w:divBdr>
    </w:div>
    <w:div w:id="1363088756">
      <w:bodyDiv w:val="1"/>
      <w:marLeft w:val="0"/>
      <w:marRight w:val="0"/>
      <w:marTop w:val="0"/>
      <w:marBottom w:val="0"/>
      <w:divBdr>
        <w:top w:val="none" w:sz="0" w:space="0" w:color="auto"/>
        <w:left w:val="none" w:sz="0" w:space="0" w:color="auto"/>
        <w:bottom w:val="none" w:sz="0" w:space="0" w:color="auto"/>
        <w:right w:val="none" w:sz="0" w:space="0" w:color="auto"/>
      </w:divBdr>
    </w:div>
    <w:div w:id="1374038766">
      <w:bodyDiv w:val="1"/>
      <w:marLeft w:val="0"/>
      <w:marRight w:val="0"/>
      <w:marTop w:val="0"/>
      <w:marBottom w:val="0"/>
      <w:divBdr>
        <w:top w:val="none" w:sz="0" w:space="0" w:color="auto"/>
        <w:left w:val="none" w:sz="0" w:space="0" w:color="auto"/>
        <w:bottom w:val="none" w:sz="0" w:space="0" w:color="auto"/>
        <w:right w:val="none" w:sz="0" w:space="0" w:color="auto"/>
      </w:divBdr>
    </w:div>
    <w:div w:id="1381437911">
      <w:bodyDiv w:val="1"/>
      <w:marLeft w:val="0"/>
      <w:marRight w:val="0"/>
      <w:marTop w:val="0"/>
      <w:marBottom w:val="0"/>
      <w:divBdr>
        <w:top w:val="none" w:sz="0" w:space="0" w:color="auto"/>
        <w:left w:val="none" w:sz="0" w:space="0" w:color="auto"/>
        <w:bottom w:val="none" w:sz="0" w:space="0" w:color="auto"/>
        <w:right w:val="none" w:sz="0" w:space="0" w:color="auto"/>
      </w:divBdr>
    </w:div>
    <w:div w:id="1414425313">
      <w:bodyDiv w:val="1"/>
      <w:marLeft w:val="0"/>
      <w:marRight w:val="0"/>
      <w:marTop w:val="0"/>
      <w:marBottom w:val="0"/>
      <w:divBdr>
        <w:top w:val="none" w:sz="0" w:space="0" w:color="auto"/>
        <w:left w:val="none" w:sz="0" w:space="0" w:color="auto"/>
        <w:bottom w:val="none" w:sz="0" w:space="0" w:color="auto"/>
        <w:right w:val="none" w:sz="0" w:space="0" w:color="auto"/>
      </w:divBdr>
    </w:div>
    <w:div w:id="1452167453">
      <w:bodyDiv w:val="1"/>
      <w:marLeft w:val="0"/>
      <w:marRight w:val="0"/>
      <w:marTop w:val="0"/>
      <w:marBottom w:val="0"/>
      <w:divBdr>
        <w:top w:val="none" w:sz="0" w:space="0" w:color="auto"/>
        <w:left w:val="none" w:sz="0" w:space="0" w:color="auto"/>
        <w:bottom w:val="none" w:sz="0" w:space="0" w:color="auto"/>
        <w:right w:val="none" w:sz="0" w:space="0" w:color="auto"/>
      </w:divBdr>
    </w:div>
    <w:div w:id="1495292454">
      <w:bodyDiv w:val="1"/>
      <w:marLeft w:val="0"/>
      <w:marRight w:val="0"/>
      <w:marTop w:val="0"/>
      <w:marBottom w:val="0"/>
      <w:divBdr>
        <w:top w:val="none" w:sz="0" w:space="0" w:color="auto"/>
        <w:left w:val="none" w:sz="0" w:space="0" w:color="auto"/>
        <w:bottom w:val="none" w:sz="0" w:space="0" w:color="auto"/>
        <w:right w:val="none" w:sz="0" w:space="0" w:color="auto"/>
      </w:divBdr>
    </w:div>
    <w:div w:id="1501576648">
      <w:bodyDiv w:val="1"/>
      <w:marLeft w:val="0"/>
      <w:marRight w:val="0"/>
      <w:marTop w:val="0"/>
      <w:marBottom w:val="0"/>
      <w:divBdr>
        <w:top w:val="none" w:sz="0" w:space="0" w:color="auto"/>
        <w:left w:val="none" w:sz="0" w:space="0" w:color="auto"/>
        <w:bottom w:val="none" w:sz="0" w:space="0" w:color="auto"/>
        <w:right w:val="none" w:sz="0" w:space="0" w:color="auto"/>
      </w:divBdr>
    </w:div>
    <w:div w:id="1502817198">
      <w:bodyDiv w:val="1"/>
      <w:marLeft w:val="0"/>
      <w:marRight w:val="0"/>
      <w:marTop w:val="0"/>
      <w:marBottom w:val="0"/>
      <w:divBdr>
        <w:top w:val="none" w:sz="0" w:space="0" w:color="auto"/>
        <w:left w:val="none" w:sz="0" w:space="0" w:color="auto"/>
        <w:bottom w:val="none" w:sz="0" w:space="0" w:color="auto"/>
        <w:right w:val="none" w:sz="0" w:space="0" w:color="auto"/>
      </w:divBdr>
    </w:div>
    <w:div w:id="1536193966">
      <w:bodyDiv w:val="1"/>
      <w:marLeft w:val="0"/>
      <w:marRight w:val="0"/>
      <w:marTop w:val="0"/>
      <w:marBottom w:val="0"/>
      <w:divBdr>
        <w:top w:val="none" w:sz="0" w:space="0" w:color="auto"/>
        <w:left w:val="none" w:sz="0" w:space="0" w:color="auto"/>
        <w:bottom w:val="none" w:sz="0" w:space="0" w:color="auto"/>
        <w:right w:val="none" w:sz="0" w:space="0" w:color="auto"/>
      </w:divBdr>
    </w:div>
    <w:div w:id="1571035821">
      <w:bodyDiv w:val="1"/>
      <w:marLeft w:val="0"/>
      <w:marRight w:val="0"/>
      <w:marTop w:val="0"/>
      <w:marBottom w:val="0"/>
      <w:divBdr>
        <w:top w:val="none" w:sz="0" w:space="0" w:color="auto"/>
        <w:left w:val="none" w:sz="0" w:space="0" w:color="auto"/>
        <w:bottom w:val="none" w:sz="0" w:space="0" w:color="auto"/>
        <w:right w:val="none" w:sz="0" w:space="0" w:color="auto"/>
      </w:divBdr>
    </w:div>
    <w:div w:id="1609119522">
      <w:bodyDiv w:val="1"/>
      <w:marLeft w:val="0"/>
      <w:marRight w:val="0"/>
      <w:marTop w:val="0"/>
      <w:marBottom w:val="0"/>
      <w:divBdr>
        <w:top w:val="none" w:sz="0" w:space="0" w:color="auto"/>
        <w:left w:val="none" w:sz="0" w:space="0" w:color="auto"/>
        <w:bottom w:val="none" w:sz="0" w:space="0" w:color="auto"/>
        <w:right w:val="none" w:sz="0" w:space="0" w:color="auto"/>
      </w:divBdr>
    </w:div>
    <w:div w:id="1612662812">
      <w:bodyDiv w:val="1"/>
      <w:marLeft w:val="0"/>
      <w:marRight w:val="0"/>
      <w:marTop w:val="0"/>
      <w:marBottom w:val="0"/>
      <w:divBdr>
        <w:top w:val="none" w:sz="0" w:space="0" w:color="auto"/>
        <w:left w:val="none" w:sz="0" w:space="0" w:color="auto"/>
        <w:bottom w:val="none" w:sz="0" w:space="0" w:color="auto"/>
        <w:right w:val="none" w:sz="0" w:space="0" w:color="auto"/>
      </w:divBdr>
    </w:div>
    <w:div w:id="1616985599">
      <w:bodyDiv w:val="1"/>
      <w:marLeft w:val="0"/>
      <w:marRight w:val="0"/>
      <w:marTop w:val="0"/>
      <w:marBottom w:val="0"/>
      <w:divBdr>
        <w:top w:val="none" w:sz="0" w:space="0" w:color="auto"/>
        <w:left w:val="none" w:sz="0" w:space="0" w:color="auto"/>
        <w:bottom w:val="none" w:sz="0" w:space="0" w:color="auto"/>
        <w:right w:val="none" w:sz="0" w:space="0" w:color="auto"/>
      </w:divBdr>
    </w:div>
    <w:div w:id="1621180587">
      <w:bodyDiv w:val="1"/>
      <w:marLeft w:val="0"/>
      <w:marRight w:val="0"/>
      <w:marTop w:val="0"/>
      <w:marBottom w:val="0"/>
      <w:divBdr>
        <w:top w:val="none" w:sz="0" w:space="0" w:color="auto"/>
        <w:left w:val="none" w:sz="0" w:space="0" w:color="auto"/>
        <w:bottom w:val="none" w:sz="0" w:space="0" w:color="auto"/>
        <w:right w:val="none" w:sz="0" w:space="0" w:color="auto"/>
      </w:divBdr>
    </w:div>
    <w:div w:id="1634825390">
      <w:bodyDiv w:val="1"/>
      <w:marLeft w:val="0"/>
      <w:marRight w:val="0"/>
      <w:marTop w:val="0"/>
      <w:marBottom w:val="0"/>
      <w:divBdr>
        <w:top w:val="none" w:sz="0" w:space="0" w:color="auto"/>
        <w:left w:val="none" w:sz="0" w:space="0" w:color="auto"/>
        <w:bottom w:val="none" w:sz="0" w:space="0" w:color="auto"/>
        <w:right w:val="none" w:sz="0" w:space="0" w:color="auto"/>
      </w:divBdr>
    </w:div>
    <w:div w:id="1642425282">
      <w:bodyDiv w:val="1"/>
      <w:marLeft w:val="0"/>
      <w:marRight w:val="0"/>
      <w:marTop w:val="0"/>
      <w:marBottom w:val="0"/>
      <w:divBdr>
        <w:top w:val="none" w:sz="0" w:space="0" w:color="auto"/>
        <w:left w:val="none" w:sz="0" w:space="0" w:color="auto"/>
        <w:bottom w:val="none" w:sz="0" w:space="0" w:color="auto"/>
        <w:right w:val="none" w:sz="0" w:space="0" w:color="auto"/>
      </w:divBdr>
    </w:div>
    <w:div w:id="1648433311">
      <w:bodyDiv w:val="1"/>
      <w:marLeft w:val="0"/>
      <w:marRight w:val="0"/>
      <w:marTop w:val="0"/>
      <w:marBottom w:val="0"/>
      <w:divBdr>
        <w:top w:val="none" w:sz="0" w:space="0" w:color="auto"/>
        <w:left w:val="none" w:sz="0" w:space="0" w:color="auto"/>
        <w:bottom w:val="none" w:sz="0" w:space="0" w:color="auto"/>
        <w:right w:val="none" w:sz="0" w:space="0" w:color="auto"/>
      </w:divBdr>
    </w:div>
    <w:div w:id="1652366697">
      <w:bodyDiv w:val="1"/>
      <w:marLeft w:val="0"/>
      <w:marRight w:val="0"/>
      <w:marTop w:val="0"/>
      <w:marBottom w:val="0"/>
      <w:divBdr>
        <w:top w:val="none" w:sz="0" w:space="0" w:color="auto"/>
        <w:left w:val="none" w:sz="0" w:space="0" w:color="auto"/>
        <w:bottom w:val="none" w:sz="0" w:space="0" w:color="auto"/>
        <w:right w:val="none" w:sz="0" w:space="0" w:color="auto"/>
      </w:divBdr>
    </w:div>
    <w:div w:id="1662848903">
      <w:bodyDiv w:val="1"/>
      <w:marLeft w:val="0"/>
      <w:marRight w:val="0"/>
      <w:marTop w:val="0"/>
      <w:marBottom w:val="0"/>
      <w:divBdr>
        <w:top w:val="none" w:sz="0" w:space="0" w:color="auto"/>
        <w:left w:val="none" w:sz="0" w:space="0" w:color="auto"/>
        <w:bottom w:val="none" w:sz="0" w:space="0" w:color="auto"/>
        <w:right w:val="none" w:sz="0" w:space="0" w:color="auto"/>
      </w:divBdr>
    </w:div>
    <w:div w:id="1725519577">
      <w:bodyDiv w:val="1"/>
      <w:marLeft w:val="0"/>
      <w:marRight w:val="0"/>
      <w:marTop w:val="0"/>
      <w:marBottom w:val="0"/>
      <w:divBdr>
        <w:top w:val="none" w:sz="0" w:space="0" w:color="auto"/>
        <w:left w:val="none" w:sz="0" w:space="0" w:color="auto"/>
        <w:bottom w:val="none" w:sz="0" w:space="0" w:color="auto"/>
        <w:right w:val="none" w:sz="0" w:space="0" w:color="auto"/>
      </w:divBdr>
    </w:div>
    <w:div w:id="1775709670">
      <w:bodyDiv w:val="1"/>
      <w:marLeft w:val="0"/>
      <w:marRight w:val="0"/>
      <w:marTop w:val="0"/>
      <w:marBottom w:val="0"/>
      <w:divBdr>
        <w:top w:val="none" w:sz="0" w:space="0" w:color="auto"/>
        <w:left w:val="none" w:sz="0" w:space="0" w:color="auto"/>
        <w:bottom w:val="none" w:sz="0" w:space="0" w:color="auto"/>
        <w:right w:val="none" w:sz="0" w:space="0" w:color="auto"/>
      </w:divBdr>
    </w:div>
    <w:div w:id="1800105407">
      <w:bodyDiv w:val="1"/>
      <w:marLeft w:val="0"/>
      <w:marRight w:val="0"/>
      <w:marTop w:val="0"/>
      <w:marBottom w:val="0"/>
      <w:divBdr>
        <w:top w:val="none" w:sz="0" w:space="0" w:color="auto"/>
        <w:left w:val="none" w:sz="0" w:space="0" w:color="auto"/>
        <w:bottom w:val="none" w:sz="0" w:space="0" w:color="auto"/>
        <w:right w:val="none" w:sz="0" w:space="0" w:color="auto"/>
      </w:divBdr>
    </w:div>
    <w:div w:id="1807702349">
      <w:bodyDiv w:val="1"/>
      <w:marLeft w:val="0"/>
      <w:marRight w:val="0"/>
      <w:marTop w:val="0"/>
      <w:marBottom w:val="0"/>
      <w:divBdr>
        <w:top w:val="none" w:sz="0" w:space="0" w:color="auto"/>
        <w:left w:val="none" w:sz="0" w:space="0" w:color="auto"/>
        <w:bottom w:val="none" w:sz="0" w:space="0" w:color="auto"/>
        <w:right w:val="none" w:sz="0" w:space="0" w:color="auto"/>
      </w:divBdr>
    </w:div>
    <w:div w:id="1825973183">
      <w:bodyDiv w:val="1"/>
      <w:marLeft w:val="0"/>
      <w:marRight w:val="0"/>
      <w:marTop w:val="0"/>
      <w:marBottom w:val="0"/>
      <w:divBdr>
        <w:top w:val="none" w:sz="0" w:space="0" w:color="auto"/>
        <w:left w:val="none" w:sz="0" w:space="0" w:color="auto"/>
        <w:bottom w:val="none" w:sz="0" w:space="0" w:color="auto"/>
        <w:right w:val="none" w:sz="0" w:space="0" w:color="auto"/>
      </w:divBdr>
    </w:div>
    <w:div w:id="1895967053">
      <w:bodyDiv w:val="1"/>
      <w:marLeft w:val="0"/>
      <w:marRight w:val="0"/>
      <w:marTop w:val="0"/>
      <w:marBottom w:val="0"/>
      <w:divBdr>
        <w:top w:val="none" w:sz="0" w:space="0" w:color="auto"/>
        <w:left w:val="none" w:sz="0" w:space="0" w:color="auto"/>
        <w:bottom w:val="none" w:sz="0" w:space="0" w:color="auto"/>
        <w:right w:val="none" w:sz="0" w:space="0" w:color="auto"/>
      </w:divBdr>
    </w:div>
    <w:div w:id="1896307069">
      <w:bodyDiv w:val="1"/>
      <w:marLeft w:val="0"/>
      <w:marRight w:val="0"/>
      <w:marTop w:val="0"/>
      <w:marBottom w:val="0"/>
      <w:divBdr>
        <w:top w:val="none" w:sz="0" w:space="0" w:color="auto"/>
        <w:left w:val="none" w:sz="0" w:space="0" w:color="auto"/>
        <w:bottom w:val="none" w:sz="0" w:space="0" w:color="auto"/>
        <w:right w:val="none" w:sz="0" w:space="0" w:color="auto"/>
      </w:divBdr>
    </w:div>
    <w:div w:id="2026588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Yan07</b:Tag>
    <b:SourceType>JournalArticle</b:SourceType>
    <b:Guid>{364F447D-A0FB-4FCD-9197-B9315ACA23F9}</b:Guid>
    <b:Title>Acting Other: Atossa and Instability in Herodotus</b:Title>
    <b:Year>2007</b:Year>
    <b:Author>
      <b:Author>
        <b:NameList>
          <b:Person>
            <b:Last>Dominick</b:Last>
            <b:First>Yancy</b:First>
            <b:Middle>Hughes</b:Middle>
          </b:Person>
        </b:NameList>
      </b:Author>
    </b:Author>
    <b:JournalName>The Classical Quarterly </b:JournalName>
    <b:Pages>432-444</b:Pages>
    <b:Volume>57</b:Volume>
    <b:Issue>2</b:Issue>
    <b:RefOrder>1</b:RefOrder>
  </b:Source>
  <b:Source>
    <b:Tag>RVM01</b:Tag>
    <b:SourceType>Book</b:SourceType>
    <b:Guid>{88827177-1B97-4F22-AD8F-D43FB6139BA9}</b:Guid>
    <b:Title>Telling Wonders: Ethnographic and Political Discourse in the Work of Herodotus</b:Title>
    <b:Year>2001</b:Year>
    <b:Publisher>Ann Arbor</b:Publisher>
    <b:Author>
      <b:Author>
        <b:NameList>
          <b:Person>
            <b:Last>Munson</b:Last>
            <b:First>R.</b:First>
            <b:Middle>V.</b:Middle>
          </b:Person>
        </b:NameList>
      </b:Author>
    </b:Author>
    <b:RefOrder>2</b:RefOrder>
  </b:Source>
  <b:Source>
    <b:Tag>PCa02</b:Tag>
    <b:SourceType>BookSection</b:SourceType>
    <b:Guid>{33F30750-FA20-4300-9DBE-DC65B50EB9F1}</b:Guid>
    <b:Title>Herodotus as a critic: truth, fiction, polarity</b:Title>
    <b:Year>2002</b:Year>
    <b:City>Leiden; Boston</b:City>
    <b:Publisher>Brill's Academic</b:Publisher>
    <b:Author>
      <b:Author>
        <b:NameList>
          <b:Person>
            <b:Last>Cartledge</b:Last>
            <b:First>P.</b:First>
          </b:Person>
          <b:Person>
            <b:Last>Greenwood</b:Last>
            <b:First>E.</b:First>
          </b:Person>
        </b:NameList>
      </b:Author>
      <b:Editor>
        <b:NameList>
          <b:Person>
            <b:Last>Bakker</b:Last>
            <b:First>E.</b:First>
            <b:Middle>J.</b:Middle>
          </b:Person>
          <b:Person>
            <b:Last>Jong</b:Last>
            <b:First>I.</b:First>
            <b:Middle>J. F. de</b:Middle>
          </b:Person>
          <b:Person>
            <b:Last>Wees</b:Last>
            <b:First>H.</b:First>
            <b:Middle>van</b:Middle>
          </b:Person>
        </b:NameList>
      </b:Editor>
    </b:Author>
    <b:BookTitle>Brill's Companion to Herodotus</b:BookTitle>
    <b:Pages>351-71</b:Pages>
    <b:RefOrder>3</b:RefOrder>
  </b:Source>
  <b:Source>
    <b:Tag>Mic02</b:Tag>
    <b:SourceType>Book</b:SourceType>
    <b:Guid>{B18393BC-E651-4390-8528-A9468CE2C108}</b:Guid>
    <b:Title>Herodotus Histories Boox IX</b:Title>
    <b:Year>2002</b:Year>
    <b:Author>
      <b:Author>
        <b:NameList>
          <b:Person>
            <b:Last>Flower</b:Last>
            <b:First>Michael</b:First>
            <b:Middle>A.</b:Middle>
          </b:Person>
          <b:Person>
            <b:Last>Marincola</b:Last>
            <b:First>John</b:First>
          </b:Person>
        </b:NameList>
      </b:Author>
    </b:Author>
    <b:City>Cambridge</b:City>
    <b:Publisher>Cambridge University Press</b:Publisher>
    <b:RefOrder>4</b:RefOrder>
  </b:Source>
  <b:Source>
    <b:Tag>Ste06</b:Tag>
    <b:SourceType>JournalArticle</b:SourceType>
    <b:Guid>{42654E47-E521-4B01-820A-4845523507D3}</b:Guid>
    <b:Author>
      <b:Author>
        <b:NameList>
          <b:Person>
            <b:Last>Larson</b:Last>
            <b:First>Stephanie</b:First>
          </b:Person>
        </b:NameList>
      </b:Author>
    </b:Author>
    <b:Title>Kandaules' Wife, Masistes' Wife: Herodotus' Narrative Strategy in Suppressing Names of Women: (Hdt. 1.8-12 and 9.108-13)</b:Title>
    <b:JournalName>The Classical Journal</b:JournalName>
    <b:Year>2006</b:Year>
    <b:Pages>225-244</b:Pages>
    <b:Volume>101</b:Volume>
    <b:Issue>3</b:Issue>
    <b:RefOrder>5</b:RefOrder>
  </b:Source>
  <b:Source>
    <b:Tag>RDr11</b:Tag>
    <b:SourceType>JournalArticle</b:SourceType>
    <b:Guid>{FF083E99-944B-4950-99AB-9C23B6B8F62A}</b:Guid>
    <b:Title>An offer you can't retract: Xerxes' nod and Masistes' wife (Herodotus 9.111.1)</b:Title>
    <b:Year>2011</b:Year>
    <b:Author>
      <b:Author>
        <b:NameList>
          <b:Person>
            <b:Last>Griffith</b:Last>
            <b:First>R.</b:First>
            <b:Middle>Drew</b:Middle>
          </b:Person>
        </b:NameList>
      </b:Author>
    </b:Author>
    <b:JournalName>The Classical Quarterly</b:JournalName>
    <b:Pages>310-312</b:Pages>
    <b:RefOrder>6</b:RefOrder>
  </b:Source>
  <b:Source>
    <b:Tag>Ric14</b:Tag>
    <b:SourceType>JournalArticle</b:SourceType>
    <b:Guid>{882EC8E9-3134-4AEB-880D-71D5486116B7}</b:Guid>
    <b:Author>
      <b:Author>
        <b:NameList>
          <b:Person>
            <b:Last>Wenghofer</b:Last>
            <b:First>Richard</b:First>
          </b:Person>
        </b:NameList>
      </b:Author>
    </b:Author>
    <b:Title>Sexual Promiscuity of Non-Greeks in Herodotus' Histories</b:Title>
    <b:JournalName>Classical World</b:JournalName>
    <b:Year>2014</b:Year>
    <b:Pages>515-534</b:Pages>
    <b:Volume>107</b:Volume>
    <b:Issue>4</b:Issue>
    <b:RefOrder>7</b:RefOrder>
  </b:Source>
  <b:Source>
    <b:Tag>Viv95</b:Tag>
    <b:SourceType>JournalArticle</b:SourceType>
    <b:Guid>{5A9CCE22-DEEA-4DC2-B2DA-EE6293A49CB1}</b:Guid>
    <b:Title>1995</b:Title>
    <b:JournalName>American Journal of Philology</b:JournalName>
    <b:Year>1995</b:Year>
    <b:Pages>208</b:Pages>
    <b:Author>
      <b:Author>
        <b:NameList>
          <b:Person>
            <b:Last>Gray</b:Last>
            <b:First>Vivienne</b:First>
          </b:Person>
        </b:NameList>
      </b:Author>
    </b:Author>
    <b:Volume>116</b:Volume>
    <b:Issue>2</b:Issue>
    <b:RefOrder>8</b:RefOrder>
  </b:Source>
  <b:Source>
    <b:Tag>Joh08</b:Tag>
    <b:SourceType>JournalArticle</b:SourceType>
    <b:Guid>{2C1816B1-B188-4423-AD80-F87181CAFBCF}</b:Guid>
    <b:Author>
      <b:Author>
        <b:NameList>
          <b:Person>
            <b:Last>Dillery</b:Last>
            <b:First>John</b:First>
          </b:Person>
        </b:NameList>
      </b:Author>
    </b:Author>
    <b:Title>Review: Women in Herodotus: When Women Interfere. Studies in the Role of Women in Herodotus' "Histories" by M. W. Hazewindus</b:Title>
    <b:JournalName>The Classical Review</b:JournalName>
    <b:Year>2008</b:Year>
    <b:Pages>38-40</b:Pages>
    <b:Volume>58</b:Volume>
    <b:Issue>1</b:Issue>
    <b:RefOrder>9</b:RefOrder>
  </b:Source>
  <b:Source>
    <b:Tag>Haz04</b:Tag>
    <b:SourceType>Book</b:SourceType>
    <b:Guid>{A8DA5224-B1E2-4748-925E-469F494A2249}</b:Guid>
    <b:Author>
      <b:Author>
        <b:NameList>
          <b:Person>
            <b:Last>Hazewindus</b:Last>
            <b:First>M.</b:First>
            <b:Middle>W.</b:Middle>
          </b:Person>
        </b:NameList>
      </b:Author>
    </b:Author>
    <b:Title>When Women Interfere. Studies in the Role of Women in Herodotus' Histories</b:Title>
    <b:JournalName>Amersterdam Studies in Classical Philology</b:JournalName>
    <b:Year>2004</b:Year>
    <b:City>Amsterdam</b:City>
    <b:Publisher>Amsterdam Studies in Classical Philology, Volume 12</b:Publisher>
    <b:RefOrder>10</b:RefOrder>
  </b:Source>
  <b:Source>
    <b:Tag>RWM08</b:Tag>
    <b:SourceType>Book</b:SourceType>
    <b:Guid>{38A798BD-9088-44CD-887A-DB64BE264496}</b:Guid>
    <b:Author>
      <b:Author>
        <b:NameList>
          <b:Person>
            <b:Last>Macan</b:Last>
            <b:First>R.</b:First>
            <b:Middle>W.</b:Middle>
          </b:Person>
        </b:NameList>
      </b:Author>
    </b:Author>
    <b:Title>Herodotus: The Seventh, Eigth and Ninth Books</b:Title>
    <b:Year>1908</b:Year>
    <b:City>London</b:City>
    <b:RefOrder>11</b:RefOrder>
  </b:Source>
  <b:Source>
    <b:Tag>WWH12</b:Tag>
    <b:SourceType>Book</b:SourceType>
    <b:Guid>{4BD62FFA-4CA1-4D66-8F93-028FA7068769}</b:Guid>
    <b:Author>
      <b:Author>
        <b:NameList>
          <b:Person>
            <b:Last>How</b:Last>
            <b:First>W.</b:First>
            <b:Middle>W.</b:Middle>
          </b:Person>
          <b:Person>
            <b:Last>Wells</b:Last>
            <b:First>J.</b:First>
          </b:Person>
        </b:NameList>
      </b:Author>
    </b:Author>
    <b:Title>A Commentary on Herodotus</b:Title>
    <b:Year>1912</b:Year>
    <b:City>Oxford</b:City>
    <b:RefOrder>12</b:RefOrder>
  </b:Source>
  <b:Source>
    <b:Tag>ESS54</b:Tag>
    <b:SourceType>Book</b:SourceType>
    <b:Guid>{97772F21-C53B-4FC0-87EF-CCC6D79ACB2D}</b:Guid>
    <b:Author>
      <b:Author>
        <b:NameList>
          <b:Person>
            <b:Last>Schuckburgh</b:Last>
            <b:First>E.</b:First>
            <b:Middle>S.</b:Middle>
          </b:Person>
        </b:NameList>
      </b:Author>
    </b:Author>
    <b:Title>Herodotus IX: Kalliope</b:Title>
    <b:Year>1954</b:Year>
    <b:City>Cambridge</b:City>
    <b:RefOrder>13</b:RefOrder>
  </b:Source>
  <b:Source>
    <b:Tag>LPe54</b:Tag>
    <b:SourceType>JournalArticle</b:SourceType>
    <b:Guid>{A9BB731E-BC4C-4453-B2D9-F9D30A9083D8}</b:Guid>
    <b:Author>
      <b:Author>
        <b:NameList>
          <b:Person>
            <b:Last>Perason</b:Last>
            <b:First>L.</b:First>
          </b:Person>
        </b:NameList>
      </b:Author>
    </b:Author>
    <b:Title>Real and Conventional Personalities in Greek History</b:Title>
    <b:JournalName>Journal of the History of Ideas</b:JournalName>
    <b:Year>1954</b:Year>
    <b:Pages>136-45</b:Pages>
    <b:Volume>15</b:Volume>
    <b:RefOrder>14</b:RefOrder>
  </b:Source>
  <b:Source>
    <b:Tag>Wat71</b:Tag>
    <b:SourceType>Book</b:SourceType>
    <b:Guid>{9E5D9D17-3760-4580-BE15-5F9292CC6753}</b:Guid>
    <b:Author>
      <b:Author>
        <b:NameList>
          <b:Person>
            <b:Last>Waters</b:Last>
            <b:First>K.</b:First>
            <b:Middle>H.</b:Middle>
          </b:Person>
        </b:NameList>
      </b:Author>
    </b:Author>
    <b:Title>Herodotus on Tyrants and Despots: A Study in Objectivity</b:Title>
    <b:JournalName>Historia Einzelschriften</b:JournalName>
    <b:Year>1971</b:Year>
    <b:Volume>15</b:Volume>
    <b:City>Wiesbaden</b:City>
    <b:Publisher>Historia Einzelschriften</b:Publisher>
    <b:RefOrder>15</b:RefOrder>
  </b:Source>
  <b:Source>
    <b:Tag>TSp68</b:Tag>
    <b:SourceType>Book</b:SourceType>
    <b:Guid>{F2E10A4E-3632-48CC-A439-5EBF847E4754}</b:Guid>
    <b:Author>
      <b:Author>
        <b:NameList>
          <b:Person>
            <b:Last>Spath</b:Last>
            <b:First>T.</b:First>
          </b:Person>
        </b:NameList>
      </b:Author>
    </b:Author>
    <b:Title>Das Motiv der doppelten Beleuchtung</b:Title>
    <b:Year>1968</b:Year>
    <b:City>Vienna</b:City>
    <b:Publisher>Dissertation der Universitat Wien</b:Publisher>
    <b:RefOrder>16</b:RefOrder>
  </b:Source>
  <b:Source>
    <b:Tag>Joh86</b:Tag>
    <b:SourceType>JournalArticle</b:SourceType>
    <b:Guid>{7FBC0D79-CD27-448E-9EB7-664A4E42851E}</b:Guid>
    <b:Title>Herodotus on Kings and Tyrants: Objective Historiography or Conventional Portraiture?</b:Title>
    <b:Year>1986</b:Year>
    <b:Pages>171-195</b:Pages>
    <b:Author>
      <b:Author>
        <b:NameList>
          <b:Person>
            <b:Last>Gammie</b:Last>
            <b:First>John</b:First>
            <b:Middle>G.</b:Middle>
          </b:Person>
        </b:NameList>
      </b:Author>
    </b:Author>
    <b:JournalName>Journal of Near Eastern Studies</b:JournalName>
    <b:Volume>45</b:Volume>
    <b:Issue>3</b:Issue>
    <b:RefOrder>17</b:RefOrder>
  </b:Source>
  <b:Source>
    <b:Tag>Chr08</b:Tag>
    <b:SourceType>BookSection</b:SourceType>
    <b:Guid>{066D3F3E-D54B-41F6-8137-B3DB9349AAFF}</b:Guid>
    <b:Title>Herodotus on Persia and the Persian Empire</b:Title>
    <b:Year>2008</b:Year>
    <b:City>London</b:City>
    <b:Publisher>Quercus</b:Publisher>
    <b:Author>
      <b:Author>
        <b:NameList>
          <b:Person>
            <b:Last>Tuplin</b:Last>
            <b:First>Christopher</b:First>
          </b:Person>
        </b:NameList>
      </b:Author>
    </b:Author>
    <b:BookTitle>The Landmark Herodotus</b:BookTitle>
    <b:Pages>792-797</b:Pages>
    <b:RefOrder>18</b:RefOrder>
  </b:Source>
  <b:Source>
    <b:Tag>Tom13</b:Tag>
    <b:SourceType>Book</b:SourceType>
    <b:Guid>{B8AC9273-F988-40A5-B1C3-96E54AEE5C15}</b:Guid>
    <b:Title>Herodotus: The Histories</b:Title>
    <b:Year>2013</b:Year>
    <b:City>London</b:City>
    <b:Publisher>Penguin Classics</b:Publisher>
    <b:Author>
      <b:Author>
        <b:NameList>
          <b:Person>
            <b:Last>Holland</b:Last>
            <b:First>Tom</b:First>
          </b:Person>
        </b:NameList>
      </b:Author>
    </b:Author>
    <b:RefOrder>19</b:RefOrder>
  </b:Source>
</b:Sources>
</file>

<file path=customXml/itemProps1.xml><?xml version="1.0" encoding="utf-8"?>
<ds:datastoreItem xmlns:ds="http://schemas.openxmlformats.org/officeDocument/2006/customXml" ds:itemID="{E157F676-3EAC-4AE3-B792-7336F525D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2298</Words>
  <Characters>13099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Alice</cp:lastModifiedBy>
  <cp:revision>2</cp:revision>
  <dcterms:created xsi:type="dcterms:W3CDTF">2019-03-08T16:05:00Z</dcterms:created>
  <dcterms:modified xsi:type="dcterms:W3CDTF">2019-03-08T16:05:00Z</dcterms:modified>
</cp:coreProperties>
</file>