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80EBEF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D0C97">
              <w:rPr>
                <w:rFonts w:ascii="Times New Roman" w:hAnsi="Times New Roman" w:cs="Times New Roman"/>
                <w:b/>
                <w:color w:val="auto"/>
                <w:sz w:val="48"/>
              </w:rPr>
              <w:t>Sophie Mitchell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19E06D57" w14:textId="77777777" w:rsidR="00240107" w:rsidRPr="00240107" w:rsidRDefault="00240107" w:rsidP="00240107">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240107">
              <w:rPr>
                <w:rFonts w:ascii="Times New Roman" w:eastAsiaTheme="minorHAnsi" w:hAnsi="Times New Roman" w:cs="Times New Roman"/>
                <w:b/>
                <w:color w:val="auto"/>
                <w:sz w:val="48"/>
                <w:szCs w:val="24"/>
                <w:lang w:eastAsia="en-US"/>
              </w:rPr>
              <w:t xml:space="preserve">Email address: </w:t>
            </w:r>
            <w:hyperlink r:id="rId11" w:history="1">
              <w:r w:rsidRPr="00240107">
                <w:rPr>
                  <w:rFonts w:ascii="Times New Roman" w:eastAsiaTheme="minorHAnsi" w:hAnsi="Times New Roman" w:cs="Times New Roman"/>
                  <w:b/>
                  <w:color w:val="0000FF"/>
                  <w:sz w:val="48"/>
                  <w:szCs w:val="24"/>
                  <w:u w:val="single"/>
                  <w:lang w:eastAsia="en-US"/>
                </w:rPr>
                <w:t>sophie18.mitchell@hotmail.co.uk</w:t>
              </w:r>
            </w:hyperlink>
          </w:p>
          <w:p w14:paraId="51CF6238" w14:textId="77777777" w:rsidR="00240107" w:rsidRPr="00240107" w:rsidRDefault="00240107" w:rsidP="00240107">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240107">
              <w:rPr>
                <w:rFonts w:ascii="Times New Roman" w:eastAsiaTheme="minorHAnsi" w:hAnsi="Times New Roman" w:cs="Times New Roman"/>
                <w:b/>
                <w:color w:val="auto"/>
                <w:sz w:val="48"/>
                <w:szCs w:val="24"/>
                <w:lang w:eastAsia="en-US"/>
              </w:rPr>
              <w:t>2319220@student.uwtsd.ac.uk</w:t>
            </w:r>
          </w:p>
          <w:p w14:paraId="1BF7E05A" w14:textId="77777777" w:rsidR="00240107" w:rsidRPr="00240107" w:rsidRDefault="00240107" w:rsidP="00240107">
            <w:pPr>
              <w:overflowPunct/>
              <w:autoSpaceDE/>
              <w:autoSpaceDN/>
              <w:adjustRightInd/>
              <w:ind w:right="-957"/>
              <w:textAlignment w:val="auto"/>
              <w:rPr>
                <w:rFonts w:ascii="Times New Roman" w:eastAsiaTheme="minorHAnsi" w:hAnsi="Times New Roman" w:cs="Times New Roman"/>
                <w:b/>
                <w:color w:val="auto"/>
                <w:sz w:val="48"/>
                <w:szCs w:val="24"/>
                <w:lang w:eastAsia="en-US"/>
              </w:rPr>
            </w:pPr>
          </w:p>
          <w:p w14:paraId="0F66A6A7" w14:textId="77777777" w:rsidR="00240107" w:rsidRPr="00240107" w:rsidRDefault="00240107" w:rsidP="00240107">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240107">
              <w:rPr>
                <w:rFonts w:ascii="Times New Roman" w:eastAsiaTheme="minorHAnsi" w:hAnsi="Times New Roman" w:cs="Times New Roman"/>
                <w:b/>
                <w:color w:val="auto"/>
                <w:sz w:val="48"/>
                <w:szCs w:val="24"/>
                <w:lang w:eastAsia="en-US"/>
              </w:rPr>
              <w:t>Learner’s University Registration Number: 2319220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5BAB247F" w14:textId="77777777" w:rsidR="00351FBB" w:rsidRDefault="00351FBB" w:rsidP="00FF7EBB">
            <w:pPr>
              <w:jc w:val="both"/>
              <w:rPr>
                <w:i/>
                <w:sz w:val="24"/>
                <w:szCs w:val="24"/>
              </w:rPr>
            </w:pPr>
          </w:p>
          <w:p w14:paraId="79BDAA34" w14:textId="0BF0E6E4" w:rsidR="00131CC7" w:rsidRPr="00483E9F" w:rsidRDefault="00131CC7" w:rsidP="00131CC7">
            <w:pPr>
              <w:spacing w:line="360" w:lineRule="auto"/>
              <w:jc w:val="both"/>
              <w:rPr>
                <w:sz w:val="22"/>
                <w:szCs w:val="22"/>
              </w:rPr>
            </w:pPr>
            <w:r w:rsidRPr="00483E9F">
              <w:rPr>
                <w:sz w:val="22"/>
                <w:szCs w:val="22"/>
              </w:rPr>
              <w:t xml:space="preserve">I will critically reflect on my work with a specific citizen during my first year of practice, focusing on </w:t>
            </w:r>
            <w:r>
              <w:rPr>
                <w:sz w:val="22"/>
                <w:szCs w:val="22"/>
              </w:rPr>
              <w:t>the</w:t>
            </w:r>
            <w:r w:rsidRPr="00483E9F">
              <w:rPr>
                <w:sz w:val="22"/>
                <w:szCs w:val="22"/>
              </w:rPr>
              <w:t xml:space="preserve"> adult safeguarding assessment</w:t>
            </w:r>
            <w:r>
              <w:rPr>
                <w:sz w:val="22"/>
                <w:szCs w:val="22"/>
              </w:rPr>
              <w:t xml:space="preserve"> period</w:t>
            </w:r>
            <w:r w:rsidRPr="00483E9F">
              <w:rPr>
                <w:sz w:val="22"/>
                <w:szCs w:val="22"/>
              </w:rPr>
              <w:t>. I will demonstrate how my practice aligned with safeguarding legislation, policies, strategies and procedures</w:t>
            </w:r>
            <w:r w:rsidR="007D4974">
              <w:rPr>
                <w:sz w:val="22"/>
                <w:szCs w:val="22"/>
              </w:rPr>
              <w:t xml:space="preserve"> </w:t>
            </w:r>
            <w:r w:rsidR="007D4974" w:rsidRPr="00483E9F">
              <w:rPr>
                <w:sz w:val="22"/>
                <w:szCs w:val="22"/>
              </w:rPr>
              <w:t>specifically in relation to Wales</w:t>
            </w:r>
            <w:r w:rsidR="007D4974">
              <w:rPr>
                <w:sz w:val="22"/>
                <w:szCs w:val="22"/>
              </w:rPr>
              <w:t>,</w:t>
            </w:r>
            <w:r w:rsidRPr="00483E9F">
              <w:rPr>
                <w:sz w:val="22"/>
                <w:szCs w:val="22"/>
              </w:rPr>
              <w:t xml:space="preserve"> while also identifying areas for improvement.  Additionally, I will explore my understanding of the integration of analysis within the assessment process including the application of theories, the challenges posed by ethical dilemmas, the value of collaborative working and the use of professional judgement </w:t>
            </w:r>
            <w:r w:rsidR="007D4974">
              <w:rPr>
                <w:sz w:val="22"/>
                <w:szCs w:val="22"/>
              </w:rPr>
              <w:t>when</w:t>
            </w:r>
            <w:r w:rsidRPr="00483E9F">
              <w:rPr>
                <w:sz w:val="22"/>
                <w:szCs w:val="22"/>
              </w:rPr>
              <w:t xml:space="preserve"> managing complexity.  To structure this reflection, I will use the ERA Cycle framework developed by </w:t>
            </w:r>
            <w:r>
              <w:rPr>
                <w:sz w:val="22"/>
                <w:szCs w:val="22"/>
              </w:rPr>
              <w:t xml:space="preserve">Melanie </w:t>
            </w:r>
            <w:r w:rsidRPr="00483E9F">
              <w:rPr>
                <w:sz w:val="22"/>
                <w:szCs w:val="22"/>
              </w:rPr>
              <w:t>Jasper (2013) which considers 3 stages of self-introspection</w:t>
            </w:r>
            <w:r w:rsidR="007D4974">
              <w:rPr>
                <w:sz w:val="22"/>
                <w:szCs w:val="22"/>
              </w:rPr>
              <w:t>:</w:t>
            </w:r>
            <w:r w:rsidRPr="00483E9F">
              <w:rPr>
                <w:sz w:val="22"/>
                <w:szCs w:val="22"/>
              </w:rPr>
              <w:t xml:space="preserve"> </w:t>
            </w:r>
            <w:r w:rsidR="007D4974" w:rsidRPr="007D4974">
              <w:rPr>
                <w:i/>
                <w:iCs/>
                <w:sz w:val="22"/>
                <w:szCs w:val="22"/>
              </w:rPr>
              <w:t>‘</w:t>
            </w:r>
            <w:r w:rsidRPr="007D4974">
              <w:rPr>
                <w:i/>
                <w:iCs/>
                <w:sz w:val="22"/>
                <w:szCs w:val="22"/>
              </w:rPr>
              <w:t>experience, reflection and action</w:t>
            </w:r>
            <w:r w:rsidR="007D4974" w:rsidRPr="007D4974">
              <w:rPr>
                <w:i/>
                <w:iCs/>
                <w:sz w:val="22"/>
                <w:szCs w:val="22"/>
              </w:rPr>
              <w:t>’</w:t>
            </w:r>
            <w:r>
              <w:rPr>
                <w:sz w:val="22"/>
                <w:szCs w:val="22"/>
              </w:rPr>
              <w:t xml:space="preserve"> as cited in</w:t>
            </w:r>
            <w:r w:rsidRPr="00483E9F">
              <w:rPr>
                <w:sz w:val="22"/>
                <w:szCs w:val="22"/>
              </w:rPr>
              <w:t xml:space="preserve"> </w:t>
            </w:r>
            <w:proofErr w:type="spellStart"/>
            <w:r w:rsidRPr="00483E9F">
              <w:rPr>
                <w:sz w:val="22"/>
                <w:szCs w:val="22"/>
              </w:rPr>
              <w:t>Crowjack</w:t>
            </w:r>
            <w:proofErr w:type="spellEnd"/>
            <w:r w:rsidRPr="00483E9F">
              <w:rPr>
                <w:sz w:val="22"/>
                <w:szCs w:val="22"/>
              </w:rPr>
              <w:t xml:space="preserve"> </w:t>
            </w:r>
            <w:r>
              <w:rPr>
                <w:sz w:val="22"/>
                <w:szCs w:val="22"/>
              </w:rPr>
              <w:t>(</w:t>
            </w:r>
            <w:r w:rsidRPr="00483E9F">
              <w:rPr>
                <w:sz w:val="22"/>
                <w:szCs w:val="22"/>
              </w:rPr>
              <w:t>2022).</w:t>
            </w:r>
          </w:p>
          <w:p w14:paraId="7C37873F" w14:textId="77777777" w:rsidR="00131CC7" w:rsidRPr="00483E9F" w:rsidRDefault="00131CC7" w:rsidP="00131CC7">
            <w:pPr>
              <w:spacing w:line="360" w:lineRule="auto"/>
              <w:jc w:val="both"/>
              <w:rPr>
                <w:sz w:val="22"/>
                <w:szCs w:val="22"/>
              </w:rPr>
            </w:pPr>
          </w:p>
          <w:p w14:paraId="794C6D8D" w14:textId="77777777" w:rsidR="00131CC7" w:rsidRPr="00483E9F" w:rsidRDefault="00131CC7" w:rsidP="00131CC7">
            <w:pPr>
              <w:spacing w:line="360" w:lineRule="auto"/>
              <w:jc w:val="both"/>
              <w:rPr>
                <w:i/>
                <w:sz w:val="22"/>
                <w:szCs w:val="22"/>
              </w:rPr>
            </w:pPr>
          </w:p>
          <w:p w14:paraId="0413A932" w14:textId="42BBB796" w:rsidR="00131CC7" w:rsidRPr="00483E9F" w:rsidRDefault="00131CC7" w:rsidP="00131CC7">
            <w:pPr>
              <w:spacing w:line="360" w:lineRule="auto"/>
              <w:jc w:val="both"/>
              <w:rPr>
                <w:sz w:val="22"/>
                <w:szCs w:val="22"/>
              </w:rPr>
            </w:pPr>
            <w:r w:rsidRPr="00483E9F">
              <w:rPr>
                <w:sz w:val="22"/>
                <w:szCs w:val="22"/>
              </w:rPr>
              <w:t>Social work is a regulated profession with its own Code of Professional Practice (COPP) (Social Care Wales (SCW), 2017) which seeks to ensure high standards and</w:t>
            </w:r>
            <w:r w:rsidR="00FE3B50">
              <w:rPr>
                <w:sz w:val="22"/>
                <w:szCs w:val="22"/>
              </w:rPr>
              <w:t xml:space="preserve"> that</w:t>
            </w:r>
            <w:r w:rsidRPr="00483E9F">
              <w:rPr>
                <w:sz w:val="22"/>
                <w:szCs w:val="22"/>
              </w:rPr>
              <w:t xml:space="preserve"> good conduct </w:t>
            </w:r>
            <w:r w:rsidR="00FE3B50">
              <w:rPr>
                <w:sz w:val="22"/>
                <w:szCs w:val="22"/>
              </w:rPr>
              <w:t>is</w:t>
            </w:r>
            <w:r w:rsidRPr="00483E9F">
              <w:rPr>
                <w:sz w:val="22"/>
                <w:szCs w:val="22"/>
              </w:rPr>
              <w:t xml:space="preserve"> maintained by practitioners throughout the support of families and individuals (CPD Online, 2025).  The duties and responsibilities of social workers are outlined in legislation, policies and procedures and provides a framework that offers clear guidance and direction regarding mandatory and discretionary services </w:t>
            </w:r>
            <w:r w:rsidRPr="00093472">
              <w:rPr>
                <w:sz w:val="22"/>
                <w:szCs w:val="22"/>
              </w:rPr>
              <w:lastRenderedPageBreak/>
              <w:t>and outlines the procedures by which services must be delivered (</w:t>
            </w:r>
            <w:proofErr w:type="spellStart"/>
            <w:r w:rsidRPr="00093472">
              <w:rPr>
                <w:sz w:val="22"/>
                <w:szCs w:val="22"/>
              </w:rPr>
              <w:t>Brayne</w:t>
            </w:r>
            <w:proofErr w:type="spellEnd"/>
            <w:r w:rsidRPr="00093472">
              <w:rPr>
                <w:sz w:val="22"/>
                <w:szCs w:val="22"/>
              </w:rPr>
              <w:t xml:space="preserve"> and Carr, 2013).  It is the product of Parliament, the judiciary, international agreements and long-standing legal traditions</w:t>
            </w:r>
            <w:r w:rsidR="00093472" w:rsidRPr="00093472">
              <w:rPr>
                <w:sz w:val="22"/>
                <w:szCs w:val="22"/>
              </w:rPr>
              <w:t xml:space="preserve">; </w:t>
            </w:r>
            <w:r w:rsidRPr="00093472">
              <w:rPr>
                <w:sz w:val="22"/>
                <w:szCs w:val="22"/>
              </w:rPr>
              <w:t xml:space="preserve">practitioners must adhere to statutory requirements, regulations, guidance and case law </w:t>
            </w:r>
            <w:r w:rsidR="00093472" w:rsidRPr="00093472">
              <w:rPr>
                <w:sz w:val="24"/>
                <w:szCs w:val="24"/>
              </w:rPr>
              <w:t>(</w:t>
            </w:r>
            <w:proofErr w:type="spellStart"/>
            <w:r w:rsidR="00093472" w:rsidRPr="00093472">
              <w:rPr>
                <w:sz w:val="24"/>
                <w:szCs w:val="24"/>
              </w:rPr>
              <w:t>Brayne</w:t>
            </w:r>
            <w:proofErr w:type="spellEnd"/>
            <w:r w:rsidR="00093472" w:rsidRPr="00093472">
              <w:rPr>
                <w:sz w:val="24"/>
                <w:szCs w:val="24"/>
              </w:rPr>
              <w:t xml:space="preserve"> and Carr, 2013).</w:t>
            </w:r>
          </w:p>
          <w:p w14:paraId="014E9718" w14:textId="77777777" w:rsidR="00131CC7" w:rsidRPr="00483E9F" w:rsidRDefault="00131CC7" w:rsidP="00131CC7">
            <w:pPr>
              <w:spacing w:line="360" w:lineRule="auto"/>
              <w:jc w:val="both"/>
              <w:rPr>
                <w:sz w:val="22"/>
                <w:szCs w:val="22"/>
              </w:rPr>
            </w:pPr>
          </w:p>
          <w:p w14:paraId="3F072279" w14:textId="77777777" w:rsidR="00131CC7" w:rsidRPr="00483E9F" w:rsidRDefault="00131CC7" w:rsidP="00131CC7">
            <w:pPr>
              <w:spacing w:line="360" w:lineRule="auto"/>
              <w:jc w:val="both"/>
              <w:rPr>
                <w:sz w:val="22"/>
                <w:szCs w:val="22"/>
              </w:rPr>
            </w:pPr>
          </w:p>
          <w:p w14:paraId="0FC262FD" w14:textId="4E983A86" w:rsidR="00131CC7" w:rsidRDefault="00131CC7" w:rsidP="00131CC7">
            <w:pPr>
              <w:spacing w:line="360" w:lineRule="auto"/>
              <w:jc w:val="both"/>
              <w:rPr>
                <w:sz w:val="22"/>
                <w:szCs w:val="22"/>
              </w:rPr>
            </w:pPr>
            <w:r w:rsidRPr="00483E9F">
              <w:rPr>
                <w:sz w:val="22"/>
                <w:szCs w:val="22"/>
              </w:rPr>
              <w:t>The ‘</w:t>
            </w:r>
            <w:r w:rsidRPr="00483E9F">
              <w:rPr>
                <w:rStyle w:val="Emphasis"/>
                <w:sz w:val="22"/>
                <w:szCs w:val="22"/>
              </w:rPr>
              <w:t>Working Together to Safeguard Children’</w:t>
            </w:r>
            <w:r w:rsidRPr="00483E9F">
              <w:rPr>
                <w:sz w:val="22"/>
                <w:szCs w:val="22"/>
              </w:rPr>
              <w:t xml:space="preserve"> guidance defines safeguarding as protecting children from maltreatment; preventing impairment of their health or development; and ensuring that their environment supports the provision of effective and safe care (Department for Education, 2023). Volunteer Now (2010) defines safeguarding adults as the practice of ensuring that </w:t>
            </w:r>
            <w:r w:rsidR="00BF2D9D">
              <w:rPr>
                <w:sz w:val="22"/>
                <w:szCs w:val="22"/>
              </w:rPr>
              <w:t>citizens at risk</w:t>
            </w:r>
            <w:r w:rsidRPr="00483E9F">
              <w:rPr>
                <w:sz w:val="22"/>
                <w:szCs w:val="22"/>
              </w:rPr>
              <w:t xml:space="preserve"> are protected from exploitation and harm, while upholding their rights and acting in their best interests.</w:t>
            </w:r>
          </w:p>
          <w:p w14:paraId="52A8C884" w14:textId="77777777" w:rsidR="00131CC7" w:rsidRPr="00483E9F" w:rsidRDefault="00131CC7" w:rsidP="00131CC7">
            <w:pPr>
              <w:spacing w:line="360" w:lineRule="auto"/>
              <w:jc w:val="both"/>
              <w:rPr>
                <w:sz w:val="22"/>
                <w:szCs w:val="22"/>
              </w:rPr>
            </w:pPr>
          </w:p>
          <w:p w14:paraId="2F5C397C" w14:textId="77777777" w:rsidR="00131CC7" w:rsidRPr="00483E9F" w:rsidRDefault="00131CC7" w:rsidP="00131CC7">
            <w:pPr>
              <w:spacing w:line="360" w:lineRule="auto"/>
              <w:jc w:val="both"/>
              <w:rPr>
                <w:sz w:val="22"/>
                <w:szCs w:val="22"/>
              </w:rPr>
            </w:pPr>
          </w:p>
          <w:p w14:paraId="26D0780E" w14:textId="77777777" w:rsidR="00496B53" w:rsidRDefault="00131CC7" w:rsidP="00131CC7">
            <w:pPr>
              <w:spacing w:line="360" w:lineRule="auto"/>
              <w:jc w:val="both"/>
              <w:rPr>
                <w:sz w:val="22"/>
                <w:szCs w:val="22"/>
              </w:rPr>
            </w:pPr>
            <w:r w:rsidRPr="00483E9F">
              <w:rPr>
                <w:sz w:val="22"/>
                <w:szCs w:val="22"/>
              </w:rPr>
              <w:t xml:space="preserve">In Wales, social care is a devolved matter, with Senedd Cymru holding authority to pass legislation, subject to the reservations outlined in Schedule 7A of the Government of Wales Act </w:t>
            </w:r>
            <w:r w:rsidR="00093472">
              <w:rPr>
                <w:sz w:val="22"/>
                <w:szCs w:val="22"/>
              </w:rPr>
              <w:t>(</w:t>
            </w:r>
            <w:r w:rsidRPr="00483E9F">
              <w:rPr>
                <w:sz w:val="22"/>
                <w:szCs w:val="22"/>
              </w:rPr>
              <w:t>2006</w:t>
            </w:r>
            <w:r w:rsidR="00093472">
              <w:rPr>
                <w:sz w:val="22"/>
                <w:szCs w:val="22"/>
              </w:rPr>
              <w:t>)</w:t>
            </w:r>
            <w:r w:rsidRPr="00483E9F">
              <w:rPr>
                <w:sz w:val="22"/>
                <w:szCs w:val="22"/>
              </w:rPr>
              <w:t xml:space="preserve"> (Law Wales, 2021). Practitioners in Wales derive their statutory powers primarily from the Social Services and Well-being (Wales) Act</w:t>
            </w:r>
            <w:r w:rsidR="00093472">
              <w:rPr>
                <w:sz w:val="22"/>
                <w:szCs w:val="22"/>
              </w:rPr>
              <w:t xml:space="preserve"> </w:t>
            </w:r>
            <w:r w:rsidR="00093472" w:rsidRPr="00483E9F">
              <w:rPr>
                <w:sz w:val="22"/>
                <w:szCs w:val="22"/>
              </w:rPr>
              <w:t>(SSWBA)</w:t>
            </w:r>
            <w:r w:rsidR="00093472">
              <w:rPr>
                <w:sz w:val="22"/>
                <w:szCs w:val="22"/>
              </w:rPr>
              <w:t xml:space="preserve"> (</w:t>
            </w:r>
            <w:r w:rsidRPr="00483E9F">
              <w:rPr>
                <w:sz w:val="22"/>
                <w:szCs w:val="22"/>
              </w:rPr>
              <w:t>2014</w:t>
            </w:r>
            <w:r w:rsidR="00093472">
              <w:rPr>
                <w:sz w:val="22"/>
                <w:szCs w:val="22"/>
              </w:rPr>
              <w:t>)</w:t>
            </w:r>
            <w:r w:rsidRPr="00483E9F">
              <w:rPr>
                <w:sz w:val="22"/>
                <w:szCs w:val="22"/>
              </w:rPr>
              <w:t xml:space="preserve"> but also through other national and international legislation. For example, in adult care, practitioners utilise</w:t>
            </w:r>
            <w:r w:rsidR="00093472">
              <w:rPr>
                <w:sz w:val="22"/>
                <w:szCs w:val="22"/>
              </w:rPr>
              <w:t xml:space="preserve">, </w:t>
            </w:r>
            <w:r w:rsidRPr="00483E9F">
              <w:rPr>
                <w:sz w:val="22"/>
                <w:szCs w:val="22"/>
              </w:rPr>
              <w:t>but are not limited to</w:t>
            </w:r>
            <w:r w:rsidR="00093472">
              <w:rPr>
                <w:sz w:val="22"/>
                <w:szCs w:val="22"/>
              </w:rPr>
              <w:t xml:space="preserve">, </w:t>
            </w:r>
            <w:r w:rsidRPr="00483E9F">
              <w:rPr>
                <w:sz w:val="22"/>
                <w:szCs w:val="22"/>
              </w:rPr>
              <w:t>the Mental Capacity Act</w:t>
            </w:r>
            <w:r w:rsidR="00093472">
              <w:rPr>
                <w:sz w:val="22"/>
                <w:szCs w:val="22"/>
              </w:rPr>
              <w:t xml:space="preserve"> (MCA)</w:t>
            </w:r>
            <w:r w:rsidRPr="00483E9F">
              <w:rPr>
                <w:sz w:val="22"/>
                <w:szCs w:val="22"/>
              </w:rPr>
              <w:t xml:space="preserve"> </w:t>
            </w:r>
            <w:r w:rsidR="00093472">
              <w:rPr>
                <w:sz w:val="22"/>
                <w:szCs w:val="22"/>
              </w:rPr>
              <w:t>(</w:t>
            </w:r>
            <w:r w:rsidRPr="00483E9F">
              <w:rPr>
                <w:sz w:val="22"/>
                <w:szCs w:val="22"/>
              </w:rPr>
              <w:t>2005</w:t>
            </w:r>
            <w:r w:rsidR="00093472">
              <w:rPr>
                <w:sz w:val="22"/>
                <w:szCs w:val="22"/>
              </w:rPr>
              <w:t>),</w:t>
            </w:r>
            <w:r w:rsidRPr="00483E9F">
              <w:rPr>
                <w:sz w:val="22"/>
                <w:szCs w:val="22"/>
              </w:rPr>
              <w:t xml:space="preserve"> the Mental Health Act </w:t>
            </w:r>
            <w:r w:rsidR="00093472">
              <w:rPr>
                <w:sz w:val="22"/>
                <w:szCs w:val="22"/>
              </w:rPr>
              <w:t>(MHA) (</w:t>
            </w:r>
            <w:r w:rsidRPr="00483E9F">
              <w:rPr>
                <w:sz w:val="22"/>
                <w:szCs w:val="22"/>
              </w:rPr>
              <w:t>1983</w:t>
            </w:r>
            <w:r w:rsidR="00093472">
              <w:rPr>
                <w:sz w:val="22"/>
                <w:szCs w:val="22"/>
              </w:rPr>
              <w:t>)</w:t>
            </w:r>
            <w:r w:rsidRPr="00483E9F">
              <w:rPr>
                <w:sz w:val="22"/>
                <w:szCs w:val="22"/>
              </w:rPr>
              <w:t xml:space="preserve">, the Human Rights Act (HRA) </w:t>
            </w:r>
            <w:r w:rsidR="00093472">
              <w:rPr>
                <w:sz w:val="22"/>
                <w:szCs w:val="22"/>
              </w:rPr>
              <w:t>(</w:t>
            </w:r>
            <w:r w:rsidRPr="00483E9F">
              <w:rPr>
                <w:sz w:val="22"/>
                <w:szCs w:val="22"/>
              </w:rPr>
              <w:t>1998</w:t>
            </w:r>
            <w:r w:rsidR="00093472">
              <w:rPr>
                <w:sz w:val="22"/>
                <w:szCs w:val="22"/>
              </w:rPr>
              <w:t>)</w:t>
            </w:r>
            <w:r w:rsidRPr="00483E9F">
              <w:rPr>
                <w:sz w:val="22"/>
                <w:szCs w:val="22"/>
              </w:rPr>
              <w:t xml:space="preserve"> and the European Convention on Human Rights (ECHR) </w:t>
            </w:r>
            <w:r w:rsidR="00093472">
              <w:rPr>
                <w:sz w:val="22"/>
                <w:szCs w:val="22"/>
              </w:rPr>
              <w:t>(</w:t>
            </w:r>
            <w:r w:rsidRPr="00483E9F">
              <w:rPr>
                <w:sz w:val="22"/>
                <w:szCs w:val="22"/>
              </w:rPr>
              <w:t>1989</w:t>
            </w:r>
            <w:r w:rsidR="00093472">
              <w:rPr>
                <w:sz w:val="22"/>
                <w:szCs w:val="22"/>
              </w:rPr>
              <w:t>)</w:t>
            </w:r>
            <w:r w:rsidRPr="00483E9F">
              <w:rPr>
                <w:sz w:val="22"/>
                <w:szCs w:val="22"/>
              </w:rPr>
              <w:t>. In childcare, the Children Act</w:t>
            </w:r>
            <w:r w:rsidR="00093472">
              <w:rPr>
                <w:sz w:val="22"/>
                <w:szCs w:val="22"/>
              </w:rPr>
              <w:t xml:space="preserve"> (CA)</w:t>
            </w:r>
            <w:r w:rsidRPr="00483E9F">
              <w:rPr>
                <w:sz w:val="22"/>
                <w:szCs w:val="22"/>
              </w:rPr>
              <w:t xml:space="preserve"> </w:t>
            </w:r>
            <w:r w:rsidR="00093472">
              <w:rPr>
                <w:sz w:val="22"/>
                <w:szCs w:val="22"/>
              </w:rPr>
              <w:t>(</w:t>
            </w:r>
            <w:r w:rsidRPr="00483E9F">
              <w:rPr>
                <w:sz w:val="22"/>
                <w:szCs w:val="22"/>
              </w:rPr>
              <w:t>1989</w:t>
            </w:r>
            <w:r w:rsidR="00093472">
              <w:rPr>
                <w:sz w:val="22"/>
                <w:szCs w:val="22"/>
              </w:rPr>
              <w:t>)</w:t>
            </w:r>
            <w:r w:rsidRPr="00483E9F">
              <w:rPr>
                <w:sz w:val="22"/>
                <w:szCs w:val="22"/>
              </w:rPr>
              <w:t xml:space="preserve"> is the key</w:t>
            </w:r>
            <w:r w:rsidR="00093472">
              <w:rPr>
                <w:sz w:val="22"/>
                <w:szCs w:val="22"/>
              </w:rPr>
              <w:t xml:space="preserve"> </w:t>
            </w:r>
            <w:r w:rsidR="00093472" w:rsidRPr="00093472">
              <w:rPr>
                <w:sz w:val="22"/>
                <w:szCs w:val="22"/>
              </w:rPr>
              <w:t>piece of</w:t>
            </w:r>
            <w:r w:rsidRPr="00093472">
              <w:rPr>
                <w:sz w:val="22"/>
                <w:szCs w:val="22"/>
              </w:rPr>
              <w:t xml:space="preserve"> legislation</w:t>
            </w:r>
            <w:r w:rsidR="00093472" w:rsidRPr="00093472">
              <w:rPr>
                <w:sz w:val="22"/>
                <w:szCs w:val="22"/>
              </w:rPr>
              <w:t xml:space="preserve"> in England and Wales</w:t>
            </w:r>
            <w:r w:rsidRPr="00093472">
              <w:rPr>
                <w:sz w:val="22"/>
                <w:szCs w:val="22"/>
              </w:rPr>
              <w:t xml:space="preserve">. In 2004, Wales became the first country to embed the United Nations Convention on the Rights of the Child </w:t>
            </w:r>
            <w:r w:rsidR="00093472" w:rsidRPr="00093472">
              <w:rPr>
                <w:sz w:val="22"/>
                <w:szCs w:val="22"/>
              </w:rPr>
              <w:t>(</w:t>
            </w:r>
            <w:r w:rsidRPr="00093472">
              <w:rPr>
                <w:sz w:val="22"/>
                <w:szCs w:val="22"/>
              </w:rPr>
              <w:t>1989</w:t>
            </w:r>
            <w:r w:rsidR="00093472" w:rsidRPr="00093472">
              <w:rPr>
                <w:sz w:val="22"/>
                <w:szCs w:val="22"/>
              </w:rPr>
              <w:t>)</w:t>
            </w:r>
            <w:r w:rsidRPr="00093472">
              <w:rPr>
                <w:sz w:val="22"/>
                <w:szCs w:val="22"/>
              </w:rPr>
              <w:t xml:space="preserve"> into devolved law through the Rights of Children and Young Persons (Wales) Measure </w:t>
            </w:r>
            <w:r w:rsidR="00093472" w:rsidRPr="00093472">
              <w:rPr>
                <w:sz w:val="22"/>
                <w:szCs w:val="22"/>
              </w:rPr>
              <w:t>(</w:t>
            </w:r>
            <w:r w:rsidRPr="00093472">
              <w:rPr>
                <w:sz w:val="22"/>
                <w:szCs w:val="22"/>
              </w:rPr>
              <w:t>2011</w:t>
            </w:r>
            <w:r w:rsidR="00093472" w:rsidRPr="00093472">
              <w:rPr>
                <w:sz w:val="22"/>
                <w:szCs w:val="22"/>
              </w:rPr>
              <w:t>)</w:t>
            </w:r>
            <w:r w:rsidRPr="00093472">
              <w:rPr>
                <w:sz w:val="22"/>
                <w:szCs w:val="22"/>
              </w:rPr>
              <w:t>. In 2007</w:t>
            </w:r>
            <w:r w:rsidRPr="00483E9F">
              <w:rPr>
                <w:sz w:val="22"/>
                <w:szCs w:val="22"/>
              </w:rPr>
              <w:t xml:space="preserve">, the United Kingdom (UK) signed the United Nations Convention on the Rights of Persons with Disabilities, which seeks to protect and promote the fundamental freedoms and human rights of people with disabilities. </w:t>
            </w:r>
          </w:p>
          <w:p w14:paraId="0DE544E8" w14:textId="77777777" w:rsidR="00496B53" w:rsidRDefault="00496B53" w:rsidP="00131CC7">
            <w:pPr>
              <w:spacing w:line="360" w:lineRule="auto"/>
              <w:jc w:val="both"/>
              <w:rPr>
                <w:sz w:val="22"/>
                <w:szCs w:val="22"/>
              </w:rPr>
            </w:pPr>
          </w:p>
          <w:p w14:paraId="75316E36" w14:textId="05977CDA" w:rsidR="00131CC7" w:rsidRPr="00483E9F" w:rsidRDefault="00496B53" w:rsidP="00131CC7">
            <w:pPr>
              <w:spacing w:line="360" w:lineRule="auto"/>
              <w:jc w:val="both"/>
              <w:rPr>
                <w:sz w:val="22"/>
                <w:szCs w:val="22"/>
              </w:rPr>
            </w:pPr>
            <w:r>
              <w:rPr>
                <w:sz w:val="22"/>
                <w:szCs w:val="22"/>
              </w:rPr>
              <w:t>A</w:t>
            </w:r>
            <w:r w:rsidR="00131CC7" w:rsidRPr="00483E9F">
              <w:rPr>
                <w:sz w:val="22"/>
                <w:szCs w:val="22"/>
              </w:rPr>
              <w:t xml:space="preserve">s a practitioner working in Wales, I must demonstrate regard for the Welsh Language (Wales) Measure </w:t>
            </w:r>
            <w:r>
              <w:rPr>
                <w:sz w:val="22"/>
                <w:szCs w:val="22"/>
              </w:rPr>
              <w:t>(</w:t>
            </w:r>
            <w:r w:rsidR="00131CC7" w:rsidRPr="00483E9F">
              <w:rPr>
                <w:sz w:val="22"/>
                <w:szCs w:val="22"/>
              </w:rPr>
              <w:t>2011</w:t>
            </w:r>
            <w:r>
              <w:rPr>
                <w:sz w:val="22"/>
                <w:szCs w:val="22"/>
              </w:rPr>
              <w:t>)</w:t>
            </w:r>
            <w:r w:rsidR="00131CC7" w:rsidRPr="00483E9F">
              <w:rPr>
                <w:sz w:val="22"/>
                <w:szCs w:val="22"/>
              </w:rPr>
              <w:t xml:space="preserve"> by ensuring that individuals receive services in their preferred language and are treated no less favourably than those whose first language is English (Law Wales, 2025).</w:t>
            </w:r>
            <w:r>
              <w:rPr>
                <w:sz w:val="22"/>
                <w:szCs w:val="22"/>
              </w:rPr>
              <w:t xml:space="preserve"> </w:t>
            </w:r>
            <w:r w:rsidR="00131CC7" w:rsidRPr="00483E9F">
              <w:rPr>
                <w:sz w:val="22"/>
                <w:szCs w:val="22"/>
              </w:rPr>
              <w:t xml:space="preserve">To uphold this, practitioners are responsible for implementing the principle through the ‘active offer’, which means that services in the Welsh language are available to everyone without having to request them, thus safeguarding their dignity and respect (SCW, 2025).  Navigating the law alongside challenges related to working in Wales such as budgetary pressures, COVID-19 restrictions, limited resources and </w:t>
            </w:r>
            <w:r w:rsidR="00131CC7" w:rsidRPr="00483E9F">
              <w:rPr>
                <w:sz w:val="22"/>
                <w:szCs w:val="22"/>
              </w:rPr>
              <w:lastRenderedPageBreak/>
              <w:t xml:space="preserve">transport links has been an ongoing </w:t>
            </w:r>
            <w:r>
              <w:rPr>
                <w:sz w:val="22"/>
                <w:szCs w:val="22"/>
              </w:rPr>
              <w:t>challenge</w:t>
            </w:r>
            <w:r w:rsidR="00131CC7" w:rsidRPr="00483E9F">
              <w:rPr>
                <w:sz w:val="22"/>
                <w:szCs w:val="22"/>
              </w:rPr>
              <w:t>. The Welsh Local Government Association has recently reported significant increases in the demand for adult social services, with further financial cuts anticipated (BBC News, 2024).  I have personally witnessed how the outcomes of interventions can</w:t>
            </w:r>
            <w:r w:rsidRPr="00483E9F">
              <w:rPr>
                <w:sz w:val="22"/>
                <w:szCs w:val="22"/>
              </w:rPr>
              <w:t xml:space="preserve"> significantly</w:t>
            </w:r>
            <w:r w:rsidR="00131CC7" w:rsidRPr="00483E9F">
              <w:rPr>
                <w:sz w:val="22"/>
                <w:szCs w:val="22"/>
              </w:rPr>
              <w:t xml:space="preserve"> differ depending on whether a person is supported to communicate in their first language, particularly during mental capacity assessments.  When an individual is deemed to lack capacity, the consequences are serious. For this reason, I recognise how, within safeguarding contexts, using a person’s first language in a person-centred way can significantly contribute to</w:t>
            </w:r>
            <w:r>
              <w:rPr>
                <w:sz w:val="22"/>
                <w:szCs w:val="22"/>
              </w:rPr>
              <w:t xml:space="preserve"> </w:t>
            </w:r>
            <w:r w:rsidR="00131CC7" w:rsidRPr="00483E9F">
              <w:rPr>
                <w:sz w:val="22"/>
                <w:szCs w:val="22"/>
              </w:rPr>
              <w:t>positive outcomes.</w:t>
            </w:r>
          </w:p>
          <w:p w14:paraId="045DF7A5" w14:textId="77777777" w:rsidR="00131CC7" w:rsidRPr="00483E9F" w:rsidRDefault="00131CC7" w:rsidP="00131CC7">
            <w:pPr>
              <w:spacing w:line="360" w:lineRule="auto"/>
              <w:jc w:val="both"/>
              <w:rPr>
                <w:sz w:val="22"/>
                <w:szCs w:val="22"/>
              </w:rPr>
            </w:pPr>
          </w:p>
          <w:p w14:paraId="23F22951" w14:textId="77777777" w:rsidR="00131CC7" w:rsidRPr="00483E9F" w:rsidRDefault="00131CC7" w:rsidP="00131CC7">
            <w:pPr>
              <w:spacing w:line="360" w:lineRule="auto"/>
              <w:jc w:val="both"/>
              <w:rPr>
                <w:sz w:val="22"/>
                <w:szCs w:val="22"/>
              </w:rPr>
            </w:pPr>
          </w:p>
          <w:p w14:paraId="1C27E0FE" w14:textId="1D51F71A" w:rsidR="00131CC7" w:rsidRDefault="00131CC7" w:rsidP="00131CC7">
            <w:pPr>
              <w:pStyle w:val="NormalWeb"/>
              <w:spacing w:line="360" w:lineRule="auto"/>
              <w:jc w:val="both"/>
              <w:rPr>
                <w:rFonts w:ascii="Arial" w:hAnsi="Arial" w:cs="Arial"/>
                <w:sz w:val="22"/>
                <w:szCs w:val="22"/>
              </w:rPr>
            </w:pPr>
            <w:r w:rsidRPr="00483E9F">
              <w:rPr>
                <w:rFonts w:ascii="Arial" w:hAnsi="Arial" w:cs="Arial"/>
                <w:sz w:val="22"/>
                <w:szCs w:val="22"/>
              </w:rPr>
              <w:t xml:space="preserve">There are many pieces of legislation relevant to social work </w:t>
            </w:r>
            <w:r w:rsidR="00496B53">
              <w:rPr>
                <w:rFonts w:ascii="Arial" w:hAnsi="Arial" w:cs="Arial"/>
                <w:sz w:val="22"/>
                <w:szCs w:val="22"/>
              </w:rPr>
              <w:t>h</w:t>
            </w:r>
            <w:r w:rsidRPr="00483E9F">
              <w:rPr>
                <w:rFonts w:ascii="Arial" w:hAnsi="Arial" w:cs="Arial"/>
                <w:sz w:val="22"/>
                <w:szCs w:val="22"/>
              </w:rPr>
              <w:t xml:space="preserve">owever, arguably the most significant and widely applied in the UK is the HRA </w:t>
            </w:r>
            <w:r w:rsidR="00496B53">
              <w:rPr>
                <w:rFonts w:ascii="Arial" w:hAnsi="Arial" w:cs="Arial"/>
                <w:sz w:val="22"/>
                <w:szCs w:val="22"/>
              </w:rPr>
              <w:t>(</w:t>
            </w:r>
            <w:r w:rsidRPr="00483E9F">
              <w:rPr>
                <w:rFonts w:ascii="Arial" w:hAnsi="Arial" w:cs="Arial"/>
                <w:sz w:val="22"/>
                <w:szCs w:val="22"/>
              </w:rPr>
              <w:t>1998</w:t>
            </w:r>
            <w:r w:rsidR="00496B53">
              <w:rPr>
                <w:rFonts w:ascii="Arial" w:hAnsi="Arial" w:cs="Arial"/>
                <w:sz w:val="22"/>
                <w:szCs w:val="22"/>
              </w:rPr>
              <w:t>)</w:t>
            </w:r>
            <w:r w:rsidRPr="00483E9F">
              <w:rPr>
                <w:rFonts w:ascii="Arial" w:hAnsi="Arial" w:cs="Arial"/>
                <w:sz w:val="22"/>
                <w:szCs w:val="22"/>
              </w:rPr>
              <w:t xml:space="preserve">, which incorporates the ECHR </w:t>
            </w:r>
            <w:r w:rsidR="00496B53">
              <w:rPr>
                <w:rFonts w:ascii="Arial" w:hAnsi="Arial" w:cs="Arial"/>
                <w:sz w:val="22"/>
                <w:szCs w:val="22"/>
              </w:rPr>
              <w:t>(</w:t>
            </w:r>
            <w:r w:rsidRPr="00483E9F">
              <w:rPr>
                <w:rFonts w:ascii="Arial" w:hAnsi="Arial" w:cs="Arial"/>
                <w:sz w:val="22"/>
                <w:szCs w:val="22"/>
              </w:rPr>
              <w:t>1989</w:t>
            </w:r>
            <w:r w:rsidR="00496B53">
              <w:rPr>
                <w:rFonts w:ascii="Arial" w:hAnsi="Arial" w:cs="Arial"/>
                <w:sz w:val="22"/>
                <w:szCs w:val="22"/>
              </w:rPr>
              <w:t>)</w:t>
            </w:r>
            <w:r w:rsidRPr="00483E9F">
              <w:rPr>
                <w:rFonts w:ascii="Arial" w:hAnsi="Arial" w:cs="Arial"/>
                <w:sz w:val="22"/>
                <w:szCs w:val="22"/>
              </w:rPr>
              <w:t xml:space="preserve"> into UK law and underpins numerous other statutes. The HRA</w:t>
            </w:r>
            <w:r w:rsidR="00496B53">
              <w:rPr>
                <w:rFonts w:ascii="Arial" w:hAnsi="Arial" w:cs="Arial"/>
                <w:sz w:val="22"/>
                <w:szCs w:val="22"/>
              </w:rPr>
              <w:t xml:space="preserve"> (1998)</w:t>
            </w:r>
            <w:r w:rsidRPr="00483E9F">
              <w:rPr>
                <w:rFonts w:ascii="Arial" w:hAnsi="Arial" w:cs="Arial"/>
                <w:sz w:val="22"/>
                <w:szCs w:val="22"/>
              </w:rPr>
              <w:t xml:space="preserve"> sets out specific rights for individuals that must always be respected unless overridden by another law. Article 8 of the HRA (1998) establishes the right to respect for private life, home and correspondence nevertheless, public authorities may interfere with this right where they can demonstrate that their actions are lawful, necessary, and proportionate (Equality and Human Rights Commission, 2021). Applying the HRA</w:t>
            </w:r>
            <w:r w:rsidR="00496B53">
              <w:rPr>
                <w:rFonts w:ascii="Arial" w:hAnsi="Arial" w:cs="Arial"/>
                <w:sz w:val="22"/>
                <w:szCs w:val="22"/>
              </w:rPr>
              <w:t xml:space="preserve"> (1989)</w:t>
            </w:r>
            <w:r w:rsidRPr="00483E9F">
              <w:rPr>
                <w:rFonts w:ascii="Arial" w:hAnsi="Arial" w:cs="Arial"/>
                <w:sz w:val="22"/>
                <w:szCs w:val="22"/>
              </w:rPr>
              <w:t xml:space="preserve"> can be complex in adult care, especially when an individual lacks capacity and intervention is required, thereby overriding their right to a private life. This demonstrates how other legislation may take precedence over the HRA</w:t>
            </w:r>
            <w:r w:rsidR="00496B53">
              <w:rPr>
                <w:rFonts w:ascii="Arial" w:hAnsi="Arial" w:cs="Arial"/>
                <w:sz w:val="22"/>
                <w:szCs w:val="22"/>
              </w:rPr>
              <w:t xml:space="preserve"> (1989)</w:t>
            </w:r>
            <w:r w:rsidRPr="00483E9F">
              <w:rPr>
                <w:rFonts w:ascii="Arial" w:hAnsi="Arial" w:cs="Arial"/>
                <w:sz w:val="22"/>
                <w:szCs w:val="22"/>
              </w:rPr>
              <w:t xml:space="preserve">. In such cases, embedding the principles of the Mental Capacity Act (MCA) </w:t>
            </w:r>
            <w:r w:rsidR="00496B53">
              <w:rPr>
                <w:rFonts w:ascii="Arial" w:hAnsi="Arial" w:cs="Arial"/>
                <w:sz w:val="22"/>
                <w:szCs w:val="22"/>
              </w:rPr>
              <w:t>(</w:t>
            </w:r>
            <w:r w:rsidRPr="00483E9F">
              <w:rPr>
                <w:rFonts w:ascii="Arial" w:hAnsi="Arial" w:cs="Arial"/>
                <w:sz w:val="22"/>
                <w:szCs w:val="22"/>
              </w:rPr>
              <w:t>2005</w:t>
            </w:r>
            <w:r w:rsidR="00496B53">
              <w:rPr>
                <w:rFonts w:ascii="Arial" w:hAnsi="Arial" w:cs="Arial"/>
                <w:sz w:val="22"/>
                <w:szCs w:val="22"/>
              </w:rPr>
              <w:t>)</w:t>
            </w:r>
            <w:r w:rsidRPr="00483E9F">
              <w:rPr>
                <w:rFonts w:ascii="Arial" w:hAnsi="Arial" w:cs="Arial"/>
                <w:sz w:val="22"/>
                <w:szCs w:val="22"/>
              </w:rPr>
              <w:t xml:space="preserve"> ensures citizens’ rights are respected and decisions are lawful. Conversely, the right to a private and family life is upheld when a person has capacity to make decisions; in these circumstances, the state may be unable to intervene to provide safeguarding, even when there are concerns</w:t>
            </w:r>
            <w:r w:rsidR="00496B53">
              <w:rPr>
                <w:rFonts w:ascii="Arial" w:hAnsi="Arial" w:cs="Arial"/>
                <w:sz w:val="22"/>
                <w:szCs w:val="22"/>
              </w:rPr>
              <w:t xml:space="preserve"> </w:t>
            </w:r>
            <w:r w:rsidRPr="00483E9F">
              <w:rPr>
                <w:rFonts w:ascii="Arial" w:hAnsi="Arial" w:cs="Arial"/>
                <w:sz w:val="22"/>
                <w:szCs w:val="22"/>
              </w:rPr>
              <w:t>presenting practitioners with the ethical dilemmas of balancing protection with autonomy.</w:t>
            </w:r>
          </w:p>
          <w:p w14:paraId="0D9DF460" w14:textId="77777777" w:rsidR="00131CC7" w:rsidRPr="00483E9F" w:rsidRDefault="00131CC7" w:rsidP="00131CC7">
            <w:pPr>
              <w:pStyle w:val="NormalWeb"/>
              <w:spacing w:line="360" w:lineRule="auto"/>
              <w:jc w:val="both"/>
              <w:rPr>
                <w:rFonts w:ascii="Arial" w:hAnsi="Arial" w:cs="Arial"/>
                <w:sz w:val="22"/>
                <w:szCs w:val="22"/>
              </w:rPr>
            </w:pPr>
          </w:p>
          <w:p w14:paraId="40EF3E93" w14:textId="3C37AB78" w:rsidR="00131CC7" w:rsidRDefault="00131CC7" w:rsidP="00131CC7">
            <w:pPr>
              <w:pStyle w:val="NormalWeb"/>
              <w:spacing w:line="360" w:lineRule="auto"/>
              <w:jc w:val="both"/>
              <w:rPr>
                <w:rStyle w:val="Emphasis"/>
                <w:rFonts w:ascii="Arial" w:hAnsi="Arial" w:cs="Arial"/>
                <w:sz w:val="22"/>
                <w:szCs w:val="22"/>
              </w:rPr>
            </w:pPr>
            <w:r w:rsidRPr="00483E9F">
              <w:rPr>
                <w:rFonts w:ascii="Arial" w:hAnsi="Arial" w:cs="Arial"/>
                <w:sz w:val="22"/>
                <w:szCs w:val="22"/>
              </w:rPr>
              <w:t xml:space="preserve">Reflecting on this case study has made me consider the differences between adult care and childcare and the distinction between absolute rights and qualified rights as outlined in the HRA </w:t>
            </w:r>
            <w:r w:rsidR="00496B53">
              <w:rPr>
                <w:rFonts w:ascii="Arial" w:hAnsi="Arial" w:cs="Arial"/>
                <w:sz w:val="22"/>
                <w:szCs w:val="22"/>
              </w:rPr>
              <w:t>(</w:t>
            </w:r>
            <w:r w:rsidRPr="00483E9F">
              <w:rPr>
                <w:rFonts w:ascii="Arial" w:hAnsi="Arial" w:cs="Arial"/>
                <w:sz w:val="22"/>
                <w:szCs w:val="22"/>
              </w:rPr>
              <w:t>1998</w:t>
            </w:r>
            <w:r w:rsidR="00496B53">
              <w:rPr>
                <w:rFonts w:ascii="Arial" w:hAnsi="Arial" w:cs="Arial"/>
                <w:sz w:val="22"/>
                <w:szCs w:val="22"/>
              </w:rPr>
              <w:t>)</w:t>
            </w:r>
            <w:r w:rsidRPr="00483E9F">
              <w:rPr>
                <w:rFonts w:ascii="Arial" w:hAnsi="Arial" w:cs="Arial"/>
                <w:sz w:val="22"/>
                <w:szCs w:val="22"/>
              </w:rPr>
              <w:t xml:space="preserve">.  According to </w:t>
            </w:r>
            <w:proofErr w:type="spellStart"/>
            <w:r w:rsidRPr="00483E9F">
              <w:rPr>
                <w:rFonts w:ascii="Arial" w:hAnsi="Arial" w:cs="Arial"/>
                <w:sz w:val="22"/>
                <w:szCs w:val="22"/>
              </w:rPr>
              <w:t>LegalClarity</w:t>
            </w:r>
            <w:proofErr w:type="spellEnd"/>
            <w:r w:rsidRPr="00483E9F">
              <w:rPr>
                <w:rFonts w:ascii="Arial" w:hAnsi="Arial" w:cs="Arial"/>
                <w:sz w:val="22"/>
                <w:szCs w:val="22"/>
              </w:rPr>
              <w:t xml:space="preserve"> (2025), </w:t>
            </w:r>
            <w:r w:rsidRPr="00483E9F">
              <w:rPr>
                <w:rStyle w:val="Emphasis"/>
                <w:rFonts w:ascii="Arial" w:hAnsi="Arial" w:cs="Arial"/>
                <w:sz w:val="22"/>
                <w:szCs w:val="22"/>
              </w:rPr>
              <w:t>“An absolute right is a fundamental entitlement that cannot be lawfully limited, interfered with, or suspended by the government for any reason,”</w:t>
            </w:r>
            <w:r w:rsidRPr="00483E9F">
              <w:rPr>
                <w:rFonts w:ascii="Arial" w:hAnsi="Arial" w:cs="Arial"/>
                <w:sz w:val="22"/>
                <w:szCs w:val="22"/>
              </w:rPr>
              <w:t xml:space="preserve"> whereas a qualified right is </w:t>
            </w:r>
            <w:r w:rsidRPr="00483E9F">
              <w:rPr>
                <w:rStyle w:val="Emphasis"/>
                <w:rFonts w:ascii="Arial" w:hAnsi="Arial" w:cs="Arial"/>
                <w:sz w:val="22"/>
                <w:szCs w:val="22"/>
              </w:rPr>
              <w:t>“an entitlement that can be lawfully restricted under specific and limited circumstances; the government may interfere with a qualified right, but only if it can satisfy a strict, multi-part test”.</w:t>
            </w:r>
          </w:p>
          <w:p w14:paraId="0947D585" w14:textId="77777777" w:rsidR="00131CC7" w:rsidRPr="00483E9F" w:rsidRDefault="00131CC7" w:rsidP="00131CC7">
            <w:pPr>
              <w:pStyle w:val="NormalWeb"/>
              <w:spacing w:line="360" w:lineRule="auto"/>
              <w:jc w:val="both"/>
              <w:rPr>
                <w:rFonts w:ascii="Arial" w:hAnsi="Arial" w:cs="Arial"/>
                <w:i/>
                <w:iCs/>
                <w:sz w:val="22"/>
                <w:szCs w:val="22"/>
              </w:rPr>
            </w:pPr>
          </w:p>
          <w:p w14:paraId="35406020" w14:textId="3B722E13" w:rsidR="00131CC7" w:rsidRPr="00483E9F" w:rsidRDefault="00131CC7" w:rsidP="00131CC7">
            <w:pPr>
              <w:pStyle w:val="NormalWeb"/>
              <w:spacing w:line="360" w:lineRule="auto"/>
              <w:jc w:val="both"/>
              <w:rPr>
                <w:rFonts w:ascii="Arial" w:hAnsi="Arial" w:cs="Arial"/>
                <w:sz w:val="22"/>
                <w:szCs w:val="22"/>
              </w:rPr>
            </w:pPr>
            <w:r w:rsidRPr="00483E9F">
              <w:rPr>
                <w:rFonts w:ascii="Arial" w:hAnsi="Arial" w:cs="Arial"/>
                <w:sz w:val="22"/>
                <w:szCs w:val="22"/>
              </w:rPr>
              <w:lastRenderedPageBreak/>
              <w:t xml:space="preserve">The citizen discussed in this </w:t>
            </w:r>
            <w:r w:rsidR="00496B53">
              <w:rPr>
                <w:rFonts w:ascii="Arial" w:hAnsi="Arial" w:cs="Arial"/>
                <w:sz w:val="22"/>
                <w:szCs w:val="22"/>
              </w:rPr>
              <w:t>case study</w:t>
            </w:r>
            <w:r w:rsidRPr="00483E9F">
              <w:rPr>
                <w:rFonts w:ascii="Arial" w:hAnsi="Arial" w:cs="Arial"/>
                <w:sz w:val="22"/>
                <w:szCs w:val="22"/>
              </w:rPr>
              <w:t xml:space="preserve"> will be referred to as</w:t>
            </w:r>
            <w:r w:rsidRPr="00483E9F">
              <w:rPr>
                <w:rFonts w:ascii="Arial" w:hAnsi="Arial" w:cs="Arial"/>
                <w:i/>
                <w:iCs/>
                <w:sz w:val="22"/>
                <w:szCs w:val="22"/>
              </w:rPr>
              <w:t xml:space="preserve"> </w:t>
            </w:r>
            <w:r w:rsidRPr="00496B53">
              <w:rPr>
                <w:rStyle w:val="Emphasis"/>
                <w:rFonts w:ascii="Arial" w:hAnsi="Arial" w:cs="Arial"/>
                <w:i w:val="0"/>
                <w:iCs w:val="0"/>
                <w:sz w:val="22"/>
                <w:szCs w:val="22"/>
              </w:rPr>
              <w:t>Person 1 (P1)</w:t>
            </w:r>
            <w:r w:rsidRPr="00496B53">
              <w:rPr>
                <w:rFonts w:ascii="Arial" w:hAnsi="Arial" w:cs="Arial"/>
                <w:i/>
                <w:iCs/>
                <w:sz w:val="22"/>
                <w:szCs w:val="22"/>
              </w:rPr>
              <w:t>,</w:t>
            </w:r>
            <w:r w:rsidRPr="00483E9F">
              <w:rPr>
                <w:rFonts w:ascii="Arial" w:hAnsi="Arial" w:cs="Arial"/>
                <w:i/>
                <w:iCs/>
                <w:sz w:val="22"/>
                <w:szCs w:val="22"/>
              </w:rPr>
              <w:t xml:space="preserve"> </w:t>
            </w:r>
            <w:r w:rsidRPr="00483E9F">
              <w:rPr>
                <w:rFonts w:ascii="Arial" w:hAnsi="Arial" w:cs="Arial"/>
                <w:sz w:val="22"/>
                <w:szCs w:val="22"/>
              </w:rPr>
              <w:t>an 18-year-old female with learning difficulties. P1 first became involved with children’s services at the age of two, when she was removed from her mother’s care due to neglect and sexual abuse. She was subsequently placed in the care of her father. Over the years, P1’s circumstances led to multiple Section 47 (s47) enquiries under the CA (1989).  These enquiries involved concerns of child-on-child sexual abuse where P1 was both a victim and a perpetrator, substance misuse involving both P1 and her father and incidents of physical abuse in which her father was identified as the perpetrator.  The duty to undertake s47 enquiries lies with the Local Authority</w:t>
            </w:r>
            <w:r w:rsidR="00496B53">
              <w:rPr>
                <w:rFonts w:ascii="Arial" w:hAnsi="Arial" w:cs="Arial"/>
                <w:sz w:val="22"/>
                <w:szCs w:val="22"/>
              </w:rPr>
              <w:t xml:space="preserve"> (LA)</w:t>
            </w:r>
            <w:r w:rsidRPr="00483E9F">
              <w:rPr>
                <w:rFonts w:ascii="Arial" w:hAnsi="Arial" w:cs="Arial"/>
                <w:sz w:val="22"/>
                <w:szCs w:val="22"/>
              </w:rPr>
              <w:t>, wh</w:t>
            </w:r>
            <w:r w:rsidR="00496B53">
              <w:rPr>
                <w:rFonts w:ascii="Arial" w:hAnsi="Arial" w:cs="Arial"/>
                <w:sz w:val="22"/>
                <w:szCs w:val="22"/>
              </w:rPr>
              <w:t>o</w:t>
            </w:r>
            <w:r w:rsidRPr="00483E9F">
              <w:rPr>
                <w:rFonts w:ascii="Arial" w:hAnsi="Arial" w:cs="Arial"/>
                <w:sz w:val="22"/>
                <w:szCs w:val="22"/>
              </w:rPr>
              <w:t xml:space="preserve"> is responsible for investigating situations where there is reasonable cause to suspect that a child is at risk of significant harm.  The Welsh Government Code of Safeguarding Practice outlines their expectations related to safeguarding arrangements</w:t>
            </w:r>
            <w:r w:rsidR="00496B53">
              <w:rPr>
                <w:rFonts w:ascii="Arial" w:hAnsi="Arial" w:cs="Arial"/>
                <w:sz w:val="22"/>
                <w:szCs w:val="22"/>
              </w:rPr>
              <w:t xml:space="preserve"> and</w:t>
            </w:r>
            <w:r w:rsidRPr="00483E9F">
              <w:rPr>
                <w:rFonts w:ascii="Arial" w:hAnsi="Arial" w:cs="Arial"/>
                <w:sz w:val="22"/>
                <w:szCs w:val="22"/>
              </w:rPr>
              <w:t xml:space="preserve"> is called </w:t>
            </w:r>
            <w:r w:rsidRPr="00483E9F">
              <w:rPr>
                <w:rFonts w:ascii="Arial" w:hAnsi="Arial" w:cs="Arial"/>
                <w:i/>
                <w:iCs/>
                <w:sz w:val="22"/>
                <w:szCs w:val="22"/>
              </w:rPr>
              <w:t>‘Working Together to Safeguard People: Code of Safeguarding Practice’</w:t>
            </w:r>
            <w:r w:rsidRPr="00483E9F">
              <w:rPr>
                <w:rFonts w:ascii="Arial" w:hAnsi="Arial" w:cs="Arial"/>
                <w:sz w:val="22"/>
                <w:szCs w:val="22"/>
              </w:rPr>
              <w:t>. This document is specifically designed to ensure that any organisation, individual or groups (Public Bodies) who are delivering commissioned services have a legal responsibility to ensure that there are contractual arrangements in place that cover safeguarding arrangements (Welsh Government, 2022).</w:t>
            </w:r>
          </w:p>
          <w:p w14:paraId="01B4737C" w14:textId="77777777" w:rsidR="00131CC7" w:rsidRPr="00483E9F" w:rsidRDefault="00131CC7" w:rsidP="00131CC7">
            <w:pPr>
              <w:pStyle w:val="NormalWeb"/>
              <w:spacing w:line="360" w:lineRule="auto"/>
              <w:jc w:val="both"/>
              <w:rPr>
                <w:rFonts w:ascii="Arial" w:hAnsi="Arial" w:cs="Arial"/>
                <w:sz w:val="22"/>
                <w:szCs w:val="22"/>
              </w:rPr>
            </w:pPr>
          </w:p>
          <w:p w14:paraId="02BF16F2" w14:textId="693D283A" w:rsidR="00131CC7" w:rsidRPr="00483E9F" w:rsidRDefault="00496B53" w:rsidP="00131CC7">
            <w:pPr>
              <w:pStyle w:val="NormalWeb"/>
              <w:spacing w:line="360" w:lineRule="auto"/>
              <w:jc w:val="both"/>
              <w:rPr>
                <w:rFonts w:ascii="Arial" w:hAnsi="Arial" w:cs="Arial"/>
                <w:sz w:val="22"/>
                <w:szCs w:val="22"/>
              </w:rPr>
            </w:pPr>
            <w:r>
              <w:rPr>
                <w:rFonts w:ascii="Arial" w:hAnsi="Arial" w:cs="Arial"/>
                <w:sz w:val="22"/>
                <w:szCs w:val="22"/>
              </w:rPr>
              <w:t xml:space="preserve">At the time of my involvement, </w:t>
            </w:r>
            <w:r w:rsidR="00131CC7" w:rsidRPr="00483E9F">
              <w:rPr>
                <w:rFonts w:ascii="Arial" w:hAnsi="Arial" w:cs="Arial"/>
                <w:sz w:val="22"/>
                <w:szCs w:val="22"/>
              </w:rPr>
              <w:t>P1 was 24 weeks pregnant and in a relationship with a 20-year-old male</w:t>
            </w:r>
            <w:r w:rsidR="00131CC7" w:rsidRPr="00483E9F">
              <w:rPr>
                <w:rFonts w:ascii="Arial" w:hAnsi="Arial" w:cs="Arial"/>
                <w:i/>
                <w:iCs/>
                <w:sz w:val="22"/>
                <w:szCs w:val="22"/>
              </w:rPr>
              <w:t xml:space="preserve">, </w:t>
            </w:r>
            <w:r w:rsidR="00131CC7" w:rsidRPr="00496B53">
              <w:rPr>
                <w:rStyle w:val="Emphasis"/>
                <w:rFonts w:ascii="Arial" w:hAnsi="Arial" w:cs="Arial"/>
                <w:i w:val="0"/>
                <w:iCs w:val="0"/>
                <w:sz w:val="22"/>
                <w:szCs w:val="22"/>
              </w:rPr>
              <w:t>Person 2 (P2)</w:t>
            </w:r>
            <w:r w:rsidR="00131CC7" w:rsidRPr="00496B53">
              <w:rPr>
                <w:rFonts w:ascii="Arial" w:hAnsi="Arial" w:cs="Arial"/>
                <w:i/>
                <w:iCs/>
                <w:sz w:val="22"/>
                <w:szCs w:val="22"/>
              </w:rPr>
              <w:t>.</w:t>
            </w:r>
            <w:r w:rsidR="00131CC7" w:rsidRPr="00483E9F">
              <w:rPr>
                <w:rFonts w:ascii="Arial" w:hAnsi="Arial" w:cs="Arial"/>
                <w:sz w:val="22"/>
                <w:szCs w:val="22"/>
              </w:rPr>
              <w:t xml:space="preserve"> There had been multiple reports of domestic abuse in this relationship, with P2 identified as the perpetrator.  As P1 had now transitioned from children’s services to adult care, I was tasked with undertaking an assessment of need under </w:t>
            </w:r>
            <w:r w:rsidR="00422001">
              <w:rPr>
                <w:rFonts w:ascii="Arial" w:hAnsi="Arial" w:cs="Arial"/>
                <w:sz w:val="22"/>
                <w:szCs w:val="22"/>
              </w:rPr>
              <w:t>s</w:t>
            </w:r>
            <w:r w:rsidR="00131CC7" w:rsidRPr="00483E9F">
              <w:rPr>
                <w:rFonts w:ascii="Arial" w:hAnsi="Arial" w:cs="Arial"/>
                <w:sz w:val="22"/>
                <w:szCs w:val="22"/>
              </w:rPr>
              <w:t xml:space="preserve">19 of the SSWBA </w:t>
            </w:r>
            <w:r w:rsidR="00422001">
              <w:rPr>
                <w:rFonts w:ascii="Arial" w:hAnsi="Arial" w:cs="Arial"/>
                <w:sz w:val="22"/>
                <w:szCs w:val="22"/>
              </w:rPr>
              <w:t>(</w:t>
            </w:r>
            <w:r w:rsidR="00131CC7" w:rsidRPr="00483E9F">
              <w:rPr>
                <w:rFonts w:ascii="Arial" w:hAnsi="Arial" w:cs="Arial"/>
                <w:sz w:val="22"/>
                <w:szCs w:val="22"/>
              </w:rPr>
              <w:t>2014</w:t>
            </w:r>
            <w:r w:rsidR="00422001">
              <w:rPr>
                <w:rFonts w:ascii="Arial" w:hAnsi="Arial" w:cs="Arial"/>
                <w:sz w:val="22"/>
                <w:szCs w:val="22"/>
              </w:rPr>
              <w:t>)</w:t>
            </w:r>
            <w:r w:rsidR="00131CC7" w:rsidRPr="00483E9F">
              <w:rPr>
                <w:rFonts w:ascii="Arial" w:hAnsi="Arial" w:cs="Arial"/>
                <w:sz w:val="22"/>
                <w:szCs w:val="22"/>
              </w:rPr>
              <w:t xml:space="preserve"> to identify any eligible care and support needs.  Additionally, childcare practitioners ha</w:t>
            </w:r>
            <w:r w:rsidR="00131CC7">
              <w:rPr>
                <w:rFonts w:ascii="Arial" w:hAnsi="Arial" w:cs="Arial"/>
                <w:sz w:val="22"/>
                <w:szCs w:val="22"/>
              </w:rPr>
              <w:t>v</w:t>
            </w:r>
            <w:r w:rsidR="00131CC7" w:rsidRPr="00483E9F">
              <w:rPr>
                <w:rFonts w:ascii="Arial" w:hAnsi="Arial" w:cs="Arial"/>
                <w:sz w:val="22"/>
                <w:szCs w:val="22"/>
              </w:rPr>
              <w:t>e raised concerns about P1’s capacity to understand sexual relations and requested that she engaged in a comprehensive risk assessment with a specialist practitioner from Barnardo’s who focuses on working with child-on-child sexual abuse cases and the potentially unknown risks for later life.</w:t>
            </w:r>
          </w:p>
          <w:p w14:paraId="77DFEC8C" w14:textId="77777777" w:rsidR="00131CC7" w:rsidRPr="00483E9F" w:rsidRDefault="00131CC7" w:rsidP="00131CC7">
            <w:pPr>
              <w:pStyle w:val="NormalWeb"/>
              <w:spacing w:line="360" w:lineRule="auto"/>
              <w:jc w:val="both"/>
              <w:rPr>
                <w:rFonts w:ascii="Arial" w:hAnsi="Arial" w:cs="Arial"/>
                <w:sz w:val="22"/>
                <w:szCs w:val="22"/>
              </w:rPr>
            </w:pPr>
          </w:p>
          <w:p w14:paraId="6482B542" w14:textId="5BCC910F" w:rsidR="00131CC7" w:rsidRDefault="00131CC7" w:rsidP="00131CC7">
            <w:pPr>
              <w:pStyle w:val="NormalWeb"/>
              <w:spacing w:line="360" w:lineRule="auto"/>
              <w:jc w:val="both"/>
              <w:rPr>
                <w:rFonts w:ascii="Arial" w:hAnsi="Arial" w:cs="Arial"/>
                <w:sz w:val="22"/>
                <w:szCs w:val="22"/>
              </w:rPr>
            </w:pPr>
            <w:r w:rsidRPr="00483E9F">
              <w:rPr>
                <w:rFonts w:ascii="Arial" w:hAnsi="Arial" w:cs="Arial"/>
                <w:sz w:val="22"/>
                <w:szCs w:val="22"/>
              </w:rPr>
              <w:t xml:space="preserve">Bowlby (1997) defines the clinical term attachment as the </w:t>
            </w:r>
            <w:r w:rsidR="0038122D" w:rsidRPr="0038122D">
              <w:rPr>
                <w:rFonts w:ascii="Arial" w:hAnsi="Arial" w:cs="Arial"/>
                <w:i/>
                <w:iCs/>
                <w:sz w:val="22"/>
                <w:szCs w:val="22"/>
              </w:rPr>
              <w:t>‘</w:t>
            </w:r>
            <w:r w:rsidRPr="0038122D">
              <w:rPr>
                <w:rFonts w:ascii="Arial" w:hAnsi="Arial" w:cs="Arial"/>
                <w:i/>
                <w:iCs/>
                <w:sz w:val="22"/>
                <w:szCs w:val="22"/>
              </w:rPr>
              <w:t>lasting psychological connectedness between human beings</w:t>
            </w:r>
            <w:r w:rsidR="0038122D" w:rsidRPr="0038122D">
              <w:rPr>
                <w:rFonts w:ascii="Arial" w:hAnsi="Arial" w:cs="Arial"/>
                <w:i/>
                <w:iCs/>
                <w:sz w:val="22"/>
                <w:szCs w:val="22"/>
              </w:rPr>
              <w:t>’</w:t>
            </w:r>
            <w:r w:rsidR="0038122D">
              <w:rPr>
                <w:rFonts w:ascii="Arial" w:hAnsi="Arial" w:cs="Arial"/>
                <w:sz w:val="22"/>
                <w:szCs w:val="22"/>
              </w:rPr>
              <w:t>,</w:t>
            </w:r>
            <w:r w:rsidRPr="00483E9F">
              <w:rPr>
                <w:rFonts w:ascii="Arial" w:hAnsi="Arial" w:cs="Arial"/>
                <w:sz w:val="22"/>
                <w:szCs w:val="22"/>
              </w:rPr>
              <w:t xml:space="preserve"> emphasising the importance of a child’s emotional bond with their parents or primary caregivers (NSPCC Learning, 2025). Research shows that early loss or disruption to this bond can negatively impact an adult’s emotional and psychological well-being, brain development, and ability to form healthy relationships (NSPCC Learning, 2025). During my initial meeting with P1, she disclosed fearing for her safety and that of her baby, explaining that the previous evening P2 had threatened her with a knife while they were drinking and taking drugs. I informed P1 that, under </w:t>
            </w:r>
            <w:r w:rsidR="0038122D">
              <w:rPr>
                <w:rFonts w:ascii="Arial" w:hAnsi="Arial" w:cs="Arial"/>
                <w:sz w:val="22"/>
                <w:szCs w:val="22"/>
              </w:rPr>
              <w:t>s</w:t>
            </w:r>
            <w:r w:rsidRPr="00483E9F">
              <w:rPr>
                <w:rFonts w:ascii="Arial" w:hAnsi="Arial" w:cs="Arial"/>
                <w:sz w:val="22"/>
                <w:szCs w:val="22"/>
              </w:rPr>
              <w:t xml:space="preserve">128 </w:t>
            </w:r>
            <w:r w:rsidRPr="00483E9F">
              <w:rPr>
                <w:rFonts w:ascii="Arial" w:hAnsi="Arial" w:cs="Arial"/>
                <w:sz w:val="22"/>
                <w:szCs w:val="22"/>
              </w:rPr>
              <w:lastRenderedPageBreak/>
              <w:t>(SSWBA), I had a statutory duty to report these concerns. P1 was considered a</w:t>
            </w:r>
            <w:r w:rsidR="0038122D">
              <w:rPr>
                <w:rFonts w:ascii="Arial" w:hAnsi="Arial" w:cs="Arial"/>
                <w:sz w:val="22"/>
                <w:szCs w:val="22"/>
              </w:rPr>
              <w:t xml:space="preserve">m adult at risk </w:t>
            </w:r>
            <w:r w:rsidRPr="00483E9F">
              <w:rPr>
                <w:rFonts w:ascii="Arial" w:hAnsi="Arial" w:cs="Arial"/>
                <w:sz w:val="22"/>
                <w:szCs w:val="22"/>
              </w:rPr>
              <w:t xml:space="preserve">under Part 7, s127 of the SSWBA as she was potentially experiencing, or at risk of, abuse and unable to protect herself. Furthermore, as the unborn baby was now considered viable, I also had a duty to raise concerns regarding the baby’s safety. In line with safeguarding procedures, I reported these concerns to my </w:t>
            </w:r>
            <w:r w:rsidR="0038122D">
              <w:rPr>
                <w:rFonts w:ascii="Arial" w:hAnsi="Arial" w:cs="Arial"/>
                <w:sz w:val="22"/>
                <w:szCs w:val="22"/>
              </w:rPr>
              <w:t>LA</w:t>
            </w:r>
            <w:r w:rsidRPr="00483E9F">
              <w:rPr>
                <w:rFonts w:ascii="Arial" w:hAnsi="Arial" w:cs="Arial"/>
                <w:sz w:val="22"/>
                <w:szCs w:val="22"/>
              </w:rPr>
              <w:t xml:space="preserve"> safeguarding team using a Child and Youth Safeguarding Unifying Region (CYSUR) Multi-Agency Referral Form</w:t>
            </w:r>
            <w:r w:rsidR="00CC0E52">
              <w:rPr>
                <w:rFonts w:ascii="Arial" w:hAnsi="Arial" w:cs="Arial"/>
                <w:sz w:val="22"/>
                <w:szCs w:val="22"/>
              </w:rPr>
              <w:t xml:space="preserve"> (MARF)</w:t>
            </w:r>
            <w:r w:rsidRPr="00483E9F">
              <w:rPr>
                <w:rFonts w:ascii="Arial" w:hAnsi="Arial" w:cs="Arial"/>
                <w:sz w:val="22"/>
                <w:szCs w:val="22"/>
              </w:rPr>
              <w:t xml:space="preserve"> and a Collaborative Working and Maintaining Partnership in Adult </w:t>
            </w:r>
            <w:proofErr w:type="gramStart"/>
            <w:r w:rsidRPr="00483E9F">
              <w:rPr>
                <w:rFonts w:ascii="Arial" w:hAnsi="Arial" w:cs="Arial"/>
                <w:sz w:val="22"/>
                <w:szCs w:val="22"/>
              </w:rPr>
              <w:t>Safeguarding  MARF</w:t>
            </w:r>
            <w:proofErr w:type="gramEnd"/>
            <w:r w:rsidRPr="00483E9F">
              <w:rPr>
                <w:rFonts w:ascii="Arial" w:hAnsi="Arial" w:cs="Arial"/>
                <w:sz w:val="22"/>
                <w:szCs w:val="22"/>
              </w:rPr>
              <w:t>. These documents form part of the L</w:t>
            </w:r>
            <w:r w:rsidR="00CC0E52">
              <w:rPr>
                <w:rFonts w:ascii="Arial" w:hAnsi="Arial" w:cs="Arial"/>
                <w:sz w:val="22"/>
                <w:szCs w:val="22"/>
              </w:rPr>
              <w:t>A</w:t>
            </w:r>
            <w:r w:rsidRPr="00483E9F">
              <w:rPr>
                <w:rFonts w:ascii="Arial" w:hAnsi="Arial" w:cs="Arial"/>
                <w:sz w:val="22"/>
                <w:szCs w:val="22"/>
              </w:rPr>
              <w:t xml:space="preserve"> regional policies and are used alongside both CYSUR and CWMPAS under the Mid and West Wales Safeguarding Board. My decision to escalate these concerns caused P1 to become very angry: she questioned why I was not keeping her confidence and expressed that she had thought of me as a friend. At the time, I interpreted this as a reflection of her vulnerability and limited understanding of the seriousness of the situation due to her learning difficulties. However,</w:t>
            </w:r>
            <w:r w:rsidR="00CC0E52">
              <w:rPr>
                <w:rFonts w:ascii="Arial" w:hAnsi="Arial" w:cs="Arial"/>
                <w:sz w:val="22"/>
                <w:szCs w:val="22"/>
              </w:rPr>
              <w:t xml:space="preserve"> </w:t>
            </w:r>
            <w:r w:rsidRPr="00483E9F">
              <w:rPr>
                <w:rFonts w:ascii="Arial" w:hAnsi="Arial" w:cs="Arial"/>
                <w:sz w:val="22"/>
                <w:szCs w:val="22"/>
              </w:rPr>
              <w:t>I</w:t>
            </w:r>
            <w:r w:rsidR="00CC0E52">
              <w:rPr>
                <w:rFonts w:ascii="Arial" w:hAnsi="Arial" w:cs="Arial"/>
                <w:sz w:val="22"/>
                <w:szCs w:val="22"/>
              </w:rPr>
              <w:t xml:space="preserve"> now</w:t>
            </w:r>
            <w:r w:rsidRPr="00483E9F">
              <w:rPr>
                <w:rFonts w:ascii="Arial" w:hAnsi="Arial" w:cs="Arial"/>
                <w:sz w:val="22"/>
                <w:szCs w:val="22"/>
              </w:rPr>
              <w:t xml:space="preserve"> recognise that her response could also be understood through the lens of ‘</w:t>
            </w:r>
            <w:r w:rsidRPr="00CC0E52">
              <w:rPr>
                <w:rFonts w:ascii="Arial" w:hAnsi="Arial" w:cs="Arial"/>
                <w:i/>
                <w:iCs/>
                <w:sz w:val="22"/>
                <w:szCs w:val="22"/>
              </w:rPr>
              <w:t>disorganised attachment’</w:t>
            </w:r>
            <w:r w:rsidRPr="00483E9F">
              <w:rPr>
                <w:rFonts w:ascii="Arial" w:hAnsi="Arial" w:cs="Arial"/>
                <w:sz w:val="22"/>
                <w:szCs w:val="22"/>
              </w:rPr>
              <w:t>. Bowlby suggests that individuals who have experienced trauma and inconsistent caregiving often develop such an attachment style, characterised by avoidant behaviours, heightened anxiety, emotional turmoil, and confusion around boundaries (Pender, 2024). In future, I think it will be important to consider the wider context of a situation, recognising that a person’s response or feelings may not relate solely to the matter at hand but may have been shaped by past experiences, childhood, and environment. I have noticed a dilemma in balancing the need to build trust with a person in a risky situation against the importance of maintaining professional boundaries. I find this particularly challenging when working with someone close in age to myself and recognise that I may seek a friendship-like connection to elicit trust. However, I recognise that this approach is detrimental to the effectiveness of my involvement and my</w:t>
            </w:r>
            <w:r w:rsidR="00CC0E52">
              <w:rPr>
                <w:rFonts w:ascii="Arial" w:hAnsi="Arial" w:cs="Arial"/>
                <w:sz w:val="22"/>
                <w:szCs w:val="22"/>
              </w:rPr>
              <w:t xml:space="preserve"> own</w:t>
            </w:r>
            <w:r w:rsidRPr="00483E9F">
              <w:rPr>
                <w:rFonts w:ascii="Arial" w:hAnsi="Arial" w:cs="Arial"/>
                <w:sz w:val="22"/>
                <w:szCs w:val="22"/>
              </w:rPr>
              <w:t xml:space="preserve"> professional boundaries.</w:t>
            </w:r>
          </w:p>
          <w:p w14:paraId="0AC5EC45" w14:textId="77777777" w:rsidR="00131CC7" w:rsidRPr="00483E9F" w:rsidRDefault="00131CC7" w:rsidP="00131CC7">
            <w:pPr>
              <w:pStyle w:val="NormalWeb"/>
              <w:spacing w:line="360" w:lineRule="auto"/>
              <w:jc w:val="both"/>
              <w:rPr>
                <w:rFonts w:ascii="Arial" w:hAnsi="Arial" w:cs="Arial"/>
                <w:sz w:val="22"/>
                <w:szCs w:val="22"/>
              </w:rPr>
            </w:pPr>
          </w:p>
          <w:p w14:paraId="057087A9" w14:textId="5E0717CD" w:rsidR="00131CC7" w:rsidRPr="00483E9F" w:rsidRDefault="00131CC7" w:rsidP="00131CC7">
            <w:pPr>
              <w:pStyle w:val="NormalWeb"/>
              <w:spacing w:line="360" w:lineRule="auto"/>
              <w:jc w:val="both"/>
              <w:rPr>
                <w:rFonts w:ascii="Arial" w:hAnsi="Arial" w:cs="Arial"/>
                <w:sz w:val="22"/>
                <w:szCs w:val="22"/>
              </w:rPr>
            </w:pPr>
            <w:r w:rsidRPr="00483E9F">
              <w:rPr>
                <w:rFonts w:ascii="Arial" w:hAnsi="Arial" w:cs="Arial"/>
                <w:sz w:val="22"/>
                <w:szCs w:val="22"/>
              </w:rPr>
              <w:t>Following the submission of the two MARFs, it was agreed that P1 would be discussed at the local Multi-Agency Risk Assessment Conference (MARAC).  This is a multi-disciplinary forum where high-risk domestic abuse cases are considered, and professionals share information with the aim of increasing the safety, health, and well-being of victims and their children (West Midlands Police, 2025).  Two key actions from this meeting were the allocation of an Independent Domestic Violence Advisor (IDVA) to support P1 and the decision for P1 to receive a disclosure under Clare’s Law.  The Government first announced the introduction of the national Domestic Violence</w:t>
            </w:r>
            <w:r w:rsidR="005723FC">
              <w:rPr>
                <w:rFonts w:ascii="Arial" w:hAnsi="Arial" w:cs="Arial"/>
                <w:sz w:val="22"/>
                <w:szCs w:val="22"/>
              </w:rPr>
              <w:t xml:space="preserve"> (DV)</w:t>
            </w:r>
            <w:r w:rsidRPr="00483E9F">
              <w:rPr>
                <w:rFonts w:ascii="Arial" w:hAnsi="Arial" w:cs="Arial"/>
                <w:sz w:val="22"/>
                <w:szCs w:val="22"/>
              </w:rPr>
              <w:t xml:space="preserve"> Disclosure Scheme (known as Clare’s Law) in November 2013, providing a legal framework for disclosing </w:t>
            </w:r>
            <w:r w:rsidRPr="00483E9F">
              <w:rPr>
                <w:rFonts w:ascii="Arial" w:hAnsi="Arial" w:cs="Arial"/>
                <w:sz w:val="22"/>
                <w:szCs w:val="22"/>
              </w:rPr>
              <w:lastRenderedPageBreak/>
              <w:t xml:space="preserve">confidential information about a perpetrator’s history of </w:t>
            </w:r>
            <w:r w:rsidR="005723FC">
              <w:rPr>
                <w:rFonts w:ascii="Arial" w:hAnsi="Arial" w:cs="Arial"/>
                <w:sz w:val="22"/>
                <w:szCs w:val="22"/>
              </w:rPr>
              <w:t>DV</w:t>
            </w:r>
            <w:r w:rsidRPr="00483E9F">
              <w:rPr>
                <w:rFonts w:ascii="Arial" w:hAnsi="Arial" w:cs="Arial"/>
                <w:sz w:val="22"/>
                <w:szCs w:val="22"/>
              </w:rPr>
              <w:t xml:space="preserve"> to a new partner.  In March 2014, the scheme was extended to police forces across England and Wales (Strickland, 2013).</w:t>
            </w:r>
          </w:p>
          <w:p w14:paraId="49111A56" w14:textId="6B780273" w:rsidR="00131CC7" w:rsidRPr="00483E9F" w:rsidRDefault="00131CC7" w:rsidP="00131CC7">
            <w:pPr>
              <w:pStyle w:val="NormalWeb"/>
              <w:spacing w:line="360" w:lineRule="auto"/>
              <w:jc w:val="both"/>
              <w:rPr>
                <w:rFonts w:ascii="Arial" w:hAnsi="Arial" w:cs="Arial"/>
                <w:sz w:val="22"/>
                <w:szCs w:val="22"/>
              </w:rPr>
            </w:pPr>
            <w:r w:rsidRPr="00483E9F">
              <w:rPr>
                <w:rFonts w:ascii="Arial" w:hAnsi="Arial" w:cs="Arial"/>
                <w:sz w:val="22"/>
                <w:szCs w:val="22"/>
              </w:rPr>
              <w:t xml:space="preserve">Following the submission of the MARFs, child services advised P1 and P2 that, due to the ongoing reports of domestic abuse in their relationship, there was reasonable cause to suspect that their unborn baby was at significant risk of harm under </w:t>
            </w:r>
            <w:r w:rsidR="00035AC8">
              <w:rPr>
                <w:rFonts w:ascii="Arial" w:hAnsi="Arial" w:cs="Arial"/>
                <w:sz w:val="22"/>
                <w:szCs w:val="22"/>
              </w:rPr>
              <w:t>Schedule 2 P1 para. 4 (2)(a)</w:t>
            </w:r>
            <w:r w:rsidRPr="00483E9F">
              <w:rPr>
                <w:rFonts w:ascii="Arial" w:hAnsi="Arial" w:cs="Arial"/>
                <w:sz w:val="22"/>
                <w:szCs w:val="22"/>
              </w:rPr>
              <w:t xml:space="preserve"> CA</w:t>
            </w:r>
            <w:r w:rsidR="00CC0E52">
              <w:rPr>
                <w:rFonts w:ascii="Arial" w:hAnsi="Arial" w:cs="Arial"/>
                <w:sz w:val="22"/>
                <w:szCs w:val="22"/>
              </w:rPr>
              <w:t xml:space="preserve"> (</w:t>
            </w:r>
            <w:r w:rsidRPr="00483E9F">
              <w:rPr>
                <w:rFonts w:ascii="Arial" w:hAnsi="Arial" w:cs="Arial"/>
                <w:sz w:val="22"/>
                <w:szCs w:val="22"/>
              </w:rPr>
              <w:t>1989</w:t>
            </w:r>
            <w:r w:rsidR="00CC0E52">
              <w:rPr>
                <w:rFonts w:ascii="Arial" w:hAnsi="Arial" w:cs="Arial"/>
                <w:sz w:val="22"/>
                <w:szCs w:val="22"/>
              </w:rPr>
              <w:t>)</w:t>
            </w:r>
            <w:r w:rsidRPr="00483E9F">
              <w:rPr>
                <w:rFonts w:ascii="Arial" w:hAnsi="Arial" w:cs="Arial"/>
                <w:sz w:val="22"/>
                <w:szCs w:val="22"/>
              </w:rPr>
              <w:t>.  As a result,</w:t>
            </w:r>
            <w:r w:rsidR="00035AC8">
              <w:rPr>
                <w:rFonts w:ascii="Arial" w:hAnsi="Arial" w:cs="Arial"/>
                <w:sz w:val="22"/>
                <w:szCs w:val="22"/>
              </w:rPr>
              <w:t xml:space="preserve"> </w:t>
            </w:r>
            <w:r w:rsidRPr="00483E9F">
              <w:rPr>
                <w:rFonts w:ascii="Arial" w:hAnsi="Arial" w:cs="Arial"/>
                <w:sz w:val="22"/>
                <w:szCs w:val="22"/>
              </w:rPr>
              <w:t>a strategy meeting was convened which I attended alongside child services, the police, and P1’s midwife.  This was my first strategy meeting as a qualified practitioner, and I remember feeling very overwhelmed by the thought that my work and decision-making had contributed to such a serious, multi-disciplinary process.  In my monthly meetings with my mentor, we explored the possibility that I was experiencing elements of ‘imposter syndrome’ (Shevlin, 2025).  During my first year of practice, I carried out independent research into this and found that feelings of self-doubt and inadequacy are not uncommon in social work (Thomas, 2025).  I took comfort from the idea that some self-doubt can be constructive, as without it there is a risk of developing arrogance or complacency (Baden, 2022).  On reflection, I recognise that decision-making at this level is never the sole responsibility of one practitioner.  As long as I continue to take all reasonable steps to gather accurate information, base my assessment</w:t>
            </w:r>
            <w:r w:rsidR="00035AC8">
              <w:rPr>
                <w:rFonts w:ascii="Arial" w:hAnsi="Arial" w:cs="Arial"/>
                <w:sz w:val="22"/>
                <w:szCs w:val="22"/>
              </w:rPr>
              <w:t>s</w:t>
            </w:r>
            <w:r w:rsidRPr="00483E9F">
              <w:rPr>
                <w:rFonts w:ascii="Arial" w:hAnsi="Arial" w:cs="Arial"/>
                <w:sz w:val="22"/>
                <w:szCs w:val="22"/>
              </w:rPr>
              <w:t xml:space="preserve"> on evidence</w:t>
            </w:r>
            <w:r w:rsidR="00035AC8">
              <w:rPr>
                <w:rFonts w:ascii="Arial" w:hAnsi="Arial" w:cs="Arial"/>
                <w:sz w:val="22"/>
                <w:szCs w:val="22"/>
              </w:rPr>
              <w:t xml:space="preserve"> and need</w:t>
            </w:r>
            <w:r w:rsidRPr="00483E9F">
              <w:rPr>
                <w:rFonts w:ascii="Arial" w:hAnsi="Arial" w:cs="Arial"/>
                <w:sz w:val="22"/>
                <w:szCs w:val="22"/>
              </w:rPr>
              <w:t>, and ensure that my decisions and rationale are clearly and accurately recorded, I can be confident that my practice is both reliable and defensible in court (CPSU, 2021).</w:t>
            </w:r>
          </w:p>
          <w:p w14:paraId="302C3B12" w14:textId="77777777" w:rsidR="00131CC7" w:rsidRPr="00483E9F" w:rsidRDefault="00131CC7" w:rsidP="00131CC7">
            <w:pPr>
              <w:pStyle w:val="NormalWeb"/>
              <w:spacing w:line="360" w:lineRule="auto"/>
              <w:jc w:val="both"/>
              <w:rPr>
                <w:rFonts w:ascii="Arial" w:hAnsi="Arial" w:cs="Arial"/>
                <w:sz w:val="22"/>
                <w:szCs w:val="22"/>
              </w:rPr>
            </w:pPr>
          </w:p>
          <w:p w14:paraId="2BE2F59C" w14:textId="0B185CAA" w:rsidR="00131CC7" w:rsidRPr="00483E9F" w:rsidRDefault="00131CC7" w:rsidP="00131CC7">
            <w:pPr>
              <w:pStyle w:val="NormalWeb"/>
              <w:spacing w:line="360" w:lineRule="auto"/>
              <w:jc w:val="both"/>
              <w:rPr>
                <w:rFonts w:ascii="Arial" w:hAnsi="Arial" w:cs="Arial"/>
                <w:b/>
                <w:bCs/>
                <w:color w:val="4472C4" w:themeColor="accent1"/>
                <w:sz w:val="22"/>
                <w:szCs w:val="22"/>
              </w:rPr>
            </w:pPr>
            <w:r w:rsidRPr="00483E9F">
              <w:rPr>
                <w:rFonts w:ascii="Arial" w:hAnsi="Arial" w:cs="Arial"/>
                <w:sz w:val="22"/>
                <w:szCs w:val="22"/>
              </w:rPr>
              <w:t xml:space="preserve">At this meeting, </w:t>
            </w:r>
            <w:r w:rsidR="00035AC8">
              <w:rPr>
                <w:rFonts w:ascii="Arial" w:hAnsi="Arial" w:cs="Arial"/>
                <w:sz w:val="22"/>
                <w:szCs w:val="22"/>
              </w:rPr>
              <w:t>s</w:t>
            </w:r>
            <w:r w:rsidRPr="00483E9F">
              <w:rPr>
                <w:rFonts w:ascii="Arial" w:hAnsi="Arial" w:cs="Arial"/>
                <w:sz w:val="22"/>
                <w:szCs w:val="22"/>
              </w:rPr>
              <w:t xml:space="preserve">47 enquiries under the CA </w:t>
            </w:r>
            <w:r w:rsidR="00035AC8">
              <w:rPr>
                <w:rFonts w:ascii="Arial" w:hAnsi="Arial" w:cs="Arial"/>
                <w:sz w:val="22"/>
                <w:szCs w:val="22"/>
              </w:rPr>
              <w:t>(</w:t>
            </w:r>
            <w:r w:rsidRPr="00483E9F">
              <w:rPr>
                <w:rFonts w:ascii="Arial" w:hAnsi="Arial" w:cs="Arial"/>
                <w:sz w:val="22"/>
                <w:szCs w:val="22"/>
              </w:rPr>
              <w:t>1989</w:t>
            </w:r>
            <w:r w:rsidR="00035AC8">
              <w:rPr>
                <w:rFonts w:ascii="Arial" w:hAnsi="Arial" w:cs="Arial"/>
                <w:sz w:val="22"/>
                <w:szCs w:val="22"/>
              </w:rPr>
              <w:t>)</w:t>
            </w:r>
            <w:r w:rsidRPr="00483E9F">
              <w:rPr>
                <w:rFonts w:ascii="Arial" w:hAnsi="Arial" w:cs="Arial"/>
                <w:sz w:val="22"/>
                <w:szCs w:val="22"/>
              </w:rPr>
              <w:t xml:space="preserve"> were agreed and the concerns were</w:t>
            </w:r>
            <w:r w:rsidR="00035AC8">
              <w:rPr>
                <w:rFonts w:ascii="Arial" w:hAnsi="Arial" w:cs="Arial"/>
                <w:sz w:val="22"/>
                <w:szCs w:val="22"/>
              </w:rPr>
              <w:t xml:space="preserve"> later</w:t>
            </w:r>
            <w:r w:rsidRPr="00483E9F">
              <w:rPr>
                <w:rFonts w:ascii="Arial" w:hAnsi="Arial" w:cs="Arial"/>
                <w:sz w:val="22"/>
                <w:szCs w:val="22"/>
              </w:rPr>
              <w:t xml:space="preserve"> substantiated.  As a result, the unborn </w:t>
            </w:r>
            <w:proofErr w:type="spellStart"/>
            <w:r w:rsidRPr="00483E9F">
              <w:rPr>
                <w:rFonts w:ascii="Arial" w:hAnsi="Arial" w:cs="Arial"/>
                <w:sz w:val="22"/>
                <w:szCs w:val="22"/>
              </w:rPr>
              <w:t>baby’s</w:t>
            </w:r>
            <w:proofErr w:type="spellEnd"/>
            <w:r w:rsidR="00035AC8">
              <w:rPr>
                <w:rFonts w:ascii="Arial" w:hAnsi="Arial" w:cs="Arial"/>
                <w:sz w:val="22"/>
                <w:szCs w:val="22"/>
              </w:rPr>
              <w:t xml:space="preserve"> (UBB)</w:t>
            </w:r>
            <w:r w:rsidRPr="00483E9F">
              <w:rPr>
                <w:rFonts w:ascii="Arial" w:hAnsi="Arial" w:cs="Arial"/>
                <w:sz w:val="22"/>
                <w:szCs w:val="22"/>
              </w:rPr>
              <w:t xml:space="preserve"> name was referred to an Initial Child Protection Conference (ICPC), </w:t>
            </w:r>
            <w:r w:rsidR="00035AC8">
              <w:rPr>
                <w:rFonts w:ascii="Arial" w:hAnsi="Arial" w:cs="Arial"/>
                <w:sz w:val="22"/>
                <w:szCs w:val="22"/>
              </w:rPr>
              <w:t xml:space="preserve">which legally had </w:t>
            </w:r>
            <w:r w:rsidRPr="00483E9F">
              <w:rPr>
                <w:rFonts w:ascii="Arial" w:hAnsi="Arial" w:cs="Arial"/>
                <w:sz w:val="22"/>
                <w:szCs w:val="22"/>
              </w:rPr>
              <w:t>to be held within 15 working days</w:t>
            </w:r>
            <w:r w:rsidR="00035AC8">
              <w:rPr>
                <w:rFonts w:ascii="Arial" w:hAnsi="Arial" w:cs="Arial"/>
                <w:sz w:val="22"/>
                <w:szCs w:val="22"/>
              </w:rPr>
              <w:t xml:space="preserve"> of this decision</w:t>
            </w:r>
            <w:r w:rsidRPr="00483E9F">
              <w:rPr>
                <w:rFonts w:ascii="Arial" w:hAnsi="Arial" w:cs="Arial"/>
                <w:sz w:val="22"/>
                <w:szCs w:val="22"/>
              </w:rPr>
              <w:t>.  Although I agreed with every decision made in reaching this point, I initially felt conflicted about the dilemma of having to write an ICPC report on a person</w:t>
            </w:r>
            <w:r w:rsidR="00035AC8">
              <w:rPr>
                <w:rFonts w:ascii="Arial" w:hAnsi="Arial" w:cs="Arial"/>
                <w:sz w:val="22"/>
                <w:szCs w:val="22"/>
              </w:rPr>
              <w:t xml:space="preserve"> and UBB that</w:t>
            </w:r>
            <w:r w:rsidRPr="00483E9F">
              <w:rPr>
                <w:rFonts w:ascii="Arial" w:hAnsi="Arial" w:cs="Arial"/>
                <w:sz w:val="22"/>
                <w:szCs w:val="22"/>
              </w:rPr>
              <w:t xml:space="preserve"> I </w:t>
            </w:r>
            <w:r w:rsidR="00035AC8">
              <w:rPr>
                <w:rFonts w:ascii="Arial" w:hAnsi="Arial" w:cs="Arial"/>
                <w:sz w:val="22"/>
                <w:szCs w:val="22"/>
              </w:rPr>
              <w:t>knew not a lot about</w:t>
            </w:r>
            <w:r w:rsidRPr="00483E9F">
              <w:rPr>
                <w:rFonts w:ascii="Arial" w:hAnsi="Arial" w:cs="Arial"/>
                <w:sz w:val="22"/>
                <w:szCs w:val="22"/>
              </w:rPr>
              <w:t>.  I was also concerned about how this might affect my developing relationship with P1.  I shared these concerns with my supervisor, and we agreed that my report would follow the ‘</w:t>
            </w:r>
            <w:r w:rsidRPr="00483E9F">
              <w:rPr>
                <w:rStyle w:val="Emphasis"/>
                <w:rFonts w:ascii="Arial" w:hAnsi="Arial" w:cs="Arial"/>
                <w:sz w:val="22"/>
                <w:szCs w:val="22"/>
              </w:rPr>
              <w:t>Signs of Safety’</w:t>
            </w:r>
            <w:r w:rsidRPr="00483E9F">
              <w:rPr>
                <w:rFonts w:ascii="Arial" w:hAnsi="Arial" w:cs="Arial"/>
                <w:sz w:val="22"/>
                <w:szCs w:val="22"/>
              </w:rPr>
              <w:t xml:space="preserve"> (SOS) framework (Turnell &amp; Edwards</w:t>
            </w:r>
            <w:r w:rsidR="00035AC8">
              <w:rPr>
                <w:rFonts w:ascii="Arial" w:hAnsi="Arial" w:cs="Arial"/>
                <w:sz w:val="22"/>
                <w:szCs w:val="22"/>
              </w:rPr>
              <w:t>,</w:t>
            </w:r>
            <w:r w:rsidRPr="00483E9F">
              <w:rPr>
                <w:rFonts w:ascii="Arial" w:hAnsi="Arial" w:cs="Arial"/>
                <w:sz w:val="22"/>
                <w:szCs w:val="22"/>
              </w:rPr>
              <w:t xml:space="preserve"> 1990). This model is designed to highlight family strengths while ensuring that identified concerns remain central to decision-making and planning (Smeeton, 2012).  As a practitioner, I found that the SOS approach provided me with a clear framework to balance concerns and strengths, helping me to avoid writing subjective reflections that could rightly have been interpreted as judgements.  Although I have not yet had the opportunity to attend another ICPC, I frequently refer to the SOS approach when faced with situations that may potentially be influenced by personal or professional </w:t>
            </w:r>
            <w:r w:rsidRPr="00483E9F">
              <w:rPr>
                <w:rFonts w:ascii="Arial" w:hAnsi="Arial" w:cs="Arial"/>
                <w:sz w:val="22"/>
                <w:szCs w:val="22"/>
              </w:rPr>
              <w:lastRenderedPageBreak/>
              <w:t>biases.  In doing so, I aim to maintain a more objective, evidence-based, and safety-focused practice which I feel supports the voice of the individual and focuses on safety (SCW, 2017).</w:t>
            </w:r>
          </w:p>
          <w:p w14:paraId="3CF533DE" w14:textId="77777777" w:rsidR="00131CC7" w:rsidRPr="00483E9F" w:rsidRDefault="00131CC7" w:rsidP="00131CC7">
            <w:pPr>
              <w:pStyle w:val="NormalWeb"/>
              <w:spacing w:line="360" w:lineRule="auto"/>
              <w:jc w:val="both"/>
              <w:rPr>
                <w:rFonts w:ascii="Arial" w:hAnsi="Arial" w:cs="Arial"/>
                <w:sz w:val="22"/>
                <w:szCs w:val="22"/>
              </w:rPr>
            </w:pPr>
          </w:p>
          <w:p w14:paraId="25D3AF74" w14:textId="0B7A508B" w:rsidR="00131CC7" w:rsidRPr="00483E9F" w:rsidRDefault="00131CC7" w:rsidP="00131CC7">
            <w:pPr>
              <w:pStyle w:val="NormalWeb"/>
              <w:spacing w:line="360" w:lineRule="auto"/>
              <w:jc w:val="both"/>
              <w:rPr>
                <w:rFonts w:ascii="Arial" w:hAnsi="Arial" w:cs="Arial"/>
                <w:sz w:val="22"/>
                <w:szCs w:val="22"/>
              </w:rPr>
            </w:pPr>
            <w:r w:rsidRPr="00483E9F">
              <w:rPr>
                <w:rFonts w:ascii="Arial" w:hAnsi="Arial" w:cs="Arial"/>
                <w:sz w:val="22"/>
                <w:szCs w:val="22"/>
              </w:rPr>
              <w:t xml:space="preserve">I attended the ICPC </w:t>
            </w:r>
            <w:r w:rsidR="00FD224B">
              <w:rPr>
                <w:rFonts w:ascii="Arial" w:hAnsi="Arial" w:cs="Arial"/>
                <w:sz w:val="22"/>
                <w:szCs w:val="22"/>
              </w:rPr>
              <w:t>and</w:t>
            </w:r>
            <w:r w:rsidRPr="00483E9F">
              <w:rPr>
                <w:rFonts w:ascii="Arial" w:hAnsi="Arial" w:cs="Arial"/>
                <w:sz w:val="22"/>
                <w:szCs w:val="22"/>
              </w:rPr>
              <w:t xml:space="preserve"> submitted my report which I had shared with P1 beforehand.  P2 had chosen not to be involved in the ICPC process.  I was aware that some of the information in my report might upset P1, but by going through it carefully with her</w:t>
            </w:r>
            <w:r w:rsidR="00FD224B">
              <w:rPr>
                <w:rFonts w:ascii="Arial" w:hAnsi="Arial" w:cs="Arial"/>
                <w:sz w:val="22"/>
                <w:szCs w:val="22"/>
              </w:rPr>
              <w:t xml:space="preserve"> beforehand</w:t>
            </w:r>
            <w:r w:rsidRPr="00483E9F">
              <w:rPr>
                <w:rFonts w:ascii="Arial" w:hAnsi="Arial" w:cs="Arial"/>
                <w:sz w:val="22"/>
                <w:szCs w:val="22"/>
              </w:rPr>
              <w:t xml:space="preserve"> and giving her the opportunity to ask</w:t>
            </w:r>
            <w:r w:rsidR="00FD224B">
              <w:rPr>
                <w:rFonts w:ascii="Arial" w:hAnsi="Arial" w:cs="Arial"/>
                <w:sz w:val="22"/>
                <w:szCs w:val="22"/>
              </w:rPr>
              <w:t xml:space="preserve"> me</w:t>
            </w:r>
            <w:r w:rsidRPr="00483E9F">
              <w:rPr>
                <w:rFonts w:ascii="Arial" w:hAnsi="Arial" w:cs="Arial"/>
                <w:sz w:val="22"/>
                <w:szCs w:val="22"/>
              </w:rPr>
              <w:t xml:space="preserve"> questions, I believe that I was able to build respect and strengthen our working relationship.  </w:t>
            </w:r>
          </w:p>
          <w:p w14:paraId="44FECCE2" w14:textId="77777777" w:rsidR="00131CC7" w:rsidRPr="00483E9F" w:rsidRDefault="00131CC7" w:rsidP="00131CC7">
            <w:pPr>
              <w:pStyle w:val="NormalWeb"/>
              <w:spacing w:line="360" w:lineRule="auto"/>
              <w:jc w:val="both"/>
              <w:rPr>
                <w:rFonts w:ascii="Arial" w:hAnsi="Arial" w:cs="Arial"/>
                <w:sz w:val="22"/>
                <w:szCs w:val="22"/>
              </w:rPr>
            </w:pPr>
          </w:p>
          <w:p w14:paraId="7E06C879" w14:textId="633CA00B" w:rsidR="00131CC7" w:rsidRPr="00483E9F" w:rsidRDefault="00131CC7" w:rsidP="00131CC7">
            <w:pPr>
              <w:pStyle w:val="NormalWeb"/>
              <w:spacing w:line="360" w:lineRule="auto"/>
              <w:jc w:val="both"/>
              <w:rPr>
                <w:rFonts w:ascii="Arial" w:hAnsi="Arial" w:cs="Arial"/>
                <w:sz w:val="22"/>
                <w:szCs w:val="22"/>
              </w:rPr>
            </w:pPr>
            <w:r w:rsidRPr="00483E9F">
              <w:rPr>
                <w:rFonts w:ascii="Arial" w:hAnsi="Arial" w:cs="Arial"/>
                <w:sz w:val="22"/>
                <w:szCs w:val="22"/>
              </w:rPr>
              <w:t>Over the past 12 months, I have often encountered situations where family members were unhappy with the information I was providing however, by being open, honest, and transparent I have been able to strengthen mutual respect with the citizens even when they</w:t>
            </w:r>
            <w:r w:rsidR="00FD224B">
              <w:rPr>
                <w:rFonts w:ascii="Arial" w:hAnsi="Arial" w:cs="Arial"/>
                <w:sz w:val="22"/>
                <w:szCs w:val="22"/>
              </w:rPr>
              <w:t xml:space="preserve"> may</w:t>
            </w:r>
            <w:r w:rsidRPr="00483E9F">
              <w:rPr>
                <w:rFonts w:ascii="Arial" w:hAnsi="Arial" w:cs="Arial"/>
                <w:sz w:val="22"/>
                <w:szCs w:val="22"/>
              </w:rPr>
              <w:t xml:space="preserve"> disagree with, or feel challenged by, what I am saying.  This has always been the kind of practitioner I have aspired to be</w:t>
            </w:r>
            <w:r w:rsidR="00FD224B">
              <w:rPr>
                <w:rFonts w:ascii="Arial" w:hAnsi="Arial" w:cs="Arial"/>
                <w:sz w:val="22"/>
                <w:szCs w:val="22"/>
              </w:rPr>
              <w:t>,</w:t>
            </w:r>
            <w:r w:rsidRPr="00483E9F">
              <w:rPr>
                <w:rFonts w:ascii="Arial" w:hAnsi="Arial" w:cs="Arial"/>
                <w:sz w:val="22"/>
                <w:szCs w:val="22"/>
              </w:rPr>
              <w:t xml:space="preserve"> someone who can remain respectful and honest, even in situations that challenge my practice, and this is in line with the Code of Professional Practice (SCW, 2017).  I believe that </w:t>
            </w:r>
            <w:r w:rsidR="00FD224B">
              <w:rPr>
                <w:rFonts w:ascii="Arial" w:hAnsi="Arial" w:cs="Arial"/>
                <w:sz w:val="22"/>
                <w:szCs w:val="22"/>
              </w:rPr>
              <w:t>by</w:t>
            </w:r>
            <w:r w:rsidRPr="00483E9F">
              <w:rPr>
                <w:rFonts w:ascii="Arial" w:hAnsi="Arial" w:cs="Arial"/>
                <w:sz w:val="22"/>
                <w:szCs w:val="22"/>
              </w:rPr>
              <w:t xml:space="preserve"> reflecting on</w:t>
            </w:r>
            <w:r w:rsidR="00FD224B">
              <w:rPr>
                <w:rFonts w:ascii="Arial" w:hAnsi="Arial" w:cs="Arial"/>
                <w:sz w:val="22"/>
                <w:szCs w:val="22"/>
              </w:rPr>
              <w:t xml:space="preserve"> this</w:t>
            </w:r>
            <w:r w:rsidRPr="00483E9F">
              <w:rPr>
                <w:rFonts w:ascii="Arial" w:hAnsi="Arial" w:cs="Arial"/>
                <w:sz w:val="22"/>
                <w:szCs w:val="22"/>
              </w:rPr>
              <w:t xml:space="preserve"> so early </w:t>
            </w:r>
            <w:r w:rsidR="00FD224B">
              <w:rPr>
                <w:rFonts w:ascii="Arial" w:hAnsi="Arial" w:cs="Arial"/>
                <w:sz w:val="22"/>
                <w:szCs w:val="22"/>
              </w:rPr>
              <w:t xml:space="preserve">on </w:t>
            </w:r>
            <w:proofErr w:type="gramStart"/>
            <w:r w:rsidRPr="00483E9F">
              <w:rPr>
                <w:rFonts w:ascii="Arial" w:hAnsi="Arial" w:cs="Arial"/>
                <w:sz w:val="22"/>
                <w:szCs w:val="22"/>
              </w:rPr>
              <w:t>in</w:t>
            </w:r>
            <w:r w:rsidR="00FD224B">
              <w:rPr>
                <w:rFonts w:ascii="Arial" w:hAnsi="Arial" w:cs="Arial"/>
                <w:sz w:val="22"/>
                <w:szCs w:val="22"/>
              </w:rPr>
              <w:t xml:space="preserve"> to</w:t>
            </w:r>
            <w:proofErr w:type="gramEnd"/>
            <w:r w:rsidRPr="00483E9F">
              <w:rPr>
                <w:rFonts w:ascii="Arial" w:hAnsi="Arial" w:cs="Arial"/>
                <w:sz w:val="22"/>
                <w:szCs w:val="22"/>
              </w:rPr>
              <w:t xml:space="preserve"> my</w:t>
            </w:r>
            <w:r w:rsidR="00FD224B">
              <w:rPr>
                <w:rFonts w:ascii="Arial" w:hAnsi="Arial" w:cs="Arial"/>
                <w:sz w:val="22"/>
                <w:szCs w:val="22"/>
              </w:rPr>
              <w:t xml:space="preserve"> career and continuing to do so,</w:t>
            </w:r>
            <w:r w:rsidRPr="00483E9F">
              <w:rPr>
                <w:rFonts w:ascii="Arial" w:hAnsi="Arial" w:cs="Arial"/>
                <w:sz w:val="22"/>
                <w:szCs w:val="22"/>
              </w:rPr>
              <w:t xml:space="preserve"> will remind me that taking the more challenging route can often lead to the most rewarding outcomes. Furthermore, I have come to recognise that transparency and honesty are the foundations of a meaningful working relationship, qualities that I would hope to see in a social worker myself, should I ever find myself in a similar situation.</w:t>
            </w:r>
          </w:p>
          <w:p w14:paraId="6545CA02" w14:textId="77777777" w:rsidR="00131CC7" w:rsidRPr="00483E9F" w:rsidRDefault="00131CC7" w:rsidP="00131CC7">
            <w:pPr>
              <w:pStyle w:val="NormalWeb"/>
              <w:spacing w:line="360" w:lineRule="auto"/>
              <w:jc w:val="both"/>
              <w:rPr>
                <w:rFonts w:ascii="Arial" w:hAnsi="Arial" w:cs="Arial"/>
                <w:sz w:val="22"/>
                <w:szCs w:val="22"/>
              </w:rPr>
            </w:pPr>
          </w:p>
          <w:p w14:paraId="416398E6" w14:textId="4E262B3D" w:rsidR="00131CC7" w:rsidRPr="00483E9F" w:rsidRDefault="00131CC7" w:rsidP="00131CC7">
            <w:pPr>
              <w:pStyle w:val="NormalWeb"/>
              <w:spacing w:line="360" w:lineRule="auto"/>
              <w:jc w:val="both"/>
              <w:rPr>
                <w:rFonts w:ascii="Arial" w:hAnsi="Arial" w:cs="Arial"/>
                <w:sz w:val="22"/>
                <w:szCs w:val="22"/>
              </w:rPr>
            </w:pPr>
            <w:r w:rsidRPr="00483E9F">
              <w:rPr>
                <w:rFonts w:ascii="Arial" w:hAnsi="Arial" w:cs="Arial"/>
                <w:sz w:val="22"/>
                <w:szCs w:val="22"/>
              </w:rPr>
              <w:t>Working with P1 required navigat</w:t>
            </w:r>
            <w:r w:rsidR="00FD224B">
              <w:rPr>
                <w:rFonts w:ascii="Arial" w:hAnsi="Arial" w:cs="Arial"/>
                <w:sz w:val="22"/>
                <w:szCs w:val="22"/>
              </w:rPr>
              <w:t>ing</w:t>
            </w:r>
            <w:r w:rsidRPr="00483E9F">
              <w:rPr>
                <w:rFonts w:ascii="Arial" w:hAnsi="Arial" w:cs="Arial"/>
                <w:sz w:val="22"/>
                <w:szCs w:val="22"/>
              </w:rPr>
              <w:t xml:space="preserve"> both adult and childcare frameworks, which highlighted the </w:t>
            </w:r>
            <w:r w:rsidRPr="00FD224B">
              <w:rPr>
                <w:rFonts w:ascii="Arial" w:hAnsi="Arial" w:cs="Arial"/>
              </w:rPr>
              <w:t xml:space="preserve">differences and dilemmas practitioners encounter in each field.  I have become accustomed to situations in adult care being more clear-cut, </w:t>
            </w:r>
            <w:r w:rsidR="00FD224B" w:rsidRPr="00FD224B">
              <w:rPr>
                <w:rFonts w:ascii="Arial" w:hAnsi="Arial" w:cs="Arial"/>
              </w:rPr>
              <w:t>particularly regarding whether an individual has the mental capacity under the MCA (2005) to agree or decline to engage with me.</w:t>
            </w:r>
            <w:r w:rsidR="00FD224B">
              <w:rPr>
                <w:rFonts w:ascii="Arial" w:hAnsi="Arial" w:cs="Arial"/>
                <w:sz w:val="22"/>
                <w:szCs w:val="22"/>
              </w:rPr>
              <w:t xml:space="preserve"> </w:t>
            </w:r>
            <w:r w:rsidRPr="00483E9F">
              <w:rPr>
                <w:rFonts w:ascii="Arial" w:hAnsi="Arial" w:cs="Arial"/>
                <w:sz w:val="22"/>
                <w:szCs w:val="22"/>
              </w:rPr>
              <w:t xml:space="preserve">In contrast, my involvement with P1 left me feeling out of my depth at times in terms of both knowledge and skills and I think this was because the </w:t>
            </w:r>
            <w:r w:rsidR="00FD224B">
              <w:rPr>
                <w:rFonts w:ascii="Arial" w:hAnsi="Arial" w:cs="Arial"/>
                <w:sz w:val="22"/>
                <w:szCs w:val="22"/>
              </w:rPr>
              <w:t>UBB</w:t>
            </w:r>
            <w:r w:rsidRPr="00483E9F">
              <w:rPr>
                <w:rFonts w:ascii="Arial" w:hAnsi="Arial" w:cs="Arial"/>
                <w:sz w:val="22"/>
                <w:szCs w:val="22"/>
              </w:rPr>
              <w:t xml:space="preserve"> did not have a voice of their own and P1 had no choice in </w:t>
            </w:r>
            <w:r w:rsidR="00FD224B">
              <w:rPr>
                <w:rFonts w:ascii="Arial" w:hAnsi="Arial" w:cs="Arial"/>
                <w:sz w:val="22"/>
                <w:szCs w:val="22"/>
              </w:rPr>
              <w:t>having to engage with me</w:t>
            </w:r>
            <w:r w:rsidRPr="00483E9F">
              <w:rPr>
                <w:rFonts w:ascii="Arial" w:hAnsi="Arial" w:cs="Arial"/>
                <w:sz w:val="22"/>
                <w:szCs w:val="22"/>
              </w:rPr>
              <w:t>.  I now recognise the importance of keeping up to date with both child and adult legislation, policies, and procedures, as well as seeking practice opportunities that span both areas.  This will be particularly valuable in situations where absolute and qualified rights may come into conflict.</w:t>
            </w:r>
          </w:p>
          <w:p w14:paraId="24ED9828" w14:textId="77777777" w:rsidR="00131CC7" w:rsidRPr="00483E9F" w:rsidRDefault="00131CC7" w:rsidP="00131CC7">
            <w:pPr>
              <w:pStyle w:val="NormalWeb"/>
              <w:spacing w:line="360" w:lineRule="auto"/>
              <w:jc w:val="both"/>
              <w:rPr>
                <w:rFonts w:ascii="Arial" w:hAnsi="Arial" w:cs="Arial"/>
                <w:sz w:val="22"/>
                <w:szCs w:val="22"/>
              </w:rPr>
            </w:pPr>
          </w:p>
          <w:p w14:paraId="49F2FFE3" w14:textId="40ACFF47" w:rsidR="00131CC7" w:rsidRPr="00483E9F" w:rsidRDefault="00131CC7" w:rsidP="00131CC7">
            <w:pPr>
              <w:pStyle w:val="NormalWeb"/>
              <w:spacing w:line="360" w:lineRule="auto"/>
              <w:jc w:val="both"/>
              <w:rPr>
                <w:rFonts w:ascii="Arial" w:hAnsi="Arial" w:cs="Arial"/>
                <w:sz w:val="22"/>
                <w:szCs w:val="22"/>
              </w:rPr>
            </w:pPr>
            <w:r w:rsidRPr="00483E9F">
              <w:rPr>
                <w:rFonts w:ascii="Arial" w:hAnsi="Arial" w:cs="Arial"/>
                <w:sz w:val="22"/>
                <w:szCs w:val="22"/>
              </w:rPr>
              <w:t xml:space="preserve">As childcare staff had raised concerns about P1’s capacity to understand sexual relations, I needed to explore whether a formal </w:t>
            </w:r>
            <w:r w:rsidR="00FD224B">
              <w:rPr>
                <w:rFonts w:ascii="Arial" w:hAnsi="Arial" w:cs="Arial"/>
                <w:sz w:val="22"/>
                <w:szCs w:val="22"/>
              </w:rPr>
              <w:t>mental capacity assessment (MCA)</w:t>
            </w:r>
            <w:r w:rsidRPr="00483E9F">
              <w:rPr>
                <w:rFonts w:ascii="Arial" w:hAnsi="Arial" w:cs="Arial"/>
                <w:sz w:val="22"/>
                <w:szCs w:val="22"/>
              </w:rPr>
              <w:t xml:space="preserve"> was required. At this stage in my practice, I had only undertaken MCA’s relating to care and support needs or residency, so this felt a daunting request. I discussed the matter with my supervisor, and we agreed that I would </w:t>
            </w:r>
            <w:r w:rsidR="00FD224B">
              <w:rPr>
                <w:rFonts w:ascii="Arial" w:hAnsi="Arial" w:cs="Arial"/>
                <w:sz w:val="22"/>
                <w:szCs w:val="22"/>
              </w:rPr>
              <w:t>conduct</w:t>
            </w:r>
            <w:r w:rsidRPr="00483E9F">
              <w:rPr>
                <w:rFonts w:ascii="Arial" w:hAnsi="Arial" w:cs="Arial"/>
                <w:sz w:val="22"/>
                <w:szCs w:val="22"/>
              </w:rPr>
              <w:t xml:space="preserve"> some independent research, particularly around the salient information and thresholds of understanding required</w:t>
            </w:r>
            <w:r w:rsidR="00FD224B">
              <w:rPr>
                <w:rFonts w:ascii="Arial" w:hAnsi="Arial" w:cs="Arial"/>
                <w:sz w:val="22"/>
                <w:szCs w:val="22"/>
              </w:rPr>
              <w:t xml:space="preserve"> which was outlined</w:t>
            </w:r>
            <w:r w:rsidRPr="00483E9F">
              <w:rPr>
                <w:rFonts w:ascii="Arial" w:hAnsi="Arial" w:cs="Arial"/>
                <w:sz w:val="22"/>
                <w:szCs w:val="22"/>
              </w:rPr>
              <w:t xml:space="preserve"> in judgment </w:t>
            </w:r>
            <w:r w:rsidRPr="00483E9F">
              <w:rPr>
                <w:rStyle w:val="Emphasis"/>
                <w:rFonts w:ascii="Arial" w:hAnsi="Arial" w:cs="Arial"/>
                <w:sz w:val="22"/>
                <w:szCs w:val="22"/>
              </w:rPr>
              <w:t>A Local Authority v JB</w:t>
            </w:r>
            <w:r w:rsidRPr="00483E9F">
              <w:rPr>
                <w:rFonts w:ascii="Arial" w:hAnsi="Arial" w:cs="Arial"/>
                <w:sz w:val="22"/>
                <w:szCs w:val="22"/>
              </w:rPr>
              <w:t xml:space="preserve"> [2020] EWCA </w:t>
            </w:r>
            <w:proofErr w:type="spellStart"/>
            <w:r w:rsidRPr="00483E9F">
              <w:rPr>
                <w:rFonts w:ascii="Arial" w:hAnsi="Arial" w:cs="Arial"/>
                <w:sz w:val="22"/>
                <w:szCs w:val="22"/>
              </w:rPr>
              <w:t>Civ</w:t>
            </w:r>
            <w:proofErr w:type="spellEnd"/>
            <w:r w:rsidRPr="00483E9F">
              <w:rPr>
                <w:rFonts w:ascii="Arial" w:hAnsi="Arial" w:cs="Arial"/>
                <w:sz w:val="22"/>
                <w:szCs w:val="22"/>
              </w:rPr>
              <w:t xml:space="preserve"> 745. We also agreed that my supervisor would support me due to its complexity. I recognised that such an MCA could interfere with P1’s human right ‘to respect for private and family life’ under the HRA </w:t>
            </w:r>
            <w:r w:rsidR="00FD224B">
              <w:rPr>
                <w:rFonts w:ascii="Arial" w:hAnsi="Arial" w:cs="Arial"/>
                <w:sz w:val="22"/>
                <w:szCs w:val="22"/>
              </w:rPr>
              <w:t>(</w:t>
            </w:r>
            <w:r w:rsidRPr="00483E9F">
              <w:rPr>
                <w:rFonts w:ascii="Arial" w:hAnsi="Arial" w:cs="Arial"/>
                <w:sz w:val="22"/>
                <w:szCs w:val="22"/>
              </w:rPr>
              <w:t>1998</w:t>
            </w:r>
            <w:r w:rsidR="00FD224B">
              <w:rPr>
                <w:rFonts w:ascii="Arial" w:hAnsi="Arial" w:cs="Arial"/>
                <w:sz w:val="22"/>
                <w:szCs w:val="22"/>
              </w:rPr>
              <w:t>)</w:t>
            </w:r>
            <w:r w:rsidRPr="00483E9F">
              <w:rPr>
                <w:rFonts w:ascii="Arial" w:hAnsi="Arial" w:cs="Arial"/>
                <w:sz w:val="22"/>
                <w:szCs w:val="22"/>
              </w:rPr>
              <w:t>. I remember feeling conflicted that the initial concerns about P1’s capacity had been raised by another practitioner rather than by myself</w:t>
            </w:r>
            <w:r w:rsidR="00FD224B">
              <w:rPr>
                <w:rFonts w:ascii="Arial" w:hAnsi="Arial" w:cs="Arial"/>
                <w:sz w:val="22"/>
                <w:szCs w:val="22"/>
              </w:rPr>
              <w:t xml:space="preserve"> and yet </w:t>
            </w:r>
            <w:r w:rsidRPr="00483E9F">
              <w:rPr>
                <w:rFonts w:ascii="Arial" w:hAnsi="Arial" w:cs="Arial"/>
                <w:sz w:val="22"/>
                <w:szCs w:val="22"/>
              </w:rPr>
              <w:t>they were expecting me to assess</w:t>
            </w:r>
            <w:r w:rsidR="00FD224B">
              <w:rPr>
                <w:rFonts w:ascii="Arial" w:hAnsi="Arial" w:cs="Arial"/>
                <w:sz w:val="22"/>
                <w:szCs w:val="22"/>
              </w:rPr>
              <w:t xml:space="preserve"> her</w:t>
            </w:r>
            <w:r w:rsidRPr="00483E9F">
              <w:rPr>
                <w:rFonts w:ascii="Arial" w:hAnsi="Arial" w:cs="Arial"/>
                <w:sz w:val="22"/>
                <w:szCs w:val="22"/>
              </w:rPr>
              <w:t xml:space="preserve"> capacity. According to Part 1, </w:t>
            </w:r>
            <w:r w:rsidR="00FD224B">
              <w:rPr>
                <w:rFonts w:ascii="Arial" w:hAnsi="Arial" w:cs="Arial"/>
                <w:sz w:val="22"/>
                <w:szCs w:val="22"/>
              </w:rPr>
              <w:t>s</w:t>
            </w:r>
            <w:r w:rsidRPr="00483E9F">
              <w:rPr>
                <w:rFonts w:ascii="Arial" w:hAnsi="Arial" w:cs="Arial"/>
                <w:sz w:val="22"/>
                <w:szCs w:val="22"/>
              </w:rPr>
              <w:t xml:space="preserve">1(2) of the MCA </w:t>
            </w:r>
            <w:r w:rsidR="00FD224B">
              <w:rPr>
                <w:rFonts w:ascii="Arial" w:hAnsi="Arial" w:cs="Arial"/>
                <w:sz w:val="22"/>
                <w:szCs w:val="22"/>
              </w:rPr>
              <w:t>(</w:t>
            </w:r>
            <w:r w:rsidRPr="00483E9F">
              <w:rPr>
                <w:rFonts w:ascii="Arial" w:hAnsi="Arial" w:cs="Arial"/>
                <w:sz w:val="22"/>
                <w:szCs w:val="22"/>
              </w:rPr>
              <w:t>2005</w:t>
            </w:r>
            <w:r w:rsidR="00FD224B">
              <w:rPr>
                <w:rFonts w:ascii="Arial" w:hAnsi="Arial" w:cs="Arial"/>
                <w:sz w:val="22"/>
                <w:szCs w:val="22"/>
              </w:rPr>
              <w:t>)</w:t>
            </w:r>
            <w:r w:rsidRPr="00483E9F">
              <w:rPr>
                <w:rFonts w:ascii="Arial" w:hAnsi="Arial" w:cs="Arial"/>
                <w:sz w:val="22"/>
                <w:szCs w:val="22"/>
              </w:rPr>
              <w:t xml:space="preserve">, </w:t>
            </w:r>
            <w:r w:rsidRPr="00FD224B">
              <w:rPr>
                <w:rFonts w:ascii="Arial" w:hAnsi="Arial" w:cs="Arial"/>
                <w:i/>
                <w:iCs/>
                <w:sz w:val="22"/>
                <w:szCs w:val="22"/>
              </w:rPr>
              <w:t>‘a person must be assumed to have capacity unless it is established that they lack capacity’</w:t>
            </w:r>
            <w:r w:rsidRPr="00483E9F">
              <w:rPr>
                <w:rFonts w:ascii="Arial" w:hAnsi="Arial" w:cs="Arial"/>
                <w:sz w:val="22"/>
                <w:szCs w:val="22"/>
              </w:rPr>
              <w:t xml:space="preserve">. I think my feelings of conflict also stemmed from undertaking such complex work in my first year of practice and knowing the implications of potential restrictions. If P1 were deemed to lack capacity, the matter would need to be referred directly to the Court of Protection under </w:t>
            </w:r>
            <w:r w:rsidR="00FA260C">
              <w:rPr>
                <w:rFonts w:ascii="Arial" w:hAnsi="Arial" w:cs="Arial"/>
                <w:sz w:val="22"/>
                <w:szCs w:val="22"/>
              </w:rPr>
              <w:t>s</w:t>
            </w:r>
            <w:r w:rsidRPr="00483E9F">
              <w:rPr>
                <w:rFonts w:ascii="Arial" w:hAnsi="Arial" w:cs="Arial"/>
                <w:sz w:val="22"/>
                <w:szCs w:val="22"/>
              </w:rPr>
              <w:t xml:space="preserve">27 of the MCA </w:t>
            </w:r>
            <w:r w:rsidR="00FA260C">
              <w:rPr>
                <w:rFonts w:ascii="Arial" w:hAnsi="Arial" w:cs="Arial"/>
                <w:sz w:val="22"/>
                <w:szCs w:val="22"/>
              </w:rPr>
              <w:t>(</w:t>
            </w:r>
            <w:r w:rsidRPr="00483E9F">
              <w:rPr>
                <w:rFonts w:ascii="Arial" w:hAnsi="Arial" w:cs="Arial"/>
                <w:sz w:val="22"/>
                <w:szCs w:val="22"/>
              </w:rPr>
              <w:t>2005</w:t>
            </w:r>
            <w:r w:rsidR="00FA260C">
              <w:rPr>
                <w:rFonts w:ascii="Arial" w:hAnsi="Arial" w:cs="Arial"/>
                <w:sz w:val="22"/>
                <w:szCs w:val="22"/>
              </w:rPr>
              <w:t>)</w:t>
            </w:r>
            <w:r w:rsidRPr="00483E9F">
              <w:rPr>
                <w:rFonts w:ascii="Arial" w:hAnsi="Arial" w:cs="Arial"/>
                <w:sz w:val="22"/>
                <w:szCs w:val="22"/>
              </w:rPr>
              <w:t xml:space="preserve"> as no practitioner is permitted to make best interest decisions regarding sexual relations. Through research, I became aware of the complexities that arise when a person is deemed to have capacity in relation to sexual activity but still relies on care and support for other aspects of daily living. In such cases, care workers may have to facilitate their sexual activity needs (British Institute of Human Rights, 2021). </w:t>
            </w:r>
            <w:r w:rsidR="00FA260C">
              <w:rPr>
                <w:rFonts w:ascii="Arial" w:hAnsi="Arial" w:cs="Arial"/>
                <w:sz w:val="22"/>
                <w:szCs w:val="22"/>
              </w:rPr>
              <w:t>s</w:t>
            </w:r>
            <w:r w:rsidRPr="00483E9F">
              <w:rPr>
                <w:rFonts w:ascii="Arial" w:hAnsi="Arial" w:cs="Arial"/>
                <w:sz w:val="22"/>
                <w:szCs w:val="22"/>
              </w:rPr>
              <w:t xml:space="preserve">39 of the Sexual Offences Act </w:t>
            </w:r>
            <w:r w:rsidR="00FA260C">
              <w:rPr>
                <w:rFonts w:ascii="Arial" w:hAnsi="Arial" w:cs="Arial"/>
                <w:sz w:val="22"/>
                <w:szCs w:val="22"/>
              </w:rPr>
              <w:t>(</w:t>
            </w:r>
            <w:r w:rsidRPr="00483E9F">
              <w:rPr>
                <w:rFonts w:ascii="Arial" w:hAnsi="Arial" w:cs="Arial"/>
                <w:sz w:val="22"/>
                <w:szCs w:val="22"/>
              </w:rPr>
              <w:t>2003</w:t>
            </w:r>
            <w:r w:rsidR="00FA260C">
              <w:rPr>
                <w:rFonts w:ascii="Arial" w:hAnsi="Arial" w:cs="Arial"/>
                <w:sz w:val="22"/>
                <w:szCs w:val="22"/>
              </w:rPr>
              <w:t>)</w:t>
            </w:r>
            <w:r w:rsidRPr="00483E9F">
              <w:rPr>
                <w:rFonts w:ascii="Arial" w:hAnsi="Arial" w:cs="Arial"/>
                <w:sz w:val="22"/>
                <w:szCs w:val="22"/>
              </w:rPr>
              <w:t xml:space="preserve"> makes it a criminal offence for care workers to incite or intentionally enable a person in their care, if they lack capacity or have a mental health condition, to engage in sexual activity (British Institute of Human Rights, 2021). Since then, I have attended training on assessing capacity in relation to sexual relations. While I would not yet describe myself as fully confident in this area, I recognise that my confidence is developing and that I should continue to seek further learning opportunities to strengthen my practice.</w:t>
            </w:r>
          </w:p>
          <w:p w14:paraId="0A4F7AA4" w14:textId="3FA66D4A" w:rsidR="00131CC7" w:rsidRPr="00483E9F" w:rsidRDefault="00131CC7" w:rsidP="00131CC7">
            <w:pPr>
              <w:pStyle w:val="NormalWeb"/>
              <w:spacing w:line="360" w:lineRule="auto"/>
              <w:jc w:val="both"/>
              <w:rPr>
                <w:rFonts w:ascii="Arial" w:hAnsi="Arial" w:cs="Arial"/>
                <w:sz w:val="22"/>
                <w:szCs w:val="22"/>
              </w:rPr>
            </w:pPr>
            <w:r w:rsidRPr="00483E9F">
              <w:rPr>
                <w:rFonts w:ascii="Arial" w:hAnsi="Arial" w:cs="Arial"/>
                <w:sz w:val="22"/>
                <w:szCs w:val="22"/>
              </w:rPr>
              <w:t>During my discussions with P1, which were observed by my supervisor, I felt that I gathered sufficient information to evidence her understanding of the salient points relating to sexual relations and, therefore, concluded that a formal MCA was not required.  The Supreme Court confirmed the salient information includes</w:t>
            </w:r>
            <w:r w:rsidR="00FA260C">
              <w:rPr>
                <w:rFonts w:ascii="Arial" w:hAnsi="Arial" w:cs="Arial"/>
                <w:sz w:val="22"/>
                <w:szCs w:val="22"/>
              </w:rPr>
              <w:t>,</w:t>
            </w:r>
            <w:r w:rsidRPr="00483E9F">
              <w:rPr>
                <w:rFonts w:ascii="Arial" w:hAnsi="Arial" w:cs="Arial"/>
                <w:sz w:val="22"/>
                <w:szCs w:val="22"/>
              </w:rPr>
              <w:t xml:space="preserve"> knowledge of the mechanics of the sexual act, the need for consent before and during the act, awareness that one can accept or decline participation, recognition that pregnancy is a foreseeable consequence, an understanding of the associated health risks and how these can be reduced (Edge Training &amp; Consultancy Ltd, 2024).  At the time, I found it particularly interesting how </w:t>
            </w:r>
            <w:r w:rsidRPr="00483E9F">
              <w:rPr>
                <w:rFonts w:ascii="Arial" w:hAnsi="Arial" w:cs="Arial"/>
                <w:sz w:val="22"/>
                <w:szCs w:val="22"/>
              </w:rPr>
              <w:lastRenderedPageBreak/>
              <w:t>the threshold of understanding varies depending on which decision is being assessed.  The different degrees of understanding required, coupled with the absence of a clear framework for questioning</w:t>
            </w:r>
            <w:r w:rsidR="00FA260C">
              <w:rPr>
                <w:rFonts w:ascii="Arial" w:hAnsi="Arial" w:cs="Arial"/>
                <w:sz w:val="22"/>
                <w:szCs w:val="22"/>
              </w:rPr>
              <w:t xml:space="preserve"> I felt,</w:t>
            </w:r>
            <w:r w:rsidRPr="00483E9F">
              <w:rPr>
                <w:rFonts w:ascii="Arial" w:hAnsi="Arial" w:cs="Arial"/>
                <w:sz w:val="22"/>
                <w:szCs w:val="22"/>
              </w:rPr>
              <w:t xml:space="preserve"> contributed to my anxieties about completing this assessment. Since then, I have gone on to complete several MCA</w:t>
            </w:r>
            <w:r w:rsidR="00FA260C">
              <w:rPr>
                <w:rFonts w:ascii="Arial" w:hAnsi="Arial" w:cs="Arial"/>
                <w:sz w:val="22"/>
                <w:szCs w:val="22"/>
              </w:rPr>
              <w:t>’s</w:t>
            </w:r>
            <w:r w:rsidRPr="00483E9F">
              <w:rPr>
                <w:rFonts w:ascii="Arial" w:hAnsi="Arial" w:cs="Arial"/>
                <w:sz w:val="22"/>
                <w:szCs w:val="22"/>
              </w:rPr>
              <w:t xml:space="preserve"> and recognise that this is an area where I will need to continuously develop my knowledge and skills.  To support this, I will be starting the Best Interest Assessor course in October 2025 and have started observing student social workers undertaking MCA</w:t>
            </w:r>
            <w:r w:rsidR="00FA260C">
              <w:rPr>
                <w:rFonts w:ascii="Arial" w:hAnsi="Arial" w:cs="Arial"/>
                <w:sz w:val="22"/>
                <w:szCs w:val="22"/>
              </w:rPr>
              <w:t>’s</w:t>
            </w:r>
            <w:r w:rsidRPr="00483E9F">
              <w:rPr>
                <w:rFonts w:ascii="Arial" w:hAnsi="Arial" w:cs="Arial"/>
                <w:sz w:val="22"/>
                <w:szCs w:val="22"/>
              </w:rPr>
              <w:t>, which is highly valuable for my own learning.</w:t>
            </w:r>
          </w:p>
          <w:p w14:paraId="26208A85" w14:textId="77777777" w:rsidR="00131CC7" w:rsidRPr="00483E9F" w:rsidRDefault="00131CC7" w:rsidP="00131CC7">
            <w:pPr>
              <w:pStyle w:val="NormalWeb"/>
              <w:spacing w:line="360" w:lineRule="auto"/>
              <w:jc w:val="both"/>
              <w:rPr>
                <w:rFonts w:ascii="Arial" w:hAnsi="Arial" w:cs="Arial"/>
                <w:sz w:val="22"/>
                <w:szCs w:val="22"/>
              </w:rPr>
            </w:pPr>
          </w:p>
          <w:p w14:paraId="496ED8D9" w14:textId="160DC52F" w:rsidR="00131CC7" w:rsidRPr="00483E9F" w:rsidRDefault="00131CC7" w:rsidP="00131CC7">
            <w:pPr>
              <w:pStyle w:val="NormalWeb"/>
              <w:spacing w:line="360" w:lineRule="auto"/>
              <w:jc w:val="both"/>
              <w:rPr>
                <w:rFonts w:ascii="Arial" w:hAnsi="Arial" w:cs="Arial"/>
                <w:sz w:val="22"/>
                <w:szCs w:val="22"/>
              </w:rPr>
            </w:pPr>
            <w:r w:rsidRPr="00483E9F">
              <w:rPr>
                <w:rFonts w:ascii="Arial" w:hAnsi="Arial" w:cs="Arial"/>
                <w:sz w:val="22"/>
                <w:szCs w:val="22"/>
              </w:rPr>
              <w:t xml:space="preserve">As I was accustomed to assessing elderly citizens under s19 of the SSWBA </w:t>
            </w:r>
            <w:r w:rsidR="00FA260C">
              <w:rPr>
                <w:rFonts w:ascii="Arial" w:hAnsi="Arial" w:cs="Arial"/>
                <w:sz w:val="22"/>
                <w:szCs w:val="22"/>
              </w:rPr>
              <w:t>(</w:t>
            </w:r>
            <w:r w:rsidRPr="00483E9F">
              <w:rPr>
                <w:rFonts w:ascii="Arial" w:hAnsi="Arial" w:cs="Arial"/>
                <w:sz w:val="22"/>
                <w:szCs w:val="22"/>
              </w:rPr>
              <w:t>2014</w:t>
            </w:r>
            <w:r w:rsidR="00FA260C">
              <w:rPr>
                <w:rFonts w:ascii="Arial" w:hAnsi="Arial" w:cs="Arial"/>
                <w:sz w:val="22"/>
                <w:szCs w:val="22"/>
              </w:rPr>
              <w:t>)</w:t>
            </w:r>
            <w:r w:rsidRPr="00483E9F">
              <w:rPr>
                <w:rFonts w:ascii="Arial" w:hAnsi="Arial" w:cs="Arial"/>
                <w:sz w:val="22"/>
                <w:szCs w:val="22"/>
              </w:rPr>
              <w:t xml:space="preserve"> with a focus on physical care and support needs, I decided to undertake research into models of assessment. Through independent study, I realised that I had</w:t>
            </w:r>
            <w:r w:rsidR="00FA260C">
              <w:rPr>
                <w:rFonts w:ascii="Arial" w:hAnsi="Arial" w:cs="Arial"/>
                <w:sz w:val="22"/>
                <w:szCs w:val="22"/>
              </w:rPr>
              <w:t xml:space="preserve"> been</w:t>
            </w:r>
            <w:r w:rsidRPr="00483E9F">
              <w:rPr>
                <w:rFonts w:ascii="Arial" w:hAnsi="Arial" w:cs="Arial"/>
                <w:sz w:val="22"/>
                <w:szCs w:val="22"/>
              </w:rPr>
              <w:t xml:space="preserve"> lean</w:t>
            </w:r>
            <w:r w:rsidR="00FA260C">
              <w:rPr>
                <w:rFonts w:ascii="Arial" w:hAnsi="Arial" w:cs="Arial"/>
                <w:sz w:val="22"/>
                <w:szCs w:val="22"/>
              </w:rPr>
              <w:t>ing</w:t>
            </w:r>
            <w:r w:rsidRPr="00483E9F">
              <w:rPr>
                <w:rFonts w:ascii="Arial" w:hAnsi="Arial" w:cs="Arial"/>
                <w:sz w:val="22"/>
                <w:szCs w:val="22"/>
              </w:rPr>
              <w:t xml:space="preserve"> towards ‘the questioning model or the procedural model’, both of which are structured, task-specific, and practitioner-led (Maclean and Harrison, 2015, p.143). In contrast, for my work with P1, I adopted ‘the exchange model’, which emphasises the citizen as the expert of their own life; this approach encourages individuals to share their story in their own way, while prompting the practitioner to explore existing resources and support networks, thereby promoting sustainable strengths and safety measures (Maclean and Harrison, 2015, p.143). With P1’s consent, I invited her IDVA to attend the assessment as I felt the IDVA’s expertise in domestic abuse and supporting individuals who wish to remain in their relationships could offer additional support and guidance. By enabling P1 to tell her story and provide the information she felt was most relevant, </w:t>
            </w:r>
            <w:r w:rsidR="00FA260C">
              <w:rPr>
                <w:rFonts w:ascii="Arial" w:hAnsi="Arial" w:cs="Arial"/>
                <w:sz w:val="22"/>
                <w:szCs w:val="22"/>
              </w:rPr>
              <w:t>I felt supported a more relaxed environment</w:t>
            </w:r>
            <w:r w:rsidRPr="00483E9F">
              <w:rPr>
                <w:rFonts w:ascii="Arial" w:hAnsi="Arial" w:cs="Arial"/>
                <w:sz w:val="22"/>
                <w:szCs w:val="22"/>
              </w:rPr>
              <w:t>. Although I stand by my decision to include the IDVA, I question whether P1 genuinely felt she could decline the IDVA’s presence, or whether she felt compelled to agree because of our status as professionals or fearing it might reflect badly on her in the child protection arena. Anti-oppressive practice requires practitioners to remain open to challenge, with an emphasis on needs-led, theoretically informed, ethical, and holistic responses (Burke, 2012, p.415). As practitioners, we can underestimate the magnitude of asking someone to share their life story with a complete stranger. I strive to maintain self-awareness in this regard, though external pressures such as time constraints and high caseloads make this challenging. Moving forward, I recognise the importance of consciously reflecting on this aspect of my practice and intend to raise it regularly in supervision and use self-reflection as a tool for improvement. Additionally, I acknowledge that the language I use when discussing citizens</w:t>
            </w:r>
            <w:r w:rsidR="00FA260C">
              <w:rPr>
                <w:rFonts w:ascii="Arial" w:hAnsi="Arial" w:cs="Arial"/>
                <w:sz w:val="22"/>
                <w:szCs w:val="22"/>
              </w:rPr>
              <w:t xml:space="preserve"> </w:t>
            </w:r>
            <w:r w:rsidRPr="00483E9F">
              <w:rPr>
                <w:rFonts w:ascii="Arial" w:hAnsi="Arial" w:cs="Arial"/>
                <w:sz w:val="22"/>
                <w:szCs w:val="22"/>
              </w:rPr>
              <w:t>whether with colleagues, in supervision, or with other professionals</w:t>
            </w:r>
            <w:r w:rsidR="00FA260C">
              <w:rPr>
                <w:rFonts w:ascii="Arial" w:hAnsi="Arial" w:cs="Arial"/>
                <w:sz w:val="22"/>
                <w:szCs w:val="22"/>
              </w:rPr>
              <w:t xml:space="preserve"> </w:t>
            </w:r>
            <w:r w:rsidRPr="00483E9F">
              <w:rPr>
                <w:rFonts w:ascii="Arial" w:hAnsi="Arial" w:cs="Arial"/>
                <w:sz w:val="22"/>
                <w:szCs w:val="22"/>
              </w:rPr>
              <w:t>will be crucial in ensuring I remain respectful. Language serves as a powerful reminder that citizens are not simply numbers on a caseload, but individuals with unique lives.</w:t>
            </w:r>
          </w:p>
          <w:p w14:paraId="573B34F4" w14:textId="77777777" w:rsidR="00FA260C" w:rsidRDefault="00FA260C" w:rsidP="00131CC7">
            <w:pPr>
              <w:pStyle w:val="NormalWeb"/>
              <w:spacing w:line="360" w:lineRule="auto"/>
              <w:jc w:val="both"/>
              <w:rPr>
                <w:rFonts w:ascii="Arial" w:hAnsi="Arial" w:cs="Arial"/>
                <w:sz w:val="22"/>
                <w:szCs w:val="22"/>
              </w:rPr>
            </w:pPr>
          </w:p>
          <w:p w14:paraId="3C81D014" w14:textId="1DE6654E" w:rsidR="00131CC7" w:rsidRPr="00483E9F" w:rsidRDefault="00131CC7" w:rsidP="00131CC7">
            <w:pPr>
              <w:pStyle w:val="NormalWeb"/>
              <w:spacing w:line="360" w:lineRule="auto"/>
              <w:jc w:val="both"/>
              <w:rPr>
                <w:rFonts w:ascii="Arial" w:hAnsi="Arial" w:cs="Arial"/>
                <w:b/>
                <w:bCs/>
                <w:color w:val="4472C4" w:themeColor="accent1"/>
                <w:sz w:val="22"/>
                <w:szCs w:val="22"/>
              </w:rPr>
            </w:pPr>
            <w:r w:rsidRPr="00483E9F">
              <w:rPr>
                <w:rFonts w:ascii="Arial" w:hAnsi="Arial" w:cs="Arial"/>
                <w:sz w:val="22"/>
                <w:szCs w:val="22"/>
              </w:rPr>
              <w:t xml:space="preserve">The outcome of my needs assessment was that P1 did not meet the criteria set out in the </w:t>
            </w:r>
            <w:r w:rsidRPr="00FA260C">
              <w:rPr>
                <w:rFonts w:ascii="Arial" w:hAnsi="Arial" w:cs="Arial"/>
                <w:sz w:val="22"/>
                <w:szCs w:val="22"/>
              </w:rPr>
              <w:t xml:space="preserve">Care and Support (Eligibility) (Wales) Regulations </w:t>
            </w:r>
            <w:r w:rsidR="00FA260C" w:rsidRPr="00FA260C">
              <w:rPr>
                <w:rFonts w:ascii="Arial" w:hAnsi="Arial" w:cs="Arial"/>
                <w:sz w:val="22"/>
                <w:szCs w:val="22"/>
              </w:rPr>
              <w:t>(</w:t>
            </w:r>
            <w:r w:rsidRPr="00FA260C">
              <w:rPr>
                <w:rFonts w:ascii="Arial" w:hAnsi="Arial" w:cs="Arial"/>
                <w:sz w:val="22"/>
                <w:szCs w:val="22"/>
              </w:rPr>
              <w:t>2015</w:t>
            </w:r>
            <w:r w:rsidR="00FA260C" w:rsidRPr="00FA260C">
              <w:rPr>
                <w:rFonts w:ascii="Arial" w:hAnsi="Arial" w:cs="Arial"/>
                <w:sz w:val="22"/>
                <w:szCs w:val="22"/>
              </w:rPr>
              <w:t>)</w:t>
            </w:r>
            <w:r w:rsidRPr="00FA260C">
              <w:rPr>
                <w:rFonts w:ascii="Arial" w:hAnsi="Arial" w:cs="Arial"/>
                <w:sz w:val="22"/>
                <w:szCs w:val="22"/>
              </w:rPr>
              <w:t>.</w:t>
            </w:r>
            <w:r w:rsidRPr="00483E9F">
              <w:rPr>
                <w:rFonts w:ascii="Arial" w:hAnsi="Arial" w:cs="Arial"/>
                <w:sz w:val="22"/>
                <w:szCs w:val="22"/>
              </w:rPr>
              <w:t xml:space="preserve"> However, after liaising with safeguarding and child protection practitioners, I argued that under s.32(1)(b)(</w:t>
            </w:r>
            <w:proofErr w:type="spellStart"/>
            <w:r w:rsidRPr="00483E9F">
              <w:rPr>
                <w:rFonts w:ascii="Arial" w:hAnsi="Arial" w:cs="Arial"/>
                <w:sz w:val="22"/>
                <w:szCs w:val="22"/>
              </w:rPr>
              <w:t>i</w:t>
            </w:r>
            <w:proofErr w:type="spellEnd"/>
            <w:r w:rsidRPr="00483E9F">
              <w:rPr>
                <w:rFonts w:ascii="Arial" w:hAnsi="Arial" w:cs="Arial"/>
                <w:sz w:val="22"/>
                <w:szCs w:val="22"/>
              </w:rPr>
              <w:t>), s32 (1) (b) (</w:t>
            </w:r>
            <w:proofErr w:type="spellStart"/>
            <w:r w:rsidRPr="00483E9F">
              <w:rPr>
                <w:rFonts w:ascii="Arial" w:hAnsi="Arial" w:cs="Arial"/>
                <w:sz w:val="22"/>
                <w:szCs w:val="22"/>
              </w:rPr>
              <w:t>i</w:t>
            </w:r>
            <w:proofErr w:type="spellEnd"/>
            <w:r w:rsidRPr="00483E9F">
              <w:rPr>
                <w:rFonts w:ascii="Arial" w:hAnsi="Arial" w:cs="Arial"/>
                <w:sz w:val="22"/>
                <w:szCs w:val="22"/>
              </w:rPr>
              <w:t xml:space="preserve">) that whilst P1’s needs do not meet the eligibility criteria, it is still necessary to meet particular needs </w:t>
            </w:r>
            <w:r w:rsidRPr="00483E9F">
              <w:rPr>
                <w:rFonts w:ascii="Arial" w:hAnsi="Arial" w:cs="Arial"/>
                <w:i/>
                <w:iCs/>
                <w:sz w:val="22"/>
                <w:szCs w:val="22"/>
              </w:rPr>
              <w:t xml:space="preserve">‘in order to protect the person from abuse or neglect or a risk of abuse or neglect (if the person is an adult) and (d) consider whether the person would benefit from the provision of anything that may be provided by virtue of section 15 (preventative services) or 17 (information, advice and assistance) or anything else that may be available in the community’.  </w:t>
            </w:r>
            <w:r w:rsidRPr="00483E9F">
              <w:rPr>
                <w:rFonts w:ascii="Arial" w:hAnsi="Arial" w:cs="Arial"/>
                <w:sz w:val="22"/>
                <w:szCs w:val="22"/>
              </w:rPr>
              <w:t>P1’s engagement with professionals became increasingly sporadic, particularly with her</w:t>
            </w:r>
            <w:r w:rsidR="00BF2D9D">
              <w:rPr>
                <w:rFonts w:ascii="Arial" w:hAnsi="Arial" w:cs="Arial"/>
                <w:sz w:val="22"/>
                <w:szCs w:val="22"/>
              </w:rPr>
              <w:t xml:space="preserve"> appointment with her</w:t>
            </w:r>
            <w:r w:rsidRPr="00483E9F">
              <w:rPr>
                <w:rFonts w:ascii="Arial" w:hAnsi="Arial" w:cs="Arial"/>
                <w:sz w:val="22"/>
                <w:szCs w:val="22"/>
              </w:rPr>
              <w:t xml:space="preserve"> midwife and her Barnardo’s worker. I felt she required encouragement and support with transport to establish a routine in attending these important appointments.  We agreed that I would facilitate for a period, beginning with transporting myself</w:t>
            </w:r>
            <w:r w:rsidR="005723FC">
              <w:rPr>
                <w:rFonts w:ascii="Arial" w:hAnsi="Arial" w:cs="Arial"/>
                <w:sz w:val="22"/>
                <w:szCs w:val="22"/>
              </w:rPr>
              <w:t xml:space="preserve"> </w:t>
            </w:r>
            <w:r w:rsidRPr="00483E9F">
              <w:rPr>
                <w:rFonts w:ascii="Arial" w:hAnsi="Arial" w:cs="Arial"/>
                <w:sz w:val="22"/>
                <w:szCs w:val="22"/>
              </w:rPr>
              <w:t xml:space="preserve">working towards P1 using public transport. </w:t>
            </w:r>
            <w:r w:rsidR="005723FC">
              <w:rPr>
                <w:rFonts w:ascii="Arial" w:hAnsi="Arial" w:cs="Arial"/>
                <w:sz w:val="22"/>
                <w:szCs w:val="22"/>
              </w:rPr>
              <w:t>D</w:t>
            </w:r>
            <w:r w:rsidRPr="00483E9F">
              <w:rPr>
                <w:rFonts w:ascii="Arial" w:hAnsi="Arial" w:cs="Arial"/>
                <w:sz w:val="22"/>
                <w:szCs w:val="22"/>
              </w:rPr>
              <w:t>espite coordinating with midwives to ensure her appointments aligned with bus times, P1 continued to say she was ‘</w:t>
            </w:r>
            <w:r w:rsidRPr="00483E9F">
              <w:rPr>
                <w:rFonts w:ascii="Arial" w:hAnsi="Arial" w:cs="Arial"/>
                <w:i/>
                <w:iCs/>
                <w:sz w:val="22"/>
                <w:szCs w:val="22"/>
              </w:rPr>
              <w:t xml:space="preserve">tired’ </w:t>
            </w:r>
            <w:r w:rsidRPr="00BF2D9D">
              <w:rPr>
                <w:rFonts w:ascii="Arial" w:hAnsi="Arial" w:cs="Arial"/>
                <w:sz w:val="22"/>
                <w:szCs w:val="22"/>
              </w:rPr>
              <w:t>or</w:t>
            </w:r>
            <w:r w:rsidRPr="00483E9F">
              <w:rPr>
                <w:rFonts w:ascii="Arial" w:hAnsi="Arial" w:cs="Arial"/>
                <w:i/>
                <w:iCs/>
                <w:sz w:val="22"/>
                <w:szCs w:val="22"/>
              </w:rPr>
              <w:t xml:space="preserve"> ‘busy’</w:t>
            </w:r>
            <w:r w:rsidRPr="00483E9F">
              <w:rPr>
                <w:rFonts w:ascii="Arial" w:hAnsi="Arial" w:cs="Arial"/>
                <w:sz w:val="22"/>
                <w:szCs w:val="22"/>
              </w:rPr>
              <w:t xml:space="preserve">, and it became clear she preferred the convenience of me driving her.  Over time, I also began supporting P1 with other tasks outside my remit, which had a significant impact on my own emotional well-being. Compassion, dedication, and resilience are all important values of effective </w:t>
            </w:r>
            <w:r w:rsidRPr="00BF2D9D">
              <w:rPr>
                <w:rFonts w:ascii="Arial" w:hAnsi="Arial" w:cs="Arial"/>
                <w:sz w:val="22"/>
                <w:szCs w:val="22"/>
              </w:rPr>
              <w:t>practice, but without appropriate boundaries and management, they can lead to compassion fatigue and burnout</w:t>
            </w:r>
            <w:r w:rsidR="00BF2D9D" w:rsidRPr="00BF2D9D">
              <w:rPr>
                <w:rFonts w:ascii="Arial" w:hAnsi="Arial" w:cs="Arial"/>
                <w:sz w:val="22"/>
                <w:szCs w:val="22"/>
              </w:rPr>
              <w:t xml:space="preserve"> (Johnson, 2022)</w:t>
            </w:r>
            <w:r w:rsidRPr="00BF2D9D">
              <w:rPr>
                <w:rFonts w:ascii="Arial" w:hAnsi="Arial" w:cs="Arial"/>
                <w:sz w:val="22"/>
                <w:szCs w:val="22"/>
              </w:rPr>
              <w:t>.</w:t>
            </w:r>
            <w:r w:rsidRPr="00483E9F">
              <w:rPr>
                <w:rFonts w:ascii="Arial" w:hAnsi="Arial" w:cs="Arial"/>
                <w:sz w:val="22"/>
                <w:szCs w:val="22"/>
              </w:rPr>
              <w:t xml:space="preserve">  I shared my feelings of frustration and even resentment with my supervisor, who provided helpful and objective insights.</w:t>
            </w:r>
            <w:r w:rsidRPr="00483E9F">
              <w:rPr>
                <w:rFonts w:ascii="Arial" w:hAnsi="Arial" w:cs="Arial"/>
                <w:color w:val="4472C4" w:themeColor="accent1"/>
                <w:sz w:val="22"/>
                <w:szCs w:val="22"/>
              </w:rPr>
              <w:t xml:space="preserve">  </w:t>
            </w:r>
            <w:r w:rsidRPr="00483E9F">
              <w:rPr>
                <w:rFonts w:ascii="Arial" w:hAnsi="Arial" w:cs="Arial"/>
                <w:sz w:val="22"/>
                <w:szCs w:val="22"/>
              </w:rPr>
              <w:t xml:space="preserve">Evans (2012, p.242) highlights the overwhelming fear and long-term emotional anxiety children experience when there is longstanding violence in the home.  My supervisor reminded me that not only had P1 endured such experiences as a child, but she was now living with </w:t>
            </w:r>
            <w:r w:rsidR="005723FC">
              <w:rPr>
                <w:rFonts w:ascii="Arial" w:hAnsi="Arial" w:cs="Arial"/>
                <w:sz w:val="22"/>
                <w:szCs w:val="22"/>
              </w:rPr>
              <w:t>DV</w:t>
            </w:r>
            <w:r w:rsidRPr="00483E9F">
              <w:rPr>
                <w:rFonts w:ascii="Arial" w:hAnsi="Arial" w:cs="Arial"/>
                <w:sz w:val="22"/>
                <w:szCs w:val="22"/>
              </w:rPr>
              <w:t xml:space="preserve"> as an adult, making it understandable that she might seek to maintain control in other aspects of her life. This made me reflect that P1 knew no different, having lived with </w:t>
            </w:r>
            <w:r w:rsidR="005723FC">
              <w:rPr>
                <w:rFonts w:ascii="Arial" w:hAnsi="Arial" w:cs="Arial"/>
                <w:sz w:val="22"/>
                <w:szCs w:val="22"/>
              </w:rPr>
              <w:t>DV</w:t>
            </w:r>
            <w:r w:rsidRPr="00483E9F">
              <w:rPr>
                <w:rFonts w:ascii="Arial" w:hAnsi="Arial" w:cs="Arial"/>
                <w:sz w:val="22"/>
                <w:szCs w:val="22"/>
              </w:rPr>
              <w:t xml:space="preserve"> and the fact that she had probably had to keep herself safe by manipulating situations wherever possible and that it was </w:t>
            </w:r>
            <w:r w:rsidR="00BF2D9D">
              <w:rPr>
                <w:rFonts w:ascii="Arial" w:hAnsi="Arial" w:cs="Arial"/>
                <w:sz w:val="22"/>
                <w:szCs w:val="22"/>
              </w:rPr>
              <w:t>likely</w:t>
            </w:r>
            <w:r w:rsidRPr="00483E9F">
              <w:rPr>
                <w:rFonts w:ascii="Arial" w:hAnsi="Arial" w:cs="Arial"/>
                <w:sz w:val="22"/>
                <w:szCs w:val="22"/>
              </w:rPr>
              <w:t xml:space="preserve"> not a reflection of m</w:t>
            </w:r>
            <w:r w:rsidR="00BF2D9D">
              <w:rPr>
                <w:rFonts w:ascii="Arial" w:hAnsi="Arial" w:cs="Arial"/>
                <w:sz w:val="22"/>
                <w:szCs w:val="22"/>
              </w:rPr>
              <w:t>e and my</w:t>
            </w:r>
            <w:r w:rsidRPr="00483E9F">
              <w:rPr>
                <w:rFonts w:ascii="Arial" w:hAnsi="Arial" w:cs="Arial"/>
                <w:sz w:val="22"/>
                <w:szCs w:val="22"/>
              </w:rPr>
              <w:t xml:space="preserve"> work with her.</w:t>
            </w:r>
            <w:r w:rsidRPr="00483E9F">
              <w:rPr>
                <w:rFonts w:ascii="Arial" w:hAnsi="Arial" w:cs="Arial"/>
                <w:b/>
                <w:bCs/>
                <w:color w:val="4472C4" w:themeColor="accent1"/>
                <w:sz w:val="22"/>
                <w:szCs w:val="22"/>
              </w:rPr>
              <w:t xml:space="preserve">  </w:t>
            </w:r>
            <w:r w:rsidRPr="00483E9F">
              <w:rPr>
                <w:rFonts w:ascii="Arial" w:hAnsi="Arial" w:cs="Arial"/>
                <w:sz w:val="22"/>
                <w:szCs w:val="22"/>
              </w:rPr>
              <w:t>We also discussed how, by failing to create a clear plan and by supporting P1 with tasks beyond my role, I had inadvertently become too personally involved and had not maintained professional boundaries. I recognise that self-care and boundary management are skills I still need to strengthen.  Revisiting these regularly in supervision, gaining further practice experience, and reflecting with peers will be key in helping me to build resilience in this area.</w:t>
            </w:r>
          </w:p>
          <w:p w14:paraId="5B186189" w14:textId="77777777" w:rsidR="00131CC7" w:rsidRPr="00483E9F" w:rsidRDefault="00131CC7" w:rsidP="00131CC7">
            <w:pPr>
              <w:pStyle w:val="NormalWeb"/>
              <w:spacing w:line="360" w:lineRule="auto"/>
              <w:jc w:val="both"/>
              <w:rPr>
                <w:rFonts w:ascii="Arial" w:hAnsi="Arial" w:cs="Arial"/>
                <w:sz w:val="22"/>
                <w:szCs w:val="22"/>
              </w:rPr>
            </w:pPr>
          </w:p>
          <w:p w14:paraId="5162AF8B" w14:textId="3DDF16CD" w:rsidR="00131CC7" w:rsidRPr="005723FC" w:rsidRDefault="005723FC" w:rsidP="00131CC7">
            <w:pPr>
              <w:pStyle w:val="NormalWeb"/>
              <w:spacing w:line="360" w:lineRule="auto"/>
              <w:jc w:val="both"/>
              <w:rPr>
                <w:rFonts w:ascii="Arial" w:hAnsi="Arial" w:cs="Arial"/>
              </w:rPr>
            </w:pPr>
            <w:r w:rsidRPr="005723FC">
              <w:rPr>
                <w:rFonts w:ascii="Arial" w:hAnsi="Arial" w:cs="Arial"/>
              </w:rPr>
              <w:lastRenderedPageBreak/>
              <w:t>Maclean and Harrison (2015, p.159) explain that risk assessment usually involves two key areas: the risk an individual is subject to (vulnerability) and the risk an individual poses to others (dangerousness). However, there are no guarantees with risk assessments, and Carson (2008), as cited in Maclean and Harrison (2015, p.159), emphasises that the key skill lies in defensible decision-making, ensuring that decisions made are ones a reasonable body of practitioners would also choose in the same circumstances. Managing risk, exercising professional curiosity, and safeguarding individuals at risk are among the most important skills for a practitioner to have. Yet, situations and decisions in adult care are not always straightforward and often involve ethical dilemmas and challenges. For this reason, having a clear understanding of legislation, policies, and procedures is vital, not only to safeguard practitioners and the citizens they support, but also to navigate complex, high-risk situations. Professional development in this area will be an ongoing process, and it is my responsibility to continuously reflect and seek learning opportunities to ensure I remain up to date with new and evolving legislation, policies, and procedures</w:t>
            </w:r>
            <w:r w:rsidR="00131CC7" w:rsidRPr="005723FC">
              <w:rPr>
                <w:rFonts w:ascii="Arial" w:hAnsi="Arial" w:cs="Arial"/>
              </w:rPr>
              <w:t>.</w:t>
            </w:r>
          </w:p>
          <w:p w14:paraId="76B1B51A" w14:textId="2E8987ED" w:rsidR="005F3ED5" w:rsidRPr="00C32B2F" w:rsidRDefault="00EB0E2B" w:rsidP="00C32B2F">
            <w:pPr>
              <w:pStyle w:val="NormalWeb"/>
              <w:jc w:val="both"/>
              <w:rPr>
                <w:rFonts w:asciiTheme="minorHAnsi" w:hAnsiTheme="minorHAnsi" w:cstheme="minorHAnsi"/>
              </w:rPr>
            </w:pPr>
            <w:r>
              <w:rPr>
                <w:rFonts w:asciiTheme="minorHAnsi" w:hAnsiTheme="minorHAnsi" w:cstheme="minorHAnsi"/>
              </w:rPr>
              <w:t xml:space="preserve">Word count: </w:t>
            </w:r>
            <w:r w:rsidR="00131CC7">
              <w:rPr>
                <w:rFonts w:asciiTheme="minorHAnsi" w:hAnsiTheme="minorHAnsi" w:cstheme="minorHAnsi"/>
              </w:rPr>
              <w:t>4</w:t>
            </w:r>
            <w:r w:rsidR="005723FC">
              <w:rPr>
                <w:rFonts w:asciiTheme="minorHAnsi" w:hAnsiTheme="minorHAnsi" w:cstheme="minorHAnsi"/>
              </w:rPr>
              <w:t>399</w:t>
            </w:r>
          </w:p>
          <w:p w14:paraId="6EE25252" w14:textId="77777777" w:rsidR="007B6151" w:rsidRPr="006F00C0" w:rsidRDefault="007B6151" w:rsidP="00785E64">
            <w:pPr>
              <w:pStyle w:val="NormalWeb"/>
              <w:rPr>
                <w:rFonts w:asciiTheme="minorHAnsi" w:hAnsiTheme="minorHAnsi" w:cstheme="minorHAnsi"/>
              </w:rPr>
            </w:pPr>
          </w:p>
          <w:p w14:paraId="3C46999D" w14:textId="77777777" w:rsidR="002E0490" w:rsidRDefault="002E0490" w:rsidP="00785E64">
            <w:pPr>
              <w:pStyle w:val="NormalWeb"/>
              <w:rPr>
                <w:rFonts w:asciiTheme="minorHAnsi" w:hAnsiTheme="minorHAnsi" w:cstheme="minorHAnsi"/>
              </w:rPr>
            </w:pPr>
          </w:p>
          <w:p w14:paraId="77CBDB40" w14:textId="77777777" w:rsidR="002E0490" w:rsidRPr="00785E64" w:rsidRDefault="002E0490" w:rsidP="00785E64">
            <w:pPr>
              <w:pStyle w:val="NormalWeb"/>
              <w:rPr>
                <w:rFonts w:asciiTheme="minorHAnsi" w:hAnsiTheme="minorHAnsi" w:cstheme="minorHAnsi"/>
              </w:rPr>
            </w:pPr>
          </w:p>
          <w:p w14:paraId="4705147D" w14:textId="77777777" w:rsidR="006B460A" w:rsidRDefault="006B460A" w:rsidP="000B27AD">
            <w:pPr>
              <w:pStyle w:val="NormalWeb"/>
              <w:rPr>
                <w:rFonts w:asciiTheme="minorHAnsi" w:hAnsiTheme="minorHAnsi" w:cstheme="minorHAnsi"/>
              </w:rPr>
            </w:pPr>
          </w:p>
          <w:p w14:paraId="48EBB7E1" w14:textId="128A46E1" w:rsidR="00EC7724" w:rsidRPr="00A634AC" w:rsidRDefault="00EC7724" w:rsidP="00A634AC">
            <w:pPr>
              <w:pStyle w:val="NormalWeb"/>
              <w:rPr>
                <w:rFonts w:asciiTheme="minorHAnsi" w:hAnsiTheme="minorHAnsi" w:cstheme="minorHAnsi"/>
              </w:rPr>
            </w:pPr>
          </w:p>
          <w:p w14:paraId="3EF3A10F" w14:textId="77777777" w:rsidR="00A21261" w:rsidRDefault="00A21261" w:rsidP="00250482">
            <w:pPr>
              <w:pStyle w:val="NormalWeb"/>
              <w:rPr>
                <w:rFonts w:asciiTheme="minorHAnsi" w:hAnsiTheme="minorHAnsi" w:cstheme="minorHAnsi"/>
              </w:rPr>
            </w:pPr>
          </w:p>
          <w:p w14:paraId="72354C96" w14:textId="77777777" w:rsidR="005E617D" w:rsidRDefault="005E617D" w:rsidP="00FB1F0E">
            <w:pPr>
              <w:pStyle w:val="NormalWeb"/>
              <w:jc w:val="both"/>
              <w:rPr>
                <w:rFonts w:asciiTheme="minorHAnsi" w:hAnsiTheme="minorHAnsi" w:cstheme="minorHAnsi"/>
              </w:rPr>
            </w:pPr>
          </w:p>
          <w:p w14:paraId="70B16AAE" w14:textId="77777777" w:rsidR="00DB25D7" w:rsidRPr="00FB1F0E" w:rsidRDefault="00DB25D7" w:rsidP="00FB1F0E">
            <w:pPr>
              <w:pStyle w:val="NormalWeb"/>
              <w:jc w:val="both"/>
              <w:rPr>
                <w:rFonts w:asciiTheme="minorHAnsi" w:hAnsiTheme="minorHAnsi" w:cstheme="minorHAnsi"/>
              </w:rPr>
            </w:pPr>
          </w:p>
          <w:p w14:paraId="52921EED" w14:textId="77777777" w:rsidR="0024319C" w:rsidRPr="006F1921" w:rsidRDefault="0024319C" w:rsidP="00FF7EBB">
            <w:pPr>
              <w:jc w:val="both"/>
              <w:rPr>
                <w:sz w:val="24"/>
                <w:szCs w:val="24"/>
              </w:rPr>
            </w:pPr>
          </w:p>
          <w:p w14:paraId="30F0A58E" w14:textId="77777777" w:rsidR="00D47028" w:rsidRDefault="00D47028" w:rsidP="00FF7EBB">
            <w:pPr>
              <w:jc w:val="both"/>
              <w:rPr>
                <w:sz w:val="32"/>
                <w:szCs w:val="32"/>
              </w:rPr>
            </w:pPr>
          </w:p>
          <w:p w14:paraId="353ABEAA" w14:textId="77777777" w:rsidR="00D47028" w:rsidRPr="002B1052" w:rsidRDefault="00D47028" w:rsidP="00FF7EBB">
            <w:pPr>
              <w:jc w:val="both"/>
              <w:rPr>
                <w:sz w:val="32"/>
                <w:szCs w:val="32"/>
              </w:rPr>
            </w:pPr>
          </w:p>
          <w:p w14:paraId="1F10245E" w14:textId="77777777" w:rsidR="007724AE" w:rsidRDefault="007724AE" w:rsidP="00FF7EBB">
            <w:pPr>
              <w:jc w:val="both"/>
              <w:rPr>
                <w:rFonts w:ascii="Nunito" w:hAnsi="Nunito"/>
                <w:i/>
                <w:color w:val="3A3A3A"/>
                <w:sz w:val="30"/>
                <w:szCs w:val="30"/>
                <w:shd w:val="clear" w:color="auto" w:fill="FFFFFF"/>
              </w:rPr>
            </w:pPr>
          </w:p>
          <w:p w14:paraId="6B51D2C8" w14:textId="77777777" w:rsidR="00D47028" w:rsidRDefault="00D47028" w:rsidP="00FF7EBB">
            <w:pPr>
              <w:jc w:val="both"/>
              <w:rPr>
                <w:rFonts w:ascii="Nunito" w:hAnsi="Nunito"/>
                <w:i/>
                <w:color w:val="3A3A3A"/>
                <w:sz w:val="30"/>
                <w:szCs w:val="30"/>
                <w:shd w:val="clear" w:color="auto" w:fill="FFFFFF"/>
              </w:rPr>
            </w:pPr>
          </w:p>
          <w:p w14:paraId="1C85204B" w14:textId="77777777" w:rsidR="007724AE" w:rsidRDefault="007724AE" w:rsidP="00FF7EBB">
            <w:pPr>
              <w:jc w:val="both"/>
              <w:rPr>
                <w:i/>
                <w:sz w:val="24"/>
                <w:szCs w:val="24"/>
              </w:rPr>
            </w:pPr>
          </w:p>
          <w:p w14:paraId="03FAD207" w14:textId="77777777" w:rsidR="00145C1A" w:rsidRDefault="00145C1A" w:rsidP="00FF7EBB">
            <w:pPr>
              <w:jc w:val="both"/>
              <w:rPr>
                <w:i/>
                <w:sz w:val="24"/>
                <w:szCs w:val="24"/>
              </w:rPr>
            </w:pPr>
          </w:p>
          <w:p w14:paraId="721E0F29" w14:textId="77777777" w:rsidR="00145C1A" w:rsidRDefault="00145C1A" w:rsidP="00FF7EBB">
            <w:pPr>
              <w:jc w:val="both"/>
              <w:rPr>
                <w:i/>
                <w:sz w:val="24"/>
                <w:szCs w:val="24"/>
              </w:rPr>
            </w:pPr>
          </w:p>
          <w:p w14:paraId="440D4A61" w14:textId="77777777" w:rsidR="00145C1A" w:rsidRDefault="00145C1A" w:rsidP="00FF7EBB">
            <w:pPr>
              <w:jc w:val="both"/>
              <w:rPr>
                <w:i/>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r w:rsidR="00CC5A34" w:rsidRPr="008B28E7" w14:paraId="4C730506" w14:textId="77777777" w:rsidTr="7B2CF1A9">
        <w:tc>
          <w:tcPr>
            <w:tcW w:w="10031" w:type="dxa"/>
          </w:tcPr>
          <w:p w14:paraId="39033E1F" w14:textId="77777777" w:rsidR="00CC5A34" w:rsidRPr="006872A0" w:rsidRDefault="00CC5A34" w:rsidP="00064063">
            <w:pPr>
              <w:jc w:val="both"/>
              <w:rPr>
                <w:b/>
                <w:sz w:val="24"/>
                <w:szCs w:val="24"/>
              </w:rPr>
            </w:pPr>
          </w:p>
        </w:tc>
      </w:tr>
    </w:tbl>
    <w:p w14:paraId="23DE3CE8" w14:textId="14742F82" w:rsidR="00813325" w:rsidRDefault="00813325" w:rsidP="00813325">
      <w:pPr>
        <w:tabs>
          <w:tab w:val="left" w:pos="3804"/>
        </w:tabs>
        <w:rPr>
          <w:b/>
          <w:bCs/>
          <w:sz w:val="24"/>
          <w:szCs w:val="24"/>
          <w:u w:val="single"/>
        </w:rPr>
      </w:pPr>
    </w:p>
    <w:p w14:paraId="07739178" w14:textId="77777777" w:rsidR="00AC3B0D" w:rsidRDefault="00AC3B0D" w:rsidP="00813325">
      <w:pPr>
        <w:tabs>
          <w:tab w:val="left" w:pos="3804"/>
        </w:tabs>
        <w:rPr>
          <w:b/>
          <w:bCs/>
          <w:sz w:val="24"/>
          <w:szCs w:val="24"/>
          <w:u w:val="single"/>
        </w:rPr>
      </w:pPr>
    </w:p>
    <w:p w14:paraId="43A7685F" w14:textId="280EB233" w:rsidR="00AA22B9" w:rsidRDefault="00AA22B9">
      <w:pPr>
        <w:overflowPunct/>
        <w:autoSpaceDE/>
        <w:autoSpaceDN/>
        <w:adjustRightInd/>
        <w:textAlignment w:val="auto"/>
        <w:rPr>
          <w:sz w:val="24"/>
          <w:szCs w:val="24"/>
        </w:rPr>
      </w:pPr>
    </w:p>
    <w:p w14:paraId="3375E975" w14:textId="77777777" w:rsidR="00EB0E2B" w:rsidRPr="00972371" w:rsidRDefault="00EB0E2B" w:rsidP="00813325">
      <w:pPr>
        <w:tabs>
          <w:tab w:val="left" w:pos="3804"/>
        </w:tabs>
        <w:rPr>
          <w:sz w:val="24"/>
          <w:szCs w:val="24"/>
        </w:rPr>
      </w:pPr>
    </w:p>
    <w:sectPr w:rsidR="00EB0E2B" w:rsidRPr="00972371"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E338CB" w14:textId="77777777" w:rsidR="00A54E34" w:rsidRDefault="00A54E34">
      <w:r>
        <w:separator/>
      </w:r>
    </w:p>
  </w:endnote>
  <w:endnote w:type="continuationSeparator" w:id="0">
    <w:p w14:paraId="71E5DB0A" w14:textId="77777777" w:rsidR="00A54E34" w:rsidRDefault="00A54E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Nunito">
    <w:charset w:val="00"/>
    <w:family w:val="auto"/>
    <w:pitch w:val="variable"/>
    <w:sig w:usb0="A00002FF" w:usb1="5000204B" w:usb2="00000000" w:usb3="00000000" w:csb0="00000197"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7603CA" w14:textId="77777777" w:rsidR="00A54E34" w:rsidRDefault="00A54E34">
      <w:r>
        <w:separator/>
      </w:r>
    </w:p>
  </w:footnote>
  <w:footnote w:type="continuationSeparator" w:id="0">
    <w:p w14:paraId="328F3680" w14:textId="77777777" w:rsidR="00A54E34" w:rsidRDefault="00A54E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7F221E1"/>
    <w:multiLevelType w:val="multilevel"/>
    <w:tmpl w:val="E0189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311835721">
    <w:abstractNumId w:val="2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5833"/>
    <w:rsid w:val="00035AC8"/>
    <w:rsid w:val="000372B2"/>
    <w:rsid w:val="0004079F"/>
    <w:rsid w:val="00042AA0"/>
    <w:rsid w:val="00043543"/>
    <w:rsid w:val="00045B87"/>
    <w:rsid w:val="00045C07"/>
    <w:rsid w:val="00045C40"/>
    <w:rsid w:val="00046861"/>
    <w:rsid w:val="00054A07"/>
    <w:rsid w:val="00055601"/>
    <w:rsid w:val="00055D43"/>
    <w:rsid w:val="00056FAC"/>
    <w:rsid w:val="00057751"/>
    <w:rsid w:val="00062E39"/>
    <w:rsid w:val="00063AC6"/>
    <w:rsid w:val="00064063"/>
    <w:rsid w:val="0006581A"/>
    <w:rsid w:val="0006701C"/>
    <w:rsid w:val="00070698"/>
    <w:rsid w:val="00074461"/>
    <w:rsid w:val="000766EC"/>
    <w:rsid w:val="00080E58"/>
    <w:rsid w:val="00083D99"/>
    <w:rsid w:val="00084DA6"/>
    <w:rsid w:val="00085699"/>
    <w:rsid w:val="00090160"/>
    <w:rsid w:val="00091F52"/>
    <w:rsid w:val="00092970"/>
    <w:rsid w:val="00093472"/>
    <w:rsid w:val="00093720"/>
    <w:rsid w:val="000938E6"/>
    <w:rsid w:val="00093B3C"/>
    <w:rsid w:val="0009488C"/>
    <w:rsid w:val="00095C1B"/>
    <w:rsid w:val="00096DEA"/>
    <w:rsid w:val="000A4240"/>
    <w:rsid w:val="000A469A"/>
    <w:rsid w:val="000A584A"/>
    <w:rsid w:val="000A6458"/>
    <w:rsid w:val="000B2406"/>
    <w:rsid w:val="000B27AD"/>
    <w:rsid w:val="000C378F"/>
    <w:rsid w:val="000C6892"/>
    <w:rsid w:val="000C6FFE"/>
    <w:rsid w:val="000D0BB6"/>
    <w:rsid w:val="000D23E1"/>
    <w:rsid w:val="000D2ED2"/>
    <w:rsid w:val="000D6653"/>
    <w:rsid w:val="000E0D51"/>
    <w:rsid w:val="000E26B0"/>
    <w:rsid w:val="000E37C2"/>
    <w:rsid w:val="000E38C3"/>
    <w:rsid w:val="000F1599"/>
    <w:rsid w:val="000F1769"/>
    <w:rsid w:val="000F1A97"/>
    <w:rsid w:val="000F42AE"/>
    <w:rsid w:val="000F5B29"/>
    <w:rsid w:val="000F6196"/>
    <w:rsid w:val="000F6BC3"/>
    <w:rsid w:val="0010312C"/>
    <w:rsid w:val="00103DC6"/>
    <w:rsid w:val="00105026"/>
    <w:rsid w:val="0010662B"/>
    <w:rsid w:val="00106DC7"/>
    <w:rsid w:val="00112391"/>
    <w:rsid w:val="00114F52"/>
    <w:rsid w:val="001274B0"/>
    <w:rsid w:val="00130119"/>
    <w:rsid w:val="00131CC7"/>
    <w:rsid w:val="00132812"/>
    <w:rsid w:val="001347F8"/>
    <w:rsid w:val="001359EE"/>
    <w:rsid w:val="00137BB5"/>
    <w:rsid w:val="00137E05"/>
    <w:rsid w:val="00144710"/>
    <w:rsid w:val="001447F6"/>
    <w:rsid w:val="00145C1A"/>
    <w:rsid w:val="001475B9"/>
    <w:rsid w:val="00147DE3"/>
    <w:rsid w:val="00150794"/>
    <w:rsid w:val="00151DA6"/>
    <w:rsid w:val="00160255"/>
    <w:rsid w:val="001608C4"/>
    <w:rsid w:val="0016235C"/>
    <w:rsid w:val="001632EC"/>
    <w:rsid w:val="00164832"/>
    <w:rsid w:val="00171418"/>
    <w:rsid w:val="001740DA"/>
    <w:rsid w:val="001772BF"/>
    <w:rsid w:val="001772DE"/>
    <w:rsid w:val="00180A0B"/>
    <w:rsid w:val="001826DD"/>
    <w:rsid w:val="0019496C"/>
    <w:rsid w:val="001961CF"/>
    <w:rsid w:val="001A59BB"/>
    <w:rsid w:val="001A607E"/>
    <w:rsid w:val="001A6A51"/>
    <w:rsid w:val="001A79C4"/>
    <w:rsid w:val="001B331A"/>
    <w:rsid w:val="001B7711"/>
    <w:rsid w:val="001C0237"/>
    <w:rsid w:val="001C0E74"/>
    <w:rsid w:val="001C3E71"/>
    <w:rsid w:val="001C4DB8"/>
    <w:rsid w:val="001C50B8"/>
    <w:rsid w:val="001D229F"/>
    <w:rsid w:val="001D3D2F"/>
    <w:rsid w:val="001E2EB6"/>
    <w:rsid w:val="001F11E5"/>
    <w:rsid w:val="001F437F"/>
    <w:rsid w:val="001F4552"/>
    <w:rsid w:val="002019EB"/>
    <w:rsid w:val="00201EC1"/>
    <w:rsid w:val="002030B3"/>
    <w:rsid w:val="00204024"/>
    <w:rsid w:val="00204B58"/>
    <w:rsid w:val="00205051"/>
    <w:rsid w:val="00211F65"/>
    <w:rsid w:val="00214047"/>
    <w:rsid w:val="00216563"/>
    <w:rsid w:val="0021792F"/>
    <w:rsid w:val="00220D06"/>
    <w:rsid w:val="002246A0"/>
    <w:rsid w:val="0022473B"/>
    <w:rsid w:val="00230439"/>
    <w:rsid w:val="00232A09"/>
    <w:rsid w:val="00235176"/>
    <w:rsid w:val="00236061"/>
    <w:rsid w:val="00240107"/>
    <w:rsid w:val="0024100E"/>
    <w:rsid w:val="00241C1B"/>
    <w:rsid w:val="0024288B"/>
    <w:rsid w:val="0024319C"/>
    <w:rsid w:val="00243DB0"/>
    <w:rsid w:val="00247265"/>
    <w:rsid w:val="00250482"/>
    <w:rsid w:val="0025484C"/>
    <w:rsid w:val="00260663"/>
    <w:rsid w:val="002657E9"/>
    <w:rsid w:val="0026665E"/>
    <w:rsid w:val="0027147E"/>
    <w:rsid w:val="002761F4"/>
    <w:rsid w:val="002775E1"/>
    <w:rsid w:val="00277979"/>
    <w:rsid w:val="00291ADD"/>
    <w:rsid w:val="002920DF"/>
    <w:rsid w:val="00292F3D"/>
    <w:rsid w:val="00295CA1"/>
    <w:rsid w:val="002A0182"/>
    <w:rsid w:val="002A0E51"/>
    <w:rsid w:val="002A1A44"/>
    <w:rsid w:val="002A291A"/>
    <w:rsid w:val="002A2C54"/>
    <w:rsid w:val="002A4E2E"/>
    <w:rsid w:val="002A5604"/>
    <w:rsid w:val="002B1052"/>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490"/>
    <w:rsid w:val="002E2C69"/>
    <w:rsid w:val="002E4B2F"/>
    <w:rsid w:val="002E6D17"/>
    <w:rsid w:val="002E7017"/>
    <w:rsid w:val="002E7F2C"/>
    <w:rsid w:val="002F1FC7"/>
    <w:rsid w:val="002F2185"/>
    <w:rsid w:val="002F4E25"/>
    <w:rsid w:val="002F4F6E"/>
    <w:rsid w:val="003015C3"/>
    <w:rsid w:val="003106DB"/>
    <w:rsid w:val="003125F8"/>
    <w:rsid w:val="0031350A"/>
    <w:rsid w:val="00316815"/>
    <w:rsid w:val="003168CA"/>
    <w:rsid w:val="00321255"/>
    <w:rsid w:val="0032230D"/>
    <w:rsid w:val="00322A0B"/>
    <w:rsid w:val="00330881"/>
    <w:rsid w:val="00331CD2"/>
    <w:rsid w:val="00331CDA"/>
    <w:rsid w:val="00332426"/>
    <w:rsid w:val="00335C41"/>
    <w:rsid w:val="00335FC5"/>
    <w:rsid w:val="00336AF1"/>
    <w:rsid w:val="0033771E"/>
    <w:rsid w:val="00337FEF"/>
    <w:rsid w:val="00344437"/>
    <w:rsid w:val="0035104A"/>
    <w:rsid w:val="00351FBB"/>
    <w:rsid w:val="00353B5B"/>
    <w:rsid w:val="00354B6D"/>
    <w:rsid w:val="00355210"/>
    <w:rsid w:val="00355CFD"/>
    <w:rsid w:val="00360C98"/>
    <w:rsid w:val="003655CF"/>
    <w:rsid w:val="00365DF9"/>
    <w:rsid w:val="0037066E"/>
    <w:rsid w:val="00372DB4"/>
    <w:rsid w:val="00373A36"/>
    <w:rsid w:val="00373C12"/>
    <w:rsid w:val="0037419E"/>
    <w:rsid w:val="00375AF5"/>
    <w:rsid w:val="003761BD"/>
    <w:rsid w:val="00377448"/>
    <w:rsid w:val="00377884"/>
    <w:rsid w:val="0038122D"/>
    <w:rsid w:val="003826BD"/>
    <w:rsid w:val="00385414"/>
    <w:rsid w:val="00390074"/>
    <w:rsid w:val="00392F73"/>
    <w:rsid w:val="00393600"/>
    <w:rsid w:val="0039762B"/>
    <w:rsid w:val="003A0C37"/>
    <w:rsid w:val="003A1B6B"/>
    <w:rsid w:val="003A2911"/>
    <w:rsid w:val="003A46C0"/>
    <w:rsid w:val="003A600E"/>
    <w:rsid w:val="003A6513"/>
    <w:rsid w:val="003B16C7"/>
    <w:rsid w:val="003B29BC"/>
    <w:rsid w:val="003B3115"/>
    <w:rsid w:val="003B3F9C"/>
    <w:rsid w:val="003C0253"/>
    <w:rsid w:val="003C19F1"/>
    <w:rsid w:val="003C3C67"/>
    <w:rsid w:val="003C4186"/>
    <w:rsid w:val="003C6185"/>
    <w:rsid w:val="003C6DD8"/>
    <w:rsid w:val="003D0D2D"/>
    <w:rsid w:val="003D1885"/>
    <w:rsid w:val="003D1BC0"/>
    <w:rsid w:val="003D1D78"/>
    <w:rsid w:val="003D20F1"/>
    <w:rsid w:val="003D4710"/>
    <w:rsid w:val="003E16D7"/>
    <w:rsid w:val="003E197E"/>
    <w:rsid w:val="003E233F"/>
    <w:rsid w:val="003E4B70"/>
    <w:rsid w:val="003E54CF"/>
    <w:rsid w:val="003E5FBA"/>
    <w:rsid w:val="003F1233"/>
    <w:rsid w:val="003F67A4"/>
    <w:rsid w:val="00400786"/>
    <w:rsid w:val="00401FDA"/>
    <w:rsid w:val="004046F0"/>
    <w:rsid w:val="0040668F"/>
    <w:rsid w:val="00411EF7"/>
    <w:rsid w:val="00412677"/>
    <w:rsid w:val="00422001"/>
    <w:rsid w:val="00425160"/>
    <w:rsid w:val="0042595C"/>
    <w:rsid w:val="00430DE3"/>
    <w:rsid w:val="004348AE"/>
    <w:rsid w:val="004376C0"/>
    <w:rsid w:val="0044223A"/>
    <w:rsid w:val="00445594"/>
    <w:rsid w:val="00450B67"/>
    <w:rsid w:val="00451851"/>
    <w:rsid w:val="0045189A"/>
    <w:rsid w:val="00452A49"/>
    <w:rsid w:val="00453343"/>
    <w:rsid w:val="004538C3"/>
    <w:rsid w:val="004608B9"/>
    <w:rsid w:val="00463B55"/>
    <w:rsid w:val="00465947"/>
    <w:rsid w:val="004667B1"/>
    <w:rsid w:val="00467F66"/>
    <w:rsid w:val="00470461"/>
    <w:rsid w:val="00470BB1"/>
    <w:rsid w:val="00473153"/>
    <w:rsid w:val="0047350F"/>
    <w:rsid w:val="004743AF"/>
    <w:rsid w:val="004747F7"/>
    <w:rsid w:val="00482C17"/>
    <w:rsid w:val="00484CE3"/>
    <w:rsid w:val="004911B4"/>
    <w:rsid w:val="0049196A"/>
    <w:rsid w:val="004923DA"/>
    <w:rsid w:val="00492EEB"/>
    <w:rsid w:val="00493434"/>
    <w:rsid w:val="004968E2"/>
    <w:rsid w:val="00496B53"/>
    <w:rsid w:val="004A17CD"/>
    <w:rsid w:val="004A2A49"/>
    <w:rsid w:val="004A3E6A"/>
    <w:rsid w:val="004A5A64"/>
    <w:rsid w:val="004B2D63"/>
    <w:rsid w:val="004B366F"/>
    <w:rsid w:val="004B3B95"/>
    <w:rsid w:val="004B5553"/>
    <w:rsid w:val="004B600B"/>
    <w:rsid w:val="004B6822"/>
    <w:rsid w:val="004B69F6"/>
    <w:rsid w:val="004C2D3A"/>
    <w:rsid w:val="004C3C51"/>
    <w:rsid w:val="004D03C4"/>
    <w:rsid w:val="004D0BF1"/>
    <w:rsid w:val="004D0F4E"/>
    <w:rsid w:val="004D3278"/>
    <w:rsid w:val="004D35A4"/>
    <w:rsid w:val="004D445F"/>
    <w:rsid w:val="004E087B"/>
    <w:rsid w:val="004E0B6B"/>
    <w:rsid w:val="004E1504"/>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6C28"/>
    <w:rsid w:val="00521123"/>
    <w:rsid w:val="00521221"/>
    <w:rsid w:val="0052250B"/>
    <w:rsid w:val="005305C6"/>
    <w:rsid w:val="00531279"/>
    <w:rsid w:val="00540EEC"/>
    <w:rsid w:val="005414F4"/>
    <w:rsid w:val="00544DBA"/>
    <w:rsid w:val="00546187"/>
    <w:rsid w:val="00547B11"/>
    <w:rsid w:val="00552593"/>
    <w:rsid w:val="005533E3"/>
    <w:rsid w:val="00557D77"/>
    <w:rsid w:val="00562EAA"/>
    <w:rsid w:val="00563B58"/>
    <w:rsid w:val="005640C4"/>
    <w:rsid w:val="0056684C"/>
    <w:rsid w:val="005723FC"/>
    <w:rsid w:val="00574A0C"/>
    <w:rsid w:val="0057780F"/>
    <w:rsid w:val="00581E0A"/>
    <w:rsid w:val="00586D89"/>
    <w:rsid w:val="005877C8"/>
    <w:rsid w:val="00587923"/>
    <w:rsid w:val="00594C0D"/>
    <w:rsid w:val="00594F9F"/>
    <w:rsid w:val="005A1B4C"/>
    <w:rsid w:val="005A545C"/>
    <w:rsid w:val="005B271A"/>
    <w:rsid w:val="005B3A2D"/>
    <w:rsid w:val="005C1567"/>
    <w:rsid w:val="005C28D3"/>
    <w:rsid w:val="005C6CE5"/>
    <w:rsid w:val="005D0E8A"/>
    <w:rsid w:val="005D23FA"/>
    <w:rsid w:val="005D3F07"/>
    <w:rsid w:val="005D4A1E"/>
    <w:rsid w:val="005D4F72"/>
    <w:rsid w:val="005E13EA"/>
    <w:rsid w:val="005E17F1"/>
    <w:rsid w:val="005E4C88"/>
    <w:rsid w:val="005E617D"/>
    <w:rsid w:val="005F3ED5"/>
    <w:rsid w:val="005F64AA"/>
    <w:rsid w:val="005F7851"/>
    <w:rsid w:val="00606E27"/>
    <w:rsid w:val="006108C9"/>
    <w:rsid w:val="00613617"/>
    <w:rsid w:val="00614DF7"/>
    <w:rsid w:val="006179BB"/>
    <w:rsid w:val="0062158D"/>
    <w:rsid w:val="006223FD"/>
    <w:rsid w:val="00623603"/>
    <w:rsid w:val="006326D1"/>
    <w:rsid w:val="00632E0A"/>
    <w:rsid w:val="00633165"/>
    <w:rsid w:val="00637A8E"/>
    <w:rsid w:val="006447DE"/>
    <w:rsid w:val="00644889"/>
    <w:rsid w:val="00650B31"/>
    <w:rsid w:val="006517F6"/>
    <w:rsid w:val="0065276E"/>
    <w:rsid w:val="00654329"/>
    <w:rsid w:val="00654CEC"/>
    <w:rsid w:val="00655507"/>
    <w:rsid w:val="006579FD"/>
    <w:rsid w:val="006635E3"/>
    <w:rsid w:val="006669F3"/>
    <w:rsid w:val="00666D84"/>
    <w:rsid w:val="006712A7"/>
    <w:rsid w:val="00672CED"/>
    <w:rsid w:val="00674FC2"/>
    <w:rsid w:val="00676E35"/>
    <w:rsid w:val="00677E42"/>
    <w:rsid w:val="00682334"/>
    <w:rsid w:val="00684732"/>
    <w:rsid w:val="00684B16"/>
    <w:rsid w:val="00687016"/>
    <w:rsid w:val="006872A0"/>
    <w:rsid w:val="0069625A"/>
    <w:rsid w:val="00696A88"/>
    <w:rsid w:val="00696AAA"/>
    <w:rsid w:val="00696F65"/>
    <w:rsid w:val="00697572"/>
    <w:rsid w:val="006B01C8"/>
    <w:rsid w:val="006B4496"/>
    <w:rsid w:val="006B460A"/>
    <w:rsid w:val="006B5E67"/>
    <w:rsid w:val="006B6612"/>
    <w:rsid w:val="006C2EB5"/>
    <w:rsid w:val="006D18A3"/>
    <w:rsid w:val="006D28EC"/>
    <w:rsid w:val="006D5970"/>
    <w:rsid w:val="006E481E"/>
    <w:rsid w:val="006E795F"/>
    <w:rsid w:val="006F00C0"/>
    <w:rsid w:val="006F0862"/>
    <w:rsid w:val="006F1438"/>
    <w:rsid w:val="006F1921"/>
    <w:rsid w:val="006F2A9E"/>
    <w:rsid w:val="006F48DB"/>
    <w:rsid w:val="006F5ED3"/>
    <w:rsid w:val="00700249"/>
    <w:rsid w:val="007069CD"/>
    <w:rsid w:val="00706BB5"/>
    <w:rsid w:val="007072BA"/>
    <w:rsid w:val="0071231A"/>
    <w:rsid w:val="00712E90"/>
    <w:rsid w:val="00713B7E"/>
    <w:rsid w:val="0072678F"/>
    <w:rsid w:val="007276E5"/>
    <w:rsid w:val="00727C4C"/>
    <w:rsid w:val="007309CE"/>
    <w:rsid w:val="0073475D"/>
    <w:rsid w:val="00734809"/>
    <w:rsid w:val="0073714E"/>
    <w:rsid w:val="007374EF"/>
    <w:rsid w:val="007406E1"/>
    <w:rsid w:val="00741A0A"/>
    <w:rsid w:val="00743E40"/>
    <w:rsid w:val="00745016"/>
    <w:rsid w:val="00747842"/>
    <w:rsid w:val="0075031F"/>
    <w:rsid w:val="00751263"/>
    <w:rsid w:val="0075131A"/>
    <w:rsid w:val="007544FC"/>
    <w:rsid w:val="00755427"/>
    <w:rsid w:val="00756548"/>
    <w:rsid w:val="0075673A"/>
    <w:rsid w:val="0075704F"/>
    <w:rsid w:val="00763B2D"/>
    <w:rsid w:val="00764C84"/>
    <w:rsid w:val="007710AD"/>
    <w:rsid w:val="007724AE"/>
    <w:rsid w:val="00772924"/>
    <w:rsid w:val="007803D7"/>
    <w:rsid w:val="0078112D"/>
    <w:rsid w:val="00785E64"/>
    <w:rsid w:val="007872F2"/>
    <w:rsid w:val="007873F9"/>
    <w:rsid w:val="007908E0"/>
    <w:rsid w:val="00793EB3"/>
    <w:rsid w:val="00794205"/>
    <w:rsid w:val="0079422A"/>
    <w:rsid w:val="007A1F6A"/>
    <w:rsid w:val="007A6021"/>
    <w:rsid w:val="007A628F"/>
    <w:rsid w:val="007B0DE3"/>
    <w:rsid w:val="007B1BFD"/>
    <w:rsid w:val="007B6151"/>
    <w:rsid w:val="007B7191"/>
    <w:rsid w:val="007C1D94"/>
    <w:rsid w:val="007C556F"/>
    <w:rsid w:val="007C5ABE"/>
    <w:rsid w:val="007C6A87"/>
    <w:rsid w:val="007D0A07"/>
    <w:rsid w:val="007D0F11"/>
    <w:rsid w:val="007D133D"/>
    <w:rsid w:val="007D3EB4"/>
    <w:rsid w:val="007D3F16"/>
    <w:rsid w:val="007D4974"/>
    <w:rsid w:val="007E6F5A"/>
    <w:rsid w:val="007F10BD"/>
    <w:rsid w:val="007F2512"/>
    <w:rsid w:val="007F312E"/>
    <w:rsid w:val="007F3F7E"/>
    <w:rsid w:val="007F4BA4"/>
    <w:rsid w:val="00803F7E"/>
    <w:rsid w:val="0081276F"/>
    <w:rsid w:val="00813325"/>
    <w:rsid w:val="00813CEC"/>
    <w:rsid w:val="0081534C"/>
    <w:rsid w:val="00816CE7"/>
    <w:rsid w:val="008171E4"/>
    <w:rsid w:val="008208EA"/>
    <w:rsid w:val="00822B44"/>
    <w:rsid w:val="00824875"/>
    <w:rsid w:val="00824E67"/>
    <w:rsid w:val="00825A64"/>
    <w:rsid w:val="00826F48"/>
    <w:rsid w:val="008308AE"/>
    <w:rsid w:val="00830DD1"/>
    <w:rsid w:val="0083166E"/>
    <w:rsid w:val="00831DC3"/>
    <w:rsid w:val="008322C7"/>
    <w:rsid w:val="008340BA"/>
    <w:rsid w:val="00834F1D"/>
    <w:rsid w:val="0083620E"/>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80F"/>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499E"/>
    <w:rsid w:val="008D5813"/>
    <w:rsid w:val="008D5999"/>
    <w:rsid w:val="008D634E"/>
    <w:rsid w:val="008D6FE0"/>
    <w:rsid w:val="008D778A"/>
    <w:rsid w:val="008D78C9"/>
    <w:rsid w:val="008E3195"/>
    <w:rsid w:val="008E5A35"/>
    <w:rsid w:val="008F127E"/>
    <w:rsid w:val="008F32D9"/>
    <w:rsid w:val="00902A65"/>
    <w:rsid w:val="00903932"/>
    <w:rsid w:val="009079BD"/>
    <w:rsid w:val="00912BD9"/>
    <w:rsid w:val="00916BD0"/>
    <w:rsid w:val="00916FB2"/>
    <w:rsid w:val="00920E5B"/>
    <w:rsid w:val="00922A3F"/>
    <w:rsid w:val="00926436"/>
    <w:rsid w:val="00926C53"/>
    <w:rsid w:val="00930113"/>
    <w:rsid w:val="0093018C"/>
    <w:rsid w:val="00942D54"/>
    <w:rsid w:val="0094495F"/>
    <w:rsid w:val="00944CBF"/>
    <w:rsid w:val="009544C0"/>
    <w:rsid w:val="00954FA4"/>
    <w:rsid w:val="00956AE9"/>
    <w:rsid w:val="00964CC6"/>
    <w:rsid w:val="00967BFA"/>
    <w:rsid w:val="00972371"/>
    <w:rsid w:val="00973A32"/>
    <w:rsid w:val="009749BC"/>
    <w:rsid w:val="00977543"/>
    <w:rsid w:val="0098262C"/>
    <w:rsid w:val="0098427C"/>
    <w:rsid w:val="00986B43"/>
    <w:rsid w:val="00986C0B"/>
    <w:rsid w:val="00986D46"/>
    <w:rsid w:val="009906D9"/>
    <w:rsid w:val="00991FDA"/>
    <w:rsid w:val="00992ACA"/>
    <w:rsid w:val="009A5F3B"/>
    <w:rsid w:val="009A5F79"/>
    <w:rsid w:val="009A6F87"/>
    <w:rsid w:val="009B0B61"/>
    <w:rsid w:val="009B28C0"/>
    <w:rsid w:val="009B3178"/>
    <w:rsid w:val="009B3E46"/>
    <w:rsid w:val="009B7136"/>
    <w:rsid w:val="009C337F"/>
    <w:rsid w:val="009C53E7"/>
    <w:rsid w:val="009C5959"/>
    <w:rsid w:val="009C6092"/>
    <w:rsid w:val="009C7342"/>
    <w:rsid w:val="009D4365"/>
    <w:rsid w:val="009D477B"/>
    <w:rsid w:val="009D4E3B"/>
    <w:rsid w:val="009D59C2"/>
    <w:rsid w:val="009D7BC9"/>
    <w:rsid w:val="009E122F"/>
    <w:rsid w:val="009E1982"/>
    <w:rsid w:val="009E328D"/>
    <w:rsid w:val="009E4D2C"/>
    <w:rsid w:val="009E6B73"/>
    <w:rsid w:val="009E7497"/>
    <w:rsid w:val="009F0978"/>
    <w:rsid w:val="009F3AEC"/>
    <w:rsid w:val="009F6801"/>
    <w:rsid w:val="00A00081"/>
    <w:rsid w:val="00A05454"/>
    <w:rsid w:val="00A06422"/>
    <w:rsid w:val="00A10D56"/>
    <w:rsid w:val="00A12AAE"/>
    <w:rsid w:val="00A12F22"/>
    <w:rsid w:val="00A16DD1"/>
    <w:rsid w:val="00A205B1"/>
    <w:rsid w:val="00A21261"/>
    <w:rsid w:val="00A22441"/>
    <w:rsid w:val="00A23DBC"/>
    <w:rsid w:val="00A23F3B"/>
    <w:rsid w:val="00A24406"/>
    <w:rsid w:val="00A25F64"/>
    <w:rsid w:val="00A275F6"/>
    <w:rsid w:val="00A303B9"/>
    <w:rsid w:val="00A37416"/>
    <w:rsid w:val="00A40ED6"/>
    <w:rsid w:val="00A47621"/>
    <w:rsid w:val="00A479CD"/>
    <w:rsid w:val="00A50CFC"/>
    <w:rsid w:val="00A54D67"/>
    <w:rsid w:val="00A54E34"/>
    <w:rsid w:val="00A554B4"/>
    <w:rsid w:val="00A55A3F"/>
    <w:rsid w:val="00A5656A"/>
    <w:rsid w:val="00A60103"/>
    <w:rsid w:val="00A634AC"/>
    <w:rsid w:val="00A652F6"/>
    <w:rsid w:val="00A65861"/>
    <w:rsid w:val="00A71A28"/>
    <w:rsid w:val="00A72CB2"/>
    <w:rsid w:val="00A732EA"/>
    <w:rsid w:val="00A7489E"/>
    <w:rsid w:val="00A8015F"/>
    <w:rsid w:val="00A85039"/>
    <w:rsid w:val="00A906AA"/>
    <w:rsid w:val="00A94C5E"/>
    <w:rsid w:val="00AA22B9"/>
    <w:rsid w:val="00AA252C"/>
    <w:rsid w:val="00AA666E"/>
    <w:rsid w:val="00AA7960"/>
    <w:rsid w:val="00AB5518"/>
    <w:rsid w:val="00AC3A0E"/>
    <w:rsid w:val="00AC3B0D"/>
    <w:rsid w:val="00AC4A04"/>
    <w:rsid w:val="00AC5679"/>
    <w:rsid w:val="00AD336F"/>
    <w:rsid w:val="00AD412F"/>
    <w:rsid w:val="00AE134C"/>
    <w:rsid w:val="00AE1868"/>
    <w:rsid w:val="00AE2564"/>
    <w:rsid w:val="00AE28E4"/>
    <w:rsid w:val="00AE301F"/>
    <w:rsid w:val="00AE32D1"/>
    <w:rsid w:val="00AE3302"/>
    <w:rsid w:val="00AE558E"/>
    <w:rsid w:val="00AE5BA6"/>
    <w:rsid w:val="00AE6231"/>
    <w:rsid w:val="00AE7077"/>
    <w:rsid w:val="00AF61C2"/>
    <w:rsid w:val="00AF6CC6"/>
    <w:rsid w:val="00B0296A"/>
    <w:rsid w:val="00B037B0"/>
    <w:rsid w:val="00B07E79"/>
    <w:rsid w:val="00B12295"/>
    <w:rsid w:val="00B137BE"/>
    <w:rsid w:val="00B14B15"/>
    <w:rsid w:val="00B15998"/>
    <w:rsid w:val="00B17FA0"/>
    <w:rsid w:val="00B2292C"/>
    <w:rsid w:val="00B22B61"/>
    <w:rsid w:val="00B22C3C"/>
    <w:rsid w:val="00B23A18"/>
    <w:rsid w:val="00B24344"/>
    <w:rsid w:val="00B26769"/>
    <w:rsid w:val="00B2754B"/>
    <w:rsid w:val="00B31C91"/>
    <w:rsid w:val="00B3747F"/>
    <w:rsid w:val="00B42E76"/>
    <w:rsid w:val="00B43194"/>
    <w:rsid w:val="00B436BF"/>
    <w:rsid w:val="00B441F6"/>
    <w:rsid w:val="00B47734"/>
    <w:rsid w:val="00B50FBA"/>
    <w:rsid w:val="00B52C32"/>
    <w:rsid w:val="00B558EB"/>
    <w:rsid w:val="00B577D3"/>
    <w:rsid w:val="00B60466"/>
    <w:rsid w:val="00B62D8D"/>
    <w:rsid w:val="00B6548F"/>
    <w:rsid w:val="00B675A4"/>
    <w:rsid w:val="00B71A32"/>
    <w:rsid w:val="00B7502A"/>
    <w:rsid w:val="00B77305"/>
    <w:rsid w:val="00B774BD"/>
    <w:rsid w:val="00B82CC2"/>
    <w:rsid w:val="00B84A89"/>
    <w:rsid w:val="00B91F8A"/>
    <w:rsid w:val="00B9256C"/>
    <w:rsid w:val="00B927D0"/>
    <w:rsid w:val="00B92BEF"/>
    <w:rsid w:val="00B94443"/>
    <w:rsid w:val="00B9689A"/>
    <w:rsid w:val="00B97056"/>
    <w:rsid w:val="00BA531E"/>
    <w:rsid w:val="00BA58B2"/>
    <w:rsid w:val="00BA728B"/>
    <w:rsid w:val="00BA75D6"/>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CCB"/>
    <w:rsid w:val="00BF0D6C"/>
    <w:rsid w:val="00BF2D9D"/>
    <w:rsid w:val="00C013EF"/>
    <w:rsid w:val="00C01D14"/>
    <w:rsid w:val="00C01D97"/>
    <w:rsid w:val="00C025B4"/>
    <w:rsid w:val="00C029EC"/>
    <w:rsid w:val="00C05A19"/>
    <w:rsid w:val="00C13EB6"/>
    <w:rsid w:val="00C161FD"/>
    <w:rsid w:val="00C17C9F"/>
    <w:rsid w:val="00C23F17"/>
    <w:rsid w:val="00C246F2"/>
    <w:rsid w:val="00C26D0D"/>
    <w:rsid w:val="00C27C95"/>
    <w:rsid w:val="00C300D2"/>
    <w:rsid w:val="00C3270F"/>
    <w:rsid w:val="00C3278B"/>
    <w:rsid w:val="00C32B2F"/>
    <w:rsid w:val="00C33375"/>
    <w:rsid w:val="00C34C23"/>
    <w:rsid w:val="00C368FA"/>
    <w:rsid w:val="00C41533"/>
    <w:rsid w:val="00C42005"/>
    <w:rsid w:val="00C4664D"/>
    <w:rsid w:val="00C472AA"/>
    <w:rsid w:val="00C50A05"/>
    <w:rsid w:val="00C54AED"/>
    <w:rsid w:val="00C555FC"/>
    <w:rsid w:val="00C55E9B"/>
    <w:rsid w:val="00C56D09"/>
    <w:rsid w:val="00C57D24"/>
    <w:rsid w:val="00C57EFB"/>
    <w:rsid w:val="00C604D6"/>
    <w:rsid w:val="00C61B53"/>
    <w:rsid w:val="00C63CAB"/>
    <w:rsid w:val="00C63D00"/>
    <w:rsid w:val="00C6441B"/>
    <w:rsid w:val="00C65921"/>
    <w:rsid w:val="00C663C7"/>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B30"/>
    <w:rsid w:val="00CB3C8F"/>
    <w:rsid w:val="00CC02F1"/>
    <w:rsid w:val="00CC0E52"/>
    <w:rsid w:val="00CC1122"/>
    <w:rsid w:val="00CC11A6"/>
    <w:rsid w:val="00CC135E"/>
    <w:rsid w:val="00CC3EA3"/>
    <w:rsid w:val="00CC5A34"/>
    <w:rsid w:val="00CC6369"/>
    <w:rsid w:val="00CC7226"/>
    <w:rsid w:val="00CD0735"/>
    <w:rsid w:val="00CD0C97"/>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3A1E"/>
    <w:rsid w:val="00D3203C"/>
    <w:rsid w:val="00D33491"/>
    <w:rsid w:val="00D3442D"/>
    <w:rsid w:val="00D36F00"/>
    <w:rsid w:val="00D44B67"/>
    <w:rsid w:val="00D44F8E"/>
    <w:rsid w:val="00D47028"/>
    <w:rsid w:val="00D51FD5"/>
    <w:rsid w:val="00D55DE0"/>
    <w:rsid w:val="00D607EF"/>
    <w:rsid w:val="00D60F88"/>
    <w:rsid w:val="00D646BD"/>
    <w:rsid w:val="00D65558"/>
    <w:rsid w:val="00D657BA"/>
    <w:rsid w:val="00D71201"/>
    <w:rsid w:val="00D716C1"/>
    <w:rsid w:val="00D720C7"/>
    <w:rsid w:val="00D84841"/>
    <w:rsid w:val="00D876E6"/>
    <w:rsid w:val="00D90958"/>
    <w:rsid w:val="00D96F44"/>
    <w:rsid w:val="00DA1025"/>
    <w:rsid w:val="00DA22EC"/>
    <w:rsid w:val="00DA46A8"/>
    <w:rsid w:val="00DA5682"/>
    <w:rsid w:val="00DA5860"/>
    <w:rsid w:val="00DA5C0C"/>
    <w:rsid w:val="00DB25D7"/>
    <w:rsid w:val="00DB2767"/>
    <w:rsid w:val="00DC1B10"/>
    <w:rsid w:val="00DC2924"/>
    <w:rsid w:val="00DC2944"/>
    <w:rsid w:val="00DC4729"/>
    <w:rsid w:val="00DD31C5"/>
    <w:rsid w:val="00DD5020"/>
    <w:rsid w:val="00DD63BE"/>
    <w:rsid w:val="00DE4296"/>
    <w:rsid w:val="00DF2469"/>
    <w:rsid w:val="00DF6FC8"/>
    <w:rsid w:val="00DF7899"/>
    <w:rsid w:val="00E0524C"/>
    <w:rsid w:val="00E10F3D"/>
    <w:rsid w:val="00E15751"/>
    <w:rsid w:val="00E15F5B"/>
    <w:rsid w:val="00E17160"/>
    <w:rsid w:val="00E17D41"/>
    <w:rsid w:val="00E231D1"/>
    <w:rsid w:val="00E30016"/>
    <w:rsid w:val="00E3288D"/>
    <w:rsid w:val="00E339A8"/>
    <w:rsid w:val="00E35112"/>
    <w:rsid w:val="00E35BEC"/>
    <w:rsid w:val="00E41A6A"/>
    <w:rsid w:val="00E43EEE"/>
    <w:rsid w:val="00E50821"/>
    <w:rsid w:val="00E51F91"/>
    <w:rsid w:val="00E53383"/>
    <w:rsid w:val="00E5498A"/>
    <w:rsid w:val="00E559CE"/>
    <w:rsid w:val="00E60F42"/>
    <w:rsid w:val="00E6746C"/>
    <w:rsid w:val="00E7086E"/>
    <w:rsid w:val="00E71248"/>
    <w:rsid w:val="00E73C41"/>
    <w:rsid w:val="00E75911"/>
    <w:rsid w:val="00E7598F"/>
    <w:rsid w:val="00E76F60"/>
    <w:rsid w:val="00E812B5"/>
    <w:rsid w:val="00E83AC1"/>
    <w:rsid w:val="00E83D90"/>
    <w:rsid w:val="00E83F91"/>
    <w:rsid w:val="00E86299"/>
    <w:rsid w:val="00E9107A"/>
    <w:rsid w:val="00E91F62"/>
    <w:rsid w:val="00E929FD"/>
    <w:rsid w:val="00E93240"/>
    <w:rsid w:val="00E93EC5"/>
    <w:rsid w:val="00E9479B"/>
    <w:rsid w:val="00E94E22"/>
    <w:rsid w:val="00E95F08"/>
    <w:rsid w:val="00E97171"/>
    <w:rsid w:val="00EA0CF9"/>
    <w:rsid w:val="00EA4D48"/>
    <w:rsid w:val="00EA7ADF"/>
    <w:rsid w:val="00EB0E2B"/>
    <w:rsid w:val="00EB2173"/>
    <w:rsid w:val="00EB62E6"/>
    <w:rsid w:val="00EB695F"/>
    <w:rsid w:val="00EC2394"/>
    <w:rsid w:val="00EC3A85"/>
    <w:rsid w:val="00EC4328"/>
    <w:rsid w:val="00EC4B89"/>
    <w:rsid w:val="00EC59A5"/>
    <w:rsid w:val="00EC6894"/>
    <w:rsid w:val="00EC6E15"/>
    <w:rsid w:val="00EC7724"/>
    <w:rsid w:val="00ED1B30"/>
    <w:rsid w:val="00ED5D03"/>
    <w:rsid w:val="00EE01ED"/>
    <w:rsid w:val="00EE1AC1"/>
    <w:rsid w:val="00EE39D6"/>
    <w:rsid w:val="00EE52AD"/>
    <w:rsid w:val="00EE5BC3"/>
    <w:rsid w:val="00EE6FAB"/>
    <w:rsid w:val="00EF0D29"/>
    <w:rsid w:val="00EF328C"/>
    <w:rsid w:val="00EF68BB"/>
    <w:rsid w:val="00F01F92"/>
    <w:rsid w:val="00F030D4"/>
    <w:rsid w:val="00F04053"/>
    <w:rsid w:val="00F06514"/>
    <w:rsid w:val="00F06573"/>
    <w:rsid w:val="00F10A08"/>
    <w:rsid w:val="00F15354"/>
    <w:rsid w:val="00F22AC5"/>
    <w:rsid w:val="00F254D1"/>
    <w:rsid w:val="00F261D9"/>
    <w:rsid w:val="00F32A8A"/>
    <w:rsid w:val="00F32B82"/>
    <w:rsid w:val="00F34C86"/>
    <w:rsid w:val="00F4043E"/>
    <w:rsid w:val="00F41795"/>
    <w:rsid w:val="00F41BBC"/>
    <w:rsid w:val="00F444F0"/>
    <w:rsid w:val="00F446FF"/>
    <w:rsid w:val="00F45521"/>
    <w:rsid w:val="00F50847"/>
    <w:rsid w:val="00F53F27"/>
    <w:rsid w:val="00F546D1"/>
    <w:rsid w:val="00F60281"/>
    <w:rsid w:val="00F60D9C"/>
    <w:rsid w:val="00F66272"/>
    <w:rsid w:val="00F709C0"/>
    <w:rsid w:val="00F76E4A"/>
    <w:rsid w:val="00F81FEC"/>
    <w:rsid w:val="00F927A1"/>
    <w:rsid w:val="00F92E4D"/>
    <w:rsid w:val="00F95461"/>
    <w:rsid w:val="00F95D08"/>
    <w:rsid w:val="00FA23BD"/>
    <w:rsid w:val="00FA260C"/>
    <w:rsid w:val="00FA3764"/>
    <w:rsid w:val="00FA41C7"/>
    <w:rsid w:val="00FA4A79"/>
    <w:rsid w:val="00FA56ED"/>
    <w:rsid w:val="00FB002C"/>
    <w:rsid w:val="00FB05DD"/>
    <w:rsid w:val="00FB0F7C"/>
    <w:rsid w:val="00FB1F0E"/>
    <w:rsid w:val="00FB24EA"/>
    <w:rsid w:val="00FB5FA6"/>
    <w:rsid w:val="00FC0334"/>
    <w:rsid w:val="00FC1310"/>
    <w:rsid w:val="00FC2FF3"/>
    <w:rsid w:val="00FC3263"/>
    <w:rsid w:val="00FC51F9"/>
    <w:rsid w:val="00FC5B40"/>
    <w:rsid w:val="00FC5FF8"/>
    <w:rsid w:val="00FC66C6"/>
    <w:rsid w:val="00FD224B"/>
    <w:rsid w:val="00FD271B"/>
    <w:rsid w:val="00FD3D7C"/>
    <w:rsid w:val="00FD4F8F"/>
    <w:rsid w:val="00FE0C16"/>
    <w:rsid w:val="00FE14B1"/>
    <w:rsid w:val="00FE267D"/>
    <w:rsid w:val="00FE3B50"/>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53127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7724A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EC4328"/>
    <w:rPr>
      <w:i/>
      <w:iCs/>
    </w:rPr>
  </w:style>
  <w:style w:type="character" w:styleId="UnresolvedMention">
    <w:name w:val="Unresolved Mention"/>
    <w:basedOn w:val="DefaultParagraphFont"/>
    <w:uiPriority w:val="99"/>
    <w:semiHidden/>
    <w:unhideWhenUsed/>
    <w:rsid w:val="00CC3EA3"/>
    <w:rPr>
      <w:color w:val="605E5C"/>
      <w:shd w:val="clear" w:color="auto" w:fill="E1DFDD"/>
    </w:rPr>
  </w:style>
  <w:style w:type="character" w:customStyle="1" w:styleId="Heading3Char">
    <w:name w:val="Heading 3 Char"/>
    <w:basedOn w:val="DefaultParagraphFont"/>
    <w:link w:val="Heading3"/>
    <w:uiPriority w:val="9"/>
    <w:semiHidden/>
    <w:rsid w:val="00531279"/>
    <w:rPr>
      <w:rFonts w:asciiTheme="majorHAnsi" w:eastAsiaTheme="majorEastAsia" w:hAnsiTheme="majorHAnsi" w:cstheme="majorBidi"/>
      <w:color w:val="1F3763" w:themeColor="accent1" w:themeShade="7F"/>
      <w:sz w:val="24"/>
      <w:szCs w:val="24"/>
    </w:rPr>
  </w:style>
  <w:style w:type="paragraph" w:customStyle="1" w:styleId="legclearfix">
    <w:name w:val="legclearfix"/>
    <w:basedOn w:val="Normal"/>
    <w:rsid w:val="005F3ED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5F3E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ophie18.mitchell@hotmail.co.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4113</TotalTime>
  <Pages>13</Pages>
  <Words>4288</Words>
  <Characters>25473</Characters>
  <Application>Microsoft Office Word</Application>
  <DocSecurity>0</DocSecurity>
  <Lines>431</Lines>
  <Paragraphs>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Mitchell, Sophie</cp:lastModifiedBy>
  <cp:revision>5</cp:revision>
  <cp:lastPrinted>2020-02-11T19:20:00Z</cp:lastPrinted>
  <dcterms:created xsi:type="dcterms:W3CDTF">2025-09-29T07:58:00Z</dcterms:created>
  <dcterms:modified xsi:type="dcterms:W3CDTF">2025-10-06T20:39:00Z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