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D892C" w14:textId="381E8846" w:rsidR="008A2347" w:rsidRPr="008A2347" w:rsidRDefault="00BA7065" w:rsidP="00A861FC">
      <w:pPr>
        <w:spacing w:before="100" w:beforeAutospacing="1" w:after="100" w:afterAutospacing="1" w:line="360" w:lineRule="auto"/>
        <w:outlineLvl w:val="1"/>
        <w:rPr>
          <w:rFonts w:ascii="Arial" w:eastAsia="Times New Roman" w:hAnsi="Arial" w:cs="Arial"/>
          <w:b/>
          <w:bCs/>
          <w:kern w:val="0"/>
          <w:lang w:eastAsia="en-GB"/>
          <w14:ligatures w14:val="none"/>
        </w:rPr>
      </w:pPr>
      <w:r>
        <w:rPr>
          <w:rFonts w:ascii="Arial" w:eastAsia="Times New Roman" w:hAnsi="Arial" w:cs="Arial"/>
          <w:b/>
          <w:bCs/>
          <w:noProof/>
          <w:kern w:val="0"/>
          <w:lang w:eastAsia="en-GB"/>
        </w:rPr>
        <mc:AlternateContent>
          <mc:Choice Requires="wps">
            <w:drawing>
              <wp:anchor distT="0" distB="0" distL="114300" distR="114300" simplePos="0" relativeHeight="251659264" behindDoc="0" locked="0" layoutInCell="1" allowOverlap="1" wp14:anchorId="065EA652" wp14:editId="061462D8">
                <wp:simplePos x="0" y="0"/>
                <wp:positionH relativeFrom="column">
                  <wp:posOffset>5012754</wp:posOffset>
                </wp:positionH>
                <wp:positionV relativeFrom="paragraph">
                  <wp:posOffset>-815725</wp:posOffset>
                </wp:positionV>
                <wp:extent cx="1427517" cy="696317"/>
                <wp:effectExtent l="0" t="0" r="20320" b="27940"/>
                <wp:wrapNone/>
                <wp:docPr id="1195922630" name="Text Box 1"/>
                <wp:cNvGraphicFramePr/>
                <a:graphic xmlns:a="http://schemas.openxmlformats.org/drawingml/2006/main">
                  <a:graphicData uri="http://schemas.microsoft.com/office/word/2010/wordprocessingShape">
                    <wps:wsp>
                      <wps:cNvSpPr txBox="1"/>
                      <wps:spPr>
                        <a:xfrm>
                          <a:off x="0" y="0"/>
                          <a:ext cx="1427517" cy="696317"/>
                        </a:xfrm>
                        <a:prstGeom prst="rect">
                          <a:avLst/>
                        </a:prstGeom>
                        <a:solidFill>
                          <a:schemeClr val="lt1"/>
                        </a:solidFill>
                        <a:ln w="6350">
                          <a:solidFill>
                            <a:prstClr val="black"/>
                          </a:solidFill>
                        </a:ln>
                      </wps:spPr>
                      <wps:txbx>
                        <w:txbxContent>
                          <w:p w14:paraId="568B1327" w14:textId="2511640F" w:rsidR="00BA7065" w:rsidRDefault="00DD75A3">
                            <w:pPr>
                              <w:rPr>
                                <w:rFonts w:ascii="Arial" w:hAnsi="Arial" w:cs="Arial"/>
                                <w:sz w:val="16"/>
                                <w:szCs w:val="16"/>
                              </w:rPr>
                            </w:pPr>
                            <w:r>
                              <w:rPr>
                                <w:rFonts w:ascii="Arial" w:hAnsi="Arial" w:cs="Arial"/>
                                <w:sz w:val="16"/>
                                <w:szCs w:val="16"/>
                              </w:rPr>
                              <w:t>Student number: 2315485</w:t>
                            </w:r>
                          </w:p>
                          <w:p w14:paraId="36A3B126" w14:textId="0348D2D3" w:rsidR="00DD75A3" w:rsidRDefault="009772EE">
                            <w:pPr>
                              <w:rPr>
                                <w:rFonts w:ascii="Arial" w:hAnsi="Arial" w:cs="Arial"/>
                                <w:sz w:val="16"/>
                                <w:szCs w:val="16"/>
                              </w:rPr>
                            </w:pPr>
                            <w:r>
                              <w:rPr>
                                <w:rFonts w:ascii="Arial" w:hAnsi="Arial" w:cs="Arial"/>
                                <w:sz w:val="16"/>
                                <w:szCs w:val="16"/>
                              </w:rPr>
                              <w:t xml:space="preserve">Module </w:t>
                            </w:r>
                            <w:r w:rsidR="0006067C">
                              <w:rPr>
                                <w:rFonts w:ascii="Arial" w:hAnsi="Arial" w:cs="Arial"/>
                                <w:sz w:val="16"/>
                                <w:szCs w:val="16"/>
                              </w:rPr>
                              <w:t>code: ECEY5004</w:t>
                            </w:r>
                          </w:p>
                          <w:p w14:paraId="6FADDD0E" w14:textId="7D661992" w:rsidR="009772EE" w:rsidRPr="00DD75A3" w:rsidRDefault="009772EE">
                            <w:pPr>
                              <w:rPr>
                                <w:rFonts w:ascii="Arial" w:hAnsi="Arial" w:cs="Arial"/>
                                <w:sz w:val="16"/>
                                <w:szCs w:val="16"/>
                              </w:rPr>
                            </w:pPr>
                            <w:r>
                              <w:rPr>
                                <w:rFonts w:ascii="Arial" w:hAnsi="Arial" w:cs="Arial"/>
                                <w:sz w:val="16"/>
                                <w:szCs w:val="16"/>
                              </w:rPr>
                              <w:t>Word count: 2232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65EA652" id="_x0000_t202" coordsize="21600,21600" o:spt="202" path="m,l,21600r21600,l21600,xe">
                <v:stroke joinstyle="miter"/>
                <v:path gradientshapeok="t" o:connecttype="rect"/>
              </v:shapetype>
              <v:shape id="Text Box 1" o:spid="_x0000_s1026" type="#_x0000_t202" style="position:absolute;margin-left:394.7pt;margin-top:-64.25pt;width:112.4pt;height:54.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" fillcolor="white [3201]" strokeweight=".5pt">
                <v:textbox>
                  <w:txbxContent>
                    <w:p w14:paraId="568B1327" w14:textId="2511640F" w:rsidR="00BA7065" w:rsidRDefault="00DD75A3">
                      <w:pPr>
                        <w:rPr>
                          <w:rFonts w:ascii="Arial" w:hAnsi="Arial" w:cs="Arial"/>
                          <w:sz w:val="16"/>
                          <w:szCs w:val="16"/>
                        </w:rPr>
                      </w:pPr>
                      <w:r>
                        <w:rPr>
                          <w:rFonts w:ascii="Arial" w:hAnsi="Arial" w:cs="Arial"/>
                          <w:sz w:val="16"/>
                          <w:szCs w:val="16"/>
                        </w:rPr>
                        <w:t>Student number: 2315485</w:t>
                      </w:r>
                    </w:p>
                    <w:p w14:paraId="36A3B126" w14:textId="0348D2D3" w:rsidR="00DD75A3" w:rsidRDefault="009772EE">
                      <w:pPr>
                        <w:rPr>
                          <w:rFonts w:ascii="Arial" w:hAnsi="Arial" w:cs="Arial"/>
                          <w:sz w:val="16"/>
                          <w:szCs w:val="16"/>
                        </w:rPr>
                      </w:pPr>
                      <w:r>
                        <w:rPr>
                          <w:rFonts w:ascii="Arial" w:hAnsi="Arial" w:cs="Arial"/>
                          <w:sz w:val="16"/>
                          <w:szCs w:val="16"/>
                        </w:rPr>
                        <w:t xml:space="preserve">Module </w:t>
                      </w:r>
                      <w:r w:rsidR="0006067C">
                        <w:rPr>
                          <w:rFonts w:ascii="Arial" w:hAnsi="Arial" w:cs="Arial"/>
                          <w:sz w:val="16"/>
                          <w:szCs w:val="16"/>
                        </w:rPr>
                        <w:t>code: ECEY5004</w:t>
                      </w:r>
                    </w:p>
                    <w:p w14:paraId="6FADDD0E" w14:textId="7D661992" w:rsidR="009772EE" w:rsidRPr="00DD75A3" w:rsidRDefault="009772EE">
                      <w:pPr>
                        <w:rPr>
                          <w:rFonts w:ascii="Arial" w:hAnsi="Arial" w:cs="Arial"/>
                          <w:sz w:val="16"/>
                          <w:szCs w:val="16"/>
                        </w:rPr>
                      </w:pPr>
                      <w:r>
                        <w:rPr>
                          <w:rFonts w:ascii="Arial" w:hAnsi="Arial" w:cs="Arial"/>
                          <w:sz w:val="16"/>
                          <w:szCs w:val="16"/>
                        </w:rPr>
                        <w:t>Word count: 2232</w:t>
                      </w:r>
                    </w:p>
                  </w:txbxContent>
                </v:textbox>
              </v:shape>
            </w:pict>
          </mc:Fallback>
        </mc:AlternateContent>
      </w:r>
      <w:r w:rsidR="008A2347" w:rsidRPr="008A2347">
        <w:rPr>
          <w:rFonts w:ascii="Arial" w:eastAsia="Times New Roman" w:hAnsi="Arial" w:cs="Arial"/>
          <w:b/>
          <w:bCs/>
          <w:kern w:val="0"/>
          <w:lang w:eastAsia="en-GB"/>
          <w14:ligatures w14:val="none"/>
        </w:rPr>
        <w:t xml:space="preserve">A Critical Analysis of </w:t>
      </w:r>
      <w:r w:rsidR="00C912C9">
        <w:rPr>
          <w:rFonts w:ascii="Arial" w:eastAsia="Times New Roman" w:hAnsi="Arial" w:cs="Arial"/>
          <w:b/>
          <w:bCs/>
          <w:kern w:val="0"/>
          <w:lang w:eastAsia="en-GB"/>
          <w14:ligatures w14:val="none"/>
        </w:rPr>
        <w:t>B</w:t>
      </w:r>
      <w:r w:rsidR="008A2347" w:rsidRPr="008A2347">
        <w:rPr>
          <w:rFonts w:ascii="Arial" w:eastAsia="Times New Roman" w:hAnsi="Arial" w:cs="Arial"/>
          <w:b/>
          <w:bCs/>
          <w:kern w:val="0"/>
          <w:lang w:eastAsia="en-GB"/>
          <w14:ligatures w14:val="none"/>
        </w:rPr>
        <w:t xml:space="preserve">oth </w:t>
      </w:r>
      <w:r w:rsidR="00C25CD8">
        <w:rPr>
          <w:rFonts w:ascii="Arial" w:eastAsia="Times New Roman" w:hAnsi="Arial" w:cs="Arial"/>
          <w:b/>
          <w:bCs/>
          <w:kern w:val="0"/>
          <w:lang w:eastAsia="en-GB"/>
          <w14:ligatures w14:val="none"/>
        </w:rPr>
        <w:t xml:space="preserve">the Digital and non- Digital </w:t>
      </w:r>
      <w:r w:rsidR="008A2347" w:rsidRPr="008A2347">
        <w:rPr>
          <w:rFonts w:ascii="Arial" w:eastAsia="Times New Roman" w:hAnsi="Arial" w:cs="Arial"/>
          <w:b/>
          <w:bCs/>
          <w:kern w:val="0"/>
          <w:lang w:eastAsia="en-GB"/>
          <w14:ligatures w14:val="none"/>
        </w:rPr>
        <w:t>Presentations on "The Very Hungry Caterpillar"</w:t>
      </w:r>
    </w:p>
    <w:p w14:paraId="4A741687" w14:textId="0E8719E9"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This </w:t>
      </w:r>
      <w:r w:rsidR="001C5689" w:rsidRPr="005C7F03">
        <w:rPr>
          <w:rFonts w:ascii="Arial" w:eastAsia="Times New Roman" w:hAnsi="Arial" w:cs="Arial"/>
          <w:kern w:val="0"/>
          <w:lang w:eastAsia="en-GB"/>
          <w14:ligatures w14:val="none"/>
        </w:rPr>
        <w:t>article</w:t>
      </w:r>
      <w:r w:rsidRPr="005C7F03">
        <w:rPr>
          <w:rFonts w:ascii="Arial" w:eastAsia="Times New Roman" w:hAnsi="Arial" w:cs="Arial"/>
          <w:kern w:val="0"/>
          <w:lang w:eastAsia="en-GB"/>
          <w14:ligatures w14:val="none"/>
        </w:rPr>
        <w:t xml:space="preserve"> critically analyses </w:t>
      </w:r>
      <w:r w:rsidR="00A06F74" w:rsidRPr="005C7F03">
        <w:rPr>
          <w:rFonts w:ascii="Arial" w:eastAsia="Times New Roman" w:hAnsi="Arial" w:cs="Arial"/>
          <w:kern w:val="0"/>
          <w:lang w:eastAsia="en-GB"/>
          <w14:ligatures w14:val="none"/>
        </w:rPr>
        <w:t>both</w:t>
      </w:r>
      <w:r w:rsidRPr="005C7F03">
        <w:rPr>
          <w:rFonts w:ascii="Arial" w:eastAsia="Times New Roman" w:hAnsi="Arial" w:cs="Arial"/>
          <w:kern w:val="0"/>
          <w:lang w:eastAsia="en-GB"/>
          <w14:ligatures w14:val="none"/>
        </w:rPr>
        <w:t xml:space="preserve"> presentation</w:t>
      </w:r>
      <w:r w:rsidR="00A06F74"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 on Eric Carle's beloved children's book, "The Very Hungry Caterpillar," focusing on the presenter's use of oracy, props, and voice intonation. The analysis will be grounded in relevant theoretical frameworks, exploring how these elements contribute to effective storytelling and audience engagement, particularly with young children. </w:t>
      </w:r>
      <w:r w:rsidR="001C5689" w:rsidRPr="005C7F03">
        <w:rPr>
          <w:rFonts w:ascii="Arial" w:eastAsia="Times New Roman" w:hAnsi="Arial" w:cs="Arial"/>
          <w:kern w:val="0"/>
          <w:lang w:eastAsia="en-GB"/>
          <w14:ligatures w14:val="none"/>
        </w:rPr>
        <w:t>T</w:t>
      </w:r>
      <w:r w:rsidRPr="005C7F03">
        <w:rPr>
          <w:rFonts w:ascii="Arial" w:eastAsia="Times New Roman" w:hAnsi="Arial" w:cs="Arial"/>
          <w:kern w:val="0"/>
          <w:lang w:eastAsia="en-GB"/>
          <w14:ligatures w14:val="none"/>
        </w:rPr>
        <w:t>he analysis will draw upon established pedagogical principles and recent research on oracy, storytelling, and the use of multimodal resources in education. Furthermore, it will consider the specific context of early childhood development and the importance of creating a stimulating and inclusive learning environment.</w:t>
      </w:r>
    </w:p>
    <w:p w14:paraId="62912610"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Oracy: Weaving Words into Wonder</w:t>
      </w:r>
    </w:p>
    <w:p w14:paraId="756E18AA" w14:textId="721E3394"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Oracy, the ability to express oneself fluently and effectively through spoken language, is a cornerstone of effective communication, especially in educational settings. A successful presentation on "The Very Hungry Caterpillar" hinges on the presenter's </w:t>
      </w:r>
      <w:r w:rsidR="00646A3E" w:rsidRPr="005C7F03">
        <w:rPr>
          <w:rFonts w:ascii="Arial" w:eastAsia="Times New Roman" w:hAnsi="Arial" w:cs="Arial"/>
          <w:kern w:val="0"/>
          <w:lang w:eastAsia="en-GB"/>
          <w14:ligatures w14:val="none"/>
        </w:rPr>
        <w:t>skilful</w:t>
      </w:r>
      <w:r w:rsidRPr="005C7F03">
        <w:rPr>
          <w:rFonts w:ascii="Arial" w:eastAsia="Times New Roman" w:hAnsi="Arial" w:cs="Arial"/>
          <w:kern w:val="0"/>
          <w:lang w:eastAsia="en-GB"/>
          <w14:ligatures w14:val="none"/>
        </w:rPr>
        <w:t xml:space="preserve"> use of oracy. This encompasses several key aspects. Firstly, </w:t>
      </w:r>
      <w:r w:rsidRPr="007D6A92">
        <w:rPr>
          <w:rFonts w:ascii="Arial" w:eastAsia="Times New Roman" w:hAnsi="Arial" w:cs="Arial"/>
          <w:kern w:val="0"/>
          <w:lang w:eastAsia="en-GB"/>
          <w14:ligatures w14:val="none"/>
        </w:rPr>
        <w:t xml:space="preserve">articulation </w:t>
      </w:r>
      <w:r w:rsidRPr="005C7F03">
        <w:rPr>
          <w:rFonts w:ascii="Arial" w:eastAsia="Times New Roman" w:hAnsi="Arial" w:cs="Arial"/>
          <w:kern w:val="0"/>
          <w:lang w:eastAsia="en-GB"/>
          <w14:ligatures w14:val="none"/>
        </w:rPr>
        <w:t>is crucial. The presenter must pronounce words clearly and accurately, particularly important when engaging young children who are still developing their vocabulary. For instance, the presenter</w:t>
      </w:r>
      <w:r w:rsidR="00451B06" w:rsidRPr="005C7F03">
        <w:rPr>
          <w:rFonts w:ascii="Arial" w:eastAsia="Times New Roman" w:hAnsi="Arial" w:cs="Arial"/>
          <w:kern w:val="0"/>
          <w:lang w:eastAsia="en-GB"/>
          <w14:ligatures w14:val="none"/>
        </w:rPr>
        <w:t xml:space="preserve"> strives to</w:t>
      </w:r>
      <w:r w:rsidRPr="005C7F03">
        <w:rPr>
          <w:rFonts w:ascii="Arial" w:eastAsia="Times New Roman" w:hAnsi="Arial" w:cs="Arial"/>
          <w:kern w:val="0"/>
          <w:lang w:eastAsia="en-GB"/>
          <w14:ligatures w14:val="none"/>
        </w:rPr>
        <w:t xml:space="preserve"> clearly enunciate</w:t>
      </w:r>
      <w:r w:rsidR="00991715"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 "caterpillar," "butterfly," and the various food items mentioned in the book, ensuring comprehension. A pr</w:t>
      </w:r>
      <w:r w:rsidR="0053467D" w:rsidRPr="005C7F03">
        <w:rPr>
          <w:rFonts w:ascii="Arial" w:eastAsia="Times New Roman" w:hAnsi="Arial" w:cs="Arial"/>
          <w:kern w:val="0"/>
          <w:lang w:eastAsia="en-GB"/>
          <w14:ligatures w14:val="none"/>
        </w:rPr>
        <w:t>actitioner</w:t>
      </w:r>
      <w:r w:rsidRPr="005C7F03">
        <w:rPr>
          <w:rFonts w:ascii="Arial" w:eastAsia="Times New Roman" w:hAnsi="Arial" w:cs="Arial"/>
          <w:kern w:val="0"/>
          <w:lang w:eastAsia="en-GB"/>
          <w14:ligatures w14:val="none"/>
        </w:rPr>
        <w:t xml:space="preserve"> that mumbled or slurred words would hinder understanding and diminish the story's charm</w:t>
      </w:r>
      <w:r w:rsidR="00891DDA" w:rsidRPr="005C7F03">
        <w:rPr>
          <w:rFonts w:ascii="Arial" w:eastAsia="Times New Roman" w:hAnsi="Arial" w:cs="Arial"/>
          <w:kern w:val="0"/>
          <w:lang w:eastAsia="en-GB"/>
          <w14:ligatures w14:val="none"/>
        </w:rPr>
        <w:t xml:space="preserve"> and the children’s understanding. </w:t>
      </w:r>
      <w:r w:rsidRPr="005C7F03">
        <w:rPr>
          <w:rFonts w:ascii="Arial" w:eastAsia="Times New Roman" w:hAnsi="Arial" w:cs="Arial"/>
          <w:kern w:val="0"/>
          <w:lang w:eastAsia="en-GB"/>
          <w14:ligatures w14:val="none"/>
        </w:rPr>
        <w:t xml:space="preserve">This aligns with research highlighting the importance of phonological awareness in early literacy </w:t>
      </w:r>
      <w:r w:rsidR="001D6E84" w:rsidRPr="005C7F03">
        <w:rPr>
          <w:rFonts w:ascii="Arial" w:eastAsia="Times New Roman" w:hAnsi="Arial" w:cs="Arial"/>
          <w:kern w:val="0"/>
          <w:lang w:eastAsia="en-GB"/>
          <w14:ligatures w14:val="none"/>
        </w:rPr>
        <w:t>development (</w:t>
      </w:r>
      <w:r w:rsidR="000312C9" w:rsidRPr="005C7F03">
        <w:rPr>
          <w:rFonts w:ascii="Arial" w:eastAsia="Times New Roman" w:hAnsi="Arial" w:cs="Arial"/>
          <w:kern w:val="0"/>
          <w:lang w:eastAsia="en-GB"/>
          <w14:ligatures w14:val="none"/>
        </w:rPr>
        <w:t>Goswami, 2008</w:t>
      </w:r>
      <w:r w:rsidR="001D6E84" w:rsidRPr="005C7F03">
        <w:rPr>
          <w:rFonts w:ascii="Arial" w:eastAsia="Times New Roman" w:hAnsi="Arial" w:cs="Arial"/>
          <w:kern w:val="0"/>
          <w:lang w:eastAsia="en-GB"/>
          <w14:ligatures w14:val="none"/>
        </w:rPr>
        <w:t>;</w:t>
      </w:r>
      <w:r w:rsidR="000312C9" w:rsidRPr="005C7F03">
        <w:rPr>
          <w:rFonts w:ascii="Arial" w:eastAsia="Times New Roman" w:hAnsi="Arial" w:cs="Arial"/>
          <w:kern w:val="0"/>
          <w:lang w:eastAsia="en-GB"/>
          <w14:ligatures w14:val="none"/>
        </w:rPr>
        <w:t xml:space="preserve"> Goswami and Bryant, 2016</w:t>
      </w:r>
      <w:r w:rsidR="001D6E84" w:rsidRPr="005C7F03">
        <w:rPr>
          <w:rFonts w:ascii="Arial" w:eastAsia="Times New Roman" w:hAnsi="Arial" w:cs="Arial"/>
          <w:kern w:val="0"/>
          <w:lang w:eastAsia="en-GB"/>
          <w14:ligatures w14:val="none"/>
        </w:rPr>
        <w:t>;</w:t>
      </w:r>
      <w:r w:rsidR="000312C9" w:rsidRPr="005C7F03">
        <w:rPr>
          <w:rFonts w:ascii="Arial" w:eastAsia="Times New Roman" w:hAnsi="Arial" w:cs="Arial"/>
          <w:kern w:val="0"/>
          <w:lang w:eastAsia="en-GB"/>
          <w14:ligatures w14:val="none"/>
        </w:rPr>
        <w:t xml:space="preserve"> Milankov, Golubovic, Krstic and Golubovic, 2021</w:t>
      </w:r>
      <w:r w:rsidR="001D6E84" w:rsidRPr="005C7F03">
        <w:rPr>
          <w:rFonts w:ascii="Arial" w:eastAsia="Times New Roman" w:hAnsi="Arial" w:cs="Arial"/>
          <w:kern w:val="0"/>
          <w:lang w:eastAsia="en-GB"/>
          <w14:ligatures w14:val="none"/>
        </w:rPr>
        <w:t>;</w:t>
      </w:r>
      <w:r w:rsidR="00E5562E"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Castles</w:t>
      </w:r>
      <w:r w:rsidR="004D69AD" w:rsidRPr="005C7F03">
        <w:rPr>
          <w:rFonts w:ascii="Arial" w:eastAsia="Times New Roman" w:hAnsi="Arial" w:cs="Arial"/>
          <w:kern w:val="0"/>
          <w:lang w:eastAsia="en-GB"/>
          <w14:ligatures w14:val="none"/>
        </w:rPr>
        <w:t>, Rastle and Nation</w:t>
      </w:r>
      <w:r w:rsidRPr="005C7F03">
        <w:rPr>
          <w:rFonts w:ascii="Arial" w:eastAsia="Times New Roman" w:hAnsi="Arial" w:cs="Arial"/>
          <w:kern w:val="0"/>
          <w:lang w:eastAsia="en-GB"/>
          <w14:ligatures w14:val="none"/>
        </w:rPr>
        <w:t>,2018). Clear articulation also models correct pronunciation for young learners, contributing to their own language development (</w:t>
      </w:r>
      <w:r w:rsidR="008822F0" w:rsidRPr="005C7F03">
        <w:rPr>
          <w:rFonts w:ascii="Arial" w:hAnsi="Arial" w:cs="Arial"/>
          <w:shd w:val="clear" w:color="auto" w:fill="FFFFFF"/>
        </w:rPr>
        <w:t>Fisher</w:t>
      </w:r>
      <w:r w:rsidR="009D43EE" w:rsidRPr="005C7F03">
        <w:rPr>
          <w:rFonts w:ascii="Arial" w:hAnsi="Arial" w:cs="Arial"/>
          <w:shd w:val="clear" w:color="auto" w:fill="FFFFFF"/>
        </w:rPr>
        <w:t xml:space="preserve"> and </w:t>
      </w:r>
      <w:r w:rsidR="008822F0" w:rsidRPr="005C7F03">
        <w:rPr>
          <w:rFonts w:ascii="Arial" w:hAnsi="Arial" w:cs="Arial"/>
          <w:shd w:val="clear" w:color="auto" w:fill="FFFFFF"/>
        </w:rPr>
        <w:t>Lapp,</w:t>
      </w:r>
      <w:r w:rsidR="008822F0" w:rsidRPr="005C7F03">
        <w:rPr>
          <w:rFonts w:ascii="Arial" w:hAnsi="Arial" w:cs="Arial"/>
          <w:shd w:val="clear" w:color="auto" w:fill="FFFFFF"/>
        </w:rPr>
        <w:t xml:space="preserve"> </w:t>
      </w:r>
      <w:r w:rsidR="008822F0" w:rsidRPr="005C7F03">
        <w:rPr>
          <w:rFonts w:ascii="Arial" w:hAnsi="Arial" w:cs="Arial"/>
          <w:shd w:val="clear" w:color="auto" w:fill="FFFFFF"/>
        </w:rPr>
        <w:t>2023).</w:t>
      </w:r>
      <w:r w:rsidRPr="005C7F03">
        <w:rPr>
          <w:rFonts w:ascii="Arial" w:eastAsia="Times New Roman" w:hAnsi="Arial" w:cs="Arial"/>
          <w:kern w:val="0"/>
          <w:lang w:eastAsia="en-GB"/>
          <w14:ligatures w14:val="none"/>
        </w:rPr>
        <w:t xml:space="preserve"> Furthermore, attention to articulation can support children with speech</w:t>
      </w:r>
      <w:r w:rsidR="00CF460C" w:rsidRPr="005C7F03">
        <w:rPr>
          <w:rFonts w:ascii="Arial" w:eastAsia="Times New Roman" w:hAnsi="Arial" w:cs="Arial"/>
          <w:kern w:val="0"/>
          <w:lang w:eastAsia="en-GB"/>
          <w14:ligatures w14:val="none"/>
        </w:rPr>
        <w:t xml:space="preserve"> and</w:t>
      </w:r>
      <w:r w:rsidRPr="005C7F03">
        <w:rPr>
          <w:rFonts w:ascii="Arial" w:eastAsia="Times New Roman" w:hAnsi="Arial" w:cs="Arial"/>
          <w:kern w:val="0"/>
          <w:lang w:eastAsia="en-GB"/>
          <w14:ligatures w14:val="none"/>
        </w:rPr>
        <w:t xml:space="preserve"> sound difficulties, providing a clear and accessible model (McLeod</w:t>
      </w:r>
      <w:r w:rsidR="00604572" w:rsidRPr="005C7F03">
        <w:rPr>
          <w:rFonts w:ascii="Arial" w:eastAsia="Times New Roman" w:hAnsi="Arial" w:cs="Arial"/>
          <w:kern w:val="0"/>
          <w:lang w:eastAsia="en-GB"/>
          <w14:ligatures w14:val="none"/>
        </w:rPr>
        <w:t xml:space="preserve">, </w:t>
      </w:r>
      <w:r w:rsidR="00604572" w:rsidRPr="005C7F03">
        <w:rPr>
          <w:rFonts w:ascii="Arial" w:eastAsia="Times New Roman" w:hAnsi="Arial" w:cs="Arial"/>
          <w:i/>
          <w:iCs/>
          <w:kern w:val="0"/>
          <w:lang w:eastAsia="en-GB"/>
          <w14:ligatures w14:val="none"/>
        </w:rPr>
        <w:t>et al</w:t>
      </w:r>
      <w:r w:rsidR="00604572" w:rsidRPr="005C7F03">
        <w:rPr>
          <w:rFonts w:ascii="Arial" w:eastAsia="Times New Roman" w:hAnsi="Arial" w:cs="Arial"/>
          <w:kern w:val="0"/>
          <w:lang w:eastAsia="en-GB"/>
          <w14:ligatures w14:val="none"/>
        </w:rPr>
        <w:t>.</w:t>
      </w:r>
      <w:r w:rsidRPr="005C7F03">
        <w:rPr>
          <w:rFonts w:ascii="Arial" w:eastAsia="Times New Roman" w:hAnsi="Arial" w:cs="Arial"/>
          <w:kern w:val="0"/>
          <w:lang w:eastAsia="en-GB"/>
          <w14:ligatures w14:val="none"/>
        </w:rPr>
        <w:t>, 201</w:t>
      </w:r>
      <w:r w:rsidR="003D3EA1" w:rsidRPr="005C7F03">
        <w:rPr>
          <w:rFonts w:ascii="Arial" w:eastAsia="Times New Roman" w:hAnsi="Arial" w:cs="Arial"/>
          <w:kern w:val="0"/>
          <w:lang w:eastAsia="en-GB"/>
          <w14:ligatures w14:val="none"/>
        </w:rPr>
        <w:t>7</w:t>
      </w:r>
      <w:r w:rsidR="006E4185" w:rsidRPr="005C7F03">
        <w:rPr>
          <w:rFonts w:ascii="Arial" w:eastAsia="Times New Roman" w:hAnsi="Arial" w:cs="Arial"/>
          <w:kern w:val="0"/>
          <w:lang w:eastAsia="en-GB"/>
          <w14:ligatures w14:val="none"/>
        </w:rPr>
        <w:t xml:space="preserve">; </w:t>
      </w:r>
      <w:r w:rsidR="00D15402" w:rsidRPr="005C7F03">
        <w:rPr>
          <w:rFonts w:ascii="Arial" w:hAnsi="Arial" w:cs="Arial"/>
          <w:shd w:val="clear" w:color="auto" w:fill="FFFFFF"/>
        </w:rPr>
        <w:t xml:space="preserve">McLeod, Crowe, </w:t>
      </w:r>
      <w:r w:rsidR="00604572" w:rsidRPr="005C7F03">
        <w:rPr>
          <w:rFonts w:ascii="Arial" w:hAnsi="Arial" w:cs="Arial"/>
          <w:shd w:val="clear" w:color="auto" w:fill="FFFFFF"/>
        </w:rPr>
        <w:t>McCormack, White</w:t>
      </w:r>
      <w:r w:rsidR="00D15402" w:rsidRPr="005C7F03">
        <w:rPr>
          <w:rFonts w:ascii="Arial" w:hAnsi="Arial" w:cs="Arial"/>
          <w:shd w:val="clear" w:color="auto" w:fill="FFFFFF"/>
        </w:rPr>
        <w:t>, Wren, Baker</w:t>
      </w:r>
      <w:r w:rsidR="00F145BA" w:rsidRPr="005C7F03">
        <w:rPr>
          <w:rFonts w:ascii="Arial" w:hAnsi="Arial" w:cs="Arial"/>
          <w:shd w:val="clear" w:color="auto" w:fill="FFFFFF"/>
        </w:rPr>
        <w:t xml:space="preserve"> and</w:t>
      </w:r>
      <w:r w:rsidR="00D15402" w:rsidRPr="005C7F03">
        <w:rPr>
          <w:rFonts w:ascii="Arial" w:hAnsi="Arial" w:cs="Arial"/>
          <w:shd w:val="clear" w:color="auto" w:fill="FFFFFF"/>
        </w:rPr>
        <w:t xml:space="preserve"> Roulstone,</w:t>
      </w:r>
      <w:r w:rsidR="00F145BA" w:rsidRPr="005C7F03">
        <w:rPr>
          <w:rFonts w:ascii="Arial" w:hAnsi="Arial" w:cs="Arial"/>
          <w:shd w:val="clear" w:color="auto" w:fill="FFFFFF"/>
        </w:rPr>
        <w:t xml:space="preserve"> 2017)</w:t>
      </w:r>
    </w:p>
    <w:p w14:paraId="1BB51E55" w14:textId="35176EA9"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Secondly, </w:t>
      </w:r>
      <w:r w:rsidRPr="005C7F03">
        <w:rPr>
          <w:rFonts w:ascii="Arial" w:eastAsia="Times New Roman" w:hAnsi="Arial" w:cs="Arial"/>
          <w:i/>
          <w:iCs/>
          <w:kern w:val="0"/>
          <w:lang w:eastAsia="en-GB"/>
          <w14:ligatures w14:val="none"/>
        </w:rPr>
        <w:t>pace</w:t>
      </w:r>
      <w:r w:rsidRPr="005C7F03">
        <w:rPr>
          <w:rFonts w:ascii="Arial" w:eastAsia="Times New Roman" w:hAnsi="Arial" w:cs="Arial"/>
          <w:kern w:val="0"/>
          <w:lang w:eastAsia="en-GB"/>
          <w14:ligatures w14:val="none"/>
        </w:rPr>
        <w:t xml:space="preserve"> plays a significant role. A presentation that rushes through the story risks losing the audience's attention. Conversely, a pace that is too slow can also lead to disengagement. The ideal pace allows children time to process the information and appreciate the rhythm of the language. For "The Very Hungry Caterpillar," a measured pace, with slight pauses to emphasi</w:t>
      </w:r>
      <w:r w:rsidR="008C2CB9"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e key moments, such as the caterpillar's eating spree or its transformation into a butterfly, would be most effective.</w:t>
      </w:r>
      <w:r w:rsidR="00CD562C" w:rsidRPr="005C7F03">
        <w:rPr>
          <w:rFonts w:ascii="Arial" w:eastAsia="Times New Roman" w:hAnsi="Arial" w:cs="Arial"/>
          <w:kern w:val="0"/>
          <w:lang w:eastAsia="en-GB"/>
          <w14:ligatures w14:val="none"/>
        </w:rPr>
        <w:t xml:space="preserve"> The </w:t>
      </w:r>
      <w:r w:rsidR="000F0D36" w:rsidRPr="005C7F03">
        <w:rPr>
          <w:rFonts w:ascii="Arial" w:eastAsia="Times New Roman" w:hAnsi="Arial" w:cs="Arial"/>
          <w:kern w:val="0"/>
          <w:lang w:eastAsia="en-GB"/>
          <w14:ligatures w14:val="none"/>
        </w:rPr>
        <w:t>practitioner aims to model this in both presentations.</w:t>
      </w:r>
      <w:r w:rsidRPr="005C7F03">
        <w:rPr>
          <w:rFonts w:ascii="Arial" w:eastAsia="Times New Roman" w:hAnsi="Arial" w:cs="Arial"/>
          <w:kern w:val="0"/>
          <w:lang w:eastAsia="en-GB"/>
          <w14:ligatures w14:val="none"/>
        </w:rPr>
        <w:t xml:space="preserve"> This echoes Bruner's (19</w:t>
      </w:r>
      <w:r w:rsidR="00750042" w:rsidRPr="005C7F03">
        <w:rPr>
          <w:rFonts w:ascii="Arial" w:eastAsia="Times New Roman" w:hAnsi="Arial" w:cs="Arial"/>
          <w:kern w:val="0"/>
          <w:lang w:eastAsia="en-GB"/>
          <w14:ligatures w14:val="none"/>
        </w:rPr>
        <w:t>77</w:t>
      </w:r>
      <w:r w:rsidRPr="005C7F03">
        <w:rPr>
          <w:rFonts w:ascii="Arial" w:eastAsia="Times New Roman" w:hAnsi="Arial" w:cs="Arial"/>
          <w:kern w:val="0"/>
          <w:lang w:eastAsia="en-GB"/>
          <w14:ligatures w14:val="none"/>
        </w:rPr>
        <w:t xml:space="preserve">) emphasis on the importance of pacing and structure in narrative, allowing learners to construct meaning effectively. A well-paced narrative also facilitates the development of listening skills, a crucial component of </w:t>
      </w:r>
      <w:r w:rsidR="00812EE4" w:rsidRPr="005C7F03">
        <w:rPr>
          <w:rFonts w:ascii="Arial" w:eastAsia="Times New Roman" w:hAnsi="Arial" w:cs="Arial"/>
          <w:kern w:val="0"/>
          <w:lang w:eastAsia="en-GB"/>
          <w14:ligatures w14:val="none"/>
        </w:rPr>
        <w:t xml:space="preserve">oracy </w:t>
      </w:r>
      <w:r w:rsidR="00812EE4" w:rsidRPr="005C7F03">
        <w:rPr>
          <w:rFonts w:ascii="Arial" w:hAnsi="Arial" w:cs="Arial"/>
          <w:shd w:val="clear" w:color="auto" w:fill="FFFFFF"/>
        </w:rPr>
        <w:t>(</w:t>
      </w:r>
      <w:r w:rsidR="001439DD" w:rsidRPr="005C7F03">
        <w:rPr>
          <w:rFonts w:ascii="Arial" w:hAnsi="Arial" w:cs="Arial"/>
          <w:shd w:val="clear" w:color="auto" w:fill="FFFFFF"/>
        </w:rPr>
        <w:t>Littlewood, 2014; Whitehead, 2009, Caudwell, 2018)</w:t>
      </w:r>
      <w:r w:rsidR="00257155" w:rsidRPr="005C7F03">
        <w:rPr>
          <w:rFonts w:ascii="Arial" w:hAnsi="Arial" w:cs="Arial"/>
          <w:shd w:val="clear" w:color="auto" w:fill="FFFFFF"/>
        </w:rPr>
        <w:t>.</w:t>
      </w:r>
      <w:r w:rsidR="00812EE4"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Pauses can also be strategically used to allow children to anticipate what might happen next, fostering prediction skills (Tompkins, 201</w:t>
      </w:r>
      <w:r w:rsidR="00710E9D" w:rsidRPr="005C7F03">
        <w:rPr>
          <w:rFonts w:ascii="Arial" w:eastAsia="Times New Roman" w:hAnsi="Arial" w:cs="Arial"/>
          <w:kern w:val="0"/>
          <w:lang w:eastAsia="en-GB"/>
          <w14:ligatures w14:val="none"/>
        </w:rPr>
        <w:t>8</w:t>
      </w:r>
      <w:r w:rsidRPr="005C7F03">
        <w:rPr>
          <w:rFonts w:ascii="Arial" w:eastAsia="Times New Roman" w:hAnsi="Arial" w:cs="Arial"/>
          <w:kern w:val="0"/>
          <w:lang w:eastAsia="en-GB"/>
          <w14:ligatures w14:val="none"/>
        </w:rPr>
        <w:t xml:space="preserve">). Varying the pace can also create dramatic effect and enhance the storytelling experience (Reilly </w:t>
      </w:r>
      <w:r w:rsidRPr="005C7F03">
        <w:rPr>
          <w:rFonts w:ascii="Arial" w:eastAsia="Times New Roman" w:hAnsi="Arial" w:cs="Arial"/>
          <w:i/>
          <w:iCs/>
          <w:kern w:val="0"/>
          <w:lang w:eastAsia="en-GB"/>
          <w14:ligatures w14:val="none"/>
        </w:rPr>
        <w:t>et al</w:t>
      </w:r>
      <w:r w:rsidRPr="005C7F03">
        <w:rPr>
          <w:rFonts w:ascii="Arial" w:eastAsia="Times New Roman" w:hAnsi="Arial" w:cs="Arial"/>
          <w:kern w:val="0"/>
          <w:lang w:eastAsia="en-GB"/>
          <w14:ligatures w14:val="none"/>
        </w:rPr>
        <w:t>., 2019).</w:t>
      </w:r>
      <w:r w:rsidR="007F615A" w:rsidRPr="005C7F03">
        <w:rPr>
          <w:rFonts w:ascii="Arial" w:eastAsia="Times New Roman" w:hAnsi="Arial" w:cs="Arial"/>
          <w:kern w:val="0"/>
          <w:lang w:eastAsia="en-GB"/>
          <w14:ligatures w14:val="none"/>
        </w:rPr>
        <w:t xml:space="preserve"> </w:t>
      </w:r>
      <w:r w:rsidR="00A41C27" w:rsidRPr="005C7F03">
        <w:rPr>
          <w:rFonts w:ascii="Arial" w:eastAsia="Times New Roman" w:hAnsi="Arial" w:cs="Arial"/>
          <w:kern w:val="0"/>
          <w:lang w:eastAsia="en-GB"/>
          <w14:ligatures w14:val="none"/>
        </w:rPr>
        <w:t>Again,</w:t>
      </w:r>
      <w:r w:rsidR="007F615A" w:rsidRPr="005C7F03">
        <w:rPr>
          <w:rFonts w:ascii="Arial" w:eastAsia="Times New Roman" w:hAnsi="Arial" w:cs="Arial"/>
          <w:kern w:val="0"/>
          <w:lang w:eastAsia="en-GB"/>
          <w14:ligatures w14:val="none"/>
        </w:rPr>
        <w:t xml:space="preserve"> the practitioner strives in both presentation</w:t>
      </w:r>
      <w:r w:rsidR="001C1823" w:rsidRPr="005C7F03">
        <w:rPr>
          <w:rFonts w:ascii="Arial" w:eastAsia="Times New Roman" w:hAnsi="Arial" w:cs="Arial"/>
          <w:kern w:val="0"/>
          <w:lang w:eastAsia="en-GB"/>
          <w14:ligatures w14:val="none"/>
        </w:rPr>
        <w:t>s to model this effectively.</w:t>
      </w:r>
    </w:p>
    <w:p w14:paraId="1A6925BA" w14:textId="7235CD82" w:rsidR="0031472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Thirdly, </w:t>
      </w:r>
      <w:r w:rsidRPr="0059005A">
        <w:rPr>
          <w:rFonts w:ascii="Arial" w:eastAsia="Times New Roman" w:hAnsi="Arial" w:cs="Arial"/>
          <w:kern w:val="0"/>
          <w:lang w:eastAsia="en-GB"/>
          <w14:ligatures w14:val="none"/>
        </w:rPr>
        <w:t xml:space="preserve">vocabulary </w:t>
      </w:r>
      <w:r w:rsidRPr="005C7F03">
        <w:rPr>
          <w:rFonts w:ascii="Arial" w:eastAsia="Times New Roman" w:hAnsi="Arial" w:cs="Arial"/>
          <w:kern w:val="0"/>
          <w:lang w:eastAsia="en-GB"/>
          <w14:ligatures w14:val="none"/>
        </w:rPr>
        <w:t xml:space="preserve">choices are paramount. While the language of "The Very Hungry Caterpillar" is relatively simple, the presenter </w:t>
      </w:r>
      <w:r w:rsidR="00FB6C97" w:rsidRPr="005C7F03">
        <w:rPr>
          <w:rFonts w:ascii="Arial" w:eastAsia="Times New Roman" w:hAnsi="Arial" w:cs="Arial"/>
          <w:kern w:val="0"/>
          <w:lang w:eastAsia="en-GB"/>
          <w14:ligatures w14:val="none"/>
        </w:rPr>
        <w:t>aims to</w:t>
      </w:r>
      <w:r w:rsidRPr="005C7F03">
        <w:rPr>
          <w:rFonts w:ascii="Arial" w:eastAsia="Times New Roman" w:hAnsi="Arial" w:cs="Arial"/>
          <w:kern w:val="0"/>
          <w:lang w:eastAsia="en-GB"/>
          <w14:ligatures w14:val="none"/>
        </w:rPr>
        <w:t xml:space="preserve"> enhance the experience by </w:t>
      </w:r>
      <w:r w:rsidRPr="005C7F03">
        <w:rPr>
          <w:rFonts w:ascii="Arial" w:eastAsia="Times New Roman" w:hAnsi="Arial" w:cs="Arial"/>
          <w:kern w:val="0"/>
          <w:lang w:eastAsia="en-GB"/>
          <w14:ligatures w14:val="none"/>
        </w:rPr>
        <w:lastRenderedPageBreak/>
        <w:t>introducing related vocabulary, such as the names of the fruits or the stages of metamorphosis.</w:t>
      </w:r>
      <w:r w:rsidR="002C627A" w:rsidRPr="005C7F03">
        <w:rPr>
          <w:rFonts w:ascii="Arial" w:eastAsia="Times New Roman" w:hAnsi="Arial" w:cs="Arial"/>
          <w:kern w:val="0"/>
          <w:lang w:eastAsia="en-GB"/>
          <w14:ligatures w14:val="none"/>
        </w:rPr>
        <w:t xml:space="preserve">  </w:t>
      </w:r>
      <w:r w:rsidR="005F15CE" w:rsidRPr="005C7F03">
        <w:rPr>
          <w:rFonts w:ascii="Arial" w:eastAsia="Times New Roman" w:hAnsi="Arial" w:cs="Arial"/>
          <w:kern w:val="0"/>
          <w:lang w:eastAsia="en-GB"/>
          <w14:ligatures w14:val="none"/>
        </w:rPr>
        <w:t>I</w:t>
      </w:r>
      <w:r w:rsidR="002C627A" w:rsidRPr="005C7F03">
        <w:rPr>
          <w:rFonts w:ascii="Arial" w:eastAsia="Times New Roman" w:hAnsi="Arial" w:cs="Arial"/>
          <w:kern w:val="0"/>
          <w:lang w:eastAsia="en-GB"/>
          <w14:ligatures w14:val="none"/>
        </w:rPr>
        <w:t xml:space="preserve">n both </w:t>
      </w:r>
      <w:r w:rsidR="00597903" w:rsidRPr="005C7F03">
        <w:rPr>
          <w:rFonts w:ascii="Arial" w:eastAsia="Times New Roman" w:hAnsi="Arial" w:cs="Arial"/>
          <w:kern w:val="0"/>
          <w:lang w:eastAsia="en-GB"/>
          <w14:ligatures w14:val="none"/>
        </w:rPr>
        <w:t>presentations</w:t>
      </w:r>
      <w:r w:rsidR="00A41FD9" w:rsidRPr="005C7F03">
        <w:rPr>
          <w:rFonts w:ascii="Arial" w:eastAsia="Times New Roman" w:hAnsi="Arial" w:cs="Arial"/>
          <w:kern w:val="0"/>
          <w:lang w:eastAsia="en-GB"/>
          <w14:ligatures w14:val="none"/>
        </w:rPr>
        <w:t xml:space="preserve"> the practitioners aim </w:t>
      </w:r>
      <w:r w:rsidR="005F15CE" w:rsidRPr="005C7F03">
        <w:rPr>
          <w:rFonts w:ascii="Arial" w:eastAsia="Times New Roman" w:hAnsi="Arial" w:cs="Arial"/>
          <w:kern w:val="0"/>
          <w:lang w:eastAsia="en-GB"/>
          <w14:ligatures w14:val="none"/>
        </w:rPr>
        <w:t>is</w:t>
      </w:r>
      <w:r w:rsidR="00597903" w:rsidRPr="005C7F03">
        <w:rPr>
          <w:rFonts w:ascii="Arial" w:eastAsia="Times New Roman" w:hAnsi="Arial" w:cs="Arial"/>
          <w:kern w:val="0"/>
          <w:lang w:eastAsia="en-GB"/>
          <w14:ligatures w14:val="none"/>
        </w:rPr>
        <w:t xml:space="preserve"> to highlight the transformation from caterpillar to butterfly.</w:t>
      </w:r>
      <w:r w:rsidRPr="005C7F03">
        <w:rPr>
          <w:rFonts w:ascii="Arial" w:eastAsia="Times New Roman" w:hAnsi="Arial" w:cs="Arial"/>
          <w:kern w:val="0"/>
          <w:lang w:eastAsia="en-GB"/>
          <w14:ligatures w14:val="none"/>
        </w:rPr>
        <w:t xml:space="preserve"> However, it is essential to strike a balance between enriching vocabulary and maintaining accessibility for the target audience. Overly complex language would be counterproductive, potentially confusing young children. The presenter should also be mindful of using inclusive language, ensuring that all children feel represented and valued (Cremin </w:t>
      </w:r>
      <w:r w:rsidRPr="005C7F03">
        <w:rPr>
          <w:rFonts w:ascii="Arial" w:eastAsia="Times New Roman" w:hAnsi="Arial" w:cs="Arial"/>
          <w:i/>
          <w:iCs/>
          <w:kern w:val="0"/>
          <w:lang w:eastAsia="en-GB"/>
          <w14:ligatures w14:val="none"/>
        </w:rPr>
        <w:t>et al</w:t>
      </w:r>
      <w:r w:rsidRPr="005C7F03">
        <w:rPr>
          <w:rFonts w:ascii="Arial" w:eastAsia="Times New Roman" w:hAnsi="Arial" w:cs="Arial"/>
          <w:kern w:val="0"/>
          <w:lang w:eastAsia="en-GB"/>
          <w14:ligatures w14:val="none"/>
        </w:rPr>
        <w:t>., 20</w:t>
      </w:r>
      <w:r w:rsidR="00F64981" w:rsidRPr="005C7F03">
        <w:rPr>
          <w:rFonts w:ascii="Arial" w:eastAsia="Times New Roman" w:hAnsi="Arial" w:cs="Arial"/>
          <w:kern w:val="0"/>
          <w:lang w:eastAsia="en-GB"/>
          <w14:ligatures w14:val="none"/>
        </w:rPr>
        <w:t>23</w:t>
      </w:r>
      <w:r w:rsidRPr="005C7F03">
        <w:rPr>
          <w:rFonts w:ascii="Arial" w:eastAsia="Times New Roman" w:hAnsi="Arial" w:cs="Arial"/>
          <w:kern w:val="0"/>
          <w:lang w:eastAsia="en-GB"/>
          <w14:ligatures w14:val="none"/>
        </w:rPr>
        <w:t>; Mayr, 20</w:t>
      </w:r>
      <w:r w:rsidR="001E31F1" w:rsidRPr="005C7F03">
        <w:rPr>
          <w:rFonts w:ascii="Arial" w:eastAsia="Times New Roman" w:hAnsi="Arial" w:cs="Arial"/>
          <w:kern w:val="0"/>
          <w:lang w:eastAsia="en-GB"/>
          <w14:ligatures w14:val="none"/>
        </w:rPr>
        <w:t>08</w:t>
      </w:r>
      <w:r w:rsidRPr="005C7F03">
        <w:rPr>
          <w:rFonts w:ascii="Arial" w:eastAsia="Times New Roman" w:hAnsi="Arial" w:cs="Arial"/>
          <w:kern w:val="0"/>
          <w:lang w:eastAsia="en-GB"/>
          <w14:ligatures w14:val="none"/>
        </w:rPr>
        <w:t>). This consideration aligns with sociocultural perspectives on language development, which emphasize the role of social interaction and cultural context in shaping language acquisition (</w:t>
      </w:r>
      <w:r w:rsidR="00C61587" w:rsidRPr="005C7F03">
        <w:rPr>
          <w:rFonts w:ascii="Arial" w:eastAsia="Times New Roman" w:hAnsi="Arial" w:cs="Arial"/>
          <w:kern w:val="0"/>
          <w:lang w:eastAsia="en-GB"/>
          <w14:ligatures w14:val="none"/>
        </w:rPr>
        <w:t>Rogoff, 2003; Souto-Manning, Ryan, 2013</w:t>
      </w:r>
      <w:r w:rsidR="00505BE4" w:rsidRPr="005C7F03">
        <w:rPr>
          <w:rFonts w:ascii="Arial" w:eastAsia="Times New Roman" w:hAnsi="Arial" w:cs="Arial"/>
          <w:kern w:val="0"/>
          <w:lang w:eastAsia="en-GB"/>
          <w14:ligatures w14:val="none"/>
        </w:rPr>
        <w:t>;</w:t>
      </w:r>
      <w:r w:rsidR="00112B63" w:rsidRPr="005C7F03">
        <w:rPr>
          <w:rFonts w:ascii="Arial" w:eastAsia="Times New Roman" w:hAnsi="Arial" w:cs="Arial"/>
          <w:kern w:val="0"/>
          <w:lang w:eastAsia="en-GB"/>
          <w14:ligatures w14:val="none"/>
        </w:rPr>
        <w:t xml:space="preserve"> </w:t>
      </w:r>
      <w:r w:rsidR="00112B63" w:rsidRPr="005C7F03">
        <w:rPr>
          <w:rFonts w:ascii="Arial" w:eastAsia="Times New Roman" w:hAnsi="Arial" w:cs="Arial"/>
          <w:kern w:val="0"/>
          <w:lang w:eastAsia="en-GB"/>
          <w14:ligatures w14:val="none"/>
        </w:rPr>
        <w:t>Carney, Lantolf and Poehner, 2015)</w:t>
      </w:r>
      <w:r w:rsidRPr="005C7F03">
        <w:rPr>
          <w:rFonts w:ascii="Arial" w:eastAsia="Times New Roman" w:hAnsi="Arial" w:cs="Arial"/>
          <w:kern w:val="0"/>
          <w:lang w:eastAsia="en-GB"/>
          <w14:ligatures w14:val="none"/>
        </w:rPr>
        <w:t xml:space="preserve"> Introducing new vocabulary in context, supported by visuals and actions, is crucial for young learners (Beck </w:t>
      </w:r>
      <w:r w:rsidRPr="005C7F03">
        <w:rPr>
          <w:rFonts w:ascii="Arial" w:eastAsia="Times New Roman" w:hAnsi="Arial" w:cs="Arial"/>
          <w:i/>
          <w:iCs/>
          <w:kern w:val="0"/>
          <w:lang w:eastAsia="en-GB"/>
          <w14:ligatures w14:val="none"/>
        </w:rPr>
        <w:t>et al</w:t>
      </w:r>
      <w:r w:rsidRPr="005C7F03">
        <w:rPr>
          <w:rFonts w:ascii="Arial" w:eastAsia="Times New Roman" w:hAnsi="Arial" w:cs="Arial"/>
          <w:kern w:val="0"/>
          <w:lang w:eastAsia="en-GB"/>
          <w14:ligatures w14:val="none"/>
        </w:rPr>
        <w:t>., 2013). The presenter can also encourage children to use the new vocabulary by incorporating it into</w:t>
      </w:r>
      <w:r w:rsidR="00283BE3" w:rsidRPr="005C7F03">
        <w:rPr>
          <w:rFonts w:ascii="Arial" w:eastAsia="Times New Roman" w:hAnsi="Arial" w:cs="Arial"/>
          <w:kern w:val="0"/>
          <w:lang w:eastAsia="en-GB"/>
          <w14:ligatures w14:val="none"/>
        </w:rPr>
        <w:t xml:space="preserve"> future</w:t>
      </w:r>
      <w:r w:rsidRPr="005C7F03">
        <w:rPr>
          <w:rFonts w:ascii="Arial" w:eastAsia="Times New Roman" w:hAnsi="Arial" w:cs="Arial"/>
          <w:kern w:val="0"/>
          <w:lang w:eastAsia="en-GB"/>
          <w14:ligatures w14:val="none"/>
        </w:rPr>
        <w:t xml:space="preserve"> interactive activities and</w:t>
      </w:r>
      <w:r w:rsidR="00283BE3" w:rsidRPr="005C7F03">
        <w:rPr>
          <w:rFonts w:ascii="Arial" w:eastAsia="Times New Roman" w:hAnsi="Arial" w:cs="Arial"/>
          <w:kern w:val="0"/>
          <w:lang w:eastAsia="en-GB"/>
          <w14:ligatures w14:val="none"/>
        </w:rPr>
        <w:t xml:space="preserve"> follow on</w:t>
      </w:r>
      <w:r w:rsidRPr="005C7F03">
        <w:rPr>
          <w:rFonts w:ascii="Arial" w:eastAsia="Times New Roman" w:hAnsi="Arial" w:cs="Arial"/>
          <w:kern w:val="0"/>
          <w:lang w:eastAsia="en-GB"/>
          <w14:ligatures w14:val="none"/>
        </w:rPr>
        <w:t xml:space="preserve"> discussions</w:t>
      </w:r>
      <w:r w:rsidR="00314727" w:rsidRPr="005C7F03">
        <w:rPr>
          <w:rFonts w:ascii="Arial" w:eastAsia="Times New Roman" w:hAnsi="Arial" w:cs="Arial"/>
          <w:kern w:val="0"/>
          <w:lang w:eastAsia="en-GB"/>
          <w14:ligatures w14:val="none"/>
        </w:rPr>
        <w:t xml:space="preserve"> </w:t>
      </w:r>
      <w:r w:rsidR="00314727" w:rsidRPr="005C7F03">
        <w:rPr>
          <w:rFonts w:ascii="Arial" w:eastAsia="Times New Roman" w:hAnsi="Arial" w:cs="Arial"/>
          <w:kern w:val="0"/>
          <w:lang w:eastAsia="en-GB"/>
          <w14:ligatures w14:val="none"/>
        </w:rPr>
        <w:t>(</w:t>
      </w:r>
      <w:r w:rsidR="00314727" w:rsidRPr="00803870">
        <w:rPr>
          <w:rFonts w:ascii="Arial" w:eastAsia="Times New Roman" w:hAnsi="Arial" w:cs="Arial"/>
          <w:kern w:val="0"/>
          <w:lang w:eastAsia="en-GB"/>
          <w14:ligatures w14:val="none"/>
        </w:rPr>
        <w:t>Dreher</w:t>
      </w:r>
      <w:r w:rsidR="00314727" w:rsidRPr="005C7F03">
        <w:rPr>
          <w:rFonts w:ascii="Arial" w:eastAsia="Times New Roman" w:hAnsi="Arial" w:cs="Arial"/>
          <w:kern w:val="0"/>
          <w:lang w:eastAsia="en-GB"/>
          <w14:ligatures w14:val="none"/>
        </w:rPr>
        <w:t xml:space="preserve"> and</w:t>
      </w:r>
      <w:r w:rsidR="00314727" w:rsidRPr="00803870">
        <w:rPr>
          <w:rFonts w:ascii="Arial" w:eastAsia="Times New Roman" w:hAnsi="Arial" w:cs="Arial"/>
          <w:kern w:val="0"/>
          <w:lang w:eastAsia="en-GB"/>
          <w14:ligatures w14:val="none"/>
        </w:rPr>
        <w:t xml:space="preserve"> Kletzien</w:t>
      </w:r>
      <w:r w:rsidR="00314727" w:rsidRPr="005C7F03">
        <w:rPr>
          <w:rFonts w:ascii="Arial" w:eastAsia="Times New Roman" w:hAnsi="Arial" w:cs="Arial"/>
          <w:kern w:val="0"/>
          <w:lang w:eastAsia="en-GB"/>
          <w14:ligatures w14:val="none"/>
        </w:rPr>
        <w:t xml:space="preserve">, </w:t>
      </w:r>
      <w:r w:rsidR="00314727" w:rsidRPr="00803870">
        <w:rPr>
          <w:rFonts w:ascii="Arial" w:eastAsia="Times New Roman" w:hAnsi="Arial" w:cs="Arial"/>
          <w:kern w:val="0"/>
          <w:lang w:eastAsia="en-GB"/>
          <w14:ligatures w14:val="none"/>
        </w:rPr>
        <w:t>202</w:t>
      </w:r>
      <w:r w:rsidR="00314727" w:rsidRPr="005C7F03">
        <w:rPr>
          <w:rFonts w:ascii="Arial" w:eastAsia="Times New Roman" w:hAnsi="Arial" w:cs="Arial"/>
          <w:kern w:val="0"/>
          <w:lang w:eastAsia="en-GB"/>
          <w14:ligatures w14:val="none"/>
        </w:rPr>
        <w:t xml:space="preserve">0; </w:t>
      </w:r>
      <w:r w:rsidR="00314727" w:rsidRPr="00803870">
        <w:rPr>
          <w:rFonts w:ascii="Arial" w:eastAsia="Times New Roman" w:hAnsi="Arial" w:cs="Arial"/>
          <w:kern w:val="0"/>
          <w:lang w:eastAsia="en-GB"/>
          <w14:ligatures w14:val="none"/>
        </w:rPr>
        <w:t>Kuhn</w:t>
      </w:r>
      <w:r w:rsidR="00314727" w:rsidRPr="005C7F03">
        <w:rPr>
          <w:rFonts w:ascii="Arial" w:eastAsia="Times New Roman" w:hAnsi="Arial" w:cs="Arial"/>
          <w:kern w:val="0"/>
          <w:lang w:eastAsia="en-GB"/>
          <w14:ligatures w14:val="none"/>
        </w:rPr>
        <w:t xml:space="preserve"> and</w:t>
      </w:r>
      <w:r w:rsidR="00314727" w:rsidRPr="00803870">
        <w:rPr>
          <w:rFonts w:ascii="Arial" w:eastAsia="Times New Roman" w:hAnsi="Arial" w:cs="Arial"/>
          <w:kern w:val="0"/>
          <w:lang w:eastAsia="en-GB"/>
          <w14:ligatures w14:val="none"/>
        </w:rPr>
        <w:t xml:space="preserve"> Levy</w:t>
      </w:r>
      <w:r w:rsidR="00314727" w:rsidRPr="005C7F03">
        <w:rPr>
          <w:rFonts w:ascii="Arial" w:eastAsia="Times New Roman" w:hAnsi="Arial" w:cs="Arial"/>
          <w:kern w:val="0"/>
          <w:lang w:eastAsia="en-GB"/>
          <w14:ligatures w14:val="none"/>
        </w:rPr>
        <w:t>,</w:t>
      </w:r>
      <w:r w:rsidR="00314727" w:rsidRPr="00803870">
        <w:rPr>
          <w:rFonts w:ascii="Arial" w:eastAsia="Times New Roman" w:hAnsi="Arial" w:cs="Arial"/>
          <w:kern w:val="0"/>
          <w:lang w:eastAsia="en-GB"/>
          <w14:ligatures w14:val="none"/>
        </w:rPr>
        <w:t xml:space="preserve"> 2015</w:t>
      </w:r>
      <w:r w:rsidR="00314727" w:rsidRPr="005C7F03">
        <w:rPr>
          <w:rFonts w:ascii="Arial" w:eastAsia="Times New Roman" w:hAnsi="Arial" w:cs="Arial"/>
          <w:kern w:val="0"/>
          <w:lang w:eastAsia="en-GB"/>
          <w14:ligatures w14:val="none"/>
        </w:rPr>
        <w:t>;</w:t>
      </w:r>
      <w:r w:rsidR="00314727" w:rsidRPr="005C7F03">
        <w:rPr>
          <w:rFonts w:ascii="Arial" w:hAnsi="Arial" w:cs="Arial"/>
          <w:shd w:val="clear" w:color="auto" w:fill="FFFFFF"/>
        </w:rPr>
        <w:t xml:space="preserve"> Kuhn and Schwanenflugel, 2019; Morrow, 2019; Kuhn, Stahl, 2022)</w:t>
      </w:r>
      <w:r w:rsidR="00314727" w:rsidRPr="005C7F03">
        <w:rPr>
          <w:rFonts w:ascii="Arial" w:hAnsi="Arial" w:cs="Arial"/>
          <w:shd w:val="clear" w:color="auto" w:fill="FFFFFF"/>
        </w:rPr>
        <w:t>.</w:t>
      </w:r>
    </w:p>
    <w:p w14:paraId="0E595E00" w14:textId="4ED91F78"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p>
    <w:p w14:paraId="5F8C2701" w14:textId="5BED291B" w:rsidR="002505AD"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Finally,</w:t>
      </w:r>
      <w:r w:rsidRPr="009A0330">
        <w:rPr>
          <w:rFonts w:ascii="Arial" w:eastAsia="Times New Roman" w:hAnsi="Arial" w:cs="Arial"/>
          <w:kern w:val="0"/>
          <w:lang w:eastAsia="en-GB"/>
          <w14:ligatures w14:val="none"/>
        </w:rPr>
        <w:t xml:space="preserve"> interaction</w:t>
      </w:r>
      <w:r w:rsidRPr="005C7F03">
        <w:rPr>
          <w:rFonts w:ascii="Arial" w:eastAsia="Times New Roman" w:hAnsi="Arial" w:cs="Arial"/>
          <w:kern w:val="0"/>
          <w:lang w:eastAsia="en-GB"/>
          <w14:ligatures w14:val="none"/>
        </w:rPr>
        <w:t xml:space="preserve"> with the audience is vital. A good presenter will not merely read the story but will actively engage the children. This could involve asking open-ended questions like, "What do you think the caterpillar will eat next?" or encouraging them to make predictions about the story's outcome</w:t>
      </w:r>
      <w:r w:rsidR="00051F24" w:rsidRPr="005C7F03">
        <w:rPr>
          <w:rFonts w:ascii="Arial" w:eastAsia="Times New Roman" w:hAnsi="Arial" w:cs="Arial"/>
          <w:kern w:val="0"/>
          <w:lang w:eastAsia="en-GB"/>
          <w14:ligatures w14:val="none"/>
        </w:rPr>
        <w:t>, as the practitioner</w:t>
      </w:r>
      <w:r w:rsidR="00206A88" w:rsidRPr="005C7F03">
        <w:rPr>
          <w:rFonts w:ascii="Arial" w:eastAsia="Times New Roman" w:hAnsi="Arial" w:cs="Arial"/>
          <w:kern w:val="0"/>
          <w:lang w:eastAsia="en-GB"/>
          <w14:ligatures w14:val="none"/>
        </w:rPr>
        <w:t xml:space="preserve"> in both presentations </w:t>
      </w:r>
      <w:r w:rsidR="00A60749" w:rsidRPr="005C7F03">
        <w:rPr>
          <w:rFonts w:ascii="Arial" w:eastAsia="Times New Roman" w:hAnsi="Arial" w:cs="Arial"/>
          <w:kern w:val="0"/>
          <w:lang w:eastAsia="en-GB"/>
          <w14:ligatures w14:val="none"/>
        </w:rPr>
        <w:t>illustrates</w:t>
      </w:r>
      <w:r w:rsidR="00206A88" w:rsidRPr="005C7F03">
        <w:rPr>
          <w:rFonts w:ascii="Arial" w:eastAsia="Times New Roman" w:hAnsi="Arial" w:cs="Arial"/>
          <w:kern w:val="0"/>
          <w:lang w:eastAsia="en-GB"/>
          <w14:ligatures w14:val="none"/>
        </w:rPr>
        <w:t>.</w:t>
      </w:r>
      <w:r w:rsidRPr="005C7F03">
        <w:rPr>
          <w:rFonts w:ascii="Arial" w:eastAsia="Times New Roman" w:hAnsi="Arial" w:cs="Arial"/>
          <w:kern w:val="0"/>
          <w:lang w:eastAsia="en-GB"/>
          <w14:ligatures w14:val="none"/>
        </w:rPr>
        <w:t xml:space="preserve"> Such interactive elements promote active listening and critical thinking, transforming the presentation from a passive reception of information to an active co-construction of meaning (</w:t>
      </w:r>
      <w:r w:rsidR="00FB75B6" w:rsidRPr="005C7F03">
        <w:rPr>
          <w:rFonts w:ascii="Arial" w:eastAsia="Times New Roman" w:hAnsi="Arial" w:cs="Arial"/>
          <w:kern w:val="0"/>
          <w:lang w:eastAsia="en-GB"/>
          <w14:ligatures w14:val="none"/>
        </w:rPr>
        <w:t>Edwards and Mercer</w:t>
      </w:r>
      <w:r w:rsidR="004942E1" w:rsidRPr="005C7F03">
        <w:rPr>
          <w:rFonts w:ascii="Arial" w:eastAsia="Times New Roman" w:hAnsi="Arial" w:cs="Arial"/>
          <w:kern w:val="0"/>
          <w:lang w:eastAsia="en-GB"/>
          <w14:ligatures w14:val="none"/>
        </w:rPr>
        <w:t>,</w:t>
      </w:r>
      <w:r w:rsidR="0049682E" w:rsidRPr="005C7F03">
        <w:rPr>
          <w:rFonts w:ascii="Arial" w:eastAsia="Times New Roman" w:hAnsi="Arial" w:cs="Arial"/>
          <w:kern w:val="0"/>
          <w:lang w:eastAsia="en-GB"/>
          <w14:ligatures w14:val="none"/>
        </w:rPr>
        <w:t xml:space="preserve">2012; </w:t>
      </w:r>
      <w:r w:rsidRPr="005C7F03">
        <w:rPr>
          <w:rFonts w:ascii="Arial" w:eastAsia="Times New Roman" w:hAnsi="Arial" w:cs="Arial"/>
          <w:kern w:val="0"/>
          <w:lang w:eastAsia="en-GB"/>
          <w14:ligatures w14:val="none"/>
        </w:rPr>
        <w:t>Mercer, 201</w:t>
      </w:r>
      <w:r w:rsidR="00BA6D5B" w:rsidRPr="005C7F03">
        <w:rPr>
          <w:rFonts w:ascii="Arial" w:eastAsia="Times New Roman" w:hAnsi="Arial" w:cs="Arial"/>
          <w:kern w:val="0"/>
          <w:lang w:eastAsia="en-GB"/>
          <w14:ligatures w14:val="none"/>
        </w:rPr>
        <w:t>8</w:t>
      </w:r>
      <w:r w:rsidRPr="005C7F03">
        <w:rPr>
          <w:rFonts w:ascii="Arial" w:eastAsia="Times New Roman" w:hAnsi="Arial" w:cs="Arial"/>
          <w:kern w:val="0"/>
          <w:lang w:eastAsia="en-GB"/>
          <w14:ligatures w14:val="none"/>
        </w:rPr>
        <w:t>;</w:t>
      </w:r>
      <w:r w:rsidR="001B4096" w:rsidRPr="005C7F03">
        <w:rPr>
          <w:rFonts w:ascii="Arial" w:eastAsia="Times New Roman" w:hAnsi="Arial" w:cs="Arial"/>
          <w:kern w:val="0"/>
          <w:lang w:eastAsia="en-GB"/>
          <w14:ligatures w14:val="none"/>
        </w:rPr>
        <w:t xml:space="preserve"> Mercer and Howe</w:t>
      </w:r>
      <w:r w:rsidR="00F97ACC" w:rsidRPr="005C7F03">
        <w:rPr>
          <w:rFonts w:ascii="Arial" w:eastAsia="Times New Roman" w:hAnsi="Arial" w:cs="Arial"/>
          <w:kern w:val="0"/>
          <w:lang w:eastAsia="en-GB"/>
          <w14:ligatures w14:val="none"/>
        </w:rPr>
        <w:t xml:space="preserve">, 2012; </w:t>
      </w:r>
      <w:r w:rsidRPr="005C7F03">
        <w:rPr>
          <w:rFonts w:ascii="Arial" w:eastAsia="Times New Roman" w:hAnsi="Arial" w:cs="Arial"/>
          <w:kern w:val="0"/>
          <w:lang w:eastAsia="en-GB"/>
          <w14:ligatures w14:val="none"/>
        </w:rPr>
        <w:t>Alexander, 2020). This interactive approach also fosters a sense of community and shared experience, enhancing the learning process</w:t>
      </w:r>
      <w:r w:rsidR="00D4293A" w:rsidRPr="005C7F03">
        <w:rPr>
          <w:rFonts w:ascii="Arial" w:hAnsi="Arial" w:cs="Arial"/>
          <w:shd w:val="clear" w:color="auto" w:fill="FFFFFF"/>
        </w:rPr>
        <w:t xml:space="preserve"> </w:t>
      </w:r>
      <w:r w:rsidR="00D4293A" w:rsidRPr="005C7F03">
        <w:rPr>
          <w:rFonts w:ascii="Arial" w:hAnsi="Arial" w:cs="Arial"/>
          <w:shd w:val="clear" w:color="auto" w:fill="FFFFFF"/>
        </w:rPr>
        <w:t>(Kozak and Recchia, 2019; Wang, 2015</w:t>
      </w:r>
      <w:r w:rsidR="007C54A2" w:rsidRPr="005C7F03">
        <w:rPr>
          <w:rFonts w:ascii="Arial" w:hAnsi="Arial" w:cs="Arial"/>
          <w:shd w:val="clear" w:color="auto" w:fill="FFFFFF"/>
        </w:rPr>
        <w:t>;</w:t>
      </w:r>
      <w:r w:rsidR="007C54A2" w:rsidRPr="005C7F03">
        <w:rPr>
          <w:rFonts w:ascii="Arial" w:eastAsia="Times New Roman" w:hAnsi="Arial" w:cs="Arial"/>
          <w:kern w:val="0"/>
          <w:lang w:eastAsia="en-GB"/>
          <w14:ligatures w14:val="none"/>
        </w:rPr>
        <w:t xml:space="preserve"> </w:t>
      </w:r>
      <w:r w:rsidR="00766CBA" w:rsidRPr="005C7F03">
        <w:rPr>
          <w:rFonts w:ascii="Arial" w:eastAsia="Times New Roman" w:hAnsi="Arial" w:cs="Arial"/>
          <w:kern w:val="0"/>
          <w:lang w:eastAsia="en-GB"/>
          <w14:ligatures w14:val="none"/>
        </w:rPr>
        <w:t>Wentzel and Ramani, 2016; Van Boekholt, Van de Waal and Sterck, 2021)</w:t>
      </w:r>
      <w:r w:rsidR="00370CDD">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Encouraging children to share their own experiences related to the story can further personalize the learning and promote oral language development</w:t>
      </w:r>
      <w:r w:rsidR="00E719EF" w:rsidRPr="005C7F03">
        <w:rPr>
          <w:rFonts w:ascii="Arial" w:eastAsia="Times New Roman" w:hAnsi="Arial" w:cs="Arial"/>
          <w:kern w:val="0"/>
          <w:lang w:eastAsia="en-GB"/>
          <w14:ligatures w14:val="none"/>
        </w:rPr>
        <w:t xml:space="preserve"> </w:t>
      </w:r>
      <w:r w:rsidR="00E719EF" w:rsidRPr="005C7F03">
        <w:rPr>
          <w:rFonts w:ascii="Arial" w:eastAsia="Times New Roman" w:hAnsi="Arial" w:cs="Arial"/>
          <w:kern w:val="36"/>
          <w:lang w:eastAsia="en-GB"/>
          <w14:ligatures w14:val="none"/>
        </w:rPr>
        <w:t>(Dockett, Arthur, Farmer, Beecher and Death, 2017)</w:t>
      </w:r>
      <w:r w:rsidR="00685AEA"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 xml:space="preserve">Creating opportunities for children to respond to each other's ideas can also promote social and collaborative learning </w:t>
      </w:r>
      <w:r w:rsidR="002505AD" w:rsidRPr="005C7F03">
        <w:rPr>
          <w:rFonts w:ascii="Arial" w:eastAsia="Times New Roman" w:hAnsi="Arial" w:cs="Arial"/>
          <w:kern w:val="0"/>
          <w:lang w:eastAsia="en-GB"/>
          <w14:ligatures w14:val="none"/>
        </w:rPr>
        <w:t>(Palincsar and Herrenkohl, 2002; Albuquerque and Martins, 2021)</w:t>
      </w:r>
      <w:r w:rsidR="000A228F" w:rsidRPr="005C7F03">
        <w:rPr>
          <w:rFonts w:ascii="Arial" w:eastAsia="Times New Roman" w:hAnsi="Arial" w:cs="Arial"/>
          <w:kern w:val="0"/>
          <w:lang w:eastAsia="en-GB"/>
          <w14:ligatures w14:val="none"/>
        </w:rPr>
        <w:t>.</w:t>
      </w:r>
    </w:p>
    <w:p w14:paraId="1577E58B" w14:textId="1EC12C8E"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p>
    <w:p w14:paraId="33ADBA2C"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Props: Tangible Connections to the Narrative World</w:t>
      </w:r>
    </w:p>
    <w:p w14:paraId="2ACBF810" w14:textId="7E804224"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Props can significantly enhance a presentation, particularly for young children who are naturally drawn to visual and tactile experiences. In a presentation on "The Very Hungry Caterpillar," a variety of props </w:t>
      </w:r>
      <w:r w:rsidR="00060FA5" w:rsidRPr="005C7F03">
        <w:rPr>
          <w:rFonts w:ascii="Arial" w:eastAsia="Times New Roman" w:hAnsi="Arial" w:cs="Arial"/>
          <w:kern w:val="0"/>
          <w:lang w:eastAsia="en-GB"/>
          <w14:ligatures w14:val="none"/>
        </w:rPr>
        <w:t>are</w:t>
      </w:r>
      <w:r w:rsidRPr="005C7F03">
        <w:rPr>
          <w:rFonts w:ascii="Arial" w:eastAsia="Times New Roman" w:hAnsi="Arial" w:cs="Arial"/>
          <w:kern w:val="0"/>
          <w:lang w:eastAsia="en-GB"/>
          <w14:ligatures w14:val="none"/>
        </w:rPr>
        <w:t xml:space="preserve"> employed. A large, colourful replica of the book </w:t>
      </w:r>
      <w:r w:rsidR="009A20A2" w:rsidRPr="005C7F03">
        <w:rPr>
          <w:rFonts w:ascii="Arial" w:eastAsia="Times New Roman" w:hAnsi="Arial" w:cs="Arial"/>
          <w:kern w:val="0"/>
          <w:lang w:eastAsia="en-GB"/>
          <w14:ligatures w14:val="none"/>
        </w:rPr>
        <w:t>is essential</w:t>
      </w:r>
      <w:r w:rsidRPr="005C7F03">
        <w:rPr>
          <w:rFonts w:ascii="Arial" w:eastAsia="Times New Roman" w:hAnsi="Arial" w:cs="Arial"/>
          <w:kern w:val="0"/>
          <w:lang w:eastAsia="en-GB"/>
          <w14:ligatures w14:val="none"/>
        </w:rPr>
        <w:t>, allowing the children to see the illustrations clearly.</w:t>
      </w:r>
      <w:r w:rsidR="00FB6928" w:rsidRPr="005C7F03">
        <w:rPr>
          <w:rFonts w:ascii="Arial" w:eastAsia="Times New Roman" w:hAnsi="Arial" w:cs="Arial"/>
          <w:kern w:val="0"/>
          <w:lang w:eastAsia="en-GB"/>
          <w14:ligatures w14:val="none"/>
        </w:rPr>
        <w:t xml:space="preserve"> The presenter in the presentations</w:t>
      </w:r>
      <w:r w:rsidR="00625606" w:rsidRPr="005C7F03">
        <w:rPr>
          <w:rFonts w:ascii="Arial" w:eastAsia="Times New Roman" w:hAnsi="Arial" w:cs="Arial"/>
          <w:kern w:val="0"/>
          <w:lang w:eastAsia="en-GB"/>
          <w14:ligatures w14:val="none"/>
        </w:rPr>
        <w:t xml:space="preserve"> takes this fu</w:t>
      </w:r>
      <w:r w:rsidR="00A93ED8" w:rsidRPr="005C7F03">
        <w:rPr>
          <w:rFonts w:ascii="Arial" w:eastAsia="Times New Roman" w:hAnsi="Arial" w:cs="Arial"/>
          <w:kern w:val="0"/>
          <w:lang w:eastAsia="en-GB"/>
          <w14:ligatures w14:val="none"/>
        </w:rPr>
        <w:t>r</w:t>
      </w:r>
      <w:r w:rsidR="00625606" w:rsidRPr="005C7F03">
        <w:rPr>
          <w:rFonts w:ascii="Arial" w:eastAsia="Times New Roman" w:hAnsi="Arial" w:cs="Arial"/>
          <w:kern w:val="0"/>
          <w:lang w:eastAsia="en-GB"/>
          <w14:ligatures w14:val="none"/>
        </w:rPr>
        <w:t>ther in the immersive interactive</w:t>
      </w:r>
      <w:r w:rsidR="00A93ED8" w:rsidRPr="005C7F03">
        <w:rPr>
          <w:rFonts w:ascii="Arial" w:eastAsia="Times New Roman" w:hAnsi="Arial" w:cs="Arial"/>
          <w:kern w:val="0"/>
          <w:lang w:eastAsia="en-GB"/>
          <w14:ligatures w14:val="none"/>
        </w:rPr>
        <w:t xml:space="preserve"> facility</w:t>
      </w:r>
      <w:r w:rsidRPr="005C7F03">
        <w:rPr>
          <w:rFonts w:ascii="Arial" w:eastAsia="Times New Roman" w:hAnsi="Arial" w:cs="Arial"/>
          <w:kern w:val="0"/>
          <w:lang w:eastAsia="en-GB"/>
          <w14:ligatures w14:val="none"/>
        </w:rPr>
        <w:t xml:space="preserve"> </w:t>
      </w:r>
      <w:r w:rsidR="006C4BFE" w:rsidRPr="005C7F03">
        <w:rPr>
          <w:rFonts w:ascii="Arial" w:eastAsia="Times New Roman" w:hAnsi="Arial" w:cs="Arial"/>
          <w:kern w:val="0"/>
          <w:lang w:eastAsia="en-GB"/>
          <w14:ligatures w14:val="none"/>
        </w:rPr>
        <w:t>with the story appearing as it is read</w:t>
      </w:r>
      <w:r w:rsidR="003C2C45" w:rsidRPr="005C7F03">
        <w:rPr>
          <w:rFonts w:ascii="Arial" w:eastAsia="Times New Roman" w:hAnsi="Arial" w:cs="Arial"/>
          <w:kern w:val="0"/>
          <w:lang w:eastAsia="en-GB"/>
          <w14:ligatures w14:val="none"/>
        </w:rPr>
        <w:t xml:space="preserve"> on the walls around them</w:t>
      </w:r>
      <w:r w:rsidR="000D76BB" w:rsidRPr="005C7F03">
        <w:rPr>
          <w:rFonts w:ascii="Arial" w:eastAsia="Times New Roman" w:hAnsi="Arial" w:cs="Arial"/>
          <w:kern w:val="0"/>
          <w:lang w:eastAsia="en-GB"/>
          <w14:ligatures w14:val="none"/>
        </w:rPr>
        <w:t>,</w:t>
      </w:r>
      <w:r w:rsidR="000445BB" w:rsidRPr="005C7F03">
        <w:rPr>
          <w:rFonts w:ascii="Arial" w:eastAsia="Times New Roman" w:hAnsi="Arial" w:cs="Arial"/>
          <w:kern w:val="0"/>
          <w:lang w:eastAsia="en-GB"/>
          <w14:ligatures w14:val="none"/>
        </w:rPr>
        <w:t xml:space="preserve"> </w:t>
      </w:r>
      <w:r w:rsidR="000D76BB" w:rsidRPr="005C7F03">
        <w:rPr>
          <w:rFonts w:ascii="Arial" w:eastAsia="Times New Roman" w:hAnsi="Arial" w:cs="Arial"/>
          <w:kern w:val="0"/>
          <w:lang w:eastAsia="en-GB"/>
          <w14:ligatures w14:val="none"/>
        </w:rPr>
        <w:t>creating an exciting</w:t>
      </w:r>
      <w:r w:rsidR="000445BB" w:rsidRPr="005C7F03">
        <w:rPr>
          <w:rFonts w:ascii="Arial" w:eastAsia="Times New Roman" w:hAnsi="Arial" w:cs="Arial"/>
          <w:kern w:val="0"/>
          <w:lang w:eastAsia="en-GB"/>
          <w14:ligatures w14:val="none"/>
        </w:rPr>
        <w:t xml:space="preserve"> and holistic experience. </w:t>
      </w:r>
      <w:r w:rsidRPr="005C7F03">
        <w:rPr>
          <w:rFonts w:ascii="Arial" w:eastAsia="Times New Roman" w:hAnsi="Arial" w:cs="Arial"/>
          <w:kern w:val="0"/>
          <w:lang w:eastAsia="en-GB"/>
          <w14:ligatures w14:val="none"/>
        </w:rPr>
        <w:t>Furthermore, individual props representing the different food items the caterpillar eats, such as a</w:t>
      </w:r>
      <w:r w:rsidR="000445BB" w:rsidRPr="005C7F03">
        <w:rPr>
          <w:rFonts w:ascii="Arial" w:eastAsia="Times New Roman" w:hAnsi="Arial" w:cs="Arial"/>
          <w:kern w:val="0"/>
          <w:lang w:eastAsia="en-GB"/>
          <w14:ligatures w14:val="none"/>
        </w:rPr>
        <w:t xml:space="preserve">n actual </w:t>
      </w:r>
      <w:r w:rsidRPr="005C7F03">
        <w:rPr>
          <w:rFonts w:ascii="Arial" w:eastAsia="Times New Roman" w:hAnsi="Arial" w:cs="Arial"/>
          <w:kern w:val="0"/>
          <w:lang w:eastAsia="en-GB"/>
          <w14:ligatures w14:val="none"/>
        </w:rPr>
        <w:t xml:space="preserve">apple, a pear, </w:t>
      </w:r>
      <w:r w:rsidR="009E36E5" w:rsidRPr="005C7F03">
        <w:rPr>
          <w:rFonts w:ascii="Arial" w:eastAsia="Times New Roman" w:hAnsi="Arial" w:cs="Arial"/>
          <w:kern w:val="0"/>
          <w:lang w:eastAsia="en-GB"/>
          <w14:ligatures w14:val="none"/>
        </w:rPr>
        <w:t xml:space="preserve">and delicious </w:t>
      </w:r>
      <w:r w:rsidRPr="005C7F03">
        <w:rPr>
          <w:rFonts w:ascii="Arial" w:eastAsia="Times New Roman" w:hAnsi="Arial" w:cs="Arial"/>
          <w:kern w:val="0"/>
          <w:lang w:eastAsia="en-GB"/>
          <w14:ligatures w14:val="none"/>
        </w:rPr>
        <w:t xml:space="preserve">chocolate cake, </w:t>
      </w:r>
      <w:r w:rsidR="009E36E5" w:rsidRPr="005C7F03">
        <w:rPr>
          <w:rFonts w:ascii="Arial" w:eastAsia="Times New Roman" w:hAnsi="Arial" w:cs="Arial"/>
          <w:kern w:val="0"/>
          <w:lang w:eastAsia="en-GB"/>
          <w14:ligatures w14:val="none"/>
        </w:rPr>
        <w:t>all</w:t>
      </w:r>
      <w:r w:rsidRPr="005C7F03">
        <w:rPr>
          <w:rFonts w:ascii="Arial" w:eastAsia="Times New Roman" w:hAnsi="Arial" w:cs="Arial"/>
          <w:kern w:val="0"/>
          <w:lang w:eastAsia="en-GB"/>
          <w14:ligatures w14:val="none"/>
        </w:rPr>
        <w:t xml:space="preserve"> add</w:t>
      </w:r>
      <w:r w:rsidR="009E36E5" w:rsidRPr="005C7F03">
        <w:rPr>
          <w:rFonts w:ascii="Arial" w:eastAsia="Times New Roman" w:hAnsi="Arial" w:cs="Arial"/>
          <w:kern w:val="0"/>
          <w:lang w:eastAsia="en-GB"/>
          <w14:ligatures w14:val="none"/>
        </w:rPr>
        <w:t>ing</w:t>
      </w:r>
      <w:r w:rsidRPr="005C7F03">
        <w:rPr>
          <w:rFonts w:ascii="Arial" w:eastAsia="Times New Roman" w:hAnsi="Arial" w:cs="Arial"/>
          <w:kern w:val="0"/>
          <w:lang w:eastAsia="en-GB"/>
          <w14:ligatures w14:val="none"/>
        </w:rPr>
        <w:t xml:space="preserve"> a multi-sensory dimension to the story. These props could be used interactively, allowing children to handle them and even "feed" the caterpillar</w:t>
      </w:r>
      <w:r w:rsidR="005227DE" w:rsidRPr="005C7F03">
        <w:rPr>
          <w:rFonts w:ascii="Arial" w:eastAsia="Times New Roman" w:hAnsi="Arial" w:cs="Arial"/>
          <w:kern w:val="0"/>
          <w:lang w:eastAsia="en-GB"/>
          <w14:ligatures w14:val="none"/>
        </w:rPr>
        <w:t>, as the presenter does in the second presentat</w:t>
      </w:r>
      <w:r w:rsidR="00C527B6" w:rsidRPr="005C7F03">
        <w:rPr>
          <w:rFonts w:ascii="Arial" w:eastAsia="Times New Roman" w:hAnsi="Arial" w:cs="Arial"/>
          <w:kern w:val="0"/>
          <w:lang w:eastAsia="en-GB"/>
          <w14:ligatures w14:val="none"/>
        </w:rPr>
        <w:t>ion.</w:t>
      </w:r>
    </w:p>
    <w:p w14:paraId="6DF83BA0" w14:textId="389CA3A4"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The effectiveness of props lies in their ability to bridge the gap between the abstract world of the story and the concrete experiences of the children. By providing tangible representations of the story's elements, props facilitate comprehension and make the narrative more memorable. This aligns with Piaget's (1962) theory of cognitive development, which emphasi</w:t>
      </w:r>
      <w:r w:rsidR="00C77FBE"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es the importance of concrete experiences in early childhood learning. Furthermore, the use of props can support different learning styles, catering to </w:t>
      </w:r>
      <w:r w:rsidR="00C77FBE" w:rsidRPr="005C7F03">
        <w:rPr>
          <w:rFonts w:ascii="Arial" w:eastAsia="Times New Roman" w:hAnsi="Arial" w:cs="Arial"/>
          <w:kern w:val="0"/>
          <w:lang w:eastAsia="en-GB"/>
          <w14:ligatures w14:val="none"/>
        </w:rPr>
        <w:t>kinaesthetic</w:t>
      </w:r>
      <w:r w:rsidRPr="005C7F03">
        <w:rPr>
          <w:rFonts w:ascii="Arial" w:eastAsia="Times New Roman" w:hAnsi="Arial" w:cs="Arial"/>
          <w:kern w:val="0"/>
          <w:lang w:eastAsia="en-GB"/>
          <w14:ligatures w14:val="none"/>
        </w:rPr>
        <w:t xml:space="preserve"> learners who benefit from hands-on </w:t>
      </w:r>
      <w:r w:rsidR="00456141" w:rsidRPr="005C7F03">
        <w:rPr>
          <w:rFonts w:ascii="Arial" w:eastAsia="Times New Roman" w:hAnsi="Arial" w:cs="Arial"/>
          <w:kern w:val="0"/>
          <w:lang w:eastAsia="en-GB"/>
          <w14:ligatures w14:val="none"/>
        </w:rPr>
        <w:t>engagement (</w:t>
      </w:r>
      <w:r w:rsidR="005D209F" w:rsidRPr="005C7F03">
        <w:rPr>
          <w:rFonts w:ascii="Arial" w:hAnsi="Arial" w:cs="Arial"/>
          <w:shd w:val="clear" w:color="auto" w:fill="FFFFFF"/>
        </w:rPr>
        <w:t>Dunn, 2018; Bostrom and Lassen, 2006; Pritchard, 2018; Brown, Roediger and McDaniel, 2014</w:t>
      </w:r>
      <w:r w:rsidR="00E8094C" w:rsidRPr="005C7F03">
        <w:rPr>
          <w:rFonts w:ascii="Arial" w:hAnsi="Arial" w:cs="Arial"/>
          <w:shd w:val="clear" w:color="auto" w:fill="FFFFFF"/>
        </w:rPr>
        <w:t>;</w:t>
      </w:r>
      <w:r w:rsidR="00E8094C" w:rsidRPr="005C7F03">
        <w:rPr>
          <w:rFonts w:ascii="Arial" w:eastAsia="Times New Roman" w:hAnsi="Arial" w:cs="Arial"/>
          <w:kern w:val="0"/>
          <w:lang w:eastAsia="en-GB"/>
          <w14:ligatures w14:val="none"/>
        </w:rPr>
        <w:t xml:space="preserve"> </w:t>
      </w:r>
      <w:r w:rsidR="00050025" w:rsidRPr="005C7F03">
        <w:rPr>
          <w:rFonts w:ascii="Arial" w:eastAsia="Times New Roman" w:hAnsi="Arial" w:cs="Arial"/>
          <w:kern w:val="0"/>
          <w:lang w:eastAsia="en-GB"/>
          <w14:ligatures w14:val="none"/>
        </w:rPr>
        <w:t>Kolb, 2015; Pritchard, 2014)</w:t>
      </w:r>
      <w:r w:rsidR="00BA48EC"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 xml:space="preserve">Props can also act as prompts for retelling the </w:t>
      </w:r>
      <w:r w:rsidRPr="005C7F03">
        <w:rPr>
          <w:rFonts w:ascii="Arial" w:eastAsia="Times New Roman" w:hAnsi="Arial" w:cs="Arial"/>
          <w:kern w:val="0"/>
          <w:lang w:eastAsia="en-GB"/>
          <w14:ligatures w14:val="none"/>
        </w:rPr>
        <w:lastRenderedPageBreak/>
        <w:t>story, encouraging children to use their own words and develop their narrative skills (Morrow, 201</w:t>
      </w:r>
      <w:r w:rsidR="00456141" w:rsidRPr="005C7F03">
        <w:rPr>
          <w:rFonts w:ascii="Arial" w:eastAsia="Times New Roman" w:hAnsi="Arial" w:cs="Arial"/>
          <w:kern w:val="0"/>
          <w:lang w:eastAsia="en-GB"/>
          <w14:ligatures w14:val="none"/>
        </w:rPr>
        <w:t>9</w:t>
      </w:r>
      <w:r w:rsidRPr="005C7F03">
        <w:rPr>
          <w:rFonts w:ascii="Arial" w:eastAsia="Times New Roman" w:hAnsi="Arial" w:cs="Arial"/>
          <w:kern w:val="0"/>
          <w:lang w:eastAsia="en-GB"/>
          <w14:ligatures w14:val="none"/>
        </w:rPr>
        <w:t xml:space="preserve">). Using props to represent the different stages of the caterpillar's life cycle can also enhance understanding of scientific concepts </w:t>
      </w:r>
      <w:r w:rsidR="00546145" w:rsidRPr="005C7F03">
        <w:rPr>
          <w:rFonts w:ascii="Arial" w:eastAsia="Times New Roman" w:hAnsi="Arial" w:cs="Arial"/>
          <w:kern w:val="36"/>
          <w:lang w:eastAsia="en-GB"/>
          <w14:ligatures w14:val="none"/>
        </w:rPr>
        <w:t>(Gelman, Brenneman, Macdonald and Roman, 2009</w:t>
      </w:r>
      <w:r w:rsidR="00DE1CD9" w:rsidRPr="005C7F03">
        <w:rPr>
          <w:rFonts w:ascii="Arial" w:eastAsia="Times New Roman" w:hAnsi="Arial" w:cs="Arial"/>
          <w:kern w:val="36"/>
          <w:lang w:eastAsia="en-GB"/>
          <w14:ligatures w14:val="none"/>
        </w:rPr>
        <w:t xml:space="preserve">; </w:t>
      </w:r>
      <w:r w:rsidR="00DE1CD9" w:rsidRPr="005C7F03">
        <w:rPr>
          <w:rFonts w:ascii="Arial" w:hAnsi="Arial" w:cs="Arial"/>
          <w:shd w:val="clear" w:color="auto" w:fill="FFFFFF"/>
        </w:rPr>
        <w:t>Berliner and Calfee, 2004; Stam and Urbanski, 2022)</w:t>
      </w:r>
      <w:r w:rsidR="00370CDD">
        <w:rPr>
          <w:rFonts w:ascii="Arial" w:eastAsia="Times New Roman" w:hAnsi="Arial" w:cs="Arial"/>
          <w:kern w:val="0"/>
          <w:lang w:eastAsia="en-GB"/>
          <w14:ligatures w14:val="none"/>
        </w:rPr>
        <w:t>.</w:t>
      </w:r>
    </w:p>
    <w:p w14:paraId="7742FCFA" w14:textId="6CE26F00" w:rsidR="003B2E2D" w:rsidRPr="005C7F03" w:rsidRDefault="008A2347" w:rsidP="005C7F03">
      <w:pPr>
        <w:spacing w:line="360" w:lineRule="auto"/>
        <w:jc w:val="both"/>
        <w:rPr>
          <w:rFonts w:ascii="Arial" w:hAnsi="Arial" w:cs="Arial"/>
        </w:rPr>
      </w:pPr>
      <w:r w:rsidRPr="005C7F03">
        <w:rPr>
          <w:rFonts w:ascii="Arial" w:eastAsia="Times New Roman" w:hAnsi="Arial" w:cs="Arial"/>
          <w:kern w:val="0"/>
          <w:lang w:eastAsia="en-GB"/>
          <w14:ligatures w14:val="none"/>
        </w:rPr>
        <w:t xml:space="preserve">However, the use of props must be purposeful and integrated seamlessly into the presentation. Too many props can be distracting, overwhelming the children and detracting from the story itself. The presenter </w:t>
      </w:r>
      <w:r w:rsidR="006C5351" w:rsidRPr="005C7F03">
        <w:rPr>
          <w:rFonts w:ascii="Arial" w:eastAsia="Times New Roman" w:hAnsi="Arial" w:cs="Arial"/>
          <w:kern w:val="0"/>
          <w:lang w:eastAsia="en-GB"/>
          <w14:ligatures w14:val="none"/>
        </w:rPr>
        <w:t>used</w:t>
      </w:r>
      <w:r w:rsidRPr="005C7F03">
        <w:rPr>
          <w:rFonts w:ascii="Arial" w:eastAsia="Times New Roman" w:hAnsi="Arial" w:cs="Arial"/>
          <w:kern w:val="0"/>
          <w:lang w:eastAsia="en-GB"/>
          <w14:ligatures w14:val="none"/>
        </w:rPr>
        <w:t xml:space="preserve"> carefully select</w:t>
      </w:r>
      <w:r w:rsidR="006C5351" w:rsidRPr="005C7F03">
        <w:rPr>
          <w:rFonts w:ascii="Arial" w:eastAsia="Times New Roman" w:hAnsi="Arial" w:cs="Arial"/>
          <w:kern w:val="0"/>
          <w:lang w:eastAsia="en-GB"/>
          <w14:ligatures w14:val="none"/>
        </w:rPr>
        <w:t>ed</w:t>
      </w:r>
      <w:r w:rsidRPr="005C7F03">
        <w:rPr>
          <w:rFonts w:ascii="Arial" w:eastAsia="Times New Roman" w:hAnsi="Arial" w:cs="Arial"/>
          <w:kern w:val="0"/>
          <w:lang w:eastAsia="en-GB"/>
          <w14:ligatures w14:val="none"/>
        </w:rPr>
        <w:t xml:space="preserve"> props that are relevant to the narrative and use</w:t>
      </w:r>
      <w:r w:rsidR="006C5351" w:rsidRPr="005C7F03">
        <w:rPr>
          <w:rFonts w:ascii="Arial" w:eastAsia="Times New Roman" w:hAnsi="Arial" w:cs="Arial"/>
          <w:kern w:val="0"/>
          <w:lang w:eastAsia="en-GB"/>
          <w14:ligatures w14:val="none"/>
        </w:rPr>
        <w:t>d</w:t>
      </w:r>
      <w:r w:rsidRPr="005C7F03">
        <w:rPr>
          <w:rFonts w:ascii="Arial" w:eastAsia="Times New Roman" w:hAnsi="Arial" w:cs="Arial"/>
          <w:kern w:val="0"/>
          <w:lang w:eastAsia="en-GB"/>
          <w14:ligatures w14:val="none"/>
        </w:rPr>
        <w:t xml:space="preserve"> them in a way that enhances, rather than hinders, the storytelling. Moreover, the presenter should be mindful of safety considerations, ensuring that props are age-appropriate and do not pose any choking hazards. The careful selection and use of props demonstrate</w:t>
      </w:r>
      <w:r w:rsidR="00E33E6C"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 an understanding of multimodal learning theory, which suggests that learners process information more effectively when it is presented in multiple modalities (Mayer, 2014; Moreno, 20</w:t>
      </w:r>
      <w:r w:rsidR="000D67F2" w:rsidRPr="005C7F03">
        <w:rPr>
          <w:rFonts w:ascii="Arial" w:eastAsia="Times New Roman" w:hAnsi="Arial" w:cs="Arial"/>
          <w:kern w:val="0"/>
          <w:lang w:eastAsia="en-GB"/>
          <w14:ligatures w14:val="none"/>
        </w:rPr>
        <w:t>09</w:t>
      </w:r>
      <w:r w:rsidRPr="005C7F03">
        <w:rPr>
          <w:rFonts w:ascii="Arial" w:eastAsia="Times New Roman" w:hAnsi="Arial" w:cs="Arial"/>
          <w:kern w:val="0"/>
          <w:lang w:eastAsia="en-GB"/>
          <w14:ligatures w14:val="none"/>
        </w:rPr>
        <w:t>). The presenter should also consider the cultural relevance of the props, ensuring they are familiar and appropriate for the children in the audience (Souto-Manning, 201</w:t>
      </w:r>
      <w:r w:rsidR="00195D42" w:rsidRPr="005C7F03">
        <w:rPr>
          <w:rFonts w:ascii="Arial" w:eastAsia="Times New Roman" w:hAnsi="Arial" w:cs="Arial"/>
          <w:kern w:val="0"/>
          <w:lang w:eastAsia="en-GB"/>
          <w14:ligatures w14:val="none"/>
        </w:rPr>
        <w:t>3</w:t>
      </w:r>
      <w:r w:rsidRPr="005C7F03">
        <w:rPr>
          <w:rFonts w:ascii="Arial" w:eastAsia="Times New Roman" w:hAnsi="Arial" w:cs="Arial"/>
          <w:kern w:val="0"/>
          <w:lang w:eastAsia="en-GB"/>
          <w14:ligatures w14:val="none"/>
        </w:rPr>
        <w:t>). Inviting children to contribute to the creation of props can further enhance engagement and ownership of the story</w:t>
      </w:r>
      <w:r w:rsidR="003B2E2D" w:rsidRPr="005C7F03">
        <w:rPr>
          <w:rFonts w:ascii="Arial" w:hAnsi="Arial" w:cs="Arial"/>
        </w:rPr>
        <w:t xml:space="preserve"> </w:t>
      </w:r>
      <w:r w:rsidR="003B2E2D" w:rsidRPr="005C7F03">
        <w:rPr>
          <w:rFonts w:ascii="Arial" w:hAnsi="Arial" w:cs="Arial"/>
        </w:rPr>
        <w:t>(Young and Ferguson, 2020 and 2022b; The Writing for Pleasure Centre, 2024)</w:t>
      </w:r>
    </w:p>
    <w:p w14:paraId="671463B5" w14:textId="5FEFE8F2"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p>
    <w:p w14:paraId="1441F6E4" w14:textId="6267F80A"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Voice Intonation: The Music of Storytelling</w:t>
      </w:r>
      <w:r w:rsidR="004D4A9A" w:rsidRPr="005C7F03">
        <w:rPr>
          <w:rFonts w:ascii="Arial" w:eastAsia="Times New Roman" w:hAnsi="Arial" w:cs="Arial"/>
          <w:b/>
          <w:bCs/>
          <w:kern w:val="0"/>
          <w:lang w:eastAsia="en-GB"/>
          <w14:ligatures w14:val="none"/>
        </w:rPr>
        <w:t xml:space="preserve"> </w:t>
      </w:r>
    </w:p>
    <w:p w14:paraId="41A93E07" w14:textId="428FA31B"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Voice intonation, the variation in pitch, tone, and volume of the voice, is a powerful tool for conveying meaning and emotion. In a presentation on "The Very Hungry Caterpillar," </w:t>
      </w:r>
      <w:r w:rsidR="004D4A9A" w:rsidRPr="005C7F03">
        <w:rPr>
          <w:rFonts w:ascii="Arial" w:eastAsia="Times New Roman" w:hAnsi="Arial" w:cs="Arial"/>
          <w:kern w:val="0"/>
          <w:lang w:eastAsia="en-GB"/>
          <w14:ligatures w14:val="none"/>
        </w:rPr>
        <w:t>skilful</w:t>
      </w:r>
      <w:r w:rsidRPr="005C7F03">
        <w:rPr>
          <w:rFonts w:ascii="Arial" w:eastAsia="Times New Roman" w:hAnsi="Arial" w:cs="Arial"/>
          <w:kern w:val="0"/>
          <w:lang w:eastAsia="en-GB"/>
          <w14:ligatures w14:val="none"/>
        </w:rPr>
        <w:t xml:space="preserve"> use of intonation can bring the characters to life and make the story more engaging. For example, the presenter use</w:t>
      </w:r>
      <w:r w:rsidR="008D353C"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 a low, rumbling voice for the caterpillar's initial hunger, a higher, more excited voice as it eats its way through the various foods, and a gentle, soothing voice when it finally transforms into a butterfly.</w:t>
      </w:r>
    </w:p>
    <w:p w14:paraId="33B74619" w14:textId="70BCCAE0" w:rsidR="005B3522"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Effective use of intonation requires careful attention to the nuances of the story. The presenter </w:t>
      </w:r>
      <w:r w:rsidR="00F02481" w:rsidRPr="005C7F03">
        <w:rPr>
          <w:rFonts w:ascii="Arial" w:eastAsia="Times New Roman" w:hAnsi="Arial" w:cs="Arial"/>
          <w:kern w:val="0"/>
          <w:lang w:eastAsia="en-GB"/>
          <w14:ligatures w14:val="none"/>
        </w:rPr>
        <w:t>carefully</w:t>
      </w:r>
      <w:r w:rsidRPr="005C7F03">
        <w:rPr>
          <w:rFonts w:ascii="Arial" w:eastAsia="Times New Roman" w:hAnsi="Arial" w:cs="Arial"/>
          <w:kern w:val="0"/>
          <w:lang w:eastAsia="en-GB"/>
          <w14:ligatures w14:val="none"/>
        </w:rPr>
        <w:t xml:space="preserve"> var</w:t>
      </w:r>
      <w:r w:rsidR="001147BB" w:rsidRPr="005C7F03">
        <w:rPr>
          <w:rFonts w:ascii="Arial" w:eastAsia="Times New Roman" w:hAnsi="Arial" w:cs="Arial"/>
          <w:kern w:val="0"/>
          <w:lang w:eastAsia="en-GB"/>
          <w14:ligatures w14:val="none"/>
        </w:rPr>
        <w:t>ies</w:t>
      </w:r>
      <w:r w:rsidRPr="005C7F03">
        <w:rPr>
          <w:rFonts w:ascii="Arial" w:eastAsia="Times New Roman" w:hAnsi="Arial" w:cs="Arial"/>
          <w:kern w:val="0"/>
          <w:lang w:eastAsia="en-GB"/>
          <w14:ligatures w14:val="none"/>
        </w:rPr>
        <w:t xml:space="preserve"> their voice to reflect the different moods and events, creating a dynamic and captivating listening experience. This resonates with the work of </w:t>
      </w:r>
      <w:r w:rsidR="003A596C" w:rsidRPr="005C7F03">
        <w:rPr>
          <w:rFonts w:ascii="Arial" w:eastAsia="Times New Roman" w:hAnsi="Arial" w:cs="Arial"/>
          <w:kern w:val="0"/>
          <w:lang w:eastAsia="en-GB"/>
          <w14:ligatures w14:val="none"/>
        </w:rPr>
        <w:t>Crystal,</w:t>
      </w:r>
      <w:r w:rsidR="002556F0" w:rsidRPr="005C7F03">
        <w:rPr>
          <w:rFonts w:ascii="Arial" w:eastAsia="Times New Roman" w:hAnsi="Arial" w:cs="Arial"/>
          <w:kern w:val="0"/>
          <w:lang w:eastAsia="en-GB"/>
          <w14:ligatures w14:val="none"/>
        </w:rPr>
        <w:t xml:space="preserve"> (</w:t>
      </w:r>
      <w:r w:rsidR="003A596C" w:rsidRPr="005C7F03">
        <w:rPr>
          <w:rFonts w:ascii="Arial" w:eastAsia="Times New Roman" w:hAnsi="Arial" w:cs="Arial"/>
          <w:kern w:val="0"/>
          <w:lang w:eastAsia="en-GB"/>
          <w14:ligatures w14:val="none"/>
        </w:rPr>
        <w:t>1995, 2021 and 2023)</w:t>
      </w:r>
      <w:r w:rsidR="00581F49"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 xml:space="preserve">on the expressive power of language, highlighting how prosodic features like intonation contribute to </w:t>
      </w:r>
      <w:r w:rsidR="004D4A9A" w:rsidRPr="005C7F03">
        <w:rPr>
          <w:rFonts w:ascii="Arial" w:eastAsia="Times New Roman" w:hAnsi="Arial" w:cs="Arial"/>
          <w:kern w:val="0"/>
          <w:lang w:eastAsia="en-GB"/>
          <w14:ligatures w14:val="none"/>
        </w:rPr>
        <w:t>meaning making</w:t>
      </w:r>
      <w:r w:rsidRPr="005C7F03">
        <w:rPr>
          <w:rFonts w:ascii="Arial" w:eastAsia="Times New Roman" w:hAnsi="Arial" w:cs="Arial"/>
          <w:kern w:val="0"/>
          <w:lang w:eastAsia="en-GB"/>
          <w14:ligatures w14:val="none"/>
        </w:rPr>
        <w:t xml:space="preserve">. Intonation also plays a crucial role in capturing and maintaining children's attention, particularly important in early years settings (Pinter, 2017; </w:t>
      </w:r>
      <w:r w:rsidR="005B3522" w:rsidRPr="005C7F03">
        <w:rPr>
          <w:rFonts w:ascii="Arial" w:hAnsi="Arial" w:cs="Arial"/>
          <w:shd w:val="clear" w:color="auto" w:fill="FFFFFF"/>
        </w:rPr>
        <w:t>Graf Estes and Hurley, 2013; Hübscher, Garufi, Prieto, 2018; Shukla, White, and Aslin, 2011; Graf Estes, and Bowen, 2013)</w:t>
      </w:r>
    </w:p>
    <w:p w14:paraId="14BD6B09" w14:textId="223D7D61"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Varying vocal tone can also help to differentiate between characters, making the story easier for young children to follow (Gee, 2015). Using different accents or voices for different characters can further enhance the storytelling experience </w:t>
      </w:r>
      <w:r w:rsidR="000714C0" w:rsidRPr="005C7F03">
        <w:rPr>
          <w:rFonts w:ascii="Arial" w:eastAsia="Times New Roman" w:hAnsi="Arial" w:cs="Arial"/>
          <w:kern w:val="0"/>
          <w:lang w:eastAsia="en-GB"/>
          <w14:ligatures w14:val="none"/>
        </w:rPr>
        <w:t>(</w:t>
      </w:r>
      <w:r w:rsidR="002E6C51" w:rsidRPr="005C7F03">
        <w:rPr>
          <w:rFonts w:ascii="Arial" w:hAnsi="Arial" w:cs="Arial"/>
        </w:rPr>
        <w:t>Cremin</w:t>
      </w:r>
      <w:r w:rsidR="0085039D" w:rsidRPr="005C7F03">
        <w:rPr>
          <w:rFonts w:ascii="Arial" w:eastAsia="Times New Roman" w:hAnsi="Arial" w:cs="Arial"/>
          <w:kern w:val="0"/>
          <w:lang w:eastAsia="en-GB"/>
          <w14:ligatures w14:val="none"/>
        </w:rPr>
        <w:t>,</w:t>
      </w:r>
      <w:r w:rsidR="000714C0" w:rsidRPr="005C7F03">
        <w:rPr>
          <w:rFonts w:ascii="Arial" w:eastAsia="Times New Roman" w:hAnsi="Arial" w:cs="Arial"/>
          <w:kern w:val="0"/>
          <w:lang w:eastAsia="en-GB"/>
          <w14:ligatures w14:val="none"/>
        </w:rPr>
        <w:t xml:space="preserve"> 2017</w:t>
      </w:r>
      <w:r w:rsidR="00BA1405" w:rsidRPr="005C7F03">
        <w:rPr>
          <w:rFonts w:ascii="Arial" w:eastAsia="Times New Roman" w:hAnsi="Arial" w:cs="Arial"/>
          <w:kern w:val="0"/>
          <w:lang w:eastAsia="en-GB"/>
          <w14:ligatures w14:val="none"/>
        </w:rPr>
        <w:t xml:space="preserve">; </w:t>
      </w:r>
      <w:r w:rsidR="00BA1405" w:rsidRPr="005C7F03">
        <w:rPr>
          <w:rFonts w:ascii="Arial" w:hAnsi="Arial" w:cs="Arial"/>
          <w:shd w:val="clear" w:color="auto" w:fill="FFFFFF"/>
        </w:rPr>
        <w:t xml:space="preserve">Daffurn, 2019; Evans 2020; Cai, Arimitsu, Shinohara, Takahashi, Hakuno, </w:t>
      </w:r>
      <w:r w:rsidR="00BA1405" w:rsidRPr="005C7F03">
        <w:rPr>
          <w:rFonts w:ascii="Arial" w:hAnsi="Arial" w:cs="Arial"/>
          <w:i/>
          <w:iCs/>
          <w:shd w:val="clear" w:color="auto" w:fill="FFFFFF"/>
        </w:rPr>
        <w:t>et al</w:t>
      </w:r>
      <w:r w:rsidR="00BA1405" w:rsidRPr="005C7F03">
        <w:rPr>
          <w:rFonts w:ascii="Arial" w:hAnsi="Arial" w:cs="Arial"/>
          <w:shd w:val="clear" w:color="auto" w:fill="FFFFFF"/>
        </w:rPr>
        <w:t>.</w:t>
      </w:r>
      <w:r w:rsidR="002E6C51" w:rsidRPr="005C7F03">
        <w:rPr>
          <w:rFonts w:ascii="Arial" w:hAnsi="Arial" w:cs="Arial"/>
          <w:shd w:val="clear" w:color="auto" w:fill="FFFFFF"/>
        </w:rPr>
        <w:t xml:space="preserve">, </w:t>
      </w:r>
      <w:r w:rsidR="00BA1405" w:rsidRPr="005C7F03">
        <w:rPr>
          <w:rFonts w:ascii="Arial" w:hAnsi="Arial" w:cs="Arial"/>
          <w:shd w:val="clear" w:color="auto" w:fill="FFFFFF"/>
        </w:rPr>
        <w:t xml:space="preserve">2024; </w:t>
      </w:r>
      <w:r w:rsidR="00BA1405" w:rsidRPr="005C7F03">
        <w:rPr>
          <w:rFonts w:ascii="Arial" w:hAnsi="Arial" w:cs="Arial"/>
        </w:rPr>
        <w:t xml:space="preserve">Yoo, Su, Ramsay, Long, Bene, Oller, 2024; </w:t>
      </w:r>
      <w:r w:rsidR="00BA1405" w:rsidRPr="005C7F03">
        <w:rPr>
          <w:rFonts w:ascii="Arial" w:hAnsi="Arial" w:cs="Arial"/>
          <w:shd w:val="clear" w:color="auto" w:fill="FFFFFF"/>
        </w:rPr>
        <w:t>González</w:t>
      </w:r>
      <w:r w:rsidR="00BA1405" w:rsidRPr="005C7F03">
        <w:rPr>
          <w:rFonts w:ascii="Cambria Math" w:hAnsi="Cambria Math" w:cs="Cambria Math"/>
          <w:shd w:val="clear" w:color="auto" w:fill="FFFFFF"/>
        </w:rPr>
        <w:t>‐</w:t>
      </w:r>
      <w:r w:rsidR="00BA1405" w:rsidRPr="005C7F03">
        <w:rPr>
          <w:rFonts w:ascii="Arial" w:hAnsi="Arial" w:cs="Arial"/>
          <w:shd w:val="clear" w:color="auto" w:fill="FFFFFF"/>
        </w:rPr>
        <w:t>Diaz, Parr and Nourie, 2025</w:t>
      </w:r>
      <w:r w:rsidR="002E0B58" w:rsidRPr="005C7F03">
        <w:rPr>
          <w:rFonts w:ascii="Arial" w:hAnsi="Arial" w:cs="Arial"/>
          <w:shd w:val="clear" w:color="auto" w:fill="FFFFFF"/>
        </w:rPr>
        <w:t xml:space="preserve">; </w:t>
      </w:r>
      <w:r w:rsidR="002E0B58" w:rsidRPr="005C7F03">
        <w:rPr>
          <w:rFonts w:ascii="Arial" w:hAnsi="Arial" w:cs="Arial"/>
          <w:shd w:val="clear" w:color="auto" w:fill="FFFFFF"/>
        </w:rPr>
        <w:t>Gatti and Hoffmann, 2024; Schachtner, 2020)</w:t>
      </w:r>
    </w:p>
    <w:p w14:paraId="41BFFF9A" w14:textId="7EE30143"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Furthermore, intonation can be used to emphasi</w:t>
      </w:r>
      <w:r w:rsidR="009A158B"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e key words or phrases, drawing the audience's attention to important details. For instance, the presenter emphasi</w:t>
      </w:r>
      <w:r w:rsidR="00BC70EB" w:rsidRPr="005C7F03">
        <w:rPr>
          <w:rFonts w:ascii="Arial" w:eastAsia="Times New Roman" w:hAnsi="Arial" w:cs="Arial"/>
          <w:kern w:val="0"/>
          <w:lang w:eastAsia="en-GB"/>
          <w14:ligatures w14:val="none"/>
        </w:rPr>
        <w:t>s of</w:t>
      </w:r>
      <w:r w:rsidRPr="005C7F03">
        <w:rPr>
          <w:rFonts w:ascii="Arial" w:eastAsia="Times New Roman" w:hAnsi="Arial" w:cs="Arial"/>
          <w:kern w:val="0"/>
          <w:lang w:eastAsia="en-GB"/>
          <w14:ligatures w14:val="none"/>
        </w:rPr>
        <w:t xml:space="preserve"> the word "hungry" when describing the caterpillar's initial state, or the word "beautiful" when describing the butterfly's emergence. Such strategic use of intonation can enhance comprehension and make the story more impactful. This aligns with research on narrative comprehension, which suggests that prosodic cues can help listeners segment and interpret the narrative </w:t>
      </w:r>
      <w:r w:rsidR="00C17757" w:rsidRPr="005C7F03">
        <w:rPr>
          <w:rFonts w:ascii="Arial" w:eastAsia="Times New Roman" w:hAnsi="Arial" w:cs="Arial"/>
          <w:kern w:val="0"/>
          <w:lang w:eastAsia="en-GB"/>
          <w14:ligatures w14:val="none"/>
        </w:rPr>
        <w:t>structure (</w:t>
      </w:r>
      <w:r w:rsidR="00922DD9" w:rsidRPr="005C7F03">
        <w:rPr>
          <w:rFonts w:ascii="Arial" w:eastAsia="Times New Roman" w:hAnsi="Arial" w:cs="Arial"/>
          <w:kern w:val="0"/>
          <w:lang w:eastAsia="en-GB"/>
          <w14:ligatures w14:val="none"/>
        </w:rPr>
        <w:t>Tallman, 2021</w:t>
      </w:r>
      <w:r w:rsidR="00C17757" w:rsidRPr="005C7F03">
        <w:rPr>
          <w:rFonts w:ascii="Arial" w:eastAsia="Times New Roman" w:hAnsi="Arial" w:cs="Arial"/>
          <w:kern w:val="0"/>
          <w:lang w:eastAsia="en-GB"/>
          <w14:ligatures w14:val="none"/>
        </w:rPr>
        <w:t xml:space="preserve">; </w:t>
      </w:r>
      <w:r w:rsidR="00AD5791" w:rsidRPr="005C7F03">
        <w:rPr>
          <w:rFonts w:ascii="Arial" w:eastAsia="Times New Roman" w:hAnsi="Arial" w:cs="Arial"/>
          <w:kern w:val="0"/>
          <w:lang w:eastAsia="en-GB"/>
          <w14:ligatures w14:val="none"/>
        </w:rPr>
        <w:t>Sabu and Rao, 2024; Trask, Robert and Stockwell, 2007, Castles, Rastle and Nation, 2018)</w:t>
      </w:r>
      <w:r w:rsidR="00C17757" w:rsidRPr="005C7F03">
        <w:rPr>
          <w:rFonts w:ascii="Arial" w:eastAsia="Times New Roman" w:hAnsi="Arial" w:cs="Arial"/>
          <w:kern w:val="0"/>
          <w:lang w:eastAsia="en-GB"/>
          <w14:ligatures w14:val="none"/>
        </w:rPr>
        <w:t>.</w:t>
      </w:r>
      <w:r w:rsidR="001662C5"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Emphasis through intonation can also highlight the emotional content of the story, helping children to understand and empathi</w:t>
      </w:r>
      <w:r w:rsidR="009A158B"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e with the characters (Bloom, 2000). </w:t>
      </w:r>
      <w:r w:rsidR="006531E4" w:rsidRPr="005C7F03">
        <w:rPr>
          <w:rFonts w:ascii="Arial" w:eastAsia="Times New Roman" w:hAnsi="Arial" w:cs="Arial"/>
          <w:kern w:val="0"/>
          <w:lang w:eastAsia="en-GB"/>
          <w14:ligatures w14:val="none"/>
        </w:rPr>
        <w:t>The practitioners use of</w:t>
      </w:r>
      <w:r w:rsidRPr="005C7F03">
        <w:rPr>
          <w:rFonts w:ascii="Arial" w:eastAsia="Times New Roman" w:hAnsi="Arial" w:cs="Arial"/>
          <w:kern w:val="0"/>
          <w:lang w:eastAsia="en-GB"/>
          <w14:ligatures w14:val="none"/>
        </w:rPr>
        <w:t xml:space="preserve"> pauses and intonation to create suspense can further engage the audience (</w:t>
      </w:r>
      <w:r w:rsidR="00EF6233" w:rsidRPr="005C7F03">
        <w:rPr>
          <w:rFonts w:ascii="Arial" w:eastAsia="Times New Roman" w:hAnsi="Arial" w:cs="Arial"/>
          <w:kern w:val="0"/>
          <w:lang w:eastAsia="en-GB"/>
          <w14:ligatures w14:val="none"/>
        </w:rPr>
        <w:t>Cremin, 2023)</w:t>
      </w:r>
      <w:r w:rsidR="0019441E" w:rsidRPr="005C7F03">
        <w:rPr>
          <w:rFonts w:ascii="Arial" w:eastAsia="Times New Roman" w:hAnsi="Arial" w:cs="Arial"/>
          <w:kern w:val="0"/>
          <w:lang w:eastAsia="en-GB"/>
          <w14:ligatures w14:val="none"/>
        </w:rPr>
        <w:t>.</w:t>
      </w:r>
    </w:p>
    <w:p w14:paraId="68DBB5A3" w14:textId="65C179DA" w:rsidR="00581F49"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lastRenderedPageBreak/>
        <w:t xml:space="preserve">However, it is important to avoid exaggerated or unnatural intonation, which can sound forced and insincere. The presenter should strive for a natural and expressive delivery, allowing their voice to reflect the emotions and events of the story authentically. This balance between expressiveness and naturalness is crucial for maintaining audience engagement and avoiding distraction (Clark &amp; Fox Tree, 2002; Wichmann, 2000). The presenter's own enthusiasm for the story is contagious and will likely influence the children's engagement </w:t>
      </w:r>
      <w:r w:rsidR="009D73AC" w:rsidRPr="005C7F03">
        <w:rPr>
          <w:rFonts w:ascii="Arial" w:eastAsia="Times New Roman" w:hAnsi="Arial" w:cs="Arial"/>
          <w:kern w:val="0"/>
          <w:lang w:eastAsia="en-GB"/>
          <w14:ligatures w14:val="none"/>
        </w:rPr>
        <w:t>(Gawne, 2020; Donnelly, 2019; Rollo and Picker, 2024)</w:t>
      </w:r>
      <w:r w:rsidR="009D73AC" w:rsidRPr="005C7F03">
        <w:rPr>
          <w:rFonts w:ascii="Arial" w:eastAsia="Times New Roman" w:hAnsi="Arial" w:cs="Arial"/>
          <w:kern w:val="0"/>
          <w:lang w:eastAsia="en-GB"/>
          <w14:ligatures w14:val="none"/>
        </w:rPr>
        <w:t>.</w:t>
      </w:r>
      <w:r w:rsidR="002570B1"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Vocal variety, including changes in volume and pace, can also contribute to the overall rhythm and flow of the story, making it more enjoyable for the listeners</w:t>
      </w:r>
      <w:r w:rsidR="00581F49" w:rsidRPr="005C7F03">
        <w:rPr>
          <w:rFonts w:ascii="Arial" w:eastAsia="Times New Roman" w:hAnsi="Arial" w:cs="Arial"/>
          <w:kern w:val="0"/>
          <w:lang w:eastAsia="en-GB"/>
          <w14:ligatures w14:val="none"/>
        </w:rPr>
        <w:t xml:space="preserve"> </w:t>
      </w:r>
      <w:r w:rsidR="00581F49" w:rsidRPr="005C7F03">
        <w:rPr>
          <w:rFonts w:ascii="Arial" w:eastAsia="Times New Roman" w:hAnsi="Arial" w:cs="Arial"/>
          <w:kern w:val="0"/>
          <w:lang w:eastAsia="en-GB"/>
          <w14:ligatures w14:val="none"/>
        </w:rPr>
        <w:t>(Crystal, 1995, 2021 and 2023)</w:t>
      </w:r>
      <w:r w:rsidR="00581F49" w:rsidRPr="005C7F03">
        <w:rPr>
          <w:rFonts w:ascii="Arial" w:eastAsia="Times New Roman" w:hAnsi="Arial" w:cs="Arial"/>
          <w:kern w:val="0"/>
          <w:lang w:eastAsia="en-GB"/>
          <w14:ligatures w14:val="none"/>
        </w:rPr>
        <w:t>.</w:t>
      </w:r>
    </w:p>
    <w:p w14:paraId="3B861437" w14:textId="4FD40D60"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p>
    <w:p w14:paraId="21C24F3C"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The Interplay of Elements: Creating a Holistic Experience</w:t>
      </w:r>
    </w:p>
    <w:p w14:paraId="03BBE852" w14:textId="2FBFD27F" w:rsidR="000162D3" w:rsidRPr="005C7F03" w:rsidRDefault="008A2347" w:rsidP="005C7F03">
      <w:pPr>
        <w:spacing w:line="360" w:lineRule="auto"/>
        <w:jc w:val="both"/>
        <w:rPr>
          <w:rFonts w:ascii="Arial" w:hAnsi="Arial" w:cs="Arial"/>
        </w:rPr>
      </w:pPr>
      <w:r w:rsidRPr="005C7F03">
        <w:rPr>
          <w:rFonts w:ascii="Arial" w:eastAsia="Times New Roman" w:hAnsi="Arial" w:cs="Arial"/>
          <w:kern w:val="0"/>
          <w:lang w:eastAsia="en-GB"/>
          <w14:ligatures w14:val="none"/>
        </w:rPr>
        <w:t>It is important to recognize that oracy, props, and voice intonation do not function in isolation. They work together synergistically to create a rich and engaging storytelling experience. For example,</w:t>
      </w:r>
      <w:r w:rsidR="00B254EF" w:rsidRPr="005C7F03">
        <w:rPr>
          <w:rFonts w:ascii="Arial" w:eastAsia="Times New Roman" w:hAnsi="Arial" w:cs="Arial"/>
          <w:kern w:val="0"/>
          <w:lang w:eastAsia="en-GB"/>
          <w14:ligatures w14:val="none"/>
        </w:rPr>
        <w:t xml:space="preserve"> the practitioners</w:t>
      </w:r>
      <w:r w:rsidR="008628F1" w:rsidRPr="005C7F03">
        <w:rPr>
          <w:rFonts w:ascii="Arial" w:eastAsia="Times New Roman" w:hAnsi="Arial" w:cs="Arial"/>
          <w:kern w:val="0"/>
          <w:lang w:eastAsia="en-GB"/>
          <w14:ligatures w14:val="none"/>
        </w:rPr>
        <w:t xml:space="preserve"> use of</w:t>
      </w:r>
      <w:r w:rsidRPr="005C7F03">
        <w:rPr>
          <w:rFonts w:ascii="Arial" w:eastAsia="Times New Roman" w:hAnsi="Arial" w:cs="Arial"/>
          <w:kern w:val="0"/>
          <w:lang w:eastAsia="en-GB"/>
          <w14:ligatures w14:val="none"/>
        </w:rPr>
        <w:t xml:space="preserve"> a well-placed pause combined with a change in intonation and the use of a relevant prop can dramatically enhance a key moment in the story. The presenter's ability to seamlessly integrate these elements is crucial for creating a holistic and immersive experience for the children. This multimodal approach to storytelling recognizes that young children learn best when information is presented in a variety of ways, appealing to different senses and learning styles</w:t>
      </w:r>
      <w:r w:rsidR="000162D3" w:rsidRPr="005C7F03">
        <w:rPr>
          <w:rFonts w:ascii="Arial" w:hAnsi="Arial" w:cs="Arial"/>
        </w:rPr>
        <w:t xml:space="preserve"> </w:t>
      </w:r>
      <w:r w:rsidR="000162D3" w:rsidRPr="005C7F03">
        <w:rPr>
          <w:rFonts w:ascii="Arial" w:hAnsi="Arial" w:cs="Arial"/>
        </w:rPr>
        <w:t>(Muenks, Wigfield</w:t>
      </w:r>
      <w:r w:rsidR="00D07096" w:rsidRPr="005C7F03">
        <w:rPr>
          <w:rFonts w:ascii="Arial" w:hAnsi="Arial" w:cs="Arial"/>
        </w:rPr>
        <w:t xml:space="preserve"> and</w:t>
      </w:r>
      <w:r w:rsidR="000162D3" w:rsidRPr="005C7F03">
        <w:rPr>
          <w:rFonts w:ascii="Arial" w:hAnsi="Arial" w:cs="Arial"/>
        </w:rPr>
        <w:t xml:space="preserve"> Eccles, 2018; Graham, 2022</w:t>
      </w:r>
      <w:r w:rsidR="00BC6213" w:rsidRPr="005C7F03">
        <w:rPr>
          <w:rFonts w:ascii="Arial" w:hAnsi="Arial" w:cs="Arial"/>
        </w:rPr>
        <w:t>;</w:t>
      </w:r>
      <w:r w:rsidR="006C69FE" w:rsidRPr="005C7F03">
        <w:rPr>
          <w:rFonts w:ascii="Arial" w:hAnsi="Arial" w:cs="Arial"/>
        </w:rPr>
        <w:t xml:space="preserve"> </w:t>
      </w:r>
      <w:r w:rsidR="006C69FE" w:rsidRPr="005C7F03">
        <w:rPr>
          <w:rFonts w:ascii="Arial" w:hAnsi="Arial" w:cs="Arial"/>
        </w:rPr>
        <w:t>Gregersen</w:t>
      </w:r>
      <w:r w:rsidR="0004426B" w:rsidRPr="005C7F03">
        <w:rPr>
          <w:rFonts w:ascii="Arial" w:hAnsi="Arial" w:cs="Arial"/>
        </w:rPr>
        <w:t xml:space="preserve"> and</w:t>
      </w:r>
      <w:r w:rsidR="00BC6213" w:rsidRPr="005C7F03">
        <w:rPr>
          <w:rFonts w:ascii="Arial" w:hAnsi="Arial" w:cs="Arial"/>
        </w:rPr>
        <w:t xml:space="preserve"> </w:t>
      </w:r>
      <w:r w:rsidR="006C69FE" w:rsidRPr="005C7F03">
        <w:rPr>
          <w:rFonts w:ascii="Arial" w:hAnsi="Arial" w:cs="Arial"/>
        </w:rPr>
        <w:t>Mercer, 2022</w:t>
      </w:r>
      <w:r w:rsidR="006C69FE" w:rsidRPr="005C7F03">
        <w:rPr>
          <w:rFonts w:ascii="Arial" w:hAnsi="Arial" w:cs="Arial"/>
          <w:i/>
          <w:iCs/>
        </w:rPr>
        <w:t>)</w:t>
      </w:r>
    </w:p>
    <w:p w14:paraId="36666EB0" w14:textId="5ACC4BB5"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p>
    <w:p w14:paraId="12B13121"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Considerations for Early Childhood Development</w:t>
      </w:r>
    </w:p>
    <w:p w14:paraId="32B674A3" w14:textId="15B1FB4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When presenting to young children, it is essential to consider their developmental stage. Young children are typically active learners with short attention spans. Therefore, the presentation should be dynamic, interactive, and engaging</w:t>
      </w:r>
      <w:r w:rsidR="001B5352" w:rsidRPr="005C7F03">
        <w:rPr>
          <w:rFonts w:ascii="Arial" w:eastAsia="Times New Roman" w:hAnsi="Arial" w:cs="Arial"/>
          <w:kern w:val="0"/>
          <w:lang w:eastAsia="en-GB"/>
          <w14:ligatures w14:val="none"/>
        </w:rPr>
        <w:t xml:space="preserve"> as the practitioner strives</w:t>
      </w:r>
      <w:r w:rsidR="008263C7" w:rsidRPr="005C7F03">
        <w:rPr>
          <w:rFonts w:ascii="Arial" w:eastAsia="Times New Roman" w:hAnsi="Arial" w:cs="Arial"/>
          <w:kern w:val="0"/>
          <w:lang w:eastAsia="en-GB"/>
          <w14:ligatures w14:val="none"/>
        </w:rPr>
        <w:t xml:space="preserve"> to do.</w:t>
      </w:r>
      <w:r w:rsidR="0008461B"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 xml:space="preserve"> The</w:t>
      </w:r>
      <w:r w:rsidR="0008461B" w:rsidRPr="005C7F03">
        <w:rPr>
          <w:rFonts w:ascii="Arial" w:eastAsia="Times New Roman" w:hAnsi="Arial" w:cs="Arial"/>
          <w:kern w:val="0"/>
          <w:lang w:eastAsia="en-GB"/>
          <w14:ligatures w14:val="none"/>
        </w:rPr>
        <w:t xml:space="preserve"> practitioners</w:t>
      </w:r>
      <w:r w:rsidRPr="005C7F03">
        <w:rPr>
          <w:rFonts w:ascii="Arial" w:eastAsia="Times New Roman" w:hAnsi="Arial" w:cs="Arial"/>
          <w:kern w:val="0"/>
          <w:lang w:eastAsia="en-GB"/>
          <w14:ligatures w14:val="none"/>
        </w:rPr>
        <w:t xml:space="preserve"> use of props and varied intonation can help to maintain their attention and keep them involved in the story. It is also important to create a safe and supportive environment where children feel comfortable participating and sharing their thoughts and ideas. The presenter should be responsive to the children's needs and adjust the presentation as necessary. For instance, if the children are becoming restless, the presenter might incorporate a movement activity or a song to re-engage them.</w:t>
      </w:r>
    </w:p>
    <w:p w14:paraId="1CA56D28"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The Importance of Inclusive Storytelling</w:t>
      </w:r>
    </w:p>
    <w:p w14:paraId="11594624"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Creating an inclusive learning environment is paramount. The presenter should be mindful of the diverse backgrounds and needs of the children in the audience. This includes selecting stories and props that are culturally relevant and representative of the children's experiences. The presenter should also use inclusive language and avoid making assumptions about the children's backgrounds or abilities. Furthermore, the presenter should be sensitive to children with special needs and make any necessary accommodations to ensure that they can fully participate in the presentation. This might involve providing visual aids, using simplified language, or offering alternative ways for children to engage with the story.</w:t>
      </w:r>
    </w:p>
    <w:p w14:paraId="28E485CE"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Beyond "The Very Hungry Caterpillar": Implications for Practice</w:t>
      </w:r>
    </w:p>
    <w:p w14:paraId="61EE088D" w14:textId="723F78C1"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lastRenderedPageBreak/>
        <w:t xml:space="preserve">While this analysis has focused on </w:t>
      </w:r>
      <w:r w:rsidR="00674D31" w:rsidRPr="005C7F03">
        <w:rPr>
          <w:rFonts w:ascii="Arial" w:eastAsia="Times New Roman" w:hAnsi="Arial" w:cs="Arial"/>
          <w:kern w:val="0"/>
          <w:lang w:eastAsia="en-GB"/>
          <w14:ligatures w14:val="none"/>
        </w:rPr>
        <w:t>both</w:t>
      </w:r>
      <w:r w:rsidRPr="005C7F03">
        <w:rPr>
          <w:rFonts w:ascii="Arial" w:eastAsia="Times New Roman" w:hAnsi="Arial" w:cs="Arial"/>
          <w:kern w:val="0"/>
          <w:lang w:eastAsia="en-GB"/>
          <w14:ligatures w14:val="none"/>
        </w:rPr>
        <w:t xml:space="preserve"> presentation</w:t>
      </w:r>
      <w:r w:rsidR="00674D31"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 of "The Very Hungry Caterpillar," the principles discussed are applicable to a wide range of storytelling activities in early childhood settings. Whether reading a picture book, telling a traditional tale, or creating a story together, the skilful use of oracy, props, and voice intonation can significantly enhance the storytelling experience and promote children's language and literacy development. By paying attention to these elements, educators can create rich and stimulating learning environments that foster a love of reading and storytelling in young children.</w:t>
      </w:r>
    </w:p>
    <w:p w14:paraId="03CAE577"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Conclusion</w:t>
      </w:r>
    </w:p>
    <w:p w14:paraId="41124ABA" w14:textId="27949008" w:rsidR="002C686A" w:rsidRPr="005C7F03" w:rsidRDefault="004C2F34"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The</w:t>
      </w:r>
      <w:r w:rsidR="008A2347" w:rsidRPr="005C7F03">
        <w:rPr>
          <w:rFonts w:ascii="Arial" w:eastAsia="Times New Roman" w:hAnsi="Arial" w:cs="Arial"/>
          <w:kern w:val="0"/>
          <w:lang w:eastAsia="en-GB"/>
          <w14:ligatures w14:val="none"/>
        </w:rPr>
        <w:t xml:space="preserve"> presentation</w:t>
      </w:r>
      <w:r w:rsidRPr="005C7F03">
        <w:rPr>
          <w:rFonts w:ascii="Arial" w:eastAsia="Times New Roman" w:hAnsi="Arial" w:cs="Arial"/>
          <w:kern w:val="0"/>
          <w:lang w:eastAsia="en-GB"/>
          <w14:ligatures w14:val="none"/>
        </w:rPr>
        <w:t>s</w:t>
      </w:r>
      <w:r w:rsidR="008A2347" w:rsidRPr="005C7F03">
        <w:rPr>
          <w:rFonts w:ascii="Arial" w:eastAsia="Times New Roman" w:hAnsi="Arial" w:cs="Arial"/>
          <w:kern w:val="0"/>
          <w:lang w:eastAsia="en-GB"/>
          <w14:ligatures w14:val="none"/>
        </w:rPr>
        <w:t xml:space="preserve"> on "The Very Hungry Caterpillar," when analysed through the lenses of oracy, props, and voice intonation, reveals the multifaceted nature of effective storytelling. The presenter's skilful use of these elements transform</w:t>
      </w:r>
      <w:r w:rsidRPr="005C7F03">
        <w:rPr>
          <w:rFonts w:ascii="Arial" w:eastAsia="Times New Roman" w:hAnsi="Arial" w:cs="Arial"/>
          <w:kern w:val="0"/>
          <w:lang w:eastAsia="en-GB"/>
          <w14:ligatures w14:val="none"/>
        </w:rPr>
        <w:t>s</w:t>
      </w:r>
      <w:r w:rsidR="008A2347" w:rsidRPr="005C7F03">
        <w:rPr>
          <w:rFonts w:ascii="Arial" w:eastAsia="Times New Roman" w:hAnsi="Arial" w:cs="Arial"/>
          <w:kern w:val="0"/>
          <w:lang w:eastAsia="en-GB"/>
          <w14:ligatures w14:val="none"/>
        </w:rPr>
        <w:t xml:space="preserve"> a simple reading of a children's book into a captivating and enriching experience for young learners. By employing clear articulation, appropriate pacing, engaging vocabulary, and interactive strategies, the presenter </w:t>
      </w:r>
      <w:r w:rsidR="00ED0F01" w:rsidRPr="005C7F03">
        <w:rPr>
          <w:rFonts w:ascii="Arial" w:eastAsia="Times New Roman" w:hAnsi="Arial" w:cs="Arial"/>
          <w:kern w:val="0"/>
          <w:lang w:eastAsia="en-GB"/>
          <w14:ligatures w14:val="none"/>
        </w:rPr>
        <w:t xml:space="preserve">strives to </w:t>
      </w:r>
      <w:r w:rsidR="008A2347" w:rsidRPr="005C7F03">
        <w:rPr>
          <w:rFonts w:ascii="Arial" w:eastAsia="Times New Roman" w:hAnsi="Arial" w:cs="Arial"/>
          <w:kern w:val="0"/>
          <w:lang w:eastAsia="en-GB"/>
          <w14:ligatures w14:val="none"/>
        </w:rPr>
        <w:t>harness the power of oracy to bring the story to life. Furthermore, the strategic use of props enhance</w:t>
      </w:r>
      <w:r w:rsidR="00B41908" w:rsidRPr="005C7F03">
        <w:rPr>
          <w:rFonts w:ascii="Arial" w:eastAsia="Times New Roman" w:hAnsi="Arial" w:cs="Arial"/>
          <w:kern w:val="0"/>
          <w:lang w:eastAsia="en-GB"/>
          <w14:ligatures w14:val="none"/>
        </w:rPr>
        <w:t>s</w:t>
      </w:r>
      <w:r w:rsidR="008A2347" w:rsidRPr="005C7F03">
        <w:rPr>
          <w:rFonts w:ascii="Arial" w:eastAsia="Times New Roman" w:hAnsi="Arial" w:cs="Arial"/>
          <w:kern w:val="0"/>
          <w:lang w:eastAsia="en-GB"/>
          <w14:ligatures w14:val="none"/>
        </w:rPr>
        <w:t xml:space="preserve"> comprehension and make the narrative more memorable, while skilful voice intonation add</w:t>
      </w:r>
      <w:r w:rsidR="00B41908" w:rsidRPr="005C7F03">
        <w:rPr>
          <w:rFonts w:ascii="Arial" w:eastAsia="Times New Roman" w:hAnsi="Arial" w:cs="Arial"/>
          <w:kern w:val="0"/>
          <w:lang w:eastAsia="en-GB"/>
          <w14:ligatures w14:val="none"/>
        </w:rPr>
        <w:t>s</w:t>
      </w:r>
      <w:r w:rsidR="008A2347" w:rsidRPr="005C7F03">
        <w:rPr>
          <w:rFonts w:ascii="Arial" w:eastAsia="Times New Roman" w:hAnsi="Arial" w:cs="Arial"/>
          <w:kern w:val="0"/>
          <w:lang w:eastAsia="en-GB"/>
          <w14:ligatures w14:val="none"/>
        </w:rPr>
        <w:t xml:space="preserve"> emotion and expression, captivating the audience and fostering a deeper connection with the story. By grounding these practices in relevant theoretical frameworks, such as those of Bruner</w:t>
      </w:r>
      <w:r w:rsidR="00984D32" w:rsidRPr="005C7F03">
        <w:rPr>
          <w:rFonts w:ascii="Arial" w:eastAsia="Times New Roman" w:hAnsi="Arial" w:cs="Arial"/>
          <w:kern w:val="0"/>
          <w:lang w:eastAsia="en-GB"/>
          <w14:ligatures w14:val="none"/>
        </w:rPr>
        <w:t>,</w:t>
      </w:r>
      <w:r w:rsidR="0019441E" w:rsidRPr="005C7F03">
        <w:rPr>
          <w:rFonts w:ascii="Arial" w:eastAsia="Times New Roman" w:hAnsi="Arial" w:cs="Arial"/>
          <w:kern w:val="0"/>
          <w:lang w:eastAsia="en-GB"/>
          <w14:ligatures w14:val="none"/>
        </w:rPr>
        <w:t xml:space="preserve"> (1977)</w:t>
      </w:r>
      <w:r w:rsidR="008A2347" w:rsidRPr="005C7F03">
        <w:rPr>
          <w:rFonts w:ascii="Arial" w:eastAsia="Times New Roman" w:hAnsi="Arial" w:cs="Arial"/>
          <w:kern w:val="0"/>
          <w:lang w:eastAsia="en-GB"/>
          <w14:ligatures w14:val="none"/>
        </w:rPr>
        <w:t>, Piaget,</w:t>
      </w:r>
      <w:r w:rsidR="00A01D51" w:rsidRPr="005C7F03">
        <w:rPr>
          <w:rFonts w:ascii="Arial" w:eastAsia="Times New Roman" w:hAnsi="Arial" w:cs="Arial"/>
          <w:kern w:val="0"/>
          <w:lang w:eastAsia="en-GB"/>
          <w14:ligatures w14:val="none"/>
        </w:rPr>
        <w:t xml:space="preserve"> (1962),</w:t>
      </w:r>
      <w:r w:rsidR="008A2347" w:rsidRPr="005C7F03">
        <w:rPr>
          <w:rFonts w:ascii="Arial" w:eastAsia="Times New Roman" w:hAnsi="Arial" w:cs="Arial"/>
          <w:kern w:val="0"/>
          <w:lang w:eastAsia="en-GB"/>
          <w14:ligatures w14:val="none"/>
        </w:rPr>
        <w:t xml:space="preserve"> Mercer,</w:t>
      </w:r>
      <w:r w:rsidR="005C36A6" w:rsidRPr="005C7F03">
        <w:rPr>
          <w:rFonts w:ascii="Arial" w:eastAsia="Times New Roman" w:hAnsi="Arial" w:cs="Arial"/>
          <w:kern w:val="0"/>
          <w:lang w:eastAsia="en-GB"/>
          <w14:ligatures w14:val="none"/>
        </w:rPr>
        <w:t xml:space="preserve"> (2018)</w:t>
      </w:r>
      <w:r w:rsidR="008A2347" w:rsidRPr="005C7F03">
        <w:rPr>
          <w:rFonts w:ascii="Arial" w:eastAsia="Times New Roman" w:hAnsi="Arial" w:cs="Arial"/>
          <w:kern w:val="0"/>
          <w:lang w:eastAsia="en-GB"/>
          <w14:ligatures w14:val="none"/>
        </w:rPr>
        <w:t xml:space="preserve"> Crystal,</w:t>
      </w:r>
      <w:r w:rsidR="00984D32" w:rsidRPr="005C7F03">
        <w:rPr>
          <w:rFonts w:ascii="Arial" w:eastAsia="Times New Roman" w:hAnsi="Arial" w:cs="Arial"/>
          <w:kern w:val="0"/>
          <w:lang w:eastAsia="en-GB"/>
          <w14:ligatures w14:val="none"/>
        </w:rPr>
        <w:t xml:space="preserve"> (</w:t>
      </w:r>
      <w:r w:rsidR="00984D32" w:rsidRPr="005C7F03">
        <w:rPr>
          <w:rFonts w:ascii="Arial" w:eastAsia="Times New Roman" w:hAnsi="Arial" w:cs="Arial"/>
          <w:kern w:val="0"/>
          <w:lang w:eastAsia="en-GB"/>
          <w14:ligatures w14:val="none"/>
        </w:rPr>
        <w:t>1995, 2021 and 2023</w:t>
      </w:r>
      <w:r w:rsidR="00984D32" w:rsidRPr="005C7F03">
        <w:rPr>
          <w:rFonts w:ascii="Arial" w:eastAsia="Times New Roman" w:hAnsi="Arial" w:cs="Arial"/>
          <w:kern w:val="0"/>
          <w:lang w:eastAsia="en-GB"/>
          <w14:ligatures w14:val="none"/>
        </w:rPr>
        <w:t>)</w:t>
      </w:r>
      <w:r w:rsidR="008A2347" w:rsidRPr="005C7F03">
        <w:rPr>
          <w:rFonts w:ascii="Arial" w:eastAsia="Times New Roman" w:hAnsi="Arial" w:cs="Arial"/>
          <w:kern w:val="0"/>
          <w:lang w:eastAsia="en-GB"/>
          <w14:ligatures w14:val="none"/>
        </w:rPr>
        <w:t xml:space="preserve"> and others, we can better understand the pedagogical significance of these elements and their contribution to effective communication and learning. A successful presentation, therefore, is not merely about reading words on a page, but about weaving together language, objects, and vocal expression to create a shared experience that resonates with the audience and fosters a lifelong love of reading and storytelling. This holistic approach to storytelling, incorporating oracy, props, and voice intonation, is essential for creating engaging and effective learning experiences for young children.</w:t>
      </w:r>
    </w:p>
    <w:p w14:paraId="0CDDAD6C" w14:textId="77777777" w:rsidR="00642C50" w:rsidRPr="005C7F03" w:rsidRDefault="00642C50" w:rsidP="005C7F03">
      <w:pPr>
        <w:spacing w:before="100" w:beforeAutospacing="1" w:after="100" w:afterAutospacing="1" w:line="360" w:lineRule="auto"/>
        <w:jc w:val="both"/>
        <w:rPr>
          <w:rFonts w:ascii="Arial" w:eastAsia="Times New Roman" w:hAnsi="Arial" w:cs="Arial"/>
          <w:kern w:val="0"/>
          <w:lang w:eastAsia="en-GB"/>
          <w14:ligatures w14:val="none"/>
        </w:rPr>
      </w:pPr>
    </w:p>
    <w:p w14:paraId="66987C6C" w14:textId="6B8F20C9" w:rsidR="001F31C4" w:rsidRPr="001F31C4" w:rsidRDefault="00642C50" w:rsidP="005C1E74">
      <w:pPr>
        <w:spacing w:before="100" w:beforeAutospacing="1" w:after="100" w:afterAutospacing="1" w:line="240" w:lineRule="auto"/>
        <w:rPr>
          <w:rFonts w:ascii="Arial" w:eastAsia="Times New Roman" w:hAnsi="Arial" w:cs="Arial"/>
          <w:b/>
          <w:bCs/>
          <w:kern w:val="0"/>
          <w:lang w:eastAsia="en-GB"/>
          <w14:ligatures w14:val="none"/>
        </w:rPr>
      </w:pPr>
      <w:r w:rsidRPr="001F31C4">
        <w:rPr>
          <w:rFonts w:ascii="Arial" w:eastAsia="Times New Roman" w:hAnsi="Arial" w:cs="Arial"/>
          <w:b/>
          <w:bCs/>
          <w:kern w:val="0"/>
          <w:lang w:eastAsia="en-GB"/>
          <w14:ligatures w14:val="none"/>
        </w:rPr>
        <w:t>Refer</w:t>
      </w:r>
      <w:r w:rsidR="001F31C4" w:rsidRPr="001F31C4">
        <w:rPr>
          <w:rFonts w:ascii="Arial" w:eastAsia="Times New Roman" w:hAnsi="Arial" w:cs="Arial"/>
          <w:b/>
          <w:bCs/>
          <w:kern w:val="0"/>
          <w:lang w:eastAsia="en-GB"/>
          <w14:ligatures w14:val="none"/>
        </w:rPr>
        <w:t>ences</w:t>
      </w:r>
    </w:p>
    <w:p w14:paraId="4CD66571" w14:textId="77777777" w:rsidR="00743376" w:rsidRPr="001521D7" w:rsidRDefault="00743376" w:rsidP="00DF1198">
      <w:pPr>
        <w:rPr>
          <w:rFonts w:ascii="Arial" w:hAnsi="Arial" w:cs="Arial"/>
          <w:color w:val="3A3A3A"/>
          <w:shd w:val="clear" w:color="auto" w:fill="FFFFFF"/>
        </w:rPr>
      </w:pPr>
    </w:p>
    <w:p w14:paraId="36048C46" w14:textId="77777777" w:rsidR="00743376" w:rsidRPr="00BD4B51"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Albuquerque, A. and Martins, M.A. (2021) ‘Invented spelling activities in kindergarten: the role of instructional scaffolding and collaborative learning’, </w:t>
      </w:r>
      <w:r w:rsidRPr="007D6A92">
        <w:rPr>
          <w:rFonts w:ascii="Arial" w:hAnsi="Arial" w:cs="Arial"/>
          <w:i/>
          <w:iCs/>
          <w:shd w:val="clear" w:color="auto" w:fill="FFFFFF"/>
        </w:rPr>
        <w:t>International journal of early years education</w:t>
      </w:r>
      <w:r w:rsidRPr="007D6A92">
        <w:rPr>
          <w:rFonts w:ascii="Arial" w:hAnsi="Arial" w:cs="Arial"/>
          <w:shd w:val="clear" w:color="auto" w:fill="FFFFFF"/>
        </w:rPr>
        <w:t xml:space="preserve">, 29(1), pp. 96–113. Available at: </w:t>
      </w:r>
      <w:hyperlink r:id="rId8" w:history="1">
        <w:r w:rsidRPr="00BD4B51">
          <w:rPr>
            <w:rStyle w:val="Hyperlink"/>
            <w:rFonts w:ascii="Arial" w:hAnsi="Arial" w:cs="Arial"/>
            <w:shd w:val="clear" w:color="auto" w:fill="FFFFFF"/>
          </w:rPr>
          <w:t>https://doi.org/10.1080/09669760.2020.1760085</w:t>
        </w:r>
      </w:hyperlink>
      <w:r w:rsidRPr="00BD4B51">
        <w:rPr>
          <w:rFonts w:ascii="Arial" w:hAnsi="Arial" w:cs="Arial"/>
          <w:color w:val="3A3A3A"/>
          <w:shd w:val="clear" w:color="auto" w:fill="FFFFFF"/>
        </w:rPr>
        <w:t>.</w:t>
      </w:r>
      <w:r w:rsidRPr="00BD4B51">
        <w:rPr>
          <w:rFonts w:ascii="Arial" w:hAnsi="Arial" w:cs="Arial"/>
          <w:color w:val="3A3A3A"/>
          <w:shd w:val="clear" w:color="auto" w:fill="FFFFFF"/>
        </w:rPr>
        <w:t xml:space="preserve"> </w:t>
      </w:r>
      <w:r w:rsidRPr="00BD4B51">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BD4B51">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BD4B51">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67861AEA" w14:textId="77777777" w:rsidR="00743376" w:rsidRDefault="00743376" w:rsidP="008A2347">
      <w:pPr>
        <w:spacing w:before="100" w:beforeAutospacing="1" w:after="100" w:afterAutospacing="1" w:line="240" w:lineRule="auto"/>
        <w:rPr>
          <w:rFonts w:ascii="Arial" w:eastAsia="Times New Roman" w:hAnsi="Arial" w:cs="Arial"/>
          <w:color w:val="FF0000"/>
          <w:kern w:val="0"/>
          <w:lang w:eastAsia="en-GB"/>
          <w14:ligatures w14:val="none"/>
        </w:rPr>
      </w:pPr>
      <w:r w:rsidRPr="005C1E74">
        <w:rPr>
          <w:rFonts w:ascii="Arial" w:eastAsia="Times New Roman" w:hAnsi="Arial" w:cs="Arial"/>
          <w:kern w:val="0"/>
          <w:lang w:eastAsia="en-GB"/>
          <w14:ligatures w14:val="none"/>
        </w:rPr>
        <w:t>Alexander, R. (2020). A Dialogic Teaching Companion (1st ed.).</w:t>
      </w:r>
      <w:r w:rsidRPr="005C1E74">
        <w:rPr>
          <w:rFonts w:ascii="Arial" w:eastAsia="Times New Roman" w:hAnsi="Arial" w:cs="Arial"/>
          <w:kern w:val="0"/>
          <w:lang w:eastAsia="en-GB"/>
          <w14:ligatures w14:val="none"/>
        </w:rPr>
        <w:t xml:space="preserve"> London:</w:t>
      </w:r>
      <w:r w:rsidRPr="005C1E74">
        <w:rPr>
          <w:rFonts w:ascii="Arial" w:eastAsia="Times New Roman" w:hAnsi="Arial" w:cs="Arial"/>
          <w:kern w:val="0"/>
          <w:lang w:eastAsia="en-GB"/>
          <w14:ligatures w14:val="none"/>
        </w:rPr>
        <w:t xml:space="preserve"> Routledge. </w:t>
      </w:r>
      <w:r>
        <w:rPr>
          <w:rFonts w:ascii="Arial" w:eastAsia="Times New Roman" w:hAnsi="Arial" w:cs="Arial"/>
          <w:kern w:val="0"/>
          <w:lang w:eastAsia="en-GB"/>
          <w14:ligatures w14:val="none"/>
        </w:rPr>
        <w:t xml:space="preserve">Available at: </w:t>
      </w:r>
      <w:hyperlink r:id="rId9" w:history="1">
        <w:r w:rsidRPr="001E7B58">
          <w:rPr>
            <w:rStyle w:val="Hyperlink"/>
            <w:rFonts w:ascii="Arial" w:eastAsia="Times New Roman" w:hAnsi="Arial" w:cs="Arial"/>
            <w:kern w:val="0"/>
            <w:lang w:eastAsia="en-GB"/>
            <w14:ligatures w14:val="none"/>
          </w:rPr>
          <w:t>https://doi.org/10.4324/9781351040143</w:t>
        </w:r>
      </w:hyperlink>
      <w:r>
        <w:rPr>
          <w:rFonts w:ascii="Arial" w:eastAsia="Times New Roman" w:hAnsi="Arial" w:cs="Arial"/>
          <w:color w:val="FF0000"/>
          <w:kern w:val="0"/>
          <w:lang w:eastAsia="en-GB"/>
          <w14:ligatures w14:val="none"/>
        </w:rPr>
        <w:t xml:space="preserve">  </w:t>
      </w:r>
      <w:bookmarkStart w:id="0" w:name="_Hlk190532745"/>
      <w:r w:rsidRPr="00B82FB0">
        <w:rPr>
          <w:rFonts w:ascii="Arial" w:eastAsia="Times New Roman" w:hAnsi="Arial" w:cs="Arial"/>
          <w:kern w:val="0"/>
          <w:lang w:eastAsia="en-GB"/>
          <w14:ligatures w14:val="none"/>
        </w:rPr>
        <w:t>(Accessed 09 February 2025)</w:t>
      </w:r>
      <w:bookmarkEnd w:id="0"/>
    </w:p>
    <w:p w14:paraId="1EC379C6" w14:textId="77777777" w:rsidR="00743376" w:rsidRPr="00277A94" w:rsidRDefault="00743376" w:rsidP="00277A94">
      <w:pPr>
        <w:pStyle w:val="NormalWeb"/>
        <w:shd w:val="clear" w:color="auto" w:fill="FFFFFF"/>
        <w:spacing w:before="0" w:beforeAutospacing="0" w:after="180" w:afterAutospacing="0"/>
        <w:rPr>
          <w:rFonts w:ascii="Arial" w:hAnsi="Arial" w:cs="Arial"/>
          <w:spacing w:val="-6"/>
        </w:rPr>
      </w:pPr>
      <w:r w:rsidRPr="002564F4">
        <w:rPr>
          <w:rFonts w:ascii="Arial" w:hAnsi="Arial" w:cs="Arial"/>
          <w:spacing w:val="-6"/>
        </w:rPr>
        <w:t>Alexander, R.</w:t>
      </w:r>
      <w:r>
        <w:rPr>
          <w:rFonts w:ascii="Arial" w:hAnsi="Arial" w:cs="Arial"/>
          <w:spacing w:val="-6"/>
        </w:rPr>
        <w:t xml:space="preserve"> J. </w:t>
      </w:r>
      <w:r w:rsidRPr="002564F4">
        <w:rPr>
          <w:rFonts w:ascii="Arial" w:hAnsi="Arial" w:cs="Arial"/>
          <w:spacing w:val="-6"/>
        </w:rPr>
        <w:t xml:space="preserve"> (2017). Towards Dialogic Teaching: Rethinking Classroom Talk. </w:t>
      </w:r>
      <w:r>
        <w:rPr>
          <w:rFonts w:ascii="Arial" w:hAnsi="Arial" w:cs="Arial"/>
          <w:spacing w:val="-6"/>
        </w:rPr>
        <w:t>(</w:t>
      </w:r>
      <w:r w:rsidRPr="002564F4">
        <w:rPr>
          <w:rFonts w:ascii="Arial" w:hAnsi="Arial" w:cs="Arial"/>
          <w:spacing w:val="-6"/>
        </w:rPr>
        <w:t>5th edn.</w:t>
      </w:r>
      <w:r>
        <w:rPr>
          <w:rFonts w:ascii="Arial" w:hAnsi="Arial" w:cs="Arial"/>
          <w:spacing w:val="-6"/>
        </w:rPr>
        <w:t>) Dialogos: Thirsk</w:t>
      </w:r>
      <w:r w:rsidRPr="002564F4">
        <w:rPr>
          <w:rFonts w:ascii="Arial" w:hAnsi="Arial" w:cs="Arial"/>
          <w:spacing w:val="-6"/>
        </w:rPr>
        <w:t>,</w:t>
      </w:r>
      <w:r>
        <w:rPr>
          <w:rFonts w:ascii="Arial" w:hAnsi="Arial" w:cs="Arial"/>
          <w:spacing w:val="-6"/>
        </w:rPr>
        <w:t xml:space="preserve"> North </w:t>
      </w:r>
      <w:r w:rsidRPr="002564F4">
        <w:rPr>
          <w:rFonts w:ascii="Arial" w:hAnsi="Arial" w:cs="Arial"/>
          <w:spacing w:val="-6"/>
        </w:rPr>
        <w:t>York</w:t>
      </w:r>
      <w:r>
        <w:rPr>
          <w:rFonts w:ascii="Arial" w:hAnsi="Arial" w:cs="Arial"/>
          <w:spacing w:val="-6"/>
        </w:rPr>
        <w:t>shire: Available at</w:t>
      </w:r>
      <w:r w:rsidRPr="00181488">
        <w:rPr>
          <w:rFonts w:ascii="Arial" w:hAnsi="Arial" w:cs="Arial"/>
          <w:spacing w:val="-6"/>
        </w:rPr>
        <w:t>:</w:t>
      </w:r>
      <w:r w:rsidRPr="00181488">
        <w:rPr>
          <w:rFonts w:ascii="Arial" w:hAnsi="Arial" w:cs="Arial"/>
          <w:spacing w:val="-6"/>
        </w:rPr>
        <w:t xml:space="preserve"> </w:t>
      </w:r>
      <w:hyperlink r:id="rId10" w:history="1">
        <w:r w:rsidRPr="00181488">
          <w:rPr>
            <w:rStyle w:val="Hyperlink"/>
            <w:rFonts w:ascii="Arial" w:hAnsi="Arial" w:cs="Arial"/>
          </w:rPr>
          <w:t>https://books.google.co.uk/books?id=ZcdatAEACAAJ</w:t>
        </w:r>
      </w:hyperlink>
      <w:r>
        <w:rPr>
          <w:rFonts w:ascii="Courier New" w:hAnsi="Courier New" w:cs="Courier New"/>
          <w:sz w:val="21"/>
          <w:szCs w:val="21"/>
        </w:rPr>
        <w:t xml:space="preserve"> </w:t>
      </w:r>
      <w:r w:rsidRPr="00B82FB0">
        <w:rPr>
          <w:rFonts w:ascii="Arial" w:hAnsi="Arial" w:cs="Arial"/>
        </w:rPr>
        <w:t>(Accessed 09 February 2025)</w:t>
      </w:r>
    </w:p>
    <w:p w14:paraId="4C235095" w14:textId="77777777" w:rsidR="00743376"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Beck, I. L., McKeown, M. G., &amp; Kucan, L. (2013). </w:t>
      </w:r>
      <w:r w:rsidRPr="00A60749">
        <w:rPr>
          <w:rFonts w:ascii="Arial" w:eastAsia="Times New Roman" w:hAnsi="Arial" w:cs="Arial"/>
          <w:i/>
          <w:iCs/>
          <w:kern w:val="0"/>
          <w:lang w:eastAsia="en-GB"/>
          <w14:ligatures w14:val="none"/>
        </w:rPr>
        <w:t>Bringing words to life: Robust vocabulary instruction</w:t>
      </w:r>
      <w:r w:rsidRPr="00A60749">
        <w:rPr>
          <w:rFonts w:ascii="Arial" w:eastAsia="Times New Roman" w:hAnsi="Arial" w:cs="Arial"/>
          <w:kern w:val="0"/>
          <w:lang w:eastAsia="en-GB"/>
          <w14:ligatures w14:val="none"/>
        </w:rPr>
        <w:t xml:space="preserve"> (2nd ed.).</w:t>
      </w:r>
      <w:r>
        <w:rPr>
          <w:rFonts w:ascii="Arial" w:eastAsia="Times New Roman" w:hAnsi="Arial" w:cs="Arial"/>
          <w:kern w:val="0"/>
          <w:lang w:eastAsia="en-GB"/>
          <w14:ligatures w14:val="none"/>
        </w:rPr>
        <w:t xml:space="preserve"> New York:</w:t>
      </w:r>
      <w:r w:rsidRPr="00A60749">
        <w:rPr>
          <w:rFonts w:ascii="Arial" w:eastAsia="Times New Roman" w:hAnsi="Arial" w:cs="Arial"/>
          <w:kern w:val="0"/>
          <w:lang w:eastAsia="en-GB"/>
          <w14:ligatures w14:val="none"/>
        </w:rPr>
        <w:t xml:space="preserve"> Guilford Press.</w:t>
      </w:r>
    </w:p>
    <w:p w14:paraId="01D7520E" w14:textId="77777777" w:rsidR="00743376" w:rsidRPr="009430E5"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3842A6">
        <w:rPr>
          <w:rFonts w:ascii="Arial" w:hAnsi="Arial" w:cs="Arial"/>
          <w:color w:val="000000"/>
          <w:shd w:val="clear" w:color="auto" w:fill="FFFFFF"/>
        </w:rPr>
        <w:t xml:space="preserve">Berliner, D.C., &amp; Calfee, R.C. (Eds.). (2004). Handbook of Educational Psychology (1st ed.). Routledge. </w:t>
      </w:r>
      <w:hyperlink r:id="rId11" w:history="1">
        <w:r w:rsidRPr="003842A6">
          <w:rPr>
            <w:rStyle w:val="Hyperlink"/>
            <w:rFonts w:ascii="Arial" w:hAnsi="Arial" w:cs="Arial"/>
            <w:shd w:val="clear" w:color="auto" w:fill="FFFFFF"/>
          </w:rPr>
          <w:t>https://doi.org/10.4324/9780203053874</w:t>
        </w:r>
      </w:hyperlink>
      <w:r w:rsidRPr="003842A6">
        <w:rPr>
          <w:rFonts w:ascii="Arial" w:hAnsi="Arial" w:cs="Arial"/>
          <w:color w:val="000000"/>
          <w:shd w:val="clear" w:color="auto" w:fill="FFFFFF"/>
        </w:rPr>
        <w:t xml:space="preserve"> </w:t>
      </w:r>
      <w:r w:rsidRPr="003842A6">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3842A6">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3842A6">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C73821B" w14:textId="77777777" w:rsidR="00743376" w:rsidRPr="00A60749"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6002CD">
        <w:rPr>
          <w:rFonts w:ascii="Arial" w:hAnsi="Arial" w:cs="Arial"/>
          <w:shd w:val="clear" w:color="auto" w:fill="FFFFFF"/>
        </w:rPr>
        <w:t>Bloom, P. </w:t>
      </w:r>
      <w:r w:rsidRPr="006002CD">
        <w:rPr>
          <w:rFonts w:ascii="Arial" w:hAnsi="Arial" w:cs="Arial"/>
          <w:i/>
          <w:iCs/>
          <w:shd w:val="clear" w:color="auto" w:fill="FFFFFF"/>
        </w:rPr>
        <w:t>et al.</w:t>
      </w:r>
      <w:r w:rsidRPr="006002CD">
        <w:rPr>
          <w:rFonts w:ascii="Arial" w:hAnsi="Arial" w:cs="Arial"/>
          <w:shd w:val="clear" w:color="auto" w:fill="FFFFFF"/>
        </w:rPr>
        <w:t> (2000) </w:t>
      </w:r>
      <w:r w:rsidRPr="006002CD">
        <w:rPr>
          <w:rFonts w:ascii="Arial" w:hAnsi="Arial" w:cs="Arial"/>
          <w:i/>
          <w:iCs/>
          <w:shd w:val="clear" w:color="auto" w:fill="FFFFFF"/>
        </w:rPr>
        <w:t>How Children Learn the Meanings of Words</w:t>
      </w:r>
      <w:r w:rsidRPr="006002CD">
        <w:rPr>
          <w:rFonts w:ascii="Arial" w:hAnsi="Arial" w:cs="Arial"/>
          <w:shd w:val="clear" w:color="auto" w:fill="FFFFFF"/>
        </w:rPr>
        <w:t xml:space="preserve">. 1st edn. Cambridge: MIT Press. Available at: </w:t>
      </w:r>
      <w:hyperlink r:id="rId12" w:history="1">
        <w:r w:rsidRPr="00A70EC3">
          <w:rPr>
            <w:rStyle w:val="Hyperlink"/>
            <w:rFonts w:ascii="Arial" w:hAnsi="Arial" w:cs="Arial"/>
            <w:shd w:val="clear" w:color="auto" w:fill="FFFFFF"/>
          </w:rPr>
          <w:t>https://doi.org/10.7551/mitpress/3577.001.0001</w:t>
        </w:r>
      </w:hyperlink>
      <w:r w:rsidRPr="00A70EC3">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sidRPr="006002CD">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6002CD">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6002CD">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p>
    <w:p w14:paraId="3653274B" w14:textId="77777777" w:rsidR="00743376" w:rsidRPr="006A076F"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Boström, L. and Lassen, L.M. (2006) ‘</w:t>
      </w:r>
      <w:r w:rsidRPr="007D6A92">
        <w:rPr>
          <w:rFonts w:ascii="Arial" w:hAnsi="Arial" w:cs="Arial"/>
          <w:shd w:val="clear" w:color="auto" w:fill="FFFFFF"/>
        </w:rPr>
        <w:t>Unravelling</w:t>
      </w:r>
      <w:r w:rsidRPr="007D6A92">
        <w:rPr>
          <w:rFonts w:ascii="Arial" w:hAnsi="Arial" w:cs="Arial"/>
          <w:shd w:val="clear" w:color="auto" w:fill="FFFFFF"/>
        </w:rPr>
        <w:t xml:space="preserve"> learning, learning styles, learning strategies and meta-cognition’, </w:t>
      </w:r>
      <w:r w:rsidRPr="007D6A92">
        <w:rPr>
          <w:rFonts w:ascii="Arial" w:hAnsi="Arial" w:cs="Arial"/>
          <w:i/>
          <w:iCs/>
          <w:shd w:val="clear" w:color="auto" w:fill="FFFFFF"/>
        </w:rPr>
        <w:t>Education &amp; training (London)</w:t>
      </w:r>
      <w:r w:rsidRPr="007D6A92">
        <w:rPr>
          <w:rFonts w:ascii="Arial" w:hAnsi="Arial" w:cs="Arial"/>
          <w:shd w:val="clear" w:color="auto" w:fill="FFFFFF"/>
        </w:rPr>
        <w:t xml:space="preserve">, 48(2/3), pp. 178–189. Available at: </w:t>
      </w:r>
      <w:hyperlink r:id="rId13" w:history="1">
        <w:r w:rsidRPr="006A076F">
          <w:rPr>
            <w:rStyle w:val="Hyperlink"/>
            <w:rFonts w:ascii="Arial" w:hAnsi="Arial" w:cs="Arial"/>
            <w:shd w:val="clear" w:color="auto" w:fill="FFFFFF"/>
          </w:rPr>
          <w:t>https://doi.org/10.1108/00400910610651809</w:t>
        </w:r>
      </w:hyperlink>
      <w:r w:rsidRPr="006A076F">
        <w:rPr>
          <w:rFonts w:ascii="Arial" w:hAnsi="Arial" w:cs="Arial"/>
          <w:color w:val="3A3A3A"/>
          <w:shd w:val="clear" w:color="auto" w:fill="FFFFFF"/>
        </w:rPr>
        <w:t>.</w:t>
      </w:r>
      <w:r w:rsidRPr="006A076F">
        <w:rPr>
          <w:rFonts w:ascii="Arial" w:hAnsi="Arial" w:cs="Arial"/>
          <w:color w:val="3A3A3A"/>
          <w:shd w:val="clear" w:color="auto" w:fill="FFFFFF"/>
        </w:rPr>
        <w:t xml:space="preserve"> </w:t>
      </w:r>
      <w:r w:rsidRPr="006A076F">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6A076F">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6A076F">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2F173ECA" w14:textId="77777777" w:rsidR="00743376" w:rsidRPr="007D6A92" w:rsidRDefault="00743376" w:rsidP="008A2347">
      <w:pPr>
        <w:spacing w:before="100" w:beforeAutospacing="1" w:after="100" w:afterAutospacing="1" w:line="240" w:lineRule="auto"/>
        <w:rPr>
          <w:rFonts w:ascii="Arial" w:hAnsi="Arial" w:cs="Arial"/>
          <w:shd w:val="clear" w:color="auto" w:fill="FFFFFF"/>
        </w:rPr>
      </w:pPr>
      <w:r w:rsidRPr="007D6A92">
        <w:rPr>
          <w:rFonts w:ascii="Arial" w:hAnsi="Arial" w:cs="Arial"/>
          <w:shd w:val="clear" w:color="auto" w:fill="FFFFFF"/>
        </w:rPr>
        <w:t>Brown, P.C., Roediger, H.L. and McDaniel, M.A. (2014) </w:t>
      </w:r>
      <w:r w:rsidRPr="007D6A92">
        <w:rPr>
          <w:rFonts w:ascii="Arial" w:hAnsi="Arial" w:cs="Arial"/>
          <w:i/>
          <w:iCs/>
          <w:shd w:val="clear" w:color="auto" w:fill="FFFFFF"/>
        </w:rPr>
        <w:t xml:space="preserve">Make it </w:t>
      </w:r>
      <w:r w:rsidRPr="007D6A92">
        <w:rPr>
          <w:rFonts w:ascii="Arial" w:hAnsi="Arial" w:cs="Arial"/>
          <w:i/>
          <w:iCs/>
          <w:shd w:val="clear" w:color="auto" w:fill="FFFFFF"/>
        </w:rPr>
        <w:t>stick:</w:t>
      </w:r>
      <w:r w:rsidRPr="007D6A92">
        <w:rPr>
          <w:rFonts w:ascii="Arial" w:hAnsi="Arial" w:cs="Arial"/>
          <w:i/>
          <w:iCs/>
          <w:shd w:val="clear" w:color="auto" w:fill="FFFFFF"/>
        </w:rPr>
        <w:t xml:space="preserve"> the science of successful learning</w:t>
      </w:r>
      <w:r w:rsidRPr="007D6A92">
        <w:rPr>
          <w:rFonts w:ascii="Arial" w:hAnsi="Arial" w:cs="Arial"/>
          <w:shd w:val="clear" w:color="auto" w:fill="FFFFFF"/>
        </w:rPr>
        <w:t>. Cambridge, Massachusetts: The Belknap Press of Harvard University Press.</w:t>
      </w:r>
    </w:p>
    <w:p w14:paraId="29D09D5B" w14:textId="77777777" w:rsidR="00743376" w:rsidRPr="007D6A92"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Bruner, J.S. (1977) </w:t>
      </w:r>
      <w:r w:rsidRPr="007D6A92">
        <w:rPr>
          <w:rFonts w:ascii="Arial" w:hAnsi="Arial" w:cs="Arial"/>
          <w:i/>
          <w:iCs/>
          <w:shd w:val="clear" w:color="auto" w:fill="FFFFFF"/>
        </w:rPr>
        <w:t>Process of education.</w:t>
      </w:r>
      <w:r w:rsidRPr="007D6A92">
        <w:rPr>
          <w:rFonts w:ascii="Arial" w:hAnsi="Arial" w:cs="Arial"/>
          <w:shd w:val="clear" w:color="auto" w:fill="FFFFFF"/>
        </w:rPr>
        <w:t> Harvard U</w:t>
      </w:r>
      <w:r w:rsidRPr="007D6A92">
        <w:rPr>
          <w:rFonts w:ascii="Arial" w:hAnsi="Arial" w:cs="Arial"/>
          <w:shd w:val="clear" w:color="auto" w:fill="FFFFFF"/>
        </w:rPr>
        <w:t xml:space="preserve">niversity </w:t>
      </w:r>
      <w:r w:rsidRPr="007D6A92">
        <w:rPr>
          <w:rFonts w:ascii="Arial" w:hAnsi="Arial" w:cs="Arial"/>
          <w:shd w:val="clear" w:color="auto" w:fill="FFFFFF"/>
        </w:rPr>
        <w:t>P</w:t>
      </w:r>
      <w:r w:rsidRPr="007D6A92">
        <w:rPr>
          <w:rFonts w:ascii="Arial" w:hAnsi="Arial" w:cs="Arial"/>
          <w:shd w:val="clear" w:color="auto" w:fill="FFFFFF"/>
        </w:rPr>
        <w:t>ress</w:t>
      </w:r>
      <w:r w:rsidRPr="007D6A92">
        <w:rPr>
          <w:rFonts w:ascii="Arial" w:hAnsi="Arial" w:cs="Arial"/>
          <w:shd w:val="clear" w:color="auto" w:fill="FFFFFF"/>
        </w:rPr>
        <w:t>.</w:t>
      </w:r>
    </w:p>
    <w:p w14:paraId="43317AF5" w14:textId="77777777" w:rsidR="00743376" w:rsidRPr="00F9121B" w:rsidRDefault="00743376" w:rsidP="00EB60BC">
      <w:pPr>
        <w:pStyle w:val="NormalWeb"/>
        <w:rPr>
          <w:rFonts w:ascii="Arial" w:hAnsi="Arial" w:cs="Arial"/>
        </w:rPr>
      </w:pPr>
      <w:r w:rsidRPr="00F9121B">
        <w:rPr>
          <w:rFonts w:ascii="Arial" w:eastAsiaTheme="minorHAnsi" w:hAnsi="Arial" w:cs="Arial"/>
          <w:kern w:val="2"/>
          <w:shd w:val="clear" w:color="auto" w:fill="FFFFFF"/>
          <w:lang w:eastAsia="en-US"/>
          <w14:ligatures w14:val="standardContextual"/>
        </w:rPr>
        <w:t xml:space="preserve">Cai L, Arimitsu T, Shinohara N, Takahashi T, Hakuno Y, </w:t>
      </w:r>
      <w:r w:rsidRPr="00F9121B">
        <w:rPr>
          <w:rFonts w:ascii="Arial" w:eastAsiaTheme="minorHAnsi" w:hAnsi="Arial" w:cs="Arial"/>
          <w:i/>
          <w:iCs/>
          <w:kern w:val="2"/>
          <w:shd w:val="clear" w:color="auto" w:fill="FFFFFF"/>
          <w:lang w:eastAsia="en-US"/>
          <w14:ligatures w14:val="standardContextual"/>
        </w:rPr>
        <w:t>et al</w:t>
      </w:r>
      <w:r w:rsidRPr="00F9121B">
        <w:rPr>
          <w:rFonts w:ascii="Arial" w:eastAsiaTheme="minorHAnsi" w:hAnsi="Arial" w:cs="Arial"/>
          <w:kern w:val="2"/>
          <w:shd w:val="clear" w:color="auto" w:fill="FFFFFF"/>
          <w:lang w:eastAsia="en-US"/>
          <w14:ligatures w14:val="standardContextual"/>
        </w:rPr>
        <w:t>. (2024) Functional reorganization of brain regions supporting artificial grammar learning across the first half year of life. PLOS Biology 22(10): e3002610. Available at: </w:t>
      </w:r>
      <w:hyperlink r:id="rId14" w:history="1">
        <w:r w:rsidRPr="00F9121B">
          <w:rPr>
            <w:rFonts w:ascii="Arial" w:eastAsiaTheme="minorHAnsi" w:hAnsi="Arial" w:cs="Arial"/>
            <w:color w:val="215E99" w:themeColor="text2" w:themeTint="BF"/>
            <w:kern w:val="2"/>
            <w:u w:val="single"/>
            <w:shd w:val="clear" w:color="auto" w:fill="FFFFFF"/>
            <w:lang w:eastAsia="en-US"/>
            <w14:ligatures w14:val="standardContextual"/>
          </w:rPr>
          <w:t>https://doi.org/10.1371/journal.pbio.3002610</w:t>
        </w:r>
      </w:hyperlink>
      <w:r w:rsidRPr="00F9121B">
        <w:rPr>
          <w:rFonts w:ascii="Arial" w:eastAsiaTheme="minorHAnsi" w:hAnsi="Arial" w:cs="Arial"/>
          <w:color w:val="215E99" w:themeColor="text2" w:themeTint="BF"/>
          <w:kern w:val="2"/>
          <w:lang w:eastAsia="en-US"/>
          <w14:ligatures w14:val="standardContextual"/>
        </w:rPr>
        <w:t xml:space="preserve"> </w:t>
      </w:r>
      <w:r w:rsidRPr="00F9121B">
        <w:rPr>
          <w:rFonts w:ascii="Arial" w:eastAsiaTheme="minorHAnsi" w:hAnsi="Arial" w:cs="Arial"/>
          <w:kern w:val="2"/>
          <w:lang w:eastAsia="en-US"/>
          <w14:ligatures w14:val="standardContextual"/>
        </w:rPr>
        <w:t>(Accessed 3 February 2025)</w:t>
      </w:r>
    </w:p>
    <w:p w14:paraId="5C46ED1B" w14:textId="77777777" w:rsidR="00743376" w:rsidRPr="002919A7" w:rsidRDefault="00743376" w:rsidP="00E861E9">
      <w:pPr>
        <w:spacing w:before="100" w:beforeAutospacing="1" w:after="100" w:afterAutospacing="1" w:line="240" w:lineRule="auto"/>
        <w:rPr>
          <w:rFonts w:ascii="Arial" w:eastAsia="Times New Roman" w:hAnsi="Arial" w:cs="Arial"/>
          <w:kern w:val="0"/>
          <w:lang w:eastAsia="en-GB"/>
          <w14:ligatures w14:val="none"/>
        </w:rPr>
      </w:pPr>
      <w:r w:rsidRPr="007B636C">
        <w:rPr>
          <w:rFonts w:ascii="Arial" w:hAnsi="Arial" w:cs="Arial"/>
          <w:color w:val="2A2A2A"/>
          <w:shd w:val="clear" w:color="auto" w:fill="FFFFFF"/>
        </w:rPr>
        <w:t>Carney,</w:t>
      </w:r>
      <w:r w:rsidRPr="007B636C">
        <w:rPr>
          <w:rFonts w:ascii="Arial" w:hAnsi="Arial" w:cs="Arial"/>
          <w:color w:val="2A2A2A"/>
          <w:shd w:val="clear" w:color="auto" w:fill="FFFFFF"/>
        </w:rPr>
        <w:t xml:space="preserve"> N.,</w:t>
      </w:r>
      <w:r w:rsidRPr="007B636C">
        <w:rPr>
          <w:rFonts w:ascii="Arial" w:hAnsi="Arial" w:cs="Arial"/>
          <w:color w:val="2A2A2A"/>
          <w:shd w:val="clear" w:color="auto" w:fill="FFFFFF"/>
        </w:rPr>
        <w:t xml:space="preserve"> Lantolf</w:t>
      </w:r>
      <w:r w:rsidRPr="007B636C">
        <w:rPr>
          <w:rFonts w:ascii="Arial" w:hAnsi="Arial" w:cs="Arial"/>
          <w:color w:val="2A2A2A"/>
          <w:shd w:val="clear" w:color="auto" w:fill="FFFFFF"/>
        </w:rPr>
        <w:t>, J.P.,</w:t>
      </w:r>
      <w:r w:rsidRPr="007B636C">
        <w:rPr>
          <w:rFonts w:ascii="Arial" w:hAnsi="Arial" w:cs="Arial"/>
          <w:color w:val="2A2A2A"/>
          <w:shd w:val="clear" w:color="auto" w:fill="FFFFFF"/>
        </w:rPr>
        <w:t xml:space="preserve"> and M. E. Poehner</w:t>
      </w:r>
      <w:r w:rsidRPr="007B636C">
        <w:rPr>
          <w:rFonts w:ascii="Arial" w:hAnsi="Arial" w:cs="Arial"/>
          <w:color w:val="2A2A2A"/>
          <w:shd w:val="clear" w:color="auto" w:fill="FFFFFF"/>
        </w:rPr>
        <w:t>, M.E. (2015)</w:t>
      </w:r>
      <w:r w:rsidRPr="007B636C">
        <w:rPr>
          <w:rFonts w:ascii="Arial" w:hAnsi="Arial" w:cs="Arial"/>
          <w:color w:val="2A2A2A"/>
          <w:shd w:val="clear" w:color="auto" w:fill="FFFFFF"/>
        </w:rPr>
        <w:t xml:space="preserve"> Sociocultural Theory and the Pedagogical Imperative in L2 Education: Vygotskian Praxis and the Research/Practice Divide., </w:t>
      </w:r>
      <w:r w:rsidRPr="007B636C">
        <w:rPr>
          <w:rFonts w:ascii="Arial" w:hAnsi="Arial" w:cs="Arial"/>
          <w:i/>
          <w:iCs/>
          <w:color w:val="2A2A2A"/>
          <w:bdr w:val="none" w:sz="0" w:space="0" w:color="auto" w:frame="1"/>
          <w:shd w:val="clear" w:color="auto" w:fill="FFFFFF"/>
        </w:rPr>
        <w:t>Applied Linguistics</w:t>
      </w:r>
      <w:r w:rsidRPr="007B636C">
        <w:rPr>
          <w:rFonts w:ascii="Arial" w:hAnsi="Arial" w:cs="Arial"/>
          <w:color w:val="2A2A2A"/>
          <w:shd w:val="clear" w:color="auto" w:fill="FFFFFF"/>
        </w:rPr>
        <w:t>, Volume 36, Issue 1, Pages 143–146, </w:t>
      </w:r>
      <w:hyperlink r:id="rId15" w:history="1">
        <w:r w:rsidRPr="007B636C">
          <w:rPr>
            <w:rFonts w:ascii="Arial" w:hAnsi="Arial" w:cs="Arial"/>
            <w:color w:val="006FB7"/>
            <w:u w:val="single"/>
            <w:bdr w:val="none" w:sz="0" w:space="0" w:color="auto" w:frame="1"/>
            <w:shd w:val="clear" w:color="auto" w:fill="FFFFFF"/>
          </w:rPr>
          <w:t>https://doi.org/10.1093/applin/amu073</w:t>
        </w:r>
      </w:hyperlink>
      <w: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Pr>
          <w:rFonts w:ascii="Arial" w:eastAsia="Times New Roman" w:hAnsi="Arial" w:cs="Arial"/>
          <w:color w:val="333333"/>
          <w:kern w:val="0"/>
          <w:lang w:eastAsia="en-GB"/>
          <w14:ligatures w14:val="none"/>
        </w:rPr>
        <w:t>4</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2803186D" w14:textId="77777777" w:rsidR="00743376" w:rsidRPr="002919A7" w:rsidRDefault="00743376" w:rsidP="009D099F">
      <w:pPr>
        <w:spacing w:before="100" w:beforeAutospacing="1" w:after="100" w:afterAutospacing="1" w:line="240" w:lineRule="auto"/>
        <w:rPr>
          <w:rFonts w:ascii="Arial" w:eastAsia="Times New Roman" w:hAnsi="Arial" w:cs="Arial"/>
          <w:kern w:val="0"/>
          <w:lang w:eastAsia="en-GB"/>
          <w14:ligatures w14:val="none"/>
        </w:rPr>
      </w:pPr>
      <w:r w:rsidRPr="009D099F">
        <w:rPr>
          <w:rFonts w:ascii="Arial" w:hAnsi="Arial" w:cs="Arial"/>
          <w:color w:val="333333"/>
          <w:shd w:val="clear" w:color="auto" w:fill="FFFFFF"/>
        </w:rPr>
        <w:t>Castles, A., Rastle, K., &amp; Nation, K. (2018). Ending the Reading Wars: Reading Acquisition From Novice to Expert. </w:t>
      </w:r>
      <w:r w:rsidRPr="009D099F">
        <w:rPr>
          <w:rFonts w:ascii="Arial" w:hAnsi="Arial" w:cs="Arial"/>
          <w:i/>
          <w:iCs/>
          <w:color w:val="333333"/>
          <w:shd w:val="clear" w:color="auto" w:fill="FFFFFF"/>
        </w:rPr>
        <w:t>Psychological Science in the Public Interest</w:t>
      </w:r>
      <w:r w:rsidRPr="009D099F">
        <w:rPr>
          <w:rFonts w:ascii="Arial" w:hAnsi="Arial" w:cs="Arial"/>
          <w:color w:val="333333"/>
          <w:shd w:val="clear" w:color="auto" w:fill="FFFFFF"/>
        </w:rPr>
        <w:t>, </w:t>
      </w:r>
      <w:r w:rsidRPr="009D099F">
        <w:rPr>
          <w:rFonts w:ascii="Arial" w:hAnsi="Arial" w:cs="Arial"/>
          <w:i/>
          <w:iCs/>
          <w:color w:val="333333"/>
          <w:shd w:val="clear" w:color="auto" w:fill="FFFFFF"/>
        </w:rPr>
        <w:t>19</w:t>
      </w:r>
      <w:r w:rsidRPr="009D099F">
        <w:rPr>
          <w:rFonts w:ascii="Arial" w:hAnsi="Arial" w:cs="Arial"/>
          <w:color w:val="333333"/>
          <w:shd w:val="clear" w:color="auto" w:fill="FFFFFF"/>
        </w:rPr>
        <w:t>(1), 5-51. </w:t>
      </w:r>
      <w:hyperlink r:id="rId16" w:history="1">
        <w:r w:rsidRPr="009D099F">
          <w:rPr>
            <w:rFonts w:ascii="Arial" w:hAnsi="Arial" w:cs="Arial"/>
            <w:color w:val="046FF8"/>
            <w:u w:val="single"/>
            <w:shd w:val="clear" w:color="auto" w:fill="FFFFFF"/>
          </w:rPr>
          <w:t>https://doi.org/10.1177/1529100618772271</w:t>
        </w:r>
      </w:hyperlink>
      <w:r>
        <w:rPr>
          <w:rFonts w:ascii="Arial" w:hAnsi="Arial" w:cs="Arial"/>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Pr>
          <w:rFonts w:ascii="Arial" w:eastAsia="Times New Roman" w:hAnsi="Arial" w:cs="Arial"/>
          <w:color w:val="333333"/>
          <w:kern w:val="0"/>
          <w:lang w:eastAsia="en-GB"/>
          <w14:ligatures w14:val="none"/>
        </w:rPr>
        <w:t>2</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19CCCB7E" w14:textId="77777777" w:rsidR="00743376" w:rsidRPr="00A60749" w:rsidRDefault="00743376" w:rsidP="008A2347">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Cauldwell, R (2018). </w:t>
      </w:r>
      <w:r w:rsidRPr="00E1028F">
        <w:rPr>
          <w:rFonts w:ascii="Arial" w:eastAsia="Times New Roman" w:hAnsi="Arial" w:cs="Arial"/>
          <w:i/>
          <w:iCs/>
          <w:kern w:val="0"/>
          <w:lang w:eastAsia="en-GB"/>
          <w14:ligatures w14:val="none"/>
        </w:rPr>
        <w:t>A Syllabus for Listening: Decoding</w:t>
      </w:r>
      <w:r>
        <w:rPr>
          <w:rFonts w:ascii="Arial" w:eastAsia="Times New Roman" w:hAnsi="Arial" w:cs="Arial"/>
          <w:kern w:val="0"/>
          <w:lang w:eastAsia="en-GB"/>
          <w14:ligatures w14:val="none"/>
        </w:rPr>
        <w:t xml:space="preserve">. Birmingham, UK: </w:t>
      </w:r>
      <w:r>
        <w:rPr>
          <w:rFonts w:ascii="Arial" w:hAnsi="Arial" w:cs="Arial"/>
          <w:color w:val="0F1111"/>
          <w:shd w:val="clear" w:color="auto" w:fill="FFFFFF"/>
        </w:rPr>
        <w:t>S</w:t>
      </w:r>
      <w:r w:rsidRPr="003A5949">
        <w:rPr>
          <w:rFonts w:ascii="Arial" w:hAnsi="Arial" w:cs="Arial"/>
          <w:color w:val="0F1111"/>
          <w:shd w:val="clear" w:color="auto" w:fill="FFFFFF"/>
        </w:rPr>
        <w:t>peechinaction</w:t>
      </w:r>
      <w:r>
        <w:rPr>
          <w:rFonts w:ascii="Arial" w:hAnsi="Arial" w:cs="Arial"/>
          <w:color w:val="0F1111"/>
          <w:shd w:val="clear" w:color="auto" w:fill="FFFFFF"/>
        </w:rPr>
        <w:t>.</w:t>
      </w:r>
    </w:p>
    <w:p w14:paraId="60A75599" w14:textId="77777777" w:rsidR="00743376" w:rsidRPr="001D279F" w:rsidRDefault="00743376" w:rsidP="001D279F">
      <w:pPr>
        <w:spacing w:before="100" w:beforeAutospacing="1" w:after="100" w:afterAutospacing="1" w:line="240" w:lineRule="auto"/>
        <w:rPr>
          <w:rFonts w:ascii="Arial" w:eastAsia="Times New Roman" w:hAnsi="Arial" w:cs="Arial"/>
          <w:kern w:val="0"/>
          <w:lang w:eastAsia="en-GB"/>
          <w14:ligatures w14:val="none"/>
        </w:rPr>
      </w:pPr>
      <w:r w:rsidRPr="001D279F">
        <w:rPr>
          <w:rFonts w:ascii="Arial" w:hAnsi="Arial" w:cs="Arial"/>
          <w:color w:val="232323"/>
          <w:shd w:val="clear" w:color="auto" w:fill="FFFFFF"/>
        </w:rPr>
        <w:t>Clark, H. H., &amp; Fox Tree, J. E. (2002). Using uh and um in Spontaneous Speaking. Cognition, 84, 73-111.</w:t>
      </w:r>
      <w:r w:rsidRPr="001D279F">
        <w:rPr>
          <w:rFonts w:ascii="Arial" w:hAnsi="Arial" w:cs="Arial"/>
          <w:color w:val="232323"/>
          <w:shd w:val="clear" w:color="auto" w:fill="FFFFFF"/>
        </w:rPr>
        <w:t xml:space="preserve"> Available at:</w:t>
      </w:r>
      <w:r w:rsidRPr="001D279F">
        <w:rPr>
          <w:rFonts w:ascii="Arial" w:hAnsi="Arial" w:cs="Arial"/>
          <w:color w:val="232323"/>
        </w:rPr>
        <w:br/>
      </w:r>
      <w:hyperlink r:id="rId17" w:history="1">
        <w:r w:rsidRPr="001D279F">
          <w:rPr>
            <w:rStyle w:val="Hyperlink"/>
            <w:rFonts w:ascii="Arial" w:hAnsi="Arial" w:cs="Arial"/>
            <w:shd w:val="clear" w:color="auto" w:fill="FFFFFF"/>
          </w:rPr>
          <w:t>https://doi.org/10.1016/S0010-0277(02)00017-3</w:t>
        </w:r>
      </w:hyperlink>
      <w:r w:rsidRPr="001D279F">
        <w:rPr>
          <w:rFonts w:ascii="Arial" w:hAnsi="Arial" w:cs="Arial"/>
          <w:color w:val="232323"/>
          <w:shd w:val="clear" w:color="auto" w:fill="FFFFFF"/>
        </w:rPr>
        <w:t xml:space="preserve"> </w:t>
      </w:r>
      <w:r w:rsidRPr="001D279F">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1D279F">
        <w:rPr>
          <w:rFonts w:ascii="Arial" w:eastAsia="Times New Roman" w:hAnsi="Arial" w:cs="Arial"/>
          <w:color w:val="333333"/>
          <w:kern w:val="0"/>
          <w:lang w:eastAsia="en-GB"/>
          <w14:ligatures w14:val="none"/>
        </w:rPr>
        <w:t>1</w:t>
      </w:r>
      <w:r w:rsidRPr="00902CD8">
        <w:rPr>
          <w:rFonts w:ascii="Arial" w:eastAsia="Times New Roman" w:hAnsi="Arial" w:cs="Arial"/>
          <w:color w:val="333333"/>
          <w:kern w:val="0"/>
          <w:lang w:eastAsia="en-GB"/>
          <w14:ligatures w14:val="none"/>
        </w:rPr>
        <w:t xml:space="preserve"> Feb 2025</w:t>
      </w:r>
      <w:r w:rsidRPr="001D279F">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0E8BAA99" w14:textId="77777777" w:rsidR="00743376" w:rsidRPr="009430E5" w:rsidRDefault="00743376" w:rsidP="008A2347">
      <w:pPr>
        <w:spacing w:before="100" w:beforeAutospacing="1" w:after="100" w:afterAutospacing="1" w:line="240" w:lineRule="auto"/>
        <w:rPr>
          <w:rFonts w:ascii="Arial" w:hAnsi="Arial" w:cs="Arial"/>
          <w:shd w:val="clear" w:color="auto" w:fill="FFFFFF"/>
        </w:rPr>
      </w:pPr>
      <w:r w:rsidRPr="009430E5">
        <w:rPr>
          <w:rFonts w:ascii="Arial" w:hAnsi="Arial" w:cs="Arial"/>
          <w:shd w:val="clear" w:color="auto" w:fill="FFFFFF"/>
        </w:rPr>
        <w:t>Cremin, T. (ed.) (2017) </w:t>
      </w:r>
      <w:r w:rsidRPr="009430E5">
        <w:rPr>
          <w:rFonts w:ascii="Arial" w:hAnsi="Arial" w:cs="Arial"/>
          <w:i/>
          <w:iCs/>
          <w:shd w:val="clear" w:color="auto" w:fill="FFFFFF"/>
        </w:rPr>
        <w:t xml:space="preserve">Storytelling in early </w:t>
      </w:r>
      <w:r w:rsidRPr="009430E5">
        <w:rPr>
          <w:rFonts w:ascii="Arial" w:hAnsi="Arial" w:cs="Arial"/>
          <w:i/>
          <w:iCs/>
          <w:shd w:val="clear" w:color="auto" w:fill="FFFFFF"/>
        </w:rPr>
        <w:t>childhood:</w:t>
      </w:r>
      <w:r w:rsidRPr="009430E5">
        <w:rPr>
          <w:rFonts w:ascii="Arial" w:hAnsi="Arial" w:cs="Arial"/>
          <w:i/>
          <w:iCs/>
          <w:shd w:val="clear" w:color="auto" w:fill="FFFFFF"/>
        </w:rPr>
        <w:t xml:space="preserve"> enriching language, literacy and classroom culture</w:t>
      </w:r>
      <w:r w:rsidRPr="009430E5">
        <w:rPr>
          <w:rFonts w:ascii="Arial" w:hAnsi="Arial" w:cs="Arial"/>
          <w:shd w:val="clear" w:color="auto" w:fill="FFFFFF"/>
        </w:rPr>
        <w:t xml:space="preserve">. </w:t>
      </w:r>
      <w:r w:rsidRPr="009430E5">
        <w:rPr>
          <w:rFonts w:ascii="Arial" w:hAnsi="Arial" w:cs="Arial"/>
          <w:shd w:val="clear" w:color="auto" w:fill="FFFFFF"/>
        </w:rPr>
        <w:t>London;</w:t>
      </w:r>
      <w:r w:rsidRPr="009430E5">
        <w:rPr>
          <w:rFonts w:ascii="Arial" w:hAnsi="Arial" w:cs="Arial"/>
          <w:shd w:val="clear" w:color="auto" w:fill="FFFFFF"/>
        </w:rPr>
        <w:t xml:space="preserve"> Routledge, Taylor &amp; Francis Group.</w:t>
      </w:r>
    </w:p>
    <w:p w14:paraId="1F1C6528" w14:textId="77777777" w:rsidR="00743376" w:rsidRPr="007D6A92"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Cremin, T. </w:t>
      </w:r>
      <w:r w:rsidRPr="007D6A92">
        <w:rPr>
          <w:rFonts w:ascii="Arial" w:hAnsi="Arial" w:cs="Arial"/>
          <w:i/>
          <w:iCs/>
          <w:shd w:val="clear" w:color="auto" w:fill="FFFFFF"/>
        </w:rPr>
        <w:t>et al.</w:t>
      </w:r>
      <w:r w:rsidRPr="007D6A92">
        <w:rPr>
          <w:rFonts w:ascii="Arial" w:hAnsi="Arial" w:cs="Arial"/>
          <w:shd w:val="clear" w:color="auto" w:fill="FFFFFF"/>
        </w:rPr>
        <w:t> (2023) </w:t>
      </w:r>
      <w:r w:rsidRPr="007D6A92">
        <w:rPr>
          <w:rFonts w:ascii="Arial" w:hAnsi="Arial" w:cs="Arial"/>
          <w:i/>
          <w:iCs/>
          <w:shd w:val="clear" w:color="auto" w:fill="FFFFFF"/>
        </w:rPr>
        <w:t>Teaching English creatively</w:t>
      </w:r>
      <w:r w:rsidRPr="007D6A92">
        <w:rPr>
          <w:rFonts w:ascii="Arial" w:hAnsi="Arial" w:cs="Arial"/>
          <w:shd w:val="clear" w:color="auto" w:fill="FFFFFF"/>
        </w:rPr>
        <w:t xml:space="preserve">. Third edition. Abingdon, </w:t>
      </w:r>
      <w:r w:rsidRPr="007D6A92">
        <w:rPr>
          <w:rFonts w:ascii="Arial" w:hAnsi="Arial" w:cs="Arial"/>
          <w:shd w:val="clear" w:color="auto" w:fill="FFFFFF"/>
        </w:rPr>
        <w:t>Oxon:</w:t>
      </w:r>
      <w:r w:rsidRPr="007D6A92">
        <w:rPr>
          <w:rFonts w:ascii="Arial" w:hAnsi="Arial" w:cs="Arial"/>
          <w:shd w:val="clear" w:color="auto" w:fill="FFFFFF"/>
        </w:rPr>
        <w:t xml:space="preserve"> Routledge, Taylor &amp; Francis Group.</w:t>
      </w:r>
    </w:p>
    <w:p w14:paraId="1F618481" w14:textId="77777777" w:rsidR="00743376" w:rsidRPr="007D6A92" w:rsidRDefault="00743376" w:rsidP="009A43CD">
      <w:pPr>
        <w:rPr>
          <w:rFonts w:ascii="Arial" w:hAnsi="Arial" w:cs="Arial"/>
          <w:shd w:val="clear" w:color="auto" w:fill="FFFFFF"/>
        </w:rPr>
      </w:pPr>
      <w:r w:rsidRPr="007D6A92">
        <w:rPr>
          <w:rFonts w:ascii="Arial" w:hAnsi="Arial" w:cs="Arial"/>
          <w:shd w:val="clear" w:color="auto" w:fill="FFFFFF"/>
        </w:rPr>
        <w:t xml:space="preserve">Crystal, D. (1995) </w:t>
      </w:r>
      <w:r w:rsidRPr="007D6A92">
        <w:rPr>
          <w:rFonts w:ascii="Arial" w:hAnsi="Arial" w:cs="Arial"/>
          <w:i/>
          <w:iCs/>
          <w:shd w:val="clear" w:color="auto" w:fill="FFFFFF"/>
        </w:rPr>
        <w:t xml:space="preserve">The Cambridge Encyclopaedia Of </w:t>
      </w:r>
      <w:proofErr w:type="gramStart"/>
      <w:r w:rsidRPr="007D6A92">
        <w:rPr>
          <w:rFonts w:ascii="Arial" w:hAnsi="Arial" w:cs="Arial"/>
          <w:i/>
          <w:iCs/>
          <w:shd w:val="clear" w:color="auto" w:fill="FFFFFF"/>
        </w:rPr>
        <w:t>The</w:t>
      </w:r>
      <w:proofErr w:type="gramEnd"/>
      <w:r w:rsidRPr="007D6A92">
        <w:rPr>
          <w:rFonts w:ascii="Arial" w:hAnsi="Arial" w:cs="Arial"/>
          <w:i/>
          <w:iCs/>
          <w:shd w:val="clear" w:color="auto" w:fill="FFFFFF"/>
        </w:rPr>
        <w:t xml:space="preserve"> English Language</w:t>
      </w:r>
      <w:r w:rsidRPr="007D6A92">
        <w:rPr>
          <w:rFonts w:ascii="Arial" w:hAnsi="Arial" w:cs="Arial"/>
          <w:shd w:val="clear" w:color="auto" w:fill="FFFFFF"/>
        </w:rPr>
        <w:t>. Cambridge: Cambridge University Press</w:t>
      </w:r>
    </w:p>
    <w:p w14:paraId="7B24FB96" w14:textId="77777777" w:rsidR="00743376" w:rsidRPr="007D6A92" w:rsidRDefault="00743376" w:rsidP="009A43CD">
      <w:pPr>
        <w:rPr>
          <w:rFonts w:ascii="Arial" w:hAnsi="Arial" w:cs="Arial"/>
          <w:shd w:val="clear" w:color="auto" w:fill="FFFFFF"/>
        </w:rPr>
      </w:pPr>
      <w:r w:rsidRPr="007D6A92">
        <w:rPr>
          <w:rFonts w:ascii="Arial" w:hAnsi="Arial" w:cs="Arial"/>
          <w:shd w:val="clear" w:color="auto" w:fill="FFFFFF"/>
        </w:rPr>
        <w:t>Crystal, D. (2021) </w:t>
      </w:r>
      <w:r w:rsidRPr="007D6A92">
        <w:rPr>
          <w:rFonts w:ascii="Arial" w:hAnsi="Arial" w:cs="Arial"/>
          <w:i/>
          <w:iCs/>
          <w:shd w:val="clear" w:color="auto" w:fill="FFFFFF"/>
        </w:rPr>
        <w:t>David Crystal’s 50 questions about English usage</w:t>
      </w:r>
      <w:r w:rsidRPr="007D6A92">
        <w:rPr>
          <w:rFonts w:ascii="Arial" w:hAnsi="Arial" w:cs="Arial"/>
          <w:shd w:val="clear" w:color="auto" w:fill="FFFFFF"/>
        </w:rPr>
        <w:t>. Cambridge: Cambridge University Press.</w:t>
      </w:r>
    </w:p>
    <w:p w14:paraId="54D4A892" w14:textId="77777777" w:rsidR="00743376" w:rsidRPr="007D6A92" w:rsidRDefault="00743376" w:rsidP="009A43CD">
      <w:pPr>
        <w:rPr>
          <w:rFonts w:ascii="Arial" w:hAnsi="Arial" w:cs="Arial"/>
          <w:shd w:val="clear" w:color="auto" w:fill="FFFFFF"/>
        </w:rPr>
      </w:pPr>
      <w:r w:rsidRPr="007D6A92">
        <w:rPr>
          <w:rFonts w:ascii="Arial" w:hAnsi="Arial" w:cs="Arial"/>
          <w:shd w:val="clear" w:color="auto" w:fill="FFFFFF"/>
        </w:rPr>
        <w:t>Crystal</w:t>
      </w:r>
      <w:r w:rsidRPr="007D6A92">
        <w:rPr>
          <w:rFonts w:ascii="Arial" w:hAnsi="Arial" w:cs="Arial"/>
          <w:shd w:val="clear" w:color="auto" w:fill="FFFFFF"/>
        </w:rPr>
        <w:t>, D.,</w:t>
      </w:r>
      <w:r w:rsidRPr="007D6A92">
        <w:rPr>
          <w:rFonts w:ascii="Arial" w:hAnsi="Arial" w:cs="Arial"/>
          <w:shd w:val="clear" w:color="auto" w:fill="FFFFFF"/>
        </w:rPr>
        <w:t xml:space="preserve"> and Tinnefeld</w:t>
      </w:r>
      <w:r w:rsidRPr="007D6A92">
        <w:rPr>
          <w:rFonts w:ascii="Arial" w:hAnsi="Arial" w:cs="Arial"/>
          <w:shd w:val="clear" w:color="auto" w:fill="FFFFFF"/>
        </w:rPr>
        <w:t>, T.</w:t>
      </w:r>
      <w:r w:rsidRPr="007D6A92">
        <w:rPr>
          <w:rFonts w:ascii="Arial" w:hAnsi="Arial" w:cs="Arial"/>
          <w:shd w:val="clear" w:color="auto" w:fill="FFFFFF"/>
        </w:rPr>
        <w:t xml:space="preserve"> (2023) ‘10 Questions for Professor David Crystal’, </w:t>
      </w:r>
      <w:r w:rsidRPr="007D6A92">
        <w:rPr>
          <w:rFonts w:ascii="Arial" w:hAnsi="Arial" w:cs="Arial"/>
          <w:i/>
          <w:iCs/>
          <w:shd w:val="clear" w:color="auto" w:fill="FFFFFF"/>
        </w:rPr>
        <w:t>Journal of linguistics and language teaching</w:t>
      </w:r>
      <w:r w:rsidRPr="007D6A92">
        <w:rPr>
          <w:rFonts w:ascii="Arial" w:hAnsi="Arial" w:cs="Arial"/>
          <w:shd w:val="clear" w:color="auto" w:fill="FFFFFF"/>
        </w:rPr>
        <w:t>, 14(2), pp. 243–260.</w:t>
      </w:r>
    </w:p>
    <w:p w14:paraId="7D53C546" w14:textId="77777777" w:rsidR="00743376" w:rsidRPr="00743376" w:rsidRDefault="00743376" w:rsidP="002F470E">
      <w:pPr>
        <w:rPr>
          <w:rFonts w:ascii="Arial" w:hAnsi="Arial" w:cs="Arial"/>
          <w:shd w:val="clear" w:color="auto" w:fill="FFFFFF"/>
        </w:rPr>
      </w:pPr>
      <w:r w:rsidRPr="00743376">
        <w:rPr>
          <w:rFonts w:ascii="Arial" w:hAnsi="Arial" w:cs="Arial"/>
          <w:shd w:val="clear" w:color="auto" w:fill="FFFFFF"/>
        </w:rPr>
        <w:t>Daffurn, N. (2019) ‘Foundations of multiliteracies: Reading, writing and talking in the 21st century’, </w:t>
      </w:r>
      <w:r w:rsidRPr="00743376">
        <w:rPr>
          <w:rFonts w:ascii="Arial" w:hAnsi="Arial" w:cs="Arial"/>
          <w:i/>
          <w:iCs/>
          <w:shd w:val="clear" w:color="auto" w:fill="FFFFFF"/>
        </w:rPr>
        <w:t>Literacy learning</w:t>
      </w:r>
      <w:r w:rsidRPr="00743376">
        <w:rPr>
          <w:rFonts w:ascii="Arial" w:hAnsi="Arial" w:cs="Arial"/>
          <w:shd w:val="clear" w:color="auto" w:fill="FFFFFF"/>
        </w:rPr>
        <w:t xml:space="preserve">, 27(3), pp. 58-. </w:t>
      </w:r>
    </w:p>
    <w:p w14:paraId="11C3FF46" w14:textId="77777777" w:rsidR="00743376" w:rsidRDefault="00743376" w:rsidP="00717CFE">
      <w:pPr>
        <w:rPr>
          <w:rFonts w:ascii="Arial" w:eastAsia="Times New Roman" w:hAnsi="Arial" w:cs="Arial"/>
          <w:color w:val="0F1111"/>
          <w:kern w:val="36"/>
          <w:lang w:eastAsia="en-GB"/>
          <w14:ligatures w14:val="none"/>
        </w:rPr>
      </w:pPr>
      <w:r>
        <w:rPr>
          <w:rFonts w:ascii="Arial" w:hAnsi="Arial" w:cs="Arial"/>
        </w:rPr>
        <w:t xml:space="preserve">Dockett, S., Arthur, L., Farmer, S., Beecher, B., and Death, E. (2017) </w:t>
      </w:r>
      <w:r w:rsidRPr="0042498D">
        <w:rPr>
          <w:rFonts w:ascii="Arial" w:eastAsia="Times New Roman" w:hAnsi="Arial" w:cs="Arial"/>
          <w:i/>
          <w:iCs/>
          <w:color w:val="0F1111"/>
          <w:kern w:val="36"/>
          <w:lang w:eastAsia="en-GB"/>
          <w14:ligatures w14:val="none"/>
        </w:rPr>
        <w:t xml:space="preserve">Programming and Planning in Early Childhood </w:t>
      </w:r>
      <w:r w:rsidRPr="00FD7B9E">
        <w:rPr>
          <w:rFonts w:ascii="Arial" w:eastAsia="Times New Roman" w:hAnsi="Arial" w:cs="Arial"/>
          <w:i/>
          <w:iCs/>
          <w:color w:val="0F1111"/>
          <w:kern w:val="36"/>
          <w:lang w:eastAsia="en-GB"/>
          <w14:ligatures w14:val="none"/>
        </w:rPr>
        <w:t>Settings.</w:t>
      </w:r>
      <w:r>
        <w:rPr>
          <w:rFonts w:ascii="Arial" w:eastAsia="Times New Roman" w:hAnsi="Arial" w:cs="Arial"/>
          <w:color w:val="0F1111"/>
          <w:kern w:val="36"/>
          <w:lang w:eastAsia="en-GB"/>
          <w14:ligatures w14:val="none"/>
        </w:rPr>
        <w:t xml:space="preserve"> South Melbourne, Victoria, Australia: Cengage.</w:t>
      </w:r>
    </w:p>
    <w:p w14:paraId="4E129839" w14:textId="77777777" w:rsidR="00743376" w:rsidRDefault="00743376" w:rsidP="00451880">
      <w:pPr>
        <w:shd w:val="clear" w:color="auto" w:fill="FFFFFF"/>
        <w:spacing w:line="240" w:lineRule="auto"/>
        <w:ind w:hanging="480"/>
        <w:textAlignment w:val="baseline"/>
        <w:rPr>
          <w:rFonts w:ascii="Arial" w:eastAsia="Times New Roman" w:hAnsi="Arial" w:cs="Arial"/>
          <w:color w:val="333333"/>
          <w:kern w:val="0"/>
          <w:lang w:eastAsia="en-GB"/>
          <w14:ligatures w14:val="none"/>
        </w:rPr>
      </w:pPr>
      <w:r w:rsidRPr="00D8388D">
        <w:rPr>
          <w:rFonts w:ascii="Arial" w:eastAsia="Times New Roman" w:hAnsi="Arial" w:cs="Arial"/>
          <w:color w:val="333333"/>
          <w:kern w:val="0"/>
          <w:lang w:eastAsia="en-GB"/>
          <w14:ligatures w14:val="none"/>
        </w:rPr>
        <w:t xml:space="preserve">       </w:t>
      </w:r>
      <w:r w:rsidRPr="00902CD8">
        <w:rPr>
          <w:rFonts w:ascii="Arial" w:eastAsia="Times New Roman" w:hAnsi="Arial" w:cs="Arial"/>
          <w:kern w:val="0"/>
          <w:lang w:eastAsia="en-GB"/>
          <w14:ligatures w14:val="none"/>
        </w:rPr>
        <w:t>Donnelly, P. (2019) 'A new guide for guided reading: More guided, more reading', </w:t>
      </w:r>
      <w:r w:rsidRPr="00902CD8">
        <w:rPr>
          <w:rFonts w:ascii="Arial" w:eastAsia="Times New Roman" w:hAnsi="Arial" w:cs="Arial"/>
          <w:i/>
          <w:iCs/>
          <w:kern w:val="0"/>
          <w:bdr w:val="none" w:sz="0" w:space="0" w:color="auto" w:frame="1"/>
          <w:lang w:eastAsia="en-GB"/>
          <w14:ligatures w14:val="none"/>
        </w:rPr>
        <w:t>Practical Literacy</w:t>
      </w:r>
      <w:r w:rsidRPr="00902CD8">
        <w:rPr>
          <w:rFonts w:ascii="Arial" w:eastAsia="Times New Roman" w:hAnsi="Arial" w:cs="Arial"/>
          <w:kern w:val="0"/>
          <w:lang w:eastAsia="en-GB"/>
          <w14:ligatures w14:val="none"/>
        </w:rPr>
        <w:t xml:space="preserve">, 24(1), 9+, </w:t>
      </w:r>
      <w:r w:rsidRPr="007D6A92">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vailable</w:t>
      </w:r>
      <w:r w:rsidRPr="007D6A92">
        <w:rPr>
          <w:rFonts w:ascii="Arial" w:eastAsia="Times New Roman" w:hAnsi="Arial" w:cs="Arial"/>
          <w:kern w:val="0"/>
          <w:lang w:eastAsia="en-GB"/>
          <w14:ligatures w14:val="none"/>
        </w:rPr>
        <w:t xml:space="preserve"> at</w:t>
      </w:r>
      <w:r w:rsidRPr="00902CD8">
        <w:rPr>
          <w:rFonts w:ascii="Arial" w:eastAsia="Times New Roman" w:hAnsi="Arial" w:cs="Arial"/>
          <w:color w:val="333333"/>
          <w:kern w:val="0"/>
          <w:lang w:eastAsia="en-GB"/>
          <w14:ligatures w14:val="none"/>
        </w:rPr>
        <w:t>: </w:t>
      </w:r>
      <w:hyperlink r:id="rId18" w:history="1">
        <w:r w:rsidRPr="00902CD8">
          <w:rPr>
            <w:rStyle w:val="Hyperlink"/>
            <w:rFonts w:ascii="Arial" w:eastAsia="Times New Roman" w:hAnsi="Arial" w:cs="Arial"/>
            <w:kern w:val="0"/>
            <w:lang w:eastAsia="en-GB"/>
            <w14:ligatures w14:val="none"/>
          </w:rPr>
          <w:t>https://link.gale.com/apps/doc/A571514230/AONE?u=anon~a48f757f&amp;sid=googleScholar&amp;xid=91db94c4</w:t>
        </w:r>
      </w:hyperlink>
      <w:r w:rsidRPr="00D8388D">
        <w:rPr>
          <w:rFonts w:ascii="Arial" w:eastAsia="Times New Roman" w:hAnsi="Arial" w:cs="Arial"/>
          <w:color w:val="333333"/>
          <w:kern w:val="0"/>
          <w:lang w:eastAsia="en-GB"/>
          <w14:ligatures w14:val="none"/>
        </w:rPr>
        <w:t xml:space="preserve"> </w:t>
      </w:r>
      <w:r w:rsidRPr="00902CD8">
        <w:rPr>
          <w:rFonts w:ascii="Arial" w:eastAsia="Times New Roman" w:hAnsi="Arial" w:cs="Arial"/>
          <w:color w:val="333333"/>
          <w:kern w:val="0"/>
          <w:lang w:eastAsia="en-GB"/>
          <w14:ligatures w14:val="none"/>
        </w:rPr>
        <w:t> </w:t>
      </w:r>
      <w:bookmarkStart w:id="1" w:name="_Hlk190518813"/>
      <w:r w:rsidRPr="00D8388D">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15 Feb 2025</w:t>
      </w:r>
      <w:r w:rsidRPr="00D8388D">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bookmarkEnd w:id="1"/>
    </w:p>
    <w:p w14:paraId="3A66AEFB" w14:textId="77777777" w:rsidR="00743376" w:rsidRPr="00152057" w:rsidRDefault="00743376" w:rsidP="00803870">
      <w:pPr>
        <w:shd w:val="clear" w:color="auto" w:fill="FFFFFF"/>
        <w:spacing w:after="0" w:line="240" w:lineRule="auto"/>
        <w:rPr>
          <w:rFonts w:ascii="Arial" w:eastAsia="Times New Roman" w:hAnsi="Arial" w:cs="Arial"/>
          <w:kern w:val="0"/>
          <w:lang w:eastAsia="en-GB"/>
          <w14:ligatures w14:val="none"/>
        </w:rPr>
      </w:pPr>
      <w:r w:rsidRPr="00803870">
        <w:rPr>
          <w:rFonts w:ascii="Arial" w:eastAsia="Times New Roman" w:hAnsi="Arial" w:cs="Arial"/>
          <w:kern w:val="0"/>
          <w:lang w:eastAsia="en-GB"/>
          <w14:ligatures w14:val="none"/>
        </w:rPr>
        <w:t>Dreher M.J., Kletzien S.B. (202</w:t>
      </w:r>
      <w:r w:rsidRPr="00152057">
        <w:rPr>
          <w:rFonts w:ascii="Arial" w:eastAsia="Times New Roman" w:hAnsi="Arial" w:cs="Arial"/>
          <w:kern w:val="0"/>
          <w:lang w:eastAsia="en-GB"/>
          <w14:ligatures w14:val="none"/>
        </w:rPr>
        <w:t>0</w:t>
      </w:r>
      <w:r w:rsidRPr="00803870">
        <w:rPr>
          <w:rFonts w:ascii="Arial" w:eastAsia="Times New Roman" w:hAnsi="Arial" w:cs="Arial"/>
          <w:kern w:val="0"/>
          <w:lang w:eastAsia="en-GB"/>
          <w14:ligatures w14:val="none"/>
        </w:rPr>
        <w:t xml:space="preserve">). ″I don’t just want to </w:t>
      </w:r>
      <w:r w:rsidRPr="00152057">
        <w:rPr>
          <w:rFonts w:ascii="Arial" w:eastAsia="Times New Roman" w:hAnsi="Arial" w:cs="Arial"/>
          <w:kern w:val="0"/>
          <w:lang w:eastAsia="en-GB"/>
          <w14:ligatures w14:val="none"/>
        </w:rPr>
        <w:t>read;</w:t>
      </w:r>
      <w:r w:rsidRPr="00803870">
        <w:rPr>
          <w:rFonts w:ascii="Arial" w:eastAsia="Times New Roman" w:hAnsi="Arial" w:cs="Arial"/>
          <w:kern w:val="0"/>
          <w:lang w:eastAsia="en-GB"/>
          <w14:ligatures w14:val="none"/>
        </w:rPr>
        <w:t xml:space="preserve"> I want to learn something″: Best practices for using informational texts to build young children’s conceptual knowledge. In Kuhn M.R., Dreher M.J. (Eds.), </w:t>
      </w:r>
      <w:r w:rsidRPr="00803870">
        <w:rPr>
          <w:rFonts w:ascii="Arial" w:eastAsia="Times New Roman" w:hAnsi="Arial" w:cs="Arial"/>
          <w:i/>
          <w:iCs/>
          <w:kern w:val="0"/>
          <w:lang w:eastAsia="en-GB"/>
          <w14:ligatures w14:val="none"/>
        </w:rPr>
        <w:t>Developing conceptual knowledge through oral and written language</w:t>
      </w:r>
      <w:r w:rsidRPr="00803870">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New York:</w:t>
      </w:r>
      <w:r w:rsidRPr="00803870">
        <w:rPr>
          <w:rFonts w:ascii="Arial" w:eastAsia="Times New Roman" w:hAnsi="Arial" w:cs="Arial"/>
          <w:kern w:val="0"/>
          <w:lang w:eastAsia="en-GB"/>
          <w14:ligatures w14:val="none"/>
        </w:rPr>
        <w:t xml:space="preserve"> Guilford Press.</w:t>
      </w:r>
    </w:p>
    <w:p w14:paraId="105398B8" w14:textId="199FDF91" w:rsidR="00743376" w:rsidRPr="001521D7" w:rsidRDefault="00743376" w:rsidP="00DF1198">
      <w:pPr>
        <w:rPr>
          <w:rFonts w:ascii="Arial" w:hAnsi="Arial" w:cs="Arial"/>
          <w:color w:val="3A3A3A"/>
          <w:shd w:val="clear" w:color="auto" w:fill="FFFFFF"/>
        </w:rPr>
      </w:pPr>
      <w:r w:rsidRPr="001521D7">
        <w:rPr>
          <w:rFonts w:ascii="Arial" w:hAnsi="Arial" w:cs="Arial"/>
          <w:color w:val="3A3A3A"/>
          <w:shd w:val="clear" w:color="auto" w:fill="FFFFFF"/>
        </w:rPr>
        <w:t>Dunn, J. </w:t>
      </w:r>
      <w:r w:rsidRPr="001521D7">
        <w:rPr>
          <w:rFonts w:ascii="Arial" w:hAnsi="Arial" w:cs="Arial"/>
          <w:i/>
          <w:iCs/>
          <w:color w:val="3A3A3A"/>
          <w:shd w:val="clear" w:color="auto" w:fill="FFFFFF"/>
        </w:rPr>
        <w:t>et al.</w:t>
      </w:r>
      <w:r w:rsidRPr="001521D7">
        <w:rPr>
          <w:rFonts w:ascii="Arial" w:hAnsi="Arial" w:cs="Arial"/>
          <w:color w:val="3A3A3A"/>
          <w:shd w:val="clear" w:color="auto" w:fill="FFFFFF"/>
        </w:rPr>
        <w:t> (2018) ‘“It’s more funner than doing work”: children’s perspectives on using tablet computers in the early years of school’, </w:t>
      </w:r>
      <w:r w:rsidRPr="001521D7">
        <w:rPr>
          <w:rFonts w:ascii="Arial" w:hAnsi="Arial" w:cs="Arial"/>
          <w:i/>
          <w:iCs/>
          <w:color w:val="3A3A3A"/>
          <w:shd w:val="clear" w:color="auto" w:fill="FFFFFF"/>
        </w:rPr>
        <w:t>Early child development and care</w:t>
      </w:r>
      <w:r w:rsidRPr="001521D7">
        <w:rPr>
          <w:rFonts w:ascii="Arial" w:hAnsi="Arial" w:cs="Arial"/>
          <w:color w:val="3A3A3A"/>
          <w:shd w:val="clear" w:color="auto" w:fill="FFFFFF"/>
        </w:rPr>
        <w:t xml:space="preserve">, 188(6), pp. 819–831. Available at: </w:t>
      </w:r>
      <w:hyperlink r:id="rId19" w:history="1">
        <w:r w:rsidRPr="001521D7">
          <w:rPr>
            <w:rStyle w:val="Hyperlink"/>
            <w:rFonts w:ascii="Arial" w:hAnsi="Arial" w:cs="Arial"/>
            <w:shd w:val="clear" w:color="auto" w:fill="FFFFFF"/>
          </w:rPr>
          <w:t>https://doi.org/10.1080/03004430.2016.1238824</w:t>
        </w:r>
      </w:hyperlink>
      <w:r w:rsidRPr="001521D7">
        <w:rPr>
          <w:rFonts w:ascii="Arial" w:hAnsi="Arial" w:cs="Arial"/>
          <w:color w:val="3A3A3A"/>
          <w:shd w:val="clear" w:color="auto" w:fill="FFFFFF"/>
        </w:rPr>
        <w:t xml:space="preserve">.  </w:t>
      </w:r>
      <w:r>
        <w:rPr>
          <w:rFonts w:ascii="Arial" w:hAnsi="Arial" w:cs="Arial"/>
          <w:color w:val="3A3A3A"/>
          <w:shd w:val="clear" w:color="auto" w:fill="FFFFFF"/>
        </w:rPr>
        <w:t>(Accessed 18 February 2025)</w:t>
      </w:r>
    </w:p>
    <w:p w14:paraId="721693E5" w14:textId="77777777" w:rsidR="00743376" w:rsidRPr="00A60749"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Edwards, D., </w:t>
      </w:r>
      <w:r w:rsidRPr="00883B57">
        <w:rPr>
          <w:rFonts w:ascii="Arial" w:eastAsia="Times New Roman" w:hAnsi="Arial" w:cs="Arial"/>
          <w:kern w:val="0"/>
          <w:lang w:eastAsia="en-GB"/>
          <w14:ligatures w14:val="none"/>
        </w:rPr>
        <w:t xml:space="preserve">&amp; Mercer, N. </w:t>
      </w:r>
      <w:r w:rsidRPr="00A60749">
        <w:rPr>
          <w:rFonts w:ascii="Arial" w:eastAsia="Times New Roman" w:hAnsi="Arial" w:cs="Arial"/>
          <w:kern w:val="0"/>
          <w:lang w:eastAsia="en-GB"/>
          <w14:ligatures w14:val="none"/>
        </w:rPr>
        <w:t>(</w:t>
      </w:r>
      <w:r>
        <w:rPr>
          <w:rFonts w:ascii="Arial" w:eastAsia="Times New Roman" w:hAnsi="Arial" w:cs="Arial"/>
          <w:kern w:val="0"/>
          <w:lang w:eastAsia="en-GB"/>
          <w14:ligatures w14:val="none"/>
        </w:rPr>
        <w:t>2012</w:t>
      </w:r>
      <w:r w:rsidRPr="00A60749">
        <w:rPr>
          <w:rFonts w:ascii="Arial" w:eastAsia="Times New Roman" w:hAnsi="Arial" w:cs="Arial"/>
          <w:kern w:val="0"/>
          <w:lang w:eastAsia="en-GB"/>
          <w14:ligatures w14:val="none"/>
        </w:rPr>
        <w:t xml:space="preserve">). </w:t>
      </w:r>
      <w:r w:rsidRPr="00A60749">
        <w:rPr>
          <w:rFonts w:ascii="Arial" w:eastAsia="Times New Roman" w:hAnsi="Arial" w:cs="Arial"/>
          <w:i/>
          <w:iCs/>
          <w:kern w:val="0"/>
          <w:lang w:eastAsia="en-GB"/>
          <w14:ligatures w14:val="none"/>
        </w:rPr>
        <w:t>Common knowledge: The development of understanding in the classroom</w:t>
      </w:r>
      <w:r>
        <w:rPr>
          <w:rFonts w:ascii="Arial" w:eastAsia="Times New Roman" w:hAnsi="Arial" w:cs="Arial"/>
          <w:i/>
          <w:iCs/>
          <w:kern w:val="0"/>
          <w:lang w:eastAsia="en-GB"/>
          <w14:ligatures w14:val="none"/>
        </w:rPr>
        <w:t xml:space="preserve">. </w:t>
      </w:r>
      <w:r>
        <w:rPr>
          <w:rFonts w:ascii="Arial" w:eastAsia="Times New Roman" w:hAnsi="Arial" w:cs="Arial"/>
          <w:kern w:val="0"/>
          <w:lang w:eastAsia="en-GB"/>
          <w14:ligatures w14:val="none"/>
        </w:rPr>
        <w:t>Abingdon, Oxon:</w:t>
      </w:r>
      <w:r w:rsidRPr="00A60749">
        <w:rPr>
          <w:rFonts w:ascii="Arial" w:eastAsia="Times New Roman" w:hAnsi="Arial" w:cs="Arial"/>
          <w:kern w:val="0"/>
          <w:lang w:eastAsia="en-GB"/>
          <w14:ligatures w14:val="none"/>
        </w:rPr>
        <w:t xml:space="preserve"> </w:t>
      </w:r>
      <w:r w:rsidRPr="00E42582">
        <w:rPr>
          <w:rFonts w:ascii="Arial" w:hAnsi="Arial" w:cs="Arial"/>
          <w:color w:val="0F1111"/>
          <w:shd w:val="clear" w:color="auto" w:fill="FFFFFF"/>
        </w:rPr>
        <w:t xml:space="preserve"> </w:t>
      </w:r>
      <w:r>
        <w:rPr>
          <w:rFonts w:ascii="Arial" w:hAnsi="Arial" w:cs="Arial"/>
          <w:color w:val="0F1111"/>
          <w:shd w:val="clear" w:color="auto" w:fill="FFFFFF"/>
        </w:rPr>
        <w:t>Routledge</w:t>
      </w:r>
    </w:p>
    <w:p w14:paraId="6734BC37" w14:textId="77777777" w:rsidR="00743376" w:rsidRPr="001521D7" w:rsidRDefault="00743376" w:rsidP="002F470E">
      <w:pPr>
        <w:rPr>
          <w:rFonts w:ascii="Arial" w:hAnsi="Arial" w:cs="Arial"/>
          <w:color w:val="3A3A3A"/>
          <w:shd w:val="clear" w:color="auto" w:fill="FFFFFF"/>
        </w:rPr>
      </w:pPr>
      <w:r w:rsidRPr="00743376">
        <w:rPr>
          <w:rFonts w:ascii="Arial" w:hAnsi="Arial" w:cs="Arial"/>
          <w:shd w:val="clear" w:color="auto" w:fill="FFFFFF"/>
        </w:rPr>
        <w:t>Evans, J. (ed.) (2020) </w:t>
      </w:r>
      <w:r w:rsidRPr="00743376">
        <w:rPr>
          <w:rFonts w:ascii="Arial" w:hAnsi="Arial" w:cs="Arial"/>
          <w:i/>
          <w:iCs/>
          <w:shd w:val="clear" w:color="auto" w:fill="FFFFFF"/>
        </w:rPr>
        <w:t>Talking beyond the page: reading and responding to picturebooks</w:t>
      </w:r>
      <w:r w:rsidRPr="00743376">
        <w:rPr>
          <w:rFonts w:ascii="Arial" w:hAnsi="Arial" w:cs="Arial"/>
          <w:shd w:val="clear" w:color="auto" w:fill="FFFFFF"/>
        </w:rPr>
        <w:t xml:space="preserve">. 1st. Edition. London: Routledge. Available at: </w:t>
      </w:r>
      <w:hyperlink r:id="rId20" w:history="1">
        <w:r w:rsidRPr="001521D7">
          <w:rPr>
            <w:rStyle w:val="Hyperlink"/>
            <w:rFonts w:ascii="Arial" w:hAnsi="Arial" w:cs="Arial"/>
            <w:shd w:val="clear" w:color="auto" w:fill="FFFFFF"/>
          </w:rPr>
          <w:t>https://doi.org/10.4324/9781003061151</w:t>
        </w:r>
      </w:hyperlink>
      <w:bookmarkStart w:id="2" w:name="_Hlk190263339"/>
      <w:r w:rsidRPr="001521D7">
        <w:rPr>
          <w:rFonts w:ascii="Arial" w:hAnsi="Arial" w:cs="Arial"/>
          <w:color w:val="3A3A3A"/>
          <w:shd w:val="clear" w:color="auto" w:fill="FFFFFF"/>
        </w:rPr>
        <w:t xml:space="preserve">. </w:t>
      </w:r>
      <w:r>
        <w:rPr>
          <w:rFonts w:ascii="Arial" w:hAnsi="Arial" w:cs="Arial"/>
          <w:color w:val="3A3A3A"/>
          <w:shd w:val="clear" w:color="auto" w:fill="FFFFFF"/>
        </w:rPr>
        <w:t>(Accessed 18 February 2025)</w:t>
      </w:r>
    </w:p>
    <w:bookmarkEnd w:id="2"/>
    <w:p w14:paraId="6D2565EA" w14:textId="77777777" w:rsidR="00743376" w:rsidRPr="00A60749"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5C28D9">
        <w:rPr>
          <w:rFonts w:ascii="Arial" w:hAnsi="Arial" w:cs="Arial"/>
          <w:color w:val="000000"/>
          <w:shd w:val="clear" w:color="auto" w:fill="FFFFFF"/>
        </w:rPr>
        <w:t>Fisher, D., &amp; Lapp, D. (Eds.). (2023). Handbook of Research on Teaching the English Language Arts (5th ed.).</w:t>
      </w:r>
      <w:r w:rsidRPr="005C28D9">
        <w:rPr>
          <w:rFonts w:ascii="Arial" w:hAnsi="Arial" w:cs="Arial"/>
          <w:color w:val="000000"/>
          <w:shd w:val="clear" w:color="auto" w:fill="FFFFFF"/>
        </w:rPr>
        <w:t xml:space="preserve"> New York</w:t>
      </w:r>
      <w:r w:rsidRPr="005C28D9">
        <w:rPr>
          <w:rFonts w:ascii="Arial" w:hAnsi="Arial" w:cs="Arial"/>
          <w:color w:val="000000"/>
          <w:shd w:val="clear" w:color="auto" w:fill="FFFFFF"/>
        </w:rPr>
        <w:t xml:space="preserve"> Routledge.</w:t>
      </w:r>
      <w:r w:rsidRPr="005C28D9">
        <w:rPr>
          <w:rFonts w:ascii="Arial" w:hAnsi="Arial" w:cs="Arial"/>
          <w:color w:val="000000"/>
          <w:shd w:val="clear" w:color="auto" w:fill="FFFFFF"/>
        </w:rPr>
        <w:t xml:space="preserve"> Available at:</w:t>
      </w:r>
      <w:r w:rsidRPr="005C28D9">
        <w:rPr>
          <w:rFonts w:ascii="Arial" w:hAnsi="Arial" w:cs="Arial"/>
          <w:color w:val="000000"/>
          <w:shd w:val="clear" w:color="auto" w:fill="FFFFFF"/>
        </w:rPr>
        <w:t xml:space="preserve"> </w:t>
      </w:r>
      <w:hyperlink r:id="rId21" w:history="1">
        <w:r w:rsidRPr="005C28D9">
          <w:rPr>
            <w:rStyle w:val="Hyperlink"/>
            <w:rFonts w:ascii="Arial" w:hAnsi="Arial" w:cs="Arial"/>
            <w:shd w:val="clear" w:color="auto" w:fill="FFFFFF"/>
          </w:rPr>
          <w:t>https://doi.org/10.4324/9781003334392</w:t>
        </w:r>
      </w:hyperlink>
      <w:r w:rsidRPr="005C28D9">
        <w:rPr>
          <w:rFonts w:ascii="Arial" w:hAnsi="Arial" w:cs="Arial"/>
          <w:color w:val="000000"/>
          <w:shd w:val="clear" w:color="auto" w:fill="FFFFFF"/>
        </w:rPr>
        <w:t xml:space="preserve"> </w:t>
      </w:r>
      <w:r w:rsidRPr="005C28D9">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 xml:space="preserve">ccessed </w:t>
      </w:r>
      <w:r w:rsidRPr="005C28D9">
        <w:rPr>
          <w:rFonts w:ascii="Arial" w:eastAsia="Times New Roman" w:hAnsi="Arial" w:cs="Arial"/>
          <w:color w:val="333333"/>
          <w:kern w:val="0"/>
          <w:lang w:eastAsia="en-GB"/>
          <w14:ligatures w14:val="none"/>
        </w:rPr>
        <w:t>09</w:t>
      </w:r>
      <w:r w:rsidRPr="00902CD8">
        <w:rPr>
          <w:rFonts w:ascii="Arial" w:eastAsia="Times New Roman" w:hAnsi="Arial" w:cs="Arial"/>
          <w:color w:val="333333"/>
          <w:kern w:val="0"/>
          <w:lang w:eastAsia="en-GB"/>
          <w14:ligatures w14:val="none"/>
        </w:rPr>
        <w:t xml:space="preserve"> Feb 2025</w:t>
      </w:r>
      <w:r w:rsidRPr="005C28D9">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4EC3BD57" w14:textId="77777777" w:rsidR="00743376" w:rsidRPr="00451880" w:rsidRDefault="00743376" w:rsidP="008A2347">
      <w:pPr>
        <w:spacing w:before="100" w:beforeAutospacing="1" w:after="100" w:afterAutospacing="1" w:line="240" w:lineRule="auto"/>
        <w:rPr>
          <w:rFonts w:ascii="Arial" w:hAnsi="Arial" w:cs="Arial"/>
          <w:shd w:val="clear" w:color="auto" w:fill="FFFFFF"/>
        </w:rPr>
      </w:pPr>
      <w:r w:rsidRPr="00451880">
        <w:rPr>
          <w:rFonts w:ascii="Arial" w:hAnsi="Arial" w:cs="Arial"/>
          <w:shd w:val="clear" w:color="auto" w:fill="FFFFFF"/>
        </w:rPr>
        <w:t>Gatti, M.C. and Hoffmann, J. (2024) </w:t>
      </w:r>
      <w:r w:rsidRPr="00451880">
        <w:rPr>
          <w:rFonts w:ascii="Arial" w:hAnsi="Arial" w:cs="Arial"/>
          <w:i/>
          <w:iCs/>
          <w:shd w:val="clear" w:color="auto" w:fill="FFFFFF"/>
        </w:rPr>
        <w:t xml:space="preserve">Storytelling As a Cultural </w:t>
      </w:r>
      <w:r w:rsidRPr="00451880">
        <w:rPr>
          <w:rFonts w:ascii="Arial" w:hAnsi="Arial" w:cs="Arial"/>
          <w:i/>
          <w:iCs/>
          <w:shd w:val="clear" w:color="auto" w:fill="FFFFFF"/>
        </w:rPr>
        <w:t>Practice:</w:t>
      </w:r>
      <w:r w:rsidRPr="00451880">
        <w:rPr>
          <w:rFonts w:ascii="Arial" w:hAnsi="Arial" w:cs="Arial"/>
          <w:i/>
          <w:iCs/>
          <w:shd w:val="clear" w:color="auto" w:fill="FFFFFF"/>
        </w:rPr>
        <w:t xml:space="preserve"> Pedagogical and Linguistic Perspectives.</w:t>
      </w:r>
      <w:r w:rsidRPr="00451880">
        <w:rPr>
          <w:rFonts w:ascii="Arial" w:hAnsi="Arial" w:cs="Arial"/>
          <w:shd w:val="clear" w:color="auto" w:fill="FFFFFF"/>
        </w:rPr>
        <w:t> 1st ed. Bern: Peter Lang AG International Academic Publishers.</w:t>
      </w:r>
    </w:p>
    <w:p w14:paraId="46438BD8" w14:textId="77777777" w:rsidR="00743376" w:rsidRPr="00451880" w:rsidRDefault="00743376" w:rsidP="008A2347">
      <w:pPr>
        <w:spacing w:before="100" w:beforeAutospacing="1" w:after="100" w:afterAutospacing="1" w:line="240" w:lineRule="auto"/>
        <w:rPr>
          <w:rFonts w:ascii="Arial" w:hAnsi="Arial" w:cs="Arial"/>
        </w:rPr>
      </w:pPr>
      <w:r w:rsidRPr="00D8388D">
        <w:rPr>
          <w:rFonts w:ascii="Arial" w:hAnsi="Arial" w:cs="Arial"/>
        </w:rPr>
        <w:t xml:space="preserve">Gawne, L. (2020) </w:t>
      </w:r>
      <w:r w:rsidRPr="00D8388D">
        <w:rPr>
          <w:rFonts w:ascii="Arial" w:hAnsi="Arial" w:cs="Arial"/>
          <w:i/>
          <w:iCs/>
        </w:rPr>
        <w:t>Principles, Practices and Priorities of Teaching Reading in the Early Years of Schooling</w:t>
      </w:r>
      <w:r w:rsidRPr="00D8388D">
        <w:rPr>
          <w:rFonts w:ascii="Arial" w:hAnsi="Arial" w:cs="Arial"/>
          <w:i/>
          <w:iCs/>
        </w:rPr>
        <w:t xml:space="preserve">. </w:t>
      </w:r>
      <w:r w:rsidRPr="00D8388D">
        <w:rPr>
          <w:rFonts w:ascii="Arial" w:hAnsi="Arial" w:cs="Arial"/>
        </w:rPr>
        <w:t xml:space="preserve">Melbourne Graduate School of Education </w:t>
      </w:r>
      <w:proofErr w:type="gramStart"/>
      <w:r w:rsidRPr="00D8388D">
        <w:rPr>
          <w:rFonts w:ascii="Arial" w:hAnsi="Arial" w:cs="Arial"/>
        </w:rPr>
        <w:t>The</w:t>
      </w:r>
      <w:proofErr w:type="gramEnd"/>
      <w:r w:rsidRPr="00D8388D">
        <w:rPr>
          <w:rFonts w:ascii="Arial" w:hAnsi="Arial" w:cs="Arial"/>
        </w:rPr>
        <w:t xml:space="preserve"> University of Melbourne</w:t>
      </w:r>
      <w:r w:rsidRPr="00D8388D">
        <w:rPr>
          <w:rFonts w:ascii="Arial" w:hAnsi="Arial" w:cs="Arial"/>
        </w:rPr>
        <w:t xml:space="preserve">. Available at: </w:t>
      </w:r>
      <w:hyperlink r:id="rId22" w:history="1">
        <w:r w:rsidRPr="00D8388D">
          <w:rPr>
            <w:rStyle w:val="Hyperlink"/>
            <w:rFonts w:ascii="Arial" w:hAnsi="Arial" w:cs="Arial"/>
          </w:rPr>
          <w:t>file:///C:/Users/kater/Downloads/f2dbf902-4230-eb11-94d0-0050568d7800_LindaGawne_PrinciplesPracticesandPrioritiesofTeachingReading.pdf</w:t>
        </w:r>
      </w:hyperlink>
      <w:r w:rsidRPr="00D8388D">
        <w:rPr>
          <w:rFonts w:ascii="Arial" w:hAnsi="Arial" w:cs="Arial"/>
        </w:rPr>
        <w:t xml:space="preserve"> </w:t>
      </w:r>
      <w:r w:rsidRPr="00D8388D">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15 Feb 2025</w:t>
      </w:r>
      <w:r w:rsidRPr="00D8388D">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2858C41F" w14:textId="77777777" w:rsidR="00743376" w:rsidRPr="00A60749"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Gee, J. P. (2015). </w:t>
      </w:r>
      <w:r w:rsidRPr="00A60749">
        <w:rPr>
          <w:rFonts w:ascii="Arial" w:eastAsia="Times New Roman" w:hAnsi="Arial" w:cs="Arial"/>
          <w:i/>
          <w:iCs/>
          <w:kern w:val="0"/>
          <w:lang w:eastAsia="en-GB"/>
          <w14:ligatures w14:val="none"/>
        </w:rPr>
        <w:t>Social linguistics and literacies: Ideology in discourses</w:t>
      </w:r>
      <w:r w:rsidRPr="00A60749">
        <w:rPr>
          <w:rFonts w:ascii="Arial" w:eastAsia="Times New Roman" w:hAnsi="Arial" w:cs="Arial"/>
          <w:kern w:val="0"/>
          <w:lang w:eastAsia="en-GB"/>
          <w14:ligatures w14:val="none"/>
        </w:rPr>
        <w:t xml:space="preserve"> (5th ed.). </w:t>
      </w:r>
      <w:r>
        <w:rPr>
          <w:rFonts w:ascii="Arial" w:eastAsia="Times New Roman" w:hAnsi="Arial" w:cs="Arial"/>
          <w:kern w:val="0"/>
          <w:lang w:eastAsia="en-GB"/>
          <w14:ligatures w14:val="none"/>
        </w:rPr>
        <w:t xml:space="preserve">Abingdon, Oxon: </w:t>
      </w:r>
      <w:r w:rsidRPr="00A60749">
        <w:rPr>
          <w:rFonts w:ascii="Arial" w:eastAsia="Times New Roman" w:hAnsi="Arial" w:cs="Arial"/>
          <w:kern w:val="0"/>
          <w:lang w:eastAsia="en-GB"/>
          <w14:ligatures w14:val="none"/>
        </w:rPr>
        <w:t>Routledge.</w:t>
      </w:r>
    </w:p>
    <w:p w14:paraId="7068AD41" w14:textId="77777777" w:rsidR="00743376" w:rsidRDefault="00743376" w:rsidP="00717CFE">
      <w:pPr>
        <w:rPr>
          <w:rFonts w:ascii="Arial" w:eastAsia="Times New Roman" w:hAnsi="Arial" w:cs="Arial"/>
          <w:color w:val="0F1111"/>
          <w:kern w:val="36"/>
          <w:lang w:eastAsia="en-GB"/>
          <w14:ligatures w14:val="none"/>
        </w:rPr>
      </w:pPr>
      <w:r>
        <w:rPr>
          <w:rFonts w:ascii="Arial" w:hAnsi="Arial" w:cs="Arial"/>
        </w:rPr>
        <w:t xml:space="preserve">Gelman, R., Brenneman, K., Macdonald, G., Roman, M. (2009) </w:t>
      </w:r>
      <w:r w:rsidRPr="00FD42D2">
        <w:rPr>
          <w:rFonts w:ascii="Arial" w:eastAsia="Times New Roman" w:hAnsi="Arial" w:cs="Arial"/>
          <w:i/>
          <w:iCs/>
          <w:color w:val="0F1111"/>
          <w:kern w:val="36"/>
          <w:lang w:eastAsia="en-GB"/>
          <w14:ligatures w14:val="none"/>
        </w:rPr>
        <w:t>Preschool Pathways to Science (PrePS): Facilitating Scientific Ways of Thinking, Talking, Doing, and Understanding</w:t>
      </w:r>
      <w:r>
        <w:rPr>
          <w:rFonts w:ascii="Arial" w:eastAsia="Times New Roman" w:hAnsi="Arial" w:cs="Arial"/>
          <w:i/>
          <w:iCs/>
          <w:color w:val="0F1111"/>
          <w:kern w:val="36"/>
          <w:lang w:eastAsia="en-GB"/>
          <w14:ligatures w14:val="none"/>
        </w:rPr>
        <w:t xml:space="preserve">. </w:t>
      </w:r>
      <w:r>
        <w:rPr>
          <w:rFonts w:ascii="Arial" w:eastAsia="Times New Roman" w:hAnsi="Arial" w:cs="Arial"/>
          <w:color w:val="0F1111"/>
          <w:kern w:val="36"/>
          <w:lang w:eastAsia="en-GB"/>
          <w14:ligatures w14:val="none"/>
        </w:rPr>
        <w:t>Baltimore, Maryland, USA: Brookes Publishing Company.</w:t>
      </w:r>
    </w:p>
    <w:p w14:paraId="7ACB8834" w14:textId="77777777" w:rsidR="00743376" w:rsidRPr="00F9121B" w:rsidRDefault="00743376" w:rsidP="00160591">
      <w:pPr>
        <w:pStyle w:val="NormalWeb"/>
        <w:rPr>
          <w:rFonts w:ascii="Arial" w:hAnsi="Arial" w:cs="Arial"/>
          <w:shd w:val="clear" w:color="auto" w:fill="FFFFFF"/>
        </w:rPr>
      </w:pPr>
      <w:bookmarkStart w:id="3" w:name="_Hlk190685194"/>
      <w:r w:rsidRPr="00F9121B">
        <w:rPr>
          <w:rFonts w:ascii="Arial" w:hAnsi="Arial" w:cs="Arial"/>
          <w:shd w:val="clear" w:color="auto" w:fill="FFFFFF"/>
        </w:rPr>
        <w:t>González</w:t>
      </w:r>
      <w:r w:rsidRPr="00F9121B">
        <w:rPr>
          <w:rFonts w:ascii="Cambria Math" w:hAnsi="Cambria Math" w:cs="Cambria Math"/>
          <w:shd w:val="clear" w:color="auto" w:fill="FFFFFF"/>
        </w:rPr>
        <w:t>‐</w:t>
      </w:r>
      <w:r w:rsidRPr="00F9121B">
        <w:rPr>
          <w:rFonts w:ascii="Arial" w:hAnsi="Arial" w:cs="Arial"/>
          <w:shd w:val="clear" w:color="auto" w:fill="FFFFFF"/>
        </w:rPr>
        <w:t xml:space="preserve">Diaz, V., Parr, E. and Nourie, K. (2025) </w:t>
      </w:r>
      <w:bookmarkEnd w:id="3"/>
      <w:r w:rsidRPr="00F9121B">
        <w:rPr>
          <w:rFonts w:ascii="Arial" w:hAnsi="Arial" w:cs="Arial"/>
          <w:shd w:val="clear" w:color="auto" w:fill="FFFFFF"/>
        </w:rPr>
        <w:t>‘Using constructs of “good” writing to develop “a voice of one’s own” in the primary school classroom’, </w:t>
      </w:r>
      <w:r w:rsidRPr="00F9121B">
        <w:rPr>
          <w:rFonts w:ascii="Arial" w:hAnsi="Arial" w:cs="Arial"/>
          <w:i/>
          <w:iCs/>
          <w:shd w:val="clear" w:color="auto" w:fill="FFFFFF"/>
        </w:rPr>
        <w:t>Literacy (Oxford, England)</w:t>
      </w:r>
      <w:r w:rsidRPr="00F9121B">
        <w:rPr>
          <w:rFonts w:ascii="Arial" w:hAnsi="Arial" w:cs="Arial"/>
          <w:shd w:val="clear" w:color="auto" w:fill="FFFFFF"/>
        </w:rPr>
        <w:t xml:space="preserve">, 59(1), pp. 34–54. Available at: </w:t>
      </w:r>
      <w:hyperlink r:id="rId23" w:history="1">
        <w:r w:rsidRPr="00F9121B">
          <w:rPr>
            <w:rStyle w:val="Hyperlink"/>
            <w:rFonts w:ascii="Arial" w:hAnsi="Arial" w:cs="Arial"/>
            <w:color w:val="215E99" w:themeColor="text2" w:themeTint="BF"/>
            <w:shd w:val="clear" w:color="auto" w:fill="FFFFFF"/>
          </w:rPr>
          <w:t>https://doi.org/10.1111/lit.12397</w:t>
        </w:r>
      </w:hyperlink>
      <w:r w:rsidRPr="00F9121B">
        <w:rPr>
          <w:rFonts w:ascii="Arial" w:hAnsi="Arial" w:cs="Arial"/>
          <w:color w:val="215E99" w:themeColor="text2" w:themeTint="BF"/>
          <w:shd w:val="clear" w:color="auto" w:fill="FFFFFF"/>
        </w:rPr>
        <w:t xml:space="preserve">. </w:t>
      </w:r>
      <w:r w:rsidRPr="00F9121B">
        <w:rPr>
          <w:rFonts w:ascii="Arial" w:hAnsi="Arial" w:cs="Arial"/>
          <w:shd w:val="clear" w:color="auto" w:fill="FFFFFF"/>
        </w:rPr>
        <w:t>(Accessed 15 February 2025)</w:t>
      </w:r>
    </w:p>
    <w:p w14:paraId="6D351AD0" w14:textId="77777777" w:rsidR="00743376" w:rsidRDefault="00743376" w:rsidP="00B3617E">
      <w:pPr>
        <w:spacing w:before="100" w:beforeAutospacing="1" w:after="100" w:afterAutospacing="1" w:line="240" w:lineRule="auto"/>
        <w:rPr>
          <w:rFonts w:ascii="Arial" w:eastAsia="Times New Roman" w:hAnsi="Arial" w:cs="Arial"/>
          <w:kern w:val="0"/>
          <w:lang w:eastAsia="en-GB"/>
          <w14:ligatures w14:val="none"/>
        </w:rPr>
      </w:pPr>
      <w:r w:rsidRPr="00477081">
        <w:rPr>
          <w:rFonts w:ascii="Arial" w:hAnsi="Arial" w:cs="Arial"/>
          <w:shd w:val="clear" w:color="auto" w:fill="FFFFFF"/>
        </w:rPr>
        <w:t>G</w:t>
      </w:r>
      <w:r w:rsidRPr="00477081">
        <w:rPr>
          <w:rFonts w:ascii="Arial" w:hAnsi="Arial" w:cs="Arial"/>
          <w:shd w:val="clear" w:color="auto" w:fill="FFFFFF"/>
        </w:rPr>
        <w:t>oswami</w:t>
      </w:r>
      <w:r w:rsidRPr="00477081">
        <w:rPr>
          <w:rFonts w:ascii="Arial" w:hAnsi="Arial" w:cs="Arial"/>
          <w:shd w:val="clear" w:color="auto" w:fill="FFFFFF"/>
        </w:rPr>
        <w:t>, U. (2008) ‘Principles of Learning, Implications for Teaching: A Cognitive Neuroscience Perspective’, </w:t>
      </w:r>
      <w:r w:rsidRPr="00477081">
        <w:rPr>
          <w:rFonts w:ascii="Arial" w:hAnsi="Arial" w:cs="Arial"/>
          <w:i/>
          <w:iCs/>
          <w:shd w:val="clear" w:color="auto" w:fill="FFFFFF"/>
        </w:rPr>
        <w:t>Journal of philosophy of education</w:t>
      </w:r>
      <w:r w:rsidRPr="00477081">
        <w:rPr>
          <w:rFonts w:ascii="Arial" w:hAnsi="Arial" w:cs="Arial"/>
          <w:shd w:val="clear" w:color="auto" w:fill="FFFFFF"/>
        </w:rPr>
        <w:t xml:space="preserve">, 42(3–4), pp. 381–399. Available at: </w:t>
      </w:r>
      <w:hyperlink r:id="rId24" w:history="1">
        <w:r w:rsidRPr="00B3617E">
          <w:rPr>
            <w:rStyle w:val="Hyperlink"/>
            <w:rFonts w:ascii="Arial" w:hAnsi="Arial" w:cs="Arial"/>
            <w:shd w:val="clear" w:color="auto" w:fill="FFFFFF"/>
          </w:rPr>
          <w:t>https://doi.org/10.1111/j.1467-9752.2008.00639.x</w:t>
        </w:r>
      </w:hyperlink>
      <w:r w:rsidRPr="00477081">
        <w:rPr>
          <w:rFonts w:ascii="Arial" w:hAnsi="Arial" w:cs="Arial"/>
          <w:shd w:val="clear" w:color="auto" w:fill="FFFFFF"/>
        </w:rPr>
        <w:t>.</w:t>
      </w:r>
      <w:r w:rsidRPr="00477081">
        <w:rPr>
          <w:rFonts w:ascii="Arial" w:hAnsi="Arial" w:cs="Arial"/>
          <w:shd w:val="clear" w:color="auto" w:fill="FFFFFF"/>
        </w:rPr>
        <w:t xml:space="preserve"> </w:t>
      </w:r>
      <w:bookmarkStart w:id="4" w:name="_Hlk190614572"/>
      <w:r w:rsidRPr="00477081">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477081">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477081">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bookmarkEnd w:id="4"/>
    </w:p>
    <w:p w14:paraId="19961C67" w14:textId="77777777" w:rsidR="007D6A92" w:rsidRPr="00477081" w:rsidRDefault="007D6A92" w:rsidP="00B3617E">
      <w:pPr>
        <w:spacing w:before="100" w:beforeAutospacing="1" w:after="100" w:afterAutospacing="1" w:line="240" w:lineRule="auto"/>
        <w:rPr>
          <w:rFonts w:ascii="Arial" w:eastAsia="Times New Roman" w:hAnsi="Arial" w:cs="Arial"/>
          <w:kern w:val="0"/>
          <w:lang w:eastAsia="en-GB"/>
          <w14:ligatures w14:val="none"/>
        </w:rPr>
      </w:pPr>
    </w:p>
    <w:p w14:paraId="29529B5E" w14:textId="77777777" w:rsidR="00743376" w:rsidRPr="00477081" w:rsidRDefault="00743376" w:rsidP="008A2347">
      <w:pPr>
        <w:spacing w:before="100" w:beforeAutospacing="1" w:after="100" w:afterAutospacing="1" w:line="240" w:lineRule="auto"/>
        <w:rPr>
          <w:rFonts w:ascii="Arial" w:hAnsi="Arial" w:cs="Arial"/>
          <w:shd w:val="clear" w:color="auto" w:fill="FFFFFF"/>
        </w:rPr>
      </w:pPr>
      <w:r w:rsidRPr="00477081">
        <w:rPr>
          <w:rFonts w:ascii="Arial" w:hAnsi="Arial" w:cs="Arial"/>
          <w:shd w:val="clear" w:color="auto" w:fill="FFFFFF"/>
        </w:rPr>
        <w:t xml:space="preserve">Goswami, U., Bryant, P. (2016) Phonological Skills And Learning To Read. Abingdon, Oxon: Routledge. Available at: </w:t>
      </w:r>
      <w:hyperlink r:id="rId25" w:history="1">
        <w:r w:rsidRPr="00BF2835">
          <w:rPr>
            <w:rStyle w:val="Hyperlink"/>
            <w:rFonts w:ascii="Arial" w:hAnsi="Arial" w:cs="Arial"/>
            <w:shd w:val="clear" w:color="auto" w:fill="FFFFFF"/>
          </w:rPr>
          <w:t>file:///C:/Users/kater/Downloads/9781315785110_googlepreview.pdf</w:t>
        </w:r>
      </w:hyperlink>
      <w:r w:rsidRPr="00BF2835">
        <w:rPr>
          <w:rFonts w:ascii="Arial" w:hAnsi="Arial" w:cs="Arial"/>
          <w:color w:val="3A3A3A"/>
          <w:shd w:val="clear" w:color="auto" w:fill="FFFFFF"/>
        </w:rPr>
        <w:t xml:space="preserve"> </w:t>
      </w:r>
      <w:r w:rsidRPr="00BF2835">
        <w:rPr>
          <w:rFonts w:ascii="Arial" w:eastAsia="Times New Roman" w:hAnsi="Arial" w:cs="Arial"/>
          <w:color w:val="333333"/>
          <w:kern w:val="0"/>
          <w:lang w:eastAsia="en-GB"/>
          <w14:ligatures w14:val="none"/>
        </w:rPr>
        <w:t>(</w:t>
      </w:r>
      <w:r w:rsidRPr="00477081">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477081">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477081">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p>
    <w:p w14:paraId="611F3E16" w14:textId="77777777" w:rsidR="00743376" w:rsidRPr="002919A7" w:rsidRDefault="00743376" w:rsidP="002919A7">
      <w:pPr>
        <w:spacing w:before="100" w:beforeAutospacing="1" w:after="100" w:afterAutospacing="1" w:line="240" w:lineRule="auto"/>
        <w:rPr>
          <w:rFonts w:ascii="Arial" w:eastAsia="Times New Roman" w:hAnsi="Arial" w:cs="Arial"/>
          <w:kern w:val="0"/>
          <w:lang w:eastAsia="en-GB"/>
          <w14:ligatures w14:val="none"/>
        </w:rPr>
      </w:pPr>
      <w:bookmarkStart w:id="5" w:name="_Hlk190684165"/>
      <w:r w:rsidRPr="007D6A92">
        <w:rPr>
          <w:rFonts w:ascii="Arial" w:hAnsi="Arial" w:cs="Arial"/>
          <w:shd w:val="clear" w:color="auto" w:fill="FFFFFF"/>
        </w:rPr>
        <w:t xml:space="preserve">Graf Estes, K. and Bowen, S. (2013) </w:t>
      </w:r>
      <w:bookmarkEnd w:id="5"/>
      <w:r w:rsidRPr="007D6A92">
        <w:rPr>
          <w:rFonts w:ascii="Arial" w:hAnsi="Arial" w:cs="Arial"/>
          <w:shd w:val="clear" w:color="auto" w:fill="FFFFFF"/>
        </w:rPr>
        <w:t>‘Learning about sounds contributes to learning about words: Effects of prosody and phonotactics on infant word learning’, </w:t>
      </w:r>
      <w:r w:rsidRPr="007D6A92">
        <w:rPr>
          <w:rFonts w:ascii="Arial" w:hAnsi="Arial" w:cs="Arial"/>
          <w:i/>
          <w:iCs/>
          <w:shd w:val="clear" w:color="auto" w:fill="FFFFFF"/>
        </w:rPr>
        <w:t>Journal of experimental child psychology</w:t>
      </w:r>
      <w:r w:rsidRPr="007D6A92">
        <w:rPr>
          <w:rFonts w:ascii="Arial" w:hAnsi="Arial" w:cs="Arial"/>
          <w:shd w:val="clear" w:color="auto" w:fill="FFFFFF"/>
        </w:rPr>
        <w:t xml:space="preserve">, 114(3), pp. 405–417. Available at: </w:t>
      </w:r>
      <w:hyperlink r:id="rId26" w:history="1">
        <w:r w:rsidRPr="002919A7">
          <w:rPr>
            <w:rStyle w:val="Hyperlink"/>
            <w:rFonts w:ascii="Arial" w:hAnsi="Arial" w:cs="Arial"/>
            <w:shd w:val="clear" w:color="auto" w:fill="FFFFFF"/>
          </w:rPr>
          <w:t>https://doi.org/10.1016/j.jecp.2012.10.002</w:t>
        </w:r>
      </w:hyperlink>
      <w:r w:rsidRPr="002919A7">
        <w:rPr>
          <w:rFonts w:ascii="Arial" w:hAnsi="Arial" w:cs="Arial"/>
          <w:color w:val="3A3A3A"/>
          <w:shd w:val="clear" w:color="auto" w:fill="FFFFFF"/>
        </w:rPr>
        <w:t>.</w:t>
      </w:r>
      <w:r w:rsidRPr="002919A7">
        <w:rPr>
          <w:rFonts w:ascii="Arial" w:hAnsi="Arial" w:cs="Arial"/>
          <w:color w:val="3A3A3A"/>
          <w:shd w:val="clear" w:color="auto" w:fill="FFFFFF"/>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069DC323" w14:textId="77777777" w:rsidR="00743376" w:rsidRPr="002919A7"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Graf Estes, K. and Hurley, K. (2013) ‘Infant-Directed Prosody Helps Infants Map Sounds to Meanings’, </w:t>
      </w:r>
      <w:r w:rsidRPr="007D6A92">
        <w:rPr>
          <w:rFonts w:ascii="Arial" w:hAnsi="Arial" w:cs="Arial"/>
          <w:i/>
          <w:iCs/>
          <w:shd w:val="clear" w:color="auto" w:fill="FFFFFF"/>
        </w:rPr>
        <w:t>Infancy</w:t>
      </w:r>
      <w:r w:rsidRPr="007D6A92">
        <w:rPr>
          <w:rFonts w:ascii="Arial" w:hAnsi="Arial" w:cs="Arial"/>
          <w:shd w:val="clear" w:color="auto" w:fill="FFFFFF"/>
        </w:rPr>
        <w:t xml:space="preserve">, 18(5), pp. 797–824. Available </w:t>
      </w:r>
      <w:r w:rsidRPr="002919A7">
        <w:rPr>
          <w:rFonts w:ascii="Arial" w:hAnsi="Arial" w:cs="Arial"/>
          <w:color w:val="3A3A3A"/>
          <w:shd w:val="clear" w:color="auto" w:fill="FFFFFF"/>
        </w:rPr>
        <w:t xml:space="preserve">at: </w:t>
      </w:r>
      <w:hyperlink r:id="rId27" w:history="1">
        <w:r w:rsidRPr="002919A7">
          <w:rPr>
            <w:rStyle w:val="Hyperlink"/>
            <w:rFonts w:ascii="Arial" w:hAnsi="Arial" w:cs="Arial"/>
            <w:shd w:val="clear" w:color="auto" w:fill="FFFFFF"/>
          </w:rPr>
          <w:t>https://doi.org/10.1111/infa.12006</w:t>
        </w:r>
      </w:hyperlink>
      <w:r w:rsidRPr="002919A7">
        <w:rPr>
          <w:rFonts w:ascii="Arial" w:hAnsi="Arial" w:cs="Arial"/>
          <w:color w:val="3A3A3A"/>
          <w:shd w:val="clear" w:color="auto" w:fill="FFFFFF"/>
        </w:rPr>
        <w:t>.</w:t>
      </w:r>
      <w:r w:rsidRPr="002919A7">
        <w:rPr>
          <w:rFonts w:ascii="Arial" w:hAnsi="Arial" w:cs="Arial"/>
          <w:color w:val="3A3A3A"/>
          <w:shd w:val="clear" w:color="auto" w:fill="FFFFFF"/>
        </w:rPr>
        <w:t xml:space="preserve"> </w:t>
      </w:r>
      <w:bookmarkStart w:id="6" w:name="_Hlk190519835"/>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bookmarkEnd w:id="6"/>
    <w:p w14:paraId="6D53D3D4" w14:textId="77777777" w:rsidR="00743376" w:rsidRDefault="00743376" w:rsidP="00717CFE">
      <w:pPr>
        <w:rPr>
          <w:rFonts w:ascii="Arial" w:hAnsi="Arial" w:cs="Arial"/>
        </w:rPr>
      </w:pPr>
      <w:r w:rsidRPr="002036A2">
        <w:rPr>
          <w:rFonts w:ascii="Arial" w:hAnsi="Arial" w:cs="Arial"/>
          <w:color w:val="333333"/>
          <w:shd w:val="clear" w:color="auto" w:fill="FFFFFF"/>
        </w:rPr>
        <w:t>Graham, S. (2022). Self-efficacy and language learning – what it is and what it isn’t. </w:t>
      </w:r>
      <w:r w:rsidRPr="002036A2">
        <w:rPr>
          <w:rFonts w:ascii="Arial" w:hAnsi="Arial" w:cs="Arial"/>
          <w:i/>
          <w:iCs/>
          <w:color w:val="333333"/>
          <w:shd w:val="clear" w:color="auto" w:fill="FFFFFF"/>
        </w:rPr>
        <w:t>The Language Learning Journal</w:t>
      </w:r>
      <w:r w:rsidRPr="002036A2">
        <w:rPr>
          <w:rFonts w:ascii="Arial" w:hAnsi="Arial" w:cs="Arial"/>
          <w:color w:val="333333"/>
          <w:shd w:val="clear" w:color="auto" w:fill="FFFFFF"/>
        </w:rPr>
        <w:t>, </w:t>
      </w:r>
      <w:r w:rsidRPr="002036A2">
        <w:rPr>
          <w:rFonts w:ascii="Arial" w:hAnsi="Arial" w:cs="Arial"/>
          <w:i/>
          <w:iCs/>
          <w:color w:val="333333"/>
          <w:shd w:val="clear" w:color="auto" w:fill="FFFFFF"/>
        </w:rPr>
        <w:t>50</w:t>
      </w:r>
      <w:r w:rsidRPr="002036A2">
        <w:rPr>
          <w:rFonts w:ascii="Arial" w:hAnsi="Arial" w:cs="Arial"/>
          <w:color w:val="333333"/>
          <w:shd w:val="clear" w:color="auto" w:fill="FFFFFF"/>
        </w:rPr>
        <w:t xml:space="preserve">(2), 186–207. </w:t>
      </w:r>
      <w:hyperlink r:id="rId28" w:history="1">
        <w:r w:rsidRPr="002036A2">
          <w:rPr>
            <w:rStyle w:val="Hyperlink"/>
            <w:rFonts w:ascii="Arial" w:hAnsi="Arial" w:cs="Arial"/>
            <w:shd w:val="clear" w:color="auto" w:fill="FFFFFF"/>
          </w:rPr>
          <w:t>https://doi.org/10.1080/09571736.2022.2045679</w:t>
        </w:r>
      </w:hyperlink>
      <w:r w:rsidRPr="002036A2">
        <w:rPr>
          <w:rFonts w:ascii="Arial" w:hAnsi="Arial" w:cs="Arial"/>
          <w:color w:val="333333"/>
          <w:shd w:val="clear" w:color="auto" w:fill="FFFFFF"/>
        </w:rPr>
        <w:t xml:space="preserve"> </w:t>
      </w:r>
      <w:r>
        <w:rPr>
          <w:rFonts w:ascii="Arial" w:hAnsi="Arial" w:cs="Arial"/>
        </w:rPr>
        <w:t>(Accessed 16 February 2025)</w:t>
      </w:r>
    </w:p>
    <w:p w14:paraId="43F25C1C" w14:textId="77777777" w:rsidR="00743376" w:rsidRPr="00A60749" w:rsidRDefault="00743376" w:rsidP="009D1BDB">
      <w:pPr>
        <w:spacing w:before="100" w:beforeAutospacing="1" w:after="100" w:afterAutospacing="1" w:line="240" w:lineRule="auto"/>
        <w:rPr>
          <w:rFonts w:ascii="Arial" w:eastAsia="Times New Roman" w:hAnsi="Arial" w:cs="Arial"/>
          <w:kern w:val="0"/>
          <w:lang w:eastAsia="en-GB"/>
          <w14:ligatures w14:val="none"/>
        </w:rPr>
      </w:pPr>
      <w:r w:rsidRPr="009D1BDB">
        <w:rPr>
          <w:rFonts w:ascii="Arial" w:hAnsi="Arial" w:cs="Arial"/>
        </w:rPr>
        <w:t>Gregersen</w:t>
      </w:r>
      <w:r w:rsidRPr="009D1BDB">
        <w:rPr>
          <w:rFonts w:ascii="Arial" w:hAnsi="Arial" w:cs="Arial"/>
        </w:rPr>
        <w:t xml:space="preserve">, T., </w:t>
      </w:r>
      <w:r w:rsidRPr="009D1BDB">
        <w:rPr>
          <w:rFonts w:ascii="Arial" w:hAnsi="Arial" w:cs="Arial"/>
        </w:rPr>
        <w:t>Mercer</w:t>
      </w:r>
      <w:r w:rsidRPr="009D1BDB">
        <w:rPr>
          <w:rFonts w:ascii="Arial" w:hAnsi="Arial" w:cs="Arial"/>
        </w:rPr>
        <w:t>, S. (eds) (2022</w:t>
      </w:r>
      <w:r w:rsidRPr="009D1BDB">
        <w:rPr>
          <w:rFonts w:ascii="Arial" w:hAnsi="Arial" w:cs="Arial"/>
          <w:i/>
          <w:iCs/>
        </w:rPr>
        <w:t xml:space="preserve">) </w:t>
      </w:r>
      <w:r w:rsidRPr="009D1BDB">
        <w:rPr>
          <w:rFonts w:ascii="Arial" w:hAnsi="Arial" w:cs="Arial"/>
          <w:i/>
          <w:iCs/>
        </w:rPr>
        <w:t>T</w:t>
      </w:r>
      <w:r w:rsidRPr="009D1BDB">
        <w:rPr>
          <w:rFonts w:ascii="Arial" w:hAnsi="Arial" w:cs="Arial"/>
          <w:i/>
          <w:iCs/>
        </w:rPr>
        <w:t>he</w:t>
      </w:r>
      <w:r w:rsidRPr="009D1BDB">
        <w:rPr>
          <w:rFonts w:ascii="Arial" w:hAnsi="Arial" w:cs="Arial"/>
          <w:i/>
          <w:iCs/>
        </w:rPr>
        <w:t xml:space="preserve"> R</w:t>
      </w:r>
      <w:r w:rsidRPr="009D1BDB">
        <w:rPr>
          <w:rFonts w:ascii="Arial" w:hAnsi="Arial" w:cs="Arial"/>
          <w:i/>
          <w:iCs/>
        </w:rPr>
        <w:t>outledge</w:t>
      </w:r>
      <w:r w:rsidRPr="009D1BDB">
        <w:rPr>
          <w:rFonts w:ascii="Arial" w:hAnsi="Arial" w:cs="Arial"/>
          <w:i/>
          <w:iCs/>
        </w:rPr>
        <w:t xml:space="preserve"> H</w:t>
      </w:r>
      <w:r w:rsidRPr="009D1BDB">
        <w:rPr>
          <w:rFonts w:ascii="Arial" w:hAnsi="Arial" w:cs="Arial"/>
          <w:i/>
          <w:iCs/>
        </w:rPr>
        <w:t>andbook</w:t>
      </w:r>
      <w:r w:rsidRPr="009D1BDB">
        <w:rPr>
          <w:rFonts w:ascii="Arial" w:hAnsi="Arial" w:cs="Arial"/>
          <w:i/>
          <w:iCs/>
        </w:rPr>
        <w:t xml:space="preserve"> </w:t>
      </w:r>
      <w:r w:rsidRPr="009D1BDB">
        <w:rPr>
          <w:rFonts w:ascii="Arial" w:hAnsi="Arial" w:cs="Arial"/>
          <w:i/>
          <w:iCs/>
        </w:rPr>
        <w:t>of</w:t>
      </w:r>
      <w:r w:rsidRPr="009D1BDB">
        <w:rPr>
          <w:rFonts w:ascii="Arial" w:hAnsi="Arial" w:cs="Arial"/>
          <w:i/>
          <w:iCs/>
        </w:rPr>
        <w:t xml:space="preserve"> </w:t>
      </w:r>
      <w:r w:rsidRPr="009D1BDB">
        <w:rPr>
          <w:rFonts w:ascii="Arial" w:hAnsi="Arial" w:cs="Arial"/>
          <w:i/>
          <w:iCs/>
        </w:rPr>
        <w:t>the</w:t>
      </w:r>
      <w:r w:rsidRPr="009D1BDB">
        <w:rPr>
          <w:rFonts w:ascii="Arial" w:hAnsi="Arial" w:cs="Arial"/>
          <w:i/>
          <w:iCs/>
        </w:rPr>
        <w:t xml:space="preserve"> </w:t>
      </w:r>
      <w:r w:rsidRPr="009D1BDB">
        <w:rPr>
          <w:rFonts w:ascii="Arial" w:hAnsi="Arial" w:cs="Arial"/>
          <w:i/>
          <w:iCs/>
        </w:rPr>
        <w:t>Psychology</w:t>
      </w:r>
      <w:r w:rsidRPr="009D1BDB">
        <w:rPr>
          <w:rFonts w:ascii="Arial" w:hAnsi="Arial" w:cs="Arial"/>
          <w:i/>
          <w:iCs/>
        </w:rPr>
        <w:t xml:space="preserve"> </w:t>
      </w:r>
      <w:r w:rsidRPr="009D1BDB">
        <w:rPr>
          <w:rFonts w:ascii="Arial" w:hAnsi="Arial" w:cs="Arial"/>
          <w:i/>
          <w:iCs/>
        </w:rPr>
        <w:t>of</w:t>
      </w:r>
      <w:r w:rsidRPr="009D1BDB">
        <w:rPr>
          <w:rFonts w:ascii="Arial" w:hAnsi="Arial" w:cs="Arial"/>
          <w:i/>
          <w:iCs/>
        </w:rPr>
        <w:t xml:space="preserve"> L</w:t>
      </w:r>
      <w:r w:rsidRPr="009D1BDB">
        <w:rPr>
          <w:rFonts w:ascii="Arial" w:hAnsi="Arial" w:cs="Arial"/>
          <w:i/>
          <w:iCs/>
        </w:rPr>
        <w:t>anguage</w:t>
      </w:r>
      <w:r w:rsidRPr="009D1BDB">
        <w:rPr>
          <w:rFonts w:ascii="Arial" w:hAnsi="Arial" w:cs="Arial"/>
          <w:i/>
          <w:iCs/>
        </w:rPr>
        <w:t xml:space="preserve"> L</w:t>
      </w:r>
      <w:r w:rsidRPr="009D1BDB">
        <w:rPr>
          <w:rFonts w:ascii="Arial" w:hAnsi="Arial" w:cs="Arial"/>
          <w:i/>
          <w:iCs/>
        </w:rPr>
        <w:t>earning</w:t>
      </w:r>
      <w:r w:rsidRPr="009D1BDB">
        <w:rPr>
          <w:rFonts w:ascii="Arial" w:hAnsi="Arial" w:cs="Arial"/>
          <w:i/>
          <w:iCs/>
        </w:rPr>
        <w:t xml:space="preserve"> </w:t>
      </w:r>
      <w:r w:rsidRPr="009D1BDB">
        <w:rPr>
          <w:rFonts w:ascii="Arial" w:hAnsi="Arial" w:cs="Arial"/>
          <w:i/>
          <w:iCs/>
        </w:rPr>
        <w:t>and</w:t>
      </w:r>
      <w:r w:rsidRPr="009D1BDB">
        <w:rPr>
          <w:rFonts w:ascii="Arial" w:hAnsi="Arial" w:cs="Arial"/>
          <w:i/>
          <w:iCs/>
        </w:rPr>
        <w:t xml:space="preserve"> T</w:t>
      </w:r>
      <w:r w:rsidRPr="009D1BDB">
        <w:rPr>
          <w:rFonts w:ascii="Arial" w:hAnsi="Arial" w:cs="Arial"/>
          <w:i/>
          <w:iCs/>
        </w:rPr>
        <w:t>eaching.</w:t>
      </w:r>
      <w:r w:rsidRPr="009D1BDB">
        <w:rPr>
          <w:rFonts w:ascii="Arial" w:hAnsi="Arial" w:cs="Arial"/>
        </w:rPr>
        <w:t xml:space="preserve"> Abingdon, Oxon: Routledge. Available at:</w:t>
      </w:r>
      <w:r>
        <w:t xml:space="preserve"> </w:t>
      </w:r>
      <w:hyperlink r:id="rId29" w:history="1">
        <w:r w:rsidRPr="00D431E1">
          <w:rPr>
            <w:rStyle w:val="Hyperlink"/>
            <w:rFonts w:ascii="Arial" w:eastAsia="Times New Roman" w:hAnsi="Arial" w:cs="Arial"/>
            <w:kern w:val="0"/>
            <w:lang w:eastAsia="en-GB"/>
            <w14:ligatures w14:val="none"/>
          </w:rPr>
          <w:t>file:///C:/Users/kater/Downloads/10.4324_9780429321498_previewpdf.pdf</w:t>
        </w:r>
      </w:hyperlink>
      <w:r>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(Accessed 14 February 2025)</w:t>
      </w:r>
    </w:p>
    <w:p w14:paraId="43C46DD2" w14:textId="77777777" w:rsidR="00743376" w:rsidRPr="0050724C"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7F2DCC">
        <w:rPr>
          <w:rFonts w:ascii="Arial" w:hAnsi="Arial" w:cs="Arial"/>
          <w:color w:val="000000"/>
          <w:shd w:val="clear" w:color="auto" w:fill="FFFFFF"/>
        </w:rPr>
        <w:t xml:space="preserve">Hübscher, I., Garufi, M., Prieto, P. (2018) Preschoolers use prosodic mitigation strategies to encode polite stance. </w:t>
      </w:r>
      <w:r w:rsidRPr="007F2DCC">
        <w:rPr>
          <w:rFonts w:ascii="Arial" w:hAnsi="Arial" w:cs="Arial"/>
          <w:i/>
          <w:iCs/>
          <w:color w:val="000000"/>
          <w:shd w:val="clear" w:color="auto" w:fill="FFFFFF"/>
        </w:rPr>
        <w:t xml:space="preserve">Proc. Speech </w:t>
      </w:r>
      <w:r w:rsidRPr="007F2DCC">
        <w:rPr>
          <w:rFonts w:ascii="Arial" w:hAnsi="Arial" w:cs="Arial"/>
          <w:i/>
          <w:iCs/>
          <w:color w:val="000000"/>
          <w:shd w:val="clear" w:color="auto" w:fill="FFFFFF"/>
        </w:rPr>
        <w:t>Prosody</w:t>
      </w:r>
      <w:r w:rsidRPr="007F2DCC">
        <w:rPr>
          <w:rFonts w:ascii="Arial" w:hAnsi="Arial" w:cs="Arial"/>
          <w:color w:val="000000"/>
          <w:shd w:val="clear" w:color="auto" w:fill="FFFFFF"/>
        </w:rPr>
        <w:t>, pp.</w:t>
      </w:r>
      <w:r w:rsidRPr="007F2DCC">
        <w:rPr>
          <w:rFonts w:ascii="Arial" w:hAnsi="Arial" w:cs="Arial"/>
          <w:color w:val="000000"/>
          <w:shd w:val="clear" w:color="auto" w:fill="FFFFFF"/>
        </w:rPr>
        <w:t xml:space="preserve"> 255-259, doi: 10.21437/SpeechProsody.2018-52</w:t>
      </w:r>
      <w:r w:rsidRPr="007F2DCC">
        <w:rPr>
          <w:rFonts w:ascii="Arial" w:hAnsi="Arial" w:cs="Arial"/>
          <w:color w:val="000000"/>
          <w:shd w:val="clear" w:color="auto" w:fill="FFFFFF"/>
        </w:rPr>
        <w:t xml:space="preserve"> </w:t>
      </w:r>
      <w:r>
        <w:rPr>
          <w:rFonts w:ascii="Arial" w:hAnsi="Arial" w:cs="Arial"/>
          <w:color w:val="000000"/>
          <w:shd w:val="clear" w:color="auto" w:fill="FFFFFF"/>
        </w:rPr>
        <w:t xml:space="preserve">Available at: </w:t>
      </w:r>
      <w:hyperlink r:id="rId30" w:history="1">
        <w:r w:rsidRPr="001E7B58">
          <w:rPr>
            <w:rStyle w:val="Hyperlink"/>
            <w:rFonts w:ascii="Arial" w:hAnsi="Arial" w:cs="Arial"/>
            <w:shd w:val="clear" w:color="auto" w:fill="FFFFFF"/>
          </w:rPr>
          <w:t>https://www.isca-archive.org/speechprosody_2018/hubscher18_speechprosody.pdf</w:t>
        </w:r>
      </w:hyperlink>
      <w:r>
        <w:rPr>
          <w:rFonts w:ascii="Arial" w:hAnsi="Arial" w:cs="Arial"/>
          <w:color w:val="000000"/>
          <w:shd w:val="clear" w:color="auto" w:fill="FFFFFF"/>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1B85BD1A" w14:textId="77777777" w:rsidR="00743376" w:rsidRPr="007D6A92" w:rsidRDefault="00743376" w:rsidP="008A2347">
      <w:pPr>
        <w:spacing w:before="100" w:beforeAutospacing="1" w:after="100" w:afterAutospacing="1" w:line="240" w:lineRule="auto"/>
        <w:rPr>
          <w:rFonts w:ascii="Arial" w:hAnsi="Arial" w:cs="Arial"/>
          <w:shd w:val="clear" w:color="auto" w:fill="FFFFFF"/>
        </w:rPr>
      </w:pPr>
      <w:r w:rsidRPr="009430E5">
        <w:rPr>
          <w:rFonts w:ascii="Arial" w:hAnsi="Arial" w:cs="Arial"/>
          <w:shd w:val="clear" w:color="auto" w:fill="FFFFFF"/>
        </w:rPr>
        <w:t>Kolb, D.A. (2015) </w:t>
      </w:r>
      <w:r w:rsidRPr="009430E5">
        <w:rPr>
          <w:rFonts w:ascii="Arial" w:hAnsi="Arial" w:cs="Arial"/>
          <w:i/>
          <w:iCs/>
          <w:shd w:val="clear" w:color="auto" w:fill="FFFFFF"/>
        </w:rPr>
        <w:t xml:space="preserve">Experiential </w:t>
      </w:r>
      <w:r w:rsidRPr="009430E5">
        <w:rPr>
          <w:rFonts w:ascii="Arial" w:hAnsi="Arial" w:cs="Arial"/>
          <w:i/>
          <w:iCs/>
          <w:shd w:val="clear" w:color="auto" w:fill="FFFFFF"/>
        </w:rPr>
        <w:t>Learning:</w:t>
      </w:r>
      <w:r w:rsidRPr="009430E5">
        <w:rPr>
          <w:rFonts w:ascii="Arial" w:hAnsi="Arial" w:cs="Arial"/>
          <w:i/>
          <w:iCs/>
          <w:shd w:val="clear" w:color="auto" w:fill="FFFFFF"/>
        </w:rPr>
        <w:t xml:space="preserve"> Experience </w:t>
      </w:r>
      <w:proofErr w:type="gramStart"/>
      <w:r w:rsidRPr="009430E5">
        <w:rPr>
          <w:rFonts w:ascii="Arial" w:hAnsi="Arial" w:cs="Arial"/>
          <w:i/>
          <w:iCs/>
          <w:shd w:val="clear" w:color="auto" w:fill="FFFFFF"/>
        </w:rPr>
        <w:t>As</w:t>
      </w:r>
      <w:proofErr w:type="gramEnd"/>
      <w:r w:rsidRPr="009430E5">
        <w:rPr>
          <w:rFonts w:ascii="Arial" w:hAnsi="Arial" w:cs="Arial"/>
          <w:i/>
          <w:iCs/>
          <w:shd w:val="clear" w:color="auto" w:fill="FFFFFF"/>
        </w:rPr>
        <w:t xml:space="preserve"> the Source of Learning and </w:t>
      </w:r>
      <w:r w:rsidRPr="007D6A92">
        <w:rPr>
          <w:rFonts w:ascii="Arial" w:hAnsi="Arial" w:cs="Arial"/>
          <w:i/>
          <w:iCs/>
          <w:shd w:val="clear" w:color="auto" w:fill="FFFFFF"/>
        </w:rPr>
        <w:t>Development</w:t>
      </w:r>
      <w:r w:rsidRPr="007D6A92">
        <w:rPr>
          <w:rFonts w:ascii="Arial" w:hAnsi="Arial" w:cs="Arial"/>
          <w:shd w:val="clear" w:color="auto" w:fill="FFFFFF"/>
        </w:rPr>
        <w:t>. Second edition. Upper Saddle River, New Jersey: Pearson Education.</w:t>
      </w:r>
    </w:p>
    <w:p w14:paraId="74B45014" w14:textId="77777777" w:rsidR="00743376" w:rsidRPr="0091668C" w:rsidRDefault="00743376" w:rsidP="001B3302">
      <w:pPr>
        <w:shd w:val="clear" w:color="auto" w:fill="FFFFFF"/>
        <w:spacing w:before="240" w:after="240" w:line="240" w:lineRule="auto"/>
        <w:jc w:val="both"/>
        <w:rPr>
          <w:rFonts w:ascii="Arial" w:eastAsia="Times New Roman" w:hAnsi="Arial" w:cs="Arial"/>
          <w:kern w:val="0"/>
          <w:lang w:eastAsia="en-GB"/>
          <w14:ligatures w14:val="none"/>
        </w:rPr>
      </w:pPr>
      <w:r w:rsidRPr="007D6A92">
        <w:rPr>
          <w:rFonts w:ascii="Arial" w:hAnsi="Arial" w:cs="Arial"/>
          <w:shd w:val="clear" w:color="auto" w:fill="FFFFFF"/>
        </w:rPr>
        <w:t>Kozak, S. and Recchia, H. (2019) ‘Reading and the Development of Social Understanding: Implications for the Literacy Classroom’, </w:t>
      </w:r>
      <w:r w:rsidRPr="007D6A92">
        <w:rPr>
          <w:rFonts w:ascii="Arial" w:hAnsi="Arial" w:cs="Arial"/>
          <w:i/>
          <w:iCs/>
          <w:shd w:val="clear" w:color="auto" w:fill="FFFFFF"/>
        </w:rPr>
        <w:t>The Reading teacher</w:t>
      </w:r>
      <w:r w:rsidRPr="007D6A92">
        <w:rPr>
          <w:rFonts w:ascii="Arial" w:hAnsi="Arial" w:cs="Arial"/>
          <w:shd w:val="clear" w:color="auto" w:fill="FFFFFF"/>
        </w:rPr>
        <w:t xml:space="preserve">, 72(5), pp. 569–577. Available at: </w:t>
      </w:r>
      <w:hyperlink r:id="rId31" w:history="1">
        <w:r w:rsidRPr="0091668C">
          <w:rPr>
            <w:rStyle w:val="Hyperlink"/>
            <w:rFonts w:ascii="Arial" w:hAnsi="Arial" w:cs="Arial"/>
            <w:shd w:val="clear" w:color="auto" w:fill="FFFFFF"/>
          </w:rPr>
          <w:t>https://doi.org/10.1002/trtr.1760</w:t>
        </w:r>
      </w:hyperlink>
      <w:r w:rsidRPr="0091668C">
        <w:rPr>
          <w:rFonts w:ascii="Arial" w:hAnsi="Arial" w:cs="Arial"/>
          <w:color w:val="3A3A3A"/>
          <w:shd w:val="clear" w:color="auto" w:fill="FFFFFF"/>
        </w:rPr>
        <w:t>.</w:t>
      </w:r>
      <w:r w:rsidRPr="0091668C">
        <w:rPr>
          <w:rFonts w:ascii="Arial" w:hAnsi="Arial" w:cs="Arial"/>
          <w:color w:val="3A3A3A"/>
          <w:shd w:val="clear" w:color="auto" w:fill="FFFFFF"/>
        </w:rPr>
        <w:t xml:space="preserve"> (Accessed 17 February 2025)</w:t>
      </w:r>
    </w:p>
    <w:p w14:paraId="447113F7" w14:textId="77777777" w:rsidR="00743376" w:rsidRPr="00803870" w:rsidRDefault="00743376" w:rsidP="00803870">
      <w:pPr>
        <w:shd w:val="clear" w:color="auto" w:fill="FFFFFF"/>
        <w:spacing w:after="0" w:line="240" w:lineRule="auto"/>
        <w:rPr>
          <w:rFonts w:ascii="Arial" w:eastAsia="Times New Roman" w:hAnsi="Arial" w:cs="Arial"/>
          <w:color w:val="000000" w:themeColor="text1"/>
          <w:kern w:val="0"/>
          <w:lang w:eastAsia="en-GB"/>
          <w14:ligatures w14:val="none"/>
        </w:rPr>
      </w:pPr>
      <w:bookmarkStart w:id="7" w:name="_Hlk190618601"/>
      <w:r w:rsidRPr="00803870">
        <w:rPr>
          <w:rFonts w:ascii="Arial" w:eastAsia="Times New Roman" w:hAnsi="Arial" w:cs="Arial"/>
          <w:color w:val="000000" w:themeColor="text1"/>
          <w:kern w:val="0"/>
          <w:lang w:eastAsia="en-GB"/>
          <w14:ligatures w14:val="none"/>
        </w:rPr>
        <w:t>Kuhn M.R., Levy L. (2015</w:t>
      </w:r>
      <w:bookmarkEnd w:id="7"/>
      <w:r w:rsidRPr="00803870">
        <w:rPr>
          <w:rFonts w:ascii="Arial" w:eastAsia="Times New Roman" w:hAnsi="Arial" w:cs="Arial"/>
          <w:color w:val="000000" w:themeColor="text1"/>
          <w:kern w:val="0"/>
          <w:lang w:eastAsia="en-GB"/>
          <w14:ligatures w14:val="none"/>
        </w:rPr>
        <w:t>). </w:t>
      </w:r>
      <w:r w:rsidRPr="00803870">
        <w:rPr>
          <w:rFonts w:ascii="Arial" w:eastAsia="Times New Roman" w:hAnsi="Arial" w:cs="Arial"/>
          <w:i/>
          <w:iCs/>
          <w:color w:val="000000" w:themeColor="text1"/>
          <w:kern w:val="0"/>
          <w:lang w:eastAsia="en-GB"/>
          <w14:ligatures w14:val="none"/>
        </w:rPr>
        <w:t>Developing fluent readers: Teaching fluency as a foundational skill. The essential PK-2 literacy library</w:t>
      </w:r>
      <w:r w:rsidRPr="00803870">
        <w:rPr>
          <w:rFonts w:ascii="Arial" w:eastAsia="Times New Roman" w:hAnsi="Arial" w:cs="Arial"/>
          <w:color w:val="000000" w:themeColor="text1"/>
          <w:kern w:val="0"/>
          <w:lang w:eastAsia="en-GB"/>
          <w14:ligatures w14:val="none"/>
        </w:rPr>
        <w:t>.</w:t>
      </w:r>
      <w:r>
        <w:rPr>
          <w:rFonts w:ascii="Arial" w:eastAsia="Times New Roman" w:hAnsi="Arial" w:cs="Arial"/>
          <w:color w:val="000000" w:themeColor="text1"/>
          <w:kern w:val="0"/>
          <w:lang w:eastAsia="en-GB"/>
          <w14:ligatures w14:val="none"/>
        </w:rPr>
        <w:t xml:space="preserve"> New York:</w:t>
      </w:r>
      <w:r w:rsidRPr="00803870">
        <w:rPr>
          <w:rFonts w:ascii="Arial" w:eastAsia="Times New Roman" w:hAnsi="Arial" w:cs="Arial"/>
          <w:color w:val="000000" w:themeColor="text1"/>
          <w:kern w:val="0"/>
          <w:lang w:eastAsia="en-GB"/>
          <w14:ligatures w14:val="none"/>
        </w:rPr>
        <w:t xml:space="preserve"> Guilford Press.</w:t>
      </w:r>
    </w:p>
    <w:p w14:paraId="4117B895" w14:textId="77777777" w:rsidR="00743376" w:rsidRPr="00EB3B31" w:rsidRDefault="00743376" w:rsidP="008A2347">
      <w:pPr>
        <w:spacing w:before="100" w:beforeAutospacing="1" w:after="100" w:afterAutospacing="1" w:line="240" w:lineRule="auto"/>
        <w:rPr>
          <w:rFonts w:ascii="Arial" w:eastAsia="Times New Roman" w:hAnsi="Arial" w:cs="Arial"/>
          <w:color w:val="333333"/>
          <w:kern w:val="0"/>
          <w:lang w:eastAsia="en-GB"/>
          <w14:ligatures w14:val="none"/>
        </w:rPr>
      </w:pPr>
      <w:r w:rsidRPr="00B66D63">
        <w:rPr>
          <w:rFonts w:ascii="Arial" w:hAnsi="Arial" w:cs="Arial"/>
          <w:color w:val="333333"/>
          <w:shd w:val="clear" w:color="auto" w:fill="FFFFFF"/>
        </w:rPr>
        <w:t>Kuhn, M. R., &amp; Stahl, K. A. D. (2022). Teaching reading: Development and differentiation. </w:t>
      </w:r>
      <w:r w:rsidRPr="00B66D63">
        <w:rPr>
          <w:rFonts w:ascii="Arial" w:hAnsi="Arial" w:cs="Arial"/>
          <w:i/>
          <w:iCs/>
          <w:color w:val="333333"/>
          <w:shd w:val="clear" w:color="auto" w:fill="FFFFFF"/>
        </w:rPr>
        <w:t>Phi Delta Kappan</w:t>
      </w:r>
      <w:r w:rsidRPr="00B66D63">
        <w:rPr>
          <w:rFonts w:ascii="Arial" w:hAnsi="Arial" w:cs="Arial"/>
          <w:color w:val="333333"/>
          <w:shd w:val="clear" w:color="auto" w:fill="FFFFFF"/>
        </w:rPr>
        <w:t>, </w:t>
      </w:r>
      <w:r w:rsidRPr="00B66D63">
        <w:rPr>
          <w:rFonts w:ascii="Arial" w:hAnsi="Arial" w:cs="Arial"/>
          <w:i/>
          <w:iCs/>
          <w:color w:val="333333"/>
          <w:shd w:val="clear" w:color="auto" w:fill="FFFFFF"/>
        </w:rPr>
        <w:t>103</w:t>
      </w:r>
      <w:r w:rsidRPr="00B66D63">
        <w:rPr>
          <w:rFonts w:ascii="Arial" w:hAnsi="Arial" w:cs="Arial"/>
          <w:color w:val="333333"/>
          <w:shd w:val="clear" w:color="auto" w:fill="FFFFFF"/>
        </w:rPr>
        <w:t>(8), 25-31.</w:t>
      </w:r>
      <w:r w:rsidRPr="00B66D63">
        <w:rPr>
          <w:rFonts w:ascii="Arial" w:hAnsi="Arial" w:cs="Arial"/>
          <w:color w:val="333333"/>
          <w:shd w:val="clear" w:color="auto" w:fill="FFFFFF"/>
        </w:rPr>
        <w:t xml:space="preserve"> Available at:</w:t>
      </w:r>
      <w:r w:rsidRPr="00B66D63">
        <w:rPr>
          <w:rFonts w:ascii="Arial" w:hAnsi="Arial" w:cs="Arial"/>
          <w:color w:val="333333"/>
          <w:shd w:val="clear" w:color="auto" w:fill="FFFFFF"/>
        </w:rPr>
        <w:t> </w:t>
      </w:r>
      <w:hyperlink r:id="rId32" w:history="1">
        <w:r w:rsidRPr="00B66D63">
          <w:rPr>
            <w:rFonts w:ascii="Arial" w:hAnsi="Arial" w:cs="Arial"/>
            <w:color w:val="046FF8"/>
            <w:u w:val="single"/>
            <w:shd w:val="clear" w:color="auto" w:fill="FFFFFF"/>
          </w:rPr>
          <w:t>https://doi.org/10.1177/00317217221100007</w:t>
        </w:r>
      </w:hyperlink>
      <w:r w:rsidRPr="00B66D63">
        <w:rPr>
          <w:rFonts w:ascii="Arial" w:hAnsi="Arial" w:cs="Arial"/>
        </w:rPr>
        <w:t xml:space="preserve"> </w:t>
      </w:r>
      <w:r w:rsidRPr="00B66D63">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B66D63">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B66D63">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4610FB67" w14:textId="77777777" w:rsidR="00743376" w:rsidRDefault="00743376" w:rsidP="00803870">
      <w:pPr>
        <w:shd w:val="clear" w:color="auto" w:fill="FFFFFF"/>
        <w:spacing w:after="0" w:line="240" w:lineRule="auto"/>
        <w:rPr>
          <w:rFonts w:ascii="Arial" w:hAnsi="Arial" w:cs="Arial"/>
          <w:color w:val="3A3A3A"/>
          <w:shd w:val="clear" w:color="auto" w:fill="FFFFFF"/>
        </w:rPr>
      </w:pPr>
      <w:r w:rsidRPr="00EB3B31">
        <w:rPr>
          <w:rFonts w:ascii="Arial" w:hAnsi="Arial" w:cs="Arial"/>
          <w:shd w:val="clear" w:color="auto" w:fill="FFFFFF"/>
        </w:rPr>
        <w:t>Kuhn, M.R. and Schwanenflugel, P.J. (2019) ‘Prosody, Pacing, and Situational Fluency (or Why Fluency Matters for Older Readers)’, </w:t>
      </w:r>
      <w:r w:rsidRPr="00EB3B31">
        <w:rPr>
          <w:rFonts w:ascii="Arial" w:hAnsi="Arial" w:cs="Arial"/>
          <w:i/>
          <w:iCs/>
          <w:shd w:val="clear" w:color="auto" w:fill="FFFFFF"/>
        </w:rPr>
        <w:t>Journal of adolescent &amp; adult literacy</w:t>
      </w:r>
      <w:r w:rsidRPr="00EB3B31">
        <w:rPr>
          <w:rFonts w:ascii="Arial" w:hAnsi="Arial" w:cs="Arial"/>
          <w:shd w:val="clear" w:color="auto" w:fill="FFFFFF"/>
        </w:rPr>
        <w:t>, 62(4), pp. 363–368. Available at</w:t>
      </w:r>
      <w:r w:rsidRPr="00714A8E">
        <w:rPr>
          <w:rFonts w:ascii="Arial" w:hAnsi="Arial" w:cs="Arial"/>
          <w:color w:val="3A3A3A"/>
          <w:shd w:val="clear" w:color="auto" w:fill="FFFFFF"/>
        </w:rPr>
        <w:t xml:space="preserve">: </w:t>
      </w:r>
      <w:hyperlink r:id="rId33" w:history="1">
        <w:r w:rsidRPr="00714A8E">
          <w:rPr>
            <w:rStyle w:val="Hyperlink"/>
            <w:rFonts w:ascii="Arial" w:hAnsi="Arial" w:cs="Arial"/>
            <w:shd w:val="clear" w:color="auto" w:fill="FFFFFF"/>
          </w:rPr>
          <w:t>https://doi.org/10.1002/jaal.867</w:t>
        </w:r>
      </w:hyperlink>
      <w:r w:rsidRPr="00714A8E">
        <w:rPr>
          <w:rFonts w:ascii="Arial" w:hAnsi="Arial" w:cs="Arial"/>
          <w:color w:val="3A3A3A"/>
          <w:shd w:val="clear" w:color="auto" w:fill="FFFFFF"/>
        </w:rPr>
        <w:t>.</w:t>
      </w:r>
      <w:r w:rsidRPr="00714A8E">
        <w:rPr>
          <w:rFonts w:ascii="Arial" w:hAnsi="Arial" w:cs="Arial"/>
          <w:color w:val="3A3A3A"/>
          <w:shd w:val="clear" w:color="auto" w:fill="FFFFFF"/>
        </w:rPr>
        <w:t xml:space="preserve"> (Accessed 12 February 2025)</w:t>
      </w:r>
    </w:p>
    <w:p w14:paraId="14897F01" w14:textId="77777777" w:rsidR="00743376" w:rsidRPr="00F067CE"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F067CE">
        <w:rPr>
          <w:rFonts w:ascii="Arial" w:hAnsi="Arial" w:cs="Arial"/>
          <w:color w:val="181817"/>
          <w:shd w:val="clear" w:color="auto" w:fill="FFFFFF"/>
        </w:rPr>
        <w:t xml:space="preserve">Littlewood W. </w:t>
      </w:r>
      <w:r w:rsidRPr="00F067CE">
        <w:rPr>
          <w:rFonts w:ascii="Arial" w:hAnsi="Arial" w:cs="Arial"/>
          <w:color w:val="181817"/>
          <w:shd w:val="clear" w:color="auto" w:fill="FFFFFF"/>
        </w:rPr>
        <w:t xml:space="preserve">(2014) </w:t>
      </w:r>
      <w:r w:rsidRPr="00F067CE">
        <w:rPr>
          <w:rFonts w:ascii="Arial" w:hAnsi="Arial" w:cs="Arial"/>
          <w:color w:val="181817"/>
          <w:shd w:val="clear" w:color="auto" w:fill="FFFFFF"/>
        </w:rPr>
        <w:t>Communication-oriented language teaching: Where are we now? Where do we go from here? </w:t>
      </w:r>
      <w:r w:rsidRPr="00F067CE">
        <w:rPr>
          <w:rFonts w:ascii="Arial" w:hAnsi="Arial" w:cs="Arial"/>
          <w:i/>
          <w:iCs/>
          <w:color w:val="181817"/>
          <w:shd w:val="clear" w:color="auto" w:fill="FFFFFF"/>
        </w:rPr>
        <w:t>Language Teaching</w:t>
      </w:r>
      <w:r w:rsidRPr="00F067CE">
        <w:rPr>
          <w:rFonts w:ascii="Arial" w:hAnsi="Arial" w:cs="Arial"/>
          <w:color w:val="181817"/>
          <w:shd w:val="clear" w:color="auto" w:fill="FFFFFF"/>
        </w:rPr>
        <w:t xml:space="preserve">. 47(3):349-362. </w:t>
      </w:r>
      <w:r w:rsidRPr="00F067CE">
        <w:rPr>
          <w:rFonts w:ascii="Arial" w:hAnsi="Arial" w:cs="Arial"/>
          <w:color w:val="181817"/>
          <w:shd w:val="clear" w:color="auto" w:fill="FFFFFF"/>
        </w:rPr>
        <w:t xml:space="preserve">Available at: </w:t>
      </w:r>
      <w:r w:rsidRPr="00F067CE">
        <w:rPr>
          <w:rFonts w:ascii="Arial" w:hAnsi="Arial" w:cs="Arial"/>
          <w:color w:val="215E99" w:themeColor="text2" w:themeTint="BF"/>
          <w:u w:val="single"/>
          <w:shd w:val="clear" w:color="auto" w:fill="FFFFFF"/>
        </w:rPr>
        <w:t>doi:10.1017/S0261444812000134</w:t>
      </w:r>
      <w:r w:rsidRPr="00F067CE">
        <w:rPr>
          <w:rFonts w:ascii="Arial" w:hAnsi="Arial" w:cs="Arial"/>
          <w:color w:val="215E99" w:themeColor="text2" w:themeTint="BF"/>
          <w:shd w:val="clear" w:color="auto" w:fill="FFFFFF"/>
        </w:rPr>
        <w:t xml:space="preserve"> </w:t>
      </w:r>
      <w:r w:rsidRPr="00F067CE">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F067CE">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F067CE">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79DA0202" w14:textId="77777777" w:rsidR="00743376" w:rsidRPr="00A60749"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Mayer, R. E. (2014). </w:t>
      </w:r>
      <w:r w:rsidRPr="00A60749">
        <w:rPr>
          <w:rFonts w:ascii="Arial" w:eastAsia="Times New Roman" w:hAnsi="Arial" w:cs="Arial"/>
          <w:i/>
          <w:iCs/>
          <w:kern w:val="0"/>
          <w:lang w:eastAsia="en-GB"/>
          <w14:ligatures w14:val="none"/>
        </w:rPr>
        <w:t>The Cambridge handbook of multimedia learning</w:t>
      </w:r>
      <w:r w:rsidRPr="00A6074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(2</w:t>
      </w:r>
      <w:r w:rsidRPr="002C3759">
        <w:rPr>
          <w:rFonts w:ascii="Arial" w:eastAsia="Times New Roman" w:hAnsi="Arial" w:cs="Arial"/>
          <w:kern w:val="0"/>
          <w:vertAlign w:val="superscript"/>
          <w:lang w:eastAsia="en-GB"/>
          <w14:ligatures w14:val="none"/>
        </w:rPr>
        <w:t>nd</w:t>
      </w:r>
      <w:r>
        <w:rPr>
          <w:rFonts w:ascii="Arial" w:eastAsia="Times New Roman" w:hAnsi="Arial" w:cs="Arial"/>
          <w:kern w:val="0"/>
          <w:lang w:eastAsia="en-GB"/>
          <w14:ligatures w14:val="none"/>
        </w:rPr>
        <w:t xml:space="preserve"> edn) </w:t>
      </w:r>
      <w:r w:rsidRPr="00A60749">
        <w:rPr>
          <w:rFonts w:ascii="Arial" w:eastAsia="Times New Roman" w:hAnsi="Arial" w:cs="Arial"/>
          <w:kern w:val="0"/>
          <w:lang w:eastAsia="en-GB"/>
          <w14:ligatures w14:val="none"/>
        </w:rPr>
        <w:t>New</w:t>
      </w:r>
      <w:r>
        <w:rPr>
          <w:rFonts w:ascii="Arial" w:eastAsia="Times New Roman" w:hAnsi="Arial" w:cs="Arial"/>
          <w:kern w:val="0"/>
          <w:lang w:eastAsia="en-GB"/>
          <w14:ligatures w14:val="none"/>
        </w:rPr>
        <w:t xml:space="preserve"> York: </w:t>
      </w:r>
      <w:r w:rsidRPr="00A60749">
        <w:rPr>
          <w:rFonts w:ascii="Arial" w:eastAsia="Times New Roman" w:hAnsi="Arial" w:cs="Arial"/>
          <w:kern w:val="0"/>
          <w:lang w:eastAsia="en-GB"/>
          <w14:ligatures w14:val="none"/>
        </w:rPr>
        <w:t>Cambridge University Press.</w:t>
      </w:r>
    </w:p>
    <w:p w14:paraId="3B8BECDB" w14:textId="77777777" w:rsidR="00743376" w:rsidRPr="00A60749"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Mayr, A. (20</w:t>
      </w:r>
      <w:r>
        <w:rPr>
          <w:rFonts w:ascii="Arial" w:eastAsia="Times New Roman" w:hAnsi="Arial" w:cs="Arial"/>
          <w:kern w:val="0"/>
          <w:lang w:eastAsia="en-GB"/>
          <w14:ligatures w14:val="none"/>
        </w:rPr>
        <w:t>08</w:t>
      </w:r>
      <w:r w:rsidRPr="00A60749">
        <w:rPr>
          <w:rFonts w:ascii="Arial" w:eastAsia="Times New Roman" w:hAnsi="Arial" w:cs="Arial"/>
          <w:kern w:val="0"/>
          <w:lang w:eastAsia="en-GB"/>
          <w14:ligatures w14:val="none"/>
        </w:rPr>
        <w:t xml:space="preserve">). </w:t>
      </w:r>
      <w:r w:rsidRPr="00A60749">
        <w:rPr>
          <w:rFonts w:ascii="Arial" w:eastAsia="Times New Roman" w:hAnsi="Arial" w:cs="Arial"/>
          <w:i/>
          <w:iCs/>
          <w:kern w:val="0"/>
          <w:lang w:eastAsia="en-GB"/>
          <w14:ligatures w14:val="none"/>
        </w:rPr>
        <w:t>Language and power</w:t>
      </w:r>
      <w:r w:rsidRPr="00A6074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London:</w:t>
      </w:r>
      <w:r w:rsidRPr="00A60749">
        <w:rPr>
          <w:rFonts w:ascii="Arial" w:eastAsia="Times New Roman" w:hAnsi="Arial" w:cs="Arial"/>
          <w:kern w:val="0"/>
          <w:lang w:eastAsia="en-GB"/>
          <w14:ligatures w14:val="none"/>
        </w:rPr>
        <w:t xml:space="preserve"> Bloomsbury Publishing.</w:t>
      </w:r>
    </w:p>
    <w:p w14:paraId="020A5738" w14:textId="77777777" w:rsidR="00743376" w:rsidRPr="00DD0D94" w:rsidRDefault="00743376" w:rsidP="00DD0D94">
      <w:pPr>
        <w:spacing w:before="100" w:beforeAutospacing="1" w:after="100" w:afterAutospacing="1" w:line="240" w:lineRule="auto"/>
        <w:rPr>
          <w:rFonts w:ascii="Arial" w:eastAsia="Times New Roman" w:hAnsi="Arial" w:cs="Arial"/>
          <w:kern w:val="0"/>
          <w:lang w:eastAsia="en-GB"/>
          <w14:ligatures w14:val="none"/>
        </w:rPr>
      </w:pPr>
      <w:r w:rsidRPr="00DD0D94">
        <w:rPr>
          <w:rFonts w:ascii="Arial" w:hAnsi="Arial" w:cs="Arial"/>
          <w:shd w:val="clear" w:color="auto" w:fill="FFFFFF"/>
        </w:rPr>
        <w:t>McLeod, S. </w:t>
      </w:r>
      <w:r w:rsidRPr="00DD0D94">
        <w:rPr>
          <w:rFonts w:ascii="Arial" w:hAnsi="Arial" w:cs="Arial"/>
          <w:i/>
          <w:iCs/>
          <w:shd w:val="clear" w:color="auto" w:fill="FFFFFF"/>
        </w:rPr>
        <w:t>et al.</w:t>
      </w:r>
      <w:r w:rsidRPr="00DD0D94">
        <w:rPr>
          <w:rFonts w:ascii="Arial" w:hAnsi="Arial" w:cs="Arial"/>
          <w:shd w:val="clear" w:color="auto" w:fill="FFFFFF"/>
        </w:rPr>
        <w:t> (2017) ‘Profile of Australian preschool children with speech sound disorders at risk for literacy difficulties’, </w:t>
      </w:r>
      <w:r w:rsidRPr="00DD0D94">
        <w:rPr>
          <w:rFonts w:ascii="Arial" w:hAnsi="Arial" w:cs="Arial"/>
          <w:i/>
          <w:iCs/>
          <w:shd w:val="clear" w:color="auto" w:fill="FFFFFF"/>
        </w:rPr>
        <w:t>Australian Journal of Learning Difficulties</w:t>
      </w:r>
      <w:r w:rsidRPr="00DD0D94">
        <w:rPr>
          <w:rFonts w:ascii="Arial" w:hAnsi="Arial" w:cs="Arial"/>
          <w:shd w:val="clear" w:color="auto" w:fill="FFFFFF"/>
        </w:rPr>
        <w:t>, 22(1), pp. 15–33.</w:t>
      </w:r>
      <w:r w:rsidRPr="00DD0D94">
        <w:rPr>
          <w:rFonts w:ascii="Arial" w:hAnsi="Arial" w:cs="Arial"/>
          <w:shd w:val="clear" w:color="auto" w:fill="FFFFFF"/>
        </w:rPr>
        <w:t xml:space="preserve"> Available at:</w:t>
      </w:r>
      <w:r w:rsidRPr="00DD0D94">
        <w:rPr>
          <w:rFonts w:ascii="Arial" w:hAnsi="Arial" w:cs="Arial"/>
          <w:shd w:val="clear" w:color="auto" w:fill="FFFFFF"/>
        </w:rPr>
        <w:t xml:space="preserve"> </w:t>
      </w:r>
      <w:r w:rsidRPr="00DD0D94">
        <w:rPr>
          <w:rFonts w:ascii="Arial" w:hAnsi="Arial" w:cs="Arial"/>
          <w:color w:val="215E99" w:themeColor="text2" w:themeTint="BF"/>
          <w:shd w:val="clear" w:color="auto" w:fill="FFFFFF"/>
        </w:rPr>
        <w:t>doi: 10.1080/19404158.2017.1287105.</w:t>
      </w:r>
      <w:r w:rsidRPr="00DD0D94">
        <w:rPr>
          <w:rFonts w:ascii="Arial" w:hAnsi="Arial" w:cs="Arial"/>
          <w:color w:val="215E99" w:themeColor="text2" w:themeTint="BF"/>
          <w:shd w:val="clear" w:color="auto" w:fill="FFFFFF"/>
        </w:rPr>
        <w:t xml:space="preserve"> </w:t>
      </w:r>
      <w:r w:rsidRPr="00DD0D94">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DD0D94">
        <w:rPr>
          <w:rFonts w:ascii="Arial" w:eastAsia="Times New Roman" w:hAnsi="Arial" w:cs="Arial"/>
          <w:color w:val="333333"/>
          <w:kern w:val="0"/>
          <w:lang w:eastAsia="en-GB"/>
          <w14:ligatures w14:val="none"/>
        </w:rPr>
        <w:t>1</w:t>
      </w:r>
      <w:r w:rsidRPr="00902CD8">
        <w:rPr>
          <w:rFonts w:ascii="Arial" w:eastAsia="Times New Roman" w:hAnsi="Arial" w:cs="Arial"/>
          <w:color w:val="333333"/>
          <w:kern w:val="0"/>
          <w:lang w:eastAsia="en-GB"/>
          <w14:ligatures w14:val="none"/>
        </w:rPr>
        <w:t xml:space="preserve"> Feb 2025</w:t>
      </w:r>
      <w:r w:rsidRPr="00DD0D94">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61C0A1A9" w14:textId="77777777" w:rsidR="00743376" w:rsidRPr="00EB3B31"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McLeod, S., Crowe, K., McCormack, J., White, P., Wren, Y., Baker, E.</w:t>
      </w:r>
      <w:r w:rsidRPr="007D6A92">
        <w:rPr>
          <w:rFonts w:ascii="Arial" w:hAnsi="Arial" w:cs="Arial"/>
          <w:shd w:val="clear" w:color="auto" w:fill="FFFFFF"/>
        </w:rPr>
        <w:t>, Roulstone</w:t>
      </w:r>
      <w:r w:rsidRPr="007D6A92">
        <w:rPr>
          <w:rFonts w:ascii="Arial" w:hAnsi="Arial" w:cs="Arial"/>
          <w:shd w:val="clear" w:color="auto" w:fill="FFFFFF"/>
        </w:rPr>
        <w:t>, S. (2017). Preschool children’s communication, motor and social development: Parents’ and educators’ concerns. </w:t>
      </w:r>
      <w:r w:rsidRPr="007D6A92">
        <w:rPr>
          <w:rFonts w:ascii="Arial" w:hAnsi="Arial" w:cs="Arial"/>
          <w:i/>
          <w:iCs/>
          <w:shd w:val="clear" w:color="auto" w:fill="FFFFFF"/>
        </w:rPr>
        <w:t>International Journal of Speech-Language Pathology</w:t>
      </w:r>
      <w:r w:rsidRPr="007D6A92">
        <w:rPr>
          <w:rFonts w:ascii="Arial" w:hAnsi="Arial" w:cs="Arial"/>
          <w:shd w:val="clear" w:color="auto" w:fill="FFFFFF"/>
        </w:rPr>
        <w:t>, </w:t>
      </w:r>
      <w:r w:rsidRPr="007D6A92">
        <w:rPr>
          <w:rFonts w:ascii="Arial" w:hAnsi="Arial" w:cs="Arial"/>
          <w:i/>
          <w:iCs/>
          <w:shd w:val="clear" w:color="auto" w:fill="FFFFFF"/>
        </w:rPr>
        <w:t>20</w:t>
      </w:r>
      <w:r w:rsidRPr="007D6A92">
        <w:rPr>
          <w:rFonts w:ascii="Arial" w:hAnsi="Arial" w:cs="Arial"/>
          <w:shd w:val="clear" w:color="auto" w:fill="FFFFFF"/>
        </w:rPr>
        <w:t xml:space="preserve">(4), 468–482. </w:t>
      </w:r>
      <w:hyperlink r:id="rId34" w:history="1">
        <w:r w:rsidRPr="00F12268">
          <w:rPr>
            <w:rStyle w:val="Hyperlink"/>
            <w:rFonts w:ascii="Arial" w:hAnsi="Arial" w:cs="Arial"/>
            <w:shd w:val="clear" w:color="auto" w:fill="FFFFFF"/>
          </w:rPr>
          <w:t>https://doi.org/10.1080/17549507.2017.1309065</w:t>
        </w:r>
      </w:hyperlink>
      <w:r w:rsidRPr="00F12268">
        <w:rPr>
          <w:rFonts w:ascii="Arial" w:hAnsi="Arial" w:cs="Arial"/>
          <w:color w:val="333333"/>
          <w:shd w:val="clear" w:color="auto" w:fill="FFFFFF"/>
        </w:rPr>
        <w:t xml:space="preserve"> </w:t>
      </w:r>
      <w:r w:rsidRPr="00DD0D94">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DD0D94">
        <w:rPr>
          <w:rFonts w:ascii="Arial" w:eastAsia="Times New Roman" w:hAnsi="Arial" w:cs="Arial"/>
          <w:color w:val="333333"/>
          <w:kern w:val="0"/>
          <w:lang w:eastAsia="en-GB"/>
          <w14:ligatures w14:val="none"/>
        </w:rPr>
        <w:t>1</w:t>
      </w:r>
      <w:r w:rsidRPr="00902CD8">
        <w:rPr>
          <w:rFonts w:ascii="Arial" w:eastAsia="Times New Roman" w:hAnsi="Arial" w:cs="Arial"/>
          <w:color w:val="333333"/>
          <w:kern w:val="0"/>
          <w:lang w:eastAsia="en-GB"/>
          <w14:ligatures w14:val="none"/>
        </w:rPr>
        <w:t xml:space="preserve"> Feb 2025</w:t>
      </w:r>
      <w:r w:rsidRPr="00DD0D94">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606B194" w14:textId="77777777" w:rsidR="00743376" w:rsidRPr="00BD1157" w:rsidRDefault="00743376" w:rsidP="001B3302">
      <w:pPr>
        <w:shd w:val="clear" w:color="auto" w:fill="FFFFFF"/>
        <w:spacing w:before="240" w:after="240" w:line="240" w:lineRule="auto"/>
        <w:jc w:val="both"/>
        <w:rPr>
          <w:rFonts w:ascii="Arial" w:eastAsia="Times New Roman" w:hAnsi="Arial" w:cs="Arial"/>
          <w:kern w:val="0"/>
          <w:lang w:eastAsia="en-GB"/>
          <w14:ligatures w14:val="none"/>
        </w:rPr>
      </w:pPr>
      <w:r w:rsidRPr="00BD1157">
        <w:rPr>
          <w:rFonts w:ascii="Arial" w:eastAsia="Times New Roman" w:hAnsi="Arial" w:cs="Arial"/>
          <w:kern w:val="0"/>
          <w:lang w:eastAsia="en-GB"/>
          <w14:ligatures w14:val="none"/>
        </w:rPr>
        <w:t>Mercer, N. (2013). The social brain, language, and goal-directed collective thinking: a social conception of cognition and its implications for understanding how we think, teach, and learn. </w:t>
      </w:r>
      <w:r w:rsidRPr="00BD1157">
        <w:rPr>
          <w:rFonts w:ascii="Arial" w:eastAsia="Times New Roman" w:hAnsi="Arial" w:cs="Arial"/>
          <w:i/>
          <w:iCs/>
          <w:kern w:val="0"/>
          <w:lang w:eastAsia="en-GB"/>
          <w14:ligatures w14:val="none"/>
        </w:rPr>
        <w:t>Educational Psychologist, 48</w:t>
      </w:r>
      <w:r w:rsidRPr="00BD1157">
        <w:rPr>
          <w:rFonts w:ascii="Arial" w:eastAsia="Times New Roman" w:hAnsi="Arial" w:cs="Arial"/>
          <w:kern w:val="0"/>
          <w:lang w:eastAsia="en-GB"/>
          <w14:ligatures w14:val="none"/>
        </w:rPr>
        <w:t>(3), 148–168.</w:t>
      </w:r>
    </w:p>
    <w:p w14:paraId="39D75BCC" w14:textId="77777777" w:rsidR="00743376" w:rsidRDefault="00743376" w:rsidP="00CE59A8">
      <w:pPr>
        <w:shd w:val="clear" w:color="auto" w:fill="FFFFFF"/>
        <w:spacing w:after="0" w:line="240" w:lineRule="auto"/>
        <w:rPr>
          <w:rFonts w:ascii="Arial" w:eastAsia="Times New Roman" w:hAnsi="Arial" w:cs="Arial"/>
          <w:color w:val="000000"/>
          <w:kern w:val="0"/>
          <w:lang w:eastAsia="en-GB"/>
          <w14:ligatures w14:val="none"/>
        </w:rPr>
      </w:pPr>
      <w:r w:rsidRPr="00373442">
        <w:rPr>
          <w:rFonts w:ascii="Arial" w:eastAsia="Times New Roman" w:hAnsi="Arial" w:cs="Arial"/>
          <w:color w:val="000000"/>
          <w:kern w:val="0"/>
          <w:lang w:eastAsia="en-GB"/>
          <w14:ligatures w14:val="none"/>
        </w:rPr>
        <w:t>Mercer</w:t>
      </w:r>
      <w:r w:rsidRPr="00AF39E0">
        <w:rPr>
          <w:rFonts w:ascii="Arial" w:eastAsia="Times New Roman" w:hAnsi="Arial" w:cs="Arial"/>
          <w:color w:val="000000"/>
          <w:kern w:val="0"/>
          <w:lang w:eastAsia="en-GB"/>
          <w14:ligatures w14:val="none"/>
        </w:rPr>
        <w:t>, N. (2016) Education</w:t>
      </w:r>
      <w:r w:rsidRPr="00373442">
        <w:rPr>
          <w:rFonts w:ascii="Arial" w:eastAsia="Times New Roman" w:hAnsi="Arial" w:cs="Arial"/>
          <w:color w:val="000000"/>
          <w:kern w:val="0"/>
          <w:lang w:eastAsia="en-GB"/>
          <w14:ligatures w14:val="none"/>
        </w:rPr>
        <w:t xml:space="preserve"> and the social brain: linking language, thinking, teaching and learning</w:t>
      </w:r>
      <w:r w:rsidRPr="00AF39E0">
        <w:rPr>
          <w:rFonts w:ascii="Arial" w:eastAsia="Times New Roman" w:hAnsi="Arial" w:cs="Arial"/>
          <w:color w:val="000000"/>
          <w:kern w:val="0"/>
          <w:lang w:eastAsia="en-GB"/>
          <w14:ligatures w14:val="none"/>
        </w:rPr>
        <w:t>.</w:t>
      </w:r>
      <w:r w:rsidRPr="00373442">
        <w:rPr>
          <w:rFonts w:ascii="Arial" w:eastAsia="Times New Roman" w:hAnsi="Arial" w:cs="Arial"/>
          <w:color w:val="000000"/>
          <w:kern w:val="0"/>
          <w:lang w:eastAsia="en-GB"/>
          <w14:ligatures w14:val="none"/>
        </w:rPr>
        <w:t> </w:t>
      </w:r>
      <w:r w:rsidRPr="00373442">
        <w:rPr>
          <w:rFonts w:ascii="Arial" w:eastAsia="Times New Roman" w:hAnsi="Arial" w:cs="Arial"/>
          <w:i/>
          <w:iCs/>
          <w:color w:val="000000"/>
          <w:kern w:val="0"/>
          <w:lang w:eastAsia="en-GB"/>
          <w14:ligatures w14:val="none"/>
        </w:rPr>
        <w:t>Éducation et didactique</w:t>
      </w:r>
      <w:r w:rsidRPr="00373442">
        <w:rPr>
          <w:rFonts w:ascii="Arial" w:eastAsia="Times New Roman" w:hAnsi="Arial" w:cs="Arial"/>
          <w:color w:val="000000"/>
          <w:kern w:val="0"/>
          <w:lang w:eastAsia="en-GB"/>
          <w14:ligatures w14:val="none"/>
        </w:rPr>
        <w:t>, 10-2, 9-23.</w:t>
      </w:r>
    </w:p>
    <w:p w14:paraId="56895465" w14:textId="77777777" w:rsidR="007D6A92" w:rsidRPr="00AF39E0" w:rsidRDefault="007D6A92" w:rsidP="00CE59A8">
      <w:pPr>
        <w:shd w:val="clear" w:color="auto" w:fill="FFFFFF"/>
        <w:spacing w:after="0" w:line="240" w:lineRule="auto"/>
        <w:rPr>
          <w:rFonts w:ascii="Arial" w:eastAsia="Times New Roman" w:hAnsi="Arial" w:cs="Arial"/>
          <w:color w:val="000000"/>
          <w:kern w:val="0"/>
          <w:lang w:eastAsia="en-GB"/>
          <w14:ligatures w14:val="none"/>
        </w:rPr>
      </w:pPr>
    </w:p>
    <w:p w14:paraId="15E98391" w14:textId="77777777" w:rsidR="00743376" w:rsidRDefault="00743376" w:rsidP="00CE59A8">
      <w:pPr>
        <w:shd w:val="clear" w:color="auto" w:fill="FFFFFF"/>
        <w:spacing w:after="0" w:line="240" w:lineRule="auto"/>
        <w:rPr>
          <w:rFonts w:ascii="Arial" w:eastAsia="Times New Roman" w:hAnsi="Arial" w:cs="Arial"/>
          <w:color w:val="000000"/>
          <w:kern w:val="0"/>
          <w:lang w:eastAsia="en-GB"/>
          <w14:ligatures w14:val="none"/>
        </w:rPr>
      </w:pPr>
      <w:r w:rsidRPr="00373442">
        <w:rPr>
          <w:rFonts w:ascii="Arial" w:eastAsia="Times New Roman" w:hAnsi="Arial" w:cs="Arial"/>
          <w:color w:val="000000"/>
          <w:kern w:val="0"/>
          <w:lang w:eastAsia="en-GB"/>
          <w14:ligatures w14:val="none"/>
        </w:rPr>
        <w:t>Mercer</w:t>
      </w:r>
      <w:r w:rsidRPr="00AF39E0">
        <w:rPr>
          <w:rFonts w:ascii="Arial" w:eastAsia="Times New Roman" w:hAnsi="Arial" w:cs="Arial"/>
          <w:color w:val="000000"/>
          <w:kern w:val="0"/>
          <w:lang w:eastAsia="en-GB"/>
          <w14:ligatures w14:val="none"/>
        </w:rPr>
        <w:t>, N.</w:t>
      </w:r>
      <w:r w:rsidRPr="00373442">
        <w:rPr>
          <w:rFonts w:ascii="Arial" w:eastAsia="Times New Roman" w:hAnsi="Arial" w:cs="Arial"/>
          <w:color w:val="000000"/>
          <w:kern w:val="0"/>
          <w:lang w:eastAsia="en-GB"/>
          <w14:ligatures w14:val="none"/>
        </w:rPr>
        <w:t> </w:t>
      </w:r>
      <w:r w:rsidRPr="00AF39E0">
        <w:rPr>
          <w:rFonts w:ascii="Arial" w:eastAsia="Times New Roman" w:hAnsi="Arial" w:cs="Arial"/>
          <w:color w:val="000000"/>
          <w:kern w:val="0"/>
          <w:lang w:eastAsia="en-GB"/>
          <w14:ligatures w14:val="none"/>
        </w:rPr>
        <w:t>(2018)</w:t>
      </w:r>
      <w:r w:rsidRPr="00373442">
        <w:rPr>
          <w:rFonts w:ascii="Arial" w:eastAsia="Times New Roman" w:hAnsi="Arial" w:cs="Arial"/>
          <w:color w:val="000000"/>
          <w:kern w:val="0"/>
          <w:lang w:eastAsia="en-GB"/>
          <w14:ligatures w14:val="none"/>
        </w:rPr>
        <w:t> Education and the social brain: linking language, thinking, teaching and learning</w:t>
      </w:r>
      <w:r w:rsidRPr="00AF39E0">
        <w:rPr>
          <w:rFonts w:ascii="Arial" w:eastAsia="Times New Roman" w:hAnsi="Arial" w:cs="Arial"/>
          <w:color w:val="000000"/>
          <w:kern w:val="0"/>
          <w:lang w:eastAsia="en-GB"/>
          <w14:ligatures w14:val="none"/>
        </w:rPr>
        <w:t>.</w:t>
      </w:r>
      <w:r w:rsidRPr="00373442">
        <w:rPr>
          <w:rFonts w:ascii="Arial" w:eastAsia="Times New Roman" w:hAnsi="Arial" w:cs="Arial"/>
          <w:color w:val="000000"/>
          <w:kern w:val="0"/>
          <w:lang w:eastAsia="en-GB"/>
          <w14:ligatures w14:val="none"/>
        </w:rPr>
        <w:t> </w:t>
      </w:r>
      <w:r w:rsidRPr="00373442">
        <w:rPr>
          <w:rFonts w:ascii="Arial" w:eastAsia="Times New Roman" w:hAnsi="Arial" w:cs="Arial"/>
          <w:i/>
          <w:iCs/>
          <w:color w:val="000000"/>
          <w:kern w:val="0"/>
          <w:lang w:eastAsia="en-GB"/>
          <w14:ligatures w14:val="none"/>
        </w:rPr>
        <w:t>Éducation et didactique</w:t>
      </w:r>
      <w:r w:rsidRPr="00373442">
        <w:rPr>
          <w:rFonts w:ascii="Arial" w:eastAsia="Times New Roman" w:hAnsi="Arial" w:cs="Arial"/>
          <w:color w:val="000000"/>
          <w:kern w:val="0"/>
          <w:lang w:eastAsia="en-GB"/>
          <w14:ligatures w14:val="none"/>
        </w:rPr>
        <w:t>, 10-2</w:t>
      </w:r>
      <w:r w:rsidRPr="00AF39E0">
        <w:rPr>
          <w:rFonts w:ascii="Arial" w:eastAsia="Times New Roman" w:hAnsi="Arial" w:cs="Arial"/>
          <w:color w:val="000000"/>
          <w:kern w:val="0"/>
          <w:lang w:eastAsia="en-GB"/>
          <w14:ligatures w14:val="none"/>
        </w:rPr>
        <w:t>. Available at:</w:t>
      </w:r>
      <w:r w:rsidRPr="00373442">
        <w:rPr>
          <w:rFonts w:ascii="Arial" w:eastAsia="Times New Roman" w:hAnsi="Arial" w:cs="Arial"/>
          <w:color w:val="000000"/>
          <w:kern w:val="0"/>
          <w:lang w:eastAsia="en-GB"/>
          <w14:ligatures w14:val="none"/>
        </w:rPr>
        <w:t xml:space="preserve"> </w:t>
      </w:r>
      <w:r w:rsidRPr="00373442">
        <w:rPr>
          <w:rFonts w:ascii="Arial" w:eastAsia="Times New Roman" w:hAnsi="Arial" w:cs="Arial"/>
          <w:color w:val="000000"/>
          <w:kern w:val="0"/>
          <w:lang w:eastAsia="en-GB"/>
          <w14:ligatures w14:val="none"/>
        </w:rPr>
        <w:t>http://journals.openedition.org/educationdidactique/2523;</w:t>
      </w:r>
      <w:r w:rsidRPr="00373442">
        <w:rPr>
          <w:rFonts w:ascii="Arial" w:eastAsia="Times New Roman" w:hAnsi="Arial" w:cs="Arial"/>
          <w:color w:val="000000"/>
          <w:kern w:val="0"/>
          <w:lang w:eastAsia="en-GB"/>
          <w14:ligatures w14:val="none"/>
        </w:rPr>
        <w:t xml:space="preserve"> DOI : </w:t>
      </w:r>
      <w:hyperlink r:id="rId35" w:history="1">
        <w:r w:rsidRPr="00373442">
          <w:rPr>
            <w:rStyle w:val="Hyperlink"/>
            <w:rFonts w:ascii="Arial" w:eastAsia="Times New Roman" w:hAnsi="Arial" w:cs="Arial"/>
            <w:kern w:val="0"/>
            <w:lang w:eastAsia="en-GB"/>
            <w14:ligatures w14:val="none"/>
          </w:rPr>
          <w:t>https://doi.org/10.4000/educationdidactique.2523</w:t>
        </w:r>
      </w:hyperlink>
      <w:r w:rsidRPr="00AF39E0">
        <w:rPr>
          <w:rFonts w:ascii="Arial" w:eastAsia="Times New Roman" w:hAnsi="Arial" w:cs="Arial"/>
          <w:color w:val="000000"/>
          <w:kern w:val="0"/>
          <w:lang w:eastAsia="en-GB"/>
          <w14:ligatures w14:val="none"/>
        </w:rPr>
        <w:t xml:space="preserve"> (Accessed </w:t>
      </w:r>
      <w:r w:rsidRPr="00373442">
        <w:rPr>
          <w:rFonts w:ascii="Arial" w:eastAsia="Times New Roman" w:hAnsi="Arial" w:cs="Arial"/>
          <w:color w:val="000000"/>
          <w:kern w:val="0"/>
          <w:lang w:eastAsia="en-GB"/>
          <w14:ligatures w14:val="none"/>
        </w:rPr>
        <w:t xml:space="preserve">10 </w:t>
      </w:r>
      <w:r w:rsidRPr="00AF39E0">
        <w:rPr>
          <w:rFonts w:ascii="Arial" w:eastAsia="Times New Roman" w:hAnsi="Arial" w:cs="Arial"/>
          <w:color w:val="000000"/>
          <w:kern w:val="0"/>
          <w:lang w:eastAsia="en-GB"/>
          <w14:ligatures w14:val="none"/>
        </w:rPr>
        <w:t>February</w:t>
      </w:r>
      <w:r w:rsidRPr="00373442">
        <w:rPr>
          <w:rFonts w:ascii="Arial" w:eastAsia="Times New Roman" w:hAnsi="Arial" w:cs="Arial"/>
          <w:color w:val="000000"/>
          <w:kern w:val="0"/>
          <w:lang w:eastAsia="en-GB"/>
          <w14:ligatures w14:val="none"/>
        </w:rPr>
        <w:t xml:space="preserve"> 2025</w:t>
      </w:r>
      <w:r w:rsidRPr="00AF39E0">
        <w:rPr>
          <w:rFonts w:ascii="Arial" w:eastAsia="Times New Roman" w:hAnsi="Arial" w:cs="Arial"/>
          <w:color w:val="000000"/>
          <w:kern w:val="0"/>
          <w:lang w:eastAsia="en-GB"/>
          <w14:ligatures w14:val="none"/>
        </w:rPr>
        <w:t>)</w:t>
      </w:r>
    </w:p>
    <w:p w14:paraId="3A691F14" w14:textId="77777777" w:rsidR="00743376" w:rsidRPr="00BD1157" w:rsidRDefault="00743376" w:rsidP="001B3302">
      <w:pPr>
        <w:shd w:val="clear" w:color="auto" w:fill="FFFFFF"/>
        <w:spacing w:before="240" w:after="240" w:line="240" w:lineRule="auto"/>
        <w:jc w:val="both"/>
        <w:rPr>
          <w:rFonts w:ascii="Arial" w:eastAsia="Times New Roman" w:hAnsi="Arial" w:cs="Arial"/>
          <w:kern w:val="0"/>
          <w:lang w:eastAsia="en-GB"/>
          <w14:ligatures w14:val="none"/>
        </w:rPr>
      </w:pPr>
      <w:r w:rsidRPr="00BD1157">
        <w:rPr>
          <w:rFonts w:ascii="Arial" w:eastAsia="Times New Roman" w:hAnsi="Arial" w:cs="Arial"/>
          <w:kern w:val="0"/>
          <w:lang w:eastAsia="en-GB"/>
          <w14:ligatures w14:val="none"/>
        </w:rPr>
        <w:t>Mercer, N., &amp; Hodgkinson, S. (Eds.) (2008). </w:t>
      </w:r>
      <w:r w:rsidRPr="00BD1157">
        <w:rPr>
          <w:rFonts w:ascii="Arial" w:eastAsia="Times New Roman" w:hAnsi="Arial" w:cs="Arial"/>
          <w:i/>
          <w:iCs/>
          <w:kern w:val="0"/>
          <w:lang w:eastAsia="en-GB"/>
          <w14:ligatures w14:val="none"/>
        </w:rPr>
        <w:t>Exploring Talk in School</w:t>
      </w:r>
      <w:r w:rsidRPr="00BD1157">
        <w:rPr>
          <w:rFonts w:ascii="Arial" w:eastAsia="Times New Roman" w:hAnsi="Arial" w:cs="Arial"/>
          <w:kern w:val="0"/>
          <w:lang w:eastAsia="en-GB"/>
          <w14:ligatures w14:val="none"/>
        </w:rPr>
        <w:t>. London: Sage.</w:t>
      </w:r>
    </w:p>
    <w:p w14:paraId="6DDA0E17" w14:textId="77777777" w:rsidR="00743376" w:rsidRDefault="00743376" w:rsidP="001B3302">
      <w:pPr>
        <w:shd w:val="clear" w:color="auto" w:fill="FFFFFF"/>
        <w:spacing w:before="240" w:after="240" w:line="240" w:lineRule="auto"/>
        <w:jc w:val="both"/>
        <w:rPr>
          <w:rFonts w:ascii="Arial" w:eastAsia="Times New Roman" w:hAnsi="Arial" w:cs="Arial"/>
          <w:kern w:val="0"/>
          <w:lang w:eastAsia="en-GB"/>
          <w14:ligatures w14:val="none"/>
        </w:rPr>
      </w:pPr>
      <w:r w:rsidRPr="00BD1157">
        <w:rPr>
          <w:rFonts w:ascii="Arial" w:eastAsia="Times New Roman" w:hAnsi="Arial" w:cs="Arial"/>
          <w:kern w:val="0"/>
          <w:lang w:eastAsia="en-GB"/>
          <w14:ligatures w14:val="none"/>
        </w:rPr>
        <w:t>Mercer, N., &amp; Howe, C. (2012). Explaining the dialogic processes of teaching and learning: the value of sociocultural theory. </w:t>
      </w:r>
      <w:r w:rsidRPr="00BD1157">
        <w:rPr>
          <w:rFonts w:ascii="Arial" w:eastAsia="Times New Roman" w:hAnsi="Arial" w:cs="Arial"/>
          <w:i/>
          <w:iCs/>
          <w:kern w:val="0"/>
          <w:lang w:eastAsia="en-GB"/>
          <w14:ligatures w14:val="none"/>
        </w:rPr>
        <w:t>Learning, Culture and Social Interaction</w:t>
      </w:r>
      <w:r w:rsidRPr="00BD1157">
        <w:rPr>
          <w:rFonts w:ascii="Arial" w:eastAsia="Times New Roman" w:hAnsi="Arial" w:cs="Arial"/>
          <w:kern w:val="0"/>
          <w:lang w:eastAsia="en-GB"/>
          <w14:ligatures w14:val="none"/>
        </w:rPr>
        <w:t>,</w:t>
      </w:r>
      <w:r w:rsidRPr="00BD1157">
        <w:rPr>
          <w:rFonts w:ascii="Arial" w:eastAsia="Times New Roman" w:hAnsi="Arial" w:cs="Arial"/>
          <w:i/>
          <w:iCs/>
          <w:kern w:val="0"/>
          <w:lang w:eastAsia="en-GB"/>
          <w14:ligatures w14:val="none"/>
        </w:rPr>
        <w:t> 1</w:t>
      </w:r>
      <w:r w:rsidRPr="00BD1157">
        <w:rPr>
          <w:rFonts w:ascii="Arial" w:eastAsia="Times New Roman" w:hAnsi="Arial" w:cs="Arial"/>
          <w:kern w:val="0"/>
          <w:lang w:eastAsia="en-GB"/>
          <w14:ligatures w14:val="none"/>
        </w:rPr>
        <w:t>(1), 12–21.</w:t>
      </w:r>
    </w:p>
    <w:p w14:paraId="615B81AA" w14:textId="77777777" w:rsidR="00743376" w:rsidRPr="00BD1157" w:rsidRDefault="00743376" w:rsidP="001B3302">
      <w:pPr>
        <w:shd w:val="clear" w:color="auto" w:fill="FFFFFF"/>
        <w:spacing w:before="240" w:after="240" w:line="240" w:lineRule="auto"/>
        <w:jc w:val="both"/>
        <w:rPr>
          <w:rFonts w:ascii="Arial" w:eastAsia="Times New Roman" w:hAnsi="Arial" w:cs="Arial"/>
          <w:kern w:val="0"/>
          <w:lang w:eastAsia="en-GB"/>
          <w14:ligatures w14:val="none"/>
        </w:rPr>
      </w:pPr>
      <w:r w:rsidRPr="00BD1157">
        <w:rPr>
          <w:rFonts w:ascii="Arial" w:eastAsia="Times New Roman" w:hAnsi="Arial" w:cs="Arial"/>
          <w:kern w:val="0"/>
          <w:lang w:eastAsia="en-GB"/>
          <w14:ligatures w14:val="none"/>
        </w:rPr>
        <w:t>Mercer, N., &amp; Littleton, K. (2007). </w:t>
      </w:r>
      <w:r w:rsidRPr="00BD1157">
        <w:rPr>
          <w:rFonts w:ascii="Arial" w:eastAsia="Times New Roman" w:hAnsi="Arial" w:cs="Arial"/>
          <w:i/>
          <w:iCs/>
          <w:kern w:val="0"/>
          <w:lang w:eastAsia="en-GB"/>
          <w14:ligatures w14:val="none"/>
        </w:rPr>
        <w:t>Dialogue and the Development of Children’s Thinking</w:t>
      </w:r>
      <w:r w:rsidRPr="00BD1157">
        <w:rPr>
          <w:rFonts w:ascii="Arial" w:eastAsia="Times New Roman" w:hAnsi="Arial" w:cs="Arial"/>
          <w:kern w:val="0"/>
          <w:lang w:eastAsia="en-GB"/>
          <w14:ligatures w14:val="none"/>
        </w:rPr>
        <w:t>. London: Routledge.</w:t>
      </w:r>
    </w:p>
    <w:p w14:paraId="0E8A3399" w14:textId="77777777" w:rsidR="00743376" w:rsidRDefault="00743376" w:rsidP="008A2347">
      <w:pPr>
        <w:spacing w:before="100" w:beforeAutospacing="1" w:after="100" w:afterAutospacing="1" w:line="240" w:lineRule="auto"/>
        <w:rPr>
          <w:rFonts w:ascii="Arial" w:eastAsia="Times New Roman" w:hAnsi="Arial" w:cs="Arial"/>
          <w:color w:val="333333"/>
          <w:kern w:val="0"/>
          <w:lang w:eastAsia="en-GB"/>
          <w14:ligatures w14:val="none"/>
        </w:rPr>
      </w:pPr>
      <w:r w:rsidRPr="007D6A92">
        <w:rPr>
          <w:rFonts w:ascii="Arial" w:hAnsi="Arial" w:cs="Arial"/>
          <w:shd w:val="clear" w:color="auto" w:fill="FFFFFF"/>
        </w:rPr>
        <w:t>Milankov, V., Golubović, S., Krstić, T., &amp; Golubović, Š. (2021). Phonological Awareness as the Foundation of Reading Acquisition in Students Reading in Transparent Orthography. </w:t>
      </w:r>
      <w:r w:rsidRPr="007D6A92">
        <w:rPr>
          <w:rFonts w:ascii="Arial" w:hAnsi="Arial" w:cs="Arial"/>
          <w:i/>
          <w:iCs/>
          <w:shd w:val="clear" w:color="auto" w:fill="FFFFFF"/>
        </w:rPr>
        <w:t>International journal of environmental research and public health</w:t>
      </w:r>
      <w:r w:rsidRPr="007D6A92">
        <w:rPr>
          <w:rFonts w:ascii="Arial" w:hAnsi="Arial" w:cs="Arial"/>
          <w:shd w:val="clear" w:color="auto" w:fill="FFFFFF"/>
        </w:rPr>
        <w:t>, </w:t>
      </w:r>
      <w:r w:rsidRPr="007D6A92">
        <w:rPr>
          <w:rFonts w:ascii="Arial" w:hAnsi="Arial" w:cs="Arial"/>
          <w:i/>
          <w:iCs/>
          <w:shd w:val="clear" w:color="auto" w:fill="FFFFFF"/>
        </w:rPr>
        <w:t>18</w:t>
      </w:r>
      <w:r w:rsidRPr="007D6A92">
        <w:rPr>
          <w:rFonts w:ascii="Arial" w:hAnsi="Arial" w:cs="Arial"/>
          <w:shd w:val="clear" w:color="auto" w:fill="FFFFFF"/>
        </w:rPr>
        <w:t>(10), 5440</w:t>
      </w:r>
      <w:r w:rsidRPr="008B01B6">
        <w:rPr>
          <w:rFonts w:ascii="Arial" w:hAnsi="Arial" w:cs="Arial"/>
          <w:color w:val="1B1B1B"/>
          <w:shd w:val="clear" w:color="auto" w:fill="FFFFFF"/>
        </w:rPr>
        <w:t xml:space="preserve">. </w:t>
      </w:r>
      <w:hyperlink r:id="rId36" w:history="1">
        <w:r w:rsidRPr="008B01B6">
          <w:rPr>
            <w:rStyle w:val="Hyperlink"/>
            <w:rFonts w:ascii="Arial" w:hAnsi="Arial" w:cs="Arial"/>
            <w:shd w:val="clear" w:color="auto" w:fill="FFFFFF"/>
          </w:rPr>
          <w:t>https://doi.org/10.3390/ijerph18105440</w:t>
        </w:r>
      </w:hyperlink>
      <w:r w:rsidRPr="008B01B6">
        <w:rPr>
          <w:rFonts w:ascii="Arial" w:hAnsi="Arial" w:cs="Arial"/>
          <w:color w:val="1B1B1B"/>
          <w:shd w:val="clear" w:color="auto" w:fill="FFFFFF"/>
        </w:rPr>
        <w:t xml:space="preserve"> </w:t>
      </w:r>
      <w:bookmarkStart w:id="8" w:name="_Hlk190519084"/>
      <w:r w:rsidRPr="008B01B6">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8B01B6">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8B01B6">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bookmarkEnd w:id="8"/>
    <w:p w14:paraId="66EA2A14" w14:textId="77777777" w:rsidR="00743376" w:rsidRPr="00945726"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945726">
        <w:rPr>
          <w:rFonts w:ascii="Arial" w:eastAsia="Times New Roman" w:hAnsi="Arial" w:cs="Arial"/>
          <w:kern w:val="0"/>
          <w:lang w:eastAsia="en-GB"/>
          <w14:ligatures w14:val="none"/>
        </w:rPr>
        <w:t xml:space="preserve">Moreno, R. (2009). </w:t>
      </w:r>
      <w:r w:rsidRPr="00945726">
        <w:rPr>
          <w:rFonts w:ascii="Arial" w:eastAsia="Times New Roman" w:hAnsi="Arial" w:cs="Arial"/>
          <w:i/>
          <w:iCs/>
          <w:kern w:val="0"/>
          <w:lang w:eastAsia="en-GB"/>
          <w14:ligatures w14:val="none"/>
        </w:rPr>
        <w:t>Educational psychology.</w:t>
      </w:r>
      <w:r w:rsidRPr="00945726">
        <w:rPr>
          <w:rFonts w:ascii="Arial" w:eastAsia="Times New Roman" w:hAnsi="Arial" w:cs="Arial"/>
          <w:kern w:val="0"/>
          <w:lang w:eastAsia="en-GB"/>
          <w14:ligatures w14:val="none"/>
        </w:rPr>
        <w:t xml:space="preserve"> New Jersey, USA: Wiley</w:t>
      </w:r>
    </w:p>
    <w:p w14:paraId="405D35A1" w14:textId="77777777" w:rsidR="00743376" w:rsidRPr="004C1BC6" w:rsidRDefault="00743376" w:rsidP="00017D04">
      <w:pPr>
        <w:shd w:val="clear" w:color="auto" w:fill="FFFFFF"/>
        <w:spacing w:after="0" w:line="240" w:lineRule="auto"/>
        <w:rPr>
          <w:rFonts w:ascii="Arial" w:eastAsia="Times New Roman" w:hAnsi="Arial" w:cs="Arial"/>
          <w:kern w:val="0"/>
          <w:lang w:eastAsia="en-GB"/>
          <w14:ligatures w14:val="none"/>
        </w:rPr>
      </w:pPr>
      <w:r w:rsidRPr="00803870">
        <w:rPr>
          <w:rFonts w:ascii="Arial" w:eastAsia="Times New Roman" w:hAnsi="Arial" w:cs="Arial"/>
          <w:kern w:val="0"/>
          <w:lang w:eastAsia="en-GB"/>
          <w14:ligatures w14:val="none"/>
        </w:rPr>
        <w:t>Morrow L.M. (20</w:t>
      </w:r>
      <w:r w:rsidRPr="004C1BC6">
        <w:rPr>
          <w:rFonts w:ascii="Arial" w:eastAsia="Times New Roman" w:hAnsi="Arial" w:cs="Arial"/>
          <w:kern w:val="0"/>
          <w:lang w:eastAsia="en-GB"/>
          <w14:ligatures w14:val="none"/>
        </w:rPr>
        <w:t>19</w:t>
      </w:r>
      <w:r w:rsidRPr="00803870">
        <w:rPr>
          <w:rFonts w:ascii="Arial" w:eastAsia="Times New Roman" w:hAnsi="Arial" w:cs="Arial"/>
          <w:kern w:val="0"/>
          <w:lang w:eastAsia="en-GB"/>
          <w14:ligatures w14:val="none"/>
        </w:rPr>
        <w:t>). </w:t>
      </w:r>
      <w:r w:rsidRPr="00803870">
        <w:rPr>
          <w:rFonts w:ascii="Arial" w:eastAsia="Times New Roman" w:hAnsi="Arial" w:cs="Arial"/>
          <w:i/>
          <w:iCs/>
          <w:kern w:val="0"/>
          <w:lang w:eastAsia="en-GB"/>
          <w14:ligatures w14:val="none"/>
        </w:rPr>
        <w:t>Literacy development in the early years: Helping children read and write</w:t>
      </w:r>
      <w:r w:rsidRPr="00803870">
        <w:rPr>
          <w:rFonts w:ascii="Arial" w:eastAsia="Times New Roman" w:hAnsi="Arial" w:cs="Arial"/>
          <w:kern w:val="0"/>
          <w:lang w:eastAsia="en-GB"/>
          <w14:ligatures w14:val="none"/>
        </w:rPr>
        <w:t xml:space="preserve"> (9th ed.). </w:t>
      </w:r>
      <w:r>
        <w:rPr>
          <w:rFonts w:ascii="Arial" w:eastAsia="Times New Roman" w:hAnsi="Arial" w:cs="Arial"/>
          <w:kern w:val="0"/>
          <w:lang w:eastAsia="en-GB"/>
          <w14:ligatures w14:val="none"/>
        </w:rPr>
        <w:t>London:</w:t>
      </w:r>
      <w:r w:rsidRPr="00803870">
        <w:rPr>
          <w:rFonts w:ascii="Arial" w:eastAsia="Times New Roman" w:hAnsi="Arial" w:cs="Arial"/>
          <w:kern w:val="0"/>
          <w:lang w:eastAsia="en-GB"/>
          <w14:ligatures w14:val="none"/>
        </w:rPr>
        <w:t xml:space="preserve"> Pearson</w:t>
      </w:r>
      <w:r w:rsidRPr="00803870">
        <w:rPr>
          <w:rFonts w:ascii="Arial" w:eastAsia="Times New Roman" w:hAnsi="Arial" w:cs="Arial"/>
          <w:kern w:val="0"/>
          <w:lang w:eastAsia="en-GB"/>
          <w14:ligatures w14:val="none"/>
        </w:rPr>
        <w:t>.</w:t>
      </w:r>
    </w:p>
    <w:p w14:paraId="52DF3EB3" w14:textId="77777777" w:rsidR="00743376" w:rsidRPr="00A60749"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Morrow, L. M. (20</w:t>
      </w:r>
      <w:r>
        <w:rPr>
          <w:rFonts w:ascii="Arial" w:eastAsia="Times New Roman" w:hAnsi="Arial" w:cs="Arial"/>
          <w:kern w:val="0"/>
          <w:lang w:eastAsia="en-GB"/>
          <w14:ligatures w14:val="none"/>
        </w:rPr>
        <w:t>20</w:t>
      </w:r>
      <w:r w:rsidRPr="00A60749">
        <w:rPr>
          <w:rFonts w:ascii="Arial" w:eastAsia="Times New Roman" w:hAnsi="Arial" w:cs="Arial"/>
          <w:kern w:val="0"/>
          <w:lang w:eastAsia="en-GB"/>
          <w14:ligatures w14:val="none"/>
        </w:rPr>
        <w:t xml:space="preserve">). </w:t>
      </w:r>
      <w:r w:rsidRPr="00A60749">
        <w:rPr>
          <w:rFonts w:ascii="Arial" w:eastAsia="Times New Roman" w:hAnsi="Arial" w:cs="Arial"/>
          <w:i/>
          <w:iCs/>
          <w:kern w:val="0"/>
          <w:lang w:eastAsia="en-GB"/>
          <w14:ligatures w14:val="none"/>
        </w:rPr>
        <w:t>L</w:t>
      </w:r>
      <w:r>
        <w:rPr>
          <w:rFonts w:ascii="Arial" w:eastAsia="Times New Roman" w:hAnsi="Arial" w:cs="Arial"/>
          <w:i/>
          <w:iCs/>
          <w:kern w:val="0"/>
          <w:lang w:eastAsia="en-GB"/>
          <w14:ligatures w14:val="none"/>
        </w:rPr>
        <w:t>iteracy Development in the Early Years, Helping Children Read and Write.</w:t>
      </w:r>
      <w:r>
        <w:rPr>
          <w:rFonts w:ascii="Arial" w:eastAsia="Times New Roman" w:hAnsi="Arial" w:cs="Arial"/>
          <w:kern w:val="0"/>
          <w:lang w:eastAsia="en-GB"/>
          <w14:ligatures w14:val="none"/>
        </w:rPr>
        <w:t xml:space="preserve"> New Jersey, USA:</w:t>
      </w:r>
      <w:r>
        <w:rPr>
          <w:rFonts w:ascii="Arial" w:eastAsia="Times New Roman" w:hAnsi="Arial" w:cs="Arial"/>
          <w:i/>
          <w:iCs/>
          <w:kern w:val="0"/>
          <w:lang w:eastAsia="en-GB"/>
          <w14:ligatures w14:val="none"/>
        </w:rPr>
        <w:t xml:space="preserve"> </w:t>
      </w:r>
      <w:r w:rsidRPr="00A60749">
        <w:rPr>
          <w:rFonts w:ascii="Arial" w:eastAsia="Times New Roman" w:hAnsi="Arial" w:cs="Arial"/>
          <w:kern w:val="0"/>
          <w:lang w:eastAsia="en-GB"/>
          <w14:ligatures w14:val="none"/>
        </w:rPr>
        <w:t>Pearson.</w:t>
      </w:r>
      <w:r>
        <w:rPr>
          <w:rFonts w:ascii="Arial" w:eastAsia="Times New Roman" w:hAnsi="Arial" w:cs="Arial"/>
          <w:kern w:val="0"/>
          <w:lang w:eastAsia="en-GB"/>
          <w14:ligatures w14:val="none"/>
        </w:rPr>
        <w:t xml:space="preserve"> Available at:</w:t>
      </w:r>
      <w:r w:rsidRPr="000B4489">
        <w:t xml:space="preserve"> </w:t>
      </w:r>
      <w:hyperlink r:id="rId37" w:history="1">
        <w:r w:rsidRPr="00D431E1">
          <w:rPr>
            <w:rStyle w:val="Hyperlink"/>
            <w:rFonts w:ascii="Arial" w:eastAsia="Times New Roman" w:hAnsi="Arial" w:cs="Arial"/>
            <w:kern w:val="0"/>
            <w:lang w:eastAsia="en-GB"/>
            <w14:ligatures w14:val="none"/>
          </w:rPr>
          <w:t>https://www.pearsonhighered.com/assets/preface/0/1/3/5/0135175348.pdf</w:t>
        </w:r>
      </w:hyperlink>
      <w:r>
        <w:rPr>
          <w:rFonts w:ascii="Arial" w:eastAsia="Times New Roman" w:hAnsi="Arial" w:cs="Arial"/>
          <w:kern w:val="0"/>
          <w:lang w:eastAsia="en-GB"/>
          <w14:ligatures w14:val="none"/>
        </w:rPr>
        <w:t xml:space="preserve"> </w:t>
      </w:r>
      <w:bookmarkStart w:id="9" w:name="_Hlk190455972"/>
      <w:r>
        <w:rPr>
          <w:rFonts w:ascii="Arial" w:eastAsia="Times New Roman" w:hAnsi="Arial" w:cs="Arial"/>
          <w:kern w:val="0"/>
          <w:lang w:eastAsia="en-GB"/>
          <w14:ligatures w14:val="none"/>
        </w:rPr>
        <w:t>(Accessed 14 February 2025)</w:t>
      </w:r>
    </w:p>
    <w:bookmarkEnd w:id="9"/>
    <w:p w14:paraId="5975315E" w14:textId="77777777" w:rsidR="00743376" w:rsidRPr="00717CFE" w:rsidRDefault="00743376" w:rsidP="00717CFE">
      <w:pPr>
        <w:rPr>
          <w:rFonts w:ascii="Arial" w:hAnsi="Arial" w:cs="Arial"/>
        </w:rPr>
      </w:pPr>
      <w:r w:rsidRPr="00717CFE">
        <w:rPr>
          <w:rFonts w:ascii="Arial" w:hAnsi="Arial" w:cs="Arial"/>
        </w:rPr>
        <w:t>Muenks,</w:t>
      </w:r>
      <w:r>
        <w:rPr>
          <w:rFonts w:ascii="Arial" w:hAnsi="Arial" w:cs="Arial"/>
        </w:rPr>
        <w:t xml:space="preserve"> K, </w:t>
      </w:r>
      <w:r w:rsidRPr="00717CFE">
        <w:rPr>
          <w:rFonts w:ascii="Arial" w:hAnsi="Arial" w:cs="Arial"/>
        </w:rPr>
        <w:t>Wigfield,</w:t>
      </w:r>
      <w:r>
        <w:rPr>
          <w:rFonts w:ascii="Arial" w:hAnsi="Arial" w:cs="Arial"/>
        </w:rPr>
        <w:t xml:space="preserve"> A,</w:t>
      </w:r>
      <w:r w:rsidRPr="00717CFE">
        <w:rPr>
          <w:rFonts w:ascii="Arial" w:hAnsi="Arial" w:cs="Arial"/>
        </w:rPr>
        <w:t xml:space="preserve"> Eccles</w:t>
      </w:r>
      <w:r w:rsidRPr="00717CFE">
        <w:rPr>
          <w:rFonts w:ascii="Arial" w:hAnsi="Arial" w:cs="Arial"/>
        </w:rPr>
        <w:t>,</w:t>
      </w:r>
      <w:r>
        <w:rPr>
          <w:rFonts w:ascii="Arial" w:hAnsi="Arial" w:cs="Arial"/>
        </w:rPr>
        <w:t xml:space="preserve"> J. S. (2018) </w:t>
      </w:r>
      <w:r w:rsidRPr="00717CFE">
        <w:rPr>
          <w:rFonts w:ascii="Arial" w:hAnsi="Arial" w:cs="Arial"/>
        </w:rPr>
        <w:t>I can do this! The development and calibration of children’s expectations for success and competence beliefs,</w:t>
      </w:r>
      <w:r>
        <w:rPr>
          <w:rFonts w:ascii="Arial" w:hAnsi="Arial" w:cs="Arial"/>
        </w:rPr>
        <w:t xml:space="preserve"> </w:t>
      </w:r>
      <w:r w:rsidRPr="00C65A44">
        <w:rPr>
          <w:rFonts w:ascii="Arial" w:hAnsi="Arial" w:cs="Arial"/>
          <w:i/>
          <w:iCs/>
        </w:rPr>
        <w:t>Developmental Review</w:t>
      </w:r>
      <w:r w:rsidRPr="00717CFE">
        <w:rPr>
          <w:rFonts w:ascii="Arial" w:hAnsi="Arial" w:cs="Arial"/>
        </w:rPr>
        <w:t>,</w:t>
      </w:r>
      <w:r>
        <w:rPr>
          <w:rFonts w:ascii="Arial" w:hAnsi="Arial" w:cs="Arial"/>
        </w:rPr>
        <w:t xml:space="preserve"> 48, pp, 24-39 </w:t>
      </w:r>
      <w:hyperlink r:id="rId38" w:history="1">
        <w:r w:rsidRPr="001E7B58">
          <w:rPr>
            <w:rStyle w:val="Hyperlink"/>
            <w:rFonts w:ascii="Arial" w:hAnsi="Arial" w:cs="Arial"/>
          </w:rPr>
          <w:t>https://doi.org/10.1016/j.dr.2018.04.001</w:t>
        </w:r>
      </w:hyperlink>
      <w:r w:rsidRPr="00717CFE">
        <w:rPr>
          <w:rFonts w:ascii="Arial" w:hAnsi="Arial" w:cs="Arial"/>
        </w:rPr>
        <w:t>.</w:t>
      </w:r>
      <w:r>
        <w:rPr>
          <w:rFonts w:ascii="Arial" w:hAnsi="Arial" w:cs="Arial"/>
        </w:rPr>
        <w:t xml:space="preserve"> </w:t>
      </w:r>
      <w:hyperlink r:id="rId39" w:history="1">
        <w:r w:rsidRPr="001E7B58">
          <w:rPr>
            <w:rStyle w:val="Hyperlink"/>
            <w:rFonts w:ascii="Arial" w:hAnsi="Arial" w:cs="Arial"/>
          </w:rPr>
          <w:t>https://www.sciencedirect.com/science/article/abs/pii/S0273229716300958</w:t>
        </w:r>
      </w:hyperlink>
      <w:r>
        <w:rPr>
          <w:rFonts w:ascii="Arial" w:hAnsi="Arial" w:cs="Arial"/>
        </w:rPr>
        <w:t xml:space="preserve"> </w:t>
      </w:r>
      <w:bookmarkStart w:id="10" w:name="_Hlk190617239"/>
      <w:r>
        <w:rPr>
          <w:rFonts w:ascii="Arial" w:hAnsi="Arial" w:cs="Arial"/>
        </w:rPr>
        <w:t>(Accessed 16 February 2025)</w:t>
      </w:r>
      <w:bookmarkEnd w:id="10"/>
    </w:p>
    <w:p w14:paraId="7FF3C2E7" w14:textId="77777777" w:rsidR="00743376" w:rsidRPr="00EB3B31" w:rsidRDefault="00743376" w:rsidP="008A2347">
      <w:pPr>
        <w:spacing w:before="100" w:beforeAutospacing="1" w:after="100" w:afterAutospacing="1" w:line="240" w:lineRule="auto"/>
        <w:rPr>
          <w:rFonts w:ascii="Arial" w:eastAsia="Times New Roman" w:hAnsi="Arial" w:cs="Arial"/>
          <w:color w:val="333333"/>
          <w:kern w:val="0"/>
          <w:lang w:eastAsia="en-GB"/>
          <w14:ligatures w14:val="none"/>
        </w:rPr>
      </w:pPr>
      <w:r w:rsidRPr="00511C18">
        <w:rPr>
          <w:rFonts w:ascii="Arial" w:eastAsia="Times New Roman" w:hAnsi="Arial" w:cs="Arial"/>
          <w:kern w:val="0"/>
          <w:lang w:eastAsia="en-GB"/>
          <w14:ligatures w14:val="none"/>
        </w:rPr>
        <w:t>Palincsar, A</w:t>
      </w:r>
      <w:r>
        <w:rPr>
          <w:rFonts w:ascii="Arial" w:eastAsia="Times New Roman" w:hAnsi="Arial" w:cs="Arial"/>
          <w:kern w:val="0"/>
          <w:lang w:eastAsia="en-GB"/>
          <w14:ligatures w14:val="none"/>
        </w:rPr>
        <w:t>.,</w:t>
      </w:r>
      <w:r w:rsidRPr="00511C18">
        <w:rPr>
          <w:rFonts w:ascii="Arial" w:eastAsia="Times New Roman" w:hAnsi="Arial" w:cs="Arial"/>
          <w:kern w:val="0"/>
          <w:lang w:eastAsia="en-GB"/>
          <w14:ligatures w14:val="none"/>
        </w:rPr>
        <w:t xml:space="preserve"> Herrenkohl, L. (2002). Designing Collaborative Learning Contexts. Theory Into Practice </w:t>
      </w:r>
      <w:r>
        <w:rPr>
          <w:rFonts w:ascii="Arial" w:eastAsia="Times New Roman" w:hAnsi="Arial" w:cs="Arial"/>
          <w:kern w:val="0"/>
          <w:lang w:eastAsia="en-GB"/>
          <w14:ligatures w14:val="none"/>
        </w:rPr>
        <w:t>– Available at:</w:t>
      </w:r>
      <w:r w:rsidRPr="00511C18">
        <w:rPr>
          <w:rFonts w:ascii="Arial" w:eastAsia="Times New Roman" w:hAnsi="Arial" w:cs="Arial"/>
          <w:kern w:val="0"/>
          <w:lang w:eastAsia="en-GB"/>
          <w14:ligatures w14:val="none"/>
        </w:rPr>
        <w:t xml:space="preserve"> THEORY PRACT. 41. 26-32. </w:t>
      </w:r>
      <w:r w:rsidRPr="00ED520F">
        <w:rPr>
          <w:rFonts w:ascii="Arial" w:eastAsia="Times New Roman" w:hAnsi="Arial" w:cs="Arial"/>
          <w:color w:val="4C94D8" w:themeColor="text2" w:themeTint="80"/>
          <w:kern w:val="0"/>
          <w:u w:val="single"/>
          <w:lang w:eastAsia="en-GB"/>
          <w14:ligatures w14:val="none"/>
        </w:rPr>
        <w:t>10.1207/s15430421tip4101_5.</w:t>
      </w:r>
      <w:r w:rsidRPr="00ED520F">
        <w:rPr>
          <w:rFonts w:ascii="Arial" w:eastAsia="Times New Roman" w:hAnsi="Arial" w:cs="Arial"/>
          <w:color w:val="4C94D8" w:themeColor="text2" w:themeTint="80"/>
          <w:kern w:val="0"/>
          <w:lang w:eastAsia="en-GB"/>
          <w14:ligatures w14:val="none"/>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45891D5E" w14:textId="77777777" w:rsidR="00743376" w:rsidRPr="00A60749"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Piaget, J. (1962). </w:t>
      </w:r>
      <w:r w:rsidRPr="00A60749">
        <w:rPr>
          <w:rFonts w:ascii="Arial" w:eastAsia="Times New Roman" w:hAnsi="Arial" w:cs="Arial"/>
          <w:i/>
          <w:iCs/>
          <w:kern w:val="0"/>
          <w:lang w:eastAsia="en-GB"/>
          <w14:ligatures w14:val="none"/>
        </w:rPr>
        <w:t>Play, dreams and imitation in childhood</w:t>
      </w:r>
      <w:r w:rsidRPr="00A6074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New York:</w:t>
      </w:r>
      <w:r w:rsidRPr="00A60749">
        <w:rPr>
          <w:rFonts w:ascii="Arial" w:eastAsia="Times New Roman" w:hAnsi="Arial" w:cs="Arial"/>
          <w:kern w:val="0"/>
          <w:lang w:eastAsia="en-GB"/>
          <w14:ligatures w14:val="none"/>
        </w:rPr>
        <w:t xml:space="preserve"> Norton.</w:t>
      </w:r>
    </w:p>
    <w:p w14:paraId="383865F5" w14:textId="77777777" w:rsidR="00743376" w:rsidRPr="00A60749"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Pinter, </w:t>
      </w:r>
      <w:r>
        <w:rPr>
          <w:rFonts w:ascii="Arial" w:eastAsia="Times New Roman" w:hAnsi="Arial" w:cs="Arial"/>
          <w:kern w:val="0"/>
          <w:lang w:eastAsia="en-GB"/>
          <w14:ligatures w14:val="none"/>
        </w:rPr>
        <w:t>A</w:t>
      </w:r>
      <w:r w:rsidRPr="00A60749">
        <w:rPr>
          <w:rFonts w:ascii="Arial" w:eastAsia="Times New Roman" w:hAnsi="Arial" w:cs="Arial"/>
          <w:kern w:val="0"/>
          <w:lang w:eastAsia="en-GB"/>
          <w14:ligatures w14:val="none"/>
        </w:rPr>
        <w:t xml:space="preserve">. (2017). </w:t>
      </w:r>
      <w:r w:rsidRPr="00A60749">
        <w:rPr>
          <w:rFonts w:ascii="Arial" w:eastAsia="Times New Roman" w:hAnsi="Arial" w:cs="Arial"/>
          <w:i/>
          <w:iCs/>
          <w:kern w:val="0"/>
          <w:lang w:eastAsia="en-GB"/>
          <w14:ligatures w14:val="none"/>
        </w:rPr>
        <w:t>Teaching young language learners</w:t>
      </w:r>
      <w:r w:rsidRPr="00A6074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Oxford, New York: </w:t>
      </w:r>
      <w:r w:rsidRPr="00A60749">
        <w:rPr>
          <w:rFonts w:ascii="Arial" w:eastAsia="Times New Roman" w:hAnsi="Arial" w:cs="Arial"/>
          <w:kern w:val="0"/>
          <w:lang w:eastAsia="en-GB"/>
          <w14:ligatures w14:val="none"/>
        </w:rPr>
        <w:t>Oxford University Press.</w:t>
      </w:r>
    </w:p>
    <w:p w14:paraId="66AC346E" w14:textId="77777777" w:rsidR="00743376" w:rsidRPr="00A60749"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9430E5">
        <w:rPr>
          <w:rFonts w:ascii="Arial" w:hAnsi="Arial" w:cs="Arial"/>
          <w:shd w:val="clear" w:color="auto" w:fill="FFFFFF"/>
        </w:rPr>
        <w:t>Pritchard, A. (Alan M.) (2014) </w:t>
      </w:r>
      <w:r w:rsidRPr="009430E5">
        <w:rPr>
          <w:rFonts w:ascii="Arial" w:hAnsi="Arial" w:cs="Arial"/>
          <w:i/>
          <w:iCs/>
          <w:shd w:val="clear" w:color="auto" w:fill="FFFFFF"/>
        </w:rPr>
        <w:t xml:space="preserve">Ways of </w:t>
      </w:r>
      <w:r w:rsidRPr="009430E5">
        <w:rPr>
          <w:rFonts w:ascii="Arial" w:hAnsi="Arial" w:cs="Arial"/>
          <w:i/>
          <w:iCs/>
          <w:shd w:val="clear" w:color="auto" w:fill="FFFFFF"/>
        </w:rPr>
        <w:t>learning:</w:t>
      </w:r>
      <w:r w:rsidRPr="009430E5">
        <w:rPr>
          <w:rFonts w:ascii="Arial" w:hAnsi="Arial" w:cs="Arial"/>
          <w:i/>
          <w:iCs/>
          <w:shd w:val="clear" w:color="auto" w:fill="FFFFFF"/>
        </w:rPr>
        <w:t xml:space="preserve"> learning theories and learning styles in the classroom</w:t>
      </w:r>
      <w:r w:rsidRPr="009430E5">
        <w:rPr>
          <w:rFonts w:ascii="Arial" w:hAnsi="Arial" w:cs="Arial"/>
          <w:shd w:val="clear" w:color="auto" w:fill="FFFFFF"/>
        </w:rPr>
        <w:t xml:space="preserve">. Third edition. Milton Park, Abingdon, Oxon: Routledge. Available at: </w:t>
      </w:r>
      <w:hyperlink r:id="rId40" w:history="1">
        <w:r w:rsidRPr="00505200">
          <w:rPr>
            <w:rStyle w:val="Hyperlink"/>
            <w:rFonts w:ascii="Arial" w:hAnsi="Arial" w:cs="Arial"/>
            <w:shd w:val="clear" w:color="auto" w:fill="FFFFFF"/>
          </w:rPr>
          <w:t>https://doi.org/10.4324/9781315852089</w:t>
        </w:r>
      </w:hyperlink>
      <w:r w:rsidRPr="00505200">
        <w:rPr>
          <w:rFonts w:ascii="Arial" w:hAnsi="Arial" w:cs="Arial"/>
          <w:color w:val="3A3A3A"/>
          <w:shd w:val="clear" w:color="auto" w:fill="FFFFFF"/>
        </w:rPr>
        <w:t xml:space="preserve">. </w:t>
      </w:r>
      <w:r w:rsidRPr="009430E5">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9430E5">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9430E5">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p>
    <w:p w14:paraId="77644449" w14:textId="77777777" w:rsidR="00743376" w:rsidRPr="006A076F" w:rsidRDefault="00743376" w:rsidP="008A2347">
      <w:pPr>
        <w:spacing w:before="100" w:beforeAutospacing="1" w:after="100" w:afterAutospacing="1" w:line="240" w:lineRule="auto"/>
        <w:rPr>
          <w:rFonts w:ascii="Arial" w:hAnsi="Arial" w:cs="Arial"/>
          <w:color w:val="3A3A3A"/>
          <w:shd w:val="clear" w:color="auto" w:fill="FFFFFF"/>
        </w:rPr>
      </w:pPr>
      <w:r w:rsidRPr="006A076F">
        <w:rPr>
          <w:rFonts w:ascii="Arial" w:hAnsi="Arial" w:cs="Arial"/>
          <w:color w:val="3A3A3A"/>
          <w:shd w:val="clear" w:color="auto" w:fill="FFFFFF"/>
        </w:rPr>
        <w:t>Pritchard, A. (Alan M.) (2018) </w:t>
      </w:r>
      <w:r w:rsidRPr="006A076F">
        <w:rPr>
          <w:rFonts w:ascii="Arial" w:hAnsi="Arial" w:cs="Arial"/>
          <w:i/>
          <w:iCs/>
          <w:color w:val="3A3A3A"/>
          <w:shd w:val="clear" w:color="auto" w:fill="FFFFFF"/>
        </w:rPr>
        <w:t xml:space="preserve">Ways of </w:t>
      </w:r>
      <w:r w:rsidRPr="006A076F">
        <w:rPr>
          <w:rFonts w:ascii="Arial" w:hAnsi="Arial" w:cs="Arial"/>
          <w:i/>
          <w:iCs/>
          <w:color w:val="3A3A3A"/>
          <w:shd w:val="clear" w:color="auto" w:fill="FFFFFF"/>
        </w:rPr>
        <w:t>learning:</w:t>
      </w:r>
      <w:r w:rsidRPr="006A076F">
        <w:rPr>
          <w:rFonts w:ascii="Arial" w:hAnsi="Arial" w:cs="Arial"/>
          <w:i/>
          <w:iCs/>
          <w:color w:val="3A3A3A"/>
          <w:shd w:val="clear" w:color="auto" w:fill="FFFFFF"/>
        </w:rPr>
        <w:t xml:space="preserve"> learning theories for the classroom</w:t>
      </w:r>
      <w:r w:rsidRPr="006A076F">
        <w:rPr>
          <w:rFonts w:ascii="Arial" w:hAnsi="Arial" w:cs="Arial"/>
          <w:color w:val="3A3A3A"/>
          <w:shd w:val="clear" w:color="auto" w:fill="FFFFFF"/>
        </w:rPr>
        <w:t xml:space="preserve">. Fourth edition. Abingdon, </w:t>
      </w:r>
      <w:r w:rsidRPr="006A076F">
        <w:rPr>
          <w:rFonts w:ascii="Arial" w:hAnsi="Arial" w:cs="Arial"/>
          <w:color w:val="3A3A3A"/>
          <w:shd w:val="clear" w:color="auto" w:fill="FFFFFF"/>
        </w:rPr>
        <w:t>Oxon:</w:t>
      </w:r>
      <w:r w:rsidRPr="006A076F">
        <w:rPr>
          <w:rFonts w:ascii="Arial" w:hAnsi="Arial" w:cs="Arial"/>
          <w:color w:val="3A3A3A"/>
          <w:shd w:val="clear" w:color="auto" w:fill="FFFFFF"/>
        </w:rPr>
        <w:t xml:space="preserve"> Routledge.</w:t>
      </w:r>
    </w:p>
    <w:p w14:paraId="5C9CAD0A" w14:textId="6A67F7BC" w:rsidR="00743376" w:rsidRPr="007D6A92" w:rsidRDefault="00743376" w:rsidP="00DF3046">
      <w:pPr>
        <w:shd w:val="clear" w:color="auto" w:fill="FFFFFF"/>
        <w:spacing w:before="100" w:beforeAutospacing="1" w:after="100" w:afterAutospacing="1" w:line="240" w:lineRule="auto"/>
        <w:rPr>
          <w:rFonts w:ascii="Arial" w:hAnsi="Arial" w:cs="Arial"/>
          <w:color w:val="3A3A3A"/>
          <w:shd w:val="clear" w:color="auto" w:fill="FFFFFF"/>
        </w:rPr>
      </w:pPr>
      <w:r w:rsidRPr="007D00FC">
        <w:rPr>
          <w:rFonts w:ascii="Arial" w:hAnsi="Arial" w:cs="Arial"/>
          <w:color w:val="3A3A3A"/>
          <w:shd w:val="clear" w:color="auto" w:fill="FFFFFF"/>
        </w:rPr>
        <w:t>Reilly, D. </w:t>
      </w:r>
      <w:r w:rsidRPr="007D00FC">
        <w:rPr>
          <w:rFonts w:ascii="Arial" w:hAnsi="Arial" w:cs="Arial"/>
          <w:i/>
          <w:iCs/>
          <w:color w:val="3A3A3A"/>
          <w:shd w:val="clear" w:color="auto" w:fill="FFFFFF"/>
        </w:rPr>
        <w:t>et al.</w:t>
      </w:r>
      <w:r w:rsidRPr="007D00FC">
        <w:rPr>
          <w:rFonts w:ascii="Arial" w:hAnsi="Arial" w:cs="Arial"/>
          <w:color w:val="3A3A3A"/>
          <w:shd w:val="clear" w:color="auto" w:fill="FFFFFF"/>
        </w:rPr>
        <w:t> (2019) ‘Gender Differences in Reading and Writing Achievement: Evidence From the National Assessment of Educational Progress (NAEP)’, </w:t>
      </w:r>
      <w:r w:rsidRPr="007D00FC">
        <w:rPr>
          <w:rFonts w:ascii="Arial" w:hAnsi="Arial" w:cs="Arial"/>
          <w:i/>
          <w:iCs/>
          <w:color w:val="3A3A3A"/>
          <w:shd w:val="clear" w:color="auto" w:fill="FFFFFF"/>
        </w:rPr>
        <w:t>The American psychologist</w:t>
      </w:r>
      <w:r w:rsidRPr="007D00FC">
        <w:rPr>
          <w:rFonts w:ascii="Arial" w:hAnsi="Arial" w:cs="Arial"/>
          <w:color w:val="3A3A3A"/>
          <w:shd w:val="clear" w:color="auto" w:fill="FFFFFF"/>
        </w:rPr>
        <w:t xml:space="preserve">, 74(4), pp. 445–458. Available at: </w:t>
      </w:r>
      <w:hyperlink r:id="rId41" w:history="1">
        <w:r w:rsidRPr="007D00FC">
          <w:rPr>
            <w:rStyle w:val="Hyperlink"/>
            <w:rFonts w:ascii="Arial" w:hAnsi="Arial" w:cs="Arial"/>
            <w:shd w:val="clear" w:color="auto" w:fill="FFFFFF"/>
          </w:rPr>
          <w:t>https://doi.org/10.1037/amp0000356</w:t>
        </w:r>
      </w:hyperlink>
      <w:r w:rsidRPr="007D00FC">
        <w:rPr>
          <w:rFonts w:ascii="Arial" w:hAnsi="Arial" w:cs="Arial"/>
          <w:color w:val="3A3A3A"/>
          <w:shd w:val="clear" w:color="auto" w:fill="FFFFFF"/>
        </w:rPr>
        <w:t>.</w:t>
      </w:r>
      <w:r w:rsidRPr="007D00FC">
        <w:rPr>
          <w:rFonts w:ascii="Arial" w:hAnsi="Arial" w:cs="Arial"/>
          <w:color w:val="3A3A3A"/>
          <w:shd w:val="clear" w:color="auto" w:fill="FFFFFF"/>
        </w:rPr>
        <w:t xml:space="preserve"> </w:t>
      </w:r>
      <w:r w:rsidR="007D6A92">
        <w:rPr>
          <w:rFonts w:ascii="Arial" w:hAnsi="Arial" w:cs="Arial"/>
          <w:color w:val="3A3A3A"/>
          <w:shd w:val="clear" w:color="auto" w:fill="FFFFFF"/>
        </w:rPr>
        <w:t>(Accessed 15 February 2025)</w:t>
      </w:r>
    </w:p>
    <w:p w14:paraId="01A730AD" w14:textId="77777777" w:rsidR="00743376" w:rsidRPr="00C21AA5"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C21AA5">
        <w:rPr>
          <w:rFonts w:ascii="Arial" w:hAnsi="Arial" w:cs="Arial"/>
          <w:shd w:val="clear" w:color="auto" w:fill="FFFFFF"/>
        </w:rPr>
        <w:t>Rogoff, B. (2003) </w:t>
      </w:r>
      <w:r w:rsidRPr="00C21AA5">
        <w:rPr>
          <w:rFonts w:ascii="Arial" w:hAnsi="Arial" w:cs="Arial"/>
          <w:i/>
          <w:iCs/>
          <w:shd w:val="clear" w:color="auto" w:fill="FFFFFF"/>
        </w:rPr>
        <w:t>The cultural nature of human development</w:t>
      </w:r>
      <w:r w:rsidRPr="00C21AA5">
        <w:rPr>
          <w:rFonts w:ascii="Arial" w:hAnsi="Arial" w:cs="Arial"/>
          <w:shd w:val="clear" w:color="auto" w:fill="FFFFFF"/>
        </w:rPr>
        <w:t>. 1st ed.</w:t>
      </w:r>
      <w:r w:rsidRPr="00C21AA5">
        <w:rPr>
          <w:rFonts w:ascii="Arial" w:hAnsi="Arial" w:cs="Arial"/>
          <w:shd w:val="clear" w:color="auto" w:fill="FFFFFF"/>
        </w:rPr>
        <w:t xml:space="preserve"> Oxford,</w:t>
      </w:r>
      <w:r w:rsidRPr="00C21AA5">
        <w:rPr>
          <w:rFonts w:ascii="Arial" w:hAnsi="Arial" w:cs="Arial"/>
          <w:shd w:val="clear" w:color="auto" w:fill="FFFFFF"/>
        </w:rPr>
        <w:t xml:space="preserve"> New York: Oxford University Press.</w:t>
      </w:r>
    </w:p>
    <w:p w14:paraId="060320BD" w14:textId="77777777" w:rsidR="00743376" w:rsidRDefault="00743376" w:rsidP="008A2347">
      <w:pPr>
        <w:spacing w:before="100" w:beforeAutospacing="1" w:after="100" w:afterAutospacing="1" w:line="240" w:lineRule="auto"/>
        <w:rPr>
          <w:rFonts w:ascii="Arial" w:eastAsia="Times New Roman" w:hAnsi="Arial" w:cs="Arial"/>
          <w:color w:val="333333"/>
          <w:kern w:val="0"/>
          <w:lang w:eastAsia="en-GB"/>
          <w14:ligatures w14:val="none"/>
        </w:rPr>
      </w:pPr>
      <w:r w:rsidRPr="00D8388D">
        <w:rPr>
          <w:rFonts w:ascii="Arial" w:hAnsi="Arial" w:cs="Arial"/>
        </w:rPr>
        <w:t xml:space="preserve">Rollo, G., &amp; Picker, K. (2024). Unpacking the science of reading research. Australian Council for Educational Research. </w:t>
      </w:r>
      <w:hyperlink r:id="rId42" w:history="1">
        <w:r w:rsidRPr="00D8388D">
          <w:rPr>
            <w:rStyle w:val="Hyperlink"/>
            <w:rFonts w:ascii="Arial" w:hAnsi="Arial" w:cs="Arial"/>
          </w:rPr>
          <w:t>https://doi.org/10.37517/978-1-74286-742-7</w:t>
        </w:r>
      </w:hyperlink>
      <w:r w:rsidRPr="00D8388D">
        <w:rPr>
          <w:rFonts w:ascii="Arial" w:hAnsi="Arial" w:cs="Arial"/>
        </w:rPr>
        <w:t xml:space="preserve"> </w:t>
      </w:r>
      <w:r w:rsidRPr="00D8388D">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15 Feb 2025</w:t>
      </w:r>
      <w:r w:rsidRPr="00D8388D">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410B9581" w14:textId="77777777" w:rsidR="00743376" w:rsidRPr="00E00A21"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E00A21">
        <w:rPr>
          <w:rFonts w:ascii="Arial" w:hAnsi="Arial" w:cs="Arial"/>
          <w:color w:val="3A3A3A"/>
          <w:shd w:val="clear" w:color="auto" w:fill="FFFFFF"/>
        </w:rPr>
        <w:t xml:space="preserve">Sabu, K. and Rao, P. (2024) ‘Predicting children’s perceived reading proficiency with prosody </w:t>
      </w:r>
      <w:r w:rsidRPr="00E00A21">
        <w:rPr>
          <w:rFonts w:ascii="Arial" w:hAnsi="Arial" w:cs="Arial"/>
          <w:color w:val="3A3A3A"/>
          <w:shd w:val="clear" w:color="auto" w:fill="FFFFFF"/>
        </w:rPr>
        <w:t>modelling</w:t>
      </w:r>
      <w:r w:rsidRPr="00E00A21">
        <w:rPr>
          <w:rFonts w:ascii="Arial" w:hAnsi="Arial" w:cs="Arial"/>
          <w:color w:val="3A3A3A"/>
          <w:shd w:val="clear" w:color="auto" w:fill="FFFFFF"/>
        </w:rPr>
        <w:t>’, </w:t>
      </w:r>
      <w:r w:rsidRPr="00E00A21">
        <w:rPr>
          <w:rFonts w:ascii="Arial" w:hAnsi="Arial" w:cs="Arial"/>
          <w:i/>
          <w:iCs/>
          <w:color w:val="3A3A3A"/>
          <w:shd w:val="clear" w:color="auto" w:fill="FFFFFF"/>
        </w:rPr>
        <w:t>Computer speech &amp; language</w:t>
      </w:r>
      <w:r w:rsidRPr="00E00A21">
        <w:rPr>
          <w:rFonts w:ascii="Arial" w:hAnsi="Arial" w:cs="Arial"/>
          <w:color w:val="3A3A3A"/>
          <w:shd w:val="clear" w:color="auto" w:fill="FFFFFF"/>
        </w:rPr>
        <w:t xml:space="preserve">, 84, pp. 101557-. Available at: </w:t>
      </w:r>
      <w:hyperlink r:id="rId43" w:history="1">
        <w:r w:rsidRPr="00E00A21">
          <w:rPr>
            <w:rStyle w:val="Hyperlink"/>
            <w:rFonts w:ascii="Arial" w:hAnsi="Arial" w:cs="Arial"/>
            <w:shd w:val="clear" w:color="auto" w:fill="FFFFFF"/>
          </w:rPr>
          <w:t>https://doi.org/10.1016/j.csl.2023.101557</w:t>
        </w:r>
      </w:hyperlink>
      <w:r w:rsidRPr="00E00A21">
        <w:rPr>
          <w:rFonts w:ascii="Arial" w:hAnsi="Arial" w:cs="Arial"/>
          <w:color w:val="3A3A3A"/>
          <w:shd w:val="clear" w:color="auto" w:fill="FFFFFF"/>
        </w:rPr>
        <w:t>.</w:t>
      </w:r>
      <w:r w:rsidRPr="00E00A21">
        <w:rPr>
          <w:rFonts w:ascii="Arial" w:hAnsi="Arial" w:cs="Arial"/>
          <w:color w:val="3A3A3A"/>
          <w:shd w:val="clear" w:color="auto" w:fill="FFFFFF"/>
        </w:rPr>
        <w:t xml:space="preserve"> </w:t>
      </w:r>
      <w:r w:rsidRPr="00E00A21">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E00A21">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E00A21">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74734697" w14:textId="77777777" w:rsidR="00743376" w:rsidRPr="00451880" w:rsidRDefault="00743376" w:rsidP="008A2347">
      <w:pPr>
        <w:spacing w:before="100" w:beforeAutospacing="1" w:after="100" w:afterAutospacing="1" w:line="240" w:lineRule="auto"/>
        <w:rPr>
          <w:rFonts w:ascii="Arial" w:hAnsi="Arial" w:cs="Arial"/>
          <w:shd w:val="clear" w:color="auto" w:fill="FFFFFF"/>
        </w:rPr>
      </w:pPr>
      <w:r w:rsidRPr="00451880">
        <w:rPr>
          <w:rFonts w:ascii="Arial" w:hAnsi="Arial" w:cs="Arial"/>
          <w:shd w:val="clear" w:color="auto" w:fill="FFFFFF"/>
        </w:rPr>
        <w:t>Schachtner, C. (2020) </w:t>
      </w:r>
      <w:r w:rsidRPr="00451880">
        <w:rPr>
          <w:rFonts w:ascii="Arial" w:hAnsi="Arial" w:cs="Arial"/>
          <w:i/>
          <w:iCs/>
          <w:shd w:val="clear" w:color="auto" w:fill="FFFFFF"/>
        </w:rPr>
        <w:t xml:space="preserve">The narrative </w:t>
      </w:r>
      <w:r w:rsidRPr="00451880">
        <w:rPr>
          <w:rFonts w:ascii="Arial" w:hAnsi="Arial" w:cs="Arial"/>
          <w:i/>
          <w:iCs/>
          <w:shd w:val="clear" w:color="auto" w:fill="FFFFFF"/>
        </w:rPr>
        <w:t>subject:</w:t>
      </w:r>
      <w:r w:rsidRPr="00451880">
        <w:rPr>
          <w:rFonts w:ascii="Arial" w:hAnsi="Arial" w:cs="Arial"/>
          <w:i/>
          <w:iCs/>
          <w:shd w:val="clear" w:color="auto" w:fill="FFFFFF"/>
        </w:rPr>
        <w:t xml:space="preserve"> storytelling in the age of the internet</w:t>
      </w:r>
      <w:r w:rsidRPr="00451880">
        <w:rPr>
          <w:rFonts w:ascii="Arial" w:hAnsi="Arial" w:cs="Arial"/>
          <w:shd w:val="clear" w:color="auto" w:fill="FFFFFF"/>
        </w:rPr>
        <w:t>. Bielefeld: Verlag der Österreichischen Akademie der Wissenschaften.</w:t>
      </w:r>
    </w:p>
    <w:p w14:paraId="05680FD0" w14:textId="77777777" w:rsidR="00743376" w:rsidRPr="002919A7" w:rsidRDefault="00743376" w:rsidP="008A2347">
      <w:pPr>
        <w:spacing w:before="100" w:beforeAutospacing="1" w:after="100" w:afterAutospacing="1" w:line="240" w:lineRule="auto"/>
        <w:rPr>
          <w:rFonts w:ascii="Arial" w:eastAsia="Times New Roman" w:hAnsi="Arial" w:cs="Arial"/>
          <w:kern w:val="0"/>
          <w:lang w:eastAsia="en-GB"/>
          <w14:ligatures w14:val="none"/>
        </w:rPr>
      </w:pPr>
      <w:bookmarkStart w:id="11" w:name="_Hlk190684106"/>
      <w:r w:rsidRPr="007D6A92">
        <w:rPr>
          <w:rFonts w:ascii="Arial" w:hAnsi="Arial" w:cs="Arial"/>
          <w:shd w:val="clear" w:color="auto" w:fill="FFFFFF"/>
        </w:rPr>
        <w:t xml:space="preserve">Shukla, M., White, K.S. and Aslin, R.N. (2011) </w:t>
      </w:r>
      <w:bookmarkEnd w:id="11"/>
      <w:r w:rsidRPr="007D6A92">
        <w:rPr>
          <w:rFonts w:ascii="Arial" w:hAnsi="Arial" w:cs="Arial"/>
          <w:shd w:val="clear" w:color="auto" w:fill="FFFFFF"/>
        </w:rPr>
        <w:t>‘Prosody guides the rapid mapping of auditory word forms onto visual objects in 6-mo-old infants’, </w:t>
      </w:r>
      <w:r w:rsidRPr="007D6A92">
        <w:rPr>
          <w:rFonts w:ascii="Arial" w:hAnsi="Arial" w:cs="Arial"/>
          <w:i/>
          <w:iCs/>
          <w:shd w:val="clear" w:color="auto" w:fill="FFFFFF"/>
        </w:rPr>
        <w:t>Proceedings of the National Academy of Sciences - PNAS</w:t>
      </w:r>
      <w:r w:rsidRPr="007D6A92">
        <w:rPr>
          <w:rFonts w:ascii="Arial" w:hAnsi="Arial" w:cs="Arial"/>
          <w:shd w:val="clear" w:color="auto" w:fill="FFFFFF"/>
        </w:rPr>
        <w:t xml:space="preserve">, 108(15), pp. 6038–6043. Available at: </w:t>
      </w:r>
      <w:hyperlink r:id="rId44" w:history="1">
        <w:r w:rsidRPr="002919A7">
          <w:rPr>
            <w:rStyle w:val="Hyperlink"/>
            <w:rFonts w:ascii="Arial" w:hAnsi="Arial" w:cs="Arial"/>
            <w:shd w:val="clear" w:color="auto" w:fill="FFFFFF"/>
          </w:rPr>
          <w:t>https://doi.org/10.1073/pnas.1017617108</w:t>
        </w:r>
      </w:hyperlink>
      <w:r w:rsidRPr="002919A7">
        <w:rPr>
          <w:rFonts w:ascii="Arial" w:hAnsi="Arial" w:cs="Arial"/>
          <w:color w:val="3A3A3A"/>
          <w:shd w:val="clear" w:color="auto" w:fill="FFFFFF"/>
        </w:rPr>
        <w:t>.</w:t>
      </w:r>
      <w:r w:rsidRPr="002919A7">
        <w:rPr>
          <w:rFonts w:ascii="Arial" w:hAnsi="Arial" w:cs="Arial"/>
          <w:color w:val="3A3A3A"/>
          <w:shd w:val="clear" w:color="auto" w:fill="FFFFFF"/>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043342E8" w14:textId="77777777" w:rsidR="00743376"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Souto-Manning, M.</w:t>
      </w:r>
      <w:r>
        <w:rPr>
          <w:rFonts w:ascii="Arial" w:eastAsia="Times New Roman" w:hAnsi="Arial" w:cs="Arial"/>
          <w:kern w:val="0"/>
          <w:lang w:eastAsia="en-GB"/>
          <w14:ligatures w14:val="none"/>
        </w:rPr>
        <w:t>, Ryan, S. (Eds)</w:t>
      </w:r>
      <w:r w:rsidRPr="00A60749">
        <w:rPr>
          <w:rFonts w:ascii="Arial" w:eastAsia="Times New Roman" w:hAnsi="Arial" w:cs="Arial"/>
          <w:kern w:val="0"/>
          <w:lang w:eastAsia="en-GB"/>
          <w14:ligatures w14:val="none"/>
        </w:rPr>
        <w:t xml:space="preserve"> (201</w:t>
      </w:r>
      <w:r>
        <w:rPr>
          <w:rFonts w:ascii="Arial" w:eastAsia="Times New Roman" w:hAnsi="Arial" w:cs="Arial"/>
          <w:kern w:val="0"/>
          <w:lang w:eastAsia="en-GB"/>
          <w14:ligatures w14:val="none"/>
        </w:rPr>
        <w:t>3) Multicultural Teaching in the Early Childhood Classroom: Approaches, Strategies and Tools, Preschool – 2</w:t>
      </w:r>
      <w:r w:rsidRPr="0016079C">
        <w:rPr>
          <w:rFonts w:ascii="Arial" w:eastAsia="Times New Roman" w:hAnsi="Arial" w:cs="Arial"/>
          <w:kern w:val="0"/>
          <w:vertAlign w:val="superscript"/>
          <w:lang w:eastAsia="en-GB"/>
          <w14:ligatures w14:val="none"/>
        </w:rPr>
        <w:t>nd</w:t>
      </w:r>
      <w:r>
        <w:rPr>
          <w:rFonts w:ascii="Arial" w:eastAsia="Times New Roman" w:hAnsi="Arial" w:cs="Arial"/>
          <w:kern w:val="0"/>
          <w:lang w:eastAsia="en-GB"/>
          <w14:ligatures w14:val="none"/>
        </w:rPr>
        <w:t xml:space="preserve"> Grade (Early Childhood Education)</w:t>
      </w:r>
      <w:r w:rsidRPr="00864495">
        <w:rPr>
          <w:rFonts w:ascii="Arial" w:eastAsia="Times New Roman" w:hAnsi="Arial" w:cs="Arial"/>
          <w:color w:val="0F1111"/>
          <w:kern w:val="0"/>
          <w:sz w:val="21"/>
          <w:szCs w:val="21"/>
          <w:lang w:eastAsia="en-GB"/>
          <w14:ligatures w14:val="none"/>
        </w:rPr>
        <w:t xml:space="preserve"> </w:t>
      </w:r>
      <w:r w:rsidRPr="00BA74A8">
        <w:rPr>
          <w:rFonts w:ascii="Arial" w:eastAsia="Times New Roman" w:hAnsi="Arial" w:cs="Arial"/>
          <w:color w:val="0F1111"/>
          <w:kern w:val="0"/>
          <w:lang w:eastAsia="en-GB"/>
          <w14:ligatures w14:val="none"/>
        </w:rPr>
        <w:t>New York:</w:t>
      </w:r>
      <w:r>
        <w:rPr>
          <w:rFonts w:ascii="Arial" w:eastAsia="Times New Roman" w:hAnsi="Arial" w:cs="Arial"/>
          <w:color w:val="0F1111"/>
          <w:kern w:val="0"/>
          <w:sz w:val="21"/>
          <w:szCs w:val="21"/>
          <w:lang w:eastAsia="en-GB"/>
          <w14:ligatures w14:val="none"/>
        </w:rPr>
        <w:t xml:space="preserve"> </w:t>
      </w:r>
      <w:r>
        <w:rPr>
          <w:rFonts w:ascii="Arial" w:eastAsia="Times New Roman" w:hAnsi="Arial" w:cs="Arial"/>
          <w:kern w:val="0"/>
          <w:lang w:eastAsia="en-GB"/>
          <w14:ligatures w14:val="none"/>
        </w:rPr>
        <w:t>Teachers College Press</w:t>
      </w:r>
    </w:p>
    <w:p w14:paraId="3D9A756E" w14:textId="77777777" w:rsidR="00743376" w:rsidRPr="003842A6" w:rsidRDefault="00743376" w:rsidP="003842A6">
      <w:pPr>
        <w:spacing w:before="100" w:beforeAutospacing="1" w:after="100" w:afterAutospacing="1" w:line="240" w:lineRule="auto"/>
        <w:rPr>
          <w:rFonts w:ascii="Arial" w:eastAsia="Times New Roman" w:hAnsi="Arial" w:cs="Arial"/>
          <w:kern w:val="0"/>
          <w:lang w:eastAsia="en-GB"/>
          <w14:ligatures w14:val="none"/>
        </w:rPr>
      </w:pPr>
      <w:r w:rsidRPr="003842A6">
        <w:rPr>
          <w:rFonts w:ascii="Arial" w:hAnsi="Arial" w:cs="Arial"/>
          <w:color w:val="000000"/>
          <w:shd w:val="clear" w:color="auto" w:fill="FFFFFF"/>
        </w:rPr>
        <w:t>Stam, G., &amp; Urbanski, K.</w:t>
      </w:r>
      <w:r w:rsidRPr="003842A6">
        <w:rPr>
          <w:rFonts w:ascii="Arial" w:hAnsi="Arial" w:cs="Arial"/>
          <w:color w:val="000000"/>
          <w:shd w:val="clear" w:color="auto" w:fill="FFFFFF"/>
        </w:rPr>
        <w:t xml:space="preserve"> </w:t>
      </w:r>
      <w:r w:rsidRPr="003842A6">
        <w:rPr>
          <w:rFonts w:ascii="Arial" w:hAnsi="Arial" w:cs="Arial"/>
          <w:color w:val="000000"/>
          <w:shd w:val="clear" w:color="auto" w:fill="FFFFFF"/>
        </w:rPr>
        <w:t xml:space="preserve">(Eds.). (2022). Gesture and Multimodality in Second Language Acquisition: A Research Guide (1st ed.). Routledge. </w:t>
      </w:r>
      <w:hyperlink r:id="rId45" w:history="1">
        <w:r w:rsidRPr="003842A6">
          <w:rPr>
            <w:rStyle w:val="Hyperlink"/>
            <w:rFonts w:ascii="Arial" w:hAnsi="Arial" w:cs="Arial"/>
            <w:shd w:val="clear" w:color="auto" w:fill="FFFFFF"/>
          </w:rPr>
          <w:t>https://doi.org/10.4324/9781003100683</w:t>
        </w:r>
      </w:hyperlink>
      <w:r w:rsidRPr="003842A6">
        <w:rPr>
          <w:rFonts w:ascii="Arial" w:hAnsi="Arial" w:cs="Arial"/>
          <w:color w:val="000000"/>
          <w:shd w:val="clear" w:color="auto" w:fill="FFFFFF"/>
        </w:rPr>
        <w:t xml:space="preserve"> </w:t>
      </w:r>
      <w:r w:rsidRPr="003842A6">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3842A6">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3842A6">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6997CACF" w14:textId="77777777" w:rsidR="00743376" w:rsidRPr="002919A7" w:rsidRDefault="00743376" w:rsidP="00965801">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Suggate, S. </w:t>
      </w:r>
      <w:r w:rsidRPr="007D6A92">
        <w:rPr>
          <w:rFonts w:ascii="Arial" w:hAnsi="Arial" w:cs="Arial"/>
          <w:i/>
          <w:iCs/>
          <w:shd w:val="clear" w:color="auto" w:fill="FFFFFF"/>
        </w:rPr>
        <w:t>et al.</w:t>
      </w:r>
      <w:r w:rsidRPr="007D6A92">
        <w:rPr>
          <w:rFonts w:ascii="Arial" w:hAnsi="Arial" w:cs="Arial"/>
          <w:shd w:val="clear" w:color="auto" w:fill="FFFFFF"/>
        </w:rPr>
        <w:t> (2018) ‘From infancy to adolescence: The longitudinal links between vocabulary, early literacy skills, oral narrative, and reading comprehension’, </w:t>
      </w:r>
      <w:r w:rsidRPr="007D6A92">
        <w:rPr>
          <w:rFonts w:ascii="Arial" w:hAnsi="Arial" w:cs="Arial"/>
          <w:i/>
          <w:iCs/>
          <w:shd w:val="clear" w:color="auto" w:fill="FFFFFF"/>
        </w:rPr>
        <w:t>Cognitive development</w:t>
      </w:r>
      <w:r w:rsidRPr="007D6A92">
        <w:rPr>
          <w:rFonts w:ascii="Arial" w:hAnsi="Arial" w:cs="Arial"/>
          <w:shd w:val="clear" w:color="auto" w:fill="FFFFFF"/>
        </w:rPr>
        <w:t xml:space="preserve">, 47, pp. 82–95. Available at: </w:t>
      </w:r>
      <w:hyperlink r:id="rId46" w:history="1">
        <w:r w:rsidRPr="008467E2">
          <w:rPr>
            <w:rStyle w:val="Hyperlink"/>
            <w:rFonts w:ascii="Arial" w:hAnsi="Arial" w:cs="Arial"/>
            <w:shd w:val="clear" w:color="auto" w:fill="FFFFFF"/>
          </w:rPr>
          <w:t>https://doi.org/10.1016/j.cogdev.2018.04.005</w:t>
        </w:r>
      </w:hyperlink>
      <w:r w:rsidRPr="008467E2">
        <w:rPr>
          <w:rFonts w:ascii="Arial" w:hAnsi="Arial" w:cs="Arial"/>
          <w:color w:val="3A3A3A"/>
          <w:shd w:val="clear" w:color="auto" w:fill="FFFFFF"/>
        </w:rPr>
        <w:t>.</w:t>
      </w:r>
      <w:r w:rsidRPr="008467E2">
        <w:rPr>
          <w:rFonts w:ascii="Arial" w:hAnsi="Arial" w:cs="Arial"/>
          <w:color w:val="3A3A3A"/>
          <w:shd w:val="clear" w:color="auto" w:fill="FFFFFF"/>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Pr>
          <w:rFonts w:ascii="Arial" w:eastAsia="Times New Roman" w:hAnsi="Arial" w:cs="Arial"/>
          <w:color w:val="333333"/>
          <w:kern w:val="0"/>
          <w:lang w:eastAsia="en-GB"/>
          <w14:ligatures w14:val="none"/>
        </w:rPr>
        <w:t>6</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7F4C5CD5" w14:textId="77777777" w:rsidR="00743376" w:rsidRPr="009525C2"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Tallman, A.J.R. (2021) ‘Caroline Féry, Intonation and prosodic structure (Key Topics in Phonology). Cambridge: Cambridge University Press, 2017. Pp. ix + 374’, </w:t>
      </w:r>
      <w:r w:rsidRPr="007D6A92">
        <w:rPr>
          <w:rFonts w:ascii="Arial" w:hAnsi="Arial" w:cs="Arial"/>
          <w:i/>
          <w:iCs/>
          <w:shd w:val="clear" w:color="auto" w:fill="FFFFFF"/>
        </w:rPr>
        <w:t>Journal of linguistics</w:t>
      </w:r>
      <w:r w:rsidRPr="007D6A92">
        <w:rPr>
          <w:rFonts w:ascii="Arial" w:hAnsi="Arial" w:cs="Arial"/>
          <w:shd w:val="clear" w:color="auto" w:fill="FFFFFF"/>
        </w:rPr>
        <w:t xml:space="preserve">, 57(1), pp. 208–214. Available at: </w:t>
      </w:r>
      <w:hyperlink r:id="rId47" w:history="1">
        <w:r w:rsidRPr="009525C2">
          <w:rPr>
            <w:rStyle w:val="Hyperlink"/>
            <w:rFonts w:ascii="Arial" w:hAnsi="Arial" w:cs="Arial"/>
            <w:shd w:val="clear" w:color="auto" w:fill="FFFFFF"/>
          </w:rPr>
          <w:t>https://doi.org/10.1017/S0022226720000456</w:t>
        </w:r>
      </w:hyperlink>
      <w:r w:rsidRPr="009525C2">
        <w:rPr>
          <w:rFonts w:ascii="Arial" w:hAnsi="Arial" w:cs="Arial"/>
          <w:color w:val="3A3A3A"/>
          <w:shd w:val="clear" w:color="auto" w:fill="FFFFFF"/>
        </w:rPr>
        <w:t>.</w:t>
      </w:r>
      <w:r w:rsidRPr="009525C2">
        <w:rPr>
          <w:rFonts w:ascii="Arial" w:hAnsi="Arial" w:cs="Arial"/>
          <w:color w:val="3A3A3A"/>
          <w:shd w:val="clear" w:color="auto" w:fill="FFFFFF"/>
        </w:rPr>
        <w:t xml:space="preserve"> </w:t>
      </w:r>
      <w:r w:rsidRPr="009525C2">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9525C2">
        <w:rPr>
          <w:rFonts w:ascii="Arial" w:eastAsia="Times New Roman" w:hAnsi="Arial" w:cs="Arial"/>
          <w:color w:val="333333"/>
          <w:kern w:val="0"/>
          <w:lang w:eastAsia="en-GB"/>
          <w14:ligatures w14:val="none"/>
        </w:rPr>
        <w:t>6</w:t>
      </w:r>
      <w:r w:rsidRPr="00902CD8">
        <w:rPr>
          <w:rFonts w:ascii="Arial" w:eastAsia="Times New Roman" w:hAnsi="Arial" w:cs="Arial"/>
          <w:color w:val="333333"/>
          <w:kern w:val="0"/>
          <w:lang w:eastAsia="en-GB"/>
          <w14:ligatures w14:val="none"/>
        </w:rPr>
        <w:t xml:space="preserve"> Feb 2025</w:t>
      </w:r>
      <w:r w:rsidRPr="009525C2">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2F925E53" w14:textId="77777777" w:rsidR="00743376" w:rsidRPr="00A60749" w:rsidRDefault="00743376" w:rsidP="008A2347">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Writing for Pleasure Centre (2024) </w:t>
      </w:r>
      <w:r w:rsidRPr="0019555E">
        <w:rPr>
          <w:rFonts w:ascii="Arial" w:eastAsia="Times New Roman" w:hAnsi="Arial" w:cs="Arial"/>
          <w:i/>
          <w:iCs/>
          <w:kern w:val="0"/>
          <w:lang w:eastAsia="en-GB"/>
          <w14:ligatures w14:val="none"/>
        </w:rPr>
        <w:t>The different perspective you can take on early writing</w:t>
      </w:r>
      <w:r>
        <w:rPr>
          <w:rFonts w:ascii="Arial" w:eastAsia="Times New Roman" w:hAnsi="Arial" w:cs="Arial"/>
          <w:i/>
          <w:iCs/>
          <w:kern w:val="0"/>
          <w:lang w:eastAsia="en-GB"/>
          <w14:ligatures w14:val="none"/>
        </w:rPr>
        <w:t>.</w:t>
      </w:r>
      <w:r>
        <w:rPr>
          <w:rFonts w:ascii="Arial" w:eastAsia="Times New Roman" w:hAnsi="Arial" w:cs="Arial"/>
          <w:kern w:val="0"/>
          <w:lang w:eastAsia="en-GB"/>
          <w14:ligatures w14:val="none"/>
        </w:rPr>
        <w:t xml:space="preserve"> Available at: </w:t>
      </w:r>
      <w:hyperlink r:id="rId48" w:history="1">
        <w:r w:rsidRPr="001E7B58">
          <w:rPr>
            <w:rStyle w:val="Hyperlink"/>
            <w:rFonts w:ascii="Arial" w:eastAsia="Times New Roman" w:hAnsi="Arial" w:cs="Arial"/>
            <w:kern w:val="0"/>
            <w:lang w:eastAsia="en-GB"/>
            <w14:ligatures w14:val="none"/>
          </w:rPr>
          <w:t>https://writing4pleasure.com/2024/03/15/the-different-perspectives-you-can-take-on-teaching-early-writing/</w:t>
        </w:r>
      </w:hyperlink>
      <w:r>
        <w:rPr>
          <w:rFonts w:ascii="Arial" w:eastAsia="Times New Roman" w:hAnsi="Arial" w:cs="Arial"/>
          <w:kern w:val="0"/>
          <w:lang w:eastAsia="en-GB"/>
          <w14:ligatures w14:val="none"/>
        </w:rPr>
        <w:t xml:space="preserve"> (Accessed 16 February 2025)</w:t>
      </w:r>
    </w:p>
    <w:p w14:paraId="1D39753D" w14:textId="77777777" w:rsidR="00743376" w:rsidRPr="00A60749"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Tompkins, G.</w:t>
      </w:r>
      <w:r>
        <w:rPr>
          <w:rFonts w:ascii="Arial" w:eastAsia="Times New Roman" w:hAnsi="Arial" w:cs="Arial"/>
          <w:kern w:val="0"/>
          <w:lang w:eastAsia="en-GB"/>
          <w14:ligatures w14:val="none"/>
        </w:rPr>
        <w:t>E.</w:t>
      </w:r>
      <w:r w:rsidRPr="00A60749">
        <w:rPr>
          <w:rFonts w:ascii="Arial" w:eastAsia="Times New Roman" w:hAnsi="Arial" w:cs="Arial"/>
          <w:kern w:val="0"/>
          <w:lang w:eastAsia="en-GB"/>
          <w14:ligatures w14:val="none"/>
        </w:rPr>
        <w:t xml:space="preserve"> (201</w:t>
      </w:r>
      <w:r>
        <w:rPr>
          <w:rFonts w:ascii="Arial" w:eastAsia="Times New Roman" w:hAnsi="Arial" w:cs="Arial"/>
          <w:kern w:val="0"/>
          <w:lang w:eastAsia="en-GB"/>
          <w14:ligatures w14:val="none"/>
        </w:rPr>
        <w:t>8</w:t>
      </w:r>
      <w:r w:rsidRPr="00A60749">
        <w:rPr>
          <w:rFonts w:ascii="Arial" w:eastAsia="Times New Roman" w:hAnsi="Arial" w:cs="Arial"/>
          <w:kern w:val="0"/>
          <w:lang w:eastAsia="en-GB"/>
          <w14:ligatures w14:val="none"/>
        </w:rPr>
        <w:t xml:space="preserve">). </w:t>
      </w:r>
      <w:r w:rsidRPr="00A60749">
        <w:rPr>
          <w:rFonts w:ascii="Arial" w:eastAsia="Times New Roman" w:hAnsi="Arial" w:cs="Arial"/>
          <w:i/>
          <w:iCs/>
          <w:kern w:val="0"/>
          <w:lang w:eastAsia="en-GB"/>
          <w14:ligatures w14:val="none"/>
        </w:rPr>
        <w:t xml:space="preserve">Literacy for the 21st century: </w:t>
      </w:r>
      <w:r>
        <w:rPr>
          <w:rFonts w:ascii="Arial" w:eastAsia="Times New Roman" w:hAnsi="Arial" w:cs="Arial"/>
          <w:i/>
          <w:iCs/>
          <w:kern w:val="0"/>
          <w:lang w:eastAsia="en-GB"/>
          <w14:ligatures w14:val="none"/>
        </w:rPr>
        <w:t>A Balanced Approach.</w:t>
      </w:r>
      <w:r w:rsidRPr="00A6074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London: </w:t>
      </w:r>
      <w:r w:rsidRPr="00A60749">
        <w:rPr>
          <w:rFonts w:ascii="Arial" w:eastAsia="Times New Roman" w:hAnsi="Arial" w:cs="Arial"/>
          <w:kern w:val="0"/>
          <w:lang w:eastAsia="en-GB"/>
          <w14:ligatures w14:val="none"/>
        </w:rPr>
        <w:t>Pearson.</w:t>
      </w:r>
    </w:p>
    <w:p w14:paraId="40536BE5" w14:textId="77777777" w:rsidR="00743376" w:rsidRPr="00E00A21" w:rsidRDefault="00743376" w:rsidP="008A2347">
      <w:pPr>
        <w:spacing w:before="100" w:beforeAutospacing="1" w:after="100" w:afterAutospacing="1" w:line="240" w:lineRule="auto"/>
        <w:rPr>
          <w:rFonts w:ascii="Arial" w:eastAsia="Times New Roman" w:hAnsi="Arial" w:cs="Arial"/>
          <w:kern w:val="0"/>
          <w:lang w:eastAsia="en-GB"/>
          <w14:ligatures w14:val="none"/>
        </w:rPr>
      </w:pPr>
      <w:r w:rsidRPr="00BD1D0F">
        <w:rPr>
          <w:rFonts w:ascii="Arial" w:hAnsi="Arial" w:cs="Arial"/>
          <w:shd w:val="clear" w:color="auto" w:fill="FFFFFF"/>
        </w:rPr>
        <w:t>Trask, R.L.</w:t>
      </w:r>
      <w:r w:rsidRPr="00BD1D0F">
        <w:rPr>
          <w:rFonts w:ascii="Arial" w:hAnsi="Arial" w:cs="Arial"/>
          <w:shd w:val="clear" w:color="auto" w:fill="FFFFFF"/>
        </w:rPr>
        <w:t xml:space="preserve">, </w:t>
      </w:r>
      <w:r w:rsidRPr="00BD1D0F">
        <w:rPr>
          <w:rFonts w:ascii="Arial" w:hAnsi="Arial" w:cs="Arial"/>
          <w:shd w:val="clear" w:color="auto" w:fill="FFFFFF"/>
        </w:rPr>
        <w:t>Robert L. and Stockwell, P. (2007) </w:t>
      </w:r>
      <w:r w:rsidRPr="00BD1D0F">
        <w:rPr>
          <w:rFonts w:ascii="Arial" w:hAnsi="Arial" w:cs="Arial"/>
          <w:i/>
          <w:iCs/>
          <w:shd w:val="clear" w:color="auto" w:fill="FFFFFF"/>
        </w:rPr>
        <w:t xml:space="preserve">Language and </w:t>
      </w:r>
      <w:r w:rsidRPr="00BD1D0F">
        <w:rPr>
          <w:rFonts w:ascii="Arial" w:hAnsi="Arial" w:cs="Arial"/>
          <w:i/>
          <w:iCs/>
          <w:shd w:val="clear" w:color="auto" w:fill="FFFFFF"/>
        </w:rPr>
        <w:t>linguistics:</w:t>
      </w:r>
      <w:r w:rsidRPr="00BD1D0F">
        <w:rPr>
          <w:rFonts w:ascii="Arial" w:hAnsi="Arial" w:cs="Arial"/>
          <w:i/>
          <w:iCs/>
          <w:shd w:val="clear" w:color="auto" w:fill="FFFFFF"/>
        </w:rPr>
        <w:t xml:space="preserve"> the key concepts</w:t>
      </w:r>
      <w:r w:rsidRPr="00BD1D0F">
        <w:rPr>
          <w:rFonts w:ascii="Arial" w:hAnsi="Arial" w:cs="Arial"/>
          <w:shd w:val="clear" w:color="auto" w:fill="FFFFFF"/>
        </w:rPr>
        <w:t>. 2nd ed. Abingdon [England</w:t>
      </w:r>
      <w:r w:rsidRPr="00BD1D0F">
        <w:rPr>
          <w:rFonts w:ascii="Arial" w:hAnsi="Arial" w:cs="Arial"/>
          <w:shd w:val="clear" w:color="auto" w:fill="FFFFFF"/>
        </w:rPr>
        <w:t>]:</w:t>
      </w:r>
      <w:r w:rsidRPr="00BD1D0F">
        <w:rPr>
          <w:rFonts w:ascii="Arial" w:hAnsi="Arial" w:cs="Arial"/>
          <w:shd w:val="clear" w:color="auto" w:fill="FFFFFF"/>
        </w:rPr>
        <w:t xml:space="preserve"> Routledge</w:t>
      </w:r>
      <w:r w:rsidRPr="00E00A21">
        <w:rPr>
          <w:rFonts w:ascii="Arial" w:hAnsi="Arial" w:cs="Arial"/>
          <w:color w:val="3A3A3A"/>
          <w:shd w:val="clear" w:color="auto" w:fill="FFFFFF"/>
        </w:rPr>
        <w:t>.</w:t>
      </w:r>
    </w:p>
    <w:p w14:paraId="5B5EF5A6" w14:textId="77777777" w:rsidR="00743376" w:rsidRPr="002919A7" w:rsidRDefault="00743376" w:rsidP="00D36799">
      <w:pPr>
        <w:spacing w:before="100" w:beforeAutospacing="1" w:after="100" w:afterAutospacing="1" w:line="240" w:lineRule="auto"/>
        <w:rPr>
          <w:rFonts w:ascii="Arial" w:eastAsia="Times New Roman" w:hAnsi="Arial" w:cs="Arial"/>
          <w:kern w:val="0"/>
          <w:lang w:eastAsia="en-GB"/>
          <w14:ligatures w14:val="none"/>
        </w:rPr>
      </w:pPr>
      <w:r w:rsidRPr="00451880">
        <w:rPr>
          <w:rFonts w:ascii="Arial" w:hAnsi="Arial" w:cs="Arial"/>
          <w:shd w:val="clear" w:color="auto" w:fill="FFFFFF"/>
        </w:rPr>
        <w:t>V</w:t>
      </w:r>
      <w:r w:rsidRPr="00451880">
        <w:rPr>
          <w:rFonts w:ascii="Arial" w:hAnsi="Arial" w:cs="Arial"/>
          <w:shd w:val="clear" w:color="auto" w:fill="FFFFFF"/>
        </w:rPr>
        <w:t xml:space="preserve">an Boekholt, B., </w:t>
      </w:r>
      <w:r w:rsidRPr="00451880">
        <w:rPr>
          <w:rFonts w:ascii="Arial" w:hAnsi="Arial" w:cs="Arial"/>
          <w:shd w:val="clear" w:color="auto" w:fill="FFFFFF"/>
        </w:rPr>
        <w:t>V</w:t>
      </w:r>
      <w:r w:rsidRPr="00451880">
        <w:rPr>
          <w:rFonts w:ascii="Arial" w:hAnsi="Arial" w:cs="Arial"/>
          <w:shd w:val="clear" w:color="auto" w:fill="FFFFFF"/>
        </w:rPr>
        <w:t>an de Waal, E. and Sterck, E.H.M. (2021) ‘Organized to learn: the influence of social structure on social learning opportunities in a group’, </w:t>
      </w:r>
      <w:r w:rsidRPr="00451880">
        <w:rPr>
          <w:rFonts w:ascii="Arial" w:hAnsi="Arial" w:cs="Arial"/>
          <w:i/>
          <w:iCs/>
          <w:shd w:val="clear" w:color="auto" w:fill="FFFFFF"/>
        </w:rPr>
        <w:t>iScience</w:t>
      </w:r>
      <w:r w:rsidRPr="00451880">
        <w:rPr>
          <w:rFonts w:ascii="Arial" w:hAnsi="Arial" w:cs="Arial"/>
          <w:shd w:val="clear" w:color="auto" w:fill="FFFFFF"/>
        </w:rPr>
        <w:t xml:space="preserve">, 24(2), pp. 102117–102117. Available at: </w:t>
      </w:r>
      <w:hyperlink r:id="rId49" w:history="1">
        <w:r w:rsidRPr="00D36799">
          <w:rPr>
            <w:rStyle w:val="Hyperlink"/>
            <w:rFonts w:ascii="Arial" w:hAnsi="Arial" w:cs="Arial"/>
            <w:shd w:val="clear" w:color="auto" w:fill="FFFFFF"/>
          </w:rPr>
          <w:t>https://doi.org/10.1016/j.isci.2021.102117</w:t>
        </w:r>
      </w:hyperlink>
      <w:r w:rsidRPr="00D36799">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sidRPr="00451880">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451880">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451880">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p>
    <w:p w14:paraId="6502C9C1" w14:textId="77777777" w:rsidR="00743376" w:rsidRPr="00BD1D0F" w:rsidRDefault="00743376" w:rsidP="008A2347">
      <w:pPr>
        <w:spacing w:before="100" w:beforeAutospacing="1" w:after="100" w:afterAutospacing="1" w:line="240" w:lineRule="auto"/>
        <w:rPr>
          <w:rFonts w:ascii="Arial" w:hAnsi="Arial" w:cs="Arial"/>
          <w:shd w:val="clear" w:color="auto" w:fill="FFFFFF"/>
        </w:rPr>
      </w:pPr>
      <w:r w:rsidRPr="00BD1D0F">
        <w:rPr>
          <w:rFonts w:ascii="Arial" w:hAnsi="Arial" w:cs="Arial"/>
          <w:shd w:val="clear" w:color="auto" w:fill="FFFFFF"/>
        </w:rPr>
        <w:t>Wang, X.-L. (2015) </w:t>
      </w:r>
      <w:r w:rsidRPr="00BD1D0F">
        <w:rPr>
          <w:rFonts w:ascii="Arial" w:hAnsi="Arial" w:cs="Arial"/>
          <w:i/>
          <w:iCs/>
          <w:shd w:val="clear" w:color="auto" w:fill="FFFFFF"/>
        </w:rPr>
        <w:t xml:space="preserve">Understanding language and literacy </w:t>
      </w:r>
      <w:r w:rsidRPr="00BD1D0F">
        <w:rPr>
          <w:rFonts w:ascii="Arial" w:hAnsi="Arial" w:cs="Arial"/>
          <w:i/>
          <w:iCs/>
          <w:shd w:val="clear" w:color="auto" w:fill="FFFFFF"/>
        </w:rPr>
        <w:t>development:</w:t>
      </w:r>
      <w:r w:rsidRPr="00BD1D0F">
        <w:rPr>
          <w:rFonts w:ascii="Arial" w:hAnsi="Arial" w:cs="Arial"/>
          <w:i/>
          <w:iCs/>
          <w:shd w:val="clear" w:color="auto" w:fill="FFFFFF"/>
        </w:rPr>
        <w:t xml:space="preserve"> diverse learners in the classroom</w:t>
      </w:r>
      <w:r w:rsidRPr="00BD1D0F">
        <w:rPr>
          <w:rFonts w:ascii="Arial" w:hAnsi="Arial" w:cs="Arial"/>
          <w:shd w:val="clear" w:color="auto" w:fill="FFFFFF"/>
        </w:rPr>
        <w:t>. Hoboken: John Wiley &amp; Sons.</w:t>
      </w:r>
    </w:p>
    <w:p w14:paraId="3702D2E5" w14:textId="77777777" w:rsidR="00743376" w:rsidRPr="002919A7" w:rsidRDefault="00743376" w:rsidP="002515AE">
      <w:pPr>
        <w:spacing w:before="100" w:beforeAutospacing="1" w:after="100" w:afterAutospacing="1" w:line="240" w:lineRule="auto"/>
        <w:rPr>
          <w:rFonts w:ascii="Arial" w:eastAsia="Times New Roman" w:hAnsi="Arial" w:cs="Arial"/>
          <w:kern w:val="0"/>
          <w:lang w:eastAsia="en-GB"/>
          <w14:ligatures w14:val="none"/>
        </w:rPr>
      </w:pPr>
      <w:r w:rsidRPr="000730A9">
        <w:rPr>
          <w:rFonts w:ascii="Arial" w:eastAsia="Times New Roman" w:hAnsi="Arial" w:cs="Arial"/>
          <w:kern w:val="0"/>
          <w:lang w:eastAsia="en-GB"/>
          <w14:ligatures w14:val="none"/>
        </w:rPr>
        <w:t>Wentzel, K., &amp; Ramani, G. (Eds.). (2016). Handbook of Social Influences in School Contexts: Social-Emotional, Motivation, and Cognitive Outcomes (1st ed.). Routledge.</w:t>
      </w:r>
      <w:r>
        <w:rPr>
          <w:rFonts w:ascii="Arial" w:eastAsia="Times New Roman" w:hAnsi="Arial" w:cs="Arial"/>
          <w:kern w:val="0"/>
          <w:lang w:eastAsia="en-GB"/>
          <w14:ligatures w14:val="none"/>
        </w:rPr>
        <w:t xml:space="preserve"> Available at:</w:t>
      </w:r>
      <w:r w:rsidRPr="000730A9">
        <w:rPr>
          <w:rFonts w:ascii="Arial" w:eastAsia="Times New Roman" w:hAnsi="Arial" w:cs="Arial"/>
          <w:kern w:val="0"/>
          <w:lang w:eastAsia="en-GB"/>
          <w14:ligatures w14:val="none"/>
        </w:rPr>
        <w:t xml:space="preserve"> </w:t>
      </w:r>
      <w:hyperlink r:id="rId50" w:history="1">
        <w:r w:rsidRPr="001E7B58">
          <w:rPr>
            <w:rStyle w:val="Hyperlink"/>
            <w:rFonts w:ascii="Arial" w:eastAsia="Times New Roman" w:hAnsi="Arial" w:cs="Arial"/>
            <w:kern w:val="0"/>
            <w:lang w:eastAsia="en-GB"/>
            <w14:ligatures w14:val="none"/>
          </w:rPr>
          <w:t>https://doi.org/10.4324/9781315769929</w:t>
        </w:r>
      </w:hyperlink>
      <w:r>
        <w:rPr>
          <w:rFonts w:ascii="Arial" w:eastAsia="Times New Roman" w:hAnsi="Arial" w:cs="Arial"/>
          <w:kern w:val="0"/>
          <w:lang w:eastAsia="en-GB"/>
          <w14:ligatures w14:val="none"/>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Pr>
          <w:rFonts w:ascii="Arial" w:eastAsia="Times New Roman" w:hAnsi="Arial" w:cs="Arial"/>
          <w:color w:val="333333"/>
          <w:kern w:val="0"/>
          <w:lang w:eastAsia="en-GB"/>
          <w14:ligatures w14:val="none"/>
        </w:rPr>
        <w:t>5</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0261769C" w14:textId="77777777" w:rsidR="00743376" w:rsidRPr="00451880" w:rsidRDefault="00743376" w:rsidP="008A2347">
      <w:pPr>
        <w:spacing w:before="100" w:beforeAutospacing="1" w:after="100" w:afterAutospacing="1" w:line="240" w:lineRule="auto"/>
        <w:rPr>
          <w:rFonts w:ascii="Arial" w:hAnsi="Arial" w:cs="Arial"/>
          <w:shd w:val="clear" w:color="auto" w:fill="FFFFFF"/>
        </w:rPr>
      </w:pPr>
      <w:r w:rsidRPr="00451880">
        <w:rPr>
          <w:rFonts w:ascii="Arial" w:hAnsi="Arial" w:cs="Arial"/>
          <w:shd w:val="clear" w:color="auto" w:fill="FFFFFF"/>
        </w:rPr>
        <w:t>Whitehead, M. (2009) </w:t>
      </w:r>
      <w:r w:rsidRPr="00451880">
        <w:rPr>
          <w:rFonts w:ascii="Arial" w:hAnsi="Arial" w:cs="Arial"/>
          <w:i/>
          <w:iCs/>
          <w:shd w:val="clear" w:color="auto" w:fill="FFFFFF"/>
        </w:rPr>
        <w:t>Supporting language and literacy development in the early years</w:t>
      </w:r>
      <w:r w:rsidRPr="00451880">
        <w:rPr>
          <w:rFonts w:ascii="Arial" w:hAnsi="Arial" w:cs="Arial"/>
          <w:shd w:val="clear" w:color="auto" w:fill="FFFFFF"/>
        </w:rPr>
        <w:t>. 2nd Ed. Maidenhead, England: Open University Press.</w:t>
      </w:r>
    </w:p>
    <w:p w14:paraId="700FE2DC" w14:textId="77777777" w:rsidR="00743376" w:rsidRPr="00DC1CB3" w:rsidRDefault="00743376" w:rsidP="00DC1CB3">
      <w:pPr>
        <w:spacing w:before="100" w:beforeAutospacing="1" w:after="100" w:afterAutospacing="1" w:line="240" w:lineRule="auto"/>
        <w:rPr>
          <w:rFonts w:ascii="Arial" w:eastAsia="Times New Roman" w:hAnsi="Arial" w:cs="Arial"/>
          <w:kern w:val="0"/>
          <w:lang w:eastAsia="en-GB"/>
          <w14:ligatures w14:val="none"/>
        </w:rPr>
      </w:pPr>
      <w:r w:rsidRPr="00DC1CB3">
        <w:rPr>
          <w:rFonts w:ascii="Arial" w:hAnsi="Arial" w:cs="Arial"/>
          <w:color w:val="000000"/>
          <w:shd w:val="clear" w:color="auto" w:fill="FFFFFF"/>
        </w:rPr>
        <w:t xml:space="preserve">Wichmann, A. (2000). Intonation in Text and Discourse: Beginnings, Middles and Ends (1st ed.). </w:t>
      </w:r>
      <w:r>
        <w:rPr>
          <w:rFonts w:ascii="Arial" w:hAnsi="Arial" w:cs="Arial"/>
          <w:color w:val="000000"/>
          <w:shd w:val="clear" w:color="auto" w:fill="FFFFFF"/>
        </w:rPr>
        <w:t xml:space="preserve">Abingdon, Oxon: </w:t>
      </w:r>
      <w:r w:rsidRPr="00DC1CB3">
        <w:rPr>
          <w:rFonts w:ascii="Arial" w:hAnsi="Arial" w:cs="Arial"/>
          <w:color w:val="000000"/>
          <w:shd w:val="clear" w:color="auto" w:fill="FFFFFF"/>
        </w:rPr>
        <w:t xml:space="preserve">Routledge. </w:t>
      </w:r>
      <w:r w:rsidRPr="00DC1CB3">
        <w:rPr>
          <w:rFonts w:ascii="Arial" w:hAnsi="Arial" w:cs="Arial"/>
          <w:color w:val="000000"/>
          <w:shd w:val="clear" w:color="auto" w:fill="FFFFFF"/>
        </w:rPr>
        <w:t xml:space="preserve">Available at: </w:t>
      </w:r>
      <w:hyperlink r:id="rId51" w:history="1">
        <w:r w:rsidRPr="00DC1CB3">
          <w:rPr>
            <w:rStyle w:val="Hyperlink"/>
            <w:rFonts w:ascii="Arial" w:hAnsi="Arial" w:cs="Arial"/>
            <w:shd w:val="clear" w:color="auto" w:fill="FFFFFF"/>
          </w:rPr>
          <w:t>https://doi.org/10.4324/9781315843599</w:t>
        </w:r>
      </w:hyperlink>
      <w:r w:rsidRPr="00DC1CB3">
        <w:rPr>
          <w:rFonts w:ascii="Arial" w:hAnsi="Arial" w:cs="Arial"/>
          <w:color w:val="000000"/>
          <w:shd w:val="clear" w:color="auto" w:fill="FFFFFF"/>
        </w:rPr>
        <w:t xml:space="preserve"> </w:t>
      </w:r>
      <w:r w:rsidRPr="00DC1CB3">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DC1CB3">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DC1CB3">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2C7F07DD" w14:textId="77777777" w:rsidR="00743376" w:rsidRPr="00F9121B" w:rsidRDefault="00743376" w:rsidP="00EB60BC">
      <w:pPr>
        <w:pStyle w:val="NormalWeb"/>
        <w:rPr>
          <w:rFonts w:ascii="Arial" w:hAnsi="Arial" w:cs="Arial"/>
        </w:rPr>
      </w:pPr>
      <w:bookmarkStart w:id="12" w:name="_Hlk190685097"/>
      <w:r w:rsidRPr="00F9121B">
        <w:rPr>
          <w:rFonts w:ascii="Arial" w:hAnsi="Arial" w:cs="Arial"/>
        </w:rPr>
        <w:t>Yoo H, Su</w:t>
      </w:r>
      <w:r w:rsidRPr="00F9121B">
        <w:rPr>
          <w:rFonts w:ascii="Arial" w:hAnsi="Arial" w:cs="Arial"/>
        </w:rPr>
        <w:t>,</w:t>
      </w:r>
      <w:r w:rsidRPr="00F9121B">
        <w:rPr>
          <w:rFonts w:ascii="Arial" w:hAnsi="Arial" w:cs="Arial"/>
        </w:rPr>
        <w:t xml:space="preserve"> PL, Ramsay G, Long HL, Bene ER, Oller DK (2024) </w:t>
      </w:r>
      <w:bookmarkEnd w:id="12"/>
      <w:r w:rsidRPr="00F9121B">
        <w:rPr>
          <w:rFonts w:ascii="Arial" w:hAnsi="Arial" w:cs="Arial"/>
        </w:rPr>
        <w:t xml:space="preserve">Infant vocal category exploration as a foundation for speech development. PLoS ONE 19(5): e0299140. Available at: </w:t>
      </w:r>
      <w:r w:rsidRPr="00F9121B">
        <w:rPr>
          <w:rFonts w:ascii="Arial" w:hAnsi="Arial" w:cs="Arial"/>
          <w:color w:val="215E99" w:themeColor="text2" w:themeTint="BF"/>
          <w:u w:val="single"/>
        </w:rPr>
        <w:t>https:// doi.org/10.1371/journal.pone.0299140</w:t>
      </w:r>
      <w:r w:rsidRPr="00F9121B">
        <w:rPr>
          <w:rFonts w:ascii="Arial" w:hAnsi="Arial" w:cs="Arial"/>
          <w:color w:val="215E99" w:themeColor="text2" w:themeTint="BF"/>
        </w:rPr>
        <w:t xml:space="preserve"> </w:t>
      </w:r>
      <w:r w:rsidRPr="00F9121B">
        <w:rPr>
          <w:rFonts w:ascii="Arial" w:eastAsiaTheme="minorHAnsi" w:hAnsi="Arial" w:cs="Arial"/>
          <w:kern w:val="2"/>
          <w:lang w:eastAsia="en-US"/>
          <w14:ligatures w14:val="standardContextual"/>
        </w:rPr>
        <w:t>(Accessed 3 February 2025)</w:t>
      </w:r>
    </w:p>
    <w:p w14:paraId="205D7018" w14:textId="77777777" w:rsidR="00743376" w:rsidRPr="00743376" w:rsidRDefault="00743376" w:rsidP="00743376">
      <w:pPr>
        <w:spacing w:before="100" w:beforeAutospacing="1" w:after="100" w:afterAutospacing="1" w:line="240" w:lineRule="auto"/>
        <w:rPr>
          <w:rFonts w:ascii="Arial" w:eastAsia="Times New Roman" w:hAnsi="Arial" w:cs="Arial"/>
          <w:kern w:val="0"/>
          <w:lang w:eastAsia="en-GB"/>
          <w14:ligatures w14:val="none"/>
        </w:rPr>
      </w:pPr>
      <w:r w:rsidRPr="00723955">
        <w:rPr>
          <w:rFonts w:ascii="Arial" w:hAnsi="Arial" w:cs="Arial"/>
          <w:color w:val="000000"/>
          <w:shd w:val="clear" w:color="auto" w:fill="FFFFFF"/>
        </w:rPr>
        <w:t>Young, R., &amp; Ferguson, F. (2020). Writing for Pleasure: Theory, Research and Practice (1st ed.).</w:t>
      </w:r>
      <w:r w:rsidRPr="00723955">
        <w:rPr>
          <w:rFonts w:ascii="Arial" w:hAnsi="Arial" w:cs="Arial"/>
          <w:color w:val="000000"/>
          <w:shd w:val="clear" w:color="auto" w:fill="FFFFFF"/>
        </w:rPr>
        <w:t xml:space="preserve"> Abingdon, Oxon:</w:t>
      </w:r>
      <w:r w:rsidRPr="00723955">
        <w:rPr>
          <w:rFonts w:ascii="Arial" w:hAnsi="Arial" w:cs="Arial"/>
          <w:color w:val="000000"/>
          <w:shd w:val="clear" w:color="auto" w:fill="FFFFFF"/>
        </w:rPr>
        <w:t xml:space="preserve"> Routledge.</w:t>
      </w:r>
      <w:r w:rsidRPr="00723955">
        <w:rPr>
          <w:rFonts w:ascii="Arial" w:hAnsi="Arial" w:cs="Arial"/>
          <w:color w:val="000000"/>
          <w:shd w:val="clear" w:color="auto" w:fill="FFFFFF"/>
        </w:rPr>
        <w:t xml:space="preserve"> Available at:</w:t>
      </w:r>
      <w:r w:rsidRPr="00723955">
        <w:rPr>
          <w:rFonts w:ascii="Arial" w:hAnsi="Arial" w:cs="Arial"/>
          <w:color w:val="000000"/>
          <w:shd w:val="clear" w:color="auto" w:fill="FFFFFF"/>
        </w:rPr>
        <w:t xml:space="preserve"> </w:t>
      </w:r>
      <w:hyperlink r:id="rId52" w:history="1">
        <w:r w:rsidRPr="00723955">
          <w:rPr>
            <w:rStyle w:val="Hyperlink"/>
            <w:rFonts w:ascii="Arial" w:hAnsi="Arial" w:cs="Arial"/>
            <w:shd w:val="clear" w:color="auto" w:fill="FFFFFF"/>
          </w:rPr>
          <w:t>https://doi.org/10.4324/9780429268984</w:t>
        </w:r>
      </w:hyperlink>
      <w:r w:rsidRPr="00723955">
        <w:rPr>
          <w:rFonts w:ascii="Arial" w:hAnsi="Arial" w:cs="Arial"/>
          <w:color w:val="000000"/>
          <w:shd w:val="clear" w:color="auto" w:fill="FFFFFF"/>
        </w:rPr>
        <w:t xml:space="preserve"> </w:t>
      </w:r>
      <w:r w:rsidRPr="00723955">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723955">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723955">
        <w:rPr>
          <w:rFonts w:ascii="Arial" w:eastAsia="Times New Roman" w:hAnsi="Arial" w:cs="Arial"/>
          <w:color w:val="333333"/>
          <w:kern w:val="0"/>
          <w:lang w:eastAsia="en-GB"/>
          <w14:ligatures w14:val="none"/>
        </w:rPr>
        <w:t>)</w:t>
      </w:r>
    </w:p>
    <w:p w14:paraId="3BA21525" w14:textId="77777777" w:rsidR="00743376" w:rsidRPr="00723955" w:rsidRDefault="00743376">
      <w:pPr>
        <w:rPr>
          <w:rFonts w:ascii="Arial" w:hAnsi="Arial" w:cs="Arial"/>
        </w:rPr>
      </w:pPr>
      <w:r w:rsidRPr="00723955">
        <w:rPr>
          <w:rFonts w:ascii="Arial" w:hAnsi="Arial" w:cs="Arial"/>
        </w:rPr>
        <w:t>Young, R., Ferguson, F. (2022b) Getting Children Up &amp; Running As Writers</w:t>
      </w:r>
      <w:r>
        <w:rPr>
          <w:rFonts w:ascii="Arial" w:hAnsi="Arial" w:cs="Arial"/>
        </w:rPr>
        <w:t>.</w:t>
      </w:r>
      <w:r w:rsidRPr="00723955">
        <w:rPr>
          <w:rFonts w:ascii="Arial" w:hAnsi="Arial" w:cs="Arial"/>
        </w:rPr>
        <w:t xml:space="preserve"> Brighton: The Writing For Pleasure Centre</w:t>
      </w:r>
    </w:p>
    <w:sectPr w:rsidR="00743376" w:rsidRPr="00723955">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B450D" w14:textId="77777777" w:rsidR="00BA7065" w:rsidRDefault="00BA7065" w:rsidP="00BA7065">
      <w:pPr>
        <w:spacing w:after="0" w:line="240" w:lineRule="auto"/>
      </w:pPr>
      <w:r>
        <w:separator/>
      </w:r>
    </w:p>
  </w:endnote>
  <w:endnote w:type="continuationSeparator" w:id="0">
    <w:p w14:paraId="54668447" w14:textId="77777777" w:rsidR="00BA7065" w:rsidRDefault="00BA7065" w:rsidP="00BA7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3830495"/>
      <w:docPartObj>
        <w:docPartGallery w:val="Page Numbers (Bottom of Page)"/>
        <w:docPartUnique/>
      </w:docPartObj>
    </w:sdtPr>
    <w:sdtEndPr>
      <w:rPr>
        <w:noProof/>
      </w:rPr>
    </w:sdtEndPr>
    <w:sdtContent>
      <w:p w14:paraId="0AF822FF" w14:textId="33F73AE5" w:rsidR="002D7551" w:rsidRDefault="002D75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6EA272" w14:textId="77777777" w:rsidR="00BA7065" w:rsidRDefault="00BA7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50475" w14:textId="77777777" w:rsidR="00BA7065" w:rsidRDefault="00BA7065" w:rsidP="00BA7065">
      <w:pPr>
        <w:spacing w:after="0" w:line="240" w:lineRule="auto"/>
      </w:pPr>
      <w:r>
        <w:separator/>
      </w:r>
    </w:p>
  </w:footnote>
  <w:footnote w:type="continuationSeparator" w:id="0">
    <w:p w14:paraId="17AE3150" w14:textId="77777777" w:rsidR="00BA7065" w:rsidRDefault="00BA7065" w:rsidP="00BA7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42293"/>
    <w:multiLevelType w:val="multilevel"/>
    <w:tmpl w:val="565EA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2539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347"/>
    <w:rsid w:val="00001CE6"/>
    <w:rsid w:val="0000638A"/>
    <w:rsid w:val="000104A8"/>
    <w:rsid w:val="00010A10"/>
    <w:rsid w:val="00011125"/>
    <w:rsid w:val="00013D59"/>
    <w:rsid w:val="000162D3"/>
    <w:rsid w:val="00017D04"/>
    <w:rsid w:val="00030430"/>
    <w:rsid w:val="000312C9"/>
    <w:rsid w:val="00041838"/>
    <w:rsid w:val="000428C5"/>
    <w:rsid w:val="0004426B"/>
    <w:rsid w:val="000445BB"/>
    <w:rsid w:val="000478C6"/>
    <w:rsid w:val="00050025"/>
    <w:rsid w:val="000506B0"/>
    <w:rsid w:val="00051F24"/>
    <w:rsid w:val="00056514"/>
    <w:rsid w:val="0006067C"/>
    <w:rsid w:val="00060FA5"/>
    <w:rsid w:val="00065199"/>
    <w:rsid w:val="000714C0"/>
    <w:rsid w:val="000730A9"/>
    <w:rsid w:val="000732A4"/>
    <w:rsid w:val="00075B25"/>
    <w:rsid w:val="00080239"/>
    <w:rsid w:val="000807D6"/>
    <w:rsid w:val="000816B2"/>
    <w:rsid w:val="00081911"/>
    <w:rsid w:val="0008461B"/>
    <w:rsid w:val="00093A7F"/>
    <w:rsid w:val="00093E2D"/>
    <w:rsid w:val="00095DD1"/>
    <w:rsid w:val="00097129"/>
    <w:rsid w:val="000A057A"/>
    <w:rsid w:val="000A0C59"/>
    <w:rsid w:val="000A228F"/>
    <w:rsid w:val="000B1799"/>
    <w:rsid w:val="000B4489"/>
    <w:rsid w:val="000B6AFD"/>
    <w:rsid w:val="000C04F5"/>
    <w:rsid w:val="000C1D1C"/>
    <w:rsid w:val="000C3903"/>
    <w:rsid w:val="000D67F2"/>
    <w:rsid w:val="000D76BB"/>
    <w:rsid w:val="000D7E7F"/>
    <w:rsid w:val="000E7C88"/>
    <w:rsid w:val="000F0D36"/>
    <w:rsid w:val="000F31D5"/>
    <w:rsid w:val="000F3D2A"/>
    <w:rsid w:val="000F5986"/>
    <w:rsid w:val="000F62A9"/>
    <w:rsid w:val="00100911"/>
    <w:rsid w:val="00101687"/>
    <w:rsid w:val="00105E13"/>
    <w:rsid w:val="0010747A"/>
    <w:rsid w:val="00107FFB"/>
    <w:rsid w:val="00112B63"/>
    <w:rsid w:val="001132D6"/>
    <w:rsid w:val="001147BB"/>
    <w:rsid w:val="00120D2C"/>
    <w:rsid w:val="001231C9"/>
    <w:rsid w:val="001267A0"/>
    <w:rsid w:val="001326F7"/>
    <w:rsid w:val="00134CA0"/>
    <w:rsid w:val="00137166"/>
    <w:rsid w:val="00137F7A"/>
    <w:rsid w:val="001439DD"/>
    <w:rsid w:val="00143D18"/>
    <w:rsid w:val="00152057"/>
    <w:rsid w:val="00156455"/>
    <w:rsid w:val="00160591"/>
    <w:rsid w:val="0016079C"/>
    <w:rsid w:val="00162C78"/>
    <w:rsid w:val="001662C5"/>
    <w:rsid w:val="00171BE8"/>
    <w:rsid w:val="0017228E"/>
    <w:rsid w:val="00181488"/>
    <w:rsid w:val="00184F38"/>
    <w:rsid w:val="0019441E"/>
    <w:rsid w:val="00194988"/>
    <w:rsid w:val="0019555E"/>
    <w:rsid w:val="00195D42"/>
    <w:rsid w:val="00196360"/>
    <w:rsid w:val="00197340"/>
    <w:rsid w:val="0019735D"/>
    <w:rsid w:val="00197AF1"/>
    <w:rsid w:val="00197AF3"/>
    <w:rsid w:val="001A038D"/>
    <w:rsid w:val="001B1A0C"/>
    <w:rsid w:val="001B3302"/>
    <w:rsid w:val="001B4096"/>
    <w:rsid w:val="001B5352"/>
    <w:rsid w:val="001B7E63"/>
    <w:rsid w:val="001C1823"/>
    <w:rsid w:val="001C2F9F"/>
    <w:rsid w:val="001C362C"/>
    <w:rsid w:val="001C5689"/>
    <w:rsid w:val="001C5869"/>
    <w:rsid w:val="001C6AD7"/>
    <w:rsid w:val="001D180A"/>
    <w:rsid w:val="001D279F"/>
    <w:rsid w:val="001D4081"/>
    <w:rsid w:val="001D47E3"/>
    <w:rsid w:val="001D49DB"/>
    <w:rsid w:val="001D6E84"/>
    <w:rsid w:val="001E31F1"/>
    <w:rsid w:val="001E33AA"/>
    <w:rsid w:val="001E567C"/>
    <w:rsid w:val="001F0900"/>
    <w:rsid w:val="001F31C4"/>
    <w:rsid w:val="0020305E"/>
    <w:rsid w:val="002036A2"/>
    <w:rsid w:val="00203FD6"/>
    <w:rsid w:val="00206A88"/>
    <w:rsid w:val="00210708"/>
    <w:rsid w:val="00216E38"/>
    <w:rsid w:val="00227BD4"/>
    <w:rsid w:val="00234225"/>
    <w:rsid w:val="002467B3"/>
    <w:rsid w:val="00246BB5"/>
    <w:rsid w:val="002505AD"/>
    <w:rsid w:val="002515AE"/>
    <w:rsid w:val="002556F0"/>
    <w:rsid w:val="002570B1"/>
    <w:rsid w:val="00257155"/>
    <w:rsid w:val="00260A17"/>
    <w:rsid w:val="002629AD"/>
    <w:rsid w:val="00272732"/>
    <w:rsid w:val="002748DB"/>
    <w:rsid w:val="00275A11"/>
    <w:rsid w:val="00277A94"/>
    <w:rsid w:val="00277CF8"/>
    <w:rsid w:val="00283B90"/>
    <w:rsid w:val="00283BE3"/>
    <w:rsid w:val="002919A7"/>
    <w:rsid w:val="00293D0B"/>
    <w:rsid w:val="002947A4"/>
    <w:rsid w:val="002A3381"/>
    <w:rsid w:val="002B6144"/>
    <w:rsid w:val="002C345A"/>
    <w:rsid w:val="002C3759"/>
    <w:rsid w:val="002C627A"/>
    <w:rsid w:val="002C686A"/>
    <w:rsid w:val="002C722D"/>
    <w:rsid w:val="002C7740"/>
    <w:rsid w:val="002D4220"/>
    <w:rsid w:val="002D7551"/>
    <w:rsid w:val="002E0B58"/>
    <w:rsid w:val="002E2171"/>
    <w:rsid w:val="002E3CF1"/>
    <w:rsid w:val="002E6C51"/>
    <w:rsid w:val="002F0855"/>
    <w:rsid w:val="002F0B5D"/>
    <w:rsid w:val="002F329E"/>
    <w:rsid w:val="002F470E"/>
    <w:rsid w:val="003045B4"/>
    <w:rsid w:val="00304D4D"/>
    <w:rsid w:val="00305CD5"/>
    <w:rsid w:val="00314727"/>
    <w:rsid w:val="00324D9F"/>
    <w:rsid w:val="00326E59"/>
    <w:rsid w:val="00335BC2"/>
    <w:rsid w:val="003367F8"/>
    <w:rsid w:val="00353358"/>
    <w:rsid w:val="00364D84"/>
    <w:rsid w:val="00365740"/>
    <w:rsid w:val="00365E1B"/>
    <w:rsid w:val="00370CDD"/>
    <w:rsid w:val="00371F02"/>
    <w:rsid w:val="00373C64"/>
    <w:rsid w:val="0037572D"/>
    <w:rsid w:val="003770E9"/>
    <w:rsid w:val="003842A6"/>
    <w:rsid w:val="00394268"/>
    <w:rsid w:val="0039706F"/>
    <w:rsid w:val="003A5949"/>
    <w:rsid w:val="003A596C"/>
    <w:rsid w:val="003A650D"/>
    <w:rsid w:val="003A69DB"/>
    <w:rsid w:val="003B2E2D"/>
    <w:rsid w:val="003C003B"/>
    <w:rsid w:val="003C2C45"/>
    <w:rsid w:val="003C7E75"/>
    <w:rsid w:val="003D3C3C"/>
    <w:rsid w:val="003D3EA1"/>
    <w:rsid w:val="003D4F2C"/>
    <w:rsid w:val="003E01DA"/>
    <w:rsid w:val="003E1CFE"/>
    <w:rsid w:val="003F2AED"/>
    <w:rsid w:val="003F4EB8"/>
    <w:rsid w:val="00406712"/>
    <w:rsid w:val="00412E4D"/>
    <w:rsid w:val="00414BA4"/>
    <w:rsid w:val="004214D3"/>
    <w:rsid w:val="0042498D"/>
    <w:rsid w:val="00425B83"/>
    <w:rsid w:val="004264A6"/>
    <w:rsid w:val="0042792F"/>
    <w:rsid w:val="00432E5D"/>
    <w:rsid w:val="0044643D"/>
    <w:rsid w:val="00451880"/>
    <w:rsid w:val="00451B06"/>
    <w:rsid w:val="00454F5B"/>
    <w:rsid w:val="00456141"/>
    <w:rsid w:val="00461FD9"/>
    <w:rsid w:val="00477081"/>
    <w:rsid w:val="00480D5E"/>
    <w:rsid w:val="00483596"/>
    <w:rsid w:val="00483BF5"/>
    <w:rsid w:val="00486232"/>
    <w:rsid w:val="0048787C"/>
    <w:rsid w:val="004935C6"/>
    <w:rsid w:val="004942E1"/>
    <w:rsid w:val="0049682E"/>
    <w:rsid w:val="00497C02"/>
    <w:rsid w:val="004A0D50"/>
    <w:rsid w:val="004A157E"/>
    <w:rsid w:val="004A587F"/>
    <w:rsid w:val="004A635E"/>
    <w:rsid w:val="004C1BC6"/>
    <w:rsid w:val="004C2F34"/>
    <w:rsid w:val="004C3155"/>
    <w:rsid w:val="004C4150"/>
    <w:rsid w:val="004D0FD1"/>
    <w:rsid w:val="004D48E9"/>
    <w:rsid w:val="004D4A9A"/>
    <w:rsid w:val="004D69AD"/>
    <w:rsid w:val="004D6F0E"/>
    <w:rsid w:val="004E00DD"/>
    <w:rsid w:val="004E09E8"/>
    <w:rsid w:val="004E5C47"/>
    <w:rsid w:val="004E75DF"/>
    <w:rsid w:val="004F4175"/>
    <w:rsid w:val="005040A8"/>
    <w:rsid w:val="00505200"/>
    <w:rsid w:val="00505BE4"/>
    <w:rsid w:val="00505C38"/>
    <w:rsid w:val="0050724C"/>
    <w:rsid w:val="00510019"/>
    <w:rsid w:val="00511C18"/>
    <w:rsid w:val="00514D1D"/>
    <w:rsid w:val="005210F6"/>
    <w:rsid w:val="00521D9B"/>
    <w:rsid w:val="005227DE"/>
    <w:rsid w:val="0053467D"/>
    <w:rsid w:val="00534DE1"/>
    <w:rsid w:val="00544091"/>
    <w:rsid w:val="00544EA5"/>
    <w:rsid w:val="00546145"/>
    <w:rsid w:val="00546F98"/>
    <w:rsid w:val="00550856"/>
    <w:rsid w:val="00552E73"/>
    <w:rsid w:val="00557B3C"/>
    <w:rsid w:val="00565AFE"/>
    <w:rsid w:val="00565C87"/>
    <w:rsid w:val="00570B22"/>
    <w:rsid w:val="00571109"/>
    <w:rsid w:val="00574D77"/>
    <w:rsid w:val="00581F49"/>
    <w:rsid w:val="00582CFE"/>
    <w:rsid w:val="0059005A"/>
    <w:rsid w:val="00592059"/>
    <w:rsid w:val="00597903"/>
    <w:rsid w:val="00597A53"/>
    <w:rsid w:val="005A3248"/>
    <w:rsid w:val="005A7BF7"/>
    <w:rsid w:val="005B025B"/>
    <w:rsid w:val="005B3522"/>
    <w:rsid w:val="005B7F1F"/>
    <w:rsid w:val="005C1825"/>
    <w:rsid w:val="005C1E74"/>
    <w:rsid w:val="005C28D9"/>
    <w:rsid w:val="005C36A6"/>
    <w:rsid w:val="005C7F03"/>
    <w:rsid w:val="005D209F"/>
    <w:rsid w:val="005D21B4"/>
    <w:rsid w:val="005D2231"/>
    <w:rsid w:val="005D650D"/>
    <w:rsid w:val="005D72A5"/>
    <w:rsid w:val="005E28BD"/>
    <w:rsid w:val="005E28E8"/>
    <w:rsid w:val="005E7937"/>
    <w:rsid w:val="005F15CE"/>
    <w:rsid w:val="005F4297"/>
    <w:rsid w:val="006002CD"/>
    <w:rsid w:val="00603E4C"/>
    <w:rsid w:val="00604523"/>
    <w:rsid w:val="00604572"/>
    <w:rsid w:val="0061357F"/>
    <w:rsid w:val="00620211"/>
    <w:rsid w:val="00622F21"/>
    <w:rsid w:val="00624CEC"/>
    <w:rsid w:val="00625606"/>
    <w:rsid w:val="0062693A"/>
    <w:rsid w:val="006271CC"/>
    <w:rsid w:val="00630451"/>
    <w:rsid w:val="006317AB"/>
    <w:rsid w:val="00634E77"/>
    <w:rsid w:val="00642C50"/>
    <w:rsid w:val="00646A3E"/>
    <w:rsid w:val="00647B22"/>
    <w:rsid w:val="006531E4"/>
    <w:rsid w:val="0065723E"/>
    <w:rsid w:val="00661303"/>
    <w:rsid w:val="00661B18"/>
    <w:rsid w:val="00662332"/>
    <w:rsid w:val="006666D1"/>
    <w:rsid w:val="006668FA"/>
    <w:rsid w:val="00674D31"/>
    <w:rsid w:val="00680F17"/>
    <w:rsid w:val="00685ACD"/>
    <w:rsid w:val="00685AEA"/>
    <w:rsid w:val="00691DDE"/>
    <w:rsid w:val="00691FE1"/>
    <w:rsid w:val="00692412"/>
    <w:rsid w:val="006939E6"/>
    <w:rsid w:val="0069463B"/>
    <w:rsid w:val="00696D76"/>
    <w:rsid w:val="006A076F"/>
    <w:rsid w:val="006B4AB4"/>
    <w:rsid w:val="006B6822"/>
    <w:rsid w:val="006C4BFE"/>
    <w:rsid w:val="006C5351"/>
    <w:rsid w:val="006C69FE"/>
    <w:rsid w:val="006E4185"/>
    <w:rsid w:val="006E5BAA"/>
    <w:rsid w:val="00700362"/>
    <w:rsid w:val="00705351"/>
    <w:rsid w:val="00710E9D"/>
    <w:rsid w:val="007120B6"/>
    <w:rsid w:val="00712C15"/>
    <w:rsid w:val="0071480C"/>
    <w:rsid w:val="00714A8E"/>
    <w:rsid w:val="00716D36"/>
    <w:rsid w:val="00717B7B"/>
    <w:rsid w:val="00717CFE"/>
    <w:rsid w:val="007227CD"/>
    <w:rsid w:val="00723955"/>
    <w:rsid w:val="00743376"/>
    <w:rsid w:val="00747DF1"/>
    <w:rsid w:val="00750042"/>
    <w:rsid w:val="00756141"/>
    <w:rsid w:val="00757D11"/>
    <w:rsid w:val="00766CBA"/>
    <w:rsid w:val="00771FD8"/>
    <w:rsid w:val="00773EB0"/>
    <w:rsid w:val="007904E7"/>
    <w:rsid w:val="00790DE4"/>
    <w:rsid w:val="00796531"/>
    <w:rsid w:val="007A5188"/>
    <w:rsid w:val="007A5805"/>
    <w:rsid w:val="007A5EAC"/>
    <w:rsid w:val="007B4A8E"/>
    <w:rsid w:val="007B636C"/>
    <w:rsid w:val="007B669C"/>
    <w:rsid w:val="007C54A2"/>
    <w:rsid w:val="007D00FC"/>
    <w:rsid w:val="007D6A92"/>
    <w:rsid w:val="007F2DCC"/>
    <w:rsid w:val="007F615A"/>
    <w:rsid w:val="007F6406"/>
    <w:rsid w:val="00803870"/>
    <w:rsid w:val="00812EE4"/>
    <w:rsid w:val="00817C0E"/>
    <w:rsid w:val="008263C7"/>
    <w:rsid w:val="008359FE"/>
    <w:rsid w:val="00843D26"/>
    <w:rsid w:val="00845C67"/>
    <w:rsid w:val="008467E2"/>
    <w:rsid w:val="00850062"/>
    <w:rsid w:val="0085039D"/>
    <w:rsid w:val="0085069D"/>
    <w:rsid w:val="00862875"/>
    <w:rsid w:val="008628F1"/>
    <w:rsid w:val="00864495"/>
    <w:rsid w:val="008652B3"/>
    <w:rsid w:val="00867AFD"/>
    <w:rsid w:val="008822F0"/>
    <w:rsid w:val="00883B57"/>
    <w:rsid w:val="00891DDA"/>
    <w:rsid w:val="008A2347"/>
    <w:rsid w:val="008A41C0"/>
    <w:rsid w:val="008A6EAD"/>
    <w:rsid w:val="008B01B6"/>
    <w:rsid w:val="008B2B39"/>
    <w:rsid w:val="008C2CB9"/>
    <w:rsid w:val="008D1895"/>
    <w:rsid w:val="008D353C"/>
    <w:rsid w:val="008D7B3D"/>
    <w:rsid w:val="008E2FED"/>
    <w:rsid w:val="008E67AD"/>
    <w:rsid w:val="008F25DC"/>
    <w:rsid w:val="008F3195"/>
    <w:rsid w:val="008F6531"/>
    <w:rsid w:val="009009B5"/>
    <w:rsid w:val="00902CD8"/>
    <w:rsid w:val="00902F80"/>
    <w:rsid w:val="00905532"/>
    <w:rsid w:val="00906663"/>
    <w:rsid w:val="00906FEA"/>
    <w:rsid w:val="0091668C"/>
    <w:rsid w:val="0092122F"/>
    <w:rsid w:val="00922DD9"/>
    <w:rsid w:val="00933236"/>
    <w:rsid w:val="009377EF"/>
    <w:rsid w:val="009413E4"/>
    <w:rsid w:val="009430E5"/>
    <w:rsid w:val="00945726"/>
    <w:rsid w:val="009525C2"/>
    <w:rsid w:val="00955D1F"/>
    <w:rsid w:val="00965801"/>
    <w:rsid w:val="009658E6"/>
    <w:rsid w:val="0096655D"/>
    <w:rsid w:val="00971E7C"/>
    <w:rsid w:val="00975B14"/>
    <w:rsid w:val="009772EE"/>
    <w:rsid w:val="00984D32"/>
    <w:rsid w:val="00991715"/>
    <w:rsid w:val="00991EE2"/>
    <w:rsid w:val="009929F8"/>
    <w:rsid w:val="00995C6E"/>
    <w:rsid w:val="009A0330"/>
    <w:rsid w:val="009A158B"/>
    <w:rsid w:val="009A20A2"/>
    <w:rsid w:val="009A43CD"/>
    <w:rsid w:val="009A502D"/>
    <w:rsid w:val="009A5D78"/>
    <w:rsid w:val="009B092E"/>
    <w:rsid w:val="009C65B6"/>
    <w:rsid w:val="009D099F"/>
    <w:rsid w:val="009D1BDB"/>
    <w:rsid w:val="009D231C"/>
    <w:rsid w:val="009D43EE"/>
    <w:rsid w:val="009D73AC"/>
    <w:rsid w:val="009D78C5"/>
    <w:rsid w:val="009E2926"/>
    <w:rsid w:val="009E36E5"/>
    <w:rsid w:val="009E47FB"/>
    <w:rsid w:val="009E7A33"/>
    <w:rsid w:val="009F2E90"/>
    <w:rsid w:val="009F397E"/>
    <w:rsid w:val="00A01D51"/>
    <w:rsid w:val="00A03494"/>
    <w:rsid w:val="00A04100"/>
    <w:rsid w:val="00A06F74"/>
    <w:rsid w:val="00A15F79"/>
    <w:rsid w:val="00A165F3"/>
    <w:rsid w:val="00A212FD"/>
    <w:rsid w:val="00A26551"/>
    <w:rsid w:val="00A41C27"/>
    <w:rsid w:val="00A41FD9"/>
    <w:rsid w:val="00A423F6"/>
    <w:rsid w:val="00A45829"/>
    <w:rsid w:val="00A6048F"/>
    <w:rsid w:val="00A60749"/>
    <w:rsid w:val="00A70EC3"/>
    <w:rsid w:val="00A76471"/>
    <w:rsid w:val="00A8316B"/>
    <w:rsid w:val="00A861FC"/>
    <w:rsid w:val="00A92174"/>
    <w:rsid w:val="00A93ED8"/>
    <w:rsid w:val="00A960F3"/>
    <w:rsid w:val="00AB3635"/>
    <w:rsid w:val="00AC2C54"/>
    <w:rsid w:val="00AC597D"/>
    <w:rsid w:val="00AC7D8F"/>
    <w:rsid w:val="00AD12BF"/>
    <w:rsid w:val="00AD5791"/>
    <w:rsid w:val="00AE030F"/>
    <w:rsid w:val="00AE0683"/>
    <w:rsid w:val="00AF09BA"/>
    <w:rsid w:val="00AF45F5"/>
    <w:rsid w:val="00AF4EAA"/>
    <w:rsid w:val="00B03D3F"/>
    <w:rsid w:val="00B04E0A"/>
    <w:rsid w:val="00B06078"/>
    <w:rsid w:val="00B11025"/>
    <w:rsid w:val="00B117CA"/>
    <w:rsid w:val="00B12176"/>
    <w:rsid w:val="00B15E91"/>
    <w:rsid w:val="00B254EF"/>
    <w:rsid w:val="00B313FD"/>
    <w:rsid w:val="00B3617E"/>
    <w:rsid w:val="00B37563"/>
    <w:rsid w:val="00B401C7"/>
    <w:rsid w:val="00B41908"/>
    <w:rsid w:val="00B47128"/>
    <w:rsid w:val="00B51FB2"/>
    <w:rsid w:val="00B53CB5"/>
    <w:rsid w:val="00B57BA5"/>
    <w:rsid w:val="00B57C38"/>
    <w:rsid w:val="00B629D2"/>
    <w:rsid w:val="00B631E3"/>
    <w:rsid w:val="00B6322F"/>
    <w:rsid w:val="00B66D63"/>
    <w:rsid w:val="00B73A5E"/>
    <w:rsid w:val="00B82FB0"/>
    <w:rsid w:val="00B85149"/>
    <w:rsid w:val="00BA0805"/>
    <w:rsid w:val="00BA1405"/>
    <w:rsid w:val="00BA48EC"/>
    <w:rsid w:val="00BA6D5B"/>
    <w:rsid w:val="00BA6E66"/>
    <w:rsid w:val="00BA7065"/>
    <w:rsid w:val="00BA74A8"/>
    <w:rsid w:val="00BB645B"/>
    <w:rsid w:val="00BC6213"/>
    <w:rsid w:val="00BC70EB"/>
    <w:rsid w:val="00BC72B2"/>
    <w:rsid w:val="00BD036A"/>
    <w:rsid w:val="00BD1D0F"/>
    <w:rsid w:val="00BD4B51"/>
    <w:rsid w:val="00BD6D3B"/>
    <w:rsid w:val="00BE6CC9"/>
    <w:rsid w:val="00BF0C68"/>
    <w:rsid w:val="00BF1E13"/>
    <w:rsid w:val="00BF2835"/>
    <w:rsid w:val="00BF2D20"/>
    <w:rsid w:val="00BF506F"/>
    <w:rsid w:val="00C034A7"/>
    <w:rsid w:val="00C13AC4"/>
    <w:rsid w:val="00C1545F"/>
    <w:rsid w:val="00C17757"/>
    <w:rsid w:val="00C21AA5"/>
    <w:rsid w:val="00C23577"/>
    <w:rsid w:val="00C25CD8"/>
    <w:rsid w:val="00C26195"/>
    <w:rsid w:val="00C32FC3"/>
    <w:rsid w:val="00C41C9D"/>
    <w:rsid w:val="00C46DC3"/>
    <w:rsid w:val="00C47F86"/>
    <w:rsid w:val="00C527B6"/>
    <w:rsid w:val="00C56277"/>
    <w:rsid w:val="00C61587"/>
    <w:rsid w:val="00C65A44"/>
    <w:rsid w:val="00C66BC5"/>
    <w:rsid w:val="00C70FE9"/>
    <w:rsid w:val="00C77FBE"/>
    <w:rsid w:val="00C8135B"/>
    <w:rsid w:val="00C912C9"/>
    <w:rsid w:val="00C92962"/>
    <w:rsid w:val="00CA284D"/>
    <w:rsid w:val="00CA60FD"/>
    <w:rsid w:val="00CB3725"/>
    <w:rsid w:val="00CC36AF"/>
    <w:rsid w:val="00CC6276"/>
    <w:rsid w:val="00CD1078"/>
    <w:rsid w:val="00CD2AFE"/>
    <w:rsid w:val="00CD3FD2"/>
    <w:rsid w:val="00CD4908"/>
    <w:rsid w:val="00CD562C"/>
    <w:rsid w:val="00CE1647"/>
    <w:rsid w:val="00CE186F"/>
    <w:rsid w:val="00CE59A8"/>
    <w:rsid w:val="00CE6F2D"/>
    <w:rsid w:val="00CF13C0"/>
    <w:rsid w:val="00CF460C"/>
    <w:rsid w:val="00D00B1F"/>
    <w:rsid w:val="00D04A60"/>
    <w:rsid w:val="00D07096"/>
    <w:rsid w:val="00D15402"/>
    <w:rsid w:val="00D27245"/>
    <w:rsid w:val="00D3446D"/>
    <w:rsid w:val="00D36799"/>
    <w:rsid w:val="00D41597"/>
    <w:rsid w:val="00D41678"/>
    <w:rsid w:val="00D4293A"/>
    <w:rsid w:val="00D448BC"/>
    <w:rsid w:val="00D475C2"/>
    <w:rsid w:val="00D50682"/>
    <w:rsid w:val="00D57E54"/>
    <w:rsid w:val="00D6085F"/>
    <w:rsid w:val="00D60FCF"/>
    <w:rsid w:val="00D705A8"/>
    <w:rsid w:val="00D73FCB"/>
    <w:rsid w:val="00D82D36"/>
    <w:rsid w:val="00D832D7"/>
    <w:rsid w:val="00D8388D"/>
    <w:rsid w:val="00D83A8B"/>
    <w:rsid w:val="00D84FFD"/>
    <w:rsid w:val="00D90A11"/>
    <w:rsid w:val="00D91B19"/>
    <w:rsid w:val="00D91D91"/>
    <w:rsid w:val="00D938E8"/>
    <w:rsid w:val="00D95245"/>
    <w:rsid w:val="00DB2017"/>
    <w:rsid w:val="00DB65C9"/>
    <w:rsid w:val="00DC0B42"/>
    <w:rsid w:val="00DC1CB3"/>
    <w:rsid w:val="00DC26C2"/>
    <w:rsid w:val="00DC35A0"/>
    <w:rsid w:val="00DD0D94"/>
    <w:rsid w:val="00DD207E"/>
    <w:rsid w:val="00DD75A3"/>
    <w:rsid w:val="00DE1CD9"/>
    <w:rsid w:val="00DE3BE2"/>
    <w:rsid w:val="00DE5DE4"/>
    <w:rsid w:val="00DE7D84"/>
    <w:rsid w:val="00DF05B6"/>
    <w:rsid w:val="00DF0D12"/>
    <w:rsid w:val="00DF1198"/>
    <w:rsid w:val="00DF3046"/>
    <w:rsid w:val="00DF3A35"/>
    <w:rsid w:val="00E0010D"/>
    <w:rsid w:val="00E00A21"/>
    <w:rsid w:val="00E0429E"/>
    <w:rsid w:val="00E1028F"/>
    <w:rsid w:val="00E106EF"/>
    <w:rsid w:val="00E160BF"/>
    <w:rsid w:val="00E176A9"/>
    <w:rsid w:val="00E17E0C"/>
    <w:rsid w:val="00E23E32"/>
    <w:rsid w:val="00E257EF"/>
    <w:rsid w:val="00E33E6C"/>
    <w:rsid w:val="00E35D11"/>
    <w:rsid w:val="00E42582"/>
    <w:rsid w:val="00E42B19"/>
    <w:rsid w:val="00E5562E"/>
    <w:rsid w:val="00E65C58"/>
    <w:rsid w:val="00E66CBF"/>
    <w:rsid w:val="00E7071F"/>
    <w:rsid w:val="00E719EF"/>
    <w:rsid w:val="00E761F7"/>
    <w:rsid w:val="00E8094C"/>
    <w:rsid w:val="00E82ACD"/>
    <w:rsid w:val="00E861E9"/>
    <w:rsid w:val="00E86669"/>
    <w:rsid w:val="00E87D89"/>
    <w:rsid w:val="00E9166B"/>
    <w:rsid w:val="00E96C31"/>
    <w:rsid w:val="00E96D5A"/>
    <w:rsid w:val="00EA218D"/>
    <w:rsid w:val="00EA6F96"/>
    <w:rsid w:val="00EB2C1A"/>
    <w:rsid w:val="00EB3B31"/>
    <w:rsid w:val="00EB4CA9"/>
    <w:rsid w:val="00EB60BC"/>
    <w:rsid w:val="00EB63B8"/>
    <w:rsid w:val="00EC423E"/>
    <w:rsid w:val="00ED0A38"/>
    <w:rsid w:val="00ED0F01"/>
    <w:rsid w:val="00ED22B7"/>
    <w:rsid w:val="00ED520F"/>
    <w:rsid w:val="00EE4962"/>
    <w:rsid w:val="00EE700D"/>
    <w:rsid w:val="00EF6233"/>
    <w:rsid w:val="00EF7293"/>
    <w:rsid w:val="00F01026"/>
    <w:rsid w:val="00F02481"/>
    <w:rsid w:val="00F05C9E"/>
    <w:rsid w:val="00F067CE"/>
    <w:rsid w:val="00F12268"/>
    <w:rsid w:val="00F122C0"/>
    <w:rsid w:val="00F145BA"/>
    <w:rsid w:val="00F20EEA"/>
    <w:rsid w:val="00F212AF"/>
    <w:rsid w:val="00F22CE5"/>
    <w:rsid w:val="00F23201"/>
    <w:rsid w:val="00F338C6"/>
    <w:rsid w:val="00F47EA3"/>
    <w:rsid w:val="00F54C48"/>
    <w:rsid w:val="00F56579"/>
    <w:rsid w:val="00F57028"/>
    <w:rsid w:val="00F64981"/>
    <w:rsid w:val="00F66510"/>
    <w:rsid w:val="00F722EB"/>
    <w:rsid w:val="00F729D0"/>
    <w:rsid w:val="00F740BD"/>
    <w:rsid w:val="00F825EF"/>
    <w:rsid w:val="00F85496"/>
    <w:rsid w:val="00F9121B"/>
    <w:rsid w:val="00F91613"/>
    <w:rsid w:val="00F94180"/>
    <w:rsid w:val="00F946F3"/>
    <w:rsid w:val="00F952A7"/>
    <w:rsid w:val="00F97ACC"/>
    <w:rsid w:val="00FA2738"/>
    <w:rsid w:val="00FB468C"/>
    <w:rsid w:val="00FB6928"/>
    <w:rsid w:val="00FB6C97"/>
    <w:rsid w:val="00FB75B6"/>
    <w:rsid w:val="00FC5981"/>
    <w:rsid w:val="00FD42D2"/>
    <w:rsid w:val="00FD577E"/>
    <w:rsid w:val="00FD7B9E"/>
    <w:rsid w:val="00FE2260"/>
    <w:rsid w:val="00FE660F"/>
    <w:rsid w:val="00FF2BF3"/>
    <w:rsid w:val="00FF737F"/>
    <w:rsid w:val="00FF7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49F23"/>
  <w15:chartTrackingRefBased/>
  <w15:docId w15:val="{5C2D6BDA-DFFC-43F9-9C02-1C6BE31A6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3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23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23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23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23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23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23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23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23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3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23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23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23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23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23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23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23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2347"/>
    <w:rPr>
      <w:rFonts w:eastAsiaTheme="majorEastAsia" w:cstheme="majorBidi"/>
      <w:color w:val="272727" w:themeColor="text1" w:themeTint="D8"/>
    </w:rPr>
  </w:style>
  <w:style w:type="paragraph" w:styleId="Title">
    <w:name w:val="Title"/>
    <w:basedOn w:val="Normal"/>
    <w:next w:val="Normal"/>
    <w:link w:val="TitleChar"/>
    <w:uiPriority w:val="10"/>
    <w:qFormat/>
    <w:rsid w:val="008A23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3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23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23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2347"/>
    <w:pPr>
      <w:spacing w:before="160"/>
      <w:jc w:val="center"/>
    </w:pPr>
    <w:rPr>
      <w:i/>
      <w:iCs/>
      <w:color w:val="404040" w:themeColor="text1" w:themeTint="BF"/>
    </w:rPr>
  </w:style>
  <w:style w:type="character" w:customStyle="1" w:styleId="QuoteChar">
    <w:name w:val="Quote Char"/>
    <w:basedOn w:val="DefaultParagraphFont"/>
    <w:link w:val="Quote"/>
    <w:uiPriority w:val="29"/>
    <w:rsid w:val="008A2347"/>
    <w:rPr>
      <w:i/>
      <w:iCs/>
      <w:color w:val="404040" w:themeColor="text1" w:themeTint="BF"/>
    </w:rPr>
  </w:style>
  <w:style w:type="paragraph" w:styleId="ListParagraph">
    <w:name w:val="List Paragraph"/>
    <w:basedOn w:val="Normal"/>
    <w:uiPriority w:val="34"/>
    <w:qFormat/>
    <w:rsid w:val="008A2347"/>
    <w:pPr>
      <w:ind w:left="720"/>
      <w:contextualSpacing/>
    </w:pPr>
  </w:style>
  <w:style w:type="character" w:styleId="IntenseEmphasis">
    <w:name w:val="Intense Emphasis"/>
    <w:basedOn w:val="DefaultParagraphFont"/>
    <w:uiPriority w:val="21"/>
    <w:qFormat/>
    <w:rsid w:val="008A2347"/>
    <w:rPr>
      <w:i/>
      <w:iCs/>
      <w:color w:val="0F4761" w:themeColor="accent1" w:themeShade="BF"/>
    </w:rPr>
  </w:style>
  <w:style w:type="paragraph" w:styleId="IntenseQuote">
    <w:name w:val="Intense Quote"/>
    <w:basedOn w:val="Normal"/>
    <w:next w:val="Normal"/>
    <w:link w:val="IntenseQuoteChar"/>
    <w:uiPriority w:val="30"/>
    <w:qFormat/>
    <w:rsid w:val="008A23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2347"/>
    <w:rPr>
      <w:i/>
      <w:iCs/>
      <w:color w:val="0F4761" w:themeColor="accent1" w:themeShade="BF"/>
    </w:rPr>
  </w:style>
  <w:style w:type="character" w:styleId="IntenseReference">
    <w:name w:val="Intense Reference"/>
    <w:basedOn w:val="DefaultParagraphFont"/>
    <w:uiPriority w:val="32"/>
    <w:qFormat/>
    <w:rsid w:val="008A2347"/>
    <w:rPr>
      <w:b/>
      <w:bCs/>
      <w:smallCaps/>
      <w:color w:val="0F4761" w:themeColor="accent1" w:themeShade="BF"/>
      <w:spacing w:val="5"/>
    </w:rPr>
  </w:style>
  <w:style w:type="character" w:styleId="Hyperlink">
    <w:name w:val="Hyperlink"/>
    <w:basedOn w:val="DefaultParagraphFont"/>
    <w:uiPriority w:val="99"/>
    <w:unhideWhenUsed/>
    <w:rsid w:val="005A7BF7"/>
    <w:rPr>
      <w:color w:val="467886" w:themeColor="hyperlink"/>
      <w:u w:val="single"/>
    </w:rPr>
  </w:style>
  <w:style w:type="character" w:styleId="UnresolvedMention">
    <w:name w:val="Unresolved Mention"/>
    <w:basedOn w:val="DefaultParagraphFont"/>
    <w:uiPriority w:val="99"/>
    <w:semiHidden/>
    <w:unhideWhenUsed/>
    <w:rsid w:val="005A7BF7"/>
    <w:rPr>
      <w:color w:val="605E5C"/>
      <w:shd w:val="clear" w:color="auto" w:fill="E1DFDD"/>
    </w:rPr>
  </w:style>
  <w:style w:type="character" w:styleId="Emphasis">
    <w:name w:val="Emphasis"/>
    <w:basedOn w:val="DefaultParagraphFont"/>
    <w:uiPriority w:val="20"/>
    <w:qFormat/>
    <w:rsid w:val="007B669C"/>
    <w:rPr>
      <w:i/>
      <w:iCs/>
    </w:rPr>
  </w:style>
  <w:style w:type="paragraph" w:styleId="NormalWeb">
    <w:name w:val="Normal (Web)"/>
    <w:basedOn w:val="Normal"/>
    <w:uiPriority w:val="99"/>
    <w:unhideWhenUsed/>
    <w:rsid w:val="008F25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326E59"/>
    <w:rPr>
      <w:color w:val="96607D" w:themeColor="followedHyperlink"/>
      <w:u w:val="single"/>
    </w:rPr>
  </w:style>
  <w:style w:type="paragraph" w:styleId="Header">
    <w:name w:val="header"/>
    <w:basedOn w:val="Normal"/>
    <w:link w:val="HeaderChar"/>
    <w:uiPriority w:val="99"/>
    <w:unhideWhenUsed/>
    <w:rsid w:val="00BA7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065"/>
  </w:style>
  <w:style w:type="paragraph" w:styleId="Footer">
    <w:name w:val="footer"/>
    <w:basedOn w:val="Normal"/>
    <w:link w:val="FooterChar"/>
    <w:uiPriority w:val="99"/>
    <w:unhideWhenUsed/>
    <w:rsid w:val="00BA7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0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4238284">
      <w:bodyDiv w:val="1"/>
      <w:marLeft w:val="0"/>
      <w:marRight w:val="0"/>
      <w:marTop w:val="0"/>
      <w:marBottom w:val="0"/>
      <w:divBdr>
        <w:top w:val="none" w:sz="0" w:space="0" w:color="auto"/>
        <w:left w:val="none" w:sz="0" w:space="0" w:color="auto"/>
        <w:bottom w:val="none" w:sz="0" w:space="0" w:color="auto"/>
        <w:right w:val="none" w:sz="0" w:space="0" w:color="auto"/>
      </w:divBdr>
      <w:divsChild>
        <w:div w:id="1120882408">
          <w:marLeft w:val="0"/>
          <w:marRight w:val="0"/>
          <w:marTop w:val="0"/>
          <w:marBottom w:val="0"/>
          <w:divBdr>
            <w:top w:val="none" w:sz="0" w:space="0" w:color="auto"/>
            <w:left w:val="none" w:sz="0" w:space="0" w:color="auto"/>
            <w:bottom w:val="none" w:sz="0" w:space="0" w:color="auto"/>
            <w:right w:val="none" w:sz="0" w:space="0" w:color="auto"/>
          </w:divBdr>
          <w:divsChild>
            <w:div w:id="681585852">
              <w:marLeft w:val="0"/>
              <w:marRight w:val="0"/>
              <w:marTop w:val="0"/>
              <w:marBottom w:val="0"/>
              <w:divBdr>
                <w:top w:val="none" w:sz="0" w:space="0" w:color="auto"/>
                <w:left w:val="none" w:sz="0" w:space="0" w:color="auto"/>
                <w:bottom w:val="none" w:sz="0" w:space="0" w:color="auto"/>
                <w:right w:val="none" w:sz="0" w:space="0" w:color="auto"/>
              </w:divBdr>
            </w:div>
          </w:divsChild>
        </w:div>
        <w:div w:id="218588534">
          <w:marLeft w:val="0"/>
          <w:marRight w:val="0"/>
          <w:marTop w:val="0"/>
          <w:marBottom w:val="0"/>
          <w:divBdr>
            <w:top w:val="none" w:sz="0" w:space="0" w:color="auto"/>
            <w:left w:val="none" w:sz="0" w:space="0" w:color="auto"/>
            <w:bottom w:val="none" w:sz="0" w:space="0" w:color="auto"/>
            <w:right w:val="none" w:sz="0" w:space="0" w:color="auto"/>
          </w:divBdr>
          <w:divsChild>
            <w:div w:id="85048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403964">
      <w:bodyDiv w:val="1"/>
      <w:marLeft w:val="0"/>
      <w:marRight w:val="0"/>
      <w:marTop w:val="0"/>
      <w:marBottom w:val="0"/>
      <w:divBdr>
        <w:top w:val="none" w:sz="0" w:space="0" w:color="auto"/>
        <w:left w:val="none" w:sz="0" w:space="0" w:color="auto"/>
        <w:bottom w:val="none" w:sz="0" w:space="0" w:color="auto"/>
        <w:right w:val="none" w:sz="0" w:space="0" w:color="auto"/>
      </w:divBdr>
      <w:divsChild>
        <w:div w:id="2092264564">
          <w:marLeft w:val="0"/>
          <w:marRight w:val="0"/>
          <w:marTop w:val="0"/>
          <w:marBottom w:val="300"/>
          <w:divBdr>
            <w:top w:val="none" w:sz="0" w:space="0" w:color="auto"/>
            <w:left w:val="none" w:sz="0" w:space="0" w:color="auto"/>
            <w:bottom w:val="none" w:sz="0" w:space="0" w:color="auto"/>
            <w:right w:val="none" w:sz="0" w:space="0" w:color="auto"/>
          </w:divBdr>
          <w:divsChild>
            <w:div w:id="44481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886466">
      <w:bodyDiv w:val="1"/>
      <w:marLeft w:val="0"/>
      <w:marRight w:val="0"/>
      <w:marTop w:val="0"/>
      <w:marBottom w:val="0"/>
      <w:divBdr>
        <w:top w:val="none" w:sz="0" w:space="0" w:color="auto"/>
        <w:left w:val="none" w:sz="0" w:space="0" w:color="auto"/>
        <w:bottom w:val="none" w:sz="0" w:space="0" w:color="auto"/>
        <w:right w:val="none" w:sz="0" w:space="0" w:color="auto"/>
      </w:divBdr>
      <w:divsChild>
        <w:div w:id="1765178560">
          <w:marLeft w:val="0"/>
          <w:marRight w:val="0"/>
          <w:marTop w:val="0"/>
          <w:marBottom w:val="0"/>
          <w:divBdr>
            <w:top w:val="none" w:sz="0" w:space="0" w:color="auto"/>
            <w:left w:val="none" w:sz="0" w:space="0" w:color="auto"/>
            <w:bottom w:val="none" w:sz="0" w:space="0" w:color="auto"/>
            <w:right w:val="none" w:sz="0" w:space="0" w:color="auto"/>
          </w:divBdr>
          <w:divsChild>
            <w:div w:id="1339505921">
              <w:marLeft w:val="0"/>
              <w:marRight w:val="0"/>
              <w:marTop w:val="0"/>
              <w:marBottom w:val="0"/>
              <w:divBdr>
                <w:top w:val="none" w:sz="0" w:space="0" w:color="auto"/>
                <w:left w:val="none" w:sz="0" w:space="0" w:color="auto"/>
                <w:bottom w:val="none" w:sz="0" w:space="0" w:color="auto"/>
                <w:right w:val="none" w:sz="0" w:space="0" w:color="auto"/>
              </w:divBdr>
              <w:divsChild>
                <w:div w:id="1364550001">
                  <w:marLeft w:val="0"/>
                  <w:marRight w:val="0"/>
                  <w:marTop w:val="0"/>
                  <w:marBottom w:val="0"/>
                  <w:divBdr>
                    <w:top w:val="none" w:sz="0" w:space="0" w:color="auto"/>
                    <w:left w:val="none" w:sz="0" w:space="0" w:color="auto"/>
                    <w:bottom w:val="none" w:sz="0" w:space="0" w:color="auto"/>
                    <w:right w:val="none" w:sz="0" w:space="0" w:color="auto"/>
                  </w:divBdr>
                  <w:divsChild>
                    <w:div w:id="1802991326">
                      <w:marLeft w:val="0"/>
                      <w:marRight w:val="0"/>
                      <w:marTop w:val="0"/>
                      <w:marBottom w:val="0"/>
                      <w:divBdr>
                        <w:top w:val="none" w:sz="0" w:space="0" w:color="auto"/>
                        <w:left w:val="none" w:sz="0" w:space="0" w:color="auto"/>
                        <w:bottom w:val="none" w:sz="0" w:space="0" w:color="auto"/>
                        <w:right w:val="none" w:sz="0" w:space="0" w:color="auto"/>
                      </w:divBdr>
                      <w:divsChild>
                        <w:div w:id="869222975">
                          <w:marLeft w:val="0"/>
                          <w:marRight w:val="0"/>
                          <w:marTop w:val="0"/>
                          <w:marBottom w:val="0"/>
                          <w:divBdr>
                            <w:top w:val="none" w:sz="0" w:space="0" w:color="auto"/>
                            <w:left w:val="none" w:sz="0" w:space="0" w:color="auto"/>
                            <w:bottom w:val="none" w:sz="0" w:space="0" w:color="auto"/>
                            <w:right w:val="none" w:sz="0" w:space="0" w:color="auto"/>
                          </w:divBdr>
                          <w:divsChild>
                            <w:div w:id="1508131602">
                              <w:marLeft w:val="0"/>
                              <w:marRight w:val="0"/>
                              <w:marTop w:val="0"/>
                              <w:marBottom w:val="0"/>
                              <w:divBdr>
                                <w:top w:val="none" w:sz="0" w:space="0" w:color="auto"/>
                                <w:left w:val="none" w:sz="0" w:space="0" w:color="auto"/>
                                <w:bottom w:val="none" w:sz="0" w:space="0" w:color="auto"/>
                                <w:right w:val="none" w:sz="0" w:space="0" w:color="auto"/>
                              </w:divBdr>
                              <w:divsChild>
                                <w:div w:id="153361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5780719">
          <w:marLeft w:val="0"/>
          <w:marRight w:val="0"/>
          <w:marTop w:val="0"/>
          <w:marBottom w:val="0"/>
          <w:divBdr>
            <w:top w:val="none" w:sz="0" w:space="0" w:color="auto"/>
            <w:left w:val="none" w:sz="0" w:space="0" w:color="auto"/>
            <w:bottom w:val="none" w:sz="0" w:space="0" w:color="auto"/>
            <w:right w:val="none" w:sz="0" w:space="0" w:color="auto"/>
          </w:divBdr>
          <w:divsChild>
            <w:div w:id="213666679">
              <w:marLeft w:val="0"/>
              <w:marRight w:val="0"/>
              <w:marTop w:val="0"/>
              <w:marBottom w:val="0"/>
              <w:divBdr>
                <w:top w:val="none" w:sz="0" w:space="0" w:color="auto"/>
                <w:left w:val="none" w:sz="0" w:space="0" w:color="auto"/>
                <w:bottom w:val="none" w:sz="0" w:space="0" w:color="auto"/>
                <w:right w:val="none" w:sz="0" w:space="0" w:color="auto"/>
              </w:divBdr>
              <w:divsChild>
                <w:div w:id="1627081710">
                  <w:marLeft w:val="0"/>
                  <w:marRight w:val="0"/>
                  <w:marTop w:val="0"/>
                  <w:marBottom w:val="0"/>
                  <w:divBdr>
                    <w:top w:val="none" w:sz="0" w:space="0" w:color="auto"/>
                    <w:left w:val="none" w:sz="0" w:space="0" w:color="auto"/>
                    <w:bottom w:val="none" w:sz="0" w:space="0" w:color="auto"/>
                    <w:right w:val="none" w:sz="0" w:space="0" w:color="auto"/>
                  </w:divBdr>
                  <w:divsChild>
                    <w:div w:id="193863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653728">
              <w:marLeft w:val="0"/>
              <w:marRight w:val="0"/>
              <w:marTop w:val="0"/>
              <w:marBottom w:val="0"/>
              <w:divBdr>
                <w:top w:val="none" w:sz="0" w:space="0" w:color="auto"/>
                <w:left w:val="none" w:sz="0" w:space="0" w:color="auto"/>
                <w:bottom w:val="none" w:sz="0" w:space="0" w:color="auto"/>
                <w:right w:val="none" w:sz="0" w:space="0" w:color="auto"/>
              </w:divBdr>
              <w:divsChild>
                <w:div w:id="640114426">
                  <w:marLeft w:val="0"/>
                  <w:marRight w:val="0"/>
                  <w:marTop w:val="0"/>
                  <w:marBottom w:val="0"/>
                  <w:divBdr>
                    <w:top w:val="none" w:sz="0" w:space="0" w:color="auto"/>
                    <w:left w:val="none" w:sz="0" w:space="0" w:color="auto"/>
                    <w:bottom w:val="none" w:sz="0" w:space="0" w:color="auto"/>
                    <w:right w:val="none" w:sz="0" w:space="0" w:color="auto"/>
                  </w:divBdr>
                  <w:divsChild>
                    <w:div w:id="1226987814">
                      <w:marLeft w:val="0"/>
                      <w:marRight w:val="0"/>
                      <w:marTop w:val="0"/>
                      <w:marBottom w:val="0"/>
                      <w:divBdr>
                        <w:top w:val="none" w:sz="0" w:space="0" w:color="auto"/>
                        <w:left w:val="none" w:sz="0" w:space="0" w:color="auto"/>
                        <w:bottom w:val="none" w:sz="0" w:space="0" w:color="auto"/>
                        <w:right w:val="none" w:sz="0" w:space="0" w:color="auto"/>
                      </w:divBdr>
                      <w:divsChild>
                        <w:div w:id="82143221">
                          <w:marLeft w:val="0"/>
                          <w:marRight w:val="0"/>
                          <w:marTop w:val="0"/>
                          <w:marBottom w:val="0"/>
                          <w:divBdr>
                            <w:top w:val="none" w:sz="0" w:space="0" w:color="auto"/>
                            <w:left w:val="none" w:sz="0" w:space="0" w:color="auto"/>
                            <w:bottom w:val="none" w:sz="0" w:space="0" w:color="auto"/>
                            <w:right w:val="none" w:sz="0" w:space="0" w:color="auto"/>
                          </w:divBdr>
                          <w:divsChild>
                            <w:div w:id="1803692729">
                              <w:marLeft w:val="0"/>
                              <w:marRight w:val="0"/>
                              <w:marTop w:val="0"/>
                              <w:marBottom w:val="0"/>
                              <w:divBdr>
                                <w:top w:val="none" w:sz="0" w:space="0" w:color="auto"/>
                                <w:left w:val="none" w:sz="0" w:space="0" w:color="auto"/>
                                <w:bottom w:val="none" w:sz="0" w:space="0" w:color="auto"/>
                                <w:right w:val="none" w:sz="0" w:space="0" w:color="auto"/>
                              </w:divBdr>
                              <w:divsChild>
                                <w:div w:id="101057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0016310">
          <w:marLeft w:val="0"/>
          <w:marRight w:val="0"/>
          <w:marTop w:val="0"/>
          <w:marBottom w:val="0"/>
          <w:divBdr>
            <w:top w:val="none" w:sz="0" w:space="0" w:color="auto"/>
            <w:left w:val="none" w:sz="0" w:space="0" w:color="auto"/>
            <w:bottom w:val="none" w:sz="0" w:space="0" w:color="auto"/>
            <w:right w:val="none" w:sz="0" w:space="0" w:color="auto"/>
          </w:divBdr>
          <w:divsChild>
            <w:div w:id="1857304053">
              <w:marLeft w:val="0"/>
              <w:marRight w:val="0"/>
              <w:marTop w:val="0"/>
              <w:marBottom w:val="0"/>
              <w:divBdr>
                <w:top w:val="none" w:sz="0" w:space="0" w:color="auto"/>
                <w:left w:val="none" w:sz="0" w:space="0" w:color="auto"/>
                <w:bottom w:val="none" w:sz="0" w:space="0" w:color="auto"/>
                <w:right w:val="none" w:sz="0" w:space="0" w:color="auto"/>
              </w:divBdr>
              <w:divsChild>
                <w:div w:id="448278754">
                  <w:marLeft w:val="0"/>
                  <w:marRight w:val="0"/>
                  <w:marTop w:val="0"/>
                  <w:marBottom w:val="0"/>
                  <w:divBdr>
                    <w:top w:val="none" w:sz="0" w:space="0" w:color="auto"/>
                    <w:left w:val="none" w:sz="0" w:space="0" w:color="auto"/>
                    <w:bottom w:val="none" w:sz="0" w:space="0" w:color="auto"/>
                    <w:right w:val="none" w:sz="0" w:space="0" w:color="auto"/>
                  </w:divBdr>
                  <w:divsChild>
                    <w:div w:id="15900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635947">
              <w:marLeft w:val="0"/>
              <w:marRight w:val="0"/>
              <w:marTop w:val="0"/>
              <w:marBottom w:val="0"/>
              <w:divBdr>
                <w:top w:val="none" w:sz="0" w:space="0" w:color="auto"/>
                <w:left w:val="none" w:sz="0" w:space="0" w:color="auto"/>
                <w:bottom w:val="none" w:sz="0" w:space="0" w:color="auto"/>
                <w:right w:val="none" w:sz="0" w:space="0" w:color="auto"/>
              </w:divBdr>
              <w:divsChild>
                <w:div w:id="1536961589">
                  <w:marLeft w:val="0"/>
                  <w:marRight w:val="0"/>
                  <w:marTop w:val="0"/>
                  <w:marBottom w:val="0"/>
                  <w:divBdr>
                    <w:top w:val="none" w:sz="0" w:space="0" w:color="auto"/>
                    <w:left w:val="none" w:sz="0" w:space="0" w:color="auto"/>
                    <w:bottom w:val="none" w:sz="0" w:space="0" w:color="auto"/>
                    <w:right w:val="none" w:sz="0" w:space="0" w:color="auto"/>
                  </w:divBdr>
                  <w:divsChild>
                    <w:div w:id="480537093">
                      <w:marLeft w:val="0"/>
                      <w:marRight w:val="0"/>
                      <w:marTop w:val="0"/>
                      <w:marBottom w:val="0"/>
                      <w:divBdr>
                        <w:top w:val="none" w:sz="0" w:space="0" w:color="auto"/>
                        <w:left w:val="none" w:sz="0" w:space="0" w:color="auto"/>
                        <w:bottom w:val="none" w:sz="0" w:space="0" w:color="auto"/>
                        <w:right w:val="none" w:sz="0" w:space="0" w:color="auto"/>
                      </w:divBdr>
                      <w:divsChild>
                        <w:div w:id="2060278457">
                          <w:marLeft w:val="0"/>
                          <w:marRight w:val="0"/>
                          <w:marTop w:val="0"/>
                          <w:marBottom w:val="0"/>
                          <w:divBdr>
                            <w:top w:val="none" w:sz="0" w:space="0" w:color="auto"/>
                            <w:left w:val="none" w:sz="0" w:space="0" w:color="auto"/>
                            <w:bottom w:val="none" w:sz="0" w:space="0" w:color="auto"/>
                            <w:right w:val="none" w:sz="0" w:space="0" w:color="auto"/>
                          </w:divBdr>
                          <w:divsChild>
                            <w:div w:id="319312705">
                              <w:marLeft w:val="0"/>
                              <w:marRight w:val="0"/>
                              <w:marTop w:val="0"/>
                              <w:marBottom w:val="0"/>
                              <w:divBdr>
                                <w:top w:val="none" w:sz="0" w:space="0" w:color="auto"/>
                                <w:left w:val="none" w:sz="0" w:space="0" w:color="auto"/>
                                <w:bottom w:val="none" w:sz="0" w:space="0" w:color="auto"/>
                                <w:right w:val="none" w:sz="0" w:space="0" w:color="auto"/>
                              </w:divBdr>
                              <w:divsChild>
                                <w:div w:id="49067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5647452">
      <w:bodyDiv w:val="1"/>
      <w:marLeft w:val="0"/>
      <w:marRight w:val="0"/>
      <w:marTop w:val="0"/>
      <w:marBottom w:val="0"/>
      <w:divBdr>
        <w:top w:val="none" w:sz="0" w:space="0" w:color="auto"/>
        <w:left w:val="none" w:sz="0" w:space="0" w:color="auto"/>
        <w:bottom w:val="none" w:sz="0" w:space="0" w:color="auto"/>
        <w:right w:val="none" w:sz="0" w:space="0" w:color="auto"/>
      </w:divBdr>
    </w:div>
    <w:div w:id="690374654">
      <w:bodyDiv w:val="1"/>
      <w:marLeft w:val="0"/>
      <w:marRight w:val="0"/>
      <w:marTop w:val="0"/>
      <w:marBottom w:val="0"/>
      <w:divBdr>
        <w:top w:val="none" w:sz="0" w:space="0" w:color="auto"/>
        <w:left w:val="none" w:sz="0" w:space="0" w:color="auto"/>
        <w:bottom w:val="none" w:sz="0" w:space="0" w:color="auto"/>
        <w:right w:val="none" w:sz="0" w:space="0" w:color="auto"/>
      </w:divBdr>
      <w:divsChild>
        <w:div w:id="18704023">
          <w:marLeft w:val="0"/>
          <w:marRight w:val="0"/>
          <w:marTop w:val="0"/>
          <w:marBottom w:val="0"/>
          <w:divBdr>
            <w:top w:val="none" w:sz="0" w:space="0" w:color="auto"/>
            <w:left w:val="none" w:sz="0" w:space="0" w:color="auto"/>
            <w:bottom w:val="none" w:sz="0" w:space="0" w:color="auto"/>
            <w:right w:val="none" w:sz="0" w:space="0" w:color="auto"/>
          </w:divBdr>
          <w:divsChild>
            <w:div w:id="489177696">
              <w:marLeft w:val="0"/>
              <w:marRight w:val="0"/>
              <w:marTop w:val="0"/>
              <w:marBottom w:val="0"/>
              <w:divBdr>
                <w:top w:val="none" w:sz="0" w:space="0" w:color="auto"/>
                <w:left w:val="none" w:sz="0" w:space="0" w:color="auto"/>
                <w:bottom w:val="none" w:sz="0" w:space="0" w:color="auto"/>
                <w:right w:val="none" w:sz="0" w:space="0" w:color="auto"/>
              </w:divBdr>
            </w:div>
          </w:divsChild>
        </w:div>
        <w:div w:id="337659536">
          <w:marLeft w:val="0"/>
          <w:marRight w:val="0"/>
          <w:marTop w:val="0"/>
          <w:marBottom w:val="0"/>
          <w:divBdr>
            <w:top w:val="none" w:sz="0" w:space="0" w:color="auto"/>
            <w:left w:val="none" w:sz="0" w:space="0" w:color="auto"/>
            <w:bottom w:val="none" w:sz="0" w:space="0" w:color="auto"/>
            <w:right w:val="none" w:sz="0" w:space="0" w:color="auto"/>
          </w:divBdr>
          <w:divsChild>
            <w:div w:id="121215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468886">
      <w:bodyDiv w:val="1"/>
      <w:marLeft w:val="0"/>
      <w:marRight w:val="0"/>
      <w:marTop w:val="0"/>
      <w:marBottom w:val="0"/>
      <w:divBdr>
        <w:top w:val="none" w:sz="0" w:space="0" w:color="auto"/>
        <w:left w:val="none" w:sz="0" w:space="0" w:color="auto"/>
        <w:bottom w:val="none" w:sz="0" w:space="0" w:color="auto"/>
        <w:right w:val="none" w:sz="0" w:space="0" w:color="auto"/>
      </w:divBdr>
      <w:divsChild>
        <w:div w:id="1380858599">
          <w:marLeft w:val="0"/>
          <w:marRight w:val="0"/>
          <w:marTop w:val="0"/>
          <w:marBottom w:val="0"/>
          <w:divBdr>
            <w:top w:val="none" w:sz="0" w:space="0" w:color="auto"/>
            <w:left w:val="none" w:sz="0" w:space="0" w:color="auto"/>
            <w:bottom w:val="none" w:sz="0" w:space="0" w:color="auto"/>
            <w:right w:val="none" w:sz="0" w:space="0" w:color="auto"/>
          </w:divBdr>
          <w:divsChild>
            <w:div w:id="970476241">
              <w:marLeft w:val="0"/>
              <w:marRight w:val="0"/>
              <w:marTop w:val="0"/>
              <w:marBottom w:val="0"/>
              <w:divBdr>
                <w:top w:val="none" w:sz="0" w:space="0" w:color="auto"/>
                <w:left w:val="none" w:sz="0" w:space="0" w:color="auto"/>
                <w:bottom w:val="none" w:sz="0" w:space="0" w:color="auto"/>
                <w:right w:val="none" w:sz="0" w:space="0" w:color="auto"/>
              </w:divBdr>
            </w:div>
          </w:divsChild>
        </w:div>
        <w:div w:id="140583106">
          <w:marLeft w:val="0"/>
          <w:marRight w:val="0"/>
          <w:marTop w:val="0"/>
          <w:marBottom w:val="0"/>
          <w:divBdr>
            <w:top w:val="none" w:sz="0" w:space="0" w:color="auto"/>
            <w:left w:val="none" w:sz="0" w:space="0" w:color="auto"/>
            <w:bottom w:val="none" w:sz="0" w:space="0" w:color="auto"/>
            <w:right w:val="none" w:sz="0" w:space="0" w:color="auto"/>
          </w:divBdr>
          <w:divsChild>
            <w:div w:id="133942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373074">
      <w:bodyDiv w:val="1"/>
      <w:marLeft w:val="0"/>
      <w:marRight w:val="0"/>
      <w:marTop w:val="0"/>
      <w:marBottom w:val="0"/>
      <w:divBdr>
        <w:top w:val="none" w:sz="0" w:space="0" w:color="auto"/>
        <w:left w:val="none" w:sz="0" w:space="0" w:color="auto"/>
        <w:bottom w:val="none" w:sz="0" w:space="0" w:color="auto"/>
        <w:right w:val="none" w:sz="0" w:space="0" w:color="auto"/>
      </w:divBdr>
      <w:divsChild>
        <w:div w:id="1562785352">
          <w:marLeft w:val="0"/>
          <w:marRight w:val="0"/>
          <w:marTop w:val="0"/>
          <w:marBottom w:val="0"/>
          <w:divBdr>
            <w:top w:val="none" w:sz="0" w:space="0" w:color="auto"/>
            <w:left w:val="none" w:sz="0" w:space="0" w:color="auto"/>
            <w:bottom w:val="none" w:sz="0" w:space="0" w:color="auto"/>
            <w:right w:val="none" w:sz="0" w:space="0" w:color="auto"/>
          </w:divBdr>
          <w:divsChild>
            <w:div w:id="1701861007">
              <w:marLeft w:val="0"/>
              <w:marRight w:val="0"/>
              <w:marTop w:val="0"/>
              <w:marBottom w:val="0"/>
              <w:divBdr>
                <w:top w:val="none" w:sz="0" w:space="0" w:color="auto"/>
                <w:left w:val="none" w:sz="0" w:space="0" w:color="auto"/>
                <w:bottom w:val="none" w:sz="0" w:space="0" w:color="auto"/>
                <w:right w:val="none" w:sz="0" w:space="0" w:color="auto"/>
              </w:divBdr>
              <w:divsChild>
                <w:div w:id="607810990">
                  <w:marLeft w:val="0"/>
                  <w:marRight w:val="0"/>
                  <w:marTop w:val="0"/>
                  <w:marBottom w:val="0"/>
                  <w:divBdr>
                    <w:top w:val="none" w:sz="0" w:space="0" w:color="auto"/>
                    <w:left w:val="none" w:sz="0" w:space="0" w:color="auto"/>
                    <w:bottom w:val="none" w:sz="0" w:space="0" w:color="auto"/>
                    <w:right w:val="none" w:sz="0" w:space="0" w:color="auto"/>
                  </w:divBdr>
                </w:div>
                <w:div w:id="1011225554">
                  <w:marLeft w:val="0"/>
                  <w:marRight w:val="0"/>
                  <w:marTop w:val="0"/>
                  <w:marBottom w:val="0"/>
                  <w:divBdr>
                    <w:top w:val="none" w:sz="0" w:space="0" w:color="auto"/>
                    <w:left w:val="none" w:sz="0" w:space="0" w:color="auto"/>
                    <w:bottom w:val="none" w:sz="0" w:space="0" w:color="auto"/>
                    <w:right w:val="none" w:sz="0" w:space="0" w:color="auto"/>
                  </w:divBdr>
                  <w:divsChild>
                    <w:div w:id="107573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323363">
          <w:marLeft w:val="0"/>
          <w:marRight w:val="0"/>
          <w:marTop w:val="0"/>
          <w:marBottom w:val="0"/>
          <w:divBdr>
            <w:top w:val="none" w:sz="0" w:space="0" w:color="auto"/>
            <w:left w:val="none" w:sz="0" w:space="0" w:color="auto"/>
            <w:bottom w:val="none" w:sz="0" w:space="0" w:color="auto"/>
            <w:right w:val="none" w:sz="0" w:space="0" w:color="auto"/>
          </w:divBdr>
          <w:divsChild>
            <w:div w:id="730814762">
              <w:marLeft w:val="0"/>
              <w:marRight w:val="0"/>
              <w:marTop w:val="0"/>
              <w:marBottom w:val="0"/>
              <w:divBdr>
                <w:top w:val="none" w:sz="0" w:space="0" w:color="auto"/>
                <w:left w:val="none" w:sz="0" w:space="0" w:color="auto"/>
                <w:bottom w:val="none" w:sz="0" w:space="0" w:color="auto"/>
                <w:right w:val="none" w:sz="0" w:space="0" w:color="auto"/>
              </w:divBdr>
              <w:divsChild>
                <w:div w:id="1966696978">
                  <w:marLeft w:val="0"/>
                  <w:marRight w:val="0"/>
                  <w:marTop w:val="0"/>
                  <w:marBottom w:val="0"/>
                  <w:divBdr>
                    <w:top w:val="none" w:sz="0" w:space="0" w:color="auto"/>
                    <w:left w:val="none" w:sz="0" w:space="0" w:color="auto"/>
                    <w:bottom w:val="none" w:sz="0" w:space="0" w:color="auto"/>
                    <w:right w:val="none" w:sz="0" w:space="0" w:color="auto"/>
                  </w:divBdr>
                </w:div>
                <w:div w:id="1090813835">
                  <w:marLeft w:val="0"/>
                  <w:marRight w:val="0"/>
                  <w:marTop w:val="0"/>
                  <w:marBottom w:val="0"/>
                  <w:divBdr>
                    <w:top w:val="none" w:sz="0" w:space="0" w:color="auto"/>
                    <w:left w:val="none" w:sz="0" w:space="0" w:color="auto"/>
                    <w:bottom w:val="none" w:sz="0" w:space="0" w:color="auto"/>
                    <w:right w:val="none" w:sz="0" w:space="0" w:color="auto"/>
                  </w:divBdr>
                  <w:divsChild>
                    <w:div w:id="1510682158">
                      <w:marLeft w:val="0"/>
                      <w:marRight w:val="0"/>
                      <w:marTop w:val="0"/>
                      <w:marBottom w:val="0"/>
                      <w:divBdr>
                        <w:top w:val="none" w:sz="0" w:space="0" w:color="auto"/>
                        <w:left w:val="none" w:sz="0" w:space="0" w:color="auto"/>
                        <w:bottom w:val="none" w:sz="0" w:space="0" w:color="auto"/>
                        <w:right w:val="none" w:sz="0" w:space="0" w:color="auto"/>
                      </w:divBdr>
                    </w:div>
                    <w:div w:id="54093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654238">
          <w:marLeft w:val="0"/>
          <w:marRight w:val="0"/>
          <w:marTop w:val="0"/>
          <w:marBottom w:val="0"/>
          <w:divBdr>
            <w:top w:val="none" w:sz="0" w:space="0" w:color="auto"/>
            <w:left w:val="none" w:sz="0" w:space="0" w:color="auto"/>
            <w:bottom w:val="none" w:sz="0" w:space="0" w:color="auto"/>
            <w:right w:val="none" w:sz="0" w:space="0" w:color="auto"/>
          </w:divBdr>
          <w:divsChild>
            <w:div w:id="1716394254">
              <w:marLeft w:val="0"/>
              <w:marRight w:val="0"/>
              <w:marTop w:val="0"/>
              <w:marBottom w:val="0"/>
              <w:divBdr>
                <w:top w:val="none" w:sz="0" w:space="0" w:color="auto"/>
                <w:left w:val="none" w:sz="0" w:space="0" w:color="auto"/>
                <w:bottom w:val="none" w:sz="0" w:space="0" w:color="auto"/>
                <w:right w:val="none" w:sz="0" w:space="0" w:color="auto"/>
              </w:divBdr>
              <w:divsChild>
                <w:div w:id="1836148700">
                  <w:marLeft w:val="0"/>
                  <w:marRight w:val="0"/>
                  <w:marTop w:val="0"/>
                  <w:marBottom w:val="0"/>
                  <w:divBdr>
                    <w:top w:val="none" w:sz="0" w:space="0" w:color="auto"/>
                    <w:left w:val="none" w:sz="0" w:space="0" w:color="auto"/>
                    <w:bottom w:val="none" w:sz="0" w:space="0" w:color="auto"/>
                    <w:right w:val="none" w:sz="0" w:space="0" w:color="auto"/>
                  </w:divBdr>
                </w:div>
                <w:div w:id="1887178152">
                  <w:marLeft w:val="0"/>
                  <w:marRight w:val="0"/>
                  <w:marTop w:val="0"/>
                  <w:marBottom w:val="0"/>
                  <w:divBdr>
                    <w:top w:val="none" w:sz="0" w:space="0" w:color="auto"/>
                    <w:left w:val="none" w:sz="0" w:space="0" w:color="auto"/>
                    <w:bottom w:val="none" w:sz="0" w:space="0" w:color="auto"/>
                    <w:right w:val="none" w:sz="0" w:space="0" w:color="auto"/>
                  </w:divBdr>
                  <w:divsChild>
                    <w:div w:id="203942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293406">
          <w:marLeft w:val="0"/>
          <w:marRight w:val="0"/>
          <w:marTop w:val="0"/>
          <w:marBottom w:val="0"/>
          <w:divBdr>
            <w:top w:val="none" w:sz="0" w:space="0" w:color="auto"/>
            <w:left w:val="none" w:sz="0" w:space="0" w:color="auto"/>
            <w:bottom w:val="none" w:sz="0" w:space="0" w:color="auto"/>
            <w:right w:val="none" w:sz="0" w:space="0" w:color="auto"/>
          </w:divBdr>
          <w:divsChild>
            <w:div w:id="1482424546">
              <w:marLeft w:val="0"/>
              <w:marRight w:val="0"/>
              <w:marTop w:val="0"/>
              <w:marBottom w:val="0"/>
              <w:divBdr>
                <w:top w:val="none" w:sz="0" w:space="0" w:color="auto"/>
                <w:left w:val="none" w:sz="0" w:space="0" w:color="auto"/>
                <w:bottom w:val="none" w:sz="0" w:space="0" w:color="auto"/>
                <w:right w:val="none" w:sz="0" w:space="0" w:color="auto"/>
              </w:divBdr>
              <w:divsChild>
                <w:div w:id="2057193335">
                  <w:marLeft w:val="0"/>
                  <w:marRight w:val="0"/>
                  <w:marTop w:val="0"/>
                  <w:marBottom w:val="0"/>
                  <w:divBdr>
                    <w:top w:val="none" w:sz="0" w:space="0" w:color="auto"/>
                    <w:left w:val="none" w:sz="0" w:space="0" w:color="auto"/>
                    <w:bottom w:val="none" w:sz="0" w:space="0" w:color="auto"/>
                    <w:right w:val="none" w:sz="0" w:space="0" w:color="auto"/>
                  </w:divBdr>
                </w:div>
                <w:div w:id="1002588861">
                  <w:marLeft w:val="0"/>
                  <w:marRight w:val="0"/>
                  <w:marTop w:val="0"/>
                  <w:marBottom w:val="0"/>
                  <w:divBdr>
                    <w:top w:val="none" w:sz="0" w:space="0" w:color="auto"/>
                    <w:left w:val="none" w:sz="0" w:space="0" w:color="auto"/>
                    <w:bottom w:val="none" w:sz="0" w:space="0" w:color="auto"/>
                    <w:right w:val="none" w:sz="0" w:space="0" w:color="auto"/>
                  </w:divBdr>
                  <w:divsChild>
                    <w:div w:id="82184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083120">
          <w:marLeft w:val="0"/>
          <w:marRight w:val="0"/>
          <w:marTop w:val="0"/>
          <w:marBottom w:val="0"/>
          <w:divBdr>
            <w:top w:val="none" w:sz="0" w:space="0" w:color="auto"/>
            <w:left w:val="none" w:sz="0" w:space="0" w:color="auto"/>
            <w:bottom w:val="none" w:sz="0" w:space="0" w:color="auto"/>
            <w:right w:val="none" w:sz="0" w:space="0" w:color="auto"/>
          </w:divBdr>
          <w:divsChild>
            <w:div w:id="777061289">
              <w:marLeft w:val="0"/>
              <w:marRight w:val="0"/>
              <w:marTop w:val="0"/>
              <w:marBottom w:val="0"/>
              <w:divBdr>
                <w:top w:val="none" w:sz="0" w:space="0" w:color="auto"/>
                <w:left w:val="none" w:sz="0" w:space="0" w:color="auto"/>
                <w:bottom w:val="none" w:sz="0" w:space="0" w:color="auto"/>
                <w:right w:val="none" w:sz="0" w:space="0" w:color="auto"/>
              </w:divBdr>
              <w:divsChild>
                <w:div w:id="457575614">
                  <w:marLeft w:val="0"/>
                  <w:marRight w:val="0"/>
                  <w:marTop w:val="0"/>
                  <w:marBottom w:val="0"/>
                  <w:divBdr>
                    <w:top w:val="none" w:sz="0" w:space="0" w:color="auto"/>
                    <w:left w:val="none" w:sz="0" w:space="0" w:color="auto"/>
                    <w:bottom w:val="none" w:sz="0" w:space="0" w:color="auto"/>
                    <w:right w:val="none" w:sz="0" w:space="0" w:color="auto"/>
                  </w:divBdr>
                </w:div>
                <w:div w:id="1781610664">
                  <w:marLeft w:val="0"/>
                  <w:marRight w:val="0"/>
                  <w:marTop w:val="0"/>
                  <w:marBottom w:val="0"/>
                  <w:divBdr>
                    <w:top w:val="none" w:sz="0" w:space="0" w:color="auto"/>
                    <w:left w:val="none" w:sz="0" w:space="0" w:color="auto"/>
                    <w:bottom w:val="none" w:sz="0" w:space="0" w:color="auto"/>
                    <w:right w:val="none" w:sz="0" w:space="0" w:color="auto"/>
                  </w:divBdr>
                  <w:divsChild>
                    <w:div w:id="150308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215406">
          <w:marLeft w:val="0"/>
          <w:marRight w:val="0"/>
          <w:marTop w:val="0"/>
          <w:marBottom w:val="0"/>
          <w:divBdr>
            <w:top w:val="none" w:sz="0" w:space="0" w:color="auto"/>
            <w:left w:val="none" w:sz="0" w:space="0" w:color="auto"/>
            <w:bottom w:val="none" w:sz="0" w:space="0" w:color="auto"/>
            <w:right w:val="none" w:sz="0" w:space="0" w:color="auto"/>
          </w:divBdr>
          <w:divsChild>
            <w:div w:id="896817823">
              <w:marLeft w:val="0"/>
              <w:marRight w:val="0"/>
              <w:marTop w:val="0"/>
              <w:marBottom w:val="0"/>
              <w:divBdr>
                <w:top w:val="none" w:sz="0" w:space="0" w:color="auto"/>
                <w:left w:val="none" w:sz="0" w:space="0" w:color="auto"/>
                <w:bottom w:val="none" w:sz="0" w:space="0" w:color="auto"/>
                <w:right w:val="none" w:sz="0" w:space="0" w:color="auto"/>
              </w:divBdr>
              <w:divsChild>
                <w:div w:id="1215964451">
                  <w:marLeft w:val="0"/>
                  <w:marRight w:val="0"/>
                  <w:marTop w:val="0"/>
                  <w:marBottom w:val="0"/>
                  <w:divBdr>
                    <w:top w:val="none" w:sz="0" w:space="0" w:color="auto"/>
                    <w:left w:val="none" w:sz="0" w:space="0" w:color="auto"/>
                    <w:bottom w:val="none" w:sz="0" w:space="0" w:color="auto"/>
                    <w:right w:val="none" w:sz="0" w:space="0" w:color="auto"/>
                  </w:divBdr>
                </w:div>
                <w:div w:id="1179348090">
                  <w:marLeft w:val="0"/>
                  <w:marRight w:val="0"/>
                  <w:marTop w:val="0"/>
                  <w:marBottom w:val="0"/>
                  <w:divBdr>
                    <w:top w:val="none" w:sz="0" w:space="0" w:color="auto"/>
                    <w:left w:val="none" w:sz="0" w:space="0" w:color="auto"/>
                    <w:bottom w:val="none" w:sz="0" w:space="0" w:color="auto"/>
                    <w:right w:val="none" w:sz="0" w:space="0" w:color="auto"/>
                  </w:divBdr>
                  <w:divsChild>
                    <w:div w:id="82308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0023">
          <w:marLeft w:val="0"/>
          <w:marRight w:val="0"/>
          <w:marTop w:val="0"/>
          <w:marBottom w:val="0"/>
          <w:divBdr>
            <w:top w:val="none" w:sz="0" w:space="0" w:color="auto"/>
            <w:left w:val="none" w:sz="0" w:space="0" w:color="auto"/>
            <w:bottom w:val="none" w:sz="0" w:space="0" w:color="auto"/>
            <w:right w:val="none" w:sz="0" w:space="0" w:color="auto"/>
          </w:divBdr>
          <w:divsChild>
            <w:div w:id="1706563017">
              <w:marLeft w:val="0"/>
              <w:marRight w:val="0"/>
              <w:marTop w:val="0"/>
              <w:marBottom w:val="0"/>
              <w:divBdr>
                <w:top w:val="none" w:sz="0" w:space="0" w:color="auto"/>
                <w:left w:val="none" w:sz="0" w:space="0" w:color="auto"/>
                <w:bottom w:val="none" w:sz="0" w:space="0" w:color="auto"/>
                <w:right w:val="none" w:sz="0" w:space="0" w:color="auto"/>
              </w:divBdr>
              <w:divsChild>
                <w:div w:id="795373522">
                  <w:marLeft w:val="0"/>
                  <w:marRight w:val="0"/>
                  <w:marTop w:val="0"/>
                  <w:marBottom w:val="0"/>
                  <w:divBdr>
                    <w:top w:val="none" w:sz="0" w:space="0" w:color="auto"/>
                    <w:left w:val="none" w:sz="0" w:space="0" w:color="auto"/>
                    <w:bottom w:val="none" w:sz="0" w:space="0" w:color="auto"/>
                    <w:right w:val="none" w:sz="0" w:space="0" w:color="auto"/>
                  </w:divBdr>
                </w:div>
                <w:div w:id="641155740">
                  <w:marLeft w:val="0"/>
                  <w:marRight w:val="0"/>
                  <w:marTop w:val="0"/>
                  <w:marBottom w:val="0"/>
                  <w:divBdr>
                    <w:top w:val="none" w:sz="0" w:space="0" w:color="auto"/>
                    <w:left w:val="none" w:sz="0" w:space="0" w:color="auto"/>
                    <w:bottom w:val="none" w:sz="0" w:space="0" w:color="auto"/>
                    <w:right w:val="none" w:sz="0" w:space="0" w:color="auto"/>
                  </w:divBdr>
                  <w:divsChild>
                    <w:div w:id="189963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07675">
          <w:marLeft w:val="0"/>
          <w:marRight w:val="0"/>
          <w:marTop w:val="0"/>
          <w:marBottom w:val="0"/>
          <w:divBdr>
            <w:top w:val="none" w:sz="0" w:space="0" w:color="auto"/>
            <w:left w:val="none" w:sz="0" w:space="0" w:color="auto"/>
            <w:bottom w:val="none" w:sz="0" w:space="0" w:color="auto"/>
            <w:right w:val="none" w:sz="0" w:space="0" w:color="auto"/>
          </w:divBdr>
          <w:divsChild>
            <w:div w:id="1373457752">
              <w:marLeft w:val="0"/>
              <w:marRight w:val="0"/>
              <w:marTop w:val="0"/>
              <w:marBottom w:val="0"/>
              <w:divBdr>
                <w:top w:val="none" w:sz="0" w:space="0" w:color="auto"/>
                <w:left w:val="none" w:sz="0" w:space="0" w:color="auto"/>
                <w:bottom w:val="none" w:sz="0" w:space="0" w:color="auto"/>
                <w:right w:val="none" w:sz="0" w:space="0" w:color="auto"/>
              </w:divBdr>
              <w:divsChild>
                <w:div w:id="1822967074">
                  <w:marLeft w:val="0"/>
                  <w:marRight w:val="0"/>
                  <w:marTop w:val="0"/>
                  <w:marBottom w:val="0"/>
                  <w:divBdr>
                    <w:top w:val="none" w:sz="0" w:space="0" w:color="auto"/>
                    <w:left w:val="none" w:sz="0" w:space="0" w:color="auto"/>
                    <w:bottom w:val="none" w:sz="0" w:space="0" w:color="auto"/>
                    <w:right w:val="none" w:sz="0" w:space="0" w:color="auto"/>
                  </w:divBdr>
                </w:div>
                <w:div w:id="942880844">
                  <w:marLeft w:val="0"/>
                  <w:marRight w:val="0"/>
                  <w:marTop w:val="0"/>
                  <w:marBottom w:val="0"/>
                  <w:divBdr>
                    <w:top w:val="none" w:sz="0" w:space="0" w:color="auto"/>
                    <w:left w:val="none" w:sz="0" w:space="0" w:color="auto"/>
                    <w:bottom w:val="none" w:sz="0" w:space="0" w:color="auto"/>
                    <w:right w:val="none" w:sz="0" w:space="0" w:color="auto"/>
                  </w:divBdr>
                  <w:divsChild>
                    <w:div w:id="1255672186">
                      <w:marLeft w:val="0"/>
                      <w:marRight w:val="0"/>
                      <w:marTop w:val="0"/>
                      <w:marBottom w:val="0"/>
                      <w:divBdr>
                        <w:top w:val="none" w:sz="0" w:space="0" w:color="auto"/>
                        <w:left w:val="none" w:sz="0" w:space="0" w:color="auto"/>
                        <w:bottom w:val="none" w:sz="0" w:space="0" w:color="auto"/>
                        <w:right w:val="none" w:sz="0" w:space="0" w:color="auto"/>
                      </w:divBdr>
                    </w:div>
                    <w:div w:id="27761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561890">
          <w:marLeft w:val="0"/>
          <w:marRight w:val="0"/>
          <w:marTop w:val="0"/>
          <w:marBottom w:val="0"/>
          <w:divBdr>
            <w:top w:val="none" w:sz="0" w:space="0" w:color="auto"/>
            <w:left w:val="none" w:sz="0" w:space="0" w:color="auto"/>
            <w:bottom w:val="none" w:sz="0" w:space="0" w:color="auto"/>
            <w:right w:val="none" w:sz="0" w:space="0" w:color="auto"/>
          </w:divBdr>
          <w:divsChild>
            <w:div w:id="921069178">
              <w:marLeft w:val="0"/>
              <w:marRight w:val="0"/>
              <w:marTop w:val="0"/>
              <w:marBottom w:val="0"/>
              <w:divBdr>
                <w:top w:val="none" w:sz="0" w:space="0" w:color="auto"/>
                <w:left w:val="none" w:sz="0" w:space="0" w:color="auto"/>
                <w:bottom w:val="none" w:sz="0" w:space="0" w:color="auto"/>
                <w:right w:val="none" w:sz="0" w:space="0" w:color="auto"/>
              </w:divBdr>
              <w:divsChild>
                <w:div w:id="1010183197">
                  <w:marLeft w:val="0"/>
                  <w:marRight w:val="0"/>
                  <w:marTop w:val="0"/>
                  <w:marBottom w:val="0"/>
                  <w:divBdr>
                    <w:top w:val="none" w:sz="0" w:space="0" w:color="auto"/>
                    <w:left w:val="none" w:sz="0" w:space="0" w:color="auto"/>
                    <w:bottom w:val="none" w:sz="0" w:space="0" w:color="auto"/>
                    <w:right w:val="none" w:sz="0" w:space="0" w:color="auto"/>
                  </w:divBdr>
                </w:div>
                <w:div w:id="1547253728">
                  <w:marLeft w:val="0"/>
                  <w:marRight w:val="0"/>
                  <w:marTop w:val="0"/>
                  <w:marBottom w:val="0"/>
                  <w:divBdr>
                    <w:top w:val="none" w:sz="0" w:space="0" w:color="auto"/>
                    <w:left w:val="none" w:sz="0" w:space="0" w:color="auto"/>
                    <w:bottom w:val="none" w:sz="0" w:space="0" w:color="auto"/>
                    <w:right w:val="none" w:sz="0" w:space="0" w:color="auto"/>
                  </w:divBdr>
                  <w:divsChild>
                    <w:div w:id="159609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758050">
          <w:marLeft w:val="0"/>
          <w:marRight w:val="0"/>
          <w:marTop w:val="0"/>
          <w:marBottom w:val="0"/>
          <w:divBdr>
            <w:top w:val="none" w:sz="0" w:space="0" w:color="auto"/>
            <w:left w:val="none" w:sz="0" w:space="0" w:color="auto"/>
            <w:bottom w:val="none" w:sz="0" w:space="0" w:color="auto"/>
            <w:right w:val="none" w:sz="0" w:space="0" w:color="auto"/>
          </w:divBdr>
          <w:divsChild>
            <w:div w:id="41173433">
              <w:marLeft w:val="0"/>
              <w:marRight w:val="0"/>
              <w:marTop w:val="0"/>
              <w:marBottom w:val="0"/>
              <w:divBdr>
                <w:top w:val="none" w:sz="0" w:space="0" w:color="auto"/>
                <w:left w:val="none" w:sz="0" w:space="0" w:color="auto"/>
                <w:bottom w:val="none" w:sz="0" w:space="0" w:color="auto"/>
                <w:right w:val="none" w:sz="0" w:space="0" w:color="auto"/>
              </w:divBdr>
              <w:divsChild>
                <w:div w:id="1164005472">
                  <w:marLeft w:val="0"/>
                  <w:marRight w:val="0"/>
                  <w:marTop w:val="0"/>
                  <w:marBottom w:val="0"/>
                  <w:divBdr>
                    <w:top w:val="none" w:sz="0" w:space="0" w:color="auto"/>
                    <w:left w:val="none" w:sz="0" w:space="0" w:color="auto"/>
                    <w:bottom w:val="none" w:sz="0" w:space="0" w:color="auto"/>
                    <w:right w:val="none" w:sz="0" w:space="0" w:color="auto"/>
                  </w:divBdr>
                </w:div>
                <w:div w:id="1881478419">
                  <w:marLeft w:val="0"/>
                  <w:marRight w:val="0"/>
                  <w:marTop w:val="0"/>
                  <w:marBottom w:val="0"/>
                  <w:divBdr>
                    <w:top w:val="none" w:sz="0" w:space="0" w:color="auto"/>
                    <w:left w:val="none" w:sz="0" w:space="0" w:color="auto"/>
                    <w:bottom w:val="none" w:sz="0" w:space="0" w:color="auto"/>
                    <w:right w:val="none" w:sz="0" w:space="0" w:color="auto"/>
                  </w:divBdr>
                  <w:divsChild>
                    <w:div w:id="112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006497">
          <w:marLeft w:val="0"/>
          <w:marRight w:val="0"/>
          <w:marTop w:val="0"/>
          <w:marBottom w:val="0"/>
          <w:divBdr>
            <w:top w:val="none" w:sz="0" w:space="0" w:color="auto"/>
            <w:left w:val="none" w:sz="0" w:space="0" w:color="auto"/>
            <w:bottom w:val="none" w:sz="0" w:space="0" w:color="auto"/>
            <w:right w:val="none" w:sz="0" w:space="0" w:color="auto"/>
          </w:divBdr>
          <w:divsChild>
            <w:div w:id="1177379634">
              <w:marLeft w:val="0"/>
              <w:marRight w:val="0"/>
              <w:marTop w:val="0"/>
              <w:marBottom w:val="0"/>
              <w:divBdr>
                <w:top w:val="none" w:sz="0" w:space="0" w:color="auto"/>
                <w:left w:val="none" w:sz="0" w:space="0" w:color="auto"/>
                <w:bottom w:val="none" w:sz="0" w:space="0" w:color="auto"/>
                <w:right w:val="none" w:sz="0" w:space="0" w:color="auto"/>
              </w:divBdr>
              <w:divsChild>
                <w:div w:id="1458455180">
                  <w:marLeft w:val="0"/>
                  <w:marRight w:val="0"/>
                  <w:marTop w:val="0"/>
                  <w:marBottom w:val="0"/>
                  <w:divBdr>
                    <w:top w:val="none" w:sz="0" w:space="0" w:color="auto"/>
                    <w:left w:val="none" w:sz="0" w:space="0" w:color="auto"/>
                    <w:bottom w:val="none" w:sz="0" w:space="0" w:color="auto"/>
                    <w:right w:val="none" w:sz="0" w:space="0" w:color="auto"/>
                  </w:divBdr>
                </w:div>
                <w:div w:id="133566744">
                  <w:marLeft w:val="0"/>
                  <w:marRight w:val="0"/>
                  <w:marTop w:val="0"/>
                  <w:marBottom w:val="0"/>
                  <w:divBdr>
                    <w:top w:val="none" w:sz="0" w:space="0" w:color="auto"/>
                    <w:left w:val="none" w:sz="0" w:space="0" w:color="auto"/>
                    <w:bottom w:val="none" w:sz="0" w:space="0" w:color="auto"/>
                    <w:right w:val="none" w:sz="0" w:space="0" w:color="auto"/>
                  </w:divBdr>
                  <w:divsChild>
                    <w:div w:id="332803502">
                      <w:marLeft w:val="0"/>
                      <w:marRight w:val="0"/>
                      <w:marTop w:val="0"/>
                      <w:marBottom w:val="0"/>
                      <w:divBdr>
                        <w:top w:val="none" w:sz="0" w:space="0" w:color="auto"/>
                        <w:left w:val="none" w:sz="0" w:space="0" w:color="auto"/>
                        <w:bottom w:val="none" w:sz="0" w:space="0" w:color="auto"/>
                        <w:right w:val="none" w:sz="0" w:space="0" w:color="auto"/>
                      </w:divBdr>
                    </w:div>
                    <w:div w:id="199440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792231">
          <w:marLeft w:val="0"/>
          <w:marRight w:val="0"/>
          <w:marTop w:val="0"/>
          <w:marBottom w:val="0"/>
          <w:divBdr>
            <w:top w:val="none" w:sz="0" w:space="0" w:color="auto"/>
            <w:left w:val="none" w:sz="0" w:space="0" w:color="auto"/>
            <w:bottom w:val="none" w:sz="0" w:space="0" w:color="auto"/>
            <w:right w:val="none" w:sz="0" w:space="0" w:color="auto"/>
          </w:divBdr>
          <w:divsChild>
            <w:div w:id="1560247730">
              <w:marLeft w:val="0"/>
              <w:marRight w:val="0"/>
              <w:marTop w:val="0"/>
              <w:marBottom w:val="0"/>
              <w:divBdr>
                <w:top w:val="none" w:sz="0" w:space="0" w:color="auto"/>
                <w:left w:val="none" w:sz="0" w:space="0" w:color="auto"/>
                <w:bottom w:val="none" w:sz="0" w:space="0" w:color="auto"/>
                <w:right w:val="none" w:sz="0" w:space="0" w:color="auto"/>
              </w:divBdr>
              <w:divsChild>
                <w:div w:id="1757676177">
                  <w:marLeft w:val="0"/>
                  <w:marRight w:val="0"/>
                  <w:marTop w:val="0"/>
                  <w:marBottom w:val="0"/>
                  <w:divBdr>
                    <w:top w:val="none" w:sz="0" w:space="0" w:color="auto"/>
                    <w:left w:val="none" w:sz="0" w:space="0" w:color="auto"/>
                    <w:bottom w:val="none" w:sz="0" w:space="0" w:color="auto"/>
                    <w:right w:val="none" w:sz="0" w:space="0" w:color="auto"/>
                  </w:divBdr>
                </w:div>
                <w:div w:id="358316133">
                  <w:marLeft w:val="0"/>
                  <w:marRight w:val="0"/>
                  <w:marTop w:val="0"/>
                  <w:marBottom w:val="0"/>
                  <w:divBdr>
                    <w:top w:val="none" w:sz="0" w:space="0" w:color="auto"/>
                    <w:left w:val="none" w:sz="0" w:space="0" w:color="auto"/>
                    <w:bottom w:val="none" w:sz="0" w:space="0" w:color="auto"/>
                    <w:right w:val="none" w:sz="0" w:space="0" w:color="auto"/>
                  </w:divBdr>
                  <w:divsChild>
                    <w:div w:id="181891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817961">
          <w:marLeft w:val="0"/>
          <w:marRight w:val="0"/>
          <w:marTop w:val="0"/>
          <w:marBottom w:val="0"/>
          <w:divBdr>
            <w:top w:val="none" w:sz="0" w:space="0" w:color="auto"/>
            <w:left w:val="none" w:sz="0" w:space="0" w:color="auto"/>
            <w:bottom w:val="none" w:sz="0" w:space="0" w:color="auto"/>
            <w:right w:val="none" w:sz="0" w:space="0" w:color="auto"/>
          </w:divBdr>
          <w:divsChild>
            <w:div w:id="370883666">
              <w:marLeft w:val="0"/>
              <w:marRight w:val="0"/>
              <w:marTop w:val="0"/>
              <w:marBottom w:val="0"/>
              <w:divBdr>
                <w:top w:val="none" w:sz="0" w:space="0" w:color="auto"/>
                <w:left w:val="none" w:sz="0" w:space="0" w:color="auto"/>
                <w:bottom w:val="none" w:sz="0" w:space="0" w:color="auto"/>
                <w:right w:val="none" w:sz="0" w:space="0" w:color="auto"/>
              </w:divBdr>
              <w:divsChild>
                <w:div w:id="252663049">
                  <w:marLeft w:val="0"/>
                  <w:marRight w:val="0"/>
                  <w:marTop w:val="0"/>
                  <w:marBottom w:val="0"/>
                  <w:divBdr>
                    <w:top w:val="none" w:sz="0" w:space="0" w:color="auto"/>
                    <w:left w:val="none" w:sz="0" w:space="0" w:color="auto"/>
                    <w:bottom w:val="none" w:sz="0" w:space="0" w:color="auto"/>
                    <w:right w:val="none" w:sz="0" w:space="0" w:color="auto"/>
                  </w:divBdr>
                </w:div>
                <w:div w:id="816000080">
                  <w:marLeft w:val="0"/>
                  <w:marRight w:val="0"/>
                  <w:marTop w:val="0"/>
                  <w:marBottom w:val="0"/>
                  <w:divBdr>
                    <w:top w:val="none" w:sz="0" w:space="0" w:color="auto"/>
                    <w:left w:val="none" w:sz="0" w:space="0" w:color="auto"/>
                    <w:bottom w:val="none" w:sz="0" w:space="0" w:color="auto"/>
                    <w:right w:val="none" w:sz="0" w:space="0" w:color="auto"/>
                  </w:divBdr>
                  <w:divsChild>
                    <w:div w:id="172347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603019">
      <w:bodyDiv w:val="1"/>
      <w:marLeft w:val="0"/>
      <w:marRight w:val="0"/>
      <w:marTop w:val="0"/>
      <w:marBottom w:val="0"/>
      <w:divBdr>
        <w:top w:val="none" w:sz="0" w:space="0" w:color="auto"/>
        <w:left w:val="none" w:sz="0" w:space="0" w:color="auto"/>
        <w:bottom w:val="none" w:sz="0" w:space="0" w:color="auto"/>
        <w:right w:val="none" w:sz="0" w:space="0" w:color="auto"/>
      </w:divBdr>
      <w:divsChild>
        <w:div w:id="325061642">
          <w:marLeft w:val="0"/>
          <w:marRight w:val="0"/>
          <w:marTop w:val="0"/>
          <w:marBottom w:val="0"/>
          <w:divBdr>
            <w:top w:val="none" w:sz="0" w:space="0" w:color="auto"/>
            <w:left w:val="none" w:sz="0" w:space="0" w:color="auto"/>
            <w:bottom w:val="none" w:sz="0" w:space="0" w:color="auto"/>
            <w:right w:val="none" w:sz="0" w:space="0" w:color="auto"/>
          </w:divBdr>
          <w:divsChild>
            <w:div w:id="820969589">
              <w:marLeft w:val="0"/>
              <w:marRight w:val="0"/>
              <w:marTop w:val="0"/>
              <w:marBottom w:val="0"/>
              <w:divBdr>
                <w:top w:val="none" w:sz="0" w:space="0" w:color="auto"/>
                <w:left w:val="none" w:sz="0" w:space="0" w:color="auto"/>
                <w:bottom w:val="none" w:sz="0" w:space="0" w:color="auto"/>
                <w:right w:val="none" w:sz="0" w:space="0" w:color="auto"/>
              </w:divBdr>
            </w:div>
          </w:divsChild>
        </w:div>
        <w:div w:id="31998158">
          <w:marLeft w:val="0"/>
          <w:marRight w:val="0"/>
          <w:marTop w:val="0"/>
          <w:marBottom w:val="0"/>
          <w:divBdr>
            <w:top w:val="none" w:sz="0" w:space="0" w:color="auto"/>
            <w:left w:val="none" w:sz="0" w:space="0" w:color="auto"/>
            <w:bottom w:val="none" w:sz="0" w:space="0" w:color="auto"/>
            <w:right w:val="none" w:sz="0" w:space="0" w:color="auto"/>
          </w:divBdr>
          <w:divsChild>
            <w:div w:id="178245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177680">
      <w:bodyDiv w:val="1"/>
      <w:marLeft w:val="0"/>
      <w:marRight w:val="0"/>
      <w:marTop w:val="0"/>
      <w:marBottom w:val="0"/>
      <w:divBdr>
        <w:top w:val="none" w:sz="0" w:space="0" w:color="auto"/>
        <w:left w:val="none" w:sz="0" w:space="0" w:color="auto"/>
        <w:bottom w:val="none" w:sz="0" w:space="0" w:color="auto"/>
        <w:right w:val="none" w:sz="0" w:space="0" w:color="auto"/>
      </w:divBdr>
      <w:divsChild>
        <w:div w:id="705106071">
          <w:marLeft w:val="0"/>
          <w:marRight w:val="0"/>
          <w:marTop w:val="0"/>
          <w:marBottom w:val="0"/>
          <w:divBdr>
            <w:top w:val="none" w:sz="0" w:space="0" w:color="auto"/>
            <w:left w:val="none" w:sz="0" w:space="0" w:color="auto"/>
            <w:bottom w:val="none" w:sz="0" w:space="0" w:color="auto"/>
            <w:right w:val="none" w:sz="0" w:space="0" w:color="auto"/>
          </w:divBdr>
          <w:divsChild>
            <w:div w:id="2108571513">
              <w:marLeft w:val="0"/>
              <w:marRight w:val="0"/>
              <w:marTop w:val="0"/>
              <w:marBottom w:val="0"/>
              <w:divBdr>
                <w:top w:val="none" w:sz="0" w:space="0" w:color="auto"/>
                <w:left w:val="none" w:sz="0" w:space="0" w:color="auto"/>
                <w:bottom w:val="none" w:sz="0" w:space="0" w:color="auto"/>
                <w:right w:val="none" w:sz="0" w:space="0" w:color="auto"/>
              </w:divBdr>
            </w:div>
          </w:divsChild>
        </w:div>
        <w:div w:id="1169102488">
          <w:marLeft w:val="0"/>
          <w:marRight w:val="0"/>
          <w:marTop w:val="0"/>
          <w:marBottom w:val="0"/>
          <w:divBdr>
            <w:top w:val="none" w:sz="0" w:space="0" w:color="auto"/>
            <w:left w:val="none" w:sz="0" w:space="0" w:color="auto"/>
            <w:bottom w:val="none" w:sz="0" w:space="0" w:color="auto"/>
            <w:right w:val="none" w:sz="0" w:space="0" w:color="auto"/>
          </w:divBdr>
          <w:divsChild>
            <w:div w:id="198064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306281">
      <w:bodyDiv w:val="1"/>
      <w:marLeft w:val="0"/>
      <w:marRight w:val="0"/>
      <w:marTop w:val="0"/>
      <w:marBottom w:val="0"/>
      <w:divBdr>
        <w:top w:val="none" w:sz="0" w:space="0" w:color="auto"/>
        <w:left w:val="none" w:sz="0" w:space="0" w:color="auto"/>
        <w:bottom w:val="none" w:sz="0" w:space="0" w:color="auto"/>
        <w:right w:val="none" w:sz="0" w:space="0" w:color="auto"/>
      </w:divBdr>
      <w:divsChild>
        <w:div w:id="539634900">
          <w:marLeft w:val="0"/>
          <w:marRight w:val="0"/>
          <w:marTop w:val="0"/>
          <w:marBottom w:val="0"/>
          <w:divBdr>
            <w:top w:val="none" w:sz="0" w:space="0" w:color="auto"/>
            <w:left w:val="none" w:sz="0" w:space="0" w:color="auto"/>
            <w:bottom w:val="none" w:sz="0" w:space="0" w:color="auto"/>
            <w:right w:val="none" w:sz="0" w:space="0" w:color="auto"/>
          </w:divBdr>
          <w:divsChild>
            <w:div w:id="548956552">
              <w:marLeft w:val="0"/>
              <w:marRight w:val="0"/>
              <w:marTop w:val="0"/>
              <w:marBottom w:val="0"/>
              <w:divBdr>
                <w:top w:val="none" w:sz="0" w:space="0" w:color="auto"/>
                <w:left w:val="none" w:sz="0" w:space="0" w:color="auto"/>
                <w:bottom w:val="none" w:sz="0" w:space="0" w:color="auto"/>
                <w:right w:val="none" w:sz="0" w:space="0" w:color="auto"/>
              </w:divBdr>
            </w:div>
          </w:divsChild>
        </w:div>
        <w:div w:id="1852062206">
          <w:marLeft w:val="0"/>
          <w:marRight w:val="0"/>
          <w:marTop w:val="0"/>
          <w:marBottom w:val="0"/>
          <w:divBdr>
            <w:top w:val="none" w:sz="0" w:space="0" w:color="auto"/>
            <w:left w:val="none" w:sz="0" w:space="0" w:color="auto"/>
            <w:bottom w:val="none" w:sz="0" w:space="0" w:color="auto"/>
            <w:right w:val="none" w:sz="0" w:space="0" w:color="auto"/>
          </w:divBdr>
          <w:divsChild>
            <w:div w:id="126098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134086">
      <w:bodyDiv w:val="1"/>
      <w:marLeft w:val="0"/>
      <w:marRight w:val="0"/>
      <w:marTop w:val="0"/>
      <w:marBottom w:val="0"/>
      <w:divBdr>
        <w:top w:val="none" w:sz="0" w:space="0" w:color="auto"/>
        <w:left w:val="none" w:sz="0" w:space="0" w:color="auto"/>
        <w:bottom w:val="none" w:sz="0" w:space="0" w:color="auto"/>
        <w:right w:val="none" w:sz="0" w:space="0" w:color="auto"/>
      </w:divBdr>
      <w:divsChild>
        <w:div w:id="1201241053">
          <w:marLeft w:val="0"/>
          <w:marRight w:val="0"/>
          <w:marTop w:val="0"/>
          <w:marBottom w:val="0"/>
          <w:divBdr>
            <w:top w:val="none" w:sz="0" w:space="0" w:color="auto"/>
            <w:left w:val="none" w:sz="0" w:space="0" w:color="auto"/>
            <w:bottom w:val="none" w:sz="0" w:space="0" w:color="auto"/>
            <w:right w:val="none" w:sz="0" w:space="0" w:color="auto"/>
          </w:divBdr>
          <w:divsChild>
            <w:div w:id="1529414725">
              <w:marLeft w:val="0"/>
              <w:marRight w:val="0"/>
              <w:marTop w:val="0"/>
              <w:marBottom w:val="0"/>
              <w:divBdr>
                <w:top w:val="none" w:sz="0" w:space="0" w:color="auto"/>
                <w:left w:val="none" w:sz="0" w:space="0" w:color="auto"/>
                <w:bottom w:val="none" w:sz="0" w:space="0" w:color="auto"/>
                <w:right w:val="none" w:sz="0" w:space="0" w:color="auto"/>
              </w:divBdr>
            </w:div>
          </w:divsChild>
        </w:div>
        <w:div w:id="890313953">
          <w:marLeft w:val="0"/>
          <w:marRight w:val="0"/>
          <w:marTop w:val="0"/>
          <w:marBottom w:val="0"/>
          <w:divBdr>
            <w:top w:val="none" w:sz="0" w:space="0" w:color="auto"/>
            <w:left w:val="none" w:sz="0" w:space="0" w:color="auto"/>
            <w:bottom w:val="none" w:sz="0" w:space="0" w:color="auto"/>
            <w:right w:val="none" w:sz="0" w:space="0" w:color="auto"/>
          </w:divBdr>
          <w:divsChild>
            <w:div w:id="8835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00400910610651809" TargetMode="External"/><Relationship Id="rId18" Type="http://schemas.openxmlformats.org/officeDocument/2006/relationships/hyperlink" Target="https://link.gale.com/apps/doc/A571514230/AONE?u=anon~a48f757f&amp;sid=googleScholar&amp;xid=91db94c4" TargetMode="External"/><Relationship Id="rId26" Type="http://schemas.openxmlformats.org/officeDocument/2006/relationships/hyperlink" Target="https://doi.org/10.1016/j.jecp.2012.10.002" TargetMode="External"/><Relationship Id="rId39" Type="http://schemas.openxmlformats.org/officeDocument/2006/relationships/hyperlink" Target="https://www.sciencedirect.com/science/article/abs/pii/S0273229716300958" TargetMode="External"/><Relationship Id="rId21" Type="http://schemas.openxmlformats.org/officeDocument/2006/relationships/hyperlink" Target="https://doi.org/10.4324/9781003334392" TargetMode="External"/><Relationship Id="rId34" Type="http://schemas.openxmlformats.org/officeDocument/2006/relationships/hyperlink" Target="https://doi.org/10.1080/17549507.2017.1309065" TargetMode="External"/><Relationship Id="rId42" Type="http://schemas.openxmlformats.org/officeDocument/2006/relationships/hyperlink" Target="https://doi.org/10.37517/978-1-74286-742-7" TargetMode="External"/><Relationship Id="rId47" Type="http://schemas.openxmlformats.org/officeDocument/2006/relationships/hyperlink" Target="https://doi.org/10.1017/S0022226720000456" TargetMode="External"/><Relationship Id="rId50" Type="http://schemas.openxmlformats.org/officeDocument/2006/relationships/hyperlink" Target="https://doi.org/10.4324/9781315769929"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77/1529100618772271" TargetMode="External"/><Relationship Id="rId29" Type="http://schemas.openxmlformats.org/officeDocument/2006/relationships/hyperlink" Target="file:///C:/Users/kater/Downloads/10.4324_9780429321498_previewpdf.pdf" TargetMode="External"/><Relationship Id="rId11" Type="http://schemas.openxmlformats.org/officeDocument/2006/relationships/hyperlink" Target="https://doi.org/10.4324/9780203053874" TargetMode="External"/><Relationship Id="rId24" Type="http://schemas.openxmlformats.org/officeDocument/2006/relationships/hyperlink" Target="https://doi.org/10.1111/j.1467-9752.2008.00639.x" TargetMode="External"/><Relationship Id="rId32" Type="http://schemas.openxmlformats.org/officeDocument/2006/relationships/hyperlink" Target="https://doi.org/10.1177/00317217221100007" TargetMode="External"/><Relationship Id="rId37" Type="http://schemas.openxmlformats.org/officeDocument/2006/relationships/hyperlink" Target="https://www.pearsonhighered.com/assets/preface/0/1/3/5/0135175348.pdf" TargetMode="External"/><Relationship Id="rId40" Type="http://schemas.openxmlformats.org/officeDocument/2006/relationships/hyperlink" Target="https://doi.org/10.4324/9781315852089" TargetMode="External"/><Relationship Id="rId45" Type="http://schemas.openxmlformats.org/officeDocument/2006/relationships/hyperlink" Target="https://doi.org/10.4324/9781003100683"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books.google.co.uk/books?id=ZcdatAEACAAJ" TargetMode="External"/><Relationship Id="rId19" Type="http://schemas.openxmlformats.org/officeDocument/2006/relationships/hyperlink" Target="https://doi.org/10.1080/03004430.2016.1238824" TargetMode="External"/><Relationship Id="rId31" Type="http://schemas.openxmlformats.org/officeDocument/2006/relationships/hyperlink" Target="https://doi.org/10.1002/trtr.1760" TargetMode="External"/><Relationship Id="rId44" Type="http://schemas.openxmlformats.org/officeDocument/2006/relationships/hyperlink" Target="https://doi.org/10.1073/pnas.1017617108" TargetMode="External"/><Relationship Id="rId52" Type="http://schemas.openxmlformats.org/officeDocument/2006/relationships/hyperlink" Target="https://doi.org/10.4324/9780429268984" TargetMode="External"/><Relationship Id="rId4" Type="http://schemas.openxmlformats.org/officeDocument/2006/relationships/settings" Target="settings.xml"/><Relationship Id="rId9" Type="http://schemas.openxmlformats.org/officeDocument/2006/relationships/hyperlink" Target="https://doi.org/10.4324/9781351040143" TargetMode="External"/><Relationship Id="rId14" Type="http://schemas.openxmlformats.org/officeDocument/2006/relationships/hyperlink" Target="https://doi.org/10.1371/journal.pbio.3002610" TargetMode="External"/><Relationship Id="rId22" Type="http://schemas.openxmlformats.org/officeDocument/2006/relationships/hyperlink" Target="file:///C:/Users/kater/Downloads/f2dbf902-4230-eb11-94d0-0050568d7800_LindaGawne_PrinciplesPracticesandPrioritiesofTeachingReading.pdf" TargetMode="External"/><Relationship Id="rId27" Type="http://schemas.openxmlformats.org/officeDocument/2006/relationships/hyperlink" Target="https://doi.org/10.1111/infa.12006" TargetMode="External"/><Relationship Id="rId30" Type="http://schemas.openxmlformats.org/officeDocument/2006/relationships/hyperlink" Target="https://www.isca-archive.org/speechprosody_2018/hubscher18_speechprosody.pdf" TargetMode="External"/><Relationship Id="rId35" Type="http://schemas.openxmlformats.org/officeDocument/2006/relationships/hyperlink" Target="https://doi.org/10.4000/educationdidactique.2523" TargetMode="External"/><Relationship Id="rId43" Type="http://schemas.openxmlformats.org/officeDocument/2006/relationships/hyperlink" Target="https://doi.org/10.1016/j.csl.2023.101557" TargetMode="External"/><Relationship Id="rId48" Type="http://schemas.openxmlformats.org/officeDocument/2006/relationships/hyperlink" Target="https://writing4pleasure.com/2024/03/15/the-different-perspectives-you-can-take-on-teaching-early-writing/" TargetMode="External"/><Relationship Id="rId8" Type="http://schemas.openxmlformats.org/officeDocument/2006/relationships/hyperlink" Target="https://doi.org/10.1080/09669760.2020.1760085" TargetMode="External"/><Relationship Id="rId51" Type="http://schemas.openxmlformats.org/officeDocument/2006/relationships/hyperlink" Target="https://doi.org/10.4324/9781315843599" TargetMode="External"/><Relationship Id="rId3" Type="http://schemas.openxmlformats.org/officeDocument/2006/relationships/styles" Target="styles.xml"/><Relationship Id="rId12" Type="http://schemas.openxmlformats.org/officeDocument/2006/relationships/hyperlink" Target="https://doi.org/10.7551/mitpress/3577.001.0001" TargetMode="External"/><Relationship Id="rId17" Type="http://schemas.openxmlformats.org/officeDocument/2006/relationships/hyperlink" Target="https://doi.org/10.1016/S0010-0277(02)00017-3" TargetMode="External"/><Relationship Id="rId25" Type="http://schemas.openxmlformats.org/officeDocument/2006/relationships/hyperlink" Target="file:///C:/Users/kater/Downloads/9781315785110_googlepreview.pdf" TargetMode="External"/><Relationship Id="rId33" Type="http://schemas.openxmlformats.org/officeDocument/2006/relationships/hyperlink" Target="https://doi.org/10.1002/jaal.867" TargetMode="External"/><Relationship Id="rId38" Type="http://schemas.openxmlformats.org/officeDocument/2006/relationships/hyperlink" Target="https://doi.org/10.1016/j.dr.2018.04.001" TargetMode="External"/><Relationship Id="rId46" Type="http://schemas.openxmlformats.org/officeDocument/2006/relationships/hyperlink" Target="https://doi.org/10.1016/j.cogdev.2018.04.005" TargetMode="External"/><Relationship Id="rId20" Type="http://schemas.openxmlformats.org/officeDocument/2006/relationships/hyperlink" Target="https://doi.org/10.4324/9781003061151" TargetMode="External"/><Relationship Id="rId41" Type="http://schemas.openxmlformats.org/officeDocument/2006/relationships/hyperlink" Target="https://doi.org/10.1037/amp0000356"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93/applin/amu073" TargetMode="External"/><Relationship Id="rId23" Type="http://schemas.openxmlformats.org/officeDocument/2006/relationships/hyperlink" Target="https://doi.org/10.1111/lit.12397" TargetMode="External"/><Relationship Id="rId28" Type="http://schemas.openxmlformats.org/officeDocument/2006/relationships/hyperlink" Target="https://doi.org/10.1080/09571736.2022.2045679" TargetMode="External"/><Relationship Id="rId36" Type="http://schemas.openxmlformats.org/officeDocument/2006/relationships/hyperlink" Target="https://doi.org/10.3390/ijerph18105440" TargetMode="External"/><Relationship Id="rId49" Type="http://schemas.openxmlformats.org/officeDocument/2006/relationships/hyperlink" Target="https://doi.org/10.1016/j.isci.2021.1021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B9BAE3-CDE3-4CA2-8251-849519910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15</Pages>
  <Words>5562</Words>
  <Characters>31707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dc:creator>
  <cp:keywords/>
  <dc:description/>
  <cp:lastModifiedBy>Kate Rowlands</cp:lastModifiedBy>
  <cp:revision>2</cp:revision>
  <cp:lastPrinted>2025-02-15T18:25:00Z</cp:lastPrinted>
  <dcterms:created xsi:type="dcterms:W3CDTF">2025-02-18T10:36:00Z</dcterms:created>
  <dcterms:modified xsi:type="dcterms:W3CDTF">2025-02-18T10:36:00Z</dcterms:modified>
</cp:coreProperties>
</file>