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83983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65F309D7" w14:textId="011BF0A8" w:rsidR="00ED1049" w:rsidRPr="00074402" w:rsidRDefault="009E3EA9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6BEE4D69" wp14:editId="3C5417A5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/>
            <wp:docPr id="1920780332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CD6E9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F18F2C5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B264DD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78484D2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61E85F14" w14:textId="0119A926" w:rsidR="00ED1049" w:rsidRPr="00674DA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674DAD">
        <w:rPr>
          <w:rFonts w:ascii="Arial" w:hAnsi="Arial" w:cs="Arial"/>
          <w:b/>
          <w:bCs/>
          <w:sz w:val="28"/>
          <w:szCs w:val="28"/>
          <w:lang w:val="en-GB"/>
        </w:rPr>
        <w:t>Student name</w:t>
      </w:r>
      <w:r w:rsidRPr="00674DAD">
        <w:rPr>
          <w:rFonts w:ascii="Arial" w:hAnsi="Arial" w:cs="Arial"/>
          <w:sz w:val="28"/>
          <w:szCs w:val="28"/>
          <w:lang w:val="en-GB"/>
        </w:rPr>
        <w:t>:</w:t>
      </w:r>
      <w:r w:rsidR="003F5AA9" w:rsidRPr="00674DAD">
        <w:rPr>
          <w:rFonts w:ascii="Arial" w:hAnsi="Arial" w:cs="Arial"/>
          <w:sz w:val="28"/>
          <w:szCs w:val="28"/>
          <w:lang w:val="en-GB"/>
        </w:rPr>
        <w:t xml:space="preserve"> KATARZYNA GLUBA</w:t>
      </w:r>
    </w:p>
    <w:p w14:paraId="2A946699" w14:textId="369C8DB1" w:rsidR="00ED1049" w:rsidRPr="00674DA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674DAD">
        <w:rPr>
          <w:rFonts w:ascii="Arial" w:hAnsi="Arial" w:cs="Arial"/>
          <w:b/>
          <w:bCs/>
          <w:sz w:val="28"/>
          <w:szCs w:val="28"/>
          <w:lang w:val="en-GB"/>
        </w:rPr>
        <w:t>Student ID</w:t>
      </w:r>
      <w:r w:rsidRPr="00674DAD">
        <w:rPr>
          <w:rFonts w:ascii="Arial" w:hAnsi="Arial" w:cs="Arial"/>
          <w:sz w:val="28"/>
          <w:szCs w:val="28"/>
          <w:lang w:val="en-GB"/>
        </w:rPr>
        <w:t>:</w:t>
      </w:r>
      <w:r w:rsidR="003F5AA9" w:rsidRPr="00674DAD">
        <w:rPr>
          <w:rFonts w:ascii="Arial" w:hAnsi="Arial" w:cs="Arial"/>
          <w:sz w:val="28"/>
          <w:szCs w:val="28"/>
          <w:lang w:val="en-GB"/>
        </w:rPr>
        <w:t xml:space="preserve"> 2316845</w:t>
      </w:r>
    </w:p>
    <w:p w14:paraId="1A30B761" w14:textId="77777777" w:rsidR="00ED1049" w:rsidRPr="00674DA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</w:p>
    <w:p w14:paraId="59F7B5C4" w14:textId="23B562C6" w:rsidR="00ED1049" w:rsidRPr="001206FC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1206FC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1206FC">
        <w:rPr>
          <w:rFonts w:ascii="Arial" w:hAnsi="Arial" w:cs="Arial"/>
          <w:sz w:val="28"/>
          <w:szCs w:val="28"/>
          <w:lang w:val="en-GB"/>
        </w:rPr>
        <w:t xml:space="preserve">: </w:t>
      </w:r>
      <w:r w:rsidR="001206FC" w:rsidRPr="001206FC">
        <w:rPr>
          <w:rFonts w:ascii="Arial" w:hAnsi="Arial" w:cs="Arial"/>
          <w:sz w:val="28"/>
          <w:szCs w:val="28"/>
          <w:lang w:val="en-GB"/>
        </w:rPr>
        <w:t>Empowering</w:t>
      </w:r>
      <w:r w:rsidR="001206FC">
        <w:rPr>
          <w:rFonts w:ascii="Arial" w:hAnsi="Arial" w:cs="Arial"/>
          <w:sz w:val="28"/>
          <w:szCs w:val="28"/>
          <w:lang w:val="en-GB"/>
        </w:rPr>
        <w:t xml:space="preserve"> </w:t>
      </w:r>
      <w:r w:rsidR="00E0594A">
        <w:rPr>
          <w:rFonts w:ascii="Arial" w:hAnsi="Arial" w:cs="Arial"/>
          <w:sz w:val="28"/>
          <w:szCs w:val="28"/>
          <w:lang w:val="en-GB"/>
        </w:rPr>
        <w:t>the Older Person</w:t>
      </w:r>
    </w:p>
    <w:p w14:paraId="0F04FC85" w14:textId="539C4F26" w:rsidR="00ED1049" w:rsidRPr="00312D80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fr-FR"/>
        </w:rPr>
      </w:pPr>
      <w:r w:rsidRPr="00312D80">
        <w:rPr>
          <w:rFonts w:ascii="Arial" w:hAnsi="Arial" w:cs="Arial"/>
          <w:b/>
          <w:bCs/>
          <w:sz w:val="28"/>
          <w:szCs w:val="28"/>
          <w:lang w:val="fr-FR"/>
        </w:rPr>
        <w:t>Module code</w:t>
      </w:r>
      <w:r w:rsidRPr="00312D80">
        <w:rPr>
          <w:rFonts w:ascii="Arial" w:hAnsi="Arial" w:cs="Arial"/>
          <w:sz w:val="28"/>
          <w:szCs w:val="28"/>
          <w:lang w:val="fr-FR"/>
        </w:rPr>
        <w:t>:</w:t>
      </w:r>
      <w:r w:rsidR="00312D80" w:rsidRPr="00312D80">
        <w:rPr>
          <w:rFonts w:ascii="Arial" w:hAnsi="Arial" w:cs="Arial"/>
          <w:sz w:val="28"/>
          <w:szCs w:val="28"/>
          <w:lang w:val="fr-FR"/>
        </w:rPr>
        <w:t>BMHP6027</w:t>
      </w:r>
    </w:p>
    <w:p w14:paraId="4D582566" w14:textId="78F12F10" w:rsidR="00ED1049" w:rsidRPr="00312D80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fr-FR"/>
        </w:rPr>
      </w:pPr>
      <w:r w:rsidRPr="00312D80">
        <w:rPr>
          <w:rFonts w:ascii="Arial" w:hAnsi="Arial" w:cs="Arial"/>
          <w:b/>
          <w:bCs/>
          <w:sz w:val="28"/>
          <w:szCs w:val="28"/>
          <w:lang w:val="fr-FR"/>
        </w:rPr>
        <w:t>Lecturer</w:t>
      </w:r>
      <w:r w:rsidR="006D2642" w:rsidRPr="00312D80">
        <w:rPr>
          <w:rFonts w:ascii="Arial" w:hAnsi="Arial" w:cs="Arial"/>
          <w:b/>
          <w:bCs/>
          <w:sz w:val="28"/>
          <w:szCs w:val="28"/>
          <w:lang w:val="fr-FR"/>
        </w:rPr>
        <w:t>’s</w:t>
      </w:r>
      <w:r w:rsidR="00ED1049" w:rsidRPr="00312D80">
        <w:rPr>
          <w:rFonts w:ascii="Arial" w:hAnsi="Arial" w:cs="Arial"/>
          <w:b/>
          <w:bCs/>
          <w:sz w:val="28"/>
          <w:szCs w:val="28"/>
          <w:lang w:val="fr-FR"/>
        </w:rPr>
        <w:t xml:space="preserve"> name</w:t>
      </w:r>
      <w:r w:rsidR="00ED1049" w:rsidRPr="00312D80">
        <w:rPr>
          <w:rFonts w:ascii="Arial" w:hAnsi="Arial" w:cs="Arial"/>
          <w:sz w:val="28"/>
          <w:szCs w:val="28"/>
          <w:lang w:val="fr-FR"/>
        </w:rPr>
        <w:t>:</w:t>
      </w:r>
      <w:r w:rsidR="00312D80" w:rsidRPr="00312D80">
        <w:rPr>
          <w:rFonts w:ascii="Arial" w:hAnsi="Arial" w:cs="Arial"/>
          <w:sz w:val="28"/>
          <w:szCs w:val="28"/>
          <w:lang w:val="fr-FR"/>
        </w:rPr>
        <w:t xml:space="preserve"> Dr. Laila Sura</w:t>
      </w:r>
      <w:r w:rsidR="0055773B">
        <w:rPr>
          <w:rFonts w:ascii="Arial" w:hAnsi="Arial" w:cs="Arial"/>
          <w:sz w:val="28"/>
          <w:szCs w:val="28"/>
          <w:lang w:val="fr-FR"/>
        </w:rPr>
        <w:t>ni</w:t>
      </w:r>
    </w:p>
    <w:p w14:paraId="499FA4E7" w14:textId="77777777" w:rsidR="00ED1049" w:rsidRPr="00312D80" w:rsidRDefault="00ED1049">
      <w:pPr>
        <w:rPr>
          <w:rFonts w:ascii="Arial" w:hAnsi="Arial" w:cs="Arial"/>
          <w:lang w:val="fr-FR"/>
        </w:rPr>
      </w:pPr>
    </w:p>
    <w:p w14:paraId="0C860C82" w14:textId="2165BCC5" w:rsidR="00CC0A8F" w:rsidRDefault="00CC0A8F" w:rsidP="00C46111">
      <w:r w:rsidRPr="006F0106">
        <w:rPr>
          <w:lang w:val="en-GB"/>
        </w:rPr>
        <w:br w:type="page"/>
      </w:r>
      <w:r w:rsidR="002C2202" w:rsidRPr="006F0106">
        <w:rPr>
          <w:lang w:val="en-GB"/>
        </w:rPr>
        <w:lastRenderedPageBreak/>
        <w:t xml:space="preserve">                                                     </w:t>
      </w:r>
      <w:r w:rsidR="00D03FF5">
        <w:rPr>
          <w:lang w:val="en-GB"/>
        </w:rPr>
        <w:t>EMPOWERMENT</w:t>
      </w:r>
      <w:r w:rsidR="002C2202" w:rsidRPr="002C2202">
        <w:rPr>
          <w:lang w:val="en-GB"/>
        </w:rPr>
        <w:t xml:space="preserve"> THE CARE AND SU</w:t>
      </w:r>
      <w:r w:rsidR="002C2202">
        <w:rPr>
          <w:lang w:val="en-GB"/>
        </w:rPr>
        <w:t>PPORT NEEDS OF OLDER PEOPLE</w:t>
      </w:r>
      <w:r w:rsidR="008E01B4">
        <w:rPr>
          <w:lang w:val="en-GB"/>
        </w:rPr>
        <w:t xml:space="preserve"> </w:t>
      </w:r>
    </w:p>
    <w:p w14:paraId="36277CAD" w14:textId="71611B22" w:rsidR="009A2ACC" w:rsidRPr="009A2ACC" w:rsidRDefault="009A2ACC" w:rsidP="009A2ACC">
      <w:pPr>
        <w:rPr>
          <w:rFonts w:ascii="Arial" w:hAnsi="Arial" w:cs="Arial"/>
          <w:sz w:val="24"/>
          <w:szCs w:val="24"/>
          <w:lang w:val="en-GB"/>
        </w:rPr>
      </w:pPr>
      <w:r w:rsidRPr="009A2ACC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                               (www.youtube.com, n.d.)</w:t>
      </w:r>
    </w:p>
    <w:p w14:paraId="595192FC" w14:textId="77777777" w:rsidR="00D41CC4" w:rsidRPr="002C2202" w:rsidRDefault="00D41CC4" w:rsidP="00C46111">
      <w:pPr>
        <w:rPr>
          <w:lang w:val="en-GB"/>
        </w:rPr>
      </w:pPr>
    </w:p>
    <w:tbl>
      <w:tblPr>
        <w:tblW w:w="49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16"/>
        <w:gridCol w:w="4114"/>
        <w:gridCol w:w="383"/>
        <w:gridCol w:w="33"/>
        <w:gridCol w:w="327"/>
        <w:gridCol w:w="4170"/>
        <w:gridCol w:w="360"/>
        <w:gridCol w:w="4509"/>
      </w:tblGrid>
      <w:tr w:rsidR="00346FFA" w:rsidRPr="005C16C8" w14:paraId="34E12FE5" w14:textId="77777777" w:rsidTr="00E035C2">
        <w:trPr>
          <w:trHeight w:val="2393"/>
          <w:jc w:val="center"/>
        </w:trPr>
        <w:tc>
          <w:tcPr>
            <w:tcW w:w="4530" w:type="dxa"/>
            <w:gridSpan w:val="2"/>
          </w:tcPr>
          <w:p w14:paraId="0D9AA1DC" w14:textId="77777777" w:rsidR="00EB6F36" w:rsidRPr="005C16C8" w:rsidRDefault="00EB6F36" w:rsidP="00B67824">
            <w:pPr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</w:p>
          <w:p w14:paraId="37DC286B" w14:textId="75A073AF" w:rsidR="00346FFA" w:rsidRPr="005C16C8" w:rsidRDefault="009E3EA9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8739847" wp14:editId="0EC9FAA0">
                  <wp:extent cx="2752725" cy="1819275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" w:type="dxa"/>
            <w:gridSpan w:val="2"/>
            <w:vMerge w:val="restart"/>
          </w:tcPr>
          <w:p w14:paraId="14075FC6" w14:textId="77777777" w:rsidR="00346FFA" w:rsidRPr="005C16C8" w:rsidRDefault="00346FFA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4497" w:type="dxa"/>
            <w:gridSpan w:val="2"/>
            <w:vMerge w:val="restart"/>
          </w:tcPr>
          <w:p w14:paraId="7F6E7803" w14:textId="0FF9E9AC" w:rsidR="00CB5B14" w:rsidRPr="005C16C8" w:rsidRDefault="00885CAA" w:rsidP="00CB5B14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C16C8">
              <w:rPr>
                <w:rFonts w:ascii="Arial" w:hAnsi="Arial" w:cs="Arial"/>
                <w:b/>
                <w:bCs/>
                <w:sz w:val="24"/>
                <w:szCs w:val="24"/>
              </w:rPr>
              <w:t>Maintaining functional ability, independence, freedom and choice</w:t>
            </w:r>
            <w:r w:rsidR="00B249C0" w:rsidRPr="005C16C8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CB5B14" w:rsidRPr="005C16C8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 xml:space="preserve"> </w:t>
            </w:r>
            <w:r w:rsidR="00CB5B14" w:rsidRPr="005C16C8">
              <w:rPr>
                <w:rFonts w:ascii="Arial" w:hAnsi="Arial" w:cs="Arial"/>
                <w:sz w:val="24"/>
                <w:szCs w:val="24"/>
                <w:lang w:val="en-GB"/>
              </w:rPr>
              <w:t>(World Health Organization, 2015)</w:t>
            </w:r>
          </w:p>
          <w:p w14:paraId="585B1D33" w14:textId="4BFEFB42" w:rsidR="00B249C0" w:rsidRPr="005C16C8" w:rsidRDefault="00B249C0" w:rsidP="004645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9BBCE0" w14:textId="77777777" w:rsidR="00570B33" w:rsidRPr="00570B33" w:rsidRDefault="00570B33" w:rsidP="00570B3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70B33">
              <w:rPr>
                <w:rFonts w:ascii="Arial" w:hAnsi="Arial" w:cs="Arial"/>
                <w:sz w:val="24"/>
                <w:szCs w:val="24"/>
                <w:lang w:val="en-GB"/>
              </w:rPr>
              <w:t>Preserving an older person's functional ability—that is, their ability to carry out necessary daily tasks—is a key objective in their care.</w:t>
            </w:r>
          </w:p>
          <w:p w14:paraId="14A762AF" w14:textId="77777777" w:rsidR="00A12173" w:rsidRPr="005C16C8" w:rsidRDefault="00825224" w:rsidP="004645F8">
            <w:pPr>
              <w:rPr>
                <w:rFonts w:ascii="Arial" w:hAnsi="Arial" w:cs="Arial"/>
                <w:sz w:val="24"/>
                <w:szCs w:val="24"/>
              </w:rPr>
            </w:pPr>
            <w:r w:rsidRPr="005C16C8">
              <w:rPr>
                <w:rFonts w:ascii="Arial" w:hAnsi="Arial" w:cs="Arial"/>
                <w:sz w:val="24"/>
                <w:szCs w:val="24"/>
              </w:rPr>
              <w:t>Maintaining functional ability is crucial because it directly impacts an individual’s independence—the ability to live without undue reliance on others.</w:t>
            </w:r>
          </w:p>
          <w:p w14:paraId="1A3AAB3B" w14:textId="264BED97" w:rsidR="00317E2E" w:rsidRPr="005C16C8" w:rsidRDefault="00694D63" w:rsidP="00317E2E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C16C8">
              <w:rPr>
                <w:rFonts w:ascii="Arial" w:hAnsi="Arial" w:cs="Arial"/>
                <w:sz w:val="24"/>
                <w:szCs w:val="24"/>
              </w:rPr>
              <w:t>Promoting independence empowers older adults to make decisions about their own lives, contributing to their sense of freedom and choice.</w:t>
            </w:r>
            <w:r w:rsidR="00317E2E" w:rsidRPr="005C16C8">
              <w:rPr>
                <w:rFonts w:ascii="Arial" w:eastAsia="Times New Roman" w:hAnsi="Arial" w:cs="Arial"/>
                <w:sz w:val="24"/>
                <w:szCs w:val="24"/>
                <w:lang w:val="en-GB" w:eastAsia="en-GB"/>
              </w:rPr>
              <w:t xml:space="preserve"> </w:t>
            </w:r>
            <w:r w:rsidR="00317E2E" w:rsidRPr="005C16C8">
              <w:rPr>
                <w:rFonts w:ascii="Arial" w:hAnsi="Arial" w:cs="Arial"/>
                <w:sz w:val="24"/>
                <w:szCs w:val="24"/>
                <w:lang w:val="en-GB"/>
              </w:rPr>
              <w:t>(D.B and D.H, 2017)</w:t>
            </w:r>
          </w:p>
          <w:p w14:paraId="3E9DFA29" w14:textId="57C7C7E1" w:rsidR="00694D63" w:rsidRPr="005C16C8" w:rsidRDefault="00694D63" w:rsidP="004645F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FF25AC" w14:textId="77777777" w:rsid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4694DC8B" w14:textId="37C18459" w:rsidR="00E035C2" w:rsidRPr="00E035C2" w:rsidRDefault="00E035C2" w:rsidP="00E035C2">
            <w:pP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EFFECTIVENESS – BENEFIT – UK POLICIES – THEORY</w:t>
            </w:r>
          </w:p>
          <w:p w14:paraId="6DAA0D90" w14:textId="5012C0D5" w:rsidR="00E035C2" w:rsidRP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Person</w:t>
            </w:r>
            <w:r w:rsidR="006F0106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-</w:t>
            </w:r>
            <w:r w:rsidR="006F0106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centered</w:t>
            </w:r>
            <w:proofErr w:type="spellEnd"/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 xml:space="preserve"> care focuses on respecting and responding to the individual preferences, needs, and values of older adults.</w:t>
            </w:r>
          </w:p>
          <w:p w14:paraId="1E3FAD1B" w14:textId="77777777" w:rsidR="00E035C2" w:rsidRP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 xml:space="preserve">Technologies such as personal alarms, mobility aids, and smart home devices </w:t>
            </w: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>enable older people to perform daily activities safely and independently.</w:t>
            </w:r>
          </w:p>
          <w:p w14:paraId="0BE0A22E" w14:textId="77777777" w:rsidR="00E035C2" w:rsidRP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POLICIES</w:t>
            </w:r>
          </w:p>
          <w:p w14:paraId="43BA691F" w14:textId="77777777" w:rsidR="00E035C2" w:rsidRPr="00D03FF5" w:rsidRDefault="00E035C2" w:rsidP="00D03FF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03FF5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The Care Act 2014 (</w:t>
            </w:r>
            <w:r w:rsidRPr="00D03FF5">
              <w:rPr>
                <w:rFonts w:ascii="Arial" w:hAnsi="Arial" w:cs="Arial"/>
                <w:sz w:val="24"/>
                <w:szCs w:val="24"/>
                <w:lang w:val="en-GB"/>
              </w:rPr>
              <w:t>Legislation.gov.uk, 2014)</w:t>
            </w:r>
          </w:p>
          <w:p w14:paraId="78C51AC5" w14:textId="77777777" w:rsidR="00D03FF5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This landmark legislation promotes well-being and emphasizes prevention, early intervention, and person-</w:t>
            </w:r>
            <w:proofErr w:type="spellStart"/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centered</w:t>
            </w:r>
            <w:proofErr w:type="spellEnd"/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 xml:space="preserve"> care.</w:t>
            </w:r>
          </w:p>
          <w:p w14:paraId="20850E01" w14:textId="43B458F2" w:rsidR="00E035C2" w:rsidRPr="00D03FF5" w:rsidRDefault="00E035C2" w:rsidP="00D03FF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03FF5">
              <w:rPr>
                <w:rFonts w:ascii="Arial" w:hAnsi="Arial" w:cs="Arial"/>
                <w:sz w:val="24"/>
                <w:szCs w:val="24"/>
                <w:lang w:val="en-GB"/>
              </w:rPr>
              <w:t>The National Health Service (NHS) Long Term Plan (2019) (NHS England, 2019)</w:t>
            </w:r>
          </w:p>
          <w:p w14:paraId="2B770C3D" w14:textId="77777777" w:rsidR="00E035C2" w:rsidRP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The plan prioritizes integrated care, personalized support, and community-based services to improve outcomes for older adults with complex health needs.</w:t>
            </w:r>
          </w:p>
          <w:p w14:paraId="111D4BC4" w14:textId="77777777" w:rsidR="00E035C2" w:rsidRPr="00D03FF5" w:rsidRDefault="00E035C2" w:rsidP="00D03FF5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D03FF5">
              <w:rPr>
                <w:rFonts w:ascii="Arial" w:hAnsi="Arial" w:cs="Arial"/>
                <w:sz w:val="24"/>
                <w:szCs w:val="24"/>
                <w:lang w:val="en-GB"/>
              </w:rPr>
              <w:t>The Ageing Society Grand Challenge (part of the UK Government’s Industrial Strategy)</w:t>
            </w:r>
          </w:p>
          <w:p w14:paraId="2BF05C3F" w14:textId="77777777" w:rsidR="00E035C2" w:rsidRP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Aims to ensure that people can enjoy at least five extra healthy, independent years of life by 2035 through innovation in healthcare, social care, and technology.</w:t>
            </w:r>
          </w:p>
          <w:p w14:paraId="3F0F9FA6" w14:textId="77777777" w:rsidR="00E035C2" w:rsidRP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556C7713" w14:textId="77777777" w:rsidR="00E035C2" w:rsidRPr="00E035C2" w:rsidRDefault="00E035C2" w:rsidP="00E035C2">
            <w:pP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THEORIES</w:t>
            </w:r>
          </w:p>
          <w:p w14:paraId="3D20F097" w14:textId="77777777" w:rsidR="00E035C2" w:rsidRP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 xml:space="preserve">. </w:t>
            </w:r>
            <w:r w:rsidRPr="00D03FF5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The Activity Theory of Ageing</w:t>
            </w:r>
          </w:p>
          <w:p w14:paraId="33BA9EC8" w14:textId="77777777" w:rsidR="00E035C2" w:rsidRP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 xml:space="preserve">This theory suggests that staying mentally and physically active leads to </w:t>
            </w: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>higher satisfaction and better quality of life in older age. (Havighurst, R. J. (1961). Successful aging. The Gerontologist, 1(1), 8-13.)</w:t>
            </w:r>
          </w:p>
          <w:p w14:paraId="196A34E7" w14:textId="77777777" w:rsidR="00E035C2" w:rsidRP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1A7C3805" w14:textId="77777777" w:rsidR="00E035C2" w:rsidRPr="00D03FF5" w:rsidRDefault="00E035C2" w:rsidP="00E035C2">
            <w:pP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D03FF5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The Person-Environment Fit Theory</w:t>
            </w:r>
          </w:p>
          <w:p w14:paraId="2A7DD0D7" w14:textId="77777777" w:rsidR="00E035C2" w:rsidRDefault="00E035C2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 xml:space="preserve">This theory highlights the interaction between an individual’s abilities and their environment. (Lawton and </w:t>
            </w:r>
            <w:proofErr w:type="spellStart"/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Nahemow</w:t>
            </w:r>
            <w:proofErr w:type="spellEnd"/>
            <w:r w:rsidRPr="00E035C2">
              <w:rPr>
                <w:rFonts w:ascii="Arial" w:hAnsi="Arial" w:cs="Arial"/>
                <w:sz w:val="24"/>
                <w:szCs w:val="24"/>
                <w:lang w:val="en-GB"/>
              </w:rPr>
              <w:t>, 1973)</w:t>
            </w:r>
          </w:p>
          <w:p w14:paraId="74327026" w14:textId="77777777" w:rsidR="00745B71" w:rsidRDefault="00745B71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7870BB68" w14:textId="77777777" w:rsidR="00745B71" w:rsidRPr="00E035C2" w:rsidRDefault="00745B71" w:rsidP="00745B71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35C2">
              <w:rPr>
                <w:rFonts w:ascii="Arial" w:hAnsi="Arial" w:cs="Arial"/>
                <w:b/>
                <w:bCs/>
                <w:sz w:val="24"/>
                <w:szCs w:val="24"/>
              </w:rPr>
              <w:t>CONCLUSION</w:t>
            </w:r>
          </w:p>
          <w:p w14:paraId="17D286EF" w14:textId="77777777" w:rsidR="00745B71" w:rsidRPr="00E035C2" w:rsidRDefault="00745B71" w:rsidP="00745B71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>Supporting and empowering older adults to maintain their independence and functional ability is essential for promoting their well-being, dignity, and quality of life. Current UK policies, such as the Care Act 2014 and the NHS Long Term Plan, emphasize person-centered, integrated, and community-based approaches that are effective in addressing the diverse needs of older people. Implementing strategies that promote self-management, utilize assistive technology, and foster social engagement can significantly enhance their autonomy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CC1F8C0" w14:textId="77777777" w:rsidR="00745B71" w:rsidRPr="00745B71" w:rsidRDefault="00745B71" w:rsidP="00E035C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3936E7" w14:textId="0CD70D7C" w:rsidR="00E059DD" w:rsidRPr="005C16C8" w:rsidRDefault="00E059DD" w:rsidP="00E035C2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360" w:type="dxa"/>
            <w:vMerge w:val="restart"/>
          </w:tcPr>
          <w:p w14:paraId="54FC2EA2" w14:textId="77777777" w:rsidR="00346FFA" w:rsidRPr="005C16C8" w:rsidRDefault="00346FFA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4509" w:type="dxa"/>
            <w:vAlign w:val="center"/>
          </w:tcPr>
          <w:p w14:paraId="6995DA36" w14:textId="2CB882F5" w:rsidR="00346FFA" w:rsidRPr="005C16C8" w:rsidRDefault="009E3EA9" w:rsidP="00EB6F36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FF8AE20" wp14:editId="51AE7482">
                  <wp:extent cx="2971800" cy="213360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5C16C8" w14:paraId="39DC2850" w14:textId="77777777" w:rsidTr="00E035C2">
        <w:trPr>
          <w:trHeight w:val="272"/>
          <w:jc w:val="center"/>
        </w:trPr>
        <w:tc>
          <w:tcPr>
            <w:tcW w:w="4530" w:type="dxa"/>
            <w:gridSpan w:val="2"/>
          </w:tcPr>
          <w:p w14:paraId="7DF4E0EA" w14:textId="77777777" w:rsidR="00346FFA" w:rsidRDefault="006739B0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t xml:space="preserve">Introduction </w:t>
            </w:r>
          </w:p>
          <w:p w14:paraId="2968F08C" w14:textId="77777777" w:rsidR="00E035C2" w:rsidRPr="005C16C8" w:rsidRDefault="00E035C2" w:rsidP="00E035C2">
            <w:pPr>
              <w:rPr>
                <w:rFonts w:ascii="Arial" w:hAnsi="Arial" w:cs="Arial"/>
                <w:sz w:val="24"/>
                <w:szCs w:val="24"/>
              </w:rPr>
            </w:pPr>
            <w:r w:rsidRPr="005C16C8">
              <w:rPr>
                <w:rFonts w:ascii="Arial" w:hAnsi="Arial" w:cs="Arial"/>
                <w:sz w:val="24"/>
                <w:szCs w:val="24"/>
              </w:rPr>
              <w:t>As the global population ages, the evaluation of care and support needs for older adults has become increasingly critical. Older people often experience a range of physical, cognitive, and social changes that necessitate tailored support to ensure their well-being and quality of life.</w:t>
            </w:r>
          </w:p>
          <w:p w14:paraId="29AE93CD" w14:textId="77777777" w:rsidR="00E035C2" w:rsidRDefault="00E035C2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53753D7F" w14:textId="77777777" w:rsidR="00D03FF5" w:rsidRDefault="00D03FF5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D03FF5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Global Aging Trends</w:t>
            </w:r>
            <w:r w:rsidRPr="00D03FF5">
              <w:rPr>
                <w:rFonts w:ascii="Arial" w:hAnsi="Arial" w:cs="Arial"/>
                <w:noProof/>
                <w:sz w:val="24"/>
                <w:szCs w:val="24"/>
              </w:rPr>
              <w:t>:</w:t>
            </w:r>
          </w:p>
          <w:p w14:paraId="7CC62DC9" w14:textId="77777777" w:rsidR="00D03FF5" w:rsidRDefault="00D03FF5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D03FF5">
              <w:rPr>
                <w:rFonts w:ascii="Arial" w:hAnsi="Arial" w:cs="Arial"/>
                <w:noProof/>
                <w:sz w:val="24"/>
                <w:szCs w:val="24"/>
              </w:rPr>
              <w:t xml:space="preserve"> According to the World Health Organization (WHO), the number of people aged 60 years and older is projected to reach 2.1 billion by 2050. (World Health Organization, 2024) </w:t>
            </w:r>
          </w:p>
          <w:p w14:paraId="5B33ED6A" w14:textId="7227D292" w:rsidR="00D03FF5" w:rsidRDefault="00D03FF5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D03FF5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lastRenderedPageBreak/>
              <w:t>Increased Care Needs</w:t>
            </w:r>
            <w:r w:rsidRPr="00D03FF5">
              <w:rPr>
                <w:rFonts w:ascii="Arial" w:hAnsi="Arial" w:cs="Arial"/>
                <w:noProof/>
                <w:sz w:val="24"/>
                <w:szCs w:val="24"/>
              </w:rPr>
              <w:t>:</w:t>
            </w:r>
          </w:p>
          <w:p w14:paraId="3DF73BB5" w14:textId="624A65E5" w:rsidR="006739B0" w:rsidRPr="005C16C8" w:rsidRDefault="00D03FF5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  <w:r w:rsidRPr="00D03FF5">
              <w:rPr>
                <w:rFonts w:ascii="Arial" w:hAnsi="Arial" w:cs="Arial"/>
                <w:noProof/>
                <w:sz w:val="24"/>
                <w:szCs w:val="24"/>
              </w:rPr>
              <w:t xml:space="preserve"> A study published in The Lancet found that approximately 40% of older adults require some form of long-term care, whether at home or in residential facilities, due to chronic illnesses, disabilities, or cognitive impairments. (M et al., 2015)</w:t>
            </w:r>
          </w:p>
        </w:tc>
        <w:tc>
          <w:tcPr>
            <w:tcW w:w="416" w:type="dxa"/>
            <w:gridSpan w:val="2"/>
            <w:vMerge/>
          </w:tcPr>
          <w:p w14:paraId="50BA6E96" w14:textId="77777777" w:rsidR="00346FFA" w:rsidRPr="005C16C8" w:rsidRDefault="00346FFA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4497" w:type="dxa"/>
            <w:gridSpan w:val="2"/>
            <w:vMerge/>
          </w:tcPr>
          <w:p w14:paraId="1B31568C" w14:textId="77777777" w:rsidR="00346FFA" w:rsidRPr="005C16C8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  <w:szCs w:val="24"/>
              </w:rPr>
            </w:pPr>
          </w:p>
        </w:tc>
        <w:tc>
          <w:tcPr>
            <w:tcW w:w="360" w:type="dxa"/>
            <w:vMerge/>
          </w:tcPr>
          <w:p w14:paraId="4ED1FB78" w14:textId="77777777" w:rsidR="00346FFA" w:rsidRPr="005C16C8" w:rsidRDefault="00346FFA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4509" w:type="dxa"/>
          </w:tcPr>
          <w:p w14:paraId="51062A2D" w14:textId="77777777" w:rsidR="00E035C2" w:rsidRPr="00D03FF5" w:rsidRDefault="00E035C2" w:rsidP="00E035C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3FF5">
              <w:rPr>
                <w:rFonts w:ascii="Arial" w:hAnsi="Arial" w:cs="Arial"/>
                <w:b/>
                <w:bCs/>
                <w:sz w:val="24"/>
                <w:szCs w:val="24"/>
              </w:rPr>
              <w:t>CHALLENGES (National Institute of Aging, 2020)</w:t>
            </w:r>
          </w:p>
          <w:p w14:paraId="748CE62C" w14:textId="77777777" w:rsidR="00E035C2" w:rsidRPr="00D03FF5" w:rsidRDefault="00E035C2" w:rsidP="00E035C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C67206A" w14:textId="77777777" w:rsidR="00E035C2" w:rsidRPr="00D03FF5" w:rsidRDefault="00E035C2" w:rsidP="00E035C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3FF5">
              <w:rPr>
                <w:rFonts w:ascii="Arial" w:hAnsi="Arial" w:cs="Arial"/>
                <w:b/>
                <w:bCs/>
                <w:sz w:val="24"/>
                <w:szCs w:val="24"/>
              </w:rPr>
              <w:t>Physical Health Decline</w:t>
            </w:r>
          </w:p>
          <w:p w14:paraId="7B537B37" w14:textId="77777777" w:rsidR="00E035C2" w:rsidRPr="00E035C2" w:rsidRDefault="00E035C2" w:rsidP="00D03FF5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>Aging commonly brings about chronic conditions such as arthritis, osteoporosis, cardiovascular diseases, and sensory impairments (e.g., vision and hearing loss).</w:t>
            </w:r>
          </w:p>
          <w:p w14:paraId="4CAADEB9" w14:textId="77777777" w:rsidR="00E035C2" w:rsidRPr="00D03FF5" w:rsidRDefault="00E035C2" w:rsidP="00E035C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3FF5">
              <w:rPr>
                <w:rFonts w:ascii="Arial" w:hAnsi="Arial" w:cs="Arial"/>
                <w:b/>
                <w:bCs/>
                <w:sz w:val="24"/>
                <w:szCs w:val="24"/>
              </w:rPr>
              <w:t>Cognitive Decline</w:t>
            </w:r>
          </w:p>
          <w:p w14:paraId="522F2EDB" w14:textId="77777777" w:rsidR="00E035C2" w:rsidRPr="00E035C2" w:rsidRDefault="00E035C2" w:rsidP="00D03FF5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>Conditions like dementia and Alzheimer’s disease affect memory, problem-solving, and decision-making abilities.</w:t>
            </w:r>
          </w:p>
          <w:p w14:paraId="7725649E" w14:textId="77777777" w:rsidR="00E035C2" w:rsidRPr="00D03FF5" w:rsidRDefault="00E035C2" w:rsidP="00E035C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3FF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Mental Health Issues</w:t>
            </w:r>
          </w:p>
          <w:p w14:paraId="7091F22A" w14:textId="77777777" w:rsidR="00E035C2" w:rsidRPr="00E035C2" w:rsidRDefault="00E035C2" w:rsidP="00D03FF5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>Depression, anxiety, and social isolation are frequent among older adults, often exacerbated by loss of loved ones or reduced social interaction.</w:t>
            </w:r>
          </w:p>
          <w:p w14:paraId="2A041D56" w14:textId="77777777" w:rsidR="00E035C2" w:rsidRPr="00D03FF5" w:rsidRDefault="00E035C2" w:rsidP="00E035C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3FF5">
              <w:rPr>
                <w:rFonts w:ascii="Arial" w:hAnsi="Arial" w:cs="Arial"/>
                <w:b/>
                <w:bCs/>
                <w:sz w:val="24"/>
                <w:szCs w:val="24"/>
              </w:rPr>
              <w:t>Environmental Barriers</w:t>
            </w:r>
          </w:p>
          <w:p w14:paraId="7AE62B41" w14:textId="77777777" w:rsidR="00E035C2" w:rsidRPr="00E035C2" w:rsidRDefault="00E035C2" w:rsidP="00D03FF5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>Many older people live in housing that is not adapted to their changing needs—lacking features such as ramps, grab bars, or adequate lighting. (Centers for Disease Control and Prevention, 2020)</w:t>
            </w:r>
          </w:p>
          <w:p w14:paraId="16B65577" w14:textId="77777777" w:rsidR="00D03FF5" w:rsidRDefault="00E035C2" w:rsidP="00E035C2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 xml:space="preserve">Access to healthcare, rehabilitation, assistive technologies, and community support </w:t>
            </w:r>
          </w:p>
          <w:p w14:paraId="020C8E45" w14:textId="77777777" w:rsidR="00D03FF5" w:rsidRDefault="00E035C2" w:rsidP="00E035C2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D03FF5">
              <w:rPr>
                <w:rFonts w:ascii="Arial" w:hAnsi="Arial" w:cs="Arial"/>
                <w:sz w:val="24"/>
                <w:szCs w:val="24"/>
              </w:rPr>
              <w:t>Financial Constraints</w:t>
            </w:r>
          </w:p>
          <w:p w14:paraId="1CBBAA9D" w14:textId="5F595B33" w:rsidR="00E035C2" w:rsidRPr="00D03FF5" w:rsidRDefault="00E035C2" w:rsidP="00E035C2">
            <w:pPr>
              <w:pStyle w:val="NoSpacing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D03FF5">
              <w:rPr>
                <w:rFonts w:ascii="Arial" w:hAnsi="Arial" w:cs="Arial"/>
                <w:sz w:val="24"/>
                <w:szCs w:val="24"/>
              </w:rPr>
              <w:t>Fixed or limited incomes can restrict the ability to afford medications, home modifications, assistive devices, or paid caregiving, all of which are important for sustaining independence.</w:t>
            </w:r>
          </w:p>
          <w:p w14:paraId="4E718934" w14:textId="77777777" w:rsidR="00E035C2" w:rsidRPr="00E035C2" w:rsidRDefault="00E035C2" w:rsidP="00E035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 xml:space="preserve">Social expectations, stigma, or family dynamics may influence the willingness or ability of older adults to seek or accept help. </w:t>
            </w:r>
          </w:p>
          <w:p w14:paraId="74A96D06" w14:textId="77777777" w:rsidR="00E035C2" w:rsidRPr="00E035C2" w:rsidRDefault="00E035C2" w:rsidP="00E035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2C876EB" w14:textId="77777777" w:rsidR="00E035C2" w:rsidRPr="00E035C2" w:rsidRDefault="00E035C2" w:rsidP="00E035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53FB589" w14:textId="77777777" w:rsidR="00E035C2" w:rsidRPr="00E035C2" w:rsidRDefault="00E035C2" w:rsidP="00E035C2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035C2">
              <w:rPr>
                <w:rFonts w:ascii="Arial" w:hAnsi="Arial" w:cs="Arial"/>
                <w:b/>
                <w:bCs/>
                <w:sz w:val="24"/>
                <w:szCs w:val="24"/>
              </w:rPr>
              <w:t>RECOMMENDATION AND CONCLUSION</w:t>
            </w:r>
          </w:p>
          <w:p w14:paraId="18240B3C" w14:textId="77777777" w:rsidR="00E035C2" w:rsidRPr="00E035C2" w:rsidRDefault="00E035C2" w:rsidP="00E035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>Based on current evidence and best practices, the following recommendations are proposed:</w:t>
            </w:r>
          </w:p>
          <w:p w14:paraId="2D6778A4" w14:textId="77777777" w:rsidR="00E035C2" w:rsidRDefault="00E035C2" w:rsidP="00E035C2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>Promote Person-Centered and Holistic Care</w:t>
            </w:r>
          </w:p>
          <w:p w14:paraId="1F433A49" w14:textId="46157842" w:rsidR="00D03FF5" w:rsidRPr="00D03FF5" w:rsidRDefault="00E035C2" w:rsidP="00D03FF5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E035C2">
              <w:rPr>
                <w:rFonts w:ascii="Arial" w:hAnsi="Arial" w:cs="Arial"/>
                <w:sz w:val="24"/>
                <w:szCs w:val="24"/>
              </w:rPr>
              <w:t xml:space="preserve">Services should be tailored to individual needs, preferences, and values. This involves actively engaging older adults in decision-making processes, respecting their autonomy, and providing care that considers their physical, mental, and social well-being. </w:t>
            </w:r>
          </w:p>
          <w:p w14:paraId="2D3AF94A" w14:textId="2F053C59" w:rsidR="00E035C2" w:rsidRPr="00D03FF5" w:rsidRDefault="00E035C2" w:rsidP="00D03FF5">
            <w:pPr>
              <w:pStyle w:val="NoSpacing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D03FF5">
              <w:rPr>
                <w:rFonts w:ascii="Arial" w:hAnsi="Arial" w:cs="Arial"/>
                <w:sz w:val="24"/>
                <w:szCs w:val="24"/>
              </w:rPr>
              <w:t xml:space="preserve"> Community-based services, including home care, social activities, and support groups, help maintain independence and reduce feelings of loneliness or isolation.</w:t>
            </w:r>
          </w:p>
          <w:p w14:paraId="4A7A6832" w14:textId="77777777" w:rsidR="00E035C2" w:rsidRPr="00E035C2" w:rsidRDefault="00E035C2" w:rsidP="00E035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5A5B16E7" w14:textId="77777777" w:rsidR="00E035C2" w:rsidRPr="00E035C2" w:rsidRDefault="00E035C2" w:rsidP="00E035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738A8CE8" w14:textId="77777777" w:rsidR="00E035C2" w:rsidRPr="00E035C2" w:rsidRDefault="00E035C2" w:rsidP="00E035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54C9D30" w14:textId="685B36E4" w:rsidR="00E035C2" w:rsidRPr="00E035C2" w:rsidRDefault="00745B71" w:rsidP="00E035C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8A916CA" w14:textId="77777777" w:rsidR="00346FFA" w:rsidRPr="005C16C8" w:rsidRDefault="00346FFA" w:rsidP="00346FFA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5B71" w:rsidRPr="005C16C8" w14:paraId="7F82317C" w14:textId="77777777" w:rsidTr="00E035C2">
        <w:trPr>
          <w:gridAfter w:val="3"/>
          <w:wAfter w:w="9039" w:type="dxa"/>
          <w:trHeight w:val="60"/>
          <w:jc w:val="center"/>
        </w:trPr>
        <w:tc>
          <w:tcPr>
            <w:tcW w:w="416" w:type="dxa"/>
          </w:tcPr>
          <w:p w14:paraId="699A533D" w14:textId="77777777" w:rsidR="00745B71" w:rsidRPr="005C16C8" w:rsidRDefault="00745B71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4497" w:type="dxa"/>
            <w:gridSpan w:val="2"/>
          </w:tcPr>
          <w:p w14:paraId="60784D3C" w14:textId="77777777" w:rsidR="00745B71" w:rsidRPr="005C16C8" w:rsidRDefault="00745B71" w:rsidP="00C46111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  <w:tc>
          <w:tcPr>
            <w:tcW w:w="360" w:type="dxa"/>
            <w:gridSpan w:val="2"/>
          </w:tcPr>
          <w:p w14:paraId="0237DD3A" w14:textId="77777777" w:rsidR="00745B71" w:rsidRPr="005C16C8" w:rsidRDefault="00745B71" w:rsidP="00B67824">
            <w:pPr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</w:tbl>
    <w:p w14:paraId="6C2FCE02" w14:textId="77777777" w:rsidR="00B67824" w:rsidRPr="005C16C8" w:rsidRDefault="00B67824" w:rsidP="00C46111">
      <w:pPr>
        <w:rPr>
          <w:rFonts w:ascii="Arial" w:hAnsi="Arial" w:cs="Arial"/>
          <w:sz w:val="24"/>
          <w:szCs w:val="24"/>
        </w:rPr>
      </w:pPr>
    </w:p>
    <w:p w14:paraId="00FF07E2" w14:textId="77777777" w:rsidR="00ED1049" w:rsidRPr="005C16C8" w:rsidRDefault="00ED1049" w:rsidP="00C46111">
      <w:pPr>
        <w:rPr>
          <w:rFonts w:ascii="Arial" w:hAnsi="Arial" w:cs="Arial"/>
          <w:b/>
          <w:bCs/>
          <w:sz w:val="24"/>
          <w:szCs w:val="24"/>
        </w:rPr>
      </w:pPr>
      <w:r w:rsidRPr="005C16C8">
        <w:rPr>
          <w:rFonts w:ascii="Arial" w:hAnsi="Arial" w:cs="Arial"/>
          <w:b/>
          <w:bCs/>
          <w:sz w:val="24"/>
          <w:szCs w:val="24"/>
        </w:rPr>
        <w:t>References</w:t>
      </w:r>
    </w:p>
    <w:p w14:paraId="5BE58B44" w14:textId="77777777" w:rsidR="006E1B2A" w:rsidRPr="006E1B2A" w:rsidRDefault="006E1B2A" w:rsidP="006E1B2A">
      <w:pPr>
        <w:rPr>
          <w:rFonts w:ascii="Arial" w:hAnsi="Arial" w:cs="Arial"/>
          <w:b/>
          <w:bCs/>
          <w:sz w:val="24"/>
          <w:szCs w:val="24"/>
          <w:lang w:val="en-GB"/>
        </w:rPr>
      </w:pPr>
      <w:r w:rsidRPr="006E1B2A">
        <w:rPr>
          <w:rFonts w:ascii="Arial" w:hAnsi="Arial" w:cs="Arial"/>
          <w:b/>
          <w:bCs/>
          <w:sz w:val="24"/>
          <w:szCs w:val="24"/>
          <w:lang w:val="en-GB"/>
        </w:rPr>
        <w:t>Reference list</w:t>
      </w:r>
    </w:p>
    <w:p w14:paraId="101C8BB8" w14:textId="7B4F4F5F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Abdi, S., Spann, A., </w:t>
      </w:r>
      <w:proofErr w:type="spellStart"/>
      <w:r w:rsidRPr="006E1B2A">
        <w:rPr>
          <w:rFonts w:ascii="Arial" w:hAnsi="Arial" w:cs="Arial"/>
          <w:sz w:val="24"/>
          <w:szCs w:val="24"/>
          <w:lang w:val="en-GB"/>
        </w:rPr>
        <w:t>Borilovic</w:t>
      </w:r>
      <w:proofErr w:type="spellEnd"/>
      <w:r w:rsidRPr="006E1B2A">
        <w:rPr>
          <w:rFonts w:ascii="Arial" w:hAnsi="Arial" w:cs="Arial"/>
          <w:sz w:val="24"/>
          <w:szCs w:val="24"/>
          <w:lang w:val="en-GB"/>
        </w:rPr>
        <w:t xml:space="preserve">, J., de Witte, L. and Hawley, M. (2019). Understanding the Care and Support Needs of Older people: a Scoping Review and Categorisation Using the WHO International Classification of functioning, Disability and Health Framework (ICF).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BMC Geriatrics</w:t>
      </w:r>
      <w:r w:rsidRPr="006E1B2A">
        <w:rPr>
          <w:rFonts w:ascii="Arial" w:hAnsi="Arial" w:cs="Arial"/>
          <w:sz w:val="24"/>
          <w:szCs w:val="24"/>
          <w:lang w:val="en-GB"/>
        </w:rPr>
        <w:t>, [online] 19(1).</w:t>
      </w:r>
      <w:r w:rsidR="008B525E" w:rsidRPr="005C16C8">
        <w:rPr>
          <w:rFonts w:ascii="Arial" w:hAnsi="Arial" w:cs="Arial"/>
          <w:sz w:val="24"/>
          <w:szCs w:val="24"/>
          <w:lang w:val="en-GB"/>
        </w:rPr>
        <w:t xml:space="preserve"> </w:t>
      </w:r>
      <w:hyperlink r:id="rId14" w:history="1">
        <w:r w:rsidR="008B525E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https://doi.org/10.1186/s12877-019-1189-9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8B525E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228C76B" w14:textId="0373C10B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Apa.org. (2026). Available at: </w:t>
      </w:r>
      <w:hyperlink r:id="rId15" w:history="1">
        <w:r w:rsidR="008B525E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https://www.apa.org/pi/aging/resources/guides/mental-health</w:t>
        </w:r>
      </w:hyperlink>
      <w:r w:rsidR="008B525E" w:rsidRPr="005C16C8">
        <w:rPr>
          <w:rFonts w:ascii="Arial" w:hAnsi="Arial" w:cs="Arial"/>
          <w:sz w:val="24"/>
          <w:szCs w:val="24"/>
          <w:lang w:val="en-GB"/>
        </w:rPr>
        <w:t xml:space="preserve">. </w:t>
      </w:r>
      <w:r w:rsidRPr="006E1B2A">
        <w:rPr>
          <w:rFonts w:ascii="Arial" w:hAnsi="Arial" w:cs="Arial"/>
          <w:sz w:val="24"/>
          <w:szCs w:val="24"/>
          <w:lang w:val="en-GB"/>
        </w:rPr>
        <w:t>[Accessed 4 Mar. 2026].</w:t>
      </w:r>
    </w:p>
    <w:p w14:paraId="617728D7" w14:textId="27E9B605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proofErr w:type="spellStart"/>
      <w:r w:rsidRPr="006E1B2A">
        <w:rPr>
          <w:rFonts w:ascii="Arial" w:hAnsi="Arial" w:cs="Arial"/>
          <w:sz w:val="24"/>
          <w:szCs w:val="24"/>
          <w:lang w:val="en-GB"/>
        </w:rPr>
        <w:t>Centers</w:t>
      </w:r>
      <w:proofErr w:type="spellEnd"/>
      <w:r w:rsidRPr="006E1B2A">
        <w:rPr>
          <w:rFonts w:ascii="Arial" w:hAnsi="Arial" w:cs="Arial"/>
          <w:sz w:val="24"/>
          <w:szCs w:val="24"/>
          <w:lang w:val="en-GB"/>
        </w:rPr>
        <w:t xml:space="preserve"> for Disease Control and Prevention (2020).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Older Adult Falls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www.cdc.gov. Available at: </w:t>
      </w:r>
      <w:hyperlink r:id="rId16" w:history="1">
        <w:r w:rsidR="008B525E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https://www.cdc.gov/falls/index.html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8B525E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3669932" w14:textId="72D20C62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D.B, R. and D.H, S. (2017). Courses and Conferences.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Journal of the American Geriatrics Society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, 65(11), pp.2550–2550. </w:t>
      </w:r>
      <w:hyperlink r:id="rId17" w:history="1">
        <w:r w:rsidR="008B525E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https://doi.org/10.1111/jgs.14648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8B525E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020FEBE2" w14:textId="512FE7E2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Department of Health (2001).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Older People National Service Framework Modern Standards and Service Models National Service Framework for Older People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Available at: </w:t>
      </w:r>
      <w:hyperlink r:id="rId18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https://assets.publishing.service.gov.uk/media/5a7b4f16e5274a34770ead1c/National_Service_Framework_for_Older_People.pdf</w:t>
        </w:r>
      </w:hyperlink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  <w:r w:rsidRPr="006E1B2A">
        <w:rPr>
          <w:rFonts w:ascii="Arial" w:hAnsi="Arial" w:cs="Arial"/>
          <w:sz w:val="24"/>
          <w:szCs w:val="24"/>
          <w:lang w:val="en-GB"/>
        </w:rPr>
        <w:t>.</w:t>
      </w:r>
    </w:p>
    <w:p w14:paraId="37D8F2FA" w14:textId="77777777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HAVIGHURST, R.J. (1961).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Successful aging. The Gerontologist</w:t>
      </w:r>
      <w:r w:rsidRPr="006E1B2A">
        <w:rPr>
          <w:rFonts w:ascii="Arial" w:hAnsi="Arial" w:cs="Arial"/>
          <w:sz w:val="24"/>
          <w:szCs w:val="24"/>
          <w:lang w:val="en-GB"/>
        </w:rPr>
        <w:t>.</w:t>
      </w:r>
    </w:p>
    <w:p w14:paraId="18EE2B4E" w14:textId="1A9E569A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Lawton, M.P. and Nahemow, L. (1973). Ecology and the aging process.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The psychology of adult development and aging.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, pp.619–674. </w:t>
      </w:r>
      <w:hyperlink r:id="rId19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https://doi.org/10.1037/10044-020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04000896" w14:textId="65BD9F81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Legislation.gov.uk (2014).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Care Act 2014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Legislation.gov.uk. Available at: </w:t>
      </w:r>
      <w:hyperlink r:id="rId20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https://www.legislation.gov.uk/ukpga/2014/23/contents/enacted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10560D48" w14:textId="148DE488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M, P., A, W., M, G., G-C, A., Y.-T, W. and M, P. (2015).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ADI - World Alzheimer Report 2015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World Alzheimer Report 2015: The Global Impact of Dementia. Alzheimer’s Disease International. Available at: </w:t>
      </w:r>
      <w:hyperlink r:id="rId21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https://www.alzint.org/resource/world-alzheimer-report-2015/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50482BC4" w14:textId="1CA4CA04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National Institute of Aging (2020).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Cognitive health and older adults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National Institute on Aging. Available at: </w:t>
      </w:r>
      <w:hyperlink r:id="rId22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https://www.nia.nih.gov/health/cognitive-health-and-older-adults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BC3E946" w14:textId="4E3C5F17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NHS England (2019).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The NHS Long Term Plan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NHS. Available at: </w:t>
      </w:r>
      <w:hyperlink r:id="rId23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https://www.longtermplan.nhs.uk/publication/nhs-long-term-plan/</w:t>
        </w:r>
      </w:hyperlink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  <w:r w:rsidRPr="006E1B2A">
        <w:rPr>
          <w:rFonts w:ascii="Arial" w:hAnsi="Arial" w:cs="Arial"/>
          <w:sz w:val="24"/>
          <w:szCs w:val="24"/>
          <w:lang w:val="en-GB"/>
        </w:rPr>
        <w:t>.</w:t>
      </w:r>
    </w:p>
    <w:p w14:paraId="25D911ED" w14:textId="3429B33E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NICE (2015).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Overview | Older people with social care needs and multiple long-term conditions | Guidance | NICE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Nice.org.uk. Available at: </w:t>
      </w:r>
      <w:hyperlink r:id="rId24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https://www.nice.org.uk/guidance/ng22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13916F5E" w14:textId="1227940A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lastRenderedPageBreak/>
        <w:t xml:space="preserve">Policy Press. (2024).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Partnership working in health and social care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Available at: </w:t>
      </w:r>
      <w:hyperlink r:id="rId25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https://policy.bristoluniversitypress.co.uk/partnership-working-in-health-and-social-care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4D6A1A73" w14:textId="48960EF3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UNITED NATION (2020).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 xml:space="preserve">United Nations. (2020). Policy Brief: </w:t>
      </w:r>
      <w:proofErr w:type="gramStart"/>
      <w:r w:rsidRPr="006E1B2A">
        <w:rPr>
          <w:rFonts w:ascii="Arial" w:hAnsi="Arial" w:cs="Arial"/>
          <w:i/>
          <w:iCs/>
          <w:sz w:val="24"/>
          <w:szCs w:val="24"/>
          <w:lang w:val="en-GB"/>
        </w:rPr>
        <w:t>the</w:t>
      </w:r>
      <w:proofErr w:type="gramEnd"/>
      <w:r w:rsidRPr="006E1B2A">
        <w:rPr>
          <w:rFonts w:ascii="Arial" w:hAnsi="Arial" w:cs="Arial"/>
          <w:i/>
          <w:iCs/>
          <w:sz w:val="24"/>
          <w:szCs w:val="24"/>
          <w:lang w:val="en-GB"/>
        </w:rPr>
        <w:t xml:space="preserve"> Impact of COVID-19 on </w:t>
      </w:r>
      <w:proofErr w:type="gramStart"/>
      <w:r w:rsidRPr="006E1B2A">
        <w:rPr>
          <w:rFonts w:ascii="Arial" w:hAnsi="Arial" w:cs="Arial"/>
          <w:i/>
          <w:iCs/>
          <w:sz w:val="24"/>
          <w:szCs w:val="24"/>
          <w:lang w:val="en-GB"/>
        </w:rPr>
        <w:t>Older</w:t>
      </w:r>
      <w:proofErr w:type="gramEnd"/>
      <w:r w:rsidRPr="006E1B2A">
        <w:rPr>
          <w:rFonts w:ascii="Arial" w:hAnsi="Arial" w:cs="Arial"/>
          <w:i/>
          <w:iCs/>
          <w:sz w:val="24"/>
          <w:szCs w:val="24"/>
          <w:lang w:val="en-GB"/>
        </w:rPr>
        <w:t xml:space="preserve"> persons.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 [online] Available at: </w:t>
      </w:r>
      <w:hyperlink r:id="rId26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https://www.un.org/development/desa/ageing/wp-content/uploads/sites/24/2020/05/PB_68.pdf</w:t>
        </w:r>
      </w:hyperlink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 [Accessed 4 Mar. 2026].</w:t>
      </w:r>
    </w:p>
    <w:p w14:paraId="7A859B8B" w14:textId="04FAB25D" w:rsidR="006E1B2A" w:rsidRP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World Health Organization (2015).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World report on ageing and health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World Health Organization. Available at: </w:t>
      </w:r>
      <w:hyperlink r:id="rId27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https://www.who.int/publications/i/item/9789241565042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2AD27AB" w14:textId="477DDA8C" w:rsidR="006E1B2A" w:rsidRDefault="006E1B2A" w:rsidP="006E1B2A">
      <w:pPr>
        <w:rPr>
          <w:rFonts w:ascii="Arial" w:hAnsi="Arial" w:cs="Arial"/>
          <w:sz w:val="24"/>
          <w:szCs w:val="24"/>
          <w:lang w:val="en-GB"/>
        </w:rPr>
      </w:pPr>
      <w:r w:rsidRPr="006E1B2A">
        <w:rPr>
          <w:rFonts w:ascii="Arial" w:hAnsi="Arial" w:cs="Arial"/>
          <w:sz w:val="24"/>
          <w:szCs w:val="24"/>
          <w:lang w:val="en-GB"/>
        </w:rPr>
        <w:t xml:space="preserve">World Health Organization (2024). </w:t>
      </w:r>
      <w:r w:rsidRPr="006E1B2A">
        <w:rPr>
          <w:rFonts w:ascii="Arial" w:hAnsi="Arial" w:cs="Arial"/>
          <w:i/>
          <w:iCs/>
          <w:sz w:val="24"/>
          <w:szCs w:val="24"/>
          <w:lang w:val="en-GB"/>
        </w:rPr>
        <w:t>Ageing and health</w:t>
      </w:r>
      <w:r w:rsidRPr="006E1B2A">
        <w:rPr>
          <w:rFonts w:ascii="Arial" w:hAnsi="Arial" w:cs="Arial"/>
          <w:sz w:val="24"/>
          <w:szCs w:val="24"/>
          <w:lang w:val="en-GB"/>
        </w:rPr>
        <w:t xml:space="preserve">. [online] World Health Organization. Available at: </w:t>
      </w:r>
      <w:hyperlink r:id="rId28" w:history="1">
        <w:r w:rsidR="00713757" w:rsidRPr="006E1B2A">
          <w:rPr>
            <w:rStyle w:val="Hyperlink"/>
            <w:rFonts w:ascii="Arial" w:hAnsi="Arial" w:cs="Arial"/>
            <w:sz w:val="24"/>
            <w:szCs w:val="24"/>
            <w:lang w:val="en-GB"/>
          </w:rPr>
          <w:t>https://www.who.int/news-room/fact-sheets/detail/ageing-and-health</w:t>
        </w:r>
      </w:hyperlink>
      <w:r w:rsidRPr="006E1B2A">
        <w:rPr>
          <w:rFonts w:ascii="Arial" w:hAnsi="Arial" w:cs="Arial"/>
          <w:sz w:val="24"/>
          <w:szCs w:val="24"/>
          <w:lang w:val="en-GB"/>
        </w:rPr>
        <w:t>.</w:t>
      </w:r>
      <w:r w:rsidR="00713757" w:rsidRPr="005C16C8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41E3C806" w14:textId="31CBCB88" w:rsidR="00F612CB" w:rsidRPr="00F612CB" w:rsidRDefault="00F612CB" w:rsidP="00F612CB">
      <w:pPr>
        <w:rPr>
          <w:rFonts w:ascii="Arial" w:hAnsi="Arial" w:cs="Arial"/>
          <w:sz w:val="24"/>
          <w:szCs w:val="24"/>
          <w:lang w:val="en-GB"/>
        </w:rPr>
      </w:pPr>
      <w:r w:rsidRPr="00F612CB">
        <w:rPr>
          <w:rFonts w:ascii="Arial" w:hAnsi="Arial" w:cs="Arial"/>
          <w:sz w:val="24"/>
          <w:szCs w:val="24"/>
          <w:lang w:val="en-GB"/>
        </w:rPr>
        <w:t xml:space="preserve">www.youtube.com. (n.d.). </w:t>
      </w:r>
      <w:r w:rsidRPr="00F612CB">
        <w:rPr>
          <w:rFonts w:ascii="Arial" w:hAnsi="Arial" w:cs="Arial"/>
          <w:i/>
          <w:iCs/>
          <w:sz w:val="24"/>
          <w:szCs w:val="24"/>
          <w:lang w:val="en-GB"/>
        </w:rPr>
        <w:t>Nora’s Story, depicting an integrated care for older people</w:t>
      </w:r>
      <w:r w:rsidRPr="00F612CB">
        <w:rPr>
          <w:rFonts w:ascii="Arial" w:hAnsi="Arial" w:cs="Arial"/>
          <w:sz w:val="24"/>
          <w:szCs w:val="24"/>
          <w:lang w:val="en-GB"/>
        </w:rPr>
        <w:t xml:space="preserve">. [online] Available at: </w:t>
      </w:r>
      <w:hyperlink r:id="rId29" w:history="1">
        <w:r w:rsidRPr="00F612CB">
          <w:rPr>
            <w:rStyle w:val="Hyperlink"/>
            <w:rFonts w:ascii="Arial" w:hAnsi="Arial" w:cs="Arial"/>
            <w:sz w:val="24"/>
            <w:szCs w:val="24"/>
            <w:lang w:val="en-GB"/>
          </w:rPr>
          <w:t>https://www.youtube.com/watch?v=UIvnJJWyUuQ</w:t>
        </w:r>
      </w:hyperlink>
      <w:r w:rsidRPr="00F612CB">
        <w:rPr>
          <w:rFonts w:ascii="Arial" w:hAnsi="Arial" w:cs="Arial"/>
          <w:sz w:val="24"/>
          <w:szCs w:val="24"/>
          <w:lang w:val="en-GB"/>
        </w:rPr>
        <w:t>.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5FD6E221" w14:textId="77777777" w:rsidR="00F612CB" w:rsidRPr="006E1B2A" w:rsidRDefault="00F612CB" w:rsidP="006E1B2A">
      <w:pPr>
        <w:rPr>
          <w:rFonts w:ascii="Arial" w:hAnsi="Arial" w:cs="Arial"/>
          <w:sz w:val="24"/>
          <w:szCs w:val="24"/>
          <w:lang w:val="en-GB"/>
        </w:rPr>
      </w:pPr>
    </w:p>
    <w:p w14:paraId="33AE1BD5" w14:textId="77777777" w:rsidR="006E1B2A" w:rsidRDefault="006E1B2A" w:rsidP="00C46111">
      <w:pPr>
        <w:rPr>
          <w:rFonts w:ascii="Arial" w:hAnsi="Arial" w:cs="Arial"/>
          <w:b/>
          <w:bCs/>
          <w:sz w:val="28"/>
          <w:szCs w:val="28"/>
        </w:rPr>
      </w:pPr>
    </w:p>
    <w:p w14:paraId="52DE24F8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2F3D1CF5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568CA04B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30"/>
      <w:headerReference w:type="first" r:id="rId31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83026" w14:textId="77777777" w:rsidR="00416A24" w:rsidRDefault="00416A24" w:rsidP="00D210FA">
      <w:pPr>
        <w:spacing w:after="0"/>
      </w:pPr>
      <w:r>
        <w:separator/>
      </w:r>
    </w:p>
  </w:endnote>
  <w:endnote w:type="continuationSeparator" w:id="0">
    <w:p w14:paraId="6C60AD0C" w14:textId="77777777" w:rsidR="00416A24" w:rsidRDefault="00416A24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D9B14" w14:textId="77777777" w:rsidR="00416A24" w:rsidRDefault="00416A24" w:rsidP="00D210FA">
      <w:pPr>
        <w:spacing w:after="0"/>
      </w:pPr>
      <w:r>
        <w:separator/>
      </w:r>
    </w:p>
  </w:footnote>
  <w:footnote w:type="continuationSeparator" w:id="0">
    <w:p w14:paraId="6805D88C" w14:textId="77777777" w:rsidR="00416A24" w:rsidRDefault="00416A24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760B1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BAB92" w14:textId="77777777" w:rsidR="008B0F18" w:rsidRDefault="008B0F18">
    <w:pPr>
      <w:pStyle w:val="Header"/>
    </w:pPr>
  </w:p>
  <w:p w14:paraId="43A1E4BE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576BC"/>
    <w:multiLevelType w:val="hybridMultilevel"/>
    <w:tmpl w:val="ACA85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B308C"/>
    <w:multiLevelType w:val="hybridMultilevel"/>
    <w:tmpl w:val="47B08B1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D141F7"/>
    <w:multiLevelType w:val="hybridMultilevel"/>
    <w:tmpl w:val="C3701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063789">
    <w:abstractNumId w:val="2"/>
  </w:num>
  <w:num w:numId="2" w16cid:durableId="1332029451">
    <w:abstractNumId w:val="1"/>
  </w:num>
  <w:num w:numId="3" w16cid:durableId="1866823933">
    <w:abstractNumId w:val="8"/>
  </w:num>
  <w:num w:numId="4" w16cid:durableId="1718159701">
    <w:abstractNumId w:val="9"/>
  </w:num>
  <w:num w:numId="5" w16cid:durableId="548033034">
    <w:abstractNumId w:val="5"/>
  </w:num>
  <w:num w:numId="6" w16cid:durableId="424113498">
    <w:abstractNumId w:val="3"/>
  </w:num>
  <w:num w:numId="7" w16cid:durableId="1174105907">
    <w:abstractNumId w:val="7"/>
  </w:num>
  <w:num w:numId="8" w16cid:durableId="1235043830">
    <w:abstractNumId w:val="4"/>
  </w:num>
  <w:num w:numId="9" w16cid:durableId="873036641">
    <w:abstractNumId w:val="0"/>
  </w:num>
  <w:num w:numId="10" w16cid:durableId="4162509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15373"/>
    <w:rsid w:val="00023293"/>
    <w:rsid w:val="00061977"/>
    <w:rsid w:val="00073A5E"/>
    <w:rsid w:val="0008782A"/>
    <w:rsid w:val="000913FB"/>
    <w:rsid w:val="000A065A"/>
    <w:rsid w:val="000B02EC"/>
    <w:rsid w:val="000E2F62"/>
    <w:rsid w:val="000F0F63"/>
    <w:rsid w:val="00106FC5"/>
    <w:rsid w:val="001206FC"/>
    <w:rsid w:val="00120DEC"/>
    <w:rsid w:val="001226C0"/>
    <w:rsid w:val="00123C19"/>
    <w:rsid w:val="00127F31"/>
    <w:rsid w:val="0013208F"/>
    <w:rsid w:val="001A672F"/>
    <w:rsid w:val="001C55B6"/>
    <w:rsid w:val="001D6CC4"/>
    <w:rsid w:val="00203CEF"/>
    <w:rsid w:val="00206405"/>
    <w:rsid w:val="00221DFB"/>
    <w:rsid w:val="0022335A"/>
    <w:rsid w:val="00240242"/>
    <w:rsid w:val="00245D79"/>
    <w:rsid w:val="00253267"/>
    <w:rsid w:val="00266689"/>
    <w:rsid w:val="002823CD"/>
    <w:rsid w:val="00285632"/>
    <w:rsid w:val="00287787"/>
    <w:rsid w:val="00291685"/>
    <w:rsid w:val="002B0A3D"/>
    <w:rsid w:val="002C2202"/>
    <w:rsid w:val="003007A7"/>
    <w:rsid w:val="00312D80"/>
    <w:rsid w:val="00317E2E"/>
    <w:rsid w:val="003257E1"/>
    <w:rsid w:val="00325DEC"/>
    <w:rsid w:val="00327B24"/>
    <w:rsid w:val="00334954"/>
    <w:rsid w:val="00346FFA"/>
    <w:rsid w:val="00371DEB"/>
    <w:rsid w:val="00392CF6"/>
    <w:rsid w:val="003A3069"/>
    <w:rsid w:val="003C20B5"/>
    <w:rsid w:val="003C40B3"/>
    <w:rsid w:val="003E3B44"/>
    <w:rsid w:val="003E545F"/>
    <w:rsid w:val="003F03D2"/>
    <w:rsid w:val="003F1E1A"/>
    <w:rsid w:val="003F5AA9"/>
    <w:rsid w:val="004045E5"/>
    <w:rsid w:val="00416A24"/>
    <w:rsid w:val="00421496"/>
    <w:rsid w:val="00422C27"/>
    <w:rsid w:val="0044367C"/>
    <w:rsid w:val="004642F0"/>
    <w:rsid w:val="004645F8"/>
    <w:rsid w:val="004946AE"/>
    <w:rsid w:val="004A090F"/>
    <w:rsid w:val="004A66AB"/>
    <w:rsid w:val="004D629D"/>
    <w:rsid w:val="004F5917"/>
    <w:rsid w:val="00500564"/>
    <w:rsid w:val="0051102B"/>
    <w:rsid w:val="00517812"/>
    <w:rsid w:val="00532FF0"/>
    <w:rsid w:val="0055773B"/>
    <w:rsid w:val="00570B33"/>
    <w:rsid w:val="005838BC"/>
    <w:rsid w:val="005B57E1"/>
    <w:rsid w:val="005C16C8"/>
    <w:rsid w:val="005E61E0"/>
    <w:rsid w:val="005F0F31"/>
    <w:rsid w:val="006024ED"/>
    <w:rsid w:val="00607384"/>
    <w:rsid w:val="0061793F"/>
    <w:rsid w:val="0062123A"/>
    <w:rsid w:val="00634071"/>
    <w:rsid w:val="00634A3D"/>
    <w:rsid w:val="006605F8"/>
    <w:rsid w:val="006676A1"/>
    <w:rsid w:val="006739B0"/>
    <w:rsid w:val="00674DAD"/>
    <w:rsid w:val="006833BD"/>
    <w:rsid w:val="00694D63"/>
    <w:rsid w:val="006D2642"/>
    <w:rsid w:val="006E1B2A"/>
    <w:rsid w:val="006E2D42"/>
    <w:rsid w:val="006F0106"/>
    <w:rsid w:val="00713757"/>
    <w:rsid w:val="00720FEE"/>
    <w:rsid w:val="00736913"/>
    <w:rsid w:val="00745B71"/>
    <w:rsid w:val="00764B6F"/>
    <w:rsid w:val="007A2E5C"/>
    <w:rsid w:val="007A5A47"/>
    <w:rsid w:val="007C7319"/>
    <w:rsid w:val="007D43B3"/>
    <w:rsid w:val="007E7754"/>
    <w:rsid w:val="007F20B4"/>
    <w:rsid w:val="007F525E"/>
    <w:rsid w:val="00825224"/>
    <w:rsid w:val="0082695D"/>
    <w:rsid w:val="0083044C"/>
    <w:rsid w:val="00847CFA"/>
    <w:rsid w:val="0085182D"/>
    <w:rsid w:val="00867E5F"/>
    <w:rsid w:val="008709F5"/>
    <w:rsid w:val="00877A91"/>
    <w:rsid w:val="00884E86"/>
    <w:rsid w:val="00885CAA"/>
    <w:rsid w:val="008927FF"/>
    <w:rsid w:val="008A5FA5"/>
    <w:rsid w:val="008A75AB"/>
    <w:rsid w:val="008B0F18"/>
    <w:rsid w:val="008B338D"/>
    <w:rsid w:val="008B525E"/>
    <w:rsid w:val="008D6C80"/>
    <w:rsid w:val="008D72E6"/>
    <w:rsid w:val="008E01B4"/>
    <w:rsid w:val="008E3921"/>
    <w:rsid w:val="008E671F"/>
    <w:rsid w:val="008F05AD"/>
    <w:rsid w:val="0090027B"/>
    <w:rsid w:val="0090088E"/>
    <w:rsid w:val="00904548"/>
    <w:rsid w:val="00905238"/>
    <w:rsid w:val="00913973"/>
    <w:rsid w:val="0094702A"/>
    <w:rsid w:val="00967DAB"/>
    <w:rsid w:val="009729F2"/>
    <w:rsid w:val="00990E76"/>
    <w:rsid w:val="00991A53"/>
    <w:rsid w:val="00996F4E"/>
    <w:rsid w:val="009A2ACC"/>
    <w:rsid w:val="009B5B6A"/>
    <w:rsid w:val="009D06FF"/>
    <w:rsid w:val="009D5B41"/>
    <w:rsid w:val="009E3EA9"/>
    <w:rsid w:val="009F71FE"/>
    <w:rsid w:val="00A12173"/>
    <w:rsid w:val="00A31F33"/>
    <w:rsid w:val="00A63193"/>
    <w:rsid w:val="00A64C6C"/>
    <w:rsid w:val="00A70A62"/>
    <w:rsid w:val="00A71DA8"/>
    <w:rsid w:val="00A844D6"/>
    <w:rsid w:val="00A858BC"/>
    <w:rsid w:val="00AB1210"/>
    <w:rsid w:val="00AB770D"/>
    <w:rsid w:val="00AE19CD"/>
    <w:rsid w:val="00AF2088"/>
    <w:rsid w:val="00AF5FB0"/>
    <w:rsid w:val="00B0080A"/>
    <w:rsid w:val="00B0538C"/>
    <w:rsid w:val="00B12753"/>
    <w:rsid w:val="00B249C0"/>
    <w:rsid w:val="00B37AB8"/>
    <w:rsid w:val="00B418DE"/>
    <w:rsid w:val="00B47FE7"/>
    <w:rsid w:val="00B6129F"/>
    <w:rsid w:val="00B67824"/>
    <w:rsid w:val="00BE15BA"/>
    <w:rsid w:val="00C1627B"/>
    <w:rsid w:val="00C20ED0"/>
    <w:rsid w:val="00C348A8"/>
    <w:rsid w:val="00C433CF"/>
    <w:rsid w:val="00C46111"/>
    <w:rsid w:val="00C53E8A"/>
    <w:rsid w:val="00C54E50"/>
    <w:rsid w:val="00C83332"/>
    <w:rsid w:val="00C95E04"/>
    <w:rsid w:val="00CB4D51"/>
    <w:rsid w:val="00CB532F"/>
    <w:rsid w:val="00CB5B14"/>
    <w:rsid w:val="00CC0A8F"/>
    <w:rsid w:val="00CC24B6"/>
    <w:rsid w:val="00CD3A64"/>
    <w:rsid w:val="00CE08CD"/>
    <w:rsid w:val="00CF4C59"/>
    <w:rsid w:val="00D03FF5"/>
    <w:rsid w:val="00D05B4C"/>
    <w:rsid w:val="00D0664A"/>
    <w:rsid w:val="00D210FA"/>
    <w:rsid w:val="00D2489E"/>
    <w:rsid w:val="00D30F1D"/>
    <w:rsid w:val="00D33FB8"/>
    <w:rsid w:val="00D41CC4"/>
    <w:rsid w:val="00D57231"/>
    <w:rsid w:val="00D62DF6"/>
    <w:rsid w:val="00D87B48"/>
    <w:rsid w:val="00D91203"/>
    <w:rsid w:val="00D94FD1"/>
    <w:rsid w:val="00DA6125"/>
    <w:rsid w:val="00DC00BD"/>
    <w:rsid w:val="00DC384F"/>
    <w:rsid w:val="00DD2D24"/>
    <w:rsid w:val="00DD6F63"/>
    <w:rsid w:val="00E035C2"/>
    <w:rsid w:val="00E0594A"/>
    <w:rsid w:val="00E059DD"/>
    <w:rsid w:val="00E1037F"/>
    <w:rsid w:val="00E22113"/>
    <w:rsid w:val="00E22E24"/>
    <w:rsid w:val="00E2527B"/>
    <w:rsid w:val="00E34AFA"/>
    <w:rsid w:val="00E41692"/>
    <w:rsid w:val="00E42CBE"/>
    <w:rsid w:val="00E55D74"/>
    <w:rsid w:val="00E569C2"/>
    <w:rsid w:val="00E81234"/>
    <w:rsid w:val="00E9037E"/>
    <w:rsid w:val="00EA120D"/>
    <w:rsid w:val="00EA49C3"/>
    <w:rsid w:val="00EB5E14"/>
    <w:rsid w:val="00EB6F36"/>
    <w:rsid w:val="00ED1049"/>
    <w:rsid w:val="00ED6DA4"/>
    <w:rsid w:val="00EE0F09"/>
    <w:rsid w:val="00EE19D9"/>
    <w:rsid w:val="00EE34CC"/>
    <w:rsid w:val="00EF26FC"/>
    <w:rsid w:val="00F37523"/>
    <w:rsid w:val="00F44D3C"/>
    <w:rsid w:val="00F50168"/>
    <w:rsid w:val="00F50D34"/>
    <w:rsid w:val="00F612CB"/>
    <w:rsid w:val="00F61360"/>
    <w:rsid w:val="00F675F9"/>
    <w:rsid w:val="00F81A2E"/>
    <w:rsid w:val="00FB49B9"/>
    <w:rsid w:val="00FC538A"/>
    <w:rsid w:val="00FE2B9F"/>
    <w:rsid w:val="00FF3CF0"/>
    <w:rsid w:val="00FF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B2E4"/>
  <w14:defaultImageDpi w14:val="32767"/>
  <w15:chartTrackingRefBased/>
  <w15:docId w15:val="{6707B004-E71D-4E29-8128-DB9C506DB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532FF0"/>
    <w:pPr>
      <w:keepNext/>
      <w:spacing w:before="240" w:after="60"/>
      <w:outlineLvl w:val="2"/>
    </w:pPr>
    <w:rPr>
      <w:rFonts w:ascii="Aptos Display" w:eastAsia="Times New Roman" w:hAnsi="Aptos Display"/>
      <w:b/>
      <w:bCs/>
      <w:sz w:val="26"/>
      <w:szCs w:val="26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styleId="Hyperlink">
    <w:name w:val="Hyperlink"/>
    <w:uiPriority w:val="99"/>
    <w:unhideWhenUsed/>
    <w:rsid w:val="00FF6627"/>
    <w:rPr>
      <w:color w:val="467886"/>
      <w:u w:val="single"/>
    </w:rPr>
  </w:style>
  <w:style w:type="character" w:customStyle="1" w:styleId="Heading3Char">
    <w:name w:val="Heading 3 Char"/>
    <w:link w:val="Heading3"/>
    <w:uiPriority w:val="9"/>
    <w:semiHidden/>
    <w:rsid w:val="00532FF0"/>
    <w:rPr>
      <w:rFonts w:ascii="Aptos Display" w:eastAsia="Times New Roman" w:hAnsi="Aptos Display" w:cs="Times New Roman"/>
      <w:b/>
      <w:bCs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assets.publishing.service.gov.uk/media/5a7b4f16e5274a34770ead1c/National_Service_Framework_for_Older_People.pdf" TargetMode="External"/><Relationship Id="rId26" Type="http://schemas.openxmlformats.org/officeDocument/2006/relationships/hyperlink" Target="https://www.un.org/development/desa/ageing/wp-content/uploads/sites/24/2020/05/PB_68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alzint.org/resource/world-alzheimer-report-2015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doi.org/10.1111/jgs.14648" TargetMode="External"/><Relationship Id="rId25" Type="http://schemas.openxmlformats.org/officeDocument/2006/relationships/hyperlink" Target="https://policy.bristoluniversitypress.co.uk/partnership-working-in-health-and-social-care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dc.gov/falls/index.html" TargetMode="External"/><Relationship Id="rId20" Type="http://schemas.openxmlformats.org/officeDocument/2006/relationships/hyperlink" Target="https://www.legislation.gov.uk/ukpga/2014/23/contents/enacted" TargetMode="External"/><Relationship Id="rId29" Type="http://schemas.openxmlformats.org/officeDocument/2006/relationships/hyperlink" Target="https://www.youtube.com/watch?v=UIvnJJWyUuQ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nice.org.uk/guidance/ng22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apa.org/pi/aging/resources/guides/mental-health" TargetMode="External"/><Relationship Id="rId23" Type="http://schemas.openxmlformats.org/officeDocument/2006/relationships/hyperlink" Target="https://www.longtermplan.nhs.uk/publication/nhs-long-term-plan/" TargetMode="External"/><Relationship Id="rId28" Type="http://schemas.openxmlformats.org/officeDocument/2006/relationships/hyperlink" Target="https://www.who.int/news-room/fact-sheets/detail/ageing-and-health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doi.org/10.1037/10044-020" TargetMode="External"/><Relationship Id="rId31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i.org/10.1186/s12877-019-1189-9" TargetMode="External"/><Relationship Id="rId22" Type="http://schemas.openxmlformats.org/officeDocument/2006/relationships/hyperlink" Target="https://www.nia.nih.gov/health/cognitive-health-and-older-adults" TargetMode="External"/><Relationship Id="rId27" Type="http://schemas.openxmlformats.org/officeDocument/2006/relationships/hyperlink" Target="https://www.who.int/publications/i/item/9789241565042" TargetMode="External"/><Relationship Id="rId30" Type="http://schemas.openxmlformats.org/officeDocument/2006/relationships/header" Target="header1.xml"/><Relationship Id="rId8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c9c08ad4735e67b5fae7d72fe64483bb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633682cecf890d4bd04a4f7fc5e39e0f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83BEC4-4C7E-4D6D-A125-F92207B2D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F0C936-1EE7-45C6-AF86-69054C4E8410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5</TotalTime>
  <Pages>6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Katarzyna Gluba (2316845)</cp:lastModifiedBy>
  <cp:revision>2</cp:revision>
  <dcterms:created xsi:type="dcterms:W3CDTF">2026-03-19T22:41:00Z</dcterms:created>
  <dcterms:modified xsi:type="dcterms:W3CDTF">2026-03-19T22:41:00Z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  <property fmtid="{D5CDD505-2E9C-101B-9397-08002B2CF9AE}" pid="3" name="MediaServiceKeyPoints">
    <vt:lpwstr/>
  </property>
</Properties>
</file>