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206FA" w14:textId="77777777" w:rsidR="008C2264" w:rsidRDefault="008C2264" w:rsidP="008C2264">
      <w:pPr>
        <w:pStyle w:val="NormalWeb"/>
        <w:rPr>
          <w:rStyle w:val="Strong"/>
          <w:rFonts w:eastAsiaTheme="majorEastAsia"/>
        </w:rPr>
      </w:pPr>
      <w:r>
        <w:rPr>
          <w:rStyle w:val="Strong"/>
          <w:rFonts w:eastAsiaTheme="majorEastAsia"/>
        </w:rPr>
        <w:t>Can free market ideology effectively protect the environment?</w:t>
      </w:r>
    </w:p>
    <w:p w14:paraId="67A80EA8" w14:textId="77777777" w:rsidR="00D16B1D" w:rsidRDefault="00D16B1D" w:rsidP="008C2264">
      <w:pPr>
        <w:pStyle w:val="NormalWeb"/>
      </w:pPr>
    </w:p>
    <w:p w14:paraId="2BB29F7B" w14:textId="77777777" w:rsidR="008C2264" w:rsidRDefault="008C2264" w:rsidP="008C2264">
      <w:pPr>
        <w:pStyle w:val="NormalWeb"/>
      </w:pPr>
      <w:r>
        <w:rPr>
          <w:rStyle w:val="Strong"/>
          <w:rFonts w:eastAsiaTheme="majorEastAsia"/>
        </w:rPr>
        <w:t xml:space="preserve">Introduction </w:t>
      </w:r>
    </w:p>
    <w:p w14:paraId="7E9CF26B" w14:textId="5FB5E027" w:rsidR="008C2264" w:rsidRDefault="008C2264" w:rsidP="008C2264">
      <w:pPr>
        <w:pStyle w:val="NormalWeb"/>
      </w:pPr>
      <w:r>
        <w:t xml:space="preserve">The intersection of free market ideology and environmental protection is an increasingly critical area of study in contemporary policy debates. The essence of this inquiry revolves around understanding the core principles of free market ideology, their application to environmental challenges, and the broader implications of these interactions. One of the primary questions this paper will address is: what are the core principles of free market ideology, and how do they relate to environmental protection? The paper will also confront critiques of free market approaches to environmental issues. In addition to critiques, this study will investigate the role of government regulation in either complementing or contradicting free market initiatives. Looking forward, this </w:t>
      </w:r>
      <w:r w:rsidR="00FA6AB9">
        <w:t xml:space="preserve">essay </w:t>
      </w:r>
      <w:r>
        <w:t xml:space="preserve">will also explore future directions for free market environmentalism, particularly in the context of ongoing environmental crises and heated policy debates. Lastly, the </w:t>
      </w:r>
      <w:r w:rsidR="00FA6AB9">
        <w:t>essay</w:t>
      </w:r>
      <w:r>
        <w:t xml:space="preserve"> will address existing research gaps in understanding the intersections of free market ideology and effective environmental protection. In summary, this introduction sets the stage for a comprehensive analysis of the complex relationship between free market ideology and environmental protection. Each subsequent chapter will build upon the insights gained here, culminating in a richer understanding of how free In the study of free market environmentalism, it is crucial to consider the ongoing environmental crises and policy debates to fully grasp the complexities of this relationship (Smith, 2018). Addressing the existing research gaps in this area will provide a more nuanced understanding of how free market ideology can intersect with effective environmental protection measures (Jones &amp; Brown, 2020). By delving into these topics, a comprehensive analysis can be conducted to shed light on the intricate dynamics between free market principles and environmental conservation efforts</w:t>
      </w:r>
      <w:r w:rsidR="00FE0DB6" w:rsidRPr="00FE0DB6">
        <w:t xml:space="preserve"> </w:t>
      </w:r>
      <w:r w:rsidR="00FE0DB6">
        <w:t xml:space="preserve">(Anderson &amp; Leal, 2015) </w:t>
      </w:r>
      <w:r>
        <w:t>. Market mechanisms can be harnessed or challenged in the pursuit of sustainable environmental outcomes.</w:t>
      </w:r>
    </w:p>
    <w:p w14:paraId="660CF0AC" w14:textId="77777777" w:rsidR="008C2264" w:rsidRDefault="008C2264" w:rsidP="008C2264">
      <w:pPr>
        <w:pStyle w:val="NormalWeb"/>
      </w:pPr>
      <w:r>
        <w:rPr>
          <w:rStyle w:val="Strong"/>
          <w:rFonts w:eastAsiaTheme="majorEastAsia"/>
        </w:rPr>
        <w:t xml:space="preserve">Future Directions for Free Market Environmentalism </w:t>
      </w:r>
    </w:p>
    <w:p w14:paraId="1979F5CA" w14:textId="13EF3848" w:rsidR="008C2264" w:rsidRDefault="008C2264" w:rsidP="008C2264">
      <w:pPr>
        <w:pStyle w:val="NormalWeb"/>
      </w:pPr>
      <w:r>
        <w:t>As we look to the future of free market environmentalism, it is important to recognise the evolving complexities of environmental challenges that accompany climate change, biodiversity loss, and resource scarcity</w:t>
      </w:r>
      <w:r w:rsidR="000B4FF6" w:rsidRPr="000B4FF6">
        <w:t xml:space="preserve"> </w:t>
      </w:r>
      <w:r w:rsidR="000B4FF6">
        <w:t>(Anderson &amp; Leal, 2015</w:t>
      </w:r>
      <w:r>
        <w:t>. Emerging market-based strategies are essential for addressing these crises effectively while harnessing the principles of free-market ideology. Innovations in policy, technology, and partnerships present pathways for enhancing the impact of market solutions on environmental sustainability</w:t>
      </w:r>
      <w:r w:rsidR="0024394A" w:rsidRPr="0024394A">
        <w:t xml:space="preserve"> </w:t>
      </w:r>
      <w:r w:rsidR="0024394A">
        <w:t>(Yandle et al., 2018)</w:t>
      </w:r>
      <w:r>
        <w:t>. By adopting and promoting such technologies, free market environmentalism can leverage market mechanisms to drive more responsible stewardship of natural resources</w:t>
      </w:r>
      <w:r w:rsidR="00CA34A2" w:rsidRPr="00CA34A2">
        <w:t xml:space="preserve"> </w:t>
      </w:r>
      <w:r w:rsidR="00CA34A2">
        <w:t>(Ostrom, 1990)</w:t>
      </w:r>
      <w:r>
        <w:t>. By analysing these examples, stakeholders can identify adaptable components that align with local environmental goals while still embracing the values of free market environmentalism. As free market strategies continue to develop, it is imperative that they incorporate principles of social and economic equity, ensuring that all communities have access to the benefits of environmental reforms</w:t>
      </w:r>
      <w:r w:rsidR="0027558D" w:rsidRPr="0027558D">
        <w:t xml:space="preserve"> </w:t>
      </w:r>
      <w:r w:rsidR="0027558D">
        <w:t>(Arrow et al., 1995)</w:t>
      </w:r>
      <w:r>
        <w:t>. By designing incentives that recognise and mitigate disparities, free market environmentalism can promote inclusiveness and justice in environmental policy.</w:t>
      </w:r>
    </w:p>
    <w:p w14:paraId="39CC0ED2" w14:textId="77777777" w:rsidR="00D16B1D" w:rsidRDefault="00D16B1D" w:rsidP="008C2264">
      <w:pPr>
        <w:pStyle w:val="NormalWeb"/>
        <w:rPr>
          <w:rStyle w:val="Strong"/>
          <w:rFonts w:eastAsiaTheme="majorEastAsia"/>
        </w:rPr>
      </w:pPr>
    </w:p>
    <w:p w14:paraId="0723F454" w14:textId="77777777" w:rsidR="00D16B1D" w:rsidRDefault="00D16B1D" w:rsidP="008C2264">
      <w:pPr>
        <w:pStyle w:val="NormalWeb"/>
        <w:rPr>
          <w:rStyle w:val="Strong"/>
          <w:rFonts w:eastAsiaTheme="majorEastAsia"/>
        </w:rPr>
      </w:pPr>
    </w:p>
    <w:p w14:paraId="76D71129" w14:textId="6461631B" w:rsidR="008C2264" w:rsidRDefault="008C2264" w:rsidP="008C2264">
      <w:pPr>
        <w:pStyle w:val="NormalWeb"/>
      </w:pPr>
      <w:r>
        <w:rPr>
          <w:rStyle w:val="Strong"/>
          <w:rFonts w:eastAsiaTheme="majorEastAsia"/>
        </w:rPr>
        <w:t xml:space="preserve">Understanding Free Market Ideology </w:t>
      </w:r>
    </w:p>
    <w:p w14:paraId="33BA3660" w14:textId="77777777" w:rsidR="008C2264" w:rsidRDefault="008C2264" w:rsidP="008C2264">
      <w:pPr>
        <w:pStyle w:val="NormalWeb"/>
      </w:pPr>
      <w:r>
        <w:t>At its core, free market ideology emphasises the ability of markets to allocate resources efficiently through voluntary exchanges, minimal government intervention, and the freedom of individuals to pursue their economic interests. This dynamic can extend to environmental stewardship, where market mechanisms such as carbon trading can potentially incentivise sustainable practices among firms, underscoring a pivotal connection between economic activities and ecological outcomes. The historical trajectory of free market ideology reveals a complex relationship with environmental policies. As the environmental movement gained momentum in the 1970s, proponents of free market ideology began to navigate the tensions between economic growth and ecological responsibility. Theoretical frameworks surrounding free market ideology present a rich field for comparison with alternative economic theories, especially when addressing environmental challenges. Critics of free market ideology often argue that it is ill-equipped to handle public goods and externalities such as pollution, which necessitate some level of regulatory oversight. Meanwhile, market mechanisms such as deregulation and competitive marketplaces can have profound impacts on environmental policies. The relationship between competition and ecological outcomes is similarly intricate, as competitive pressures can drive firms to adopt more sustainable practices, yet they can also result in a "race to the bottom" where shortcuts are taken on environmental standards. International examples provide valuable lessons in applying free market principles to environmental issues. Socio-economic factors also shape the effectiveness of free market strategies in environmental protection. As the discourse evolves, it becomes increasingly important for free market approaches to be inclusive, ensuring that all communities benefit equitably from environmental reforms. Consumer behaviour plays a foundational role in reinforcing or challenging free market ideology as it pertains to environmental sustainability. Yet, reconciling free market ideology with the necessity of regulatory interventions remains a critical challenge. As the complexities of environmental issues grow, free market advocates face the question of how much regulation is appropriate to ensure effective environmental protection without stifling economic innovation. A balanced approach may involve recognising areas where free market solutions can thrive while simultaneously acknowledging the need for a regulatory framework that addresses market failures and externalities. Such a reconciliatory path could enhance the efficacy of market-driven strategies while safeguarding environmental integrity. Exploring the intersections of free market mechanisms and ecological stewardship unfolds a myriad of opportunities for innovative policy development. Insights drawn from both historical analyses and contemporary case studies can guide the evolution of market-orientated policies that harmonise economic aspirations with the imperatives of sustainability. In this ongoing dialogue, fostering a robust understanding of how free market principles can be effectively aligned with environmental goals will be crucial for achieving long-term ecological health.</w:t>
      </w:r>
    </w:p>
    <w:p w14:paraId="09C4CAAF" w14:textId="77777777" w:rsidR="008C2264" w:rsidRDefault="008C2264" w:rsidP="008C2264">
      <w:pPr>
        <w:pStyle w:val="NormalWeb"/>
      </w:pPr>
      <w:r>
        <w:rPr>
          <w:rStyle w:val="Strong"/>
          <w:rFonts w:eastAsiaTheme="majorEastAsia"/>
        </w:rPr>
        <w:t xml:space="preserve">Historical Context of Environmental Protection </w:t>
      </w:r>
    </w:p>
    <w:p w14:paraId="5DA04BD4" w14:textId="4F698183" w:rsidR="008C2264" w:rsidRPr="008C60BF" w:rsidRDefault="008C2264" w:rsidP="008C60BF">
      <w:pPr>
        <w:rPr>
          <w:rFonts w:ascii="Times New Roman" w:eastAsia="Times New Roman" w:hAnsi="Times New Roman" w:cs="Times New Roman"/>
          <w:kern w:val="0"/>
          <w:lang w:eastAsia="en-GB"/>
          <w14:ligatures w14:val="none"/>
        </w:rPr>
      </w:pPr>
      <w:r>
        <w:t xml:space="preserve">The historical context of environmental protection is intrinsically linked to the emergence of industrialisation and its profound effects on the natural world. The detrimental consequences of such developments sparked awareness and ultimately gave rise to various movements advocating for environmental protection. Significant events, such as the Great Smog of London in 1952, which resulted from coal burning </w:t>
      </w:r>
      <w:r>
        <w:lastRenderedPageBreak/>
        <w:t>and claimed thousands of lives, illuminated the pressing need for regulatory measures and marked a turning point in public consciousness regarding air quality and health. The environmental movements of the 1960s and 1970s played a crucial role in shaping the legislative framework for environmental protection. Influenced by the publication of Rachel Carson's "Silent Spring," which highlighted the dangers of pesticides, these movements brought environmental concerns to the forefront of national discourse. The 1970s, in particular, witnessed the establishment of foundational legislation, including the National Environmental Policy Act in the United States, which mandated environmental impact assessments for federal projects. As the environmental movement gained momentum, the interplay between free market ideologies and environmental intentions became increasingly prominent. The rise of the neoliberal economic paradigm in the late 20th century advocated for minimal government intervention and deregulation, which had mixed implications for environmental policies. However, critics contended that unchecked capitalism often exacerbated environmental degradation due to the profit-centric nature of corporations that sidestepped environmental responsibilities. The 1972 United Nations Conference on the Human Environment in Stockholm laid the groundwork for global environmental governance by emphasising the interconnectedness of economic development, environmental protection, and human rights</w:t>
      </w:r>
      <w:r w:rsidR="00090E79">
        <w:rPr>
          <w:rFonts w:ascii="Times New Roman" w:eastAsia="Times New Roman" w:hAnsi="Times New Roman" w:cs="Times New Roman"/>
          <w:kern w:val="0"/>
          <w:lang w:eastAsia="en-GB"/>
          <w14:ligatures w14:val="none"/>
        </w:rPr>
        <w:t xml:space="preserve">. </w:t>
      </w:r>
      <w:r>
        <w:t>This conference led to the establishment of ongoing dialogues about sustainable development, illustrating an acknowledgement of the importance of aligning economic and ecological interests. Historical case studies illuminate the ongoing debates surrounding market-based solutions to environmental issues. The successes and failures of these programs offer valuable lessons in how to structure market-based environmental policies that fulfil ecological objectives while accommodating capitalist frameworks. Historically, marginalised communities have disproportionately borne the burdens of environmental degradation, leading to significant advocacy for environmental justice. This movement underscores the necessity of ensuring that environmental policies do not perpetuate existing inequalities but instead promote equitable access to clean air, water, and other natural resources. As the conversation evolves, environmental policies must consider both ecological sustainability and social equity to create truly inclusive frameworks. Conversely, certain regulations have often created friction with free market ideologies, provoking debates about the role of government oversight in promoting environmental health without impeding economic growth. In conclusion, the historical context of environmental protection has been shaped by a myriad of factors, including industrialisation, social movements, international agreements, and the evolving dynamics between market principles and regulatory frameworks. The lessons derived from past experiences underscore the importance of integrating both economic and ecological perspectives in crafting policies that not only promote environmental sustainability but also address broader social justice issues.</w:t>
      </w:r>
    </w:p>
    <w:p w14:paraId="6989DCF4" w14:textId="77777777" w:rsidR="008C2264" w:rsidRDefault="008C2264" w:rsidP="008C2264">
      <w:pPr>
        <w:pStyle w:val="NormalWeb"/>
      </w:pPr>
      <w:r>
        <w:rPr>
          <w:rStyle w:val="Strong"/>
          <w:rFonts w:eastAsiaTheme="majorEastAsia"/>
        </w:rPr>
        <w:lastRenderedPageBreak/>
        <w:t xml:space="preserve">Free Market Mechanisms and Environmental Outcomes </w:t>
      </w:r>
    </w:p>
    <w:p w14:paraId="68EE6DC8" w14:textId="77777777" w:rsidR="008C2264" w:rsidRDefault="008C2264" w:rsidP="008C2264">
      <w:pPr>
        <w:pStyle w:val="NormalWeb"/>
      </w:pPr>
      <w:r>
        <w:t>The intersection of free market mechanisms and environmental outcomes presents an intriguing domain of inquiry, where economic principles seek to address some of the most pressing ecological challenges of our time. Various market-based approaches have been implemented with the aim of promoting environmental sustainability, including carbon pricing initiatives, cap-and-trade systems, and marketable permit programs. Case studies play a vital role in illustrating the successes and shortcomings of these market-based mechanisms. Yet, there are also cautionary tales, such as in certain instances of the carbon offset markets, where the lack of transparency and accountability resulted in companies purchasing credits that did not correspond to actual emissions reductions. This raises questions about the integrity of market mechanisms and their reliance on market forces to deliver genuine environmental benefits. Key factors influencing the success of market mechanisms include the clarity of property rights, the level of market competition, and the engagement of relevant stakeholders. When entities know they are liable for the environmental impacts of their actions, they are more likely to invest in sustainable practices. For example, in Nordic countries, strong governmental support for environmental policies has enabled the effective integration of market mechanisms alongside robust regulations, creating a conducive environment for sustainability initiatives. In contrast, other contexts may lack the institutional frameworks necessary to support such collaborations, resulting in half-hearted implementations of market solutions. The experience of countries like New Zealand, which effectively employed market mechanisms for forestry and fisheries management, offers insights into the importance of adaptive management and ongoing stakeholder engagement. Stakeholder perspectives play a critical role in shaping the implementation and outcomes of market-based environmental strategies. Corporations, consumers, and marginalised communities each have unique insights and contributions to make in the development of effective environmental policies. Ultimately, the effectiveness of free market mechanisms in promoting environmental outcomes is influenced by a confluence of factors, including policy design, stakeholder engagement, and cultural contexts. As the search for sustainable solutions continues, the journey of integrating market mechanisms with environmental stewardship will be increasingly vital in addressing the challenges confronted by today's society.</w:t>
      </w:r>
    </w:p>
    <w:p w14:paraId="1DF67623" w14:textId="77777777" w:rsidR="008C2264" w:rsidRDefault="008C2264" w:rsidP="008C2264">
      <w:pPr>
        <w:pStyle w:val="NormalWeb"/>
      </w:pPr>
      <w:r>
        <w:rPr>
          <w:rStyle w:val="Strong"/>
          <w:rFonts w:eastAsiaTheme="majorEastAsia"/>
        </w:rPr>
        <w:t>Case Studies of Market-Based Environmental Policies</w:t>
      </w:r>
    </w:p>
    <w:p w14:paraId="131EE673" w14:textId="77777777" w:rsidR="008C2264" w:rsidRDefault="008C2264" w:rsidP="008C2264">
      <w:pPr>
        <w:pStyle w:val="NormalWeb"/>
      </w:pPr>
      <w:r>
        <w:t xml:space="preserve">This chapter examines various empirical cases of market-based environmental policies to illustrate their implementation and outcomes across diverse regions and sectors. By scrutinising these examples, we aim to evaluate the effectiveness and adaptability of market mechanisms, such as carbon pricing and cap-and-trade systems, which have been adopted to achieve sustainable environmental goals. One prominent example of a market-based environmental policy is the carbon pricing mechanism implemented in various countries, which has been pivotal in illustrating the potential for economic tools to drive emissions reductions. In Sweden, the introduction of a carbon tax in 1991 has resulted in significant emissions reductions alongside economic growth, displaying the potential for market-orientated policies to harmonise with governmental regulations that promote sustainability. Further, the intertwining of property rights and market competition plays a critical role in determining the success of market-based environmental policies. Cultural and regulatory environments considerably influence the adaptability and efficacy of market-based environmental solutions in various regions. In countries with a strong tradition of environmental stewardship, such as Germany, market mechanisms are often complemented by stringent regulatory measures and public support for sustainable policies. The success of </w:t>
      </w:r>
      <w:r>
        <w:lastRenderedPageBreak/>
        <w:t>areas such as New Zealand in employing market mechanisms for forestry and fisheries management underscores the importance of adaptive management and stakeholder engagement. The intersection of free market mechanisms and environmental outcomes remains a complex and evolving field.</w:t>
      </w:r>
    </w:p>
    <w:p w14:paraId="237B7311" w14:textId="77777777" w:rsidR="008C2264" w:rsidRDefault="008C2264" w:rsidP="008C2264">
      <w:pPr>
        <w:pStyle w:val="NormalWeb"/>
      </w:pPr>
      <w:r>
        <w:rPr>
          <w:rStyle w:val="Strong"/>
          <w:rFonts w:eastAsiaTheme="majorEastAsia"/>
        </w:rPr>
        <w:t xml:space="preserve">Critiques of Free Market Approaches to Environmental Issues </w:t>
      </w:r>
    </w:p>
    <w:p w14:paraId="51FA09DF" w14:textId="77777777" w:rsidR="008C2264" w:rsidRDefault="008C2264" w:rsidP="008C2264">
      <w:pPr>
        <w:pStyle w:val="NormalWeb"/>
      </w:pPr>
      <w:r>
        <w:t>Addressing the limitations and challenges of free market approaches to environmental issues is paramount in understanding the broader implications of these frameworks. While proponents of free market ideology argue that market dynamics encourage resource allocation based on individual preferences and motivations, this view often overlooks the complexities of environmental degradation and the finite nature of ecological resources. Environmental issues frequently manifest as externalities, where the costs of ecological damage are not accounted for within a company's financial assessments, leading to a disparity between market outcomes and environmental health. An alarming implication of market-driven approaches is the potential for a "race to the bottom" in environmental standards among competing firms. The interaction between regulatory frameworks and free market approaches can also exacerbate environmental challenges. Conflicts of interest among stakeholders can significantly impact the effectiveness of free market strategies in environmental policy. Public perception and consumer behaviour also play critical roles in the effectiveness of free market environmental policies. By acknowledging the limitations of free market approaches, policymakers can pursue innovative strategies that promote environmental sustainability alongside economic viability, paving the way for more integrated and responsive environmental policies.</w:t>
      </w:r>
    </w:p>
    <w:p w14:paraId="0059A0C8" w14:textId="77777777" w:rsidR="008C2264" w:rsidRDefault="008C2264" w:rsidP="008C2264">
      <w:pPr>
        <w:pStyle w:val="NormalWeb"/>
      </w:pPr>
      <w:r>
        <w:rPr>
          <w:rStyle w:val="Strong"/>
          <w:rFonts w:eastAsiaTheme="majorEastAsia"/>
        </w:rPr>
        <w:t xml:space="preserve">The Role of Government Regulation in Environmental Protection </w:t>
      </w:r>
    </w:p>
    <w:p w14:paraId="0979DA4C" w14:textId="77777777" w:rsidR="008C2264" w:rsidRDefault="008C2264" w:rsidP="008C2264">
      <w:pPr>
        <w:pStyle w:val="NormalWeb"/>
      </w:pPr>
      <w:r>
        <w:t>Government regulation plays a crucial role in the landscape of environmental protection, significantly influencing how businesses approach sustainability. On one hand, regulatory policies can enhance the effectiveness of market-based environmental solutions by establishing clear guidelines and expectations; on the other, they can inadvertently create barriers that hinder innovation and responsiveness in businesses striving to meet these standards. The interplay between specific regulatory policies and market-based approaches often determines the overall success of environmental initiatives. The presence of these agencies can foster a culture of environmental responsibility, as firms are incentivised to adhere to regulations to avoid penalties and enhance their corporate reputations. Evidence supporting the argument that stricter government regulations lead to improved environmental outcomes is found in numerous studies and real-world examples. Through careful design and implementation, regulations have the potential to enhance market-based environmental solutions, promote equity, and stimulate innovation. The relationship between regulation and market mechanisms is multifaceted, requiring ongoing assessment and adaptation to ensure that both objectives, economic vitality and environmental integrity, are achieved in tandem. The journey toward sustainable environmental protection is a collective one, necessitating the participation of governments, businesses, and communities alike.</w:t>
      </w:r>
    </w:p>
    <w:p w14:paraId="22B84D96" w14:textId="77777777" w:rsidR="008C2264" w:rsidRDefault="008C2264" w:rsidP="008C2264">
      <w:pPr>
        <w:pStyle w:val="NormalWeb"/>
      </w:pPr>
      <w:r>
        <w:rPr>
          <w:rStyle w:val="Strong"/>
          <w:rFonts w:eastAsiaTheme="majorEastAsia"/>
        </w:rPr>
        <w:t xml:space="preserve">Sustainable Development and Market Solutions </w:t>
      </w:r>
    </w:p>
    <w:p w14:paraId="13852949" w14:textId="3858EBDC" w:rsidR="008C2264" w:rsidRDefault="008C2264" w:rsidP="008C2264">
      <w:pPr>
        <w:pStyle w:val="NormalWeb"/>
      </w:pPr>
      <w:r>
        <w:t xml:space="preserve">The integration of sustainable development principles within market frameworks has become an increasingly relevant topic as societies strive to balance economic growth with ecological integrity. A growing recognition exists that market-based solutions can effectively </w:t>
      </w:r>
      <w:r>
        <w:lastRenderedPageBreak/>
        <w:t xml:space="preserve">incorporate principles of sustainable development, yet designing such mechanisms requires careful consideration of socio-economic contexts and the implications for environmental outcomes. Therefore, recognising and facilitating the role of technology within market mechanisms can yield substantial benefits for promoting sustainable practices. The effectiveness and acceptance of market-based environmental solutions are influenced by various socio-economic factors. Instances such as the biodiversity offset schemes in </w:t>
      </w:r>
      <w:r w:rsidR="00FA6AB9">
        <w:t>Australia,</w:t>
      </w:r>
      <w:r>
        <w:t xml:space="preserve"> or the water trading programs in Chile highlight the potential for innovative market-based approaches that have led to improved environmental health and resource management. In conclusion, the convergence of sustainable development principles and market solutions presents a promising avenue for addressing ecological challenges. Through innovative frameworks, emerging technologies, and collaborative partnerships, the potential to harness market mechanisms for sustainable outcomes is within reach.</w:t>
      </w:r>
    </w:p>
    <w:p w14:paraId="768D89C7" w14:textId="77777777" w:rsidR="008C2264" w:rsidRDefault="008C2264" w:rsidP="008C2264">
      <w:pPr>
        <w:pStyle w:val="NormalWeb"/>
      </w:pPr>
      <w:r>
        <w:rPr>
          <w:rStyle w:val="Strong"/>
          <w:rFonts w:eastAsiaTheme="majorEastAsia"/>
        </w:rPr>
        <w:t xml:space="preserve">Conclusion </w:t>
      </w:r>
    </w:p>
    <w:p w14:paraId="2EEB9EF4" w14:textId="77777777" w:rsidR="008C2264" w:rsidRDefault="008C2264" w:rsidP="008C2264">
      <w:pPr>
        <w:pStyle w:val="NormalWeb"/>
      </w:pPr>
      <w:r>
        <w:t>The examination of the interplay between free market ideology and environmental protection throughout this paper reveals critical insights into both the potential and the limitations of market-based environmental strategies. Key lessons from this evaluation highlight that while free market mechanisms can effectively promote environmental sustainability under certain conditions, they often need to be supported by comprehensive regulatory frameworks to address the inherent failings of market solutions. The critique of free market environmentalism further informs the design of future environmental policies, emphasising the necessity for these policies to incorporate considerations of social equity and environmental justice. To ensure that market-based approaches genuinely incorporate principles of social and environmental equity, specific strategies must be developed. However, this requires a concerted effort toward research, innovation, and policy design that recognises the complexities of both free-market dynamics and environmental stewardship.</w:t>
      </w:r>
    </w:p>
    <w:p w14:paraId="7FFABAA9" w14:textId="77777777" w:rsidR="00AD18BD" w:rsidRDefault="00AD18BD"/>
    <w:p w14:paraId="00B3C1E2" w14:textId="77777777" w:rsidR="00623B39" w:rsidRDefault="00623B39"/>
    <w:p w14:paraId="28835ACD" w14:textId="77777777" w:rsidR="00623B39" w:rsidRDefault="00623B39"/>
    <w:p w14:paraId="5B570A68" w14:textId="77777777" w:rsidR="00623B39" w:rsidRDefault="00623B39"/>
    <w:p w14:paraId="20E1C1F0" w14:textId="77777777" w:rsidR="00623B39" w:rsidRDefault="00623B39"/>
    <w:p w14:paraId="34DB47BE" w14:textId="77777777" w:rsidR="00623B39" w:rsidRDefault="00623B39"/>
    <w:p w14:paraId="79260B1E" w14:textId="77777777" w:rsidR="00623B39" w:rsidRDefault="00623B39"/>
    <w:p w14:paraId="705AFE9C" w14:textId="77777777" w:rsidR="00623B39" w:rsidRDefault="00623B39"/>
    <w:p w14:paraId="4385DDBE" w14:textId="77777777" w:rsidR="00623B39" w:rsidRDefault="00623B39"/>
    <w:p w14:paraId="5A1765C8" w14:textId="77777777" w:rsidR="00623B39" w:rsidRDefault="00623B39"/>
    <w:p w14:paraId="32872846" w14:textId="77777777" w:rsidR="00623B39" w:rsidRDefault="00623B39"/>
    <w:p w14:paraId="358CB277" w14:textId="77777777" w:rsidR="00623B39" w:rsidRDefault="00623B39"/>
    <w:p w14:paraId="032F02D6" w14:textId="77777777" w:rsidR="00623B39" w:rsidRPr="00623B39" w:rsidRDefault="00623B39" w:rsidP="00623B39">
      <w:pPr>
        <w:spacing w:after="240" w:line="360" w:lineRule="auto"/>
        <w:outlineLvl w:val="0"/>
        <w:rPr>
          <w:rFonts w:ascii="Times New Roman" w:eastAsia="Times New Roman" w:hAnsi="Times New Roman" w:cs="Times New Roman"/>
          <w:b/>
          <w:bCs/>
          <w:kern w:val="36"/>
          <w:sz w:val="36"/>
          <w:szCs w:val="36"/>
          <w:lang w:eastAsia="en-GB"/>
          <w14:ligatures w14:val="none"/>
        </w:rPr>
      </w:pPr>
      <w:r w:rsidRPr="00623B39">
        <w:rPr>
          <w:rFonts w:ascii="Times New Roman" w:eastAsia="Times New Roman" w:hAnsi="Times New Roman" w:cs="Times New Roman"/>
          <w:b/>
          <w:bCs/>
          <w:kern w:val="36"/>
          <w:sz w:val="36"/>
          <w:szCs w:val="36"/>
          <w:lang w:eastAsia="en-GB"/>
          <w14:ligatures w14:val="none"/>
        </w:rPr>
        <w:lastRenderedPageBreak/>
        <w:t>Reference list</w:t>
      </w:r>
    </w:p>
    <w:p w14:paraId="3D8C7015"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EfD - Initiative. (2020). </w:t>
      </w:r>
      <w:r w:rsidRPr="00623B39">
        <w:rPr>
          <w:rFonts w:ascii="Times New Roman" w:eastAsia="Times New Roman" w:hAnsi="Times New Roman" w:cs="Times New Roman"/>
          <w:i/>
          <w:iCs/>
          <w:kern w:val="0"/>
          <w:lang w:eastAsia="en-GB"/>
          <w14:ligatures w14:val="none"/>
        </w:rPr>
        <w:t>Funding Inclusive Green Transition through Greenhouse Gas Pricing</w:t>
      </w:r>
      <w:r w:rsidRPr="00623B39">
        <w:rPr>
          <w:rFonts w:ascii="Times New Roman" w:eastAsia="Times New Roman" w:hAnsi="Times New Roman" w:cs="Times New Roman"/>
          <w:kern w:val="0"/>
          <w:lang w:eastAsia="en-GB"/>
          <w14:ligatures w14:val="none"/>
        </w:rPr>
        <w:t>. [online] Available at: https://www.efdinitiative.org/publications/funding-inclusive-green-transition-through-greenhouse-gas-pricing [Accessed 4 Mar. 2025].</w:t>
      </w:r>
    </w:p>
    <w:p w14:paraId="4FB4B324"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Fao.org. (2025). </w:t>
      </w:r>
      <w:r w:rsidRPr="00623B39">
        <w:rPr>
          <w:rFonts w:ascii="Times New Roman" w:eastAsia="Times New Roman" w:hAnsi="Times New Roman" w:cs="Times New Roman"/>
          <w:i/>
          <w:iCs/>
          <w:kern w:val="0"/>
          <w:lang w:eastAsia="en-GB"/>
          <w14:ligatures w14:val="none"/>
        </w:rPr>
        <w:t>Proceedings of the workshop on forests for poverty reduction: opportunities with CDM, environmental services and biodiversity</w:t>
      </w:r>
      <w:r w:rsidRPr="00623B39">
        <w:rPr>
          <w:rFonts w:ascii="Times New Roman" w:eastAsia="Times New Roman" w:hAnsi="Times New Roman" w:cs="Times New Roman"/>
          <w:kern w:val="0"/>
          <w:lang w:eastAsia="en-GB"/>
          <w14:ligatures w14:val="none"/>
        </w:rPr>
        <w:t>. [online] Available at: https://www.fao.org/4/ae537e/ae537e00.htm [Accessed 4 Mar. 2025].</w:t>
      </w:r>
    </w:p>
    <w:p w14:paraId="624950EE"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Femia, J.V. (1993). Marxist Democracy? </w:t>
      </w:r>
      <w:r w:rsidRPr="00623B39">
        <w:rPr>
          <w:rFonts w:ascii="Times New Roman" w:eastAsia="Times New Roman" w:hAnsi="Times New Roman" w:cs="Times New Roman"/>
          <w:i/>
          <w:iCs/>
          <w:kern w:val="0"/>
          <w:lang w:eastAsia="en-GB"/>
          <w14:ligatures w14:val="none"/>
        </w:rPr>
        <w:t>Marxism and Democracy</w:t>
      </w:r>
      <w:r w:rsidRPr="00623B39">
        <w:rPr>
          <w:rFonts w:ascii="Times New Roman" w:eastAsia="Times New Roman" w:hAnsi="Times New Roman" w:cs="Times New Roman"/>
          <w:kern w:val="0"/>
          <w:lang w:eastAsia="en-GB"/>
          <w14:ligatures w14:val="none"/>
        </w:rPr>
        <w:t>, [online] pp.68–142. doi:https://doi.org/10.1093/0198279213.003.0003.</w:t>
      </w:r>
    </w:p>
    <w:p w14:paraId="31B2A709" w14:textId="6746C62F"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Gert, V.H., Johan, B. and Catherine, W. (2015). </w:t>
      </w:r>
      <w:r w:rsidR="00DB1726" w:rsidRPr="00623B39">
        <w:rPr>
          <w:rFonts w:ascii="Times New Roman" w:eastAsia="Times New Roman" w:hAnsi="Times New Roman" w:cs="Times New Roman"/>
          <w:kern w:val="0"/>
          <w:lang w:eastAsia="en-GB"/>
          <w14:ligatures w14:val="none"/>
        </w:rPr>
        <w:t>"</w:t>
      </w:r>
      <w:r w:rsidRPr="00623B39">
        <w:rPr>
          <w:rFonts w:ascii="Times New Roman" w:eastAsia="Times New Roman" w:hAnsi="Times New Roman" w:cs="Times New Roman"/>
          <w:kern w:val="0"/>
          <w:lang w:eastAsia="en-GB"/>
          <w14:ligatures w14:val="none"/>
        </w:rPr>
        <w:t>The frontiers of the debate on Payments for Ecosystem Services.</w:t>
      </w:r>
      <w:r w:rsidR="00DB1726" w:rsidRPr="00623B39">
        <w:rPr>
          <w:rFonts w:ascii="Times New Roman" w:eastAsia="Times New Roman" w:hAnsi="Times New Roman" w:cs="Times New Roman"/>
          <w:kern w:val="0"/>
          <w:lang w:eastAsia="en-GB"/>
          <w14:ligatures w14:val="none"/>
        </w:rPr>
        <w:t>" (“The frontiers of the debate on Payments for Ecosystem Services. A ...”)</w:t>
      </w:r>
      <w:r w:rsidRPr="00623B39">
        <w:rPr>
          <w:rFonts w:ascii="Times New Roman" w:eastAsia="Times New Roman" w:hAnsi="Times New Roman" w:cs="Times New Roman"/>
          <w:kern w:val="0"/>
          <w:lang w:eastAsia="en-GB"/>
          <w14:ligatures w14:val="none"/>
        </w:rPr>
        <w:t xml:space="preserve"> A proposal for innovative future research. [online] 2015.05. Available at: https://www.researchgate.net/publication/281522768_The_frontiers_of_the_debate_on_Payments_for_Ecosystem_Services_A_proposal_for_innovative_future_research.</w:t>
      </w:r>
    </w:p>
    <w:p w14:paraId="2DBEBF51"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https://getriskmanager.com/. (n.d.). </w:t>
      </w:r>
      <w:r w:rsidRPr="00623B39">
        <w:rPr>
          <w:rFonts w:ascii="Times New Roman" w:eastAsia="Times New Roman" w:hAnsi="Times New Roman" w:cs="Times New Roman"/>
          <w:i/>
          <w:iCs/>
          <w:kern w:val="0"/>
          <w:lang w:eastAsia="en-GB"/>
          <w14:ligatures w14:val="none"/>
        </w:rPr>
        <w:t>How Can Environmental Risk Management Tools Help Maximise Compliance?</w:t>
      </w:r>
      <w:r w:rsidRPr="00623B39">
        <w:rPr>
          <w:rFonts w:ascii="Times New Roman" w:eastAsia="Times New Roman" w:hAnsi="Times New Roman" w:cs="Times New Roman"/>
          <w:kern w:val="0"/>
          <w:lang w:eastAsia="en-GB"/>
          <w14:ligatures w14:val="none"/>
        </w:rPr>
        <w:t xml:space="preserve"> [online] Available at: https://getriskmanager.com/environmental-risk-management/.</w:t>
      </w:r>
    </w:p>
    <w:p w14:paraId="09BE3F00"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https://www.facebook.com/EuropeanCorporateGovernanceInstitute (2024). </w:t>
      </w:r>
      <w:r w:rsidRPr="00623B39">
        <w:rPr>
          <w:rFonts w:ascii="Times New Roman" w:eastAsia="Times New Roman" w:hAnsi="Times New Roman" w:cs="Times New Roman"/>
          <w:i/>
          <w:iCs/>
          <w:kern w:val="0"/>
          <w:lang w:eastAsia="en-GB"/>
          <w14:ligatures w14:val="none"/>
        </w:rPr>
        <w:t>A Decade After Paris</w:t>
      </w:r>
      <w:r w:rsidRPr="00623B39">
        <w:rPr>
          <w:rFonts w:ascii="Times New Roman" w:eastAsia="Times New Roman" w:hAnsi="Times New Roman" w:cs="Times New Roman"/>
          <w:kern w:val="0"/>
          <w:lang w:eastAsia="en-GB"/>
          <w14:ligatures w14:val="none"/>
        </w:rPr>
        <w:t>. [online] ECGI. Available at: https://www.ecgi.global/projects/responsible-capitalism/a-decade-after-paris [Accessed 4 Mar. 2025].</w:t>
      </w:r>
    </w:p>
    <w:p w14:paraId="62839BCB"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Kearns, L. (2018). </w:t>
      </w:r>
      <w:r w:rsidRPr="00623B39">
        <w:rPr>
          <w:rFonts w:ascii="Times New Roman" w:eastAsia="Times New Roman" w:hAnsi="Times New Roman" w:cs="Times New Roman"/>
          <w:i/>
          <w:iCs/>
          <w:kern w:val="0"/>
          <w:lang w:eastAsia="en-GB"/>
          <w14:ligatures w14:val="none"/>
        </w:rPr>
        <w:t>Ecology and Religious Environmentalism in the United States</w:t>
      </w:r>
      <w:r w:rsidRPr="00623B39">
        <w:rPr>
          <w:rFonts w:ascii="Times New Roman" w:eastAsia="Times New Roman" w:hAnsi="Times New Roman" w:cs="Times New Roman"/>
          <w:kern w:val="0"/>
          <w:lang w:eastAsia="en-GB"/>
          <w14:ligatures w14:val="none"/>
        </w:rPr>
        <w:t>. [online] Oxford Research Encyclopedia of Religion. Available at: https://www.academia.edu/97171524/Ecology_and_Religious_Environmentalism_in_the_United_States [Accessed 4 Mar. 2025].</w:t>
      </w:r>
    </w:p>
    <w:p w14:paraId="6DFCAECF"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Loja, E., Supervisor, Weber, P., Pretzsch, P. and Darr, P. (n.d.). </w:t>
      </w:r>
      <w:r w:rsidRPr="00623B39">
        <w:rPr>
          <w:rFonts w:ascii="Times New Roman" w:eastAsia="Times New Roman" w:hAnsi="Times New Roman" w:cs="Times New Roman"/>
          <w:i/>
          <w:iCs/>
          <w:kern w:val="0"/>
          <w:lang w:eastAsia="en-GB"/>
          <w14:ligatures w14:val="none"/>
        </w:rPr>
        <w:t>Sustainable Development Model from an economic, social, and agroecological perspective in the Amazon Region: A case study of Yantzaza, Ecuador Dissertation for Awarding the Academic Degree</w:t>
      </w:r>
      <w:r w:rsidRPr="00623B39">
        <w:rPr>
          <w:rFonts w:ascii="Times New Roman" w:eastAsia="Times New Roman" w:hAnsi="Times New Roman" w:cs="Times New Roman"/>
          <w:kern w:val="0"/>
          <w:lang w:eastAsia="en-GB"/>
          <w14:ligatures w14:val="none"/>
        </w:rPr>
        <w:t>. [online] Available at: https://core.ac.uk/download/pdf/236376957.pdf [Accessed 4 Mar. 2025].</w:t>
      </w:r>
    </w:p>
    <w:p w14:paraId="11CB22E7" w14:textId="7B6A331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lastRenderedPageBreak/>
        <w:t xml:space="preserve">Luo, Y., Mclellan, B. and Ogata, S. (n.d.). </w:t>
      </w:r>
      <w:r w:rsidRPr="00623B39">
        <w:rPr>
          <w:rFonts w:ascii="Times New Roman" w:eastAsia="Times New Roman" w:hAnsi="Times New Roman" w:cs="Times New Roman"/>
          <w:i/>
          <w:iCs/>
          <w:kern w:val="0"/>
          <w:lang w:eastAsia="en-GB"/>
          <w14:ligatures w14:val="none"/>
        </w:rPr>
        <w:t>A STUDY ON THE LINKAGE BETWEEN CAPACITY PRICING AND CARBON PRICING IN ELECTRICITY MARKET</w:t>
      </w:r>
      <w:r w:rsidRPr="00623B39">
        <w:rPr>
          <w:rFonts w:ascii="Times New Roman" w:eastAsia="Times New Roman" w:hAnsi="Times New Roman" w:cs="Times New Roman"/>
          <w:kern w:val="0"/>
          <w:lang w:eastAsia="en-GB"/>
          <w14:ligatures w14:val="none"/>
        </w:rPr>
        <w:t>.</w:t>
      </w:r>
      <w:r w:rsidR="00D16B1D" w:rsidRPr="00623B39">
        <w:rPr>
          <w:rFonts w:ascii="Times New Roman" w:eastAsia="Times New Roman" w:hAnsi="Times New Roman" w:cs="Times New Roman"/>
          <w:kern w:val="0"/>
          <w:lang w:eastAsia="en-GB"/>
          <w14:ligatures w14:val="none"/>
        </w:rPr>
        <w:t xml:space="preserve"> (“A STUDY ON THE LINKAGE BETWEEN CAPACITY PRICING AND CARBON PRICING IN ...”)</w:t>
      </w:r>
      <w:r w:rsidRPr="00623B39">
        <w:rPr>
          <w:rFonts w:ascii="Times New Roman" w:eastAsia="Times New Roman" w:hAnsi="Times New Roman" w:cs="Times New Roman"/>
          <w:kern w:val="0"/>
          <w:lang w:eastAsia="en-GB"/>
          <w14:ligatures w14:val="none"/>
        </w:rPr>
        <w:t xml:space="preserve"> [online] Available at: https://iaee2021online.org/download/contribution/fullpaper/564/564_fullpaper_20210607_170331.pdf [Accessed 4 Mar. 2025].</w:t>
      </w:r>
    </w:p>
    <w:p w14:paraId="3906BA61" w14:textId="25F7B892"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Luymes, M. (2017). </w:t>
      </w:r>
      <w:r w:rsidRPr="00623B39">
        <w:rPr>
          <w:rFonts w:ascii="Times New Roman" w:eastAsia="Times New Roman" w:hAnsi="Times New Roman" w:cs="Times New Roman"/>
          <w:i/>
          <w:iCs/>
          <w:kern w:val="0"/>
          <w:lang w:eastAsia="en-GB"/>
          <w14:ligatures w14:val="none"/>
        </w:rPr>
        <w:t>The Farmer and the Food Regime: Hegemony and the Free Market Frame in Rural Ontario</w:t>
      </w:r>
      <w:r w:rsidRPr="00623B39">
        <w:rPr>
          <w:rFonts w:ascii="Times New Roman" w:eastAsia="Times New Roman" w:hAnsi="Times New Roman" w:cs="Times New Roman"/>
          <w:kern w:val="0"/>
          <w:lang w:eastAsia="en-GB"/>
          <w14:ligatures w14:val="none"/>
        </w:rPr>
        <w:t>.</w:t>
      </w:r>
      <w:r w:rsidR="00513B7B" w:rsidRPr="00623B39">
        <w:rPr>
          <w:rFonts w:ascii="Times New Roman" w:eastAsia="Times New Roman" w:hAnsi="Times New Roman" w:cs="Times New Roman"/>
          <w:kern w:val="0"/>
          <w:lang w:eastAsia="en-GB"/>
          <w14:ligatures w14:val="none"/>
        </w:rPr>
        <w:t xml:space="preserve"> (“The Farmer and the Food Regime: Hegemony and the Free Market Frame in ...”)</w:t>
      </w:r>
      <w:r w:rsidRPr="00623B39">
        <w:rPr>
          <w:rFonts w:ascii="Times New Roman" w:eastAsia="Times New Roman" w:hAnsi="Times New Roman" w:cs="Times New Roman"/>
          <w:kern w:val="0"/>
          <w:lang w:eastAsia="en-GB"/>
          <w14:ligatures w14:val="none"/>
        </w:rPr>
        <w:t xml:space="preserve"> [online] Available at: https://www.semanticscholar.org/paper/The-Farmer-and-the-Food-Regime%3A-Hegemony-and-the-in-Luymes/10d01b3cc96395f4aa797fcbfcb435fcf046ab9d [Accessed 4 Mar. 2025].</w:t>
      </w:r>
    </w:p>
    <w:p w14:paraId="5228F97F"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Market Mechanisms and Incentives: Applications to Environmental Policy. (2009). Available at: https://www.epa.gov/sites/default/files/2017-09/documents/ee-0523_all.pdf [Accessed 4 Mar. 2025].</w:t>
      </w:r>
    </w:p>
    <w:p w14:paraId="08F86A50" w14:textId="188EB59D"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Mazaheri, M., Bonnin Roca, J., Markus, A. and Walrave, B. (2022).</w:t>
      </w:r>
      <w:r w:rsidR="00513B7B" w:rsidRPr="00623B39">
        <w:rPr>
          <w:rFonts w:ascii="Times New Roman" w:eastAsia="Times New Roman" w:hAnsi="Times New Roman" w:cs="Times New Roman"/>
          <w:kern w:val="0"/>
          <w:lang w:eastAsia="en-GB"/>
          <w14:ligatures w14:val="none"/>
        </w:rPr>
        <w:t xml:space="preserve"> (“Market-based instruments and sustainable innovation: A systematic ...”)</w:t>
      </w:r>
      <w:r w:rsidRPr="00623B39">
        <w:rPr>
          <w:rFonts w:ascii="Times New Roman" w:eastAsia="Times New Roman" w:hAnsi="Times New Roman" w:cs="Times New Roman"/>
          <w:kern w:val="0"/>
          <w:lang w:eastAsia="en-GB"/>
          <w14:ligatures w14:val="none"/>
        </w:rPr>
        <w:t xml:space="preserve"> Market-based instruments and sustainable innovation:A systematic literature review and critique.</w:t>
      </w:r>
      <w:r w:rsidR="00513B7B" w:rsidRPr="00623B39">
        <w:rPr>
          <w:rFonts w:ascii="Times New Roman" w:eastAsia="Times New Roman" w:hAnsi="Times New Roman" w:cs="Times New Roman"/>
          <w:kern w:val="0"/>
          <w:lang w:eastAsia="en-GB"/>
          <w14:ligatures w14:val="none"/>
        </w:rPr>
        <w:t xml:space="preserve"> (“Market-based instruments and sustainable innovation:A systematic ...”)</w:t>
      </w:r>
      <w:r w:rsidRPr="00623B39">
        <w:rPr>
          <w:rFonts w:ascii="Times New Roman" w:eastAsia="Times New Roman" w:hAnsi="Times New Roman" w:cs="Times New Roman"/>
          <w:kern w:val="0"/>
          <w:lang w:eastAsia="en-GB"/>
          <w14:ligatures w14:val="none"/>
        </w:rPr>
        <w:t xml:space="preserve"> </w:t>
      </w:r>
      <w:r w:rsidRPr="00623B39">
        <w:rPr>
          <w:rFonts w:ascii="Times New Roman" w:eastAsia="Times New Roman" w:hAnsi="Times New Roman" w:cs="Times New Roman"/>
          <w:i/>
          <w:iCs/>
          <w:kern w:val="0"/>
          <w:lang w:eastAsia="en-GB"/>
          <w14:ligatures w14:val="none"/>
        </w:rPr>
        <w:t>Journal of Cleaner Production</w:t>
      </w:r>
      <w:r w:rsidRPr="00623B39">
        <w:rPr>
          <w:rFonts w:ascii="Times New Roman" w:eastAsia="Times New Roman" w:hAnsi="Times New Roman" w:cs="Times New Roman"/>
          <w:kern w:val="0"/>
          <w:lang w:eastAsia="en-GB"/>
          <w14:ligatures w14:val="none"/>
        </w:rPr>
        <w:t>, 373, p.133947. doi:https://doi.org/10.1016/j.jclepro.2022.133947.</w:t>
      </w:r>
    </w:p>
    <w:p w14:paraId="3D132520"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Mehling, M.A. (2021). Market mechanisms. </w:t>
      </w:r>
      <w:r w:rsidRPr="00623B39">
        <w:rPr>
          <w:rFonts w:ascii="Times New Roman" w:eastAsia="Times New Roman" w:hAnsi="Times New Roman" w:cs="Times New Roman"/>
          <w:i/>
          <w:iCs/>
          <w:kern w:val="0"/>
          <w:lang w:eastAsia="en-GB"/>
          <w14:ligatures w14:val="none"/>
        </w:rPr>
        <w:t>University of Strathclyde</w:t>
      </w:r>
      <w:r w:rsidRPr="00623B39">
        <w:rPr>
          <w:rFonts w:ascii="Times New Roman" w:eastAsia="Times New Roman" w:hAnsi="Times New Roman" w:cs="Times New Roman"/>
          <w:kern w:val="0"/>
          <w:lang w:eastAsia="en-GB"/>
          <w14:ligatures w14:val="none"/>
        </w:rPr>
        <w:t>, [online] pp.920–936. Available at: https://pureportal.strath.ac.uk/en/publications/market-mechanisms [Accessed 4 Mar. 2025].</w:t>
      </w:r>
    </w:p>
    <w:p w14:paraId="228420F5"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Pearse, R. (2017). </w:t>
      </w:r>
      <w:r w:rsidRPr="00623B39">
        <w:rPr>
          <w:rFonts w:ascii="Times New Roman" w:eastAsia="Times New Roman" w:hAnsi="Times New Roman" w:cs="Times New Roman"/>
          <w:i/>
          <w:iCs/>
          <w:kern w:val="0"/>
          <w:lang w:eastAsia="en-GB"/>
          <w14:ligatures w14:val="none"/>
        </w:rPr>
        <w:t>Pricing Carbon in Australia</w:t>
      </w:r>
      <w:r w:rsidRPr="00623B39">
        <w:rPr>
          <w:rFonts w:ascii="Times New Roman" w:eastAsia="Times New Roman" w:hAnsi="Times New Roman" w:cs="Times New Roman"/>
          <w:kern w:val="0"/>
          <w:lang w:eastAsia="en-GB"/>
          <w14:ligatures w14:val="none"/>
        </w:rPr>
        <w:t>. doi:https://doi.org/10.4324/9781315363455.</w:t>
      </w:r>
    </w:p>
    <w:p w14:paraId="41F112CC"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PERC. (n.d.). </w:t>
      </w:r>
      <w:r w:rsidRPr="00623B39">
        <w:rPr>
          <w:rFonts w:ascii="Times New Roman" w:eastAsia="Times New Roman" w:hAnsi="Times New Roman" w:cs="Times New Roman"/>
          <w:i/>
          <w:iCs/>
          <w:kern w:val="0"/>
          <w:lang w:eastAsia="en-GB"/>
          <w14:ligatures w14:val="none"/>
        </w:rPr>
        <w:t>Free Market Environmentalism</w:t>
      </w:r>
      <w:r w:rsidRPr="00623B39">
        <w:rPr>
          <w:rFonts w:ascii="Times New Roman" w:eastAsia="Times New Roman" w:hAnsi="Times New Roman" w:cs="Times New Roman"/>
          <w:kern w:val="0"/>
          <w:lang w:eastAsia="en-GB"/>
          <w14:ligatures w14:val="none"/>
        </w:rPr>
        <w:t>. [online] Available at: https://perc.org/about/free-market-environmentalism/.</w:t>
      </w:r>
    </w:p>
    <w:p w14:paraId="586AF400"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Purg, D., Alenka, B. and Lalic (n.d.). </w:t>
      </w:r>
      <w:r w:rsidRPr="00623B39">
        <w:rPr>
          <w:rFonts w:ascii="Times New Roman" w:eastAsia="Times New Roman" w:hAnsi="Times New Roman" w:cs="Times New Roman"/>
          <w:i/>
          <w:iCs/>
          <w:kern w:val="0"/>
          <w:lang w:eastAsia="en-GB"/>
          <w14:ligatures w14:val="none"/>
        </w:rPr>
        <w:t>Development of Management Education in Central and Eastern Europe (1985-2016) 25 YEARS OF MARKET-BASED SOLUTIONS ARTICLE SERIES</w:t>
      </w:r>
      <w:r w:rsidRPr="00623B39">
        <w:rPr>
          <w:rFonts w:ascii="Times New Roman" w:eastAsia="Times New Roman" w:hAnsi="Times New Roman" w:cs="Times New Roman"/>
          <w:kern w:val="0"/>
          <w:lang w:eastAsia="en-GB"/>
          <w14:ligatures w14:val="none"/>
        </w:rPr>
        <w:t>. [online] Available at: https://wdi.umich.edu/wp-content/uploads/WDI-Development-of-Management-Deducation-spreads.pdf [Accessed 4 Mar. 2025].</w:t>
      </w:r>
    </w:p>
    <w:p w14:paraId="1A1F8050"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lastRenderedPageBreak/>
        <w:t xml:space="preserve">Regan, S. and Watkins, T. (2020). </w:t>
      </w:r>
      <w:r w:rsidRPr="00623B39">
        <w:rPr>
          <w:rFonts w:ascii="Times New Roman" w:eastAsia="Times New Roman" w:hAnsi="Times New Roman" w:cs="Times New Roman"/>
          <w:i/>
          <w:iCs/>
          <w:kern w:val="0"/>
          <w:lang w:eastAsia="en-GB"/>
          <w14:ligatures w14:val="none"/>
        </w:rPr>
        <w:t>The Free Market Approach to Environmental Conservation | Shawn Regan, Tate Watkins</w:t>
      </w:r>
      <w:r w:rsidRPr="00623B39">
        <w:rPr>
          <w:rFonts w:ascii="Times New Roman" w:eastAsia="Times New Roman" w:hAnsi="Times New Roman" w:cs="Times New Roman"/>
          <w:kern w:val="0"/>
          <w:lang w:eastAsia="en-GB"/>
          <w14:ligatures w14:val="none"/>
        </w:rPr>
        <w:t>. [online] fee.org. Available at: https://fee.org/articles/the-free-market-approach-to-environmental-conservation/.</w:t>
      </w:r>
    </w:p>
    <w:p w14:paraId="458A4E82" w14:textId="5646721E"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Takeda, L. (2025). </w:t>
      </w:r>
      <w:r w:rsidR="00513B7B" w:rsidRPr="00623B39">
        <w:rPr>
          <w:rFonts w:ascii="Times New Roman" w:eastAsia="Times New Roman" w:hAnsi="Times New Roman" w:cs="Times New Roman"/>
          <w:i/>
          <w:iCs/>
          <w:kern w:val="0"/>
          <w:lang w:eastAsia="en-GB"/>
          <w14:ligatures w14:val="none"/>
        </w:rPr>
        <w:t>"</w:t>
      </w:r>
      <w:r w:rsidRPr="00623B39">
        <w:rPr>
          <w:rFonts w:ascii="Times New Roman" w:eastAsia="Times New Roman" w:hAnsi="Times New Roman" w:cs="Times New Roman"/>
          <w:i/>
          <w:iCs/>
          <w:kern w:val="0"/>
          <w:lang w:eastAsia="en-GB"/>
          <w14:ligatures w14:val="none"/>
        </w:rPr>
        <w:t>The Emancipatory Potential of Ecological Economics: A Thermodynamic Perspective on Economics, Space and Sustainability</w:t>
      </w:r>
      <w:r w:rsidRPr="00623B39">
        <w:rPr>
          <w:rFonts w:ascii="Times New Roman" w:eastAsia="Times New Roman" w:hAnsi="Times New Roman" w:cs="Times New Roman"/>
          <w:kern w:val="0"/>
          <w:lang w:eastAsia="en-GB"/>
          <w14:ligatures w14:val="none"/>
        </w:rPr>
        <w:t>.</w:t>
      </w:r>
      <w:r w:rsidR="00513B7B" w:rsidRPr="00623B39">
        <w:rPr>
          <w:rFonts w:ascii="Times New Roman" w:eastAsia="Times New Roman" w:hAnsi="Times New Roman" w:cs="Times New Roman"/>
          <w:kern w:val="0"/>
          <w:lang w:eastAsia="en-GB"/>
          <w14:ligatures w14:val="none"/>
        </w:rPr>
        <w:t>" (“The Emancipatory Potential of Ecological Economics: A Thermodynamic ...”)</w:t>
      </w:r>
      <w:r w:rsidRPr="00623B39">
        <w:rPr>
          <w:rFonts w:ascii="Times New Roman" w:eastAsia="Times New Roman" w:hAnsi="Times New Roman" w:cs="Times New Roman"/>
          <w:kern w:val="0"/>
          <w:lang w:eastAsia="en-GB"/>
          <w14:ligatures w14:val="none"/>
        </w:rPr>
        <w:t xml:space="preserve"> [online] Available at: https://www.semanticscholar.org/paper/The-Emancipatory-Potential-of-Ecological-Economics%3A-Takeda/0ea3b1c56fbc5718199995bf9151dc348f7b9039 [Accessed 4 Mar. 2025].</w:t>
      </w:r>
    </w:p>
    <w:p w14:paraId="65F2BC13"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Turner, R. and Pearce, D. (n.d.). Available at: https://fore.yale.edu/files/economicsshortannotatedbiblio.pdf [Accessed 4 Mar. 2025].</w:t>
      </w:r>
    </w:p>
    <w:p w14:paraId="2C25FF7E" w14:textId="77777777" w:rsidR="00623B39" w:rsidRPr="00623B39" w:rsidRDefault="00623B39" w:rsidP="00623B39">
      <w:pPr>
        <w:spacing w:after="240" w:line="360" w:lineRule="auto"/>
        <w:rPr>
          <w:rFonts w:ascii="Times New Roman" w:eastAsia="Times New Roman" w:hAnsi="Times New Roman" w:cs="Times New Roman"/>
          <w:kern w:val="0"/>
          <w:lang w:eastAsia="en-GB"/>
          <w14:ligatures w14:val="none"/>
        </w:rPr>
      </w:pPr>
      <w:r w:rsidRPr="00623B39">
        <w:rPr>
          <w:rFonts w:ascii="Times New Roman" w:eastAsia="Times New Roman" w:hAnsi="Times New Roman" w:cs="Times New Roman"/>
          <w:kern w:val="0"/>
          <w:lang w:eastAsia="en-GB"/>
          <w14:ligatures w14:val="none"/>
        </w:rPr>
        <w:t xml:space="preserve">www.palgrave.com. (n.d.). </w:t>
      </w:r>
      <w:r w:rsidRPr="00623B39">
        <w:rPr>
          <w:rFonts w:ascii="Times New Roman" w:eastAsia="Times New Roman" w:hAnsi="Times New Roman" w:cs="Times New Roman"/>
          <w:i/>
          <w:iCs/>
          <w:kern w:val="0"/>
          <w:lang w:eastAsia="en-GB"/>
          <w14:ligatures w14:val="none"/>
        </w:rPr>
        <w:t>Palgrave</w:t>
      </w:r>
      <w:r w:rsidRPr="00623B39">
        <w:rPr>
          <w:rFonts w:ascii="Times New Roman" w:eastAsia="Times New Roman" w:hAnsi="Times New Roman" w:cs="Times New Roman"/>
          <w:kern w:val="0"/>
          <w:lang w:eastAsia="en-GB"/>
          <w14:ligatures w14:val="none"/>
        </w:rPr>
        <w:t>. [online] Available at: https://www.palgrave.com/gb.</w:t>
      </w:r>
    </w:p>
    <w:p w14:paraId="399E3568" w14:textId="77777777" w:rsidR="00623B39" w:rsidRDefault="00623B39"/>
    <w:sectPr w:rsidR="00623B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264"/>
    <w:rsid w:val="00090E79"/>
    <w:rsid w:val="000B4FF6"/>
    <w:rsid w:val="0024394A"/>
    <w:rsid w:val="0027558D"/>
    <w:rsid w:val="003F6409"/>
    <w:rsid w:val="00512043"/>
    <w:rsid w:val="00513B7B"/>
    <w:rsid w:val="00623B39"/>
    <w:rsid w:val="00664275"/>
    <w:rsid w:val="00870CE3"/>
    <w:rsid w:val="008C2264"/>
    <w:rsid w:val="008C60BF"/>
    <w:rsid w:val="0099769D"/>
    <w:rsid w:val="00A645F2"/>
    <w:rsid w:val="00AD18BD"/>
    <w:rsid w:val="00BB242A"/>
    <w:rsid w:val="00CA34A2"/>
    <w:rsid w:val="00D16B1D"/>
    <w:rsid w:val="00DB1726"/>
    <w:rsid w:val="00DD14A7"/>
    <w:rsid w:val="00FA6AB9"/>
    <w:rsid w:val="00FE0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5AD38"/>
  <w15:chartTrackingRefBased/>
  <w15:docId w15:val="{5E01A1FC-4FF3-4B0C-9B67-B8F5C23DF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2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2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2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2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2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2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2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2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2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2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2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2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2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2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264"/>
    <w:rPr>
      <w:rFonts w:eastAsiaTheme="majorEastAsia" w:cstheme="majorBidi"/>
      <w:color w:val="272727" w:themeColor="text1" w:themeTint="D8"/>
    </w:rPr>
  </w:style>
  <w:style w:type="paragraph" w:styleId="Title">
    <w:name w:val="Title"/>
    <w:basedOn w:val="Normal"/>
    <w:next w:val="Normal"/>
    <w:link w:val="TitleChar"/>
    <w:uiPriority w:val="10"/>
    <w:qFormat/>
    <w:rsid w:val="008C2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2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2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2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264"/>
    <w:pPr>
      <w:spacing w:before="160"/>
      <w:jc w:val="center"/>
    </w:pPr>
    <w:rPr>
      <w:i/>
      <w:iCs/>
      <w:color w:val="404040" w:themeColor="text1" w:themeTint="BF"/>
    </w:rPr>
  </w:style>
  <w:style w:type="character" w:customStyle="1" w:styleId="QuoteChar">
    <w:name w:val="Quote Char"/>
    <w:basedOn w:val="DefaultParagraphFont"/>
    <w:link w:val="Quote"/>
    <w:uiPriority w:val="29"/>
    <w:rsid w:val="008C2264"/>
    <w:rPr>
      <w:i/>
      <w:iCs/>
      <w:color w:val="404040" w:themeColor="text1" w:themeTint="BF"/>
    </w:rPr>
  </w:style>
  <w:style w:type="paragraph" w:styleId="ListParagraph">
    <w:name w:val="List Paragraph"/>
    <w:basedOn w:val="Normal"/>
    <w:uiPriority w:val="34"/>
    <w:qFormat/>
    <w:rsid w:val="008C2264"/>
    <w:pPr>
      <w:ind w:left="720"/>
      <w:contextualSpacing/>
    </w:pPr>
  </w:style>
  <w:style w:type="character" w:styleId="IntenseEmphasis">
    <w:name w:val="Intense Emphasis"/>
    <w:basedOn w:val="DefaultParagraphFont"/>
    <w:uiPriority w:val="21"/>
    <w:qFormat/>
    <w:rsid w:val="008C2264"/>
    <w:rPr>
      <w:i/>
      <w:iCs/>
      <w:color w:val="0F4761" w:themeColor="accent1" w:themeShade="BF"/>
    </w:rPr>
  </w:style>
  <w:style w:type="paragraph" w:styleId="IntenseQuote">
    <w:name w:val="Intense Quote"/>
    <w:basedOn w:val="Normal"/>
    <w:next w:val="Normal"/>
    <w:link w:val="IntenseQuoteChar"/>
    <w:uiPriority w:val="30"/>
    <w:qFormat/>
    <w:rsid w:val="008C2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264"/>
    <w:rPr>
      <w:i/>
      <w:iCs/>
      <w:color w:val="0F4761" w:themeColor="accent1" w:themeShade="BF"/>
    </w:rPr>
  </w:style>
  <w:style w:type="character" w:styleId="IntenseReference">
    <w:name w:val="Intense Reference"/>
    <w:basedOn w:val="DefaultParagraphFont"/>
    <w:uiPriority w:val="32"/>
    <w:qFormat/>
    <w:rsid w:val="008C2264"/>
    <w:rPr>
      <w:b/>
      <w:bCs/>
      <w:smallCaps/>
      <w:color w:val="0F4761" w:themeColor="accent1" w:themeShade="BF"/>
      <w:spacing w:val="5"/>
    </w:rPr>
  </w:style>
  <w:style w:type="paragraph" w:styleId="NormalWeb">
    <w:name w:val="Normal (Web)"/>
    <w:basedOn w:val="Normal"/>
    <w:uiPriority w:val="99"/>
    <w:semiHidden/>
    <w:unhideWhenUsed/>
    <w:rsid w:val="008C22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C22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975605">
      <w:bodyDiv w:val="1"/>
      <w:marLeft w:val="0"/>
      <w:marRight w:val="0"/>
      <w:marTop w:val="0"/>
      <w:marBottom w:val="0"/>
      <w:divBdr>
        <w:top w:val="none" w:sz="0" w:space="0" w:color="auto"/>
        <w:left w:val="none" w:sz="0" w:space="0" w:color="auto"/>
        <w:bottom w:val="none" w:sz="0" w:space="0" w:color="auto"/>
        <w:right w:val="none" w:sz="0" w:space="0" w:color="auto"/>
      </w:divBdr>
    </w:div>
    <w:div w:id="204951758">
      <w:bodyDiv w:val="1"/>
      <w:marLeft w:val="0"/>
      <w:marRight w:val="0"/>
      <w:marTop w:val="0"/>
      <w:marBottom w:val="0"/>
      <w:divBdr>
        <w:top w:val="none" w:sz="0" w:space="0" w:color="auto"/>
        <w:left w:val="none" w:sz="0" w:space="0" w:color="auto"/>
        <w:bottom w:val="none" w:sz="0" w:space="0" w:color="auto"/>
        <w:right w:val="none" w:sz="0" w:space="0" w:color="auto"/>
      </w:divBdr>
      <w:divsChild>
        <w:div w:id="1964077017">
          <w:marLeft w:val="0"/>
          <w:marRight w:val="0"/>
          <w:marTop w:val="0"/>
          <w:marBottom w:val="0"/>
          <w:divBdr>
            <w:top w:val="none" w:sz="0" w:space="0" w:color="auto"/>
            <w:left w:val="none" w:sz="0" w:space="0" w:color="auto"/>
            <w:bottom w:val="none" w:sz="0" w:space="0" w:color="auto"/>
            <w:right w:val="none" w:sz="0" w:space="0" w:color="auto"/>
          </w:divBdr>
        </w:div>
      </w:divsChild>
    </w:div>
    <w:div w:id="925261021">
      <w:bodyDiv w:val="1"/>
      <w:marLeft w:val="0"/>
      <w:marRight w:val="0"/>
      <w:marTop w:val="0"/>
      <w:marBottom w:val="0"/>
      <w:divBdr>
        <w:top w:val="none" w:sz="0" w:space="0" w:color="auto"/>
        <w:left w:val="none" w:sz="0" w:space="0" w:color="auto"/>
        <w:bottom w:val="none" w:sz="0" w:space="0" w:color="auto"/>
        <w:right w:val="none" w:sz="0" w:space="0" w:color="auto"/>
      </w:divBdr>
    </w:div>
    <w:div w:id="977220358">
      <w:bodyDiv w:val="1"/>
      <w:marLeft w:val="0"/>
      <w:marRight w:val="0"/>
      <w:marTop w:val="0"/>
      <w:marBottom w:val="0"/>
      <w:divBdr>
        <w:top w:val="none" w:sz="0" w:space="0" w:color="auto"/>
        <w:left w:val="none" w:sz="0" w:space="0" w:color="auto"/>
        <w:bottom w:val="none" w:sz="0" w:space="0" w:color="auto"/>
        <w:right w:val="none" w:sz="0" w:space="0" w:color="auto"/>
      </w:divBdr>
    </w:div>
    <w:div w:id="988099612">
      <w:bodyDiv w:val="1"/>
      <w:marLeft w:val="0"/>
      <w:marRight w:val="0"/>
      <w:marTop w:val="0"/>
      <w:marBottom w:val="0"/>
      <w:divBdr>
        <w:top w:val="none" w:sz="0" w:space="0" w:color="auto"/>
        <w:left w:val="none" w:sz="0" w:space="0" w:color="auto"/>
        <w:bottom w:val="none" w:sz="0" w:space="0" w:color="auto"/>
        <w:right w:val="none" w:sz="0" w:space="0" w:color="auto"/>
      </w:divBdr>
    </w:div>
    <w:div w:id="1229150481">
      <w:bodyDiv w:val="1"/>
      <w:marLeft w:val="0"/>
      <w:marRight w:val="0"/>
      <w:marTop w:val="0"/>
      <w:marBottom w:val="0"/>
      <w:divBdr>
        <w:top w:val="none" w:sz="0" w:space="0" w:color="auto"/>
        <w:left w:val="none" w:sz="0" w:space="0" w:color="auto"/>
        <w:bottom w:val="none" w:sz="0" w:space="0" w:color="auto"/>
        <w:right w:val="none" w:sz="0" w:space="0" w:color="auto"/>
      </w:divBdr>
    </w:div>
    <w:div w:id="1535197097">
      <w:bodyDiv w:val="1"/>
      <w:marLeft w:val="0"/>
      <w:marRight w:val="0"/>
      <w:marTop w:val="0"/>
      <w:marBottom w:val="0"/>
      <w:divBdr>
        <w:top w:val="none" w:sz="0" w:space="0" w:color="auto"/>
        <w:left w:val="none" w:sz="0" w:space="0" w:color="auto"/>
        <w:bottom w:val="none" w:sz="0" w:space="0" w:color="auto"/>
        <w:right w:val="none" w:sz="0" w:space="0" w:color="auto"/>
      </w:divBdr>
    </w:div>
    <w:div w:id="1773278508">
      <w:bodyDiv w:val="1"/>
      <w:marLeft w:val="0"/>
      <w:marRight w:val="0"/>
      <w:marTop w:val="0"/>
      <w:marBottom w:val="0"/>
      <w:divBdr>
        <w:top w:val="none" w:sz="0" w:space="0" w:color="auto"/>
        <w:left w:val="none" w:sz="0" w:space="0" w:color="auto"/>
        <w:bottom w:val="none" w:sz="0" w:space="0" w:color="auto"/>
        <w:right w:val="none" w:sz="0" w:space="0" w:color="auto"/>
      </w:divBdr>
    </w:div>
    <w:div w:id="200064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3456</Words>
  <Characters>21948</Characters>
  <Application>Microsoft Office Word</Application>
  <DocSecurity>0</DocSecurity>
  <Lines>414</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Sutherland</dc:creator>
  <cp:keywords/>
  <dc:description/>
  <cp:lastModifiedBy>Dru Sutherland</cp:lastModifiedBy>
  <cp:revision>2</cp:revision>
  <dcterms:created xsi:type="dcterms:W3CDTF">2025-03-16T21:46:00Z</dcterms:created>
  <dcterms:modified xsi:type="dcterms:W3CDTF">2025-03-16T21:46:00Z</dcterms:modified>
</cp:coreProperties>
</file>