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DCFC9B9" w14:textId="77777777" w:rsidR="00217F18" w:rsidRDefault="00217F18">
      <w:pPr>
        <w:spacing w:after="0" w:line="240" w:lineRule="auto"/>
      </w:pPr>
    </w:p>
    <w:p w14:paraId="777A7CD8" w14:textId="77777777" w:rsidR="00217F18" w:rsidRDefault="00000000">
      <w:pPr>
        <w:spacing w:after="160"/>
        <w:jc w:val="center"/>
      </w:pPr>
      <w:r>
        <w:rPr>
          <w:rFonts w:eastAsia="Times New Roman"/>
          <w:noProof/>
          <w:sz w:val="22"/>
        </w:rPr>
        <w:drawing>
          <wp:inline distT="0" distB="0" distL="0" distR="0" wp14:anchorId="3C716623" wp14:editId="65681C36">
            <wp:extent cx="1572768" cy="83481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6"/>
                    <a:stretch>
                      <a:fillRect/>
                    </a:stretch>
                  </pic:blipFill>
                  <pic:spPr>
                    <a:xfrm>
                      <a:off x="0" y="0"/>
                      <a:ext cx="1572768" cy="834811"/>
                    </a:xfrm>
                    <a:prstGeom prst="rect">
                      <a:avLst/>
                    </a:prstGeom>
                  </pic:spPr>
                </pic:pic>
              </a:graphicData>
            </a:graphic>
          </wp:inline>
        </w:drawing>
      </w:r>
    </w:p>
    <w:p w14:paraId="311464FA" w14:textId="77777777" w:rsidR="00217F18" w:rsidRDefault="00217F18">
      <w:pPr>
        <w:spacing w:before="40" w:after="360"/>
      </w:pPr>
    </w:p>
    <w:p w14:paraId="7672A40F" w14:textId="77777777" w:rsidR="00217F18" w:rsidRDefault="00000000">
      <w:pPr>
        <w:pStyle w:val="aa"/>
        <w:spacing w:after="280"/>
        <w:jc w:val="center"/>
      </w:pPr>
      <w:r>
        <w:rPr>
          <w:rFonts w:ascii="Times New Roman" w:eastAsia="Times New Roman" w:hAnsi="Times New Roman"/>
          <w:b/>
          <w:color w:val="1F4E79"/>
          <w:sz w:val="44"/>
        </w:rPr>
        <w:t>AI Risk Management in DHL:</w:t>
      </w:r>
    </w:p>
    <w:p w14:paraId="2E4C4B71" w14:textId="5F35C3CB" w:rsidR="00217F18" w:rsidRDefault="00000000" w:rsidP="004E154D">
      <w:pPr>
        <w:pStyle w:val="aa"/>
        <w:spacing w:after="280"/>
        <w:jc w:val="center"/>
      </w:pPr>
      <w:r>
        <w:rPr>
          <w:rFonts w:ascii="Times New Roman" w:eastAsia="Times New Roman" w:hAnsi="Times New Roman"/>
          <w:b/>
          <w:color w:val="1F4E79"/>
          <w:sz w:val="44"/>
        </w:rPr>
        <w:t>A UK and EU Report</w:t>
      </w:r>
    </w:p>
    <w:p w14:paraId="3FF6F947" w14:textId="77777777" w:rsidR="00217F18" w:rsidRDefault="00217F18">
      <w:pPr>
        <w:spacing w:before="40" w:after="360"/>
      </w:pPr>
    </w:p>
    <w:p w14:paraId="00C600B9" w14:textId="77777777" w:rsidR="00217F18" w:rsidRDefault="00000000">
      <w:pPr>
        <w:spacing w:after="360" w:line="240" w:lineRule="auto"/>
        <w:jc w:val="center"/>
      </w:pPr>
      <w:r>
        <w:rPr>
          <w:rFonts w:eastAsia="Times New Roman"/>
          <w:color w:val="5B9BD5"/>
          <w:sz w:val="28"/>
        </w:rPr>
        <w:t>YITONG LIU 2500637</w:t>
      </w:r>
    </w:p>
    <w:p w14:paraId="47166A36" w14:textId="77777777" w:rsidR="00217F18" w:rsidRDefault="00000000">
      <w:pPr>
        <w:spacing w:after="2360"/>
        <w:jc w:val="center"/>
      </w:pPr>
      <w:r>
        <w:rPr>
          <w:rFonts w:eastAsia="Times New Roman"/>
          <w:noProof/>
          <w:sz w:val="22"/>
        </w:rPr>
        <w:drawing>
          <wp:inline distT="0" distB="0" distL="0" distR="0" wp14:anchorId="660F391A" wp14:editId="710E9374">
            <wp:extent cx="822960" cy="51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7"/>
                    <a:stretch>
                      <a:fillRect/>
                    </a:stretch>
                  </pic:blipFill>
                  <pic:spPr>
                    <a:xfrm>
                      <a:off x="0" y="0"/>
                      <a:ext cx="822960" cy="517160"/>
                    </a:xfrm>
                    <a:prstGeom prst="rect">
                      <a:avLst/>
                    </a:prstGeom>
                  </pic:spPr>
                </pic:pic>
              </a:graphicData>
            </a:graphic>
          </wp:inline>
        </w:drawing>
      </w:r>
    </w:p>
    <w:p w14:paraId="1F61EB2C" w14:textId="77777777" w:rsidR="004E154D" w:rsidRDefault="004E154D">
      <w:pPr>
        <w:spacing w:after="2360"/>
        <w:jc w:val="center"/>
      </w:pPr>
    </w:p>
    <w:p w14:paraId="41F56B84" w14:textId="77777777" w:rsidR="00217F18" w:rsidRDefault="00000000">
      <w:pPr>
        <w:spacing w:after="80" w:line="240" w:lineRule="auto"/>
        <w:jc w:val="center"/>
      </w:pPr>
      <w:r>
        <w:rPr>
          <w:rFonts w:eastAsia="Times New Roman"/>
          <w:color w:val="5B9BD5"/>
          <w:sz w:val="28"/>
        </w:rPr>
        <w:t>20 JULY 2026</w:t>
      </w:r>
    </w:p>
    <w:p w14:paraId="7F2A7A58" w14:textId="77777777" w:rsidR="00217F18" w:rsidRDefault="00000000">
      <w:pPr>
        <w:spacing w:after="0" w:line="240" w:lineRule="auto"/>
        <w:jc w:val="center"/>
      </w:pPr>
      <w:r>
        <w:rPr>
          <w:rFonts w:eastAsia="Times New Roman"/>
          <w:color w:val="5B9BD5"/>
        </w:rPr>
        <w:t>UNIVERSITY OF WALES TRINITY SAINT DAVID</w:t>
      </w:r>
    </w:p>
    <w:p w14:paraId="1BA4888B" w14:textId="77777777" w:rsidR="00217F18" w:rsidRDefault="00000000">
      <w:r>
        <w:rPr>
          <w:rFonts w:eastAsia="Times New Roman"/>
          <w:sz w:val="22"/>
        </w:rPr>
        <w:br w:type="page"/>
      </w:r>
    </w:p>
    <w:p w14:paraId="1216F8AB" w14:textId="77777777" w:rsidR="00217F18" w:rsidRDefault="00000000">
      <w:pPr>
        <w:pStyle w:val="1"/>
        <w:spacing w:before="200" w:after="80" w:line="276" w:lineRule="auto"/>
      </w:pPr>
      <w:r>
        <w:rPr>
          <w:rFonts w:ascii="Times New Roman" w:eastAsia="Times New Roman" w:hAnsi="Times New Roman"/>
          <w:b/>
          <w:color w:val="1F4E79"/>
        </w:rPr>
        <w:lastRenderedPageBreak/>
        <w:t>Executive Summary</w:t>
      </w:r>
    </w:p>
    <w:p w14:paraId="164E6621" w14:textId="77777777" w:rsidR="00217F18" w:rsidRDefault="00000000">
      <w:pPr>
        <w:spacing w:after="100" w:line="317" w:lineRule="auto"/>
        <w:jc w:val="both"/>
      </w:pPr>
      <w:r>
        <w:rPr>
          <w:rFonts w:eastAsia="Times New Roman"/>
          <w:color w:val="000000"/>
          <w:sz w:val="23"/>
        </w:rPr>
        <w:t>This report advises DHL Group on the implications of rapid artificial intelligence (AI) adoption for risk management, with specific comparison between the United Kingdom and the European Union. DHL is an appropriate case because its Strategy 2030 makes digitalisation, automation and AI central to future growth. The company reported Group revenue of EUR 82.855 billion and EBIT of EUR 6.103 billion for 2025, while also accelerating agentic AI, robotics and warehouse automation across a global network (DHL Group, 2026). That combination creates a strategic tension: AI can improve productivity, customer responsiveness and operational resilience, but it also increases exposure to data governance, regulatory, ethical, cybersecurity and trust risks.</w:t>
      </w:r>
    </w:p>
    <w:p w14:paraId="58B0C7B2" w14:textId="77777777" w:rsidR="00217F18" w:rsidRDefault="00000000">
      <w:pPr>
        <w:spacing w:after="100" w:line="317" w:lineRule="auto"/>
        <w:jc w:val="both"/>
      </w:pPr>
      <w:r>
        <w:rPr>
          <w:rFonts w:eastAsia="Times New Roman"/>
          <w:color w:val="000000"/>
          <w:sz w:val="23"/>
        </w:rPr>
        <w:t>The report finds that DHL's AI risk profile is not simply a technology issue. It is a governance issue created by the interaction of three forces. First, DHL's logistics model depends on large volumes of personal, shipment, route, customer and operational data. Secondly, its AI systems increasingly shape communication, scheduling, warehouse handling, customer service and potentially prioritisation decisions. Thirdly, regulatory systems are diverging. The EU AI Act creates a formal risk-based framework with specific duties for providers and deployers, while the UK continues to favour a context-specific, sector-led and pro-innovation model supported by regulators, ICO guidance and sandbox experimentation.</w:t>
      </w:r>
    </w:p>
    <w:p w14:paraId="10E9CAFD" w14:textId="77777777" w:rsidR="00217F18" w:rsidRDefault="00000000">
      <w:pPr>
        <w:spacing w:after="100" w:line="317" w:lineRule="auto"/>
        <w:jc w:val="both"/>
      </w:pPr>
      <w:r>
        <w:rPr>
          <w:rFonts w:eastAsia="Times New Roman"/>
          <w:color w:val="000000"/>
          <w:sz w:val="23"/>
        </w:rPr>
        <w:t>The recommended response is a Group AI Risk and Trust Standard governed through board-level oversight. The model does not treat innovation and control as opposites; it classifies AI use cases by impact, mandates data protection impact assessments and AI impact assessments for high-risk systems, assigns clear risk owners, strengthens vendor and model oversight, and reports quarterly through a dedicated AI Risk and Trust dashboard. This allows DHL to preserve speed in low-risk automation while raising assurance for customer-facing, employee-affecting, cross-border or safety-relevant AI.</w:t>
      </w:r>
    </w:p>
    <w:p w14:paraId="741CFEC9" w14:textId="77777777" w:rsidR="00217F18" w:rsidRDefault="00000000">
      <w:pPr>
        <w:spacing w:after="100" w:line="317" w:lineRule="auto"/>
        <w:jc w:val="both"/>
      </w:pPr>
      <w:r>
        <w:rPr>
          <w:rFonts w:eastAsia="Times New Roman"/>
          <w:color w:val="000000"/>
          <w:sz w:val="23"/>
        </w:rPr>
        <w:t>The implementation plan is phased. In the first 90 days, DHL would inventory and classify AI systems in the UK and EU, freeze unapproved high-impact deployments, and create a board-level AI dashboard. Within 12 months, DPIA/AI impact assessment gates, supplier controls, customer transparency standards and human oversight rules would be embedded. Between years one and three, DHL would operate a formal AI assurance programme, use independent audits for high-impact AI, and align AI governance with enterprise risk management, cybersecurity and sustainability reporting. This approach is more adaptable to regulatory and operational change than a static compliance checklist.</w:t>
      </w:r>
    </w:p>
    <w:p w14:paraId="17674BAD" w14:textId="77777777" w:rsidR="00217F18" w:rsidRDefault="00000000">
      <w:r>
        <w:rPr>
          <w:rFonts w:eastAsia="Times New Roman"/>
          <w:sz w:val="22"/>
        </w:rPr>
        <w:br w:type="page"/>
      </w:r>
    </w:p>
    <w:p w14:paraId="70CED97A" w14:textId="77777777" w:rsidR="00217F18" w:rsidRDefault="00000000">
      <w:pPr>
        <w:pStyle w:val="1"/>
        <w:spacing w:before="200" w:after="80" w:line="276" w:lineRule="auto"/>
      </w:pPr>
      <w:r>
        <w:rPr>
          <w:rFonts w:ascii="Times New Roman" w:eastAsia="Times New Roman" w:hAnsi="Times New Roman"/>
          <w:b/>
          <w:color w:val="1F4E79"/>
        </w:rPr>
        <w:lastRenderedPageBreak/>
        <w:t>Table of Contents</w:t>
      </w:r>
    </w:p>
    <w:p w14:paraId="4A7A0EE9" w14:textId="77777777" w:rsidR="00217F18" w:rsidRDefault="00000000">
      <w:pPr>
        <w:tabs>
          <w:tab w:val="right" w:leader="dot" w:pos="8856"/>
        </w:tabs>
        <w:spacing w:after="40"/>
      </w:pPr>
      <w:r>
        <w:rPr>
          <w:rFonts w:eastAsia="Times New Roman"/>
          <w:sz w:val="22"/>
        </w:rPr>
        <w:t>1. Introduction</w:t>
      </w:r>
      <w:r>
        <w:rPr>
          <w:rFonts w:eastAsia="Times New Roman"/>
          <w:sz w:val="22"/>
        </w:rPr>
        <w:tab/>
        <w:t>4</w:t>
      </w:r>
    </w:p>
    <w:p w14:paraId="479AE892" w14:textId="77777777" w:rsidR="00217F18" w:rsidRDefault="00000000">
      <w:pPr>
        <w:tabs>
          <w:tab w:val="right" w:leader="dot" w:pos="8856"/>
        </w:tabs>
        <w:spacing w:after="40"/>
      </w:pPr>
      <w:r>
        <w:rPr>
          <w:rFonts w:eastAsia="Times New Roman"/>
          <w:sz w:val="22"/>
        </w:rPr>
        <w:t>2. Main Findings</w:t>
      </w:r>
      <w:r>
        <w:rPr>
          <w:rFonts w:eastAsia="Times New Roman"/>
          <w:sz w:val="22"/>
        </w:rPr>
        <w:tab/>
        <w:t>5</w:t>
      </w:r>
    </w:p>
    <w:p w14:paraId="1CD90068" w14:textId="77777777" w:rsidR="00217F18" w:rsidRDefault="00000000">
      <w:pPr>
        <w:tabs>
          <w:tab w:val="right" w:leader="dot" w:pos="8856"/>
        </w:tabs>
        <w:spacing w:after="40"/>
      </w:pPr>
      <w:r>
        <w:rPr>
          <w:rFonts w:eastAsia="Times New Roman"/>
          <w:sz w:val="22"/>
        </w:rPr>
        <w:t>2.1 DHL Context and Evidence Base</w:t>
      </w:r>
      <w:r>
        <w:rPr>
          <w:rFonts w:eastAsia="Times New Roman"/>
          <w:sz w:val="22"/>
        </w:rPr>
        <w:tab/>
        <w:t>5</w:t>
      </w:r>
    </w:p>
    <w:p w14:paraId="4BF167AD" w14:textId="77777777" w:rsidR="00217F18" w:rsidRDefault="00000000">
      <w:pPr>
        <w:tabs>
          <w:tab w:val="right" w:leader="dot" w:pos="8856"/>
        </w:tabs>
        <w:spacing w:after="40"/>
        <w:ind w:left="346"/>
      </w:pPr>
      <w:r>
        <w:rPr>
          <w:rFonts w:eastAsia="Times New Roman"/>
          <w:sz w:val="22"/>
        </w:rPr>
        <w:t>2.2 UK and EU External Environment: PESTLE Analysis</w:t>
      </w:r>
      <w:r>
        <w:rPr>
          <w:rFonts w:eastAsia="Times New Roman"/>
          <w:sz w:val="22"/>
        </w:rPr>
        <w:tab/>
        <w:t>7</w:t>
      </w:r>
    </w:p>
    <w:p w14:paraId="07234625" w14:textId="77777777" w:rsidR="00217F18" w:rsidRDefault="00000000">
      <w:pPr>
        <w:tabs>
          <w:tab w:val="right" w:leader="dot" w:pos="8856"/>
        </w:tabs>
        <w:spacing w:after="40"/>
        <w:ind w:left="346"/>
      </w:pPr>
      <w:r>
        <w:rPr>
          <w:rFonts w:eastAsia="Times New Roman"/>
          <w:sz w:val="22"/>
        </w:rPr>
        <w:t>2.2.1 Political and regulatory change</w:t>
      </w:r>
      <w:r>
        <w:rPr>
          <w:rFonts w:eastAsia="Times New Roman"/>
          <w:sz w:val="22"/>
        </w:rPr>
        <w:tab/>
        <w:t>7</w:t>
      </w:r>
    </w:p>
    <w:p w14:paraId="6F46BB4D" w14:textId="77777777" w:rsidR="00217F18" w:rsidRDefault="00000000">
      <w:pPr>
        <w:tabs>
          <w:tab w:val="right" w:leader="dot" w:pos="8856"/>
        </w:tabs>
        <w:spacing w:after="40"/>
        <w:ind w:left="346"/>
      </w:pPr>
      <w:r>
        <w:rPr>
          <w:rFonts w:eastAsia="Times New Roman"/>
          <w:sz w:val="22"/>
        </w:rPr>
        <w:t>2.2.2 International economic environment and macroeconomic policy</w:t>
      </w:r>
      <w:r>
        <w:rPr>
          <w:rFonts w:eastAsia="Times New Roman"/>
          <w:sz w:val="22"/>
        </w:rPr>
        <w:tab/>
        <w:t>8</w:t>
      </w:r>
    </w:p>
    <w:p w14:paraId="078C6C37" w14:textId="77777777" w:rsidR="00217F18" w:rsidRDefault="00000000">
      <w:pPr>
        <w:tabs>
          <w:tab w:val="right" w:leader="dot" w:pos="8856"/>
        </w:tabs>
        <w:spacing w:after="40"/>
        <w:ind w:left="346"/>
      </w:pPr>
      <w:r>
        <w:rPr>
          <w:rFonts w:eastAsia="Times New Roman"/>
          <w:sz w:val="22"/>
        </w:rPr>
        <w:t>2.2.3 Social and ethical factors</w:t>
      </w:r>
      <w:r>
        <w:rPr>
          <w:rFonts w:eastAsia="Times New Roman"/>
          <w:sz w:val="22"/>
        </w:rPr>
        <w:tab/>
        <w:t>8</w:t>
      </w:r>
    </w:p>
    <w:p w14:paraId="31203B65" w14:textId="77777777" w:rsidR="00217F18" w:rsidRDefault="00000000">
      <w:pPr>
        <w:tabs>
          <w:tab w:val="right" w:leader="dot" w:pos="8856"/>
        </w:tabs>
        <w:spacing w:after="40"/>
      </w:pPr>
      <w:r>
        <w:rPr>
          <w:rFonts w:eastAsia="Times New Roman"/>
          <w:sz w:val="22"/>
        </w:rPr>
        <w:t>2.2.4 Technological and environmental factors</w:t>
      </w:r>
      <w:r>
        <w:rPr>
          <w:rFonts w:eastAsia="Times New Roman"/>
          <w:sz w:val="22"/>
        </w:rPr>
        <w:tab/>
        <w:t>9</w:t>
      </w:r>
    </w:p>
    <w:p w14:paraId="3C935B1F" w14:textId="77777777" w:rsidR="00217F18" w:rsidRDefault="00000000">
      <w:pPr>
        <w:tabs>
          <w:tab w:val="right" w:leader="dot" w:pos="8856"/>
        </w:tabs>
        <w:spacing w:after="40"/>
        <w:ind w:left="346"/>
      </w:pPr>
      <w:r>
        <w:rPr>
          <w:rFonts w:eastAsia="Times New Roman"/>
          <w:sz w:val="22"/>
        </w:rPr>
        <w:t>2.3 AI Risk Analysis for DHL</w:t>
      </w:r>
      <w:r>
        <w:rPr>
          <w:rFonts w:eastAsia="Times New Roman"/>
          <w:sz w:val="22"/>
        </w:rPr>
        <w:tab/>
        <w:t>10</w:t>
      </w:r>
    </w:p>
    <w:p w14:paraId="7C1B8E66" w14:textId="77777777" w:rsidR="00217F18" w:rsidRDefault="00000000">
      <w:pPr>
        <w:tabs>
          <w:tab w:val="right" w:leader="dot" w:pos="8856"/>
        </w:tabs>
        <w:spacing w:after="40"/>
        <w:ind w:left="346"/>
      </w:pPr>
      <w:r>
        <w:rPr>
          <w:rFonts w:eastAsia="Times New Roman"/>
          <w:sz w:val="22"/>
        </w:rPr>
        <w:t>2.3.1 Data governance risk</w:t>
      </w:r>
      <w:r>
        <w:rPr>
          <w:rFonts w:eastAsia="Times New Roman"/>
          <w:sz w:val="22"/>
        </w:rPr>
        <w:tab/>
        <w:t>10</w:t>
      </w:r>
    </w:p>
    <w:p w14:paraId="4832CC9A" w14:textId="77777777" w:rsidR="00217F18" w:rsidRDefault="00000000">
      <w:pPr>
        <w:tabs>
          <w:tab w:val="right" w:leader="dot" w:pos="8856"/>
        </w:tabs>
        <w:spacing w:after="40"/>
        <w:ind w:left="346"/>
      </w:pPr>
      <w:r>
        <w:rPr>
          <w:rFonts w:eastAsia="Times New Roman"/>
          <w:sz w:val="22"/>
        </w:rPr>
        <w:t>2.3.2 Ethical AI and decision legitimacy</w:t>
      </w:r>
      <w:r>
        <w:rPr>
          <w:rFonts w:eastAsia="Times New Roman"/>
          <w:sz w:val="22"/>
        </w:rPr>
        <w:tab/>
        <w:t>11</w:t>
      </w:r>
    </w:p>
    <w:p w14:paraId="5FDFF8D9" w14:textId="77777777" w:rsidR="00217F18" w:rsidRDefault="00000000">
      <w:pPr>
        <w:tabs>
          <w:tab w:val="right" w:leader="dot" w:pos="8856"/>
        </w:tabs>
        <w:spacing w:after="40"/>
        <w:ind w:left="346"/>
      </w:pPr>
      <w:r>
        <w:rPr>
          <w:rFonts w:eastAsia="Times New Roman"/>
          <w:sz w:val="22"/>
        </w:rPr>
        <w:t>2.3.3 Regulatory compliance risk</w:t>
      </w:r>
      <w:r>
        <w:rPr>
          <w:rFonts w:eastAsia="Times New Roman"/>
          <w:sz w:val="22"/>
        </w:rPr>
        <w:tab/>
        <w:t>11</w:t>
      </w:r>
    </w:p>
    <w:p w14:paraId="2E5A92EC" w14:textId="77777777" w:rsidR="00217F18" w:rsidRDefault="00000000">
      <w:pPr>
        <w:tabs>
          <w:tab w:val="right" w:leader="dot" w:pos="8856"/>
        </w:tabs>
        <w:spacing w:after="40"/>
        <w:ind w:left="346"/>
      </w:pPr>
      <w:r>
        <w:rPr>
          <w:rFonts w:eastAsia="Times New Roman"/>
          <w:sz w:val="22"/>
        </w:rPr>
        <w:t>2.3.4 Customer trust risk</w:t>
      </w:r>
      <w:r>
        <w:rPr>
          <w:rFonts w:eastAsia="Times New Roman"/>
          <w:sz w:val="22"/>
        </w:rPr>
        <w:tab/>
        <w:t>12</w:t>
      </w:r>
    </w:p>
    <w:p w14:paraId="63C32566" w14:textId="77777777" w:rsidR="00217F18" w:rsidRDefault="00000000">
      <w:pPr>
        <w:tabs>
          <w:tab w:val="right" w:leader="dot" w:pos="8856"/>
        </w:tabs>
        <w:spacing w:after="40"/>
      </w:pPr>
      <w:r>
        <w:rPr>
          <w:rFonts w:eastAsia="Times New Roman"/>
          <w:sz w:val="22"/>
        </w:rPr>
        <w:t>2.3.5 Interdependence of risks</w:t>
      </w:r>
      <w:r>
        <w:rPr>
          <w:rFonts w:eastAsia="Times New Roman"/>
          <w:sz w:val="22"/>
        </w:rPr>
        <w:tab/>
        <w:t>12</w:t>
      </w:r>
    </w:p>
    <w:p w14:paraId="507EA6B3" w14:textId="77777777" w:rsidR="00217F18" w:rsidRDefault="00000000">
      <w:pPr>
        <w:tabs>
          <w:tab w:val="right" w:leader="dot" w:pos="8856"/>
        </w:tabs>
        <w:spacing w:after="40"/>
      </w:pPr>
      <w:r>
        <w:rPr>
          <w:rFonts w:eastAsia="Times New Roman"/>
          <w:sz w:val="22"/>
        </w:rPr>
        <w:t>2.4 Governance Options and Recommended Model</w:t>
      </w:r>
      <w:r>
        <w:rPr>
          <w:rFonts w:eastAsia="Times New Roman"/>
          <w:sz w:val="22"/>
        </w:rPr>
        <w:tab/>
        <w:t>12</w:t>
      </w:r>
    </w:p>
    <w:p w14:paraId="25CE0968" w14:textId="77777777" w:rsidR="00217F18" w:rsidRDefault="00000000">
      <w:pPr>
        <w:tabs>
          <w:tab w:val="right" w:leader="dot" w:pos="8856"/>
        </w:tabs>
        <w:spacing w:after="40"/>
        <w:ind w:left="346"/>
      </w:pPr>
      <w:r>
        <w:rPr>
          <w:rFonts w:eastAsia="Times New Roman"/>
          <w:sz w:val="22"/>
        </w:rPr>
        <w:t>2.5 SMART Implementation Plan</w:t>
      </w:r>
      <w:r>
        <w:rPr>
          <w:rFonts w:eastAsia="Times New Roman"/>
          <w:sz w:val="22"/>
        </w:rPr>
        <w:tab/>
        <w:t>15</w:t>
      </w:r>
    </w:p>
    <w:p w14:paraId="6C4B8F3B" w14:textId="77777777" w:rsidR="00217F18" w:rsidRDefault="00000000">
      <w:pPr>
        <w:tabs>
          <w:tab w:val="right" w:leader="dot" w:pos="8856"/>
        </w:tabs>
        <w:spacing w:after="40"/>
        <w:ind w:left="346"/>
      </w:pPr>
      <w:r>
        <w:rPr>
          <w:rFonts w:eastAsia="Times New Roman"/>
          <w:sz w:val="22"/>
        </w:rPr>
        <w:t>2.5.1 Monitoring and success measures</w:t>
      </w:r>
      <w:r>
        <w:rPr>
          <w:rFonts w:eastAsia="Times New Roman"/>
          <w:sz w:val="22"/>
        </w:rPr>
        <w:tab/>
        <w:t>15</w:t>
      </w:r>
    </w:p>
    <w:p w14:paraId="29C2A9F8" w14:textId="77777777" w:rsidR="00217F18" w:rsidRDefault="00000000">
      <w:pPr>
        <w:tabs>
          <w:tab w:val="right" w:leader="dot" w:pos="8856"/>
        </w:tabs>
        <w:spacing w:after="40"/>
      </w:pPr>
      <w:r>
        <w:rPr>
          <w:rFonts w:eastAsia="Times New Roman"/>
          <w:sz w:val="22"/>
        </w:rPr>
        <w:t>2.5.2 Limitations and implementation risks</w:t>
      </w:r>
      <w:r>
        <w:rPr>
          <w:rFonts w:eastAsia="Times New Roman"/>
          <w:sz w:val="22"/>
        </w:rPr>
        <w:tab/>
        <w:t>16</w:t>
      </w:r>
    </w:p>
    <w:p w14:paraId="2BFF5959" w14:textId="77777777" w:rsidR="00217F18" w:rsidRDefault="00000000">
      <w:pPr>
        <w:tabs>
          <w:tab w:val="right" w:leader="dot" w:pos="8856"/>
        </w:tabs>
        <w:spacing w:after="40"/>
      </w:pPr>
      <w:r>
        <w:rPr>
          <w:rFonts w:eastAsia="Times New Roman"/>
          <w:sz w:val="22"/>
        </w:rPr>
        <w:t>3. Conclusion</w:t>
      </w:r>
      <w:r>
        <w:rPr>
          <w:rFonts w:eastAsia="Times New Roman"/>
          <w:sz w:val="22"/>
        </w:rPr>
        <w:tab/>
        <w:t>16</w:t>
      </w:r>
    </w:p>
    <w:p w14:paraId="7E138564" w14:textId="77777777" w:rsidR="00217F18" w:rsidRDefault="00000000">
      <w:r>
        <w:rPr>
          <w:rFonts w:eastAsia="Times New Roman"/>
          <w:sz w:val="22"/>
        </w:rPr>
        <w:t>Bibliography</w:t>
      </w:r>
      <w:r>
        <w:rPr>
          <w:rFonts w:eastAsia="Times New Roman"/>
          <w:sz w:val="22"/>
        </w:rPr>
        <w:tab/>
        <w:t>18</w:t>
      </w:r>
    </w:p>
    <w:p w14:paraId="4DF15A45" w14:textId="77777777" w:rsidR="00217F18" w:rsidRDefault="00000000">
      <w:r>
        <w:rPr>
          <w:rFonts w:eastAsia="Times New Roman"/>
          <w:sz w:val="22"/>
        </w:rPr>
        <w:t>Appendices</w:t>
      </w:r>
      <w:r>
        <w:rPr>
          <w:rFonts w:eastAsia="Times New Roman"/>
          <w:sz w:val="22"/>
        </w:rPr>
        <w:tab/>
        <w:t>20</w:t>
      </w:r>
    </w:p>
    <w:p w14:paraId="3F20D62B" w14:textId="77777777" w:rsidR="00217F18" w:rsidRDefault="00000000">
      <w:r>
        <w:rPr>
          <w:rFonts w:eastAsia="Times New Roman"/>
          <w:sz w:val="22"/>
        </w:rPr>
        <w:br w:type="page"/>
      </w:r>
    </w:p>
    <w:p w14:paraId="69C505F0" w14:textId="77777777" w:rsidR="00217F18" w:rsidRDefault="00000000">
      <w:pPr>
        <w:pStyle w:val="1"/>
        <w:spacing w:before="200" w:after="80" w:line="276" w:lineRule="auto"/>
      </w:pPr>
      <w:r>
        <w:rPr>
          <w:rFonts w:ascii="Times New Roman" w:eastAsia="Times New Roman" w:hAnsi="Times New Roman"/>
          <w:b/>
          <w:color w:val="1F4E79"/>
        </w:rPr>
        <w:lastRenderedPageBreak/>
        <w:t>1. Introduction</w:t>
      </w:r>
    </w:p>
    <w:p w14:paraId="4681AB9E" w14:textId="77777777" w:rsidR="00217F18" w:rsidRDefault="00000000">
      <w:pPr>
        <w:jc w:val="both"/>
      </w:pPr>
      <w:r>
        <w:rPr>
          <w:rFonts w:eastAsia="Times New Roman"/>
          <w:color w:val="000000"/>
        </w:rPr>
        <w:t>Artificial intelligence has moved from specialist experimentation into the operating core of global business. For logistics firms this shift is especially significant. AI is increasingly used to forecast demand, optimise routes, automate customer communication, monitor warehouses, support workforce scheduling and identify exceptions in supply chains. The opportunity is material: logistics is a scale business where small improvements in speed, asset utilisation and exception handling can create significant value. The risk is comparable: AI systems rely on large datasets, interact with customers and employees, and may create decisions that are difficult to explain, challenge or audit. For a multinational company, this creates a strategic governance problem rather than a narrow IT problem.</w:t>
      </w:r>
    </w:p>
    <w:p w14:paraId="77A1A7A8" w14:textId="77777777" w:rsidR="00217F18" w:rsidRDefault="00000000">
      <w:pPr>
        <w:jc w:val="both"/>
      </w:pPr>
      <w:r>
        <w:rPr>
          <w:rFonts w:eastAsia="Times New Roman"/>
          <w:color w:val="000000"/>
        </w:rPr>
        <w:t>This report advises DHL Group on how to manage AI risk in a way that protects customer trust while preserving competitive advantage. DHL is selected because it is not merely exposed to AI; it is actively embedding AI and automation into its strategic model. Its Strategy 2030 identifies digitalisation as a growth driver, while the 2025 Annual Report describes agentic AI as part of a move towards smarter and more resilient operations (DHL Group, 2026; DHL Group, n.d.). DHL's scale and cross-border footprint also make the organisation a useful test case for the Global Business Challenges module: it operates in a macro-environment shaped by geoeconomic confrontation, regulatory divergence, supply chain fragility, labour cost pressure, climate transition and rapid technological change.</w:t>
      </w:r>
    </w:p>
    <w:p w14:paraId="0FA9E161" w14:textId="77777777" w:rsidR="00217F18" w:rsidRDefault="00000000">
      <w:pPr>
        <w:jc w:val="both"/>
      </w:pPr>
      <w:r>
        <w:t>The report compares the United Kingdom and the European Union because they are commercially connected but institutionally distinct. The EU has adopted Regulation (EU) 2024/1689, commonly known as the AI Act (European Parliament and Council of the European Union, 2024), creating a comprehensive, risk-based AI framework. The UK has retained a principles-based, sector-led approach, seeking to encourage innovation while using existing regulators and targeted interventions to manage risk (Department for Science, Innovation and Technology, 2023, 2024, 2025). For DHL, this divergence creates both a compliance challenge and a strategic choice: should the company adopt a single high internal standard, manage each jurisdiction separately, or design a global baseline with regional overlays?</w:t>
      </w:r>
    </w:p>
    <w:p w14:paraId="0337F7C5" w14:textId="77777777" w:rsidR="00217F18" w:rsidRDefault="00000000">
      <w:pPr>
        <w:jc w:val="both"/>
      </w:pPr>
      <w:r>
        <w:rPr>
          <w:rFonts w:eastAsia="Times New Roman"/>
          <w:sz w:val="22"/>
        </w:rPr>
        <w:t xml:space="preserve">The report uses secondary research, including DHL annual and strategy materials, UK and EU policy documents, regulator guidance, AI risk frameworks and academic literature on AI governance, algorithmic management, trust and corporate governance. The Main Findings section is organised to match the assignment brief: it first establishes DHL's evidence base, then assesses political, </w:t>
      </w:r>
      <w:r>
        <w:rPr>
          <w:rFonts w:eastAsia="Times New Roman"/>
          <w:sz w:val="22"/>
        </w:rPr>
        <w:lastRenderedPageBreak/>
        <w:t>technological, regulatory and macroeconomic pressures through PESTLE, evaluates AI risks across data governance, ethical use, regulatory compliance and customer trust, and finally converts the analysis into senior-level recommendations and an implementation plan. The output is therefore intended for client advice rather than a descriptive essay.</w:t>
      </w:r>
    </w:p>
    <w:p w14:paraId="1528F685" w14:textId="77777777" w:rsidR="00217F18" w:rsidRDefault="00000000">
      <w:pPr>
        <w:jc w:val="both"/>
      </w:pPr>
      <w:r>
        <w:rPr>
          <w:rFonts w:eastAsia="Times New Roman"/>
          <w:color w:val="000000"/>
        </w:rPr>
        <w:t>The central argument is that AI governance is not only a defensive compliance cost. If designed well, AI risk management can become a source of strategic resilience. A trusted governance model can allow DHL to scale automation faster than competitors because customers, regulators and employees can have confidence that AI is controlled, explainable, monitored and aligned with business purpose. Conversely, poorly governed AI could create litigation, regulatory delay, operational disruption, employee resistance and loss of trust. The issue for DHL is not whether to adopt AI, but how to govern adoption with sufficient discipline to make innovation sustainable.</w:t>
      </w:r>
    </w:p>
    <w:p w14:paraId="5F85F767" w14:textId="77777777" w:rsidR="00217F18" w:rsidRDefault="00000000">
      <w:pPr>
        <w:pStyle w:val="1"/>
        <w:spacing w:before="200" w:after="80" w:line="276" w:lineRule="auto"/>
      </w:pPr>
      <w:r>
        <w:rPr>
          <w:rFonts w:ascii="Times New Roman" w:eastAsia="Times New Roman" w:hAnsi="Times New Roman"/>
          <w:b/>
          <w:color w:val="1F4E79"/>
        </w:rPr>
        <w:t>2. Main Findings</w:t>
      </w:r>
    </w:p>
    <w:p w14:paraId="317105E8" w14:textId="77777777" w:rsidR="00217F18" w:rsidRDefault="00000000">
      <w:pPr>
        <w:pStyle w:val="21"/>
      </w:pPr>
      <w:r>
        <w:rPr>
          <w:rFonts w:ascii="Times New Roman" w:eastAsia="Times New Roman" w:hAnsi="Times New Roman"/>
          <w:b/>
          <w:color w:val="1F4E79"/>
          <w:sz w:val="26"/>
        </w:rPr>
        <w:t>2.1 DHL Context and Evidence Base</w:t>
      </w:r>
    </w:p>
    <w:p w14:paraId="57FC66CD" w14:textId="77777777" w:rsidR="00217F18" w:rsidRDefault="00000000">
      <w:pPr>
        <w:jc w:val="both"/>
      </w:pPr>
      <w:r>
        <w:rPr>
          <w:rFonts w:eastAsia="Times New Roman"/>
          <w:sz w:val="22"/>
        </w:rPr>
        <w:t>DHL Group is a global logistics provider operating across Express, Global Forwarding, Freight, Supply Chain, eCommerce and Post &amp; Parcel Germany. Its 2025 Annual Report shows the scale of the organisation: Group revenue was EUR 82.855 billion, Group EBIT EUR 6.103 billion and free cash flow excluding M&amp;A reached EUR 3.2 billion (DHL Group, 2026). DHL also reported that 2025 revenue was affected by currency effects and lower volumes on routes to the United States, which shows that exchange rates, trade flows and macroeconomic policy can directly affect logistics performance (DHL Group, 2026). Scale matters for AI risk because a governance weakness in one market or division can be amplified across many customers, routes, warehouses and technology vendors. A late, lost or misdirected shipment is not only an operational failure; for healthcare, manufacturing, e-commerce and cross-border trade customers it may become a business continuity issue.</w:t>
      </w:r>
    </w:p>
    <w:p w14:paraId="0900B84B" w14:textId="77777777" w:rsidR="00217F18" w:rsidRDefault="00000000">
      <w:pPr>
        <w:jc w:val="both"/>
      </w:pPr>
      <w:r>
        <w:rPr>
          <w:rFonts w:eastAsia="Times New Roman"/>
          <w:sz w:val="22"/>
        </w:rPr>
        <w:t xml:space="preserve">DHL's AI exposure is no longer hypothetical. In its 2025 reporting, DHL describes 'Digital by Default' as a cornerstone of Strategy 2030 and states that agentic AI is being used to optimise communication processes, enhance customer experience and unlock productivity gains across the global network (DHL Group, 2026). A concrete example is DHL Supply Chain's 2025 HappyRobot partnership, where AI agents support appointment scheduling, driver follow-up calls and high-priority warehouse coordination, targeting hundreds of thousands of emails and millions of voice minutes annually (DHL Group, 2025b). This is strategically attractive because routine communication at DHL's scale creates real cost and service pressure. The counter-risk is equally practical: if an AI agent </w:t>
      </w:r>
      <w:r>
        <w:rPr>
          <w:rFonts w:eastAsia="Times New Roman"/>
          <w:sz w:val="22"/>
        </w:rPr>
        <w:lastRenderedPageBreak/>
        <w:t>gives a wrong delivery promise, mishandles a customs exception or fails to escalate a vulnerable customer, efficiency becomes a trust and liability problem.</w:t>
      </w:r>
    </w:p>
    <w:p w14:paraId="7BAAC559" w14:textId="77777777" w:rsidR="00217F18" w:rsidRDefault="00000000">
      <w:pPr>
        <w:jc w:val="both"/>
      </w:pPr>
      <w:r>
        <w:rPr>
          <w:rFonts w:eastAsia="Times New Roman"/>
          <w:sz w:val="22"/>
        </w:rPr>
        <w:t>DHL's robotics and automation agenda also changes the risk profile. In May 2025 DHL announced an expanded partnership with Boston Dynamics to scale more than 1,000 additional robotic units, building on deployments of Stretch for case handling and container unloading (DHL Group, 2025a). The company stated that it had invested over EUR1 billion in automation in contract logistics over the preceding three years and that its global network used more than 7,500 robots, over 200,000 smart handheld devices and close to 800,000 IoT sensors, with more than 90 per cent of warehouses equipped with at least one automation or digitalisation solution (DHL Group, 2025a). These facts materially strengthen the case for DHL because AI risk is embedded in real operations rather than being a speculative future concern.</w:t>
      </w:r>
    </w:p>
    <w:p w14:paraId="6161D8B2" w14:textId="77777777" w:rsidR="00217F18" w:rsidRDefault="00000000">
      <w:pPr>
        <w:jc w:val="both"/>
      </w:pPr>
      <w:r>
        <w:rPr>
          <w:rFonts w:eastAsia="Times New Roman"/>
          <w:color w:val="000000"/>
        </w:rPr>
        <w:t>The strategic issue is that AI risk sits at the intersection of data, process and governance. A customer-service AI agent may appear low risk because it handles routine communication, but if it uses inaccurate shipment data or gives misleading information during a time-critical delivery, the reputational impact can be immediate. A warehouse robot may appear primarily operational, but if it depends on computer vision, sensor data, third-party updates and human-robot interaction, it raises questions about safety, vendor accountability, change control and incident reporting. A route optimisation model may improve efficiency and emissions, but if it gives priority to profitable customers in ways that are opaque or unfair, it may undermine customer trust.</w:t>
      </w:r>
    </w:p>
    <w:p w14:paraId="01C31E20" w14:textId="77777777" w:rsidR="00217F18" w:rsidRDefault="00000000">
      <w:pPr>
        <w:jc w:val="both"/>
      </w:pPr>
      <w:r>
        <w:rPr>
          <w:rFonts w:eastAsia="Times New Roman"/>
          <w:color w:val="000000"/>
        </w:rPr>
        <w:t>This evidence base also shows why simple technology optimism would be incomplete. DHL has a credible business case for AI: labour shortages, customer expectations, inflationary cost pressure and supply chain complexity all support automation. Yet the same strategic drivers create pressure to move quickly. The stronger argument is that DHL needs to scale AI through a governance model that distinguishes low-risk automation from high-impact AI, while ensuring that the board can see whether AI is creating value without exceeding the organisation's risk appetite.</w:t>
      </w:r>
    </w:p>
    <w:p w14:paraId="356775F6" w14:textId="77777777" w:rsidR="00217F18" w:rsidRDefault="00000000">
      <w:pPr>
        <w:jc w:val="both"/>
      </w:pPr>
      <w:r>
        <w:rPr>
          <w:rFonts w:eastAsia="Times New Roman"/>
          <w:sz w:val="22"/>
        </w:rPr>
        <w:t>Appendix A provides the supporting evidence table for DHL scale, Strategy 2030, agentic AI, robotics and UK/EU exposure; the main body retains only the analytical implications to keep the report within the word limit.</w:t>
      </w:r>
    </w:p>
    <w:p w14:paraId="5D252B05" w14:textId="77777777" w:rsidR="00217F18" w:rsidRDefault="00217F18">
      <w:pPr>
        <w:spacing w:after="80"/>
      </w:pPr>
    </w:p>
    <w:p w14:paraId="75F048B0" w14:textId="77777777" w:rsidR="00217F18" w:rsidRDefault="00000000">
      <w:pPr>
        <w:pStyle w:val="21"/>
        <w:spacing w:after="80" w:line="276" w:lineRule="auto"/>
      </w:pPr>
      <w:r>
        <w:rPr>
          <w:rFonts w:ascii="Times New Roman" w:eastAsia="Times New Roman" w:hAnsi="Times New Roman"/>
          <w:b/>
          <w:color w:val="1F4E79"/>
          <w:sz w:val="26"/>
        </w:rPr>
        <w:lastRenderedPageBreak/>
        <w:t>2.2 UK and EU External Environment: PESTLE Analysis</w:t>
      </w:r>
    </w:p>
    <w:p w14:paraId="1E217B08" w14:textId="77777777" w:rsidR="00217F18" w:rsidRDefault="00000000">
      <w:pPr>
        <w:jc w:val="both"/>
      </w:pPr>
      <w:r>
        <w:rPr>
          <w:rFonts w:eastAsia="Times New Roman"/>
          <w:color w:val="000000"/>
        </w:rPr>
        <w:t>A PESTLE framework is useful only if it distinguishes material pressures from background conditions. For DHL, the priority order is regulatory divergence and cross-border data governance first, technology and vendor dependency second, labour and productivity economics third, and social trust and ESG credibility as constraints on how far automation can scale. This ranking matters because it points to governance design rather than a general AI adoption plan: DHL needs controls that protect market access and trust while still allowing low-risk experimentation.</w:t>
      </w:r>
    </w:p>
    <w:p w14:paraId="05799563" w14:textId="77777777" w:rsidR="00217F18" w:rsidRDefault="00000000">
      <w:pPr>
        <w:jc w:val="both"/>
      </w:pPr>
      <w:r>
        <w:rPr>
          <w:rFonts w:eastAsia="Times New Roman"/>
          <w:sz w:val="22"/>
        </w:rPr>
        <w:t>Appendix B provides the PESTLE summary table; the main body below keeps the analytical discussion of each factor.</w:t>
      </w:r>
    </w:p>
    <w:p w14:paraId="2464A247" w14:textId="77777777" w:rsidR="00217F18" w:rsidRDefault="00000000">
      <w:pPr>
        <w:pStyle w:val="31"/>
        <w:spacing w:before="160" w:after="80" w:line="276" w:lineRule="auto"/>
      </w:pPr>
      <w:r>
        <w:rPr>
          <w:rFonts w:ascii="Times New Roman" w:eastAsia="Times New Roman" w:hAnsi="Times New Roman"/>
          <w:b/>
          <w:color w:val="1F4E79"/>
        </w:rPr>
        <w:t>2.2.1 Political and regulatory change</w:t>
      </w:r>
    </w:p>
    <w:p w14:paraId="43B230D2" w14:textId="77777777" w:rsidR="00217F18" w:rsidRDefault="00000000">
      <w:pPr>
        <w:jc w:val="both"/>
      </w:pPr>
      <w:r>
        <w:rPr>
          <w:rFonts w:eastAsia="Times New Roman"/>
          <w:color w:val="000000"/>
        </w:rPr>
        <w:t>The political and legal environment is a major driver of DHL's AI risk. The EU AI Act is the first comprehensive legal framework for AI and is explicitly risk-based (European Commission, 2026). It distinguishes unacceptable, high, transparency and minimal-risk AI. The practical relevance for DHL is not that every logistics AI system will automatically be high risk. Rather, the Act creates a classification discipline: systems that affect workers, safety, customer rights, biometric processing, critical infrastructure or automated decision-making may need enhanced documentation, human oversight, quality management and incident reporting. GDPR remains equally important because DHL's AI systems process personal data such as addresses, tracking data, customer communications and behavioural patterns.</w:t>
      </w:r>
    </w:p>
    <w:p w14:paraId="2607B684" w14:textId="77777777" w:rsidR="00217F18" w:rsidRDefault="00000000">
      <w:pPr>
        <w:jc w:val="both"/>
      </w:pPr>
      <w:r>
        <w:rPr>
          <w:rFonts w:eastAsia="Times New Roman"/>
          <w:color w:val="000000"/>
        </w:rPr>
        <w:t>The UK approach is different. The UK white paper emphasises context, proportionality, existing regulators and innovation, arguing that rigid regulation may slow adoption and that the context of deployment should shape oversight (Department for Science, Innovation and Technology, 2023). The 2024 government response reinforced interoperability and regulatory coordination, while the 2025 AI Growth Lab proposals indicate continued interest in sandboxes and supervised testing (Department for Science, Innovation and Technology, 2024, 2025). For DHL, this creates a more flexible but less codified environment. The company may have more space to pilot AI in the UK, but it also has to interpret principles across regulators such as the ICO, employment bodies, transport authorities and sector-specific safety regulators.</w:t>
      </w:r>
    </w:p>
    <w:p w14:paraId="10F1B1B5" w14:textId="77777777" w:rsidR="00217F18" w:rsidRDefault="00000000">
      <w:pPr>
        <w:jc w:val="both"/>
      </w:pPr>
      <w:r>
        <w:rPr>
          <w:rFonts w:eastAsia="Times New Roman"/>
          <w:color w:val="000000"/>
        </w:rPr>
        <w:lastRenderedPageBreak/>
        <w:t>The critical point is that regulatory divergence creates strategic cost. A fragmented approach allows local optimisation but increases duplication, inconsistent risk classifications and uneven customer safeguards. A strict EU-standard approach across the group reduces legal uncertainty but may slow experimentation in markets where the UK regulator permits more flexibility. A more defensible option is a global DHL AI Risk and Trust Standard with regional overlays: a common baseline for data governance, human oversight, audit and transparency, plus additional controls when EU AI Act or UK sector guidance requires them.</w:t>
      </w:r>
    </w:p>
    <w:p w14:paraId="233B38BC" w14:textId="77777777" w:rsidR="00217F18" w:rsidRDefault="00000000">
      <w:pPr>
        <w:pStyle w:val="31"/>
        <w:spacing w:before="160" w:after="80" w:line="276" w:lineRule="auto"/>
      </w:pPr>
      <w:r>
        <w:rPr>
          <w:rFonts w:ascii="Times New Roman" w:eastAsia="Times New Roman" w:hAnsi="Times New Roman"/>
          <w:b/>
          <w:color w:val="1F4E79"/>
        </w:rPr>
        <w:t>2.2.2 International economic environment and macroeconomic policy</w:t>
      </w:r>
    </w:p>
    <w:p w14:paraId="31FC3ED1" w14:textId="77777777" w:rsidR="00217F18" w:rsidRDefault="00000000">
      <w:pPr>
        <w:jc w:val="both"/>
      </w:pPr>
      <w:r>
        <w:rPr>
          <w:rFonts w:eastAsia="Times New Roman"/>
          <w:sz w:val="22"/>
        </w:rPr>
        <w:t>The economic case for AI in logistics is strong but uneven across jurisdictions. Labour costs, inflation, volatile demand, interest rates and customer expectations all create pressure to improve productivity. WEF's Global Risks Report 2026 identifies geoeconomic confrontation as the leading short-term global risk and highlights supply chain, trade and investment disruption as core features of the risk environment (World Economic Forum, 2026). DHL's own 2025 results show this in practice: revenue was pressured by currency effects and lower volumes on routes to the United States, while profitability depended on active capacity management and structural cost improvements (DHL Group, 2026). For DHL, AI investment is therefore not only about cost reduction. It is a response to macroeconomic volatility, but it must be governed because weak controls can turn a productivity tool into a service, legal or reputational cost.</w:t>
      </w:r>
    </w:p>
    <w:p w14:paraId="3502AC72" w14:textId="77777777" w:rsidR="00217F18" w:rsidRDefault="00000000">
      <w:pPr>
        <w:jc w:val="both"/>
      </w:pPr>
      <w:r>
        <w:rPr>
          <w:rFonts w:eastAsia="Times New Roman"/>
          <w:sz w:val="22"/>
        </w:rPr>
        <w:t>Macroeconomic pressure also increases the risk of under-governed adoption. In the positive case, route optimisation can reduce empty miles, improve asset use and protect margins when fuel, labour or financing costs rise. In the negative case, a narrow cost-cutting logic may push managers to automate customer contact, warehouse handling or workforce scheduling before data quality, model validation, training and escalation routes are ready. The relevant strategic question is therefore not whether AI saves money in theory, but whether DHL can convert AI into productivity without increasing operational fragility. Assurance cost is defensible where it protects market access, service continuity and customer trust.</w:t>
      </w:r>
    </w:p>
    <w:p w14:paraId="429E670F" w14:textId="77777777" w:rsidR="00217F18" w:rsidRDefault="00000000">
      <w:pPr>
        <w:pStyle w:val="31"/>
        <w:spacing w:before="160" w:after="80" w:line="276" w:lineRule="auto"/>
      </w:pPr>
      <w:r>
        <w:rPr>
          <w:rFonts w:ascii="Times New Roman" w:eastAsia="Times New Roman" w:hAnsi="Times New Roman"/>
          <w:b/>
          <w:color w:val="1F4E79"/>
        </w:rPr>
        <w:t>2.2.3 Social and ethical factors</w:t>
      </w:r>
    </w:p>
    <w:p w14:paraId="51E47587" w14:textId="77777777" w:rsidR="00217F18" w:rsidRDefault="00000000">
      <w:pPr>
        <w:jc w:val="both"/>
      </w:pPr>
      <w:r>
        <w:rPr>
          <w:rFonts w:eastAsia="Times New Roman"/>
          <w:color w:val="000000"/>
        </w:rPr>
        <w:t xml:space="preserve">Social expectations around AI are rising. Customers increasingly expect transparency over how their data is used, employees expect fair treatment when automation affects work, and regulators expect firms to show accountability. Academic research on AI ethics emphasises transparency, fairness, privacy, accountability and human oversight as recurring global principles (Jobin, Ienca and Vayena, 2019; Floridi et al., 2018). These principles matter in logistics because customer trust is practical rather than abstract. Customers trust DHL with names, addresses, delivery preferences, shipment contents, customs information and </w:t>
      </w:r>
      <w:r>
        <w:rPr>
          <w:rFonts w:eastAsia="Times New Roman"/>
          <w:color w:val="000000"/>
        </w:rPr>
        <w:lastRenderedPageBreak/>
        <w:t>sometimes sensitive healthcare or business data. If AI use appears opaque, intrusive or careless, trust can weaken even without a formal legal breach.</w:t>
      </w:r>
    </w:p>
    <w:p w14:paraId="447D9608" w14:textId="77777777" w:rsidR="00217F18" w:rsidRDefault="00000000">
      <w:pPr>
        <w:jc w:val="both"/>
      </w:pPr>
      <w:r>
        <w:rPr>
          <w:rFonts w:eastAsia="Times New Roman"/>
          <w:color w:val="000000"/>
        </w:rPr>
        <w:t>Ethical risk also arises in the workforce. DHL's use of robots, handheld devices, IoT sensors and AI agents may improve safety and reduce physically demanding work, but it may also create anxiety about surveillance, displacement or algorithmic management. The analysis should avoid a simplistic 'AI replaces workers' argument. A more defensible judgement is that workforce legitimacy depends on whether DHL uses AI to augment human capability, improve safety and reduce low-value work while maintaining fair processes, training and voice mechanisms.</w:t>
      </w:r>
    </w:p>
    <w:p w14:paraId="20F19084" w14:textId="77777777" w:rsidR="00217F18" w:rsidRDefault="00000000">
      <w:pPr>
        <w:pStyle w:val="31"/>
        <w:spacing w:before="160" w:after="80" w:line="276" w:lineRule="auto"/>
      </w:pPr>
      <w:r>
        <w:rPr>
          <w:rFonts w:ascii="Times New Roman" w:eastAsia="Times New Roman" w:hAnsi="Times New Roman"/>
          <w:b/>
          <w:color w:val="1F4E79"/>
        </w:rPr>
        <w:t>2.2.4 Technological and environmental factors</w:t>
      </w:r>
    </w:p>
    <w:p w14:paraId="6E41E919" w14:textId="77777777" w:rsidR="00217F18" w:rsidRDefault="00000000">
      <w:pPr>
        <w:jc w:val="both"/>
      </w:pPr>
      <w:r>
        <w:rPr>
          <w:rFonts w:eastAsia="Times New Roman"/>
          <w:color w:val="000000"/>
        </w:rPr>
        <w:t>Technological change creates both capability and dependency. AI agents, robotics, IoT sensors and predictive analytics can make logistics more responsive, but each additional layer increases the number of failure points. Algorithmic outputs depend on data quality, integrations, model design, cybersecurity, vendor updates and human interpretation. NIST's AI Risk Management Framework is useful here because it treats AI risk management as a lifecycle process of govern, map, measure and manage rather than as a one-off compliance checklist (NIST, 2023). That lifecycle logic fits DHL better than a static policy because AI models and operational contexts change continuously.</w:t>
      </w:r>
    </w:p>
    <w:p w14:paraId="7198596B" w14:textId="77777777" w:rsidR="00217F18" w:rsidRDefault="00000000">
      <w:pPr>
        <w:jc w:val="both"/>
      </w:pPr>
      <w:r>
        <w:rPr>
          <w:rFonts w:eastAsia="Times New Roman"/>
          <w:color w:val="000000"/>
        </w:rPr>
        <w:t>Environmental factors also matter. Route optimisation, warehouse automation and better capacity planning can reduce emissions, energy waste and empty miles. DHL's strategy identifies climate change and digitalisation as structural forces shaping logistics (DHL Group, n.d.). Yet sustainability claims can create credibility risk if AI is used mainly for cost reduction but presented as environmental responsibility. An adaptive strategy should align AI governance with DHL's broader sustainability and ESG commitments: AI-enabled efficiency should be measured not only by labour savings or speed, but also by emissions, service quality, safety and customer trust.</w:t>
      </w:r>
    </w:p>
    <w:p w14:paraId="7CAB48F1" w14:textId="77777777" w:rsidR="00217F18" w:rsidRDefault="00000000">
      <w:pPr>
        <w:jc w:val="both"/>
      </w:pPr>
      <w:r>
        <w:rPr>
          <w:rFonts w:eastAsia="Times New Roman"/>
          <w:sz w:val="22"/>
        </w:rPr>
        <w:t xml:space="preserve">The literature suggests an integrated analytical lens rather than one isolated framework. NIST frames AI risk as a lifecycle of governance, mapping, measurement and management; OECD and AI ethics literature emphasise human-centred transparency, fairness and accountability (OECD, 2024; Jobin, Ienca and Vayena, 2019; Floridi et al., 2018); algorithmic management research shows that digital controls can shift power at work; and trust theory connects ability, benevolence and integrity to customer confidence. Applied to DHL, these ideas are practical tests rather than abstract principles. A customer-service AI agent must be explainable enough for a customer to challenge an error; a robot or </w:t>
      </w:r>
      <w:r>
        <w:rPr>
          <w:rFonts w:eastAsia="Times New Roman"/>
          <w:sz w:val="22"/>
        </w:rPr>
        <w:lastRenderedPageBreak/>
        <w:t>route model must have evidence of control after a vendor update; an employee-affecting system must provide contestability; and a cross-border model must remain resilient when EU or UK rules change.</w:t>
      </w:r>
    </w:p>
    <w:p w14:paraId="521A351E" w14:textId="77777777" w:rsidR="00217F18" w:rsidRDefault="00217F18">
      <w:pPr>
        <w:spacing w:after="80"/>
      </w:pPr>
    </w:p>
    <w:p w14:paraId="5274AB92" w14:textId="77777777" w:rsidR="00217F18" w:rsidRDefault="00000000">
      <w:pPr>
        <w:pStyle w:val="21"/>
        <w:spacing w:after="80" w:line="276" w:lineRule="auto"/>
      </w:pPr>
      <w:r>
        <w:rPr>
          <w:rFonts w:ascii="Times New Roman" w:eastAsia="Times New Roman" w:hAnsi="Times New Roman"/>
          <w:b/>
          <w:color w:val="1F4E79"/>
          <w:sz w:val="26"/>
        </w:rPr>
        <w:t>2.3 AI Risk Analysis for DHL</w:t>
      </w:r>
    </w:p>
    <w:p w14:paraId="60E6DA8D" w14:textId="77777777" w:rsidR="00217F18" w:rsidRDefault="00000000">
      <w:pPr>
        <w:jc w:val="both"/>
      </w:pPr>
      <w:r>
        <w:rPr>
          <w:rFonts w:eastAsia="Times New Roman"/>
          <w:sz w:val="22"/>
        </w:rPr>
        <w:t>The main finding is that DHL faces a connected risk system rather than separate AI risks. Data governance, ethics, regulation and trust reinforce one another. A weak data control may become a regulatory breach; a regulatory breach may become a trust issue; a trust issue may slow AI adoption and reduce the economic value DHL seeks. Appendix C therefore classifies risks by DHL deployment context rather than by abstract categories, while the main body evaluates the four most material risk themes below.</w:t>
      </w:r>
    </w:p>
    <w:p w14:paraId="135B3D40" w14:textId="77777777" w:rsidR="00217F18" w:rsidRDefault="00217F18">
      <w:pPr>
        <w:spacing w:after="80"/>
      </w:pPr>
    </w:p>
    <w:p w14:paraId="2E49748D" w14:textId="77777777" w:rsidR="00217F18" w:rsidRDefault="00000000">
      <w:pPr>
        <w:pStyle w:val="31"/>
        <w:spacing w:before="160" w:after="80" w:line="276" w:lineRule="auto"/>
      </w:pPr>
      <w:r>
        <w:rPr>
          <w:rFonts w:ascii="Times New Roman" w:eastAsia="Times New Roman" w:hAnsi="Times New Roman"/>
          <w:b/>
          <w:color w:val="1F4E79"/>
        </w:rPr>
        <w:t>2.3.1 Data governance risk</w:t>
      </w:r>
    </w:p>
    <w:p w14:paraId="530916D2" w14:textId="77777777" w:rsidR="00217F18" w:rsidRDefault="00000000">
      <w:pPr>
        <w:jc w:val="both"/>
      </w:pPr>
      <w:r>
        <w:rPr>
          <w:rFonts w:eastAsia="Times New Roman"/>
          <w:color w:val="000000"/>
        </w:rPr>
        <w:t>Data governance is the foundation risk because AI systems inherit the quality, bias, incompleteness and permissions of the data they use. In DHL's case, the relevant data is not limited to customer names and addresses. It includes shipment history, location scans, customs documentation, route performance, warehouse handling data, customer-service interactions, IoT sensor readings and potentially employee productivity data. The more DHL integrates AI across divisions, the more important it becomes to know which data is being used, for what purpose, by which model, under which legal basis and with which retention rule.</w:t>
      </w:r>
    </w:p>
    <w:p w14:paraId="1EBD48B6" w14:textId="77777777" w:rsidR="00217F18" w:rsidRDefault="00000000">
      <w:pPr>
        <w:jc w:val="both"/>
      </w:pPr>
      <w:r>
        <w:t>The current regulatory environment makes generic data policies insufficient. Article 3 of GDPR extends scope to non-EU organisations offering goods or services to, or monitoring, people in the EU (European Parliament and Council of the European Union, 2016). The ICO's AI guidance emphasises accountability, transparency, accuracy, fairness, security, data minimisation and individual rights in AI systems (ICO, 2023). The practical implication for DHL is that data governance must move upstream into AI design. A model should not be approved because it performs well in a pilot; it should be approved because its data inputs, purpose, lawful basis, risk assessment and monitoring controls are documented before scaling.</w:t>
      </w:r>
    </w:p>
    <w:p w14:paraId="5E9B4076" w14:textId="77777777" w:rsidR="00217F18" w:rsidRDefault="00000000">
      <w:pPr>
        <w:jc w:val="both"/>
      </w:pPr>
      <w:r>
        <w:rPr>
          <w:rFonts w:eastAsia="Times New Roman"/>
          <w:sz w:val="22"/>
        </w:rPr>
        <w:t xml:space="preserve">A board-level concern is that poor data governance can look invisible until it fails. In the positive case, complete scan, customs and IoT data allow a route model to reduce empty miles and identify exceptions earlier. In the negative case, missing regional scans or stale integration data may cause the same model to misallocate capacity, give inaccurate delivery promises or miss a customs deadline. A </w:t>
      </w:r>
      <w:r>
        <w:rPr>
          <w:rFonts w:eastAsia="Times New Roman"/>
          <w:sz w:val="22"/>
        </w:rPr>
        <w:lastRenderedPageBreak/>
        <w:t>vendor model may also reuse data outside DHL's intended purpose. These practical risks justify a single AI data register linked to DHL's privacy inventory and enterprise risk register.</w:t>
      </w:r>
    </w:p>
    <w:p w14:paraId="0504E09D" w14:textId="77777777" w:rsidR="00217F18" w:rsidRDefault="00000000">
      <w:pPr>
        <w:pStyle w:val="31"/>
        <w:spacing w:before="160" w:after="80" w:line="276" w:lineRule="auto"/>
      </w:pPr>
      <w:r>
        <w:rPr>
          <w:rFonts w:ascii="Times New Roman" w:eastAsia="Times New Roman" w:hAnsi="Times New Roman"/>
          <w:b/>
          <w:color w:val="1F4E79"/>
        </w:rPr>
        <w:t>2.3.2 Ethical AI and decision legitimacy</w:t>
      </w:r>
    </w:p>
    <w:p w14:paraId="2729902C" w14:textId="77777777" w:rsidR="00217F18" w:rsidRDefault="00000000">
      <w:pPr>
        <w:jc w:val="both"/>
      </w:pPr>
      <w:r>
        <w:rPr>
          <w:rFonts w:eastAsia="Times New Roman"/>
          <w:color w:val="000000"/>
        </w:rPr>
        <w:t>Ethical AI risk should be understood as the risk that DHL's AI-supported decisions become difficult to justify to customers, employees, regulators or the board. AI systems are not neutral simply because they are automated. Algorithmic management research shows that digital systems can redistribute power, reduce transparency and create new forms of control in organisations (Kellogg, Valentine and Christin, 2020). In DHL, this could arise where AI affects shift allocation, performance monitoring, route planning, case handling priorities or customer-service escalation.</w:t>
      </w:r>
    </w:p>
    <w:p w14:paraId="008CB71D" w14:textId="77777777" w:rsidR="00217F18" w:rsidRDefault="00000000">
      <w:pPr>
        <w:jc w:val="both"/>
      </w:pPr>
      <w:r>
        <w:rPr>
          <w:rFonts w:eastAsia="Times New Roman"/>
          <w:sz w:val="22"/>
        </w:rPr>
        <w:t>The ethical challenge is not solved by a generic statement of principles. DHL needs operational controls that make ethical commitments testable. For example, if customer-service AI handles millions of voice minutes or emails, DHL should know the percentage resolved without human escalation, the error rate, the categories of complaint, the languages most affected and whether vulnerable customers can still reach a person. If warehouse automation reduces manual unloading, the positive outcome may be safer work and faster handling; if it increases work intensity or surveillance without consultation, the negative outcome may be resistance, grievances and lower trust. Ethical AI becomes credible only when it is linked to measurable governance.</w:t>
      </w:r>
    </w:p>
    <w:p w14:paraId="31597FD2" w14:textId="77777777" w:rsidR="00217F18" w:rsidRDefault="00000000">
      <w:pPr>
        <w:pStyle w:val="31"/>
        <w:spacing w:before="160" w:after="80" w:line="276" w:lineRule="auto"/>
      </w:pPr>
      <w:r>
        <w:rPr>
          <w:rFonts w:ascii="Times New Roman" w:eastAsia="Times New Roman" w:hAnsi="Times New Roman"/>
          <w:b/>
          <w:color w:val="1F4E79"/>
        </w:rPr>
        <w:t>2.3.3 Regulatory compliance risk</w:t>
      </w:r>
    </w:p>
    <w:p w14:paraId="51895C2D" w14:textId="77777777" w:rsidR="00217F18" w:rsidRDefault="00000000">
      <w:pPr>
        <w:jc w:val="both"/>
      </w:pPr>
      <w:r>
        <w:rPr>
          <w:rFonts w:eastAsia="Times New Roman"/>
          <w:color w:val="000000"/>
        </w:rPr>
        <w:t>Regulatory risk is dynamic. The EU AI Act entered into force in August 2024 and is being phased in between 2025 and 2028, including AI literacy, GPAI obligations, transparency duties and high-risk system requirements (European Commission, 2026). The UK is evolving through guidance, regulator coordination and sandbox experimentation rather than a single AI Act. For DHL, the risk is not simply receiving a fine. More damaging risks include delayed deployment, forced redesign, procurement disruption, inability to evidence compliance, loss of regulator confidence and inconsistent treatment across jurisdictions.</w:t>
      </w:r>
    </w:p>
    <w:p w14:paraId="1DA21B3B" w14:textId="77777777" w:rsidR="00217F18" w:rsidRDefault="00000000">
      <w:pPr>
        <w:jc w:val="both"/>
      </w:pPr>
      <w:r>
        <w:rPr>
          <w:rFonts w:eastAsia="Times New Roman"/>
          <w:sz w:val="22"/>
        </w:rPr>
        <w:t xml:space="preserve">A proportionate response is to classify AI use cases by impact before deployment. A low-risk internal summarisation tool does not require the same approval route as a customer-facing agent, workforce allocation model, customs exception tool or safety-relevant robotics system. The EU example shows the high-control side: employment, critical infrastructure, safety and transparency-related AI can trigger strict documentation, human oversight, logging and incident expectations. The UK example shows the flexible side: supervised testing and principles-based regulation can accelerate learning. However, classification must be governed. If teams self-classify without oversight, commercial </w:t>
      </w:r>
      <w:r>
        <w:rPr>
          <w:rFonts w:eastAsia="Times New Roman"/>
          <w:sz w:val="22"/>
        </w:rPr>
        <w:lastRenderedPageBreak/>
        <w:t>pressure may push borderline systems into lower tiers. DHL therefore needs legal, data protection and operational risk review for all Tier 2 and Tier 3 AI deployments.</w:t>
      </w:r>
    </w:p>
    <w:p w14:paraId="6EFB5F60" w14:textId="77777777" w:rsidR="00217F18" w:rsidRDefault="00000000">
      <w:pPr>
        <w:pStyle w:val="31"/>
        <w:spacing w:before="160" w:after="80" w:line="276" w:lineRule="auto"/>
      </w:pPr>
      <w:r>
        <w:rPr>
          <w:rFonts w:ascii="Times New Roman" w:eastAsia="Times New Roman" w:hAnsi="Times New Roman"/>
          <w:b/>
          <w:color w:val="1F4E79"/>
        </w:rPr>
        <w:t>2.3.4 Customer trust risk</w:t>
      </w:r>
    </w:p>
    <w:p w14:paraId="3C86E7E0" w14:textId="77777777" w:rsidR="00217F18" w:rsidRDefault="00000000">
      <w:pPr>
        <w:jc w:val="both"/>
      </w:pPr>
      <w:r>
        <w:rPr>
          <w:rFonts w:eastAsia="Times New Roman"/>
          <w:sz w:val="22"/>
        </w:rPr>
        <w:t>Customer trust is a strategic asset for DHL because logistics customers buy reliability as much as transport capacity. Trust theory suggests that customers assess ability, benevolence and integrity (Mayer, Davis and Schoorman, 1995). AI can strengthen ability by increasing speed and accuracy: a customer-facing agent that finds a delayed parcel quickly improves service. The counter-example is a healthcare, manufacturing or e-commerce shipment where an AI agent gives a confident but wrong delivery promise and no human escalation is available. In that case, technical efficiency weakens integrity because the customer cannot understand, correct or contest the outcome.</w:t>
      </w:r>
    </w:p>
    <w:p w14:paraId="1E7A5BE9" w14:textId="77777777" w:rsidR="00217F18" w:rsidRDefault="00000000">
      <w:pPr>
        <w:jc w:val="both"/>
      </w:pPr>
      <w:r>
        <w:rPr>
          <w:rFonts w:eastAsia="Times New Roman"/>
          <w:color w:val="000000"/>
        </w:rPr>
        <w:t>The EU AI Act's transparency obligations for chatbots and AI-generated content reflect a wider expectation that people should know when they are interacting with a machine (European Commission, 2026). For DHL, transparency should be designed as a service feature rather than a legal footnote. Customers should receive clear disclosure where AI materially supports service interaction, easy access to human escalation, and meaningful correction routes where AI-generated information is wrong. Trust metrics should be included in the AI dashboard alongside efficiency metrics.</w:t>
      </w:r>
    </w:p>
    <w:p w14:paraId="5724C3D3" w14:textId="77777777" w:rsidR="00217F18" w:rsidRDefault="00000000">
      <w:pPr>
        <w:pStyle w:val="31"/>
        <w:spacing w:before="160" w:after="80" w:line="276" w:lineRule="auto"/>
      </w:pPr>
      <w:r>
        <w:rPr>
          <w:rFonts w:ascii="Times New Roman" w:eastAsia="Times New Roman" w:hAnsi="Times New Roman"/>
          <w:b/>
          <w:color w:val="1F4E79"/>
        </w:rPr>
        <w:t>2.3.5 Interdependence of risks</w:t>
      </w:r>
    </w:p>
    <w:p w14:paraId="387948C0" w14:textId="77777777" w:rsidR="00217F18" w:rsidRDefault="00000000">
      <w:pPr>
        <w:jc w:val="both"/>
      </w:pPr>
      <w:r>
        <w:rPr>
          <w:rFonts w:eastAsia="Times New Roman"/>
          <w:color w:val="000000"/>
        </w:rPr>
        <w:t>The risks above are interdependent. A vendor update may alter model behaviour, causing inaccurate customer information. That may trigger complaints, which may reveal incomplete DPIA documentation, which may then create regulatory exposure. Equally, a board that focuses only on cost savings may miss early warning signals such as increased escalations, employee resistance or model drift. This interdependence is why the report recommends an integrated governance model rather than separate privacy, compliance, operations and technology responses. AI risk should be owned collectively but not vaguely: each risk needs a named owner, control, KPI and escalation route.</w:t>
      </w:r>
    </w:p>
    <w:p w14:paraId="1FE8B216" w14:textId="77777777" w:rsidR="00217F18" w:rsidRDefault="00000000">
      <w:pPr>
        <w:pStyle w:val="21"/>
        <w:spacing w:after="80" w:line="276" w:lineRule="auto"/>
      </w:pPr>
      <w:r>
        <w:rPr>
          <w:rFonts w:ascii="Times New Roman" w:eastAsia="Times New Roman" w:hAnsi="Times New Roman"/>
          <w:b/>
          <w:color w:val="1F4E79"/>
          <w:sz w:val="26"/>
        </w:rPr>
        <w:t>2.4 Governance Options and Recommended Model</w:t>
      </w:r>
    </w:p>
    <w:p w14:paraId="3D04C2A5" w14:textId="77777777" w:rsidR="00217F18" w:rsidRDefault="00000000">
      <w:pPr>
        <w:jc w:val="both"/>
      </w:pPr>
      <w:r>
        <w:rPr>
          <w:rFonts w:eastAsia="Times New Roman"/>
          <w:sz w:val="22"/>
        </w:rPr>
        <w:t xml:space="preserve">The central governance choice for DHL is how to balance global consistency with local regulatory difference. Three options are available. The first is local compliance, where UK and EU units manage AI according to local rules. This maximises flexibility but risks fragmentation. The second is to apply the strictest EU standard globally. This creates consistency and may simplify board oversight, but it may slow low-risk experimentation and impose unnecessary controls on simple systems. The third, recommended option is a Group AI Risk and Trust Standard with regional overlays. Appendix D </w:t>
      </w:r>
      <w:r>
        <w:rPr>
          <w:rFonts w:eastAsia="Times New Roman"/>
          <w:sz w:val="22"/>
        </w:rPr>
        <w:lastRenderedPageBreak/>
        <w:t>compares the options; the recommendation is assessed against four tests derived from the analysis above: explainability, evidence of control, human contestability and resilience under model or vendor change.</w:t>
      </w:r>
    </w:p>
    <w:p w14:paraId="7AAC06CF" w14:textId="77777777" w:rsidR="00217F18" w:rsidRDefault="00217F18">
      <w:pPr>
        <w:spacing w:after="80"/>
      </w:pPr>
    </w:p>
    <w:p w14:paraId="348E2F5B" w14:textId="77777777" w:rsidR="00217F18" w:rsidRDefault="00000000">
      <w:pPr>
        <w:jc w:val="both"/>
      </w:pPr>
      <w:r>
        <w:rPr>
          <w:rFonts w:eastAsia="Times New Roman"/>
          <w:sz w:val="22"/>
        </w:rPr>
        <w:t>The recommended model should be anchored at board level because AI now affects strategic objectives, internal control, capital allocation and risk appetite. The board does not need to approve every model, but it does need visibility over AI strategy, major risk exposures, incidents, regulatory readiness and value creation. A quarterly AI Risk and Trust dashboard should therefore be submitted to the board or an appropriate board committee, with escalation to the full board for high-impact use cases or material incidents. This keeps AI risk at the level where trade-offs between innovation, compliance, trust and investment can be judged together.</w:t>
      </w:r>
    </w:p>
    <w:p w14:paraId="4DBB8F26" w14:textId="77777777" w:rsidR="00217F18" w:rsidRDefault="00000000">
      <w:pPr>
        <w:jc w:val="both"/>
      </w:pPr>
      <w:r>
        <w:rPr>
          <w:rFonts w:eastAsia="Times New Roman"/>
          <w:color w:val="000000"/>
        </w:rPr>
        <w:t>Operationally, DHL should create a Group AI Risk and Trust Committee chaired by a senior executive with authority across digital, legal, data protection, cybersecurity, operations, HR and customer experience. A Chief AI Risk Owner or equivalent should maintain the AI inventory, risk classification rules and assurance calendar. Divisions should remain responsible for value delivery, but they should not be able to deploy high-impact AI without completing classification, DPIA/AI impact assessment, human oversight design, vendor due diligence and post-deployment monitoring. This preserves ownership while avoiding a purely centralised bottleneck.</w:t>
      </w:r>
    </w:p>
    <w:p w14:paraId="2F6F7D85" w14:textId="77777777" w:rsidR="00217F18" w:rsidRDefault="00000000">
      <w:pPr>
        <w:jc w:val="both"/>
      </w:pPr>
      <w:r>
        <w:rPr>
          <w:rFonts w:eastAsia="Times New Roman"/>
          <w:color w:val="000000"/>
        </w:rPr>
        <w:t>The governance model should also distinguish between AI as automation and AI as decision influence. Many AI tools simply improve workflow efficiency. Others affect customers, employees, safety, legal rights or operational continuity. DHL should use four risk tiers. Tier 0 covers no or minimal risk tools with standard cybersecurity controls. Tier 1 covers internal productivity tools handling non-sensitive data. Tier 2 covers customer-facing, employee-affecting or operationally material AI requiring impact assessment and monitoring. Tier 3 covers safety-relevant, high-impact, biometric, employment, critical infrastructure or legally sensitive AI requiring senior approval, independent assurance and board reporting.</w:t>
      </w:r>
    </w:p>
    <w:p w14:paraId="632F338D" w14:textId="77777777" w:rsidR="00217F18" w:rsidRDefault="00000000">
      <w:pPr>
        <w:jc w:val="both"/>
      </w:pPr>
      <w:r>
        <w:rPr>
          <w:rFonts w:eastAsia="Times New Roman"/>
          <w:color w:val="000000"/>
        </w:rPr>
        <w:t>The recommendation is not cost-free. It may slow some UK pilots, require supplier audit rights and create tension with business units that prefer local discretion. However, those costs are lower than the residual risk of fragmented AI governance in a cross-border logistics brand. The model would fail if teams under-report AI tools, suppliers bypass model-change approval or board reporting becomes symbolic. Those failure modes justify phased implementation, exception reporting and independent assurance.</w:t>
      </w:r>
    </w:p>
    <w:p w14:paraId="24D99911" w14:textId="77777777" w:rsidR="00217F18" w:rsidRDefault="00000000">
      <w:pPr>
        <w:jc w:val="both"/>
      </w:pPr>
      <w:r>
        <w:rPr>
          <w:rFonts w:eastAsia="Times New Roman"/>
          <w:sz w:val="22"/>
        </w:rPr>
        <w:lastRenderedPageBreak/>
        <w:t>Recommended governance model: Create a DHL Group AI Risk and Trust Standard with four risk tiers, mandatory AI inventory, DPIA/AI impact assessment gates for Tier 2 and Tier 3 systems, named business risk owners, vendor assurance, human oversight, customer transparency and quarterly board reporting. This is future-proof because it does not depend on one fixed legal rule; it can absorb EU AI Act changes, UK regulator guidance, new vendor models, new logistics use cases and customer expectations through review triggers and dashboard evidence.</w:t>
      </w:r>
    </w:p>
    <w:p w14:paraId="4AD1E9C8" w14:textId="77777777" w:rsidR="00217F18" w:rsidRDefault="00000000">
      <w:pPr>
        <w:jc w:val="both"/>
      </w:pPr>
      <w:r>
        <w:rPr>
          <w:rFonts w:eastAsia="Times New Roman"/>
          <w:sz w:val="22"/>
        </w:rPr>
        <w:t>For a senior client, the best outcome is governed optionality rather than maximum automation. DHL should accelerate low-risk AI where value is clear, such as internal summarisation, appointment scheduling and routine status updates, while applying stricter assurance to workforce scheduling, customs exception handling, customer-facing agents and safety-relevant robotics. Each AI business case should therefore state the value hypothesis, risk tier, legal basis, data lineage, human oversight design, success metrics and stop-go trigger before scale-up. This converts AI governance from an abstract control function into an investment discipline: management can prioritise use cases where economic value, customer trust and regulatory defensibility are strongest.</w:t>
      </w:r>
    </w:p>
    <w:p w14:paraId="720277DE" w14:textId="77777777" w:rsidR="00217F18" w:rsidRDefault="00000000">
      <w:pPr>
        <w:jc w:val="both"/>
      </w:pPr>
      <w:r>
        <w:rPr>
          <w:rFonts w:eastAsia="Times New Roman"/>
          <w:color w:val="000000"/>
        </w:rPr>
        <w:t>This model is also strategically coherent with AI value creation. McKinsey's 2025 global AI survey suggests that high-performing organisations are more likely to have senior leadership ownership, redesigned workflows, human validation processes, data and technology infrastructure, and KPI tracking for AI solutions (McKinsey &amp; Company, 2025). The original contribution of the recommendation is the combination of a common global trust standard, local regulatory overlays and risk-tiered approval routes. DHL does not need governance only to avoid harm; disciplined governance is part of scaling value.</w:t>
      </w:r>
    </w:p>
    <w:p w14:paraId="63BD7429" w14:textId="77777777" w:rsidR="00217F18" w:rsidRDefault="00000000">
      <w:r>
        <w:rPr>
          <w:rFonts w:eastAsia="Times New Roman"/>
          <w:sz w:val="22"/>
        </w:rPr>
        <w:br w:type="page"/>
      </w:r>
    </w:p>
    <w:p w14:paraId="761E341D" w14:textId="77777777" w:rsidR="00217F18" w:rsidRDefault="00000000">
      <w:pPr>
        <w:pStyle w:val="21"/>
        <w:spacing w:after="80" w:line="276" w:lineRule="auto"/>
      </w:pPr>
      <w:r>
        <w:rPr>
          <w:rFonts w:ascii="Times New Roman" w:eastAsia="Times New Roman" w:hAnsi="Times New Roman"/>
          <w:b/>
          <w:color w:val="1F4E79"/>
          <w:sz w:val="26"/>
        </w:rPr>
        <w:lastRenderedPageBreak/>
        <w:t>2.5 SMART Implementation Plan</w:t>
      </w:r>
    </w:p>
    <w:p w14:paraId="7FC239F6" w14:textId="77777777" w:rsidR="00217F18" w:rsidRDefault="00000000">
      <w:pPr>
        <w:jc w:val="both"/>
      </w:pPr>
      <w:r>
        <w:rPr>
          <w:rFonts w:eastAsia="Times New Roman"/>
          <w:color w:val="000000"/>
        </w:rPr>
        <w:t>The implementation plan translates the analysis into specific actions. It is designed to be SMART: specific, measurable, achievable, relevant and time-bound. The plan also recognises trade-offs. Stronger governance will consume time and resources, and some pilots may slow down. However, the cost of weak assurance is potentially higher: regulatory intervention, customer distrust, operational errors and failed scaling. The plan therefore prioritises controls that increase confidence without stopping low-risk innovation.</w:t>
      </w:r>
    </w:p>
    <w:p w14:paraId="5936951E" w14:textId="77777777" w:rsidR="00217F18" w:rsidRDefault="00000000">
      <w:pPr>
        <w:jc w:val="both"/>
      </w:pPr>
      <w:r>
        <w:rPr>
          <w:rFonts w:eastAsia="Times New Roman"/>
          <w:sz w:val="22"/>
        </w:rPr>
        <w:t>In the first 12 months, DHL should complete the UK/EU AI inventory, approve the four-tier classification model, introduce DPIA and AI impact assessment gates, define customer-facing transparency and escalation standards, build vendor change-control, and launch role-specific AI literacy training. The detailed owners, KPIs and evidence requirements are provided in Appendix E.</w:t>
      </w:r>
    </w:p>
    <w:p w14:paraId="1E037864" w14:textId="77777777" w:rsidR="00217F18" w:rsidRDefault="00217F18">
      <w:pPr>
        <w:spacing w:after="80"/>
      </w:pPr>
    </w:p>
    <w:p w14:paraId="062E5BAA" w14:textId="77777777" w:rsidR="00217F18" w:rsidRDefault="00000000">
      <w:pPr>
        <w:jc w:val="both"/>
      </w:pPr>
      <w:r>
        <w:rPr>
          <w:rFonts w:eastAsia="Times New Roman"/>
          <w:sz w:val="22"/>
        </w:rPr>
        <w:t>From year 1 onward, DHL should operate a quarterly board dashboard, use independent assurance for Tier 3 systems and annual review for Tier 2 systems, and integrate AI governance into enterprise risk management, sustainability and investment decisions. Appendix E also sets out the long-term implementation matrix.</w:t>
      </w:r>
    </w:p>
    <w:p w14:paraId="3B7F393D" w14:textId="77777777" w:rsidR="00217F18" w:rsidRDefault="00217F18">
      <w:pPr>
        <w:spacing w:after="80"/>
      </w:pPr>
    </w:p>
    <w:p w14:paraId="1AC3A0A5" w14:textId="77777777" w:rsidR="00217F18" w:rsidRDefault="00000000">
      <w:pPr>
        <w:pStyle w:val="31"/>
        <w:spacing w:before="160" w:after="80" w:line="276" w:lineRule="auto"/>
      </w:pPr>
      <w:r>
        <w:rPr>
          <w:rFonts w:ascii="Times New Roman" w:eastAsia="Times New Roman" w:hAnsi="Times New Roman"/>
          <w:b/>
          <w:color w:val="1F4E79"/>
        </w:rPr>
        <w:t>2.5.1 Monitoring and success measures</w:t>
      </w:r>
    </w:p>
    <w:p w14:paraId="5DF6985B" w14:textId="77777777" w:rsidR="00217F18" w:rsidRDefault="00000000">
      <w:pPr>
        <w:jc w:val="both"/>
      </w:pPr>
      <w:r>
        <w:rPr>
          <w:rFonts w:eastAsia="Times New Roman"/>
          <w:color w:val="000000"/>
        </w:rPr>
        <w:t>Monitoring should combine compliance, value and trust indicators. Compliance measures include percentage of AI systems inventoried, DPIA completion, AI impact assessments, vendor reviews, model change logs, audit findings and incident response times. Value measures include cycle-time reduction, customer response speed, exception handling time, warehouse throughput, employee time released from repetitive tasks and emissions effects where relevant. Trust measures include complaint patterns, customer satisfaction for AI-assisted interactions, escalation success, transparency notice effectiveness and employee confidence.</w:t>
      </w:r>
    </w:p>
    <w:p w14:paraId="583FC0A9" w14:textId="77777777" w:rsidR="00217F18" w:rsidRDefault="00000000">
      <w:pPr>
        <w:jc w:val="both"/>
      </w:pPr>
      <w:r>
        <w:rPr>
          <w:rFonts w:eastAsia="Times New Roman"/>
          <w:color w:val="000000"/>
        </w:rPr>
        <w:t>This balanced scorecard is important because one-dimensional metrics can distort behaviour. If DHL measures only efficiency, managers may over-automate and under-invest in oversight. If DHL measures only compliance, innovation may become bureaucratic and value may stall. The board therefore needs a dashboard that shows whether AI is simultaneously creating operational value, remaining within risk appetite and maintaining trust.</w:t>
      </w:r>
    </w:p>
    <w:p w14:paraId="20CEF8ED" w14:textId="77777777" w:rsidR="00217F18" w:rsidRDefault="00000000">
      <w:pPr>
        <w:jc w:val="both"/>
      </w:pPr>
      <w:r>
        <w:rPr>
          <w:rFonts w:eastAsia="Times New Roman"/>
          <w:b/>
          <w:color w:val="2E74B5"/>
        </w:rPr>
        <w:lastRenderedPageBreak/>
        <w:t xml:space="preserve">Minimum board dashboard: </w:t>
      </w:r>
      <w:r>
        <w:rPr>
          <w:rFonts w:eastAsia="Times New Roman"/>
          <w:color w:val="000000"/>
        </w:rPr>
        <w:t>Inventory coverage, Tier 2/3 approvals, DPIA and AI impact assessment completion, model drift or error rates, incidents, human escalation, customer complaints, employee training, regulatory readiness, supplier changes, value created, emissions effects and stop-go triggers.</w:t>
      </w:r>
    </w:p>
    <w:p w14:paraId="3F30544B" w14:textId="77777777" w:rsidR="00217F18" w:rsidRDefault="00000000">
      <w:pPr>
        <w:pStyle w:val="31"/>
        <w:spacing w:before="160" w:after="80" w:line="276" w:lineRule="auto"/>
      </w:pPr>
      <w:r>
        <w:rPr>
          <w:rFonts w:ascii="Times New Roman" w:eastAsia="Times New Roman" w:hAnsi="Times New Roman"/>
          <w:b/>
          <w:color w:val="1F4E79"/>
        </w:rPr>
        <w:t>2.5.2 Limitations and implementation risks</w:t>
      </w:r>
    </w:p>
    <w:p w14:paraId="3C1EA3ED" w14:textId="77777777" w:rsidR="00217F18" w:rsidRDefault="00000000">
      <w:pPr>
        <w:jc w:val="both"/>
      </w:pPr>
      <w:r>
        <w:rPr>
          <w:rFonts w:eastAsia="Times New Roman"/>
          <w:color w:val="000000"/>
        </w:rPr>
        <w:t>The recommendations are realistic but not risk-free. Implementation should be paused or escalated if AI inventory coverage remains below 80 per cent after 90 days, Tier 2/3 systems are deployed without approval, customer complaints linked to AI increase, suppliers refuse audit or change-control rights, or dashboard data cannot be reconciled across divisions. These triggers matter because weak governance can look compliant on paper while high-impact systems continue to scale informally.</w:t>
      </w:r>
    </w:p>
    <w:p w14:paraId="7E839D66" w14:textId="77777777" w:rsidR="00217F18" w:rsidRDefault="00000000">
      <w:pPr>
        <w:jc w:val="both"/>
      </w:pPr>
      <w:r>
        <w:rPr>
          <w:rFonts w:eastAsia="Times New Roman"/>
          <w:color w:val="000000"/>
        </w:rPr>
        <w:t>A further limitation is that the report uses secondary sources. DHL's internal model documentation, incident records, customer complaint data and system architecture are not publicly available. DHL public disclosures are useful but partly promotional, so the analysis triangulates them with regulator, academic and risk-framework sources. Before implementation, DHL should validate the recommendations through internal interviews, system mapping, data-flow analysis and consultation with UK and EU legal specialists. This limitation is stated explicitly because Level 7 analysis should make judgements in the absence of complete data without pretending that incomplete evidence is complete.</w:t>
      </w:r>
    </w:p>
    <w:p w14:paraId="1A3A5E40" w14:textId="77777777" w:rsidR="00217F18" w:rsidRDefault="00000000">
      <w:pPr>
        <w:pStyle w:val="1"/>
        <w:spacing w:before="200" w:after="80" w:line="276" w:lineRule="auto"/>
      </w:pPr>
      <w:r>
        <w:rPr>
          <w:rFonts w:ascii="Times New Roman" w:eastAsia="Times New Roman" w:hAnsi="Times New Roman"/>
          <w:b/>
          <w:color w:val="1F4E79"/>
        </w:rPr>
        <w:t>3. Conclusion</w:t>
      </w:r>
    </w:p>
    <w:p w14:paraId="4C3E6B08" w14:textId="77777777" w:rsidR="00217F18" w:rsidRDefault="00000000">
      <w:pPr>
        <w:jc w:val="both"/>
      </w:pPr>
      <w:r>
        <w:rPr>
          <w:rFonts w:eastAsia="Times New Roman"/>
          <w:color w:val="000000"/>
        </w:rPr>
        <w:t>AI gives DHL a significant strategic opportunity. Agentic AI, robotics, IoT data and predictive analytics can improve speed, scalability, customer responsiveness, resilience and sustainability. DHL's 2025 evidence shows that this is already underway: the company is deploying AI agents, scaling robotics and investing heavily in automation. The central business challenge is therefore not whether DHL should use AI. The strategic challenge is whether DHL can govern AI strongly enough to capture value without creating unacceptable legal, ethical, operational or reputational risk.</w:t>
      </w:r>
    </w:p>
    <w:p w14:paraId="119CEB13" w14:textId="77777777" w:rsidR="00217F18" w:rsidRDefault="00000000">
      <w:pPr>
        <w:jc w:val="both"/>
      </w:pPr>
      <w:r>
        <w:rPr>
          <w:rFonts w:eastAsia="Times New Roman"/>
          <w:color w:val="000000"/>
        </w:rPr>
        <w:t xml:space="preserve">The UK and EU comparison shows why governance design matters. The EU AI Act and GDPR create a more formal and rights-based compliance environment. The UK offers a more flexible, sector-led and pro-innovation approach, increasingly supported by sandboxes and regulator engagement. For DHL, neither fragmentation nor rigid one-size-fits-all control is ideal. The more defensible response is a Group AI Risk and Trust Standard with regional </w:t>
      </w:r>
      <w:r>
        <w:rPr>
          <w:rFonts w:eastAsia="Times New Roman"/>
          <w:color w:val="000000"/>
        </w:rPr>
        <w:lastRenderedPageBreak/>
        <w:t>overlays, four risk tiers, a mandatory AI inventory, DPIA and AI impact assessment gates, human oversight, vendor controls, customer transparency and board-level reporting.</w:t>
      </w:r>
    </w:p>
    <w:p w14:paraId="4BF2F139" w14:textId="77777777" w:rsidR="00217F18" w:rsidRDefault="00000000">
      <w:pPr>
        <w:jc w:val="both"/>
      </w:pPr>
      <w:r>
        <w:rPr>
          <w:rFonts w:eastAsia="Times New Roman"/>
          <w:color w:val="000000"/>
        </w:rPr>
        <w:t>The report's final judgement is that responsible AI governance should be treated as a strategic capability. In a logistics market shaped by geopolitical uncertainty, labour pressure, customer expectations, regulatory divergence and climate transition, trust and resilience can be sources of competitive advantage. DHL can use AI to move faster, but it should do so through governance that is visible, measurable and adaptive. The company that scales AI with more robust trust governance is likely to be better positioned than the company that merely scales AI fastest.</w:t>
      </w:r>
    </w:p>
    <w:p w14:paraId="421CEFD3" w14:textId="77777777" w:rsidR="00217F18" w:rsidRDefault="00000000">
      <w:r>
        <w:rPr>
          <w:rFonts w:eastAsia="Times New Roman"/>
          <w:sz w:val="22"/>
        </w:rPr>
        <w:br w:type="page"/>
      </w:r>
    </w:p>
    <w:p w14:paraId="6B293C81" w14:textId="77777777" w:rsidR="00217F18" w:rsidRDefault="00000000">
      <w:pPr>
        <w:pStyle w:val="1"/>
        <w:spacing w:before="200" w:after="80" w:line="276" w:lineRule="auto"/>
      </w:pPr>
      <w:r>
        <w:rPr>
          <w:rFonts w:ascii="Times New Roman" w:eastAsia="Times New Roman" w:hAnsi="Times New Roman"/>
          <w:b/>
          <w:color w:val="1F4E79"/>
        </w:rPr>
        <w:lastRenderedPageBreak/>
        <w:t>Bibliography</w:t>
      </w:r>
    </w:p>
    <w:p w14:paraId="28030C50" w14:textId="77777777" w:rsidR="00217F18" w:rsidRDefault="00000000">
      <w:pPr>
        <w:spacing w:after="0" w:line="240" w:lineRule="auto"/>
        <w:ind w:left="432" w:hanging="432"/>
      </w:pPr>
      <w:r>
        <w:rPr>
          <w:rFonts w:eastAsia="Times New Roman"/>
          <w:sz w:val="21"/>
        </w:rPr>
        <w:t>Department for Science, Innovation and Technology (2023) A pro-innovation approach to AI regulation. London: HM Government. Available at: https://www.gov.uk/government/publications/ai-regulation-a-pro-innovation-approach/white-paper (Accessed: 20 July 2026).</w:t>
      </w:r>
    </w:p>
    <w:p w14:paraId="17FC1EAC" w14:textId="77777777" w:rsidR="00217F18" w:rsidRDefault="00000000">
      <w:pPr>
        <w:spacing w:after="0" w:line="240" w:lineRule="auto"/>
        <w:ind w:left="432" w:hanging="432"/>
      </w:pPr>
      <w:r>
        <w:rPr>
          <w:rFonts w:eastAsia="Times New Roman"/>
          <w:sz w:val="21"/>
        </w:rPr>
        <w:t>Department for Science, Innovation and Technology (2024) A pro-innovation approach to AI regulation: Government response to consultation. London: HM Government. Available at: https://www.gov.uk/government/consultations/ai-regulation-a-pro-innovation-approach-policy-proposals/outcome/a-pro-innovation-approach-to-ai-regulation-government-response (Accessed: 20 July 2026).</w:t>
      </w:r>
    </w:p>
    <w:p w14:paraId="3E317C82" w14:textId="77777777" w:rsidR="00217F18" w:rsidRDefault="00000000">
      <w:pPr>
        <w:spacing w:after="0" w:line="240" w:lineRule="auto"/>
        <w:ind w:left="432" w:hanging="432"/>
      </w:pPr>
      <w:r>
        <w:t>Department for Science, Innovation and Technology (2025) New blueprint for AI regulation could speed up planning approvals, slash NHS waiting times, and drive growth and public trust. Available at: https://www.gov.uk/government/news/new-blueprint-for-ai-regulation-could-speed-up-planning-approvals-slash-nhs-waiting-times-and-drive-growth-and-public-trust (Accessed: 20 July 2026).</w:t>
      </w:r>
    </w:p>
    <w:p w14:paraId="0B8260C5" w14:textId="77777777" w:rsidR="00217F18" w:rsidRDefault="00000000">
      <w:pPr>
        <w:spacing w:after="0" w:line="240" w:lineRule="auto"/>
        <w:ind w:left="432" w:hanging="432"/>
      </w:pPr>
      <w:r>
        <w:rPr>
          <w:rFonts w:eastAsia="Times New Roman"/>
          <w:sz w:val="22"/>
        </w:rPr>
        <w:t>DHL Group (2025a) DHL Group signs MOU with Boston Dynamics for additional 1,000-robot deployment and accelerates cross-business automation strategy. Available at: https://group.dhl.com/en/media-relations/press-releases/2025/dhl-group-signs-mou-with-boston-dynamics-and-accelerates-cross-business-automation-strategy.html (Accessed: 20 July 2026).</w:t>
      </w:r>
    </w:p>
    <w:p w14:paraId="23C71B5E" w14:textId="77777777" w:rsidR="00217F18" w:rsidRDefault="00000000">
      <w:pPr>
        <w:spacing w:after="0"/>
        <w:ind w:left="432" w:hanging="432"/>
      </w:pPr>
      <w:r>
        <w:rPr>
          <w:rFonts w:eastAsia="Times New Roman"/>
          <w:sz w:val="22"/>
        </w:rPr>
        <w:t>DHL Group (2025b) DHL boosts operational efficiency and customer communications with HappyRobot's AI Agents. Available at: https://group.dhl.com/en/media-relations/press-releases/2025/dhl-boosts-operational-efficiency-and-customer-communications-with-happyrobots-ai-agents.html (Accessed: 20 July 2026).</w:t>
      </w:r>
    </w:p>
    <w:p w14:paraId="2871A8A9" w14:textId="77777777" w:rsidR="00217F18" w:rsidRDefault="00000000">
      <w:pPr>
        <w:spacing w:after="0" w:line="240" w:lineRule="auto"/>
        <w:ind w:left="432" w:hanging="432"/>
      </w:pPr>
      <w:r>
        <w:rPr>
          <w:rFonts w:eastAsia="Times New Roman"/>
          <w:sz w:val="21"/>
        </w:rPr>
        <w:t>DHL Group (2026) 2025 Annual Report. Bonn: DHL Group. Available at: https://reporting-hub.group.dhl.com/2025-fy/en/ (Accessed: 20 July 2026).</w:t>
      </w:r>
    </w:p>
    <w:p w14:paraId="2B60281F" w14:textId="77777777" w:rsidR="00217F18" w:rsidRDefault="00000000">
      <w:pPr>
        <w:spacing w:after="0" w:line="240" w:lineRule="auto"/>
        <w:ind w:left="432" w:hanging="432"/>
      </w:pPr>
      <w:r>
        <w:rPr>
          <w:rFonts w:eastAsia="Times New Roman"/>
          <w:sz w:val="21"/>
        </w:rPr>
        <w:t>DHL Group (n.d.) Strategy 2030. Available at: https://group.dhl.com/en/about-us/the-group/strategy.html (Accessed: 20 July 2026).</w:t>
      </w:r>
    </w:p>
    <w:p w14:paraId="22F0071A" w14:textId="77777777" w:rsidR="00217F18" w:rsidRDefault="00000000">
      <w:pPr>
        <w:spacing w:after="0" w:line="240" w:lineRule="auto"/>
        <w:ind w:left="432" w:hanging="432"/>
      </w:pPr>
      <w:r>
        <w:rPr>
          <w:rFonts w:eastAsia="Times New Roman"/>
          <w:sz w:val="21"/>
        </w:rPr>
        <w:t>European Commission (2026) AI Act. Shaping Europe's digital future. Available at: https://digital-strategy.ec.europa.eu/en/policies/regulatory-framework-ai (Accessed: 20 July 2026).</w:t>
      </w:r>
    </w:p>
    <w:p w14:paraId="6D4D421D" w14:textId="77777777" w:rsidR="00217F18" w:rsidRDefault="00000000">
      <w:pPr>
        <w:spacing w:after="0" w:line="240" w:lineRule="auto"/>
        <w:ind w:left="432" w:hanging="432"/>
      </w:pPr>
      <w:r>
        <w:t>European Parliament and Council of the European Union (2016) Regulation (EU) 2016/679 on the protection of natural persons with regard to the processing of personal data and on the free movement of such data (General Data Protection Regulation). Official Journal of the European Union, L119, pp. 1-88. Available at: https://eur-lex.europa.eu/eli/reg/2016/679/oj/eng (Accessed: 20 July 2026).</w:t>
      </w:r>
    </w:p>
    <w:p w14:paraId="47EE524A" w14:textId="77777777" w:rsidR="00217F18" w:rsidRDefault="00000000">
      <w:pPr>
        <w:spacing w:after="0" w:line="240" w:lineRule="auto"/>
        <w:ind w:left="432" w:hanging="432"/>
      </w:pPr>
      <w:r>
        <w:t>European Parliament and Council of the European Union (2024) Regulation (EU) 2024/1689 laying down harmonised rules on artificial intelligence. Official Journal of the European Union. Available at: https://eur-lex.europa.eu/eli/reg/2024/1689/oj/eng (Accessed: 20 July 2026).</w:t>
      </w:r>
    </w:p>
    <w:p w14:paraId="1CD7AF2F" w14:textId="77777777" w:rsidR="00217F18" w:rsidRDefault="00000000">
      <w:pPr>
        <w:spacing w:after="0" w:line="240" w:lineRule="auto"/>
        <w:ind w:left="432" w:hanging="432"/>
      </w:pPr>
      <w:r>
        <w:t>Floridi, L. et al. (2018) 'AI4People - an ethical framework for a good AI society: opportunities, risks, principles, and recommendations', Minds and Machines, 28(4), pp. 689-707. doi: https://doi.org/10.1007/s11023-018-9482-5.</w:t>
      </w:r>
    </w:p>
    <w:p w14:paraId="196870CC" w14:textId="77777777" w:rsidR="00217F18" w:rsidRDefault="00000000">
      <w:pPr>
        <w:spacing w:after="0" w:line="240" w:lineRule="auto"/>
        <w:ind w:left="432" w:hanging="432"/>
      </w:pPr>
      <w:r>
        <w:rPr>
          <w:rFonts w:eastAsia="Times New Roman"/>
          <w:sz w:val="21"/>
        </w:rPr>
        <w:t>ICO (2023) Guidance on AI and data protection. Information Commissioner's Office. Available at: https://ico.org.uk/for-organisations/uk-gdpr-guidance-and-resources/artificial-intelligence/guidance-on-ai-and-data-protection/ (Accessed: 20 July 2026).</w:t>
      </w:r>
    </w:p>
    <w:p w14:paraId="56BC09F7" w14:textId="77777777" w:rsidR="00217F18" w:rsidRDefault="00000000">
      <w:pPr>
        <w:spacing w:after="0" w:line="240" w:lineRule="auto"/>
        <w:ind w:left="432" w:hanging="432"/>
      </w:pPr>
      <w:r>
        <w:t>Jobin, A., Ienca, M. and Vayena, E. (2019) 'The global landscape of AI ethics guidelines', Nature Machine Intelligence, 1, pp. 389-399. doi: https://doi.org/10.1038/s42256-019-0088-2.</w:t>
      </w:r>
    </w:p>
    <w:p w14:paraId="06D729FE" w14:textId="77777777" w:rsidR="00217F18" w:rsidRDefault="00000000">
      <w:pPr>
        <w:spacing w:after="0" w:line="240" w:lineRule="auto"/>
        <w:ind w:left="432" w:hanging="432"/>
      </w:pPr>
      <w:r>
        <w:t>Kellogg, K.C., Valentine, M.A. and Christin, A. (2020) 'Algorithms at work: the new contested terrain of control', Academy of Management Annals, 14(1), pp. 366-410. doi: https://doi.org/10.5465/annals.2018.0174.</w:t>
      </w:r>
    </w:p>
    <w:p w14:paraId="07729FE9" w14:textId="77777777" w:rsidR="00217F18" w:rsidRDefault="00000000">
      <w:pPr>
        <w:spacing w:after="0" w:line="240" w:lineRule="auto"/>
        <w:ind w:left="432" w:hanging="432"/>
      </w:pPr>
      <w:r>
        <w:lastRenderedPageBreak/>
        <w:t>Mayer, R.C., Davis, J.H. and Schoorman, F.D. (1995) 'An integrative model of organizational trust', Academy of Management Review, 20(3), pp. 709-734. doi: https://doi.org/10.5465/amr.1995.9508080335.</w:t>
      </w:r>
    </w:p>
    <w:p w14:paraId="536D6EAE" w14:textId="77777777" w:rsidR="00217F18" w:rsidRDefault="00000000">
      <w:pPr>
        <w:spacing w:after="0" w:line="240" w:lineRule="auto"/>
        <w:ind w:left="432" w:hanging="432"/>
      </w:pPr>
      <w:r>
        <w:rPr>
          <w:rFonts w:eastAsia="Times New Roman"/>
          <w:sz w:val="21"/>
        </w:rPr>
        <w:t>McKinsey &amp; Company (2025) The state of AI in 2025: Agents, innovation, and transformation. Available at: https://www.mckinsey.com/capabilities/quantumblack/our-insights/the-state-of-ai (Accessed: 20 July 2026).</w:t>
      </w:r>
    </w:p>
    <w:p w14:paraId="283BFC87" w14:textId="77777777" w:rsidR="00217F18" w:rsidRDefault="00000000">
      <w:pPr>
        <w:spacing w:after="0" w:line="240" w:lineRule="auto"/>
        <w:ind w:left="432" w:hanging="432"/>
      </w:pPr>
      <w:r>
        <w:rPr>
          <w:rFonts w:eastAsia="Times New Roman"/>
          <w:sz w:val="21"/>
        </w:rPr>
        <w:t>NIST (2023) Artificial Intelligence Risk Management Framework (AI RMF 1.0). Gaithersburg, MD: National Institute of Standards and Technology. Available at: https://www.nist.gov/itl/ai-risk-management-framework (Accessed: 20 July 2026).</w:t>
      </w:r>
    </w:p>
    <w:p w14:paraId="20538F6D" w14:textId="77777777" w:rsidR="00217F18" w:rsidRDefault="00000000">
      <w:pPr>
        <w:spacing w:after="0" w:line="240" w:lineRule="auto"/>
        <w:ind w:left="432" w:hanging="432"/>
      </w:pPr>
      <w:r>
        <w:rPr>
          <w:rFonts w:eastAsia="Times New Roman"/>
          <w:sz w:val="21"/>
        </w:rPr>
        <w:t>OECD (2024) AI Principles. Available at: https://www.oecd.org/en/topics/sub-issues/ai-principles.html (Accessed: 20 July 2026).</w:t>
      </w:r>
    </w:p>
    <w:p w14:paraId="40B20DE8" w14:textId="77777777" w:rsidR="00217F18" w:rsidRDefault="00000000">
      <w:pPr>
        <w:spacing w:after="0" w:line="240" w:lineRule="auto"/>
        <w:ind w:left="432" w:hanging="432"/>
      </w:pPr>
      <w:r>
        <w:rPr>
          <w:rFonts w:eastAsia="Times New Roman"/>
          <w:sz w:val="21"/>
        </w:rPr>
        <w:t>World Economic Forum (2026) The Global Risks Report 2026. Geneva: World Economic Forum. Available at: https://www.weforum.org/publications/global-risks-report-2026/ (Accessed: 20 July 2026).</w:t>
      </w:r>
      <w:r>
        <w:rPr>
          <w:rFonts w:eastAsia="Times New Roman"/>
          <w:sz w:val="22"/>
        </w:rPr>
        <w:br w:type="page"/>
      </w:r>
    </w:p>
    <w:p w14:paraId="09CC57CC" w14:textId="77777777" w:rsidR="00217F18" w:rsidRDefault="00000000">
      <w:pPr>
        <w:pStyle w:val="1"/>
      </w:pPr>
      <w:r>
        <w:rPr>
          <w:rFonts w:ascii="Times New Roman" w:eastAsia="Times New Roman" w:hAnsi="Times New Roman"/>
          <w:b/>
          <w:color w:val="1F4E79"/>
        </w:rPr>
        <w:lastRenderedPageBreak/>
        <w:t>Appendices</w:t>
      </w:r>
    </w:p>
    <w:p w14:paraId="7F50F0C4" w14:textId="77777777" w:rsidR="00217F18" w:rsidRDefault="00000000">
      <w:pPr>
        <w:pStyle w:val="21"/>
      </w:pPr>
      <w:r>
        <w:rPr>
          <w:rFonts w:ascii="Times New Roman" w:eastAsia="Times New Roman" w:hAnsi="Times New Roman"/>
          <w:b/>
          <w:color w:val="1F4E79"/>
          <w:sz w:val="26"/>
        </w:rPr>
        <w:t>Appendix A: Evidence Base Summary</w:t>
      </w:r>
    </w:p>
    <w:p w14:paraId="5F31903A" w14:textId="77777777" w:rsidR="00217F18" w:rsidRDefault="00000000">
      <w:pPr>
        <w:jc w:val="both"/>
      </w:pPr>
      <w:r>
        <w:rPr>
          <w:rFonts w:eastAsia="Times New Roman"/>
          <w:sz w:val="22"/>
        </w:rPr>
        <w:t>Supports section 2.1 by summarising the organisational evidence used to select DHL and define the AI risk context.</w:t>
      </w:r>
    </w:p>
    <w:tbl>
      <w:tblPr>
        <w:tblStyle w:val="aff1"/>
        <w:tblW w:w="9028" w:type="dxa"/>
        <w:jc w:val="center"/>
        <w:tblLayout w:type="fixed"/>
        <w:tblLook w:val="04A0" w:firstRow="1" w:lastRow="0" w:firstColumn="1" w:lastColumn="0" w:noHBand="0" w:noVBand="1"/>
      </w:tblPr>
      <w:tblGrid>
        <w:gridCol w:w="2778"/>
        <w:gridCol w:w="6250"/>
      </w:tblGrid>
      <w:tr w:rsidR="00217F18" w14:paraId="212DBADD" w14:textId="77777777">
        <w:trPr>
          <w:jc w:val="center"/>
        </w:trPr>
        <w:tc>
          <w:tcPr>
            <w:tcW w:w="2778" w:type="dxa"/>
            <w:tcMar>
              <w:top w:w="80" w:type="dxa"/>
              <w:left w:w="100" w:type="dxa"/>
              <w:bottom w:w="80" w:type="dxa"/>
              <w:right w:w="100" w:type="dxa"/>
            </w:tcMar>
            <w:vAlign w:val="center"/>
          </w:tcPr>
          <w:p w14:paraId="0B76F909" w14:textId="77777777" w:rsidR="00217F18" w:rsidRDefault="00000000">
            <w:pPr>
              <w:jc w:val="center"/>
            </w:pPr>
            <w:r>
              <w:rPr>
                <w:rFonts w:eastAsia="Times New Roman"/>
                <w:b/>
                <w:color w:val="000000"/>
                <w:sz w:val="18"/>
              </w:rPr>
              <w:t>Evidence</w:t>
            </w:r>
          </w:p>
        </w:tc>
        <w:tc>
          <w:tcPr>
            <w:tcW w:w="6250" w:type="dxa"/>
            <w:tcMar>
              <w:top w:w="80" w:type="dxa"/>
              <w:left w:w="100" w:type="dxa"/>
              <w:bottom w:w="80" w:type="dxa"/>
              <w:right w:w="100" w:type="dxa"/>
            </w:tcMar>
            <w:vAlign w:val="center"/>
          </w:tcPr>
          <w:p w14:paraId="6E3C7A53" w14:textId="77777777" w:rsidR="00217F18" w:rsidRDefault="00000000">
            <w:pPr>
              <w:jc w:val="center"/>
            </w:pPr>
            <w:r>
              <w:rPr>
                <w:rFonts w:eastAsia="Times New Roman"/>
                <w:b/>
                <w:color w:val="000000"/>
                <w:sz w:val="18"/>
              </w:rPr>
              <w:t>Relevance to AI risk management</w:t>
            </w:r>
          </w:p>
        </w:tc>
      </w:tr>
      <w:tr w:rsidR="00217F18" w14:paraId="556134FE" w14:textId="77777777">
        <w:trPr>
          <w:jc w:val="center"/>
        </w:trPr>
        <w:tc>
          <w:tcPr>
            <w:tcW w:w="2778" w:type="dxa"/>
            <w:tcMar>
              <w:top w:w="80" w:type="dxa"/>
              <w:left w:w="100" w:type="dxa"/>
              <w:bottom w:w="80" w:type="dxa"/>
              <w:right w:w="100" w:type="dxa"/>
            </w:tcMar>
            <w:vAlign w:val="center"/>
          </w:tcPr>
          <w:p w14:paraId="72667BBC" w14:textId="77777777" w:rsidR="00217F18" w:rsidRDefault="00000000">
            <w:r>
              <w:rPr>
                <w:rFonts w:eastAsia="Times New Roman"/>
                <w:sz w:val="20"/>
              </w:rPr>
              <w:t>EUR 82.855bn revenue, EUR 6.103bn EBIT and EUR 3.2bn free cash flow excluding M&amp;A in 2025</w:t>
            </w:r>
          </w:p>
        </w:tc>
        <w:tc>
          <w:tcPr>
            <w:tcW w:w="6250" w:type="dxa"/>
            <w:tcMar>
              <w:top w:w="80" w:type="dxa"/>
              <w:left w:w="100" w:type="dxa"/>
              <w:bottom w:w="80" w:type="dxa"/>
              <w:right w:w="100" w:type="dxa"/>
            </w:tcMar>
            <w:vAlign w:val="center"/>
          </w:tcPr>
          <w:p w14:paraId="60A5D820" w14:textId="77777777" w:rsidR="00217F18" w:rsidRDefault="00000000">
            <w:r>
              <w:rPr>
                <w:rFonts w:eastAsia="Times New Roman"/>
                <w:sz w:val="20"/>
              </w:rPr>
              <w:t>AI governance must be enterprise-grade because DHL's scale and investment capacity can amplify both productivity gains and control failures.</w:t>
            </w:r>
          </w:p>
        </w:tc>
      </w:tr>
      <w:tr w:rsidR="00217F18" w14:paraId="48C72698" w14:textId="77777777">
        <w:trPr>
          <w:jc w:val="center"/>
        </w:trPr>
        <w:tc>
          <w:tcPr>
            <w:tcW w:w="2778" w:type="dxa"/>
            <w:tcMar>
              <w:top w:w="80" w:type="dxa"/>
              <w:left w:w="100" w:type="dxa"/>
              <w:bottom w:w="80" w:type="dxa"/>
              <w:right w:w="100" w:type="dxa"/>
            </w:tcMar>
            <w:vAlign w:val="center"/>
          </w:tcPr>
          <w:p w14:paraId="0D3AC74C" w14:textId="77777777" w:rsidR="00217F18" w:rsidRDefault="00000000">
            <w:r>
              <w:rPr>
                <w:rFonts w:eastAsia="Times New Roman"/>
                <w:color w:val="000000"/>
                <w:sz w:val="18"/>
              </w:rPr>
              <w:t>Strategy 2030: Digital by Default</w:t>
            </w:r>
          </w:p>
        </w:tc>
        <w:tc>
          <w:tcPr>
            <w:tcW w:w="6250" w:type="dxa"/>
            <w:tcMar>
              <w:top w:w="80" w:type="dxa"/>
              <w:left w:w="100" w:type="dxa"/>
              <w:bottom w:w="80" w:type="dxa"/>
              <w:right w:w="100" w:type="dxa"/>
            </w:tcMar>
            <w:vAlign w:val="center"/>
          </w:tcPr>
          <w:p w14:paraId="22FC6BFA" w14:textId="77777777" w:rsidR="00217F18" w:rsidRDefault="00000000">
            <w:r>
              <w:rPr>
                <w:rFonts w:eastAsia="Times New Roman"/>
                <w:color w:val="000000"/>
                <w:sz w:val="18"/>
              </w:rPr>
              <w:t>AI is strategic, not peripheral; risk management should sit within corporate governance and enterprise risk management.</w:t>
            </w:r>
          </w:p>
        </w:tc>
      </w:tr>
      <w:tr w:rsidR="00217F18" w14:paraId="0486495F" w14:textId="77777777">
        <w:trPr>
          <w:jc w:val="center"/>
        </w:trPr>
        <w:tc>
          <w:tcPr>
            <w:tcW w:w="2778" w:type="dxa"/>
            <w:tcMar>
              <w:top w:w="80" w:type="dxa"/>
              <w:left w:w="100" w:type="dxa"/>
              <w:bottom w:w="80" w:type="dxa"/>
              <w:right w:w="100" w:type="dxa"/>
            </w:tcMar>
            <w:vAlign w:val="center"/>
          </w:tcPr>
          <w:p w14:paraId="1B2067B8" w14:textId="77777777" w:rsidR="00217F18" w:rsidRDefault="00000000">
            <w:r>
              <w:rPr>
                <w:rFonts w:eastAsia="Times New Roman"/>
                <w:color w:val="000000"/>
                <w:sz w:val="18"/>
              </w:rPr>
              <w:t>Agentic AI for communications and customer experience</w:t>
            </w:r>
          </w:p>
        </w:tc>
        <w:tc>
          <w:tcPr>
            <w:tcW w:w="6250" w:type="dxa"/>
            <w:tcMar>
              <w:top w:w="80" w:type="dxa"/>
              <w:left w:w="100" w:type="dxa"/>
              <w:bottom w:w="80" w:type="dxa"/>
              <w:right w:w="100" w:type="dxa"/>
            </w:tcMar>
            <w:vAlign w:val="center"/>
          </w:tcPr>
          <w:p w14:paraId="4537B0CC" w14:textId="77777777" w:rsidR="00217F18" w:rsidRDefault="00000000">
            <w:r>
              <w:rPr>
                <w:rFonts w:eastAsia="Times New Roman"/>
                <w:sz w:val="20"/>
              </w:rPr>
              <w:t>HappyRobot AI agents for scheduling, driver follow-up and high-priority warehouse coordination show that AI is part of real customer and operational workflows; transparency, accuracy, escalation routes and monitoring are therefore needed.</w:t>
            </w:r>
          </w:p>
        </w:tc>
      </w:tr>
      <w:tr w:rsidR="00217F18" w14:paraId="5FFE2D0F" w14:textId="77777777">
        <w:trPr>
          <w:jc w:val="center"/>
        </w:trPr>
        <w:tc>
          <w:tcPr>
            <w:tcW w:w="2778" w:type="dxa"/>
            <w:tcMar>
              <w:top w:w="80" w:type="dxa"/>
              <w:left w:w="100" w:type="dxa"/>
              <w:bottom w:w="80" w:type="dxa"/>
              <w:right w:w="100" w:type="dxa"/>
            </w:tcMar>
            <w:vAlign w:val="center"/>
          </w:tcPr>
          <w:p w14:paraId="2EB96B06" w14:textId="77777777" w:rsidR="00217F18" w:rsidRDefault="00000000">
            <w:r>
              <w:rPr>
                <w:rFonts w:eastAsia="Times New Roman"/>
                <w:color w:val="000000"/>
                <w:sz w:val="18"/>
              </w:rPr>
              <w:t>1,000+ additional Boston Dynamics units; 7,500+ robots; 800,000 IoT sensors</w:t>
            </w:r>
          </w:p>
        </w:tc>
        <w:tc>
          <w:tcPr>
            <w:tcW w:w="6250" w:type="dxa"/>
            <w:tcMar>
              <w:top w:w="80" w:type="dxa"/>
              <w:left w:w="100" w:type="dxa"/>
              <w:bottom w:w="80" w:type="dxa"/>
              <w:right w:w="100" w:type="dxa"/>
            </w:tcMar>
            <w:vAlign w:val="center"/>
          </w:tcPr>
          <w:p w14:paraId="1A4B90C9" w14:textId="77777777" w:rsidR="00217F18" w:rsidRDefault="00000000">
            <w:r>
              <w:rPr>
                <w:rFonts w:eastAsia="Times New Roman"/>
                <w:color w:val="000000"/>
                <w:sz w:val="18"/>
              </w:rPr>
              <w:t>Automation risk includes physical operations, safety, cybersecurity, vendor dependence and data integrity.</w:t>
            </w:r>
          </w:p>
        </w:tc>
      </w:tr>
      <w:tr w:rsidR="00217F18" w14:paraId="74CC4CAB" w14:textId="77777777">
        <w:trPr>
          <w:jc w:val="center"/>
        </w:trPr>
        <w:tc>
          <w:tcPr>
            <w:tcW w:w="2778" w:type="dxa"/>
            <w:tcMar>
              <w:top w:w="80" w:type="dxa"/>
              <w:left w:w="100" w:type="dxa"/>
              <w:bottom w:w="80" w:type="dxa"/>
              <w:right w:w="100" w:type="dxa"/>
            </w:tcMar>
            <w:vAlign w:val="center"/>
          </w:tcPr>
          <w:p w14:paraId="35138193" w14:textId="77777777" w:rsidR="00217F18" w:rsidRDefault="00000000">
            <w:r>
              <w:rPr>
                <w:rFonts w:eastAsia="Times New Roman"/>
                <w:color w:val="000000"/>
                <w:sz w:val="18"/>
              </w:rPr>
              <w:t>UK and EU operations</w:t>
            </w:r>
          </w:p>
        </w:tc>
        <w:tc>
          <w:tcPr>
            <w:tcW w:w="6250" w:type="dxa"/>
            <w:tcMar>
              <w:top w:w="80" w:type="dxa"/>
              <w:left w:w="100" w:type="dxa"/>
              <w:bottom w:w="80" w:type="dxa"/>
              <w:right w:w="100" w:type="dxa"/>
            </w:tcMar>
            <w:vAlign w:val="center"/>
          </w:tcPr>
          <w:p w14:paraId="485EB82C" w14:textId="77777777" w:rsidR="00217F18" w:rsidRDefault="00000000">
            <w:r>
              <w:rPr>
                <w:rFonts w:eastAsia="Times New Roman"/>
                <w:color w:val="000000"/>
                <w:sz w:val="18"/>
              </w:rPr>
              <w:t>DHL must manage regulatory divergence between UK sector-led AI governance and the EU AI Act/GDPR model.</w:t>
            </w:r>
          </w:p>
        </w:tc>
      </w:tr>
    </w:tbl>
    <w:p w14:paraId="5CA63069" w14:textId="77777777" w:rsidR="00217F18" w:rsidRDefault="00217F18"/>
    <w:p w14:paraId="6E9C0262" w14:textId="77777777" w:rsidR="00217F18" w:rsidRDefault="00000000">
      <w:pPr>
        <w:pStyle w:val="21"/>
      </w:pPr>
      <w:r>
        <w:rPr>
          <w:rFonts w:ascii="Times New Roman" w:eastAsia="Times New Roman" w:hAnsi="Times New Roman"/>
          <w:b/>
          <w:color w:val="1F4E79"/>
          <w:sz w:val="26"/>
        </w:rPr>
        <w:t>Appendix B: UK and EU PESTLE Summary Table</w:t>
      </w:r>
    </w:p>
    <w:p w14:paraId="72146C6C" w14:textId="77777777" w:rsidR="00217F18" w:rsidRDefault="00000000">
      <w:pPr>
        <w:jc w:val="both"/>
      </w:pPr>
      <w:r>
        <w:rPr>
          <w:rFonts w:eastAsia="Times New Roman"/>
          <w:sz w:val="22"/>
        </w:rPr>
        <w:t>Supports section 2.2 by summarising the political, economic, social, technological, legal and environmental pressures on DHL.</w:t>
      </w:r>
    </w:p>
    <w:tbl>
      <w:tblPr>
        <w:tblStyle w:val="aff1"/>
        <w:tblW w:w="9027" w:type="dxa"/>
        <w:jc w:val="center"/>
        <w:tblLayout w:type="fixed"/>
        <w:tblLook w:val="04A0" w:firstRow="1" w:lastRow="0" w:firstColumn="1" w:lastColumn="0" w:noHBand="0" w:noVBand="1"/>
      </w:tblPr>
      <w:tblGrid>
        <w:gridCol w:w="1875"/>
        <w:gridCol w:w="3680"/>
        <w:gridCol w:w="3472"/>
      </w:tblGrid>
      <w:tr w:rsidR="00217F18" w14:paraId="40946DAF" w14:textId="77777777">
        <w:trPr>
          <w:jc w:val="center"/>
        </w:trPr>
        <w:tc>
          <w:tcPr>
            <w:tcW w:w="1875" w:type="dxa"/>
            <w:tcMar>
              <w:top w:w="80" w:type="dxa"/>
              <w:left w:w="100" w:type="dxa"/>
              <w:bottom w:w="80" w:type="dxa"/>
              <w:right w:w="100" w:type="dxa"/>
            </w:tcMar>
            <w:vAlign w:val="center"/>
          </w:tcPr>
          <w:p w14:paraId="149070FC" w14:textId="77777777" w:rsidR="00217F18" w:rsidRDefault="00000000">
            <w:pPr>
              <w:jc w:val="center"/>
            </w:pPr>
            <w:r>
              <w:rPr>
                <w:rFonts w:eastAsia="Times New Roman"/>
                <w:b/>
                <w:color w:val="000000"/>
                <w:sz w:val="17"/>
              </w:rPr>
              <w:t>PESTLE factor</w:t>
            </w:r>
          </w:p>
        </w:tc>
        <w:tc>
          <w:tcPr>
            <w:tcW w:w="3680" w:type="dxa"/>
            <w:tcMar>
              <w:top w:w="80" w:type="dxa"/>
              <w:left w:w="100" w:type="dxa"/>
              <w:bottom w:w="80" w:type="dxa"/>
              <w:right w:w="100" w:type="dxa"/>
            </w:tcMar>
            <w:vAlign w:val="center"/>
          </w:tcPr>
          <w:p w14:paraId="044B2FDE" w14:textId="77777777" w:rsidR="00217F18" w:rsidRDefault="00000000">
            <w:pPr>
              <w:jc w:val="center"/>
            </w:pPr>
            <w:r>
              <w:rPr>
                <w:rFonts w:eastAsia="Times New Roman"/>
                <w:b/>
                <w:color w:val="000000"/>
                <w:sz w:val="17"/>
              </w:rPr>
              <w:t>Pressure on DHL</w:t>
            </w:r>
          </w:p>
        </w:tc>
        <w:tc>
          <w:tcPr>
            <w:tcW w:w="3472" w:type="dxa"/>
            <w:tcMar>
              <w:top w:w="80" w:type="dxa"/>
              <w:left w:w="100" w:type="dxa"/>
              <w:bottom w:w="80" w:type="dxa"/>
              <w:right w:w="100" w:type="dxa"/>
            </w:tcMar>
            <w:vAlign w:val="center"/>
          </w:tcPr>
          <w:p w14:paraId="53781397" w14:textId="77777777" w:rsidR="00217F18" w:rsidRDefault="00000000">
            <w:pPr>
              <w:jc w:val="center"/>
            </w:pPr>
            <w:r>
              <w:rPr>
                <w:rFonts w:eastAsia="Times New Roman"/>
                <w:b/>
                <w:color w:val="000000"/>
                <w:sz w:val="17"/>
              </w:rPr>
              <w:t>Strategic implication</w:t>
            </w:r>
          </w:p>
        </w:tc>
      </w:tr>
      <w:tr w:rsidR="00217F18" w14:paraId="708D4A0E" w14:textId="77777777">
        <w:trPr>
          <w:jc w:val="center"/>
        </w:trPr>
        <w:tc>
          <w:tcPr>
            <w:tcW w:w="1875" w:type="dxa"/>
            <w:tcMar>
              <w:top w:w="80" w:type="dxa"/>
              <w:left w:w="100" w:type="dxa"/>
              <w:bottom w:w="80" w:type="dxa"/>
              <w:right w:w="100" w:type="dxa"/>
            </w:tcMar>
            <w:vAlign w:val="center"/>
          </w:tcPr>
          <w:p w14:paraId="1940A6A5" w14:textId="77777777" w:rsidR="00217F18" w:rsidRDefault="00000000">
            <w:r>
              <w:rPr>
                <w:rFonts w:eastAsia="Times New Roman"/>
                <w:sz w:val="20"/>
              </w:rPr>
              <w:t>Political</w:t>
            </w:r>
          </w:p>
        </w:tc>
        <w:tc>
          <w:tcPr>
            <w:tcW w:w="3680" w:type="dxa"/>
            <w:tcMar>
              <w:top w:w="80" w:type="dxa"/>
              <w:left w:w="100" w:type="dxa"/>
              <w:bottom w:w="80" w:type="dxa"/>
              <w:right w:w="100" w:type="dxa"/>
            </w:tcMar>
            <w:vAlign w:val="center"/>
          </w:tcPr>
          <w:p w14:paraId="6045DA23" w14:textId="77777777" w:rsidR="00217F18" w:rsidRDefault="00000000">
            <w:r>
              <w:rPr>
                <w:rFonts w:eastAsia="Times New Roman"/>
                <w:sz w:val="20"/>
              </w:rPr>
              <w:t>UK pro-innovation policy, EU digital sovereignty, regulatory sandboxes and cross-border governance divergence.</w:t>
            </w:r>
          </w:p>
        </w:tc>
        <w:tc>
          <w:tcPr>
            <w:tcW w:w="3472" w:type="dxa"/>
            <w:tcMar>
              <w:top w:w="80" w:type="dxa"/>
              <w:left w:w="100" w:type="dxa"/>
              <w:bottom w:w="80" w:type="dxa"/>
              <w:right w:w="100" w:type="dxa"/>
            </w:tcMar>
            <w:vAlign w:val="center"/>
          </w:tcPr>
          <w:p w14:paraId="72CE5484" w14:textId="77777777" w:rsidR="00217F18" w:rsidRDefault="00000000">
            <w:r>
              <w:rPr>
                <w:rFonts w:eastAsia="Times New Roman"/>
                <w:sz w:val="20"/>
              </w:rPr>
              <w:t>Use one Group AI Risk and Trust Standard so political flexibility does not become control fragmentation.</w:t>
            </w:r>
          </w:p>
        </w:tc>
      </w:tr>
      <w:tr w:rsidR="00217F18" w14:paraId="6E519EFC" w14:textId="77777777">
        <w:trPr>
          <w:jc w:val="center"/>
        </w:trPr>
        <w:tc>
          <w:tcPr>
            <w:tcW w:w="1875" w:type="dxa"/>
            <w:tcMar>
              <w:top w:w="80" w:type="dxa"/>
              <w:left w:w="100" w:type="dxa"/>
              <w:bottom w:w="80" w:type="dxa"/>
              <w:right w:w="100" w:type="dxa"/>
            </w:tcMar>
            <w:vAlign w:val="center"/>
          </w:tcPr>
          <w:p w14:paraId="775EEFE5" w14:textId="77777777" w:rsidR="00217F18" w:rsidRDefault="00000000">
            <w:r>
              <w:rPr>
                <w:rFonts w:eastAsia="Times New Roman"/>
                <w:color w:val="000000"/>
                <w:sz w:val="17"/>
              </w:rPr>
              <w:t>Economic</w:t>
            </w:r>
          </w:p>
        </w:tc>
        <w:tc>
          <w:tcPr>
            <w:tcW w:w="3680" w:type="dxa"/>
            <w:tcMar>
              <w:top w:w="80" w:type="dxa"/>
              <w:left w:w="100" w:type="dxa"/>
              <w:bottom w:w="80" w:type="dxa"/>
              <w:right w:w="100" w:type="dxa"/>
            </w:tcMar>
            <w:vAlign w:val="center"/>
          </w:tcPr>
          <w:p w14:paraId="10262B4A" w14:textId="77777777" w:rsidR="00217F18" w:rsidRDefault="00000000">
            <w:r>
              <w:rPr>
                <w:rFonts w:eastAsia="Times New Roman"/>
                <w:sz w:val="20"/>
              </w:rPr>
              <w:t xml:space="preserve">Inflation, labour scarcity, exchange-rate pressure, route-volume volatility and </w:t>
            </w:r>
            <w:r>
              <w:rPr>
                <w:rFonts w:eastAsia="Times New Roman"/>
                <w:sz w:val="20"/>
              </w:rPr>
              <w:lastRenderedPageBreak/>
              <w:t>pressure for productivity.</w:t>
            </w:r>
          </w:p>
        </w:tc>
        <w:tc>
          <w:tcPr>
            <w:tcW w:w="3472" w:type="dxa"/>
            <w:tcMar>
              <w:top w:w="80" w:type="dxa"/>
              <w:left w:w="100" w:type="dxa"/>
              <w:bottom w:w="80" w:type="dxa"/>
              <w:right w:w="100" w:type="dxa"/>
            </w:tcMar>
            <w:vAlign w:val="center"/>
          </w:tcPr>
          <w:p w14:paraId="23577C8B" w14:textId="77777777" w:rsidR="00217F18" w:rsidRDefault="00000000">
            <w:r>
              <w:rPr>
                <w:rFonts w:eastAsia="Times New Roman"/>
                <w:sz w:val="20"/>
              </w:rPr>
              <w:lastRenderedPageBreak/>
              <w:t xml:space="preserve">Scale AI where value is measurable, but fund assurance as part of the business </w:t>
            </w:r>
            <w:r>
              <w:rPr>
                <w:rFonts w:eastAsia="Times New Roman"/>
                <w:sz w:val="20"/>
              </w:rPr>
              <w:lastRenderedPageBreak/>
              <w:t>case.</w:t>
            </w:r>
          </w:p>
        </w:tc>
      </w:tr>
      <w:tr w:rsidR="00217F18" w14:paraId="13B9611E" w14:textId="77777777">
        <w:trPr>
          <w:jc w:val="center"/>
        </w:trPr>
        <w:tc>
          <w:tcPr>
            <w:tcW w:w="1875" w:type="dxa"/>
            <w:tcMar>
              <w:top w:w="80" w:type="dxa"/>
              <w:left w:w="100" w:type="dxa"/>
              <w:bottom w:w="80" w:type="dxa"/>
              <w:right w:w="100" w:type="dxa"/>
            </w:tcMar>
            <w:vAlign w:val="center"/>
          </w:tcPr>
          <w:p w14:paraId="4C4D161E" w14:textId="77777777" w:rsidR="00217F18" w:rsidRDefault="00000000">
            <w:r>
              <w:rPr>
                <w:rFonts w:eastAsia="Times New Roman"/>
                <w:color w:val="000000"/>
                <w:sz w:val="17"/>
              </w:rPr>
              <w:t>Social</w:t>
            </w:r>
          </w:p>
        </w:tc>
        <w:tc>
          <w:tcPr>
            <w:tcW w:w="3680" w:type="dxa"/>
            <w:tcMar>
              <w:top w:w="80" w:type="dxa"/>
              <w:left w:w="100" w:type="dxa"/>
              <w:bottom w:w="80" w:type="dxa"/>
              <w:right w:w="100" w:type="dxa"/>
            </w:tcMar>
            <w:vAlign w:val="center"/>
          </w:tcPr>
          <w:p w14:paraId="44565E61" w14:textId="77777777" w:rsidR="00217F18" w:rsidRDefault="00000000">
            <w:r>
              <w:rPr>
                <w:rFonts w:eastAsia="Times New Roman"/>
                <w:color w:val="000000"/>
                <w:sz w:val="17"/>
              </w:rPr>
              <w:t>Trust, privacy, employee fairness, explainability and resistance to surveillance.</w:t>
            </w:r>
          </w:p>
        </w:tc>
        <w:tc>
          <w:tcPr>
            <w:tcW w:w="3472" w:type="dxa"/>
            <w:tcMar>
              <w:top w:w="80" w:type="dxa"/>
              <w:left w:w="100" w:type="dxa"/>
              <w:bottom w:w="80" w:type="dxa"/>
              <w:right w:w="100" w:type="dxa"/>
            </w:tcMar>
            <w:vAlign w:val="center"/>
          </w:tcPr>
          <w:p w14:paraId="406F9524" w14:textId="77777777" w:rsidR="00217F18" w:rsidRDefault="00000000">
            <w:r>
              <w:rPr>
                <w:rFonts w:eastAsia="Times New Roman"/>
                <w:color w:val="000000"/>
                <w:sz w:val="17"/>
              </w:rPr>
              <w:t>Use transparency, human escalation and workforce engagement as governance controls.</w:t>
            </w:r>
          </w:p>
        </w:tc>
      </w:tr>
      <w:tr w:rsidR="00217F18" w14:paraId="3530A075" w14:textId="77777777">
        <w:trPr>
          <w:jc w:val="center"/>
        </w:trPr>
        <w:tc>
          <w:tcPr>
            <w:tcW w:w="1875" w:type="dxa"/>
            <w:tcMar>
              <w:top w:w="80" w:type="dxa"/>
              <w:left w:w="100" w:type="dxa"/>
              <w:bottom w:w="80" w:type="dxa"/>
              <w:right w:w="100" w:type="dxa"/>
            </w:tcMar>
            <w:vAlign w:val="center"/>
          </w:tcPr>
          <w:p w14:paraId="49CF89F9" w14:textId="77777777" w:rsidR="00217F18" w:rsidRDefault="00000000">
            <w:r>
              <w:rPr>
                <w:rFonts w:eastAsia="Times New Roman"/>
                <w:color w:val="000000"/>
                <w:sz w:val="17"/>
              </w:rPr>
              <w:t>Technological</w:t>
            </w:r>
          </w:p>
        </w:tc>
        <w:tc>
          <w:tcPr>
            <w:tcW w:w="3680" w:type="dxa"/>
            <w:tcMar>
              <w:top w:w="80" w:type="dxa"/>
              <w:left w:w="100" w:type="dxa"/>
              <w:bottom w:w="80" w:type="dxa"/>
              <w:right w:w="100" w:type="dxa"/>
            </w:tcMar>
            <w:vAlign w:val="center"/>
          </w:tcPr>
          <w:p w14:paraId="39ECF9A3" w14:textId="77777777" w:rsidR="00217F18" w:rsidRDefault="00000000">
            <w:r>
              <w:rPr>
                <w:rFonts w:eastAsia="Times New Roman"/>
                <w:color w:val="000000"/>
                <w:sz w:val="17"/>
              </w:rPr>
              <w:t>Agentic AI, robotics, IoT, model updates, cyber and vendor dependence.</w:t>
            </w:r>
          </w:p>
        </w:tc>
        <w:tc>
          <w:tcPr>
            <w:tcW w:w="3472" w:type="dxa"/>
            <w:tcMar>
              <w:top w:w="80" w:type="dxa"/>
              <w:left w:w="100" w:type="dxa"/>
              <w:bottom w:w="80" w:type="dxa"/>
              <w:right w:w="100" w:type="dxa"/>
            </w:tcMar>
            <w:vAlign w:val="center"/>
          </w:tcPr>
          <w:p w14:paraId="5331B66F" w14:textId="77777777" w:rsidR="00217F18" w:rsidRDefault="00000000">
            <w:r>
              <w:rPr>
                <w:rFonts w:eastAsia="Times New Roman"/>
                <w:color w:val="000000"/>
                <w:sz w:val="17"/>
              </w:rPr>
              <w:t>Inventory AI systems; classify risk; monitor change releases and model performance.</w:t>
            </w:r>
          </w:p>
        </w:tc>
      </w:tr>
      <w:tr w:rsidR="00217F18" w14:paraId="120FBBFD" w14:textId="77777777">
        <w:trPr>
          <w:jc w:val="center"/>
        </w:trPr>
        <w:tc>
          <w:tcPr>
            <w:tcW w:w="1875" w:type="dxa"/>
            <w:tcMar>
              <w:top w:w="80" w:type="dxa"/>
              <w:left w:w="100" w:type="dxa"/>
              <w:bottom w:w="80" w:type="dxa"/>
              <w:right w:w="100" w:type="dxa"/>
            </w:tcMar>
            <w:vAlign w:val="center"/>
          </w:tcPr>
          <w:p w14:paraId="25888411" w14:textId="77777777" w:rsidR="00217F18" w:rsidRDefault="00000000">
            <w:r>
              <w:rPr>
                <w:rFonts w:eastAsia="Times New Roman"/>
                <w:color w:val="000000"/>
                <w:sz w:val="17"/>
              </w:rPr>
              <w:t>Legal</w:t>
            </w:r>
          </w:p>
        </w:tc>
        <w:tc>
          <w:tcPr>
            <w:tcW w:w="3680" w:type="dxa"/>
            <w:tcMar>
              <w:top w:w="80" w:type="dxa"/>
              <w:left w:w="100" w:type="dxa"/>
              <w:bottom w:w="80" w:type="dxa"/>
              <w:right w:w="100" w:type="dxa"/>
            </w:tcMar>
            <w:vAlign w:val="center"/>
          </w:tcPr>
          <w:p w14:paraId="013F58AC" w14:textId="77777777" w:rsidR="00217F18" w:rsidRDefault="00000000">
            <w:r>
              <w:rPr>
                <w:rFonts w:eastAsia="Times New Roman"/>
                <w:color w:val="000000"/>
                <w:sz w:val="17"/>
              </w:rPr>
              <w:t>GDPR/UK GDPR, EU AI Act duties, customer rights and potential litigation.</w:t>
            </w:r>
          </w:p>
        </w:tc>
        <w:tc>
          <w:tcPr>
            <w:tcW w:w="3472" w:type="dxa"/>
            <w:tcMar>
              <w:top w:w="80" w:type="dxa"/>
              <w:left w:w="100" w:type="dxa"/>
              <w:bottom w:w="80" w:type="dxa"/>
              <w:right w:w="100" w:type="dxa"/>
            </w:tcMar>
            <w:vAlign w:val="center"/>
          </w:tcPr>
          <w:p w14:paraId="76395F73" w14:textId="77777777" w:rsidR="00217F18" w:rsidRDefault="00000000">
            <w:r>
              <w:rPr>
                <w:rFonts w:eastAsia="Times New Roman"/>
                <w:color w:val="000000"/>
                <w:sz w:val="17"/>
              </w:rPr>
              <w:t>Use DPIA and AI impact assessment gates before high-impact deployment.</w:t>
            </w:r>
          </w:p>
        </w:tc>
      </w:tr>
      <w:tr w:rsidR="00217F18" w14:paraId="09608A59" w14:textId="77777777">
        <w:trPr>
          <w:jc w:val="center"/>
        </w:trPr>
        <w:tc>
          <w:tcPr>
            <w:tcW w:w="1875" w:type="dxa"/>
            <w:tcMar>
              <w:top w:w="80" w:type="dxa"/>
              <w:left w:w="100" w:type="dxa"/>
              <w:bottom w:w="80" w:type="dxa"/>
              <w:right w:w="100" w:type="dxa"/>
            </w:tcMar>
            <w:vAlign w:val="center"/>
          </w:tcPr>
          <w:p w14:paraId="00AB857F" w14:textId="77777777" w:rsidR="00217F18" w:rsidRDefault="00000000">
            <w:r>
              <w:rPr>
                <w:rFonts w:eastAsia="Times New Roman"/>
                <w:color w:val="000000"/>
                <w:sz w:val="17"/>
              </w:rPr>
              <w:t>Environmental</w:t>
            </w:r>
          </w:p>
        </w:tc>
        <w:tc>
          <w:tcPr>
            <w:tcW w:w="3680" w:type="dxa"/>
            <w:tcMar>
              <w:top w:w="80" w:type="dxa"/>
              <w:left w:w="100" w:type="dxa"/>
              <w:bottom w:w="80" w:type="dxa"/>
              <w:right w:w="100" w:type="dxa"/>
            </w:tcMar>
            <w:vAlign w:val="center"/>
          </w:tcPr>
          <w:p w14:paraId="4F2D0F89" w14:textId="77777777" w:rsidR="00217F18" w:rsidRDefault="00000000">
            <w:r>
              <w:rPr>
                <w:rFonts w:eastAsia="Times New Roman"/>
                <w:color w:val="000000"/>
                <w:sz w:val="17"/>
              </w:rPr>
              <w:t>Demand for lower-carbon logistics and credible ESG claims.</w:t>
            </w:r>
          </w:p>
        </w:tc>
        <w:tc>
          <w:tcPr>
            <w:tcW w:w="3472" w:type="dxa"/>
            <w:tcMar>
              <w:top w:w="80" w:type="dxa"/>
              <w:left w:w="100" w:type="dxa"/>
              <w:bottom w:w="80" w:type="dxa"/>
              <w:right w:w="100" w:type="dxa"/>
            </w:tcMar>
            <w:vAlign w:val="center"/>
          </w:tcPr>
          <w:p w14:paraId="0EB9CFAB" w14:textId="77777777" w:rsidR="00217F18" w:rsidRDefault="00000000">
            <w:r>
              <w:rPr>
                <w:rFonts w:eastAsia="Times New Roman"/>
                <w:color w:val="000000"/>
                <w:sz w:val="17"/>
              </w:rPr>
              <w:t>Track AI's effect on emissions, resilience and working conditions, not only efficiency.</w:t>
            </w:r>
          </w:p>
        </w:tc>
      </w:tr>
    </w:tbl>
    <w:p w14:paraId="57A826C9" w14:textId="77777777" w:rsidR="00217F18" w:rsidRDefault="00217F18"/>
    <w:p w14:paraId="68E4DE89" w14:textId="77777777" w:rsidR="00217F18" w:rsidRDefault="00000000">
      <w:pPr>
        <w:pStyle w:val="21"/>
      </w:pPr>
      <w:r>
        <w:rPr>
          <w:rFonts w:ascii="Times New Roman" w:eastAsia="Times New Roman" w:hAnsi="Times New Roman"/>
          <w:b/>
          <w:color w:val="1F4E79"/>
          <w:sz w:val="26"/>
        </w:rPr>
        <w:t>Appendix C: DHL AI Use-Case Risk Map</w:t>
      </w:r>
    </w:p>
    <w:p w14:paraId="2F3A0EBA" w14:textId="77777777" w:rsidR="00217F18" w:rsidRDefault="00000000">
      <w:pPr>
        <w:jc w:val="both"/>
      </w:pPr>
      <w:r>
        <w:rPr>
          <w:rFonts w:eastAsia="Times New Roman"/>
          <w:sz w:val="22"/>
        </w:rPr>
        <w:t>Supports section 2.3 by mapping practical DHL AI use cases to risk triggers, UK/EU relevance and residual owners.</w:t>
      </w:r>
    </w:p>
    <w:tbl>
      <w:tblPr>
        <w:tblStyle w:val="aff1"/>
        <w:tblW w:w="9028" w:type="dxa"/>
        <w:jc w:val="center"/>
        <w:tblLayout w:type="fixed"/>
        <w:tblLook w:val="04A0" w:firstRow="1" w:lastRow="0" w:firstColumn="1" w:lastColumn="0" w:noHBand="0" w:noVBand="1"/>
      </w:tblPr>
      <w:tblGrid>
        <w:gridCol w:w="1875"/>
        <w:gridCol w:w="2778"/>
        <w:gridCol w:w="2153"/>
        <w:gridCol w:w="2222"/>
      </w:tblGrid>
      <w:tr w:rsidR="00217F18" w14:paraId="59A6648A" w14:textId="77777777">
        <w:trPr>
          <w:jc w:val="center"/>
        </w:trPr>
        <w:tc>
          <w:tcPr>
            <w:tcW w:w="1875" w:type="dxa"/>
            <w:tcMar>
              <w:top w:w="80" w:type="dxa"/>
              <w:left w:w="100" w:type="dxa"/>
              <w:bottom w:w="80" w:type="dxa"/>
              <w:right w:w="100" w:type="dxa"/>
            </w:tcMar>
            <w:vAlign w:val="center"/>
          </w:tcPr>
          <w:p w14:paraId="6153D10E" w14:textId="77777777" w:rsidR="00217F18" w:rsidRDefault="00000000">
            <w:pPr>
              <w:jc w:val="center"/>
            </w:pPr>
            <w:r>
              <w:rPr>
                <w:rFonts w:eastAsia="Times New Roman"/>
                <w:b/>
                <w:color w:val="000000"/>
                <w:sz w:val="15"/>
              </w:rPr>
              <w:t>DHL AI use case</w:t>
            </w:r>
          </w:p>
        </w:tc>
        <w:tc>
          <w:tcPr>
            <w:tcW w:w="2778" w:type="dxa"/>
            <w:tcMar>
              <w:top w:w="80" w:type="dxa"/>
              <w:left w:w="100" w:type="dxa"/>
              <w:bottom w:w="80" w:type="dxa"/>
              <w:right w:w="100" w:type="dxa"/>
            </w:tcMar>
            <w:vAlign w:val="center"/>
          </w:tcPr>
          <w:p w14:paraId="6787FDF8" w14:textId="77777777" w:rsidR="00217F18" w:rsidRDefault="00000000">
            <w:pPr>
              <w:jc w:val="center"/>
            </w:pPr>
            <w:r>
              <w:rPr>
                <w:rFonts w:eastAsia="Times New Roman"/>
                <w:b/>
                <w:color w:val="000000"/>
                <w:sz w:val="15"/>
              </w:rPr>
              <w:t>Risk trigger</w:t>
            </w:r>
          </w:p>
        </w:tc>
        <w:tc>
          <w:tcPr>
            <w:tcW w:w="2153" w:type="dxa"/>
            <w:tcMar>
              <w:top w:w="80" w:type="dxa"/>
              <w:left w:w="100" w:type="dxa"/>
              <w:bottom w:w="80" w:type="dxa"/>
              <w:right w:w="100" w:type="dxa"/>
            </w:tcMar>
            <w:vAlign w:val="center"/>
          </w:tcPr>
          <w:p w14:paraId="672704E8" w14:textId="77777777" w:rsidR="00217F18" w:rsidRDefault="00000000">
            <w:pPr>
              <w:jc w:val="center"/>
            </w:pPr>
            <w:r>
              <w:rPr>
                <w:rFonts w:eastAsia="Times New Roman"/>
                <w:b/>
                <w:color w:val="000000"/>
                <w:sz w:val="15"/>
              </w:rPr>
              <w:t>UK/EU relevance</w:t>
            </w:r>
          </w:p>
        </w:tc>
        <w:tc>
          <w:tcPr>
            <w:tcW w:w="2222" w:type="dxa"/>
            <w:tcMar>
              <w:top w:w="80" w:type="dxa"/>
              <w:left w:w="100" w:type="dxa"/>
              <w:bottom w:w="80" w:type="dxa"/>
              <w:right w:w="100" w:type="dxa"/>
            </w:tcMar>
            <w:vAlign w:val="center"/>
          </w:tcPr>
          <w:p w14:paraId="5EF4351C" w14:textId="77777777" w:rsidR="00217F18" w:rsidRDefault="00000000">
            <w:pPr>
              <w:jc w:val="center"/>
            </w:pPr>
            <w:r>
              <w:rPr>
                <w:rFonts w:eastAsia="Times New Roman"/>
                <w:b/>
                <w:color w:val="000000"/>
                <w:sz w:val="15"/>
              </w:rPr>
              <w:t>Control and residual owner</w:t>
            </w:r>
          </w:p>
        </w:tc>
      </w:tr>
      <w:tr w:rsidR="00217F18" w14:paraId="65578567" w14:textId="77777777">
        <w:trPr>
          <w:jc w:val="center"/>
        </w:trPr>
        <w:tc>
          <w:tcPr>
            <w:tcW w:w="1875" w:type="dxa"/>
            <w:tcMar>
              <w:top w:w="80" w:type="dxa"/>
              <w:left w:w="100" w:type="dxa"/>
              <w:bottom w:w="80" w:type="dxa"/>
              <w:right w:w="100" w:type="dxa"/>
            </w:tcMar>
            <w:vAlign w:val="center"/>
          </w:tcPr>
          <w:p w14:paraId="5F6BD527" w14:textId="77777777" w:rsidR="00217F18" w:rsidRDefault="00000000">
            <w:r>
              <w:rPr>
                <w:rFonts w:eastAsia="Times New Roman"/>
                <w:color w:val="000000"/>
                <w:sz w:val="15"/>
              </w:rPr>
              <w:t>Customer-service AI agents</w:t>
            </w:r>
          </w:p>
        </w:tc>
        <w:tc>
          <w:tcPr>
            <w:tcW w:w="2778" w:type="dxa"/>
            <w:tcMar>
              <w:top w:w="80" w:type="dxa"/>
              <w:left w:w="100" w:type="dxa"/>
              <w:bottom w:w="80" w:type="dxa"/>
              <w:right w:w="100" w:type="dxa"/>
            </w:tcMar>
            <w:vAlign w:val="center"/>
          </w:tcPr>
          <w:p w14:paraId="46DD1CE6" w14:textId="77777777" w:rsidR="00217F18" w:rsidRDefault="00000000">
            <w:r>
              <w:rPr>
                <w:rFonts w:eastAsia="Times New Roman"/>
                <w:color w:val="000000"/>
                <w:sz w:val="15"/>
              </w:rPr>
              <w:t>Stale tracking or customs data could generate inaccurate delivery promises and poor escalation decisions.</w:t>
            </w:r>
          </w:p>
        </w:tc>
        <w:tc>
          <w:tcPr>
            <w:tcW w:w="2153" w:type="dxa"/>
            <w:tcMar>
              <w:top w:w="80" w:type="dxa"/>
              <w:left w:w="100" w:type="dxa"/>
              <w:bottom w:w="80" w:type="dxa"/>
              <w:right w:w="100" w:type="dxa"/>
            </w:tcMar>
            <w:vAlign w:val="center"/>
          </w:tcPr>
          <w:p w14:paraId="2BAA7454" w14:textId="77777777" w:rsidR="00217F18" w:rsidRDefault="00000000">
            <w:r>
              <w:rPr>
                <w:rFonts w:eastAsia="Times New Roman"/>
                <w:color w:val="000000"/>
                <w:sz w:val="15"/>
              </w:rPr>
              <w:t>GDPR/UK GDPR accuracy, transparency and individual rights; EU AI Act transparency for AI interaction.</w:t>
            </w:r>
          </w:p>
        </w:tc>
        <w:tc>
          <w:tcPr>
            <w:tcW w:w="2222" w:type="dxa"/>
            <w:tcMar>
              <w:top w:w="80" w:type="dxa"/>
              <w:left w:w="100" w:type="dxa"/>
              <w:bottom w:w="80" w:type="dxa"/>
              <w:right w:w="100" w:type="dxa"/>
            </w:tcMar>
            <w:vAlign w:val="center"/>
          </w:tcPr>
          <w:p w14:paraId="453D8D03" w14:textId="77777777" w:rsidR="00217F18" w:rsidRDefault="00000000">
            <w:r>
              <w:rPr>
                <w:rFonts w:eastAsia="Times New Roman"/>
                <w:color w:val="000000"/>
                <w:sz w:val="15"/>
              </w:rPr>
              <w:t>Data lineage, output monitoring, human hand-off and complaint analytics; Customer Experience and Operations.</w:t>
            </w:r>
          </w:p>
        </w:tc>
      </w:tr>
      <w:tr w:rsidR="00217F18" w14:paraId="70B5E5FE" w14:textId="77777777">
        <w:trPr>
          <w:jc w:val="center"/>
        </w:trPr>
        <w:tc>
          <w:tcPr>
            <w:tcW w:w="1875" w:type="dxa"/>
            <w:tcMar>
              <w:top w:w="80" w:type="dxa"/>
              <w:left w:w="100" w:type="dxa"/>
              <w:bottom w:w="80" w:type="dxa"/>
              <w:right w:w="100" w:type="dxa"/>
            </w:tcMar>
            <w:vAlign w:val="center"/>
          </w:tcPr>
          <w:p w14:paraId="69A5AE09" w14:textId="77777777" w:rsidR="00217F18" w:rsidRDefault="00000000">
            <w:r>
              <w:rPr>
                <w:rFonts w:eastAsia="Times New Roman"/>
                <w:color w:val="000000"/>
                <w:sz w:val="15"/>
              </w:rPr>
              <w:t>Route optimisation and capacity forecasting</w:t>
            </w:r>
          </w:p>
        </w:tc>
        <w:tc>
          <w:tcPr>
            <w:tcW w:w="2778" w:type="dxa"/>
            <w:tcMar>
              <w:top w:w="80" w:type="dxa"/>
              <w:left w:w="100" w:type="dxa"/>
              <w:bottom w:w="80" w:type="dxa"/>
              <w:right w:w="100" w:type="dxa"/>
            </w:tcMar>
            <w:vAlign w:val="center"/>
          </w:tcPr>
          <w:p w14:paraId="14128582" w14:textId="77777777" w:rsidR="00217F18" w:rsidRDefault="00000000">
            <w:r>
              <w:rPr>
                <w:rFonts w:eastAsia="Times New Roman"/>
                <w:color w:val="000000"/>
                <w:sz w:val="15"/>
              </w:rPr>
              <w:t>Incomplete regional data may distort capacity allocation, emissions claims or service priority.</w:t>
            </w:r>
          </w:p>
        </w:tc>
        <w:tc>
          <w:tcPr>
            <w:tcW w:w="2153" w:type="dxa"/>
            <w:tcMar>
              <w:top w:w="80" w:type="dxa"/>
              <w:left w:w="100" w:type="dxa"/>
              <w:bottom w:w="80" w:type="dxa"/>
              <w:right w:w="100" w:type="dxa"/>
            </w:tcMar>
            <w:vAlign w:val="center"/>
          </w:tcPr>
          <w:p w14:paraId="259897D5" w14:textId="77777777" w:rsidR="00217F18" w:rsidRDefault="00000000">
            <w:r>
              <w:rPr>
                <w:rFonts w:eastAsia="Times New Roman"/>
                <w:color w:val="000000"/>
                <w:sz w:val="15"/>
              </w:rPr>
              <w:t>Cross-border data governance, customer fairness and operational resilience expectations.</w:t>
            </w:r>
          </w:p>
        </w:tc>
        <w:tc>
          <w:tcPr>
            <w:tcW w:w="2222" w:type="dxa"/>
            <w:tcMar>
              <w:top w:w="80" w:type="dxa"/>
              <w:left w:w="100" w:type="dxa"/>
              <w:bottom w:w="80" w:type="dxa"/>
              <w:right w:w="100" w:type="dxa"/>
            </w:tcMar>
            <w:vAlign w:val="center"/>
          </w:tcPr>
          <w:p w14:paraId="6A05846B" w14:textId="77777777" w:rsidR="00217F18" w:rsidRDefault="00000000">
            <w:r>
              <w:rPr>
                <w:rFonts w:eastAsia="Times New Roman"/>
                <w:color w:val="000000"/>
                <w:sz w:val="15"/>
              </w:rPr>
              <w:t>Model validation, drift monitoring, exception rules and audit logs; Network Operations and Risk.</w:t>
            </w:r>
          </w:p>
        </w:tc>
      </w:tr>
      <w:tr w:rsidR="00217F18" w14:paraId="1692B46A" w14:textId="77777777">
        <w:trPr>
          <w:jc w:val="center"/>
        </w:trPr>
        <w:tc>
          <w:tcPr>
            <w:tcW w:w="1875" w:type="dxa"/>
            <w:tcMar>
              <w:top w:w="80" w:type="dxa"/>
              <w:left w:w="100" w:type="dxa"/>
              <w:bottom w:w="80" w:type="dxa"/>
              <w:right w:w="100" w:type="dxa"/>
            </w:tcMar>
            <w:vAlign w:val="center"/>
          </w:tcPr>
          <w:p w14:paraId="0D453B69" w14:textId="77777777" w:rsidR="00217F18" w:rsidRDefault="00000000">
            <w:r>
              <w:rPr>
                <w:rFonts w:eastAsia="Times New Roman"/>
                <w:color w:val="000000"/>
                <w:sz w:val="15"/>
              </w:rPr>
              <w:t>Warehouse robotics and computer vision</w:t>
            </w:r>
          </w:p>
        </w:tc>
        <w:tc>
          <w:tcPr>
            <w:tcW w:w="2778" w:type="dxa"/>
            <w:tcMar>
              <w:top w:w="80" w:type="dxa"/>
              <w:left w:w="100" w:type="dxa"/>
              <w:bottom w:w="80" w:type="dxa"/>
              <w:right w:w="100" w:type="dxa"/>
            </w:tcMar>
            <w:vAlign w:val="center"/>
          </w:tcPr>
          <w:p w14:paraId="3404E178" w14:textId="77777777" w:rsidR="00217F18" w:rsidRDefault="00000000">
            <w:r>
              <w:rPr>
                <w:rFonts w:eastAsia="Times New Roman"/>
                <w:color w:val="000000"/>
                <w:sz w:val="15"/>
              </w:rPr>
              <w:t>Vendor model updates, sensor errors or cyber incidents could affect safety, throughput or downtime.</w:t>
            </w:r>
          </w:p>
        </w:tc>
        <w:tc>
          <w:tcPr>
            <w:tcW w:w="2153" w:type="dxa"/>
            <w:tcMar>
              <w:top w:w="80" w:type="dxa"/>
              <w:left w:w="100" w:type="dxa"/>
              <w:bottom w:w="80" w:type="dxa"/>
              <w:right w:w="100" w:type="dxa"/>
            </w:tcMar>
            <w:vAlign w:val="center"/>
          </w:tcPr>
          <w:p w14:paraId="3A4A8685" w14:textId="77777777" w:rsidR="00217F18" w:rsidRDefault="00000000">
            <w:r>
              <w:rPr>
                <w:rFonts w:eastAsia="Times New Roman"/>
                <w:color w:val="000000"/>
                <w:sz w:val="15"/>
              </w:rPr>
              <w:t>Health and safety, cybersecurity, supplier assurance and possible high-impact AI documentation.</w:t>
            </w:r>
          </w:p>
        </w:tc>
        <w:tc>
          <w:tcPr>
            <w:tcW w:w="2222" w:type="dxa"/>
            <w:tcMar>
              <w:top w:w="80" w:type="dxa"/>
              <w:left w:w="100" w:type="dxa"/>
              <w:bottom w:w="80" w:type="dxa"/>
              <w:right w:w="100" w:type="dxa"/>
            </w:tcMar>
            <w:vAlign w:val="center"/>
          </w:tcPr>
          <w:p w14:paraId="5817728F" w14:textId="77777777" w:rsidR="00217F18" w:rsidRDefault="00000000">
            <w:r>
              <w:rPr>
                <w:rFonts w:eastAsia="Times New Roman"/>
                <w:color w:val="000000"/>
                <w:sz w:val="15"/>
              </w:rPr>
              <w:t>Change control, rollback testing, incident playbooks and supplier audit rights; Operations, Cybersecurity and Procurement.</w:t>
            </w:r>
          </w:p>
        </w:tc>
      </w:tr>
      <w:tr w:rsidR="00217F18" w14:paraId="05020ABE" w14:textId="77777777">
        <w:trPr>
          <w:jc w:val="center"/>
        </w:trPr>
        <w:tc>
          <w:tcPr>
            <w:tcW w:w="1875" w:type="dxa"/>
            <w:tcMar>
              <w:top w:w="80" w:type="dxa"/>
              <w:left w:w="100" w:type="dxa"/>
              <w:bottom w:w="80" w:type="dxa"/>
              <w:right w:w="100" w:type="dxa"/>
            </w:tcMar>
            <w:vAlign w:val="center"/>
          </w:tcPr>
          <w:p w14:paraId="151FFF88" w14:textId="77777777" w:rsidR="00217F18" w:rsidRDefault="00000000">
            <w:r>
              <w:rPr>
                <w:rFonts w:eastAsia="Times New Roman"/>
                <w:color w:val="000000"/>
                <w:sz w:val="15"/>
              </w:rPr>
              <w:t>Workforce scheduling and performance analytics</w:t>
            </w:r>
          </w:p>
        </w:tc>
        <w:tc>
          <w:tcPr>
            <w:tcW w:w="2778" w:type="dxa"/>
            <w:tcMar>
              <w:top w:w="80" w:type="dxa"/>
              <w:left w:w="100" w:type="dxa"/>
              <w:bottom w:w="80" w:type="dxa"/>
              <w:right w:w="100" w:type="dxa"/>
            </w:tcMar>
            <w:vAlign w:val="center"/>
          </w:tcPr>
          <w:p w14:paraId="079AC0A7" w14:textId="77777777" w:rsidR="00217F18" w:rsidRDefault="00000000">
            <w:r>
              <w:rPr>
                <w:rFonts w:eastAsia="Times New Roman"/>
                <w:color w:val="000000"/>
                <w:sz w:val="15"/>
              </w:rPr>
              <w:t>Productivity data may influence shifts, monitoring or redeployment in ways staff perceive as unfair.</w:t>
            </w:r>
          </w:p>
        </w:tc>
        <w:tc>
          <w:tcPr>
            <w:tcW w:w="2153" w:type="dxa"/>
            <w:tcMar>
              <w:top w:w="80" w:type="dxa"/>
              <w:left w:w="100" w:type="dxa"/>
              <w:bottom w:w="80" w:type="dxa"/>
              <w:right w:w="100" w:type="dxa"/>
            </w:tcMar>
            <w:vAlign w:val="center"/>
          </w:tcPr>
          <w:p w14:paraId="56DD7BA4" w14:textId="77777777" w:rsidR="00217F18" w:rsidRDefault="00000000">
            <w:r>
              <w:rPr>
                <w:rFonts w:eastAsia="Times New Roman"/>
                <w:color w:val="000000"/>
                <w:sz w:val="15"/>
              </w:rPr>
              <w:t>UK/EU data protection, employment expectations and worker contestability.</w:t>
            </w:r>
          </w:p>
        </w:tc>
        <w:tc>
          <w:tcPr>
            <w:tcW w:w="2222" w:type="dxa"/>
            <w:tcMar>
              <w:top w:w="80" w:type="dxa"/>
              <w:left w:w="100" w:type="dxa"/>
              <w:bottom w:w="80" w:type="dxa"/>
              <w:right w:w="100" w:type="dxa"/>
            </w:tcMar>
            <w:vAlign w:val="center"/>
          </w:tcPr>
          <w:p w14:paraId="09DD2C88" w14:textId="77777777" w:rsidR="00217F18" w:rsidRDefault="00000000">
            <w:r>
              <w:rPr>
                <w:rFonts w:eastAsia="Times New Roman"/>
                <w:color w:val="000000"/>
                <w:sz w:val="15"/>
              </w:rPr>
              <w:t>DPIA, worker transparency, consultation, appeal route and training; HR, DPO and divisional managers.</w:t>
            </w:r>
          </w:p>
        </w:tc>
      </w:tr>
      <w:tr w:rsidR="00217F18" w14:paraId="2F861FE8" w14:textId="77777777">
        <w:trPr>
          <w:jc w:val="center"/>
        </w:trPr>
        <w:tc>
          <w:tcPr>
            <w:tcW w:w="1875" w:type="dxa"/>
            <w:tcMar>
              <w:top w:w="80" w:type="dxa"/>
              <w:left w:w="100" w:type="dxa"/>
              <w:bottom w:w="80" w:type="dxa"/>
              <w:right w:w="100" w:type="dxa"/>
            </w:tcMar>
            <w:vAlign w:val="center"/>
          </w:tcPr>
          <w:p w14:paraId="3A62CA61" w14:textId="77777777" w:rsidR="00217F18" w:rsidRDefault="00000000">
            <w:r>
              <w:rPr>
                <w:rFonts w:eastAsia="Times New Roman"/>
                <w:color w:val="000000"/>
                <w:sz w:val="15"/>
              </w:rPr>
              <w:t>Customs documentation and exception handling</w:t>
            </w:r>
          </w:p>
        </w:tc>
        <w:tc>
          <w:tcPr>
            <w:tcW w:w="2778" w:type="dxa"/>
            <w:tcMar>
              <w:top w:w="80" w:type="dxa"/>
              <w:left w:w="100" w:type="dxa"/>
              <w:bottom w:w="80" w:type="dxa"/>
              <w:right w:w="100" w:type="dxa"/>
            </w:tcMar>
            <w:vAlign w:val="center"/>
          </w:tcPr>
          <w:p w14:paraId="7AFABD48" w14:textId="77777777" w:rsidR="00217F18" w:rsidRDefault="00000000">
            <w:r>
              <w:rPr>
                <w:rFonts w:eastAsia="Times New Roman"/>
                <w:color w:val="000000"/>
                <w:sz w:val="15"/>
              </w:rPr>
              <w:t>AI-generated summaries may miss regulatory detail or misclassify shipment risk during disruption.</w:t>
            </w:r>
          </w:p>
        </w:tc>
        <w:tc>
          <w:tcPr>
            <w:tcW w:w="2153" w:type="dxa"/>
            <w:tcMar>
              <w:top w:w="80" w:type="dxa"/>
              <w:left w:w="100" w:type="dxa"/>
              <w:bottom w:w="80" w:type="dxa"/>
              <w:right w:w="100" w:type="dxa"/>
            </w:tcMar>
            <w:vAlign w:val="center"/>
          </w:tcPr>
          <w:p w14:paraId="003C6F64" w14:textId="77777777" w:rsidR="00217F18" w:rsidRDefault="00000000">
            <w:r>
              <w:rPr>
                <w:rFonts w:eastAsia="Times New Roman"/>
                <w:color w:val="000000"/>
                <w:sz w:val="15"/>
              </w:rPr>
              <w:t>Trade compliance, data accuracy and customer reliance on AI-supported advice.</w:t>
            </w:r>
          </w:p>
        </w:tc>
        <w:tc>
          <w:tcPr>
            <w:tcW w:w="2222" w:type="dxa"/>
            <w:tcMar>
              <w:top w:w="80" w:type="dxa"/>
              <w:left w:w="100" w:type="dxa"/>
              <w:bottom w:w="80" w:type="dxa"/>
              <w:right w:w="100" w:type="dxa"/>
            </w:tcMar>
            <w:vAlign w:val="center"/>
          </w:tcPr>
          <w:p w14:paraId="298A08F3" w14:textId="77777777" w:rsidR="00217F18" w:rsidRDefault="00000000">
            <w:r>
              <w:rPr>
                <w:rFonts w:eastAsia="Times New Roman"/>
                <w:color w:val="000000"/>
                <w:sz w:val="15"/>
              </w:rPr>
              <w:t>Human validation for high-impact exceptions, audit trails and accountable business sponsor; Compliance and Operations.</w:t>
            </w:r>
          </w:p>
        </w:tc>
      </w:tr>
    </w:tbl>
    <w:p w14:paraId="4782D009" w14:textId="77777777" w:rsidR="00217F18" w:rsidRDefault="00217F18"/>
    <w:p w14:paraId="0073D16D" w14:textId="77777777" w:rsidR="00217F18" w:rsidRDefault="00000000">
      <w:pPr>
        <w:pStyle w:val="21"/>
      </w:pPr>
      <w:r>
        <w:rPr>
          <w:rFonts w:ascii="Times New Roman" w:eastAsia="Times New Roman" w:hAnsi="Times New Roman"/>
          <w:b/>
          <w:color w:val="1F4E79"/>
          <w:sz w:val="26"/>
        </w:rPr>
        <w:lastRenderedPageBreak/>
        <w:t>Appendix D: Governance Options Comparison</w:t>
      </w:r>
    </w:p>
    <w:p w14:paraId="7635E224" w14:textId="77777777" w:rsidR="00217F18" w:rsidRDefault="00000000">
      <w:pPr>
        <w:jc w:val="both"/>
      </w:pPr>
      <w:r>
        <w:rPr>
          <w:rFonts w:eastAsia="Times New Roman"/>
          <w:sz w:val="22"/>
        </w:rPr>
        <w:t>Supports section 2.4 by comparing the advantages, weaknesses and judgement for each governance option.</w:t>
      </w:r>
    </w:p>
    <w:tbl>
      <w:tblPr>
        <w:tblStyle w:val="aff1"/>
        <w:tblW w:w="9027" w:type="dxa"/>
        <w:jc w:val="center"/>
        <w:tblLayout w:type="fixed"/>
        <w:tblLook w:val="04A0" w:firstRow="1" w:lastRow="0" w:firstColumn="1" w:lastColumn="0" w:noHBand="0" w:noVBand="1"/>
      </w:tblPr>
      <w:tblGrid>
        <w:gridCol w:w="2153"/>
        <w:gridCol w:w="2430"/>
        <w:gridCol w:w="2291"/>
        <w:gridCol w:w="2153"/>
      </w:tblGrid>
      <w:tr w:rsidR="00217F18" w14:paraId="439772B5" w14:textId="77777777">
        <w:trPr>
          <w:jc w:val="center"/>
        </w:trPr>
        <w:tc>
          <w:tcPr>
            <w:tcW w:w="2153" w:type="dxa"/>
            <w:tcMar>
              <w:top w:w="80" w:type="dxa"/>
              <w:left w:w="100" w:type="dxa"/>
              <w:bottom w:w="80" w:type="dxa"/>
              <w:right w:w="100" w:type="dxa"/>
            </w:tcMar>
            <w:vAlign w:val="center"/>
          </w:tcPr>
          <w:p w14:paraId="0C316AFB" w14:textId="77777777" w:rsidR="00217F18" w:rsidRDefault="00000000">
            <w:pPr>
              <w:jc w:val="center"/>
            </w:pPr>
            <w:r>
              <w:rPr>
                <w:rFonts w:eastAsia="Times New Roman"/>
                <w:b/>
                <w:color w:val="000000"/>
                <w:sz w:val="16"/>
              </w:rPr>
              <w:t>Option</w:t>
            </w:r>
          </w:p>
        </w:tc>
        <w:tc>
          <w:tcPr>
            <w:tcW w:w="2430" w:type="dxa"/>
            <w:tcMar>
              <w:top w:w="80" w:type="dxa"/>
              <w:left w:w="100" w:type="dxa"/>
              <w:bottom w:w="80" w:type="dxa"/>
              <w:right w:w="100" w:type="dxa"/>
            </w:tcMar>
            <w:vAlign w:val="center"/>
          </w:tcPr>
          <w:p w14:paraId="5EE1CD6A" w14:textId="77777777" w:rsidR="00217F18" w:rsidRDefault="00000000">
            <w:pPr>
              <w:jc w:val="center"/>
            </w:pPr>
            <w:r>
              <w:rPr>
                <w:rFonts w:eastAsia="Times New Roman"/>
                <w:b/>
                <w:color w:val="000000"/>
                <w:sz w:val="16"/>
              </w:rPr>
              <w:t>Advantages</w:t>
            </w:r>
          </w:p>
        </w:tc>
        <w:tc>
          <w:tcPr>
            <w:tcW w:w="2291" w:type="dxa"/>
            <w:tcMar>
              <w:top w:w="80" w:type="dxa"/>
              <w:left w:w="100" w:type="dxa"/>
              <w:bottom w:w="80" w:type="dxa"/>
              <w:right w:w="100" w:type="dxa"/>
            </w:tcMar>
            <w:vAlign w:val="center"/>
          </w:tcPr>
          <w:p w14:paraId="1792381F" w14:textId="77777777" w:rsidR="00217F18" w:rsidRDefault="00000000">
            <w:pPr>
              <w:jc w:val="center"/>
            </w:pPr>
            <w:r>
              <w:rPr>
                <w:rFonts w:eastAsia="Times New Roman"/>
                <w:b/>
                <w:color w:val="000000"/>
                <w:sz w:val="16"/>
              </w:rPr>
              <w:t>Weaknesses</w:t>
            </w:r>
          </w:p>
        </w:tc>
        <w:tc>
          <w:tcPr>
            <w:tcW w:w="2153" w:type="dxa"/>
            <w:tcMar>
              <w:top w:w="80" w:type="dxa"/>
              <w:left w:w="100" w:type="dxa"/>
              <w:bottom w:w="80" w:type="dxa"/>
              <w:right w:w="100" w:type="dxa"/>
            </w:tcMar>
            <w:vAlign w:val="center"/>
          </w:tcPr>
          <w:p w14:paraId="5F7FC438" w14:textId="77777777" w:rsidR="00217F18" w:rsidRDefault="00000000">
            <w:pPr>
              <w:jc w:val="center"/>
            </w:pPr>
            <w:r>
              <w:rPr>
                <w:rFonts w:eastAsia="Times New Roman"/>
                <w:b/>
                <w:color w:val="000000"/>
                <w:sz w:val="16"/>
              </w:rPr>
              <w:t>Judgement</w:t>
            </w:r>
          </w:p>
        </w:tc>
      </w:tr>
      <w:tr w:rsidR="00217F18" w14:paraId="2E2902DD" w14:textId="77777777">
        <w:trPr>
          <w:jc w:val="center"/>
        </w:trPr>
        <w:tc>
          <w:tcPr>
            <w:tcW w:w="2153" w:type="dxa"/>
            <w:tcMar>
              <w:top w:w="80" w:type="dxa"/>
              <w:left w:w="100" w:type="dxa"/>
              <w:bottom w:w="80" w:type="dxa"/>
              <w:right w:w="100" w:type="dxa"/>
            </w:tcMar>
            <w:vAlign w:val="center"/>
          </w:tcPr>
          <w:p w14:paraId="241865D8" w14:textId="77777777" w:rsidR="00217F18" w:rsidRDefault="00000000">
            <w:r>
              <w:rPr>
                <w:rFonts w:eastAsia="Times New Roman"/>
                <w:color w:val="000000"/>
                <w:sz w:val="16"/>
              </w:rPr>
              <w:t>Local compliance by jurisdiction</w:t>
            </w:r>
          </w:p>
        </w:tc>
        <w:tc>
          <w:tcPr>
            <w:tcW w:w="2430" w:type="dxa"/>
            <w:tcMar>
              <w:top w:w="80" w:type="dxa"/>
              <w:left w:w="100" w:type="dxa"/>
              <w:bottom w:w="80" w:type="dxa"/>
              <w:right w:w="100" w:type="dxa"/>
            </w:tcMar>
            <w:vAlign w:val="center"/>
          </w:tcPr>
          <w:p w14:paraId="5707CC02" w14:textId="77777777" w:rsidR="00217F18" w:rsidRDefault="00000000">
            <w:r>
              <w:rPr>
                <w:rFonts w:eastAsia="Times New Roman"/>
                <w:color w:val="000000"/>
                <w:sz w:val="16"/>
              </w:rPr>
              <w:t>Fast local experimentation; responsive to UK flexibility and EU specificity.</w:t>
            </w:r>
          </w:p>
        </w:tc>
        <w:tc>
          <w:tcPr>
            <w:tcW w:w="2291" w:type="dxa"/>
            <w:tcMar>
              <w:top w:w="80" w:type="dxa"/>
              <w:left w:w="100" w:type="dxa"/>
              <w:bottom w:w="80" w:type="dxa"/>
              <w:right w:w="100" w:type="dxa"/>
            </w:tcMar>
            <w:vAlign w:val="center"/>
          </w:tcPr>
          <w:p w14:paraId="612A5FF0" w14:textId="77777777" w:rsidR="00217F18" w:rsidRDefault="00000000">
            <w:r>
              <w:rPr>
                <w:rFonts w:eastAsia="Times New Roman"/>
                <w:color w:val="000000"/>
                <w:sz w:val="16"/>
              </w:rPr>
              <w:t>Duplicates controls, fragments risk data, creates uneven customer safeguards.</w:t>
            </w:r>
          </w:p>
        </w:tc>
        <w:tc>
          <w:tcPr>
            <w:tcW w:w="2153" w:type="dxa"/>
            <w:tcMar>
              <w:top w:w="80" w:type="dxa"/>
              <w:left w:w="100" w:type="dxa"/>
              <w:bottom w:w="80" w:type="dxa"/>
              <w:right w:w="100" w:type="dxa"/>
            </w:tcMar>
            <w:vAlign w:val="center"/>
          </w:tcPr>
          <w:p w14:paraId="31AF53A7" w14:textId="77777777" w:rsidR="00217F18" w:rsidRDefault="00000000">
            <w:r>
              <w:rPr>
                <w:rFonts w:eastAsia="Times New Roman"/>
                <w:color w:val="000000"/>
                <w:sz w:val="16"/>
              </w:rPr>
              <w:t>Not sufficient for a global logistics brand.</w:t>
            </w:r>
          </w:p>
        </w:tc>
      </w:tr>
      <w:tr w:rsidR="00217F18" w14:paraId="3CB9960C" w14:textId="77777777">
        <w:trPr>
          <w:jc w:val="center"/>
        </w:trPr>
        <w:tc>
          <w:tcPr>
            <w:tcW w:w="2153" w:type="dxa"/>
            <w:tcMar>
              <w:top w:w="80" w:type="dxa"/>
              <w:left w:w="100" w:type="dxa"/>
              <w:bottom w:w="80" w:type="dxa"/>
              <w:right w:w="100" w:type="dxa"/>
            </w:tcMar>
            <w:vAlign w:val="center"/>
          </w:tcPr>
          <w:p w14:paraId="765F9FEA" w14:textId="77777777" w:rsidR="00217F18" w:rsidRDefault="00000000">
            <w:r>
              <w:rPr>
                <w:rFonts w:eastAsia="Times New Roman"/>
                <w:color w:val="000000"/>
                <w:sz w:val="16"/>
              </w:rPr>
              <w:t>EU-standard governance everywhere</w:t>
            </w:r>
          </w:p>
        </w:tc>
        <w:tc>
          <w:tcPr>
            <w:tcW w:w="2430" w:type="dxa"/>
            <w:tcMar>
              <w:top w:w="80" w:type="dxa"/>
              <w:left w:w="100" w:type="dxa"/>
              <w:bottom w:w="80" w:type="dxa"/>
              <w:right w:w="100" w:type="dxa"/>
            </w:tcMar>
            <w:vAlign w:val="center"/>
          </w:tcPr>
          <w:p w14:paraId="4D86C6B9" w14:textId="77777777" w:rsidR="00217F18" w:rsidRDefault="00000000">
            <w:r>
              <w:rPr>
                <w:rFonts w:eastAsia="Times New Roman"/>
                <w:color w:val="000000"/>
                <w:sz w:val="16"/>
              </w:rPr>
              <w:t>Strong consistency, easier board assurance, lower risk of under-compliance in EU.</w:t>
            </w:r>
          </w:p>
        </w:tc>
        <w:tc>
          <w:tcPr>
            <w:tcW w:w="2291" w:type="dxa"/>
            <w:tcMar>
              <w:top w:w="80" w:type="dxa"/>
              <w:left w:w="100" w:type="dxa"/>
              <w:bottom w:w="80" w:type="dxa"/>
              <w:right w:w="100" w:type="dxa"/>
            </w:tcMar>
            <w:vAlign w:val="center"/>
          </w:tcPr>
          <w:p w14:paraId="468284A4" w14:textId="77777777" w:rsidR="00217F18" w:rsidRDefault="00000000">
            <w:r>
              <w:rPr>
                <w:rFonts w:eastAsia="Times New Roman"/>
                <w:color w:val="000000"/>
                <w:sz w:val="16"/>
              </w:rPr>
              <w:t>May over-control low-risk tools and reduce UK innovation benefits.</w:t>
            </w:r>
          </w:p>
        </w:tc>
        <w:tc>
          <w:tcPr>
            <w:tcW w:w="2153" w:type="dxa"/>
            <w:tcMar>
              <w:top w:w="80" w:type="dxa"/>
              <w:left w:w="100" w:type="dxa"/>
              <w:bottom w:w="80" w:type="dxa"/>
              <w:right w:w="100" w:type="dxa"/>
            </w:tcMar>
            <w:vAlign w:val="center"/>
          </w:tcPr>
          <w:p w14:paraId="182774D4" w14:textId="77777777" w:rsidR="00217F18" w:rsidRDefault="00000000">
            <w:r>
              <w:rPr>
                <w:rFonts w:eastAsia="Times New Roman"/>
                <w:color w:val="000000"/>
                <w:sz w:val="16"/>
              </w:rPr>
              <w:t>Useful baseline for high-impact systems, but too rigid as the only model.</w:t>
            </w:r>
          </w:p>
        </w:tc>
      </w:tr>
      <w:tr w:rsidR="00217F18" w14:paraId="6D67E3B2" w14:textId="77777777">
        <w:trPr>
          <w:jc w:val="center"/>
        </w:trPr>
        <w:tc>
          <w:tcPr>
            <w:tcW w:w="2153" w:type="dxa"/>
            <w:tcMar>
              <w:top w:w="80" w:type="dxa"/>
              <w:left w:w="100" w:type="dxa"/>
              <w:bottom w:w="80" w:type="dxa"/>
              <w:right w:w="100" w:type="dxa"/>
            </w:tcMar>
            <w:vAlign w:val="center"/>
          </w:tcPr>
          <w:p w14:paraId="36BE2A91" w14:textId="77777777" w:rsidR="00217F18" w:rsidRDefault="00000000">
            <w:r>
              <w:rPr>
                <w:rFonts w:eastAsia="Times New Roman"/>
                <w:color w:val="000000"/>
                <w:sz w:val="16"/>
              </w:rPr>
              <w:t>Global baseline plus regional overlays</w:t>
            </w:r>
          </w:p>
        </w:tc>
        <w:tc>
          <w:tcPr>
            <w:tcW w:w="2430" w:type="dxa"/>
            <w:tcMar>
              <w:top w:w="80" w:type="dxa"/>
              <w:left w:w="100" w:type="dxa"/>
              <w:bottom w:w="80" w:type="dxa"/>
              <w:right w:w="100" w:type="dxa"/>
            </w:tcMar>
            <w:vAlign w:val="center"/>
          </w:tcPr>
          <w:p w14:paraId="3873DF35" w14:textId="77777777" w:rsidR="00217F18" w:rsidRDefault="00000000">
            <w:r>
              <w:rPr>
                <w:rFonts w:eastAsia="Times New Roman"/>
                <w:color w:val="000000"/>
                <w:sz w:val="16"/>
              </w:rPr>
              <w:t>Common inventory, risk tiers, data controls and board reporting; local rules added where needed.</w:t>
            </w:r>
          </w:p>
        </w:tc>
        <w:tc>
          <w:tcPr>
            <w:tcW w:w="2291" w:type="dxa"/>
            <w:tcMar>
              <w:top w:w="80" w:type="dxa"/>
              <w:left w:w="100" w:type="dxa"/>
              <w:bottom w:w="80" w:type="dxa"/>
              <w:right w:w="100" w:type="dxa"/>
            </w:tcMar>
            <w:vAlign w:val="center"/>
          </w:tcPr>
          <w:p w14:paraId="5046C89F" w14:textId="77777777" w:rsidR="00217F18" w:rsidRDefault="00000000">
            <w:r>
              <w:rPr>
                <w:rFonts w:eastAsia="Times New Roman"/>
                <w:color w:val="000000"/>
                <w:sz w:val="16"/>
              </w:rPr>
              <w:t>Requires strong central ownership and disciplined implementation.</w:t>
            </w:r>
          </w:p>
        </w:tc>
        <w:tc>
          <w:tcPr>
            <w:tcW w:w="2153" w:type="dxa"/>
            <w:tcMar>
              <w:top w:w="80" w:type="dxa"/>
              <w:left w:w="100" w:type="dxa"/>
              <w:bottom w:w="80" w:type="dxa"/>
              <w:right w:w="100" w:type="dxa"/>
            </w:tcMar>
            <w:vAlign w:val="center"/>
          </w:tcPr>
          <w:p w14:paraId="468B69D5" w14:textId="77777777" w:rsidR="00217F18" w:rsidRDefault="00000000">
            <w:r>
              <w:rPr>
                <w:rFonts w:eastAsia="Times New Roman"/>
                <w:color w:val="000000"/>
                <w:sz w:val="16"/>
              </w:rPr>
              <w:t>Recommended because it balances resilience, compliance and scalable innovation.</w:t>
            </w:r>
          </w:p>
        </w:tc>
      </w:tr>
    </w:tbl>
    <w:p w14:paraId="45972344" w14:textId="77777777" w:rsidR="00217F18" w:rsidRDefault="00217F18"/>
    <w:p w14:paraId="5230CE6E" w14:textId="77777777" w:rsidR="00217F18" w:rsidRDefault="00000000">
      <w:pPr>
        <w:pStyle w:val="21"/>
      </w:pPr>
      <w:r>
        <w:rPr>
          <w:rFonts w:ascii="Times New Roman" w:eastAsia="Times New Roman" w:hAnsi="Times New Roman"/>
          <w:b/>
          <w:color w:val="1F4E79"/>
          <w:sz w:val="26"/>
        </w:rPr>
        <w:t>Appendix E: Detailed SMART Implementation Matrix</w:t>
      </w:r>
    </w:p>
    <w:p w14:paraId="356C2CED" w14:textId="77777777" w:rsidR="00217F18" w:rsidRDefault="00000000">
      <w:pPr>
        <w:jc w:val="both"/>
      </w:pPr>
      <w:r>
        <w:rPr>
          <w:rFonts w:eastAsia="Times New Roman"/>
          <w:sz w:val="22"/>
        </w:rPr>
        <w:t>Supports section 2.5 by setting out owners, KPIs and strategic purposes for the implementation plan.</w:t>
      </w:r>
    </w:p>
    <w:tbl>
      <w:tblPr>
        <w:tblStyle w:val="aff1"/>
        <w:tblW w:w="9027" w:type="dxa"/>
        <w:jc w:val="center"/>
        <w:tblLayout w:type="fixed"/>
        <w:tblLook w:val="04A0" w:firstRow="1" w:lastRow="0" w:firstColumn="1" w:lastColumn="0" w:noHBand="0" w:noVBand="1"/>
      </w:tblPr>
      <w:tblGrid>
        <w:gridCol w:w="1111"/>
        <w:gridCol w:w="2500"/>
        <w:gridCol w:w="1875"/>
        <w:gridCol w:w="2014"/>
        <w:gridCol w:w="1527"/>
      </w:tblGrid>
      <w:tr w:rsidR="00217F18" w14:paraId="1AB22196" w14:textId="77777777">
        <w:trPr>
          <w:jc w:val="center"/>
        </w:trPr>
        <w:tc>
          <w:tcPr>
            <w:tcW w:w="1111" w:type="dxa"/>
            <w:tcMar>
              <w:top w:w="80" w:type="dxa"/>
              <w:left w:w="100" w:type="dxa"/>
              <w:bottom w:w="80" w:type="dxa"/>
              <w:right w:w="100" w:type="dxa"/>
            </w:tcMar>
            <w:vAlign w:val="center"/>
          </w:tcPr>
          <w:p w14:paraId="12044735" w14:textId="77777777" w:rsidR="00217F18" w:rsidRDefault="00000000">
            <w:pPr>
              <w:jc w:val="center"/>
            </w:pPr>
            <w:r>
              <w:rPr>
                <w:rFonts w:eastAsia="Times New Roman"/>
                <w:b/>
                <w:color w:val="000000"/>
                <w:sz w:val="15"/>
              </w:rPr>
              <w:t>Timeframe</w:t>
            </w:r>
          </w:p>
        </w:tc>
        <w:tc>
          <w:tcPr>
            <w:tcW w:w="2500" w:type="dxa"/>
            <w:tcMar>
              <w:top w:w="80" w:type="dxa"/>
              <w:left w:w="100" w:type="dxa"/>
              <w:bottom w:w="80" w:type="dxa"/>
              <w:right w:w="100" w:type="dxa"/>
            </w:tcMar>
            <w:vAlign w:val="center"/>
          </w:tcPr>
          <w:p w14:paraId="492C7E31" w14:textId="77777777" w:rsidR="00217F18" w:rsidRDefault="00000000">
            <w:pPr>
              <w:jc w:val="center"/>
            </w:pPr>
            <w:r>
              <w:rPr>
                <w:rFonts w:eastAsia="Times New Roman"/>
                <w:b/>
                <w:color w:val="000000"/>
                <w:sz w:val="15"/>
              </w:rPr>
              <w:t>Action</w:t>
            </w:r>
          </w:p>
        </w:tc>
        <w:tc>
          <w:tcPr>
            <w:tcW w:w="1875" w:type="dxa"/>
            <w:tcMar>
              <w:top w:w="80" w:type="dxa"/>
              <w:left w:w="100" w:type="dxa"/>
              <w:bottom w:w="80" w:type="dxa"/>
              <w:right w:w="100" w:type="dxa"/>
            </w:tcMar>
            <w:vAlign w:val="center"/>
          </w:tcPr>
          <w:p w14:paraId="4AF1F1A5" w14:textId="77777777" w:rsidR="00217F18" w:rsidRDefault="00000000">
            <w:pPr>
              <w:jc w:val="center"/>
            </w:pPr>
            <w:r>
              <w:rPr>
                <w:rFonts w:eastAsia="Times New Roman"/>
                <w:b/>
                <w:color w:val="000000"/>
                <w:sz w:val="15"/>
              </w:rPr>
              <w:t>Owner</w:t>
            </w:r>
          </w:p>
        </w:tc>
        <w:tc>
          <w:tcPr>
            <w:tcW w:w="2014" w:type="dxa"/>
            <w:tcMar>
              <w:top w:w="80" w:type="dxa"/>
              <w:left w:w="100" w:type="dxa"/>
              <w:bottom w:w="80" w:type="dxa"/>
              <w:right w:w="100" w:type="dxa"/>
            </w:tcMar>
            <w:vAlign w:val="center"/>
          </w:tcPr>
          <w:p w14:paraId="3ED02A99" w14:textId="77777777" w:rsidR="00217F18" w:rsidRDefault="00000000">
            <w:pPr>
              <w:jc w:val="center"/>
            </w:pPr>
            <w:r>
              <w:rPr>
                <w:rFonts w:eastAsia="Times New Roman"/>
                <w:b/>
                <w:color w:val="000000"/>
                <w:sz w:val="15"/>
              </w:rPr>
              <w:t>KPI / evidence</w:t>
            </w:r>
          </w:p>
        </w:tc>
        <w:tc>
          <w:tcPr>
            <w:tcW w:w="1527" w:type="dxa"/>
            <w:tcMar>
              <w:top w:w="80" w:type="dxa"/>
              <w:left w:w="100" w:type="dxa"/>
              <w:bottom w:w="80" w:type="dxa"/>
              <w:right w:w="100" w:type="dxa"/>
            </w:tcMar>
            <w:vAlign w:val="center"/>
          </w:tcPr>
          <w:p w14:paraId="52FEF963" w14:textId="77777777" w:rsidR="00217F18" w:rsidRDefault="00000000">
            <w:pPr>
              <w:jc w:val="center"/>
            </w:pPr>
            <w:r>
              <w:rPr>
                <w:rFonts w:eastAsia="Times New Roman"/>
                <w:b/>
                <w:color w:val="000000"/>
                <w:sz w:val="15"/>
              </w:rPr>
              <w:t>Strategic purpose</w:t>
            </w:r>
          </w:p>
        </w:tc>
      </w:tr>
      <w:tr w:rsidR="00217F18" w14:paraId="1FA9B9B9" w14:textId="77777777">
        <w:trPr>
          <w:jc w:val="center"/>
        </w:trPr>
        <w:tc>
          <w:tcPr>
            <w:tcW w:w="1111" w:type="dxa"/>
            <w:tcMar>
              <w:top w:w="80" w:type="dxa"/>
              <w:left w:w="100" w:type="dxa"/>
              <w:bottom w:w="80" w:type="dxa"/>
              <w:right w:w="100" w:type="dxa"/>
            </w:tcMar>
            <w:vAlign w:val="center"/>
          </w:tcPr>
          <w:p w14:paraId="3EBF2A12" w14:textId="77777777" w:rsidR="00217F18" w:rsidRDefault="00000000">
            <w:r>
              <w:rPr>
                <w:rFonts w:eastAsia="Times New Roman"/>
                <w:color w:val="000000"/>
                <w:sz w:val="15"/>
              </w:rPr>
              <w:t>0-90 days</w:t>
            </w:r>
          </w:p>
        </w:tc>
        <w:tc>
          <w:tcPr>
            <w:tcW w:w="2500" w:type="dxa"/>
            <w:tcMar>
              <w:top w:w="80" w:type="dxa"/>
              <w:left w:w="100" w:type="dxa"/>
              <w:bottom w:w="80" w:type="dxa"/>
              <w:right w:w="100" w:type="dxa"/>
            </w:tcMar>
            <w:vAlign w:val="center"/>
          </w:tcPr>
          <w:p w14:paraId="46BDBF51" w14:textId="77777777" w:rsidR="00217F18" w:rsidRDefault="00000000">
            <w:r>
              <w:rPr>
                <w:rFonts w:eastAsia="Times New Roman"/>
                <w:color w:val="000000"/>
                <w:sz w:val="15"/>
              </w:rPr>
              <w:t>Create a UK/EU AI inventory covering AI agents, robotics, IoT analytics, customer tools, workforce tools and vendor systems.</w:t>
            </w:r>
          </w:p>
        </w:tc>
        <w:tc>
          <w:tcPr>
            <w:tcW w:w="1875" w:type="dxa"/>
            <w:tcMar>
              <w:top w:w="80" w:type="dxa"/>
              <w:left w:w="100" w:type="dxa"/>
              <w:bottom w:w="80" w:type="dxa"/>
              <w:right w:w="100" w:type="dxa"/>
            </w:tcMar>
            <w:vAlign w:val="center"/>
          </w:tcPr>
          <w:p w14:paraId="78616AE7" w14:textId="77777777" w:rsidR="00217F18" w:rsidRDefault="00000000">
            <w:r>
              <w:rPr>
                <w:rFonts w:eastAsia="Times New Roman"/>
                <w:color w:val="000000"/>
                <w:sz w:val="15"/>
              </w:rPr>
              <w:t>Chief Digital Officer with DPO, Legal and divisional CIOs.</w:t>
            </w:r>
          </w:p>
        </w:tc>
        <w:tc>
          <w:tcPr>
            <w:tcW w:w="2014" w:type="dxa"/>
            <w:tcMar>
              <w:top w:w="80" w:type="dxa"/>
              <w:left w:w="100" w:type="dxa"/>
              <w:bottom w:w="80" w:type="dxa"/>
              <w:right w:w="100" w:type="dxa"/>
            </w:tcMar>
            <w:vAlign w:val="center"/>
          </w:tcPr>
          <w:p w14:paraId="4C4F1003" w14:textId="77777777" w:rsidR="00217F18" w:rsidRDefault="00000000">
            <w:r>
              <w:rPr>
                <w:rFonts w:eastAsia="Times New Roman"/>
                <w:color w:val="000000"/>
                <w:sz w:val="15"/>
              </w:rPr>
              <w:t>100% of UK/EU Tier 2/3 candidate systems logged; no new high-impact deployment without classification.</w:t>
            </w:r>
          </w:p>
        </w:tc>
        <w:tc>
          <w:tcPr>
            <w:tcW w:w="1527" w:type="dxa"/>
            <w:tcMar>
              <w:top w:w="80" w:type="dxa"/>
              <w:left w:w="100" w:type="dxa"/>
              <w:bottom w:w="80" w:type="dxa"/>
              <w:right w:w="100" w:type="dxa"/>
            </w:tcMar>
            <w:vAlign w:val="center"/>
          </w:tcPr>
          <w:p w14:paraId="102612BE" w14:textId="77777777" w:rsidR="00217F18" w:rsidRDefault="00000000">
            <w:r>
              <w:rPr>
                <w:rFonts w:eastAsia="Times New Roman"/>
                <w:color w:val="000000"/>
                <w:sz w:val="15"/>
              </w:rPr>
              <w:t>Make AI risk visible before scaling.</w:t>
            </w:r>
          </w:p>
        </w:tc>
      </w:tr>
      <w:tr w:rsidR="00217F18" w14:paraId="24AA2177" w14:textId="77777777">
        <w:trPr>
          <w:jc w:val="center"/>
        </w:trPr>
        <w:tc>
          <w:tcPr>
            <w:tcW w:w="1111" w:type="dxa"/>
            <w:tcMar>
              <w:top w:w="80" w:type="dxa"/>
              <w:left w:w="100" w:type="dxa"/>
              <w:bottom w:w="80" w:type="dxa"/>
              <w:right w:w="100" w:type="dxa"/>
            </w:tcMar>
            <w:vAlign w:val="center"/>
          </w:tcPr>
          <w:p w14:paraId="4D46B89C" w14:textId="77777777" w:rsidR="00217F18" w:rsidRDefault="00000000">
            <w:r>
              <w:rPr>
                <w:rFonts w:eastAsia="Times New Roman"/>
                <w:color w:val="000000"/>
                <w:sz w:val="15"/>
              </w:rPr>
              <w:t>0-90 days</w:t>
            </w:r>
          </w:p>
        </w:tc>
        <w:tc>
          <w:tcPr>
            <w:tcW w:w="2500" w:type="dxa"/>
            <w:tcMar>
              <w:top w:w="80" w:type="dxa"/>
              <w:left w:w="100" w:type="dxa"/>
              <w:bottom w:w="80" w:type="dxa"/>
              <w:right w:w="100" w:type="dxa"/>
            </w:tcMar>
            <w:vAlign w:val="center"/>
          </w:tcPr>
          <w:p w14:paraId="2D2520AC" w14:textId="77777777" w:rsidR="00217F18" w:rsidRDefault="00000000">
            <w:r>
              <w:rPr>
                <w:rFonts w:eastAsia="Times New Roman"/>
                <w:color w:val="000000"/>
                <w:sz w:val="15"/>
              </w:rPr>
              <w:t>Approve four-tier AI risk classification and freeze unapproved high-impact pilots until reviewed.</w:t>
            </w:r>
          </w:p>
        </w:tc>
        <w:tc>
          <w:tcPr>
            <w:tcW w:w="1875" w:type="dxa"/>
            <w:tcMar>
              <w:top w:w="80" w:type="dxa"/>
              <w:left w:w="100" w:type="dxa"/>
              <w:bottom w:w="80" w:type="dxa"/>
              <w:right w:w="100" w:type="dxa"/>
            </w:tcMar>
            <w:vAlign w:val="center"/>
          </w:tcPr>
          <w:p w14:paraId="046344D3" w14:textId="77777777" w:rsidR="00217F18" w:rsidRDefault="00000000">
            <w:r>
              <w:rPr>
                <w:rFonts w:eastAsia="Times New Roman"/>
                <w:color w:val="000000"/>
                <w:sz w:val="15"/>
              </w:rPr>
              <w:t>Group AI Risk and Trust Committee.</w:t>
            </w:r>
          </w:p>
        </w:tc>
        <w:tc>
          <w:tcPr>
            <w:tcW w:w="2014" w:type="dxa"/>
            <w:tcMar>
              <w:top w:w="80" w:type="dxa"/>
              <w:left w:w="100" w:type="dxa"/>
              <w:bottom w:w="80" w:type="dxa"/>
              <w:right w:w="100" w:type="dxa"/>
            </w:tcMar>
            <w:vAlign w:val="center"/>
          </w:tcPr>
          <w:p w14:paraId="6F53FA10" w14:textId="77777777" w:rsidR="00217F18" w:rsidRDefault="00000000">
            <w:r>
              <w:rPr>
                <w:rFonts w:eastAsia="Times New Roman"/>
                <w:color w:val="000000"/>
                <w:sz w:val="15"/>
              </w:rPr>
              <w:t>Risk tier assigned to all in-scope systems; exceptions reported to board committee.</w:t>
            </w:r>
          </w:p>
        </w:tc>
        <w:tc>
          <w:tcPr>
            <w:tcW w:w="1527" w:type="dxa"/>
            <w:tcMar>
              <w:top w:w="80" w:type="dxa"/>
              <w:left w:w="100" w:type="dxa"/>
              <w:bottom w:w="80" w:type="dxa"/>
              <w:right w:w="100" w:type="dxa"/>
            </w:tcMar>
            <w:vAlign w:val="center"/>
          </w:tcPr>
          <w:p w14:paraId="03AD267C" w14:textId="77777777" w:rsidR="00217F18" w:rsidRDefault="00000000">
            <w:r>
              <w:rPr>
                <w:rFonts w:eastAsia="Times New Roman"/>
                <w:color w:val="000000"/>
                <w:sz w:val="15"/>
              </w:rPr>
              <w:t>Stop hidden AI adoption and create common governance language.</w:t>
            </w:r>
          </w:p>
        </w:tc>
      </w:tr>
      <w:tr w:rsidR="00217F18" w14:paraId="23A22A2E" w14:textId="77777777">
        <w:trPr>
          <w:jc w:val="center"/>
        </w:trPr>
        <w:tc>
          <w:tcPr>
            <w:tcW w:w="1111" w:type="dxa"/>
            <w:tcMar>
              <w:top w:w="80" w:type="dxa"/>
              <w:left w:w="100" w:type="dxa"/>
              <w:bottom w:w="80" w:type="dxa"/>
              <w:right w:w="100" w:type="dxa"/>
            </w:tcMar>
            <w:vAlign w:val="center"/>
          </w:tcPr>
          <w:p w14:paraId="2DD29179" w14:textId="77777777" w:rsidR="00217F18" w:rsidRDefault="00000000">
            <w:r>
              <w:rPr>
                <w:rFonts w:eastAsia="Times New Roman"/>
                <w:color w:val="000000"/>
                <w:sz w:val="15"/>
              </w:rPr>
              <w:t>3-6 months</w:t>
            </w:r>
          </w:p>
        </w:tc>
        <w:tc>
          <w:tcPr>
            <w:tcW w:w="2500" w:type="dxa"/>
            <w:tcMar>
              <w:top w:w="80" w:type="dxa"/>
              <w:left w:w="100" w:type="dxa"/>
              <w:bottom w:w="80" w:type="dxa"/>
              <w:right w:w="100" w:type="dxa"/>
            </w:tcMar>
            <w:vAlign w:val="center"/>
          </w:tcPr>
          <w:p w14:paraId="02238E20" w14:textId="77777777" w:rsidR="00217F18" w:rsidRDefault="00000000">
            <w:r>
              <w:rPr>
                <w:rFonts w:eastAsia="Times New Roman"/>
                <w:color w:val="000000"/>
                <w:sz w:val="15"/>
              </w:rPr>
              <w:t>Introduce mandatory DPIA and AI impact assessment gates for Tier 2/3 systems.</w:t>
            </w:r>
          </w:p>
        </w:tc>
        <w:tc>
          <w:tcPr>
            <w:tcW w:w="1875" w:type="dxa"/>
            <w:tcMar>
              <w:top w:w="80" w:type="dxa"/>
              <w:left w:w="100" w:type="dxa"/>
              <w:bottom w:w="80" w:type="dxa"/>
              <w:right w:w="100" w:type="dxa"/>
            </w:tcMar>
            <w:vAlign w:val="center"/>
          </w:tcPr>
          <w:p w14:paraId="291019D3" w14:textId="77777777" w:rsidR="00217F18" w:rsidRDefault="00000000">
            <w:r>
              <w:rPr>
                <w:rFonts w:eastAsia="Times New Roman"/>
                <w:color w:val="000000"/>
                <w:sz w:val="15"/>
              </w:rPr>
              <w:t>DPO, Legal, AI Risk Owner and business sponsor.</w:t>
            </w:r>
          </w:p>
        </w:tc>
        <w:tc>
          <w:tcPr>
            <w:tcW w:w="2014" w:type="dxa"/>
            <w:tcMar>
              <w:top w:w="80" w:type="dxa"/>
              <w:left w:w="100" w:type="dxa"/>
              <w:bottom w:w="80" w:type="dxa"/>
              <w:right w:w="100" w:type="dxa"/>
            </w:tcMar>
            <w:vAlign w:val="center"/>
          </w:tcPr>
          <w:p w14:paraId="69BB6FF8" w14:textId="77777777" w:rsidR="00217F18" w:rsidRDefault="00000000">
            <w:r>
              <w:rPr>
                <w:rFonts w:eastAsia="Times New Roman"/>
                <w:color w:val="000000"/>
                <w:sz w:val="15"/>
              </w:rPr>
              <w:t>100% completion before go-live; residual risks signed by accountable executive.</w:t>
            </w:r>
          </w:p>
        </w:tc>
        <w:tc>
          <w:tcPr>
            <w:tcW w:w="1527" w:type="dxa"/>
            <w:tcMar>
              <w:top w:w="80" w:type="dxa"/>
              <w:left w:w="100" w:type="dxa"/>
              <w:bottom w:w="80" w:type="dxa"/>
              <w:right w:w="100" w:type="dxa"/>
            </w:tcMar>
            <w:vAlign w:val="center"/>
          </w:tcPr>
          <w:p w14:paraId="56C37667" w14:textId="77777777" w:rsidR="00217F18" w:rsidRDefault="00000000">
            <w:r>
              <w:rPr>
                <w:rFonts w:eastAsia="Times New Roman"/>
                <w:color w:val="000000"/>
                <w:sz w:val="15"/>
              </w:rPr>
              <w:t>Align data protection, ethics and regulatory readiness.</w:t>
            </w:r>
          </w:p>
        </w:tc>
      </w:tr>
      <w:tr w:rsidR="00217F18" w14:paraId="2401C3B7" w14:textId="77777777">
        <w:trPr>
          <w:jc w:val="center"/>
        </w:trPr>
        <w:tc>
          <w:tcPr>
            <w:tcW w:w="1111" w:type="dxa"/>
            <w:tcMar>
              <w:top w:w="80" w:type="dxa"/>
              <w:left w:w="100" w:type="dxa"/>
              <w:bottom w:w="80" w:type="dxa"/>
              <w:right w:w="100" w:type="dxa"/>
            </w:tcMar>
            <w:vAlign w:val="center"/>
          </w:tcPr>
          <w:p w14:paraId="1F38FB9B" w14:textId="77777777" w:rsidR="00217F18" w:rsidRDefault="00000000">
            <w:r>
              <w:rPr>
                <w:rFonts w:eastAsia="Times New Roman"/>
                <w:color w:val="000000"/>
                <w:sz w:val="15"/>
              </w:rPr>
              <w:t>3-6 months</w:t>
            </w:r>
          </w:p>
        </w:tc>
        <w:tc>
          <w:tcPr>
            <w:tcW w:w="2500" w:type="dxa"/>
            <w:tcMar>
              <w:top w:w="80" w:type="dxa"/>
              <w:left w:w="100" w:type="dxa"/>
              <w:bottom w:w="80" w:type="dxa"/>
              <w:right w:w="100" w:type="dxa"/>
            </w:tcMar>
            <w:vAlign w:val="center"/>
          </w:tcPr>
          <w:p w14:paraId="68193B6E" w14:textId="77777777" w:rsidR="00217F18" w:rsidRDefault="00000000">
            <w:r>
              <w:rPr>
                <w:rFonts w:eastAsia="Times New Roman"/>
                <w:color w:val="000000"/>
                <w:sz w:val="15"/>
              </w:rPr>
              <w:t>Define customer-facing AI transparency and escalation standards.</w:t>
            </w:r>
          </w:p>
        </w:tc>
        <w:tc>
          <w:tcPr>
            <w:tcW w:w="1875" w:type="dxa"/>
            <w:tcMar>
              <w:top w:w="80" w:type="dxa"/>
              <w:left w:w="100" w:type="dxa"/>
              <w:bottom w:w="80" w:type="dxa"/>
              <w:right w:w="100" w:type="dxa"/>
            </w:tcMar>
            <w:vAlign w:val="center"/>
          </w:tcPr>
          <w:p w14:paraId="2B09C7CC" w14:textId="77777777" w:rsidR="00217F18" w:rsidRDefault="00000000">
            <w:r>
              <w:rPr>
                <w:rFonts w:eastAsia="Times New Roman"/>
                <w:color w:val="000000"/>
                <w:sz w:val="15"/>
              </w:rPr>
              <w:t>Customer Experience, Legal and Operations.</w:t>
            </w:r>
          </w:p>
        </w:tc>
        <w:tc>
          <w:tcPr>
            <w:tcW w:w="2014" w:type="dxa"/>
            <w:tcMar>
              <w:top w:w="80" w:type="dxa"/>
              <w:left w:w="100" w:type="dxa"/>
              <w:bottom w:w="80" w:type="dxa"/>
              <w:right w:w="100" w:type="dxa"/>
            </w:tcMar>
            <w:vAlign w:val="center"/>
          </w:tcPr>
          <w:p w14:paraId="3142B8F9" w14:textId="77777777" w:rsidR="00217F18" w:rsidRDefault="00000000">
            <w:r>
              <w:rPr>
                <w:rFonts w:eastAsia="Times New Roman"/>
                <w:color w:val="000000"/>
                <w:sz w:val="15"/>
              </w:rPr>
              <w:t>Disclosure included in AI-assisted channels; human escalation SLA tracked; complaint categories monitored.</w:t>
            </w:r>
          </w:p>
        </w:tc>
        <w:tc>
          <w:tcPr>
            <w:tcW w:w="1527" w:type="dxa"/>
            <w:tcMar>
              <w:top w:w="80" w:type="dxa"/>
              <w:left w:w="100" w:type="dxa"/>
              <w:bottom w:w="80" w:type="dxa"/>
              <w:right w:w="100" w:type="dxa"/>
            </w:tcMar>
            <w:vAlign w:val="center"/>
          </w:tcPr>
          <w:p w14:paraId="67BEF675" w14:textId="77777777" w:rsidR="00217F18" w:rsidRDefault="00000000">
            <w:r>
              <w:rPr>
                <w:rFonts w:eastAsia="Times New Roman"/>
                <w:color w:val="000000"/>
                <w:sz w:val="15"/>
              </w:rPr>
              <w:t>Protect trust while preserving automation benefits.</w:t>
            </w:r>
          </w:p>
        </w:tc>
      </w:tr>
      <w:tr w:rsidR="00217F18" w14:paraId="50169016" w14:textId="77777777">
        <w:trPr>
          <w:jc w:val="center"/>
        </w:trPr>
        <w:tc>
          <w:tcPr>
            <w:tcW w:w="1111" w:type="dxa"/>
            <w:tcMar>
              <w:top w:w="80" w:type="dxa"/>
              <w:left w:w="100" w:type="dxa"/>
              <w:bottom w:w="80" w:type="dxa"/>
              <w:right w:w="100" w:type="dxa"/>
            </w:tcMar>
            <w:vAlign w:val="center"/>
          </w:tcPr>
          <w:p w14:paraId="72BE1BD1" w14:textId="77777777" w:rsidR="00217F18" w:rsidRDefault="00000000">
            <w:r>
              <w:rPr>
                <w:rFonts w:eastAsia="Times New Roman"/>
                <w:color w:val="000000"/>
                <w:sz w:val="15"/>
              </w:rPr>
              <w:t>6-12 months</w:t>
            </w:r>
          </w:p>
        </w:tc>
        <w:tc>
          <w:tcPr>
            <w:tcW w:w="2500" w:type="dxa"/>
            <w:tcMar>
              <w:top w:w="80" w:type="dxa"/>
              <w:left w:w="100" w:type="dxa"/>
              <w:bottom w:w="80" w:type="dxa"/>
              <w:right w:w="100" w:type="dxa"/>
            </w:tcMar>
            <w:vAlign w:val="center"/>
          </w:tcPr>
          <w:p w14:paraId="023E270D" w14:textId="77777777" w:rsidR="00217F18" w:rsidRDefault="00000000">
            <w:r>
              <w:rPr>
                <w:rFonts w:eastAsia="Times New Roman"/>
                <w:color w:val="000000"/>
                <w:sz w:val="15"/>
              </w:rPr>
              <w:t xml:space="preserve">Build vendor and model change-control regime for AI agents, robotics </w:t>
            </w:r>
            <w:r>
              <w:rPr>
                <w:rFonts w:eastAsia="Times New Roman"/>
                <w:color w:val="000000"/>
                <w:sz w:val="15"/>
              </w:rPr>
              <w:lastRenderedPageBreak/>
              <w:t>and analytics providers.</w:t>
            </w:r>
          </w:p>
        </w:tc>
        <w:tc>
          <w:tcPr>
            <w:tcW w:w="1875" w:type="dxa"/>
            <w:tcMar>
              <w:top w:w="80" w:type="dxa"/>
              <w:left w:w="100" w:type="dxa"/>
              <w:bottom w:w="80" w:type="dxa"/>
              <w:right w:w="100" w:type="dxa"/>
            </w:tcMar>
            <w:vAlign w:val="center"/>
          </w:tcPr>
          <w:p w14:paraId="256CD672" w14:textId="77777777" w:rsidR="00217F18" w:rsidRDefault="00000000">
            <w:r>
              <w:rPr>
                <w:rFonts w:eastAsia="Times New Roman"/>
                <w:color w:val="000000"/>
                <w:sz w:val="15"/>
              </w:rPr>
              <w:lastRenderedPageBreak/>
              <w:t xml:space="preserve">Procurement, Cybersecurity and divisional technology </w:t>
            </w:r>
            <w:r>
              <w:rPr>
                <w:rFonts w:eastAsia="Times New Roman"/>
                <w:color w:val="000000"/>
                <w:sz w:val="15"/>
              </w:rPr>
              <w:lastRenderedPageBreak/>
              <w:t>owners.</w:t>
            </w:r>
          </w:p>
        </w:tc>
        <w:tc>
          <w:tcPr>
            <w:tcW w:w="2014" w:type="dxa"/>
            <w:tcMar>
              <w:top w:w="80" w:type="dxa"/>
              <w:left w:w="100" w:type="dxa"/>
              <w:bottom w:w="80" w:type="dxa"/>
              <w:right w:w="100" w:type="dxa"/>
            </w:tcMar>
            <w:vAlign w:val="center"/>
          </w:tcPr>
          <w:p w14:paraId="5B6B9A26" w14:textId="77777777" w:rsidR="00217F18" w:rsidRDefault="00000000">
            <w:r>
              <w:rPr>
                <w:rFonts w:eastAsia="Times New Roman"/>
                <w:color w:val="000000"/>
                <w:sz w:val="15"/>
              </w:rPr>
              <w:lastRenderedPageBreak/>
              <w:t xml:space="preserve">All Tier 2/3 suppliers reviewed; model updates </w:t>
            </w:r>
            <w:r>
              <w:rPr>
                <w:rFonts w:eastAsia="Times New Roman"/>
                <w:color w:val="000000"/>
                <w:sz w:val="15"/>
              </w:rPr>
              <w:lastRenderedPageBreak/>
              <w:t>logged; rollback plan tested.</w:t>
            </w:r>
          </w:p>
        </w:tc>
        <w:tc>
          <w:tcPr>
            <w:tcW w:w="1527" w:type="dxa"/>
            <w:tcMar>
              <w:top w:w="80" w:type="dxa"/>
              <w:left w:w="100" w:type="dxa"/>
              <w:bottom w:w="80" w:type="dxa"/>
              <w:right w:w="100" w:type="dxa"/>
            </w:tcMar>
            <w:vAlign w:val="center"/>
          </w:tcPr>
          <w:p w14:paraId="4A058044" w14:textId="77777777" w:rsidR="00217F18" w:rsidRDefault="00000000">
            <w:r>
              <w:rPr>
                <w:rFonts w:eastAsia="Times New Roman"/>
                <w:color w:val="000000"/>
                <w:sz w:val="15"/>
              </w:rPr>
              <w:lastRenderedPageBreak/>
              <w:t xml:space="preserve">Manage third-party and cyber-dependent </w:t>
            </w:r>
            <w:r>
              <w:rPr>
                <w:rFonts w:eastAsia="Times New Roman"/>
                <w:color w:val="000000"/>
                <w:sz w:val="15"/>
              </w:rPr>
              <w:lastRenderedPageBreak/>
              <w:t>AI risk.</w:t>
            </w:r>
          </w:p>
        </w:tc>
      </w:tr>
      <w:tr w:rsidR="00217F18" w14:paraId="20CE0B40" w14:textId="77777777">
        <w:trPr>
          <w:jc w:val="center"/>
        </w:trPr>
        <w:tc>
          <w:tcPr>
            <w:tcW w:w="1111" w:type="dxa"/>
            <w:tcMar>
              <w:top w:w="80" w:type="dxa"/>
              <w:left w:w="100" w:type="dxa"/>
              <w:bottom w:w="80" w:type="dxa"/>
              <w:right w:w="100" w:type="dxa"/>
            </w:tcMar>
            <w:vAlign w:val="center"/>
          </w:tcPr>
          <w:p w14:paraId="0CA27E9A" w14:textId="77777777" w:rsidR="00217F18" w:rsidRDefault="00000000">
            <w:r>
              <w:rPr>
                <w:rFonts w:eastAsia="Times New Roman"/>
                <w:color w:val="000000"/>
                <w:sz w:val="15"/>
              </w:rPr>
              <w:t>6-12 months</w:t>
            </w:r>
          </w:p>
        </w:tc>
        <w:tc>
          <w:tcPr>
            <w:tcW w:w="2500" w:type="dxa"/>
            <w:tcMar>
              <w:top w:w="80" w:type="dxa"/>
              <w:left w:w="100" w:type="dxa"/>
              <w:bottom w:w="80" w:type="dxa"/>
              <w:right w:w="100" w:type="dxa"/>
            </w:tcMar>
            <w:vAlign w:val="center"/>
          </w:tcPr>
          <w:p w14:paraId="50DF8EEB" w14:textId="77777777" w:rsidR="00217F18" w:rsidRDefault="00000000">
            <w:r>
              <w:rPr>
                <w:rFonts w:eastAsia="Times New Roman"/>
                <w:color w:val="000000"/>
                <w:sz w:val="15"/>
              </w:rPr>
              <w:t>Launch AI literacy and role-specific training for managers, customer teams, warehouse leaders and product owners.</w:t>
            </w:r>
          </w:p>
        </w:tc>
        <w:tc>
          <w:tcPr>
            <w:tcW w:w="1875" w:type="dxa"/>
            <w:tcMar>
              <w:top w:w="80" w:type="dxa"/>
              <w:left w:w="100" w:type="dxa"/>
              <w:bottom w:w="80" w:type="dxa"/>
              <w:right w:w="100" w:type="dxa"/>
            </w:tcMar>
            <w:vAlign w:val="center"/>
          </w:tcPr>
          <w:p w14:paraId="2B7AB752" w14:textId="77777777" w:rsidR="00217F18" w:rsidRDefault="00000000">
            <w:r>
              <w:rPr>
                <w:rFonts w:eastAsia="Times New Roman"/>
                <w:color w:val="000000"/>
                <w:sz w:val="15"/>
              </w:rPr>
              <w:t>HR, Digital Academy and Risk.</w:t>
            </w:r>
          </w:p>
        </w:tc>
        <w:tc>
          <w:tcPr>
            <w:tcW w:w="2014" w:type="dxa"/>
            <w:tcMar>
              <w:top w:w="80" w:type="dxa"/>
              <w:left w:w="100" w:type="dxa"/>
              <w:bottom w:w="80" w:type="dxa"/>
              <w:right w:w="100" w:type="dxa"/>
            </w:tcMar>
            <w:vAlign w:val="center"/>
          </w:tcPr>
          <w:p w14:paraId="1DD7987D" w14:textId="77777777" w:rsidR="00217F18" w:rsidRDefault="00000000">
            <w:r>
              <w:rPr>
                <w:rFonts w:eastAsia="Times New Roman"/>
                <w:color w:val="000000"/>
                <w:sz w:val="15"/>
              </w:rPr>
              <w:t>90% completion for in-scope roles; training refreshed annually.</w:t>
            </w:r>
          </w:p>
        </w:tc>
        <w:tc>
          <w:tcPr>
            <w:tcW w:w="1527" w:type="dxa"/>
            <w:tcMar>
              <w:top w:w="80" w:type="dxa"/>
              <w:left w:w="100" w:type="dxa"/>
              <w:bottom w:w="80" w:type="dxa"/>
              <w:right w:w="100" w:type="dxa"/>
            </w:tcMar>
            <w:vAlign w:val="center"/>
          </w:tcPr>
          <w:p w14:paraId="7301A2C3" w14:textId="77777777" w:rsidR="00217F18" w:rsidRDefault="00000000">
            <w:r>
              <w:rPr>
                <w:rFonts w:eastAsia="Times New Roman"/>
                <w:color w:val="000000"/>
                <w:sz w:val="15"/>
              </w:rPr>
              <w:t>Build governance culture and reduce misuse.</w:t>
            </w:r>
          </w:p>
        </w:tc>
      </w:tr>
    </w:tbl>
    <w:p w14:paraId="1B926C32" w14:textId="77777777" w:rsidR="00217F18" w:rsidRDefault="00217F18"/>
    <w:p w14:paraId="5B4D7AC0" w14:textId="77777777" w:rsidR="00217F18" w:rsidRDefault="00000000">
      <w:pPr>
        <w:pStyle w:val="21"/>
      </w:pPr>
      <w:r>
        <w:rPr>
          <w:rFonts w:ascii="Times New Roman" w:eastAsia="Times New Roman" w:hAnsi="Times New Roman"/>
          <w:b/>
          <w:color w:val="1F4E79"/>
          <w:sz w:val="26"/>
        </w:rPr>
        <w:t>Appendix E continued: Long-Term Institutionalisation</w:t>
      </w:r>
    </w:p>
    <w:tbl>
      <w:tblPr>
        <w:tblStyle w:val="aff1"/>
        <w:tblW w:w="9027" w:type="dxa"/>
        <w:jc w:val="center"/>
        <w:tblLayout w:type="fixed"/>
        <w:tblLook w:val="04A0" w:firstRow="1" w:lastRow="0" w:firstColumn="1" w:lastColumn="0" w:noHBand="0" w:noVBand="1"/>
      </w:tblPr>
      <w:tblGrid>
        <w:gridCol w:w="1111"/>
        <w:gridCol w:w="2500"/>
        <w:gridCol w:w="1875"/>
        <w:gridCol w:w="2014"/>
        <w:gridCol w:w="1527"/>
      </w:tblGrid>
      <w:tr w:rsidR="00217F18" w14:paraId="48DB584A" w14:textId="77777777">
        <w:trPr>
          <w:jc w:val="center"/>
        </w:trPr>
        <w:tc>
          <w:tcPr>
            <w:tcW w:w="1111" w:type="dxa"/>
            <w:tcMar>
              <w:top w:w="80" w:type="dxa"/>
              <w:left w:w="100" w:type="dxa"/>
              <w:bottom w:w="80" w:type="dxa"/>
              <w:right w:w="100" w:type="dxa"/>
            </w:tcMar>
            <w:vAlign w:val="center"/>
          </w:tcPr>
          <w:p w14:paraId="466B079E" w14:textId="77777777" w:rsidR="00217F18" w:rsidRDefault="00000000">
            <w:pPr>
              <w:jc w:val="center"/>
            </w:pPr>
            <w:r>
              <w:rPr>
                <w:rFonts w:eastAsia="Times New Roman"/>
                <w:b/>
                <w:color w:val="000000"/>
                <w:sz w:val="15"/>
              </w:rPr>
              <w:t>Timeframe</w:t>
            </w:r>
          </w:p>
        </w:tc>
        <w:tc>
          <w:tcPr>
            <w:tcW w:w="2500" w:type="dxa"/>
            <w:tcMar>
              <w:top w:w="80" w:type="dxa"/>
              <w:left w:w="100" w:type="dxa"/>
              <w:bottom w:w="80" w:type="dxa"/>
              <w:right w:w="100" w:type="dxa"/>
            </w:tcMar>
            <w:vAlign w:val="center"/>
          </w:tcPr>
          <w:p w14:paraId="13101982" w14:textId="77777777" w:rsidR="00217F18" w:rsidRDefault="00000000">
            <w:pPr>
              <w:jc w:val="center"/>
            </w:pPr>
            <w:r>
              <w:rPr>
                <w:rFonts w:eastAsia="Times New Roman"/>
                <w:b/>
                <w:color w:val="000000"/>
                <w:sz w:val="15"/>
              </w:rPr>
              <w:t>Action</w:t>
            </w:r>
          </w:p>
        </w:tc>
        <w:tc>
          <w:tcPr>
            <w:tcW w:w="1875" w:type="dxa"/>
            <w:tcMar>
              <w:top w:w="80" w:type="dxa"/>
              <w:left w:w="100" w:type="dxa"/>
              <w:bottom w:w="80" w:type="dxa"/>
              <w:right w:w="100" w:type="dxa"/>
            </w:tcMar>
            <w:vAlign w:val="center"/>
          </w:tcPr>
          <w:p w14:paraId="6BAF5349" w14:textId="77777777" w:rsidR="00217F18" w:rsidRDefault="00000000">
            <w:pPr>
              <w:jc w:val="center"/>
            </w:pPr>
            <w:r>
              <w:rPr>
                <w:rFonts w:eastAsia="Times New Roman"/>
                <w:b/>
                <w:color w:val="000000"/>
                <w:sz w:val="15"/>
              </w:rPr>
              <w:t>Owner</w:t>
            </w:r>
          </w:p>
        </w:tc>
        <w:tc>
          <w:tcPr>
            <w:tcW w:w="2014" w:type="dxa"/>
            <w:tcMar>
              <w:top w:w="80" w:type="dxa"/>
              <w:left w:w="100" w:type="dxa"/>
              <w:bottom w:w="80" w:type="dxa"/>
              <w:right w:w="100" w:type="dxa"/>
            </w:tcMar>
            <w:vAlign w:val="center"/>
          </w:tcPr>
          <w:p w14:paraId="401B072A" w14:textId="77777777" w:rsidR="00217F18" w:rsidRDefault="00000000">
            <w:pPr>
              <w:jc w:val="center"/>
            </w:pPr>
            <w:r>
              <w:rPr>
                <w:rFonts w:eastAsia="Times New Roman"/>
                <w:b/>
                <w:color w:val="000000"/>
                <w:sz w:val="15"/>
              </w:rPr>
              <w:t>KPI / evidence</w:t>
            </w:r>
          </w:p>
        </w:tc>
        <w:tc>
          <w:tcPr>
            <w:tcW w:w="1527" w:type="dxa"/>
            <w:tcMar>
              <w:top w:w="80" w:type="dxa"/>
              <w:left w:w="100" w:type="dxa"/>
              <w:bottom w:w="80" w:type="dxa"/>
              <w:right w:w="100" w:type="dxa"/>
            </w:tcMar>
            <w:vAlign w:val="center"/>
          </w:tcPr>
          <w:p w14:paraId="67EEA275" w14:textId="77777777" w:rsidR="00217F18" w:rsidRDefault="00000000">
            <w:pPr>
              <w:jc w:val="center"/>
            </w:pPr>
            <w:r>
              <w:rPr>
                <w:rFonts w:eastAsia="Times New Roman"/>
                <w:b/>
                <w:color w:val="000000"/>
                <w:sz w:val="15"/>
              </w:rPr>
              <w:t>Strategic purpose</w:t>
            </w:r>
          </w:p>
        </w:tc>
      </w:tr>
      <w:tr w:rsidR="00217F18" w14:paraId="39376687" w14:textId="77777777">
        <w:trPr>
          <w:jc w:val="center"/>
        </w:trPr>
        <w:tc>
          <w:tcPr>
            <w:tcW w:w="1111" w:type="dxa"/>
            <w:tcMar>
              <w:top w:w="80" w:type="dxa"/>
              <w:left w:w="100" w:type="dxa"/>
              <w:bottom w:w="80" w:type="dxa"/>
              <w:right w:w="100" w:type="dxa"/>
            </w:tcMar>
            <w:vAlign w:val="center"/>
          </w:tcPr>
          <w:p w14:paraId="21D6FD67" w14:textId="77777777" w:rsidR="00217F18" w:rsidRDefault="00000000">
            <w:r>
              <w:rPr>
                <w:rFonts w:eastAsia="Times New Roman"/>
                <w:color w:val="000000"/>
                <w:sz w:val="15"/>
              </w:rPr>
              <w:t>Year 1-3</w:t>
            </w:r>
          </w:p>
        </w:tc>
        <w:tc>
          <w:tcPr>
            <w:tcW w:w="2500" w:type="dxa"/>
            <w:tcMar>
              <w:top w:w="80" w:type="dxa"/>
              <w:left w:w="100" w:type="dxa"/>
              <w:bottom w:w="80" w:type="dxa"/>
              <w:right w:w="100" w:type="dxa"/>
            </w:tcMar>
            <w:vAlign w:val="center"/>
          </w:tcPr>
          <w:p w14:paraId="4FC42F2F" w14:textId="77777777" w:rsidR="00217F18" w:rsidRDefault="00000000">
            <w:r>
              <w:rPr>
                <w:rFonts w:eastAsia="Times New Roman"/>
                <w:color w:val="000000"/>
                <w:sz w:val="15"/>
              </w:rPr>
              <w:t>Operate quarterly AI Risk and Trust dashboard for board committee.</w:t>
            </w:r>
          </w:p>
        </w:tc>
        <w:tc>
          <w:tcPr>
            <w:tcW w:w="1875" w:type="dxa"/>
            <w:tcMar>
              <w:top w:w="80" w:type="dxa"/>
              <w:left w:w="100" w:type="dxa"/>
              <w:bottom w:w="80" w:type="dxa"/>
              <w:right w:w="100" w:type="dxa"/>
            </w:tcMar>
            <w:vAlign w:val="center"/>
          </w:tcPr>
          <w:p w14:paraId="345304F4" w14:textId="77777777" w:rsidR="00217F18" w:rsidRDefault="00000000">
            <w:r>
              <w:rPr>
                <w:rFonts w:eastAsia="Times New Roman"/>
                <w:color w:val="000000"/>
                <w:sz w:val="15"/>
              </w:rPr>
              <w:t>AI Risk Owner and Group Risk Management.</w:t>
            </w:r>
          </w:p>
        </w:tc>
        <w:tc>
          <w:tcPr>
            <w:tcW w:w="2014" w:type="dxa"/>
            <w:tcMar>
              <w:top w:w="80" w:type="dxa"/>
              <w:left w:w="100" w:type="dxa"/>
              <w:bottom w:w="80" w:type="dxa"/>
              <w:right w:w="100" w:type="dxa"/>
            </w:tcMar>
            <w:vAlign w:val="center"/>
          </w:tcPr>
          <w:p w14:paraId="6FF1C72D" w14:textId="77777777" w:rsidR="00217F18" w:rsidRDefault="00000000">
            <w:r>
              <w:rPr>
                <w:rFonts w:eastAsia="Times New Roman"/>
                <w:color w:val="000000"/>
                <w:sz w:val="15"/>
              </w:rPr>
              <w:t>Dashboard includes incidents, model performance, trust metrics, audit status, regulatory changes and value KPIs.</w:t>
            </w:r>
          </w:p>
        </w:tc>
        <w:tc>
          <w:tcPr>
            <w:tcW w:w="1527" w:type="dxa"/>
            <w:tcMar>
              <w:top w:w="80" w:type="dxa"/>
              <w:left w:w="100" w:type="dxa"/>
              <w:bottom w:w="80" w:type="dxa"/>
              <w:right w:w="100" w:type="dxa"/>
            </w:tcMar>
            <w:vAlign w:val="center"/>
          </w:tcPr>
          <w:p w14:paraId="2972EE94" w14:textId="77777777" w:rsidR="00217F18" w:rsidRDefault="00000000">
            <w:r>
              <w:rPr>
                <w:rFonts w:eastAsia="Times New Roman"/>
                <w:color w:val="000000"/>
                <w:sz w:val="15"/>
              </w:rPr>
              <w:t>Keep board oversight strategic and evidence-based.</w:t>
            </w:r>
          </w:p>
        </w:tc>
      </w:tr>
      <w:tr w:rsidR="00217F18" w14:paraId="08DC0CD0" w14:textId="77777777">
        <w:trPr>
          <w:jc w:val="center"/>
        </w:trPr>
        <w:tc>
          <w:tcPr>
            <w:tcW w:w="1111" w:type="dxa"/>
            <w:tcMar>
              <w:top w:w="80" w:type="dxa"/>
              <w:left w:w="100" w:type="dxa"/>
              <w:bottom w:w="80" w:type="dxa"/>
              <w:right w:w="100" w:type="dxa"/>
            </w:tcMar>
            <w:vAlign w:val="center"/>
          </w:tcPr>
          <w:p w14:paraId="1D651CD1" w14:textId="77777777" w:rsidR="00217F18" w:rsidRDefault="00000000">
            <w:r>
              <w:rPr>
                <w:rFonts w:eastAsia="Times New Roman"/>
                <w:color w:val="000000"/>
                <w:sz w:val="15"/>
              </w:rPr>
              <w:t>Year 1-3</w:t>
            </w:r>
          </w:p>
        </w:tc>
        <w:tc>
          <w:tcPr>
            <w:tcW w:w="2500" w:type="dxa"/>
            <w:tcMar>
              <w:top w:w="80" w:type="dxa"/>
              <w:left w:w="100" w:type="dxa"/>
              <w:bottom w:w="80" w:type="dxa"/>
              <w:right w:w="100" w:type="dxa"/>
            </w:tcMar>
            <w:vAlign w:val="center"/>
          </w:tcPr>
          <w:p w14:paraId="4B0F3440" w14:textId="77777777" w:rsidR="00217F18" w:rsidRDefault="00000000">
            <w:r>
              <w:rPr>
                <w:rFonts w:eastAsia="Times New Roman"/>
                <w:color w:val="000000"/>
                <w:sz w:val="15"/>
              </w:rPr>
              <w:t>Implement independent assurance for Tier 3 systems and annual review for Tier 2 systems.</w:t>
            </w:r>
          </w:p>
        </w:tc>
        <w:tc>
          <w:tcPr>
            <w:tcW w:w="1875" w:type="dxa"/>
            <w:tcMar>
              <w:top w:w="80" w:type="dxa"/>
              <w:left w:w="100" w:type="dxa"/>
              <w:bottom w:w="80" w:type="dxa"/>
              <w:right w:w="100" w:type="dxa"/>
            </w:tcMar>
            <w:vAlign w:val="center"/>
          </w:tcPr>
          <w:p w14:paraId="2154492D" w14:textId="77777777" w:rsidR="00217F18" w:rsidRDefault="00000000">
            <w:r>
              <w:rPr>
                <w:rFonts w:eastAsia="Times New Roman"/>
                <w:color w:val="000000"/>
                <w:sz w:val="15"/>
              </w:rPr>
              <w:t>Internal Audit with external specialists where needed.</w:t>
            </w:r>
          </w:p>
        </w:tc>
        <w:tc>
          <w:tcPr>
            <w:tcW w:w="2014" w:type="dxa"/>
            <w:tcMar>
              <w:top w:w="80" w:type="dxa"/>
              <w:left w:w="100" w:type="dxa"/>
              <w:bottom w:w="80" w:type="dxa"/>
              <w:right w:w="100" w:type="dxa"/>
            </w:tcMar>
            <w:vAlign w:val="center"/>
          </w:tcPr>
          <w:p w14:paraId="39881997" w14:textId="77777777" w:rsidR="00217F18" w:rsidRDefault="00000000">
            <w:r>
              <w:rPr>
                <w:rFonts w:eastAsia="Times New Roman"/>
                <w:color w:val="000000"/>
                <w:sz w:val="15"/>
              </w:rPr>
              <w:t>Audit plan approved annually; findings closed within agreed deadlines.</w:t>
            </w:r>
          </w:p>
        </w:tc>
        <w:tc>
          <w:tcPr>
            <w:tcW w:w="1527" w:type="dxa"/>
            <w:tcMar>
              <w:top w:w="80" w:type="dxa"/>
              <w:left w:w="100" w:type="dxa"/>
              <w:bottom w:w="80" w:type="dxa"/>
              <w:right w:w="100" w:type="dxa"/>
            </w:tcMar>
            <w:vAlign w:val="center"/>
          </w:tcPr>
          <w:p w14:paraId="354A9251" w14:textId="77777777" w:rsidR="00217F18" w:rsidRDefault="00000000">
            <w:r>
              <w:rPr>
                <w:rFonts w:eastAsia="Times New Roman"/>
                <w:color w:val="000000"/>
                <w:sz w:val="15"/>
              </w:rPr>
              <w:t>Create credible assurance for regulators, customers and the board.</w:t>
            </w:r>
          </w:p>
        </w:tc>
      </w:tr>
      <w:tr w:rsidR="00217F18" w14:paraId="5CD6D984" w14:textId="77777777">
        <w:trPr>
          <w:jc w:val="center"/>
        </w:trPr>
        <w:tc>
          <w:tcPr>
            <w:tcW w:w="1111" w:type="dxa"/>
            <w:tcMar>
              <w:top w:w="80" w:type="dxa"/>
              <w:left w:w="100" w:type="dxa"/>
              <w:bottom w:w="80" w:type="dxa"/>
              <w:right w:w="100" w:type="dxa"/>
            </w:tcMar>
            <w:vAlign w:val="center"/>
          </w:tcPr>
          <w:p w14:paraId="7CE443CD" w14:textId="77777777" w:rsidR="00217F18" w:rsidRDefault="00000000">
            <w:r>
              <w:rPr>
                <w:rFonts w:eastAsia="Times New Roman"/>
                <w:color w:val="000000"/>
                <w:sz w:val="15"/>
              </w:rPr>
              <w:t>Year 3+</w:t>
            </w:r>
          </w:p>
        </w:tc>
        <w:tc>
          <w:tcPr>
            <w:tcW w:w="2500" w:type="dxa"/>
            <w:tcMar>
              <w:top w:w="80" w:type="dxa"/>
              <w:left w:w="100" w:type="dxa"/>
              <w:bottom w:w="80" w:type="dxa"/>
              <w:right w:w="100" w:type="dxa"/>
            </w:tcMar>
            <w:vAlign w:val="center"/>
          </w:tcPr>
          <w:p w14:paraId="5C0A112C" w14:textId="77777777" w:rsidR="00217F18" w:rsidRDefault="00000000">
            <w:r>
              <w:rPr>
                <w:rFonts w:eastAsia="Times New Roman"/>
                <w:color w:val="000000"/>
                <w:sz w:val="15"/>
              </w:rPr>
              <w:t>Integrate AI governance into enterprise risk management, sustainability and investment decisions.</w:t>
            </w:r>
          </w:p>
        </w:tc>
        <w:tc>
          <w:tcPr>
            <w:tcW w:w="1875" w:type="dxa"/>
            <w:tcMar>
              <w:top w:w="80" w:type="dxa"/>
              <w:left w:w="100" w:type="dxa"/>
              <w:bottom w:w="80" w:type="dxa"/>
              <w:right w:w="100" w:type="dxa"/>
            </w:tcMar>
            <w:vAlign w:val="center"/>
          </w:tcPr>
          <w:p w14:paraId="0941AF03" w14:textId="77777777" w:rsidR="00217F18" w:rsidRDefault="00000000">
            <w:r>
              <w:rPr>
                <w:rFonts w:eastAsia="Times New Roman"/>
                <w:color w:val="000000"/>
                <w:sz w:val="15"/>
              </w:rPr>
              <w:t>Board, CFO, Risk and Strategy.</w:t>
            </w:r>
          </w:p>
        </w:tc>
        <w:tc>
          <w:tcPr>
            <w:tcW w:w="2014" w:type="dxa"/>
            <w:tcMar>
              <w:top w:w="80" w:type="dxa"/>
              <w:left w:w="100" w:type="dxa"/>
              <w:bottom w:w="80" w:type="dxa"/>
              <w:right w:w="100" w:type="dxa"/>
            </w:tcMar>
            <w:vAlign w:val="center"/>
          </w:tcPr>
          <w:p w14:paraId="37E3BA64" w14:textId="77777777" w:rsidR="00217F18" w:rsidRDefault="00000000">
            <w:r>
              <w:rPr>
                <w:rFonts w:eastAsia="Times New Roman"/>
                <w:color w:val="000000"/>
                <w:sz w:val="15"/>
              </w:rPr>
              <w:t>AI business cases include value, risk, emissions, workforce and trust measures.</w:t>
            </w:r>
          </w:p>
        </w:tc>
        <w:tc>
          <w:tcPr>
            <w:tcW w:w="1527" w:type="dxa"/>
            <w:tcMar>
              <w:top w:w="80" w:type="dxa"/>
              <w:left w:w="100" w:type="dxa"/>
              <w:bottom w:w="80" w:type="dxa"/>
              <w:right w:w="100" w:type="dxa"/>
            </w:tcMar>
            <w:vAlign w:val="center"/>
          </w:tcPr>
          <w:p w14:paraId="36725FED" w14:textId="77777777" w:rsidR="00217F18" w:rsidRDefault="00000000">
            <w:r>
              <w:rPr>
                <w:rFonts w:eastAsia="Times New Roman"/>
                <w:color w:val="000000"/>
                <w:sz w:val="15"/>
              </w:rPr>
              <w:t>Make responsible AI a long-term competitive capability.</w:t>
            </w:r>
          </w:p>
        </w:tc>
      </w:tr>
    </w:tbl>
    <w:p w14:paraId="396395AA" w14:textId="77777777" w:rsidR="00217F18" w:rsidRDefault="00217F18"/>
    <w:sectPr w:rsidR="00217F18" w:rsidSect="00034616">
      <w:pgSz w:w="11909" w:h="16834"/>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7EFF" w:usb1="C000785B" w:usb2="00000009" w:usb3="00000000" w:csb0="000001FF" w:csb1="00000000"/>
  </w:font>
  <w:font w:name="Cambria">
    <w:altName w:val="苹方-简"/>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16cid:durableId="527842292">
    <w:abstractNumId w:val="8"/>
  </w:num>
  <w:num w:numId="2" w16cid:durableId="1745033620">
    <w:abstractNumId w:val="6"/>
  </w:num>
  <w:num w:numId="3" w16cid:durableId="274605162">
    <w:abstractNumId w:val="5"/>
  </w:num>
  <w:num w:numId="4" w16cid:durableId="1942183608">
    <w:abstractNumId w:val="4"/>
  </w:num>
  <w:num w:numId="5" w16cid:durableId="1905600393">
    <w:abstractNumId w:val="7"/>
  </w:num>
  <w:num w:numId="6" w16cid:durableId="1075317947">
    <w:abstractNumId w:val="3"/>
  </w:num>
  <w:num w:numId="7" w16cid:durableId="303898196">
    <w:abstractNumId w:val="2"/>
  </w:num>
  <w:num w:numId="8" w16cid:durableId="72627168">
    <w:abstractNumId w:val="1"/>
  </w:num>
  <w:num w:numId="9" w16cid:durableId="617762304">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bordersDoNotSurroundHeader/>
  <w:bordersDoNotSurroundFooter/>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739FE"/>
    <w:rsid w:val="0015074B"/>
    <w:rsid w:val="00217F18"/>
    <w:rsid w:val="0029639D"/>
    <w:rsid w:val="00326F90"/>
    <w:rsid w:val="004E154D"/>
    <w:rsid w:val="00AA1D8D"/>
    <w:rsid w:val="00B47730"/>
    <w:rsid w:val="00C166C9"/>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8E896CD"/>
  <w14:defaultImageDpi w14:val="300"/>
  <w15:docId w15:val="{209B7A85-719E-C141-80F1-A170532644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pPr>
      <w:spacing w:after="120" w:line="360" w:lineRule="auto"/>
    </w:pPr>
    <w:rPr>
      <w:rFonts w:ascii="Times New Roman" w:hAnsi="Times New Roman"/>
      <w:sz w:val="24"/>
    </w:rPr>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Cs/>
      <w:color w:val="2E74B5"/>
      <w:sz w:val="32"/>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Cs/>
      <w:color w:val="2E74B5"/>
      <w:sz w:val="28"/>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Cs/>
      <w:color w:val="2E74B5"/>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页眉 字符"/>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页脚 字符"/>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标题 1 字符"/>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标题 2 字符"/>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标题 3 字符"/>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标题 字符"/>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ad">
    <w:name w:val="副标题 字符"/>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style>
  <w:style w:type="character" w:customStyle="1" w:styleId="af0">
    <w:name w:val="正文文本 字符"/>
    <w:basedOn w:val="a2"/>
    <w:link w:val="af"/>
    <w:uiPriority w:val="99"/>
    <w:rsid w:val="00AA1D8D"/>
  </w:style>
  <w:style w:type="paragraph" w:styleId="23">
    <w:name w:val="Body Text 2"/>
    <w:basedOn w:val="a1"/>
    <w:link w:val="24"/>
    <w:uiPriority w:val="99"/>
    <w:unhideWhenUsed/>
    <w:rsid w:val="00AA1D8D"/>
    <w:pPr>
      <w:spacing w:line="480" w:lineRule="auto"/>
    </w:pPr>
  </w:style>
  <w:style w:type="character" w:customStyle="1" w:styleId="24">
    <w:name w:val="正文文本 2 字符"/>
    <w:basedOn w:val="a2"/>
    <w:link w:val="23"/>
    <w:uiPriority w:val="99"/>
    <w:rsid w:val="00AA1D8D"/>
  </w:style>
  <w:style w:type="paragraph" w:styleId="33">
    <w:name w:val="Body Text 3"/>
    <w:basedOn w:val="a1"/>
    <w:link w:val="34"/>
    <w:uiPriority w:val="99"/>
    <w:unhideWhenUsed/>
    <w:rsid w:val="00AA1D8D"/>
    <w:rPr>
      <w:sz w:val="16"/>
      <w:szCs w:val="16"/>
    </w:rPr>
  </w:style>
  <w:style w:type="character" w:customStyle="1" w:styleId="34">
    <w:name w:val="正文文本 3 字符"/>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ind w:left="360"/>
      <w:contextualSpacing/>
    </w:pPr>
  </w:style>
  <w:style w:type="paragraph" w:styleId="26">
    <w:name w:val="List Continue 2"/>
    <w:basedOn w:val="a1"/>
    <w:uiPriority w:val="99"/>
    <w:unhideWhenUsed/>
    <w:rsid w:val="0029639D"/>
    <w:pPr>
      <w:ind w:left="720"/>
      <w:contextualSpacing/>
    </w:pPr>
  </w:style>
  <w:style w:type="paragraph" w:styleId="36">
    <w:name w:val="List Continue 3"/>
    <w:basedOn w:val="a1"/>
    <w:uiPriority w:val="99"/>
    <w:unhideWhenUsed/>
    <w:rsid w:val="0029639D"/>
    <w:pPr>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宏文本 字符"/>
    <w:basedOn w:val="a2"/>
    <w:link w:val="af3"/>
    <w:uiPriority w:val="99"/>
    <w:rsid w:val="0029639D"/>
    <w:rPr>
      <w:rFonts w:ascii="Courier" w:hAnsi="Courier"/>
      <w:sz w:val="20"/>
      <w:szCs w:val="20"/>
    </w:rPr>
  </w:style>
  <w:style w:type="paragraph" w:styleId="af5">
    <w:name w:val="Quote"/>
    <w:basedOn w:val="a1"/>
    <w:next w:val="a1"/>
    <w:link w:val="af6"/>
    <w:uiPriority w:val="29"/>
    <w:qFormat/>
    <w:rsid w:val="00FC693F"/>
    <w:rPr>
      <w:i/>
      <w:iCs/>
      <w:color w:val="000000" w:themeColor="text1"/>
    </w:rPr>
  </w:style>
  <w:style w:type="character" w:customStyle="1" w:styleId="af6">
    <w:name w:val="引用 字符"/>
    <w:basedOn w:val="a2"/>
    <w:link w:val="af5"/>
    <w:uiPriority w:val="29"/>
    <w:rsid w:val="00FC693F"/>
    <w:rPr>
      <w:i/>
      <w:iCs/>
      <w:color w:val="000000" w:themeColor="text1"/>
    </w:rPr>
  </w:style>
  <w:style w:type="character" w:customStyle="1" w:styleId="40">
    <w:name w:val="标题 4 字符"/>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标题 5 字符"/>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标题 6 字符"/>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标题 7 字符"/>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标题 8 字符"/>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标题 9 字符"/>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7">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8">
    <w:name w:val="Strong"/>
    <w:basedOn w:val="a2"/>
    <w:uiPriority w:val="22"/>
    <w:qFormat/>
    <w:rsid w:val="00FC693F"/>
    <w:rPr>
      <w:b/>
      <w:bCs/>
    </w:rPr>
  </w:style>
  <w:style w:type="character" w:styleId="af9">
    <w:name w:val="Emphasis"/>
    <w:basedOn w:val="a2"/>
    <w:uiPriority w:val="20"/>
    <w:qFormat/>
    <w:rsid w:val="00FC693F"/>
    <w:rPr>
      <w:i/>
      <w:iCs/>
    </w:rPr>
  </w:style>
  <w:style w:type="paragraph" w:styleId="afa">
    <w:name w:val="Intense Quote"/>
    <w:basedOn w:val="a1"/>
    <w:next w:val="a1"/>
    <w:link w:val="afb"/>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b">
    <w:name w:val="明显引用 字符"/>
    <w:basedOn w:val="a2"/>
    <w:link w:val="afa"/>
    <w:uiPriority w:val="30"/>
    <w:rsid w:val="00FC693F"/>
    <w:rPr>
      <w:b/>
      <w:bCs/>
      <w:i/>
      <w:iCs/>
      <w:color w:val="4F81BD" w:themeColor="accent1"/>
    </w:rPr>
  </w:style>
  <w:style w:type="character" w:styleId="afc">
    <w:name w:val="Subtle Emphasis"/>
    <w:basedOn w:val="a2"/>
    <w:uiPriority w:val="19"/>
    <w:qFormat/>
    <w:rsid w:val="00FC693F"/>
    <w:rPr>
      <w:i/>
      <w:iCs/>
      <w:color w:val="808080" w:themeColor="text1" w:themeTint="7F"/>
    </w:rPr>
  </w:style>
  <w:style w:type="character" w:styleId="afd">
    <w:name w:val="Intense Emphasis"/>
    <w:basedOn w:val="a2"/>
    <w:uiPriority w:val="21"/>
    <w:qFormat/>
    <w:rsid w:val="00FC693F"/>
    <w:rPr>
      <w:b/>
      <w:bCs/>
      <w:i/>
      <w:iCs/>
      <w:color w:val="4F81BD" w:themeColor="accent1"/>
    </w:rPr>
  </w:style>
  <w:style w:type="character" w:styleId="afe">
    <w:name w:val="Subtle Reference"/>
    <w:basedOn w:val="a2"/>
    <w:uiPriority w:val="31"/>
    <w:qFormat/>
    <w:rsid w:val="00FC693F"/>
    <w:rPr>
      <w:smallCaps/>
      <w:color w:val="C0504D" w:themeColor="accent2"/>
      <w:u w:val="single"/>
    </w:rPr>
  </w:style>
  <w:style w:type="character" w:styleId="aff">
    <w:name w:val="Intense Reference"/>
    <w:basedOn w:val="a2"/>
    <w:uiPriority w:val="32"/>
    <w:qFormat/>
    <w:rsid w:val="00FC693F"/>
    <w:rPr>
      <w:b/>
      <w:bCs/>
      <w:smallCaps/>
      <w:color w:val="C0504D" w:themeColor="accent2"/>
      <w:spacing w:val="5"/>
      <w:u w:val="single"/>
    </w:rPr>
  </w:style>
  <w:style w:type="character" w:styleId="aff0">
    <w:name w:val="Book Title"/>
    <w:basedOn w:val="a2"/>
    <w:uiPriority w:val="33"/>
    <w:qFormat/>
    <w:rsid w:val="00FC693F"/>
    <w:rPr>
      <w:b/>
      <w:bCs/>
      <w:smallCaps/>
      <w:spacing w:val="5"/>
    </w:rPr>
  </w:style>
  <w:style w:type="paragraph" w:styleId="TOC">
    <w:name w:val="TOC Heading"/>
    <w:basedOn w:val="1"/>
    <w:next w:val="a1"/>
    <w:uiPriority w:val="39"/>
    <w:semiHidden/>
    <w:unhideWhenUsed/>
    <w:qFormat/>
    <w:rsid w:val="00FC693F"/>
    <w:pPr>
      <w:outlineLvl w:val="9"/>
    </w:pPr>
  </w:style>
  <w:style w:type="table" w:styleId="aff1">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2">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3">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4">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7">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8">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9">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5">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6">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7">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8">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7657</Words>
  <Characters>43649</Characters>
  <Application>Microsoft Office Word</Application>
  <DocSecurity>0</DocSecurity>
  <Lines>363</Lines>
  <Paragraphs>102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51204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AI Risk Management in DHL: A UK and EU Report</dc:title>
  <dc:subject>Global Business Challenges</dc:subject>
  <dc:creator>Yitong Liu</dc:creator>
  <cp:keywords>DHL, AI risk management, EU AI Act, UK AI regulation, data governance</cp:keywords>
  <dc:description>generated by python-docx</dc:description>
  <cp:lastModifiedBy>183285948@qq.com</cp:lastModifiedBy>
  <cp:revision>2</cp:revision>
  <dcterms:created xsi:type="dcterms:W3CDTF">2026-07-20T23:23:00Z</dcterms:created>
  <dcterms:modified xsi:type="dcterms:W3CDTF">2026-07-20T23:23:00Z</dcterms:modified>
  <cp:category/>
</cp:coreProperties>
</file>