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DC0376" w:rsidRDefault="00000000">
      <w:pPr>
        <w:shd w:val="clear" w:color="auto" w:fill="FFFFFF"/>
        <w:ind w:left="720"/>
        <w:jc w:val="center"/>
        <w:rPr>
          <w:rFonts w:ascii="Arial" w:eastAsia="Arial" w:hAnsi="Arial" w:cs="Arial"/>
          <w:sz w:val="24"/>
          <w:szCs w:val="24"/>
        </w:rPr>
      </w:pPr>
      <w:r>
        <w:rPr>
          <w:rFonts w:ascii="Arial" w:eastAsia="Arial" w:hAnsi="Arial" w:cs="Arial"/>
          <w:sz w:val="24"/>
          <w:szCs w:val="24"/>
        </w:rPr>
        <w:t>Evaluate how community policing and community engagement can help to prevent terrorism and support counterterrorism policing.</w:t>
      </w:r>
    </w:p>
    <w:p w14:paraId="00000002" w14:textId="77777777" w:rsidR="00DC0376" w:rsidRDefault="00DC0376">
      <w:pPr>
        <w:shd w:val="clear" w:color="auto" w:fill="FFFFFF"/>
        <w:ind w:left="720"/>
        <w:rPr>
          <w:rFonts w:ascii="Arial" w:eastAsia="Arial" w:hAnsi="Arial" w:cs="Arial"/>
          <w:sz w:val="24"/>
          <w:szCs w:val="24"/>
        </w:rPr>
      </w:pPr>
    </w:p>
    <w:p w14:paraId="00000003" w14:textId="77777777" w:rsidR="00DC0376" w:rsidRDefault="00DC0376">
      <w:pPr>
        <w:shd w:val="clear" w:color="auto" w:fill="FFFFFF"/>
        <w:ind w:left="720"/>
        <w:rPr>
          <w:rFonts w:ascii="Arial" w:eastAsia="Arial" w:hAnsi="Arial" w:cs="Arial"/>
          <w:sz w:val="24"/>
          <w:szCs w:val="24"/>
        </w:rPr>
      </w:pPr>
    </w:p>
    <w:p w14:paraId="00000004" w14:textId="77777777" w:rsidR="00DC0376"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This support paper will discuss what community engagement is, how community engagement can prevent terrorism and how it supports counterterrorism. It will briefly cover what community policing is and how the police prevent terrorism. </w:t>
      </w:r>
    </w:p>
    <w:p w14:paraId="00000005" w14:textId="77777777" w:rsidR="00DC0376" w:rsidRDefault="00DC0376">
      <w:pPr>
        <w:spacing w:line="360" w:lineRule="auto"/>
        <w:jc w:val="both"/>
        <w:rPr>
          <w:rFonts w:ascii="Arial" w:eastAsia="Arial" w:hAnsi="Arial" w:cs="Arial"/>
          <w:sz w:val="24"/>
          <w:szCs w:val="24"/>
        </w:rPr>
      </w:pPr>
    </w:p>
    <w:p w14:paraId="00000006" w14:textId="77777777" w:rsidR="00DC0376" w:rsidRDefault="00000000">
      <w:pPr>
        <w:shd w:val="clear" w:color="auto" w:fill="FFFFFF"/>
        <w:spacing w:line="360" w:lineRule="auto"/>
        <w:jc w:val="both"/>
        <w:rPr>
          <w:rFonts w:ascii="Arial" w:eastAsia="Arial" w:hAnsi="Arial" w:cs="Arial"/>
          <w:sz w:val="24"/>
          <w:szCs w:val="24"/>
        </w:rPr>
      </w:pPr>
      <w:r>
        <w:rPr>
          <w:rFonts w:ascii="Arial" w:eastAsia="Arial" w:hAnsi="Arial" w:cs="Arial"/>
          <w:sz w:val="24"/>
          <w:szCs w:val="24"/>
        </w:rPr>
        <w:t xml:space="preserve">Community engagement aims to involve the community more effectively to produce sustainable long-term results, relationships, procedures, dialogue, decision-making, or execution (Penn State College of Agricultural Sciences, 2021).  Whether they are interest groups, citizen groups, or stakeholders, groups of individuals are defined broadly by the term "community." A community can be defined as a physical place (community of place), a group of people with similar interests, or an association or identity (business, sports team, etc.) (Penn State College of Agricultural Sciences, 2021). </w:t>
      </w:r>
    </w:p>
    <w:p w14:paraId="00000007" w14:textId="77777777" w:rsidR="00DC0376" w:rsidRDefault="00DC0376">
      <w:pPr>
        <w:spacing w:line="360" w:lineRule="auto"/>
        <w:jc w:val="both"/>
        <w:rPr>
          <w:rFonts w:ascii="Arial" w:eastAsia="Arial" w:hAnsi="Arial" w:cs="Arial"/>
          <w:sz w:val="24"/>
          <w:szCs w:val="24"/>
        </w:rPr>
      </w:pPr>
    </w:p>
    <w:p w14:paraId="387C1DCD" w14:textId="67729A55" w:rsidR="00825695" w:rsidRPr="00825695" w:rsidRDefault="00000000" w:rsidP="00825695">
      <w:pPr>
        <w:shd w:val="clear" w:color="auto" w:fill="FFFFFF"/>
        <w:spacing w:line="360" w:lineRule="auto"/>
        <w:jc w:val="both"/>
        <w:rPr>
          <w:rFonts w:ascii="Arial" w:hAnsi="Arial" w:cs="Arial"/>
          <w:color w:val="000000"/>
          <w:sz w:val="24"/>
          <w:szCs w:val="24"/>
        </w:rPr>
      </w:pPr>
      <w:r>
        <w:rPr>
          <w:rFonts w:ascii="Arial" w:eastAsia="Arial" w:hAnsi="Arial" w:cs="Arial"/>
          <w:sz w:val="24"/>
          <w:szCs w:val="24"/>
        </w:rPr>
        <w:t xml:space="preserve">Community engagement helps to prevent terrorism: it keeps people from becoming involved in terrorism and makes sure they receive the help and guidance they need (Counter Terrorism Policing, 2024). Moving forward, the plan is to expand upon the efficacious multi-agency "Channel" initiative, which detects and </w:t>
      </w:r>
      <w:r w:rsidR="00B623E4">
        <w:rPr>
          <w:rFonts w:ascii="Arial" w:eastAsia="Arial" w:hAnsi="Arial" w:cs="Arial"/>
          <w:sz w:val="24"/>
          <w:szCs w:val="24"/>
        </w:rPr>
        <w:t>aids</w:t>
      </w:r>
      <w:r>
        <w:rPr>
          <w:rFonts w:ascii="Arial" w:eastAsia="Arial" w:hAnsi="Arial" w:cs="Arial"/>
          <w:sz w:val="24"/>
          <w:szCs w:val="24"/>
        </w:rPr>
        <w:t xml:space="preserve"> those who may be susceptible to radicalization (Counter Terrorism Policing, 2024). Through the home office initiative known as Prevent, the police collaborate with other organisations to shield vulnerable individuals from being taken advantage of by extremists (South Wales, 2024). The prevention officers' job is to assist those who are at risk of radicalisation in distancing themselves from extremism</w:t>
      </w:r>
      <w:r w:rsidR="00AB01FF">
        <w:rPr>
          <w:rFonts w:ascii="Arial" w:eastAsia="Arial" w:hAnsi="Arial" w:cs="Arial"/>
          <w:sz w:val="24"/>
          <w:szCs w:val="24"/>
        </w:rPr>
        <w:t xml:space="preserve">, working alongside partners such as schools and physicians </w:t>
      </w:r>
      <w:r>
        <w:rPr>
          <w:rFonts w:ascii="Arial" w:eastAsia="Arial" w:hAnsi="Arial" w:cs="Arial"/>
          <w:sz w:val="24"/>
          <w:szCs w:val="24"/>
        </w:rPr>
        <w:t xml:space="preserve">(South Wales, 2024). South Wales, 2024 reports that if an individual is concerned that someone close to them is expressing extreme opinions or hatred that could cause them to hurt themselves or others, it can be difficult to know what to do. </w:t>
      </w:r>
      <w:r w:rsidR="002E6A6B" w:rsidRPr="002E6A6B">
        <w:rPr>
          <w:rFonts w:ascii="Arial" w:eastAsia="Arial" w:hAnsi="Arial" w:cs="Arial"/>
          <w:sz w:val="24"/>
          <w:szCs w:val="24"/>
        </w:rPr>
        <w:t>The year that concluded on March 31, 2022, had 6,406 referrals to Prevent. Comparing this to the year ending in March 2021 (4,915), there has been a 30% increase. The related effects of removing the public health measures that were in place to stop the coronavirus from spreading are probably what caused this increase (COVID-19)</w:t>
      </w:r>
      <w:r w:rsidR="002E6A6B">
        <w:rPr>
          <w:rFonts w:ascii="Arial" w:eastAsia="Arial" w:hAnsi="Arial" w:cs="Arial"/>
          <w:sz w:val="24"/>
          <w:szCs w:val="24"/>
        </w:rPr>
        <w:t xml:space="preserve"> </w:t>
      </w:r>
      <w:r w:rsidR="002E6A6B" w:rsidRPr="002E6A6B">
        <w:rPr>
          <w:rFonts w:ascii="Arial" w:hAnsi="Arial" w:cs="Arial"/>
          <w:color w:val="000000"/>
          <w:sz w:val="24"/>
          <w:szCs w:val="24"/>
        </w:rPr>
        <w:t>(Home Office, 2023)</w:t>
      </w:r>
      <w:r w:rsidR="002E6A6B">
        <w:rPr>
          <w:rFonts w:ascii="Arial" w:hAnsi="Arial" w:cs="Arial"/>
          <w:color w:val="000000"/>
          <w:sz w:val="24"/>
          <w:szCs w:val="24"/>
        </w:rPr>
        <w:t>.</w:t>
      </w:r>
      <w:r w:rsidR="00825695">
        <w:rPr>
          <w:rFonts w:ascii="Arial" w:hAnsi="Arial" w:cs="Arial"/>
          <w:color w:val="000000"/>
          <w:sz w:val="24"/>
          <w:szCs w:val="24"/>
        </w:rPr>
        <w:t xml:space="preserve"> C</w:t>
      </w:r>
      <w:r w:rsidR="00825695" w:rsidRPr="00825695">
        <w:rPr>
          <w:rFonts w:ascii="Arial" w:hAnsi="Arial" w:cs="Arial"/>
          <w:color w:val="000000"/>
          <w:sz w:val="24"/>
          <w:szCs w:val="24"/>
        </w:rPr>
        <w:t xml:space="preserve">laims that inspectors are observing "many positive aspects" in the way troops shield vulnerable adults and children from extremist content </w:t>
      </w:r>
      <w:r w:rsidR="00825695" w:rsidRPr="00825695">
        <w:rPr>
          <w:rFonts w:ascii="Arial" w:hAnsi="Arial" w:cs="Arial"/>
          <w:color w:val="000000"/>
          <w:sz w:val="24"/>
          <w:szCs w:val="24"/>
        </w:rPr>
        <w:lastRenderedPageBreak/>
        <w:t xml:space="preserve">and radicalisers and that forces are "meeting their obligations under the Prevent duty." </w:t>
      </w:r>
      <w:r w:rsidR="00825695">
        <w:rPr>
          <w:rFonts w:ascii="Arial" w:hAnsi="Arial" w:cs="Arial"/>
          <w:color w:val="000000"/>
          <w:sz w:val="24"/>
          <w:szCs w:val="24"/>
        </w:rPr>
        <w:t>(National Police Chiefs’ Council, 2020).</w:t>
      </w:r>
    </w:p>
    <w:p w14:paraId="0C901B17" w14:textId="77777777" w:rsidR="00825695" w:rsidRPr="00825695" w:rsidRDefault="00825695" w:rsidP="00825695">
      <w:pPr>
        <w:shd w:val="clear" w:color="auto" w:fill="FFFFFF"/>
        <w:spacing w:line="360" w:lineRule="auto"/>
        <w:jc w:val="both"/>
        <w:rPr>
          <w:rFonts w:ascii="Arial" w:hAnsi="Arial" w:cs="Arial"/>
          <w:color w:val="000000"/>
          <w:sz w:val="24"/>
          <w:szCs w:val="24"/>
        </w:rPr>
      </w:pPr>
    </w:p>
    <w:p w14:paraId="2E17772C" w14:textId="0F6BFE20" w:rsidR="002E6A6B" w:rsidRDefault="00825695" w:rsidP="00825695">
      <w:pPr>
        <w:shd w:val="clear" w:color="auto" w:fill="FFFFFF"/>
        <w:spacing w:line="360" w:lineRule="auto"/>
        <w:jc w:val="both"/>
        <w:rPr>
          <w:rFonts w:ascii="Arial" w:eastAsia="Arial" w:hAnsi="Arial" w:cs="Arial"/>
          <w:sz w:val="24"/>
          <w:szCs w:val="24"/>
        </w:rPr>
      </w:pPr>
      <w:r w:rsidRPr="00825695">
        <w:rPr>
          <w:rFonts w:ascii="Arial" w:hAnsi="Arial" w:cs="Arial"/>
          <w:color w:val="000000"/>
          <w:sz w:val="24"/>
          <w:szCs w:val="24"/>
        </w:rPr>
        <w:t>The report acknowledged that "policies and effective processes designed to protect people from being radicalised were in place" and applauded the creativity with which police use computer systems and hate-crime data to better protect communities from extremists.</w:t>
      </w:r>
    </w:p>
    <w:p w14:paraId="00000009" w14:textId="77777777" w:rsidR="00DC0376" w:rsidRDefault="00DC0376">
      <w:pPr>
        <w:spacing w:line="360" w:lineRule="auto"/>
        <w:jc w:val="both"/>
        <w:rPr>
          <w:rFonts w:ascii="Arial" w:eastAsia="Arial" w:hAnsi="Arial" w:cs="Arial"/>
          <w:sz w:val="24"/>
          <w:szCs w:val="24"/>
        </w:rPr>
      </w:pPr>
    </w:p>
    <w:p w14:paraId="0000000A" w14:textId="70CE6A0A" w:rsidR="00DC0376" w:rsidRDefault="00B623E4">
      <w:pPr>
        <w:spacing w:line="360" w:lineRule="auto"/>
        <w:jc w:val="both"/>
        <w:rPr>
          <w:rFonts w:ascii="Arial" w:eastAsia="Arial" w:hAnsi="Arial" w:cs="Arial"/>
          <w:sz w:val="24"/>
          <w:szCs w:val="24"/>
        </w:rPr>
      </w:pPr>
      <w:r w:rsidRPr="00B623E4">
        <w:rPr>
          <w:rFonts w:ascii="Arial" w:eastAsia="Arial" w:hAnsi="Arial" w:cs="Arial"/>
          <w:sz w:val="24"/>
          <w:szCs w:val="24"/>
        </w:rPr>
        <w:t>UK police forces work with the nation's intelligence community to conduct counterterrorism policing, which strives to protect public safety and national security, by preventing, deterring, and investigating terrorist activity.</w:t>
      </w:r>
      <w:r w:rsidRPr="00B623E4">
        <w:t xml:space="preserve"> </w:t>
      </w:r>
      <w:r w:rsidRPr="00B623E4">
        <w:rPr>
          <w:rFonts w:ascii="Arial" w:eastAsia="Arial" w:hAnsi="Arial" w:cs="Arial"/>
          <w:sz w:val="24"/>
          <w:szCs w:val="24"/>
        </w:rPr>
        <w:t>UK police forces work with the nation's intelligence community to conduct counterterrorism policing, which strives to protect public safety and national security, by preventing, deterring, and investigating terrorist activity</w:t>
      </w:r>
      <w:r>
        <w:rPr>
          <w:rFonts w:ascii="Arial" w:eastAsia="Arial" w:hAnsi="Arial" w:cs="Arial"/>
          <w:sz w:val="24"/>
          <w:szCs w:val="24"/>
        </w:rPr>
        <w:t xml:space="preserve"> </w:t>
      </w:r>
      <w:r w:rsidR="00000000">
        <w:rPr>
          <w:rFonts w:ascii="Arial" w:eastAsia="Arial" w:hAnsi="Arial" w:cs="Arial"/>
          <w:sz w:val="24"/>
          <w:szCs w:val="24"/>
        </w:rPr>
        <w:t xml:space="preserve">(Counter Terrorism Policing, 2024). Community engagement supports counterterrorism by having goals: </w:t>
      </w:r>
      <w:r w:rsidRPr="00B623E4">
        <w:rPr>
          <w:rFonts w:ascii="Arial" w:eastAsia="Arial" w:hAnsi="Arial" w:cs="Arial"/>
          <w:sz w:val="24"/>
          <w:szCs w:val="24"/>
        </w:rPr>
        <w:t>Preserving the rights of the most vulnerable people has always been the aim of police service. In the government-led, multi-agency Prevent strategy, which aims to stop people from becoming terrorists, police are essential</w:t>
      </w:r>
      <w:r>
        <w:rPr>
          <w:rFonts w:ascii="Arial" w:eastAsia="Arial" w:hAnsi="Arial" w:cs="Arial"/>
          <w:sz w:val="24"/>
          <w:szCs w:val="24"/>
        </w:rPr>
        <w:t xml:space="preserve"> </w:t>
      </w:r>
      <w:r w:rsidR="00000000">
        <w:rPr>
          <w:rFonts w:ascii="Arial" w:eastAsia="Arial" w:hAnsi="Arial" w:cs="Arial"/>
          <w:sz w:val="24"/>
          <w:szCs w:val="24"/>
        </w:rPr>
        <w:t xml:space="preserve">(Counter Terrorism Policing, 2024). Furthermore, the police collaborate with community organisations and local government partners to identify answers and support those who are vulnerable. 2017 saw the formation of the Counter Terrorism Advisory Network (CTAN), a nationwide forum for stakeholder engagement by Counter Terrorism Policing (Counter Terrorism Policing, 2024). </w:t>
      </w:r>
      <w:r w:rsidRPr="00B623E4">
        <w:rPr>
          <w:rFonts w:ascii="Arial" w:eastAsia="Arial" w:hAnsi="Arial" w:cs="Arial"/>
          <w:sz w:val="24"/>
          <w:szCs w:val="24"/>
        </w:rPr>
        <w:t>Academics and scholars, terrorist survivors, a variety of religious leaders, and people who serve others through neighbourhood associations and groups are among its members.</w:t>
      </w:r>
      <w:r>
        <w:rPr>
          <w:rFonts w:ascii="Arial" w:eastAsia="Arial" w:hAnsi="Arial" w:cs="Arial"/>
          <w:sz w:val="24"/>
          <w:szCs w:val="24"/>
        </w:rPr>
        <w:t xml:space="preserve"> </w:t>
      </w:r>
      <w:r w:rsidR="00000000">
        <w:rPr>
          <w:rFonts w:ascii="Arial" w:eastAsia="Arial" w:hAnsi="Arial" w:cs="Arial"/>
          <w:sz w:val="24"/>
          <w:szCs w:val="24"/>
        </w:rPr>
        <w:t>It is independently chaired. All these groups are separate from the police (Counter Terrorism Policing, 2024).  The research</w:t>
      </w:r>
      <w:r w:rsidR="00000000">
        <w:rPr>
          <w:rFonts w:ascii="Arial" w:eastAsia="Arial" w:hAnsi="Arial" w:cs="Arial"/>
          <w:color w:val="000000"/>
          <w:sz w:val="24"/>
          <w:szCs w:val="24"/>
        </w:rPr>
        <w:t xml:space="preserve"> involved in CTAN </w:t>
      </w:r>
      <w:r w:rsidR="00000000">
        <w:rPr>
          <w:rFonts w:ascii="Arial" w:eastAsia="Arial" w:hAnsi="Arial" w:cs="Arial"/>
          <w:sz w:val="24"/>
          <w:szCs w:val="24"/>
        </w:rPr>
        <w:t xml:space="preserve">examines the evolution of community participation under the UK's CONTEST strategy, which aims to combat international terrorism that is inspired by and linked to Al-Qaeda. It primarily focuses on the "Prevent" strand of the approach, which aims to decrease implicit support for violence, stop radicalization towards violence, and strengthen communities' ability to combat extremist messaging and radicalization on their own (Briggs, 2010). </w:t>
      </w:r>
      <w:r w:rsidRPr="00B623E4">
        <w:rPr>
          <w:rFonts w:ascii="Arial" w:eastAsia="Arial" w:hAnsi="Arial" w:cs="Arial"/>
          <w:sz w:val="24"/>
          <w:szCs w:val="24"/>
        </w:rPr>
        <w:t xml:space="preserve">The phrase "radicalisation" is commonly used to describe the mental development that people go through when they are persuaded to take a risky path. </w:t>
      </w:r>
      <w:r w:rsidR="00000000">
        <w:rPr>
          <w:rFonts w:ascii="Arial" w:eastAsia="Arial" w:hAnsi="Arial" w:cs="Arial"/>
          <w:sz w:val="24"/>
          <w:szCs w:val="24"/>
        </w:rPr>
        <w:t xml:space="preserve">A </w:t>
      </w:r>
      <w:r w:rsidR="00000000">
        <w:rPr>
          <w:rFonts w:ascii="Arial" w:eastAsia="Arial" w:hAnsi="Arial" w:cs="Arial"/>
          <w:sz w:val="24"/>
          <w:szCs w:val="24"/>
        </w:rPr>
        <w:lastRenderedPageBreak/>
        <w:t xml:space="preserve">person is exhibiting radical attitudes in favour of radical ideologies or beliefs, terrorist organisations, and acts if they are on the verge of getting radicalised </w:t>
      </w:r>
      <w:r w:rsidR="00000000">
        <w:rPr>
          <w:rFonts w:ascii="Arial" w:eastAsia="Arial" w:hAnsi="Arial" w:cs="Arial"/>
          <w:color w:val="000000"/>
          <w:sz w:val="24"/>
          <w:szCs w:val="24"/>
        </w:rPr>
        <w:t>(Maarten, 2021).</w:t>
      </w:r>
    </w:p>
    <w:p w14:paraId="0000000B" w14:textId="77777777" w:rsidR="00DC0376" w:rsidRDefault="00DC0376">
      <w:pPr>
        <w:shd w:val="clear" w:color="auto" w:fill="FFFFFF"/>
        <w:spacing w:line="360" w:lineRule="auto"/>
        <w:jc w:val="both"/>
        <w:rPr>
          <w:rFonts w:ascii="Arial" w:eastAsia="Arial" w:hAnsi="Arial" w:cs="Arial"/>
          <w:sz w:val="24"/>
          <w:szCs w:val="24"/>
        </w:rPr>
      </w:pPr>
    </w:p>
    <w:p w14:paraId="0000000C" w14:textId="5F7DBCC6" w:rsidR="00DC0376" w:rsidRDefault="00000000">
      <w:pPr>
        <w:shd w:val="clear" w:color="auto" w:fill="FFFFFF"/>
        <w:spacing w:line="360" w:lineRule="auto"/>
        <w:jc w:val="both"/>
        <w:rPr>
          <w:rFonts w:ascii="Arial" w:eastAsia="Arial" w:hAnsi="Arial" w:cs="Arial"/>
          <w:color w:val="FF0000"/>
          <w:sz w:val="24"/>
          <w:szCs w:val="24"/>
        </w:rPr>
      </w:pPr>
      <w:r>
        <w:rPr>
          <w:rFonts w:ascii="Arial" w:eastAsia="Arial" w:hAnsi="Arial" w:cs="Arial"/>
          <w:sz w:val="24"/>
          <w:szCs w:val="24"/>
        </w:rPr>
        <w:t xml:space="preserve">Multi-agencies are used within community policing when specialists from several agencies work together to accomplish a common goal - this is known as multi-agency teamwork (Abhay, 2023). </w:t>
      </w:r>
      <w:r w:rsidR="00B623E4" w:rsidRPr="00B623E4">
        <w:rPr>
          <w:rFonts w:ascii="Arial" w:eastAsia="Arial" w:hAnsi="Arial" w:cs="Arial"/>
          <w:sz w:val="24"/>
          <w:szCs w:val="24"/>
        </w:rPr>
        <w:t xml:space="preserve">They share tasks, duties, and objectives to support children and families who are </w:t>
      </w:r>
      <w:r w:rsidR="00B623E4">
        <w:rPr>
          <w:rFonts w:ascii="Arial" w:eastAsia="Arial" w:hAnsi="Arial" w:cs="Arial"/>
          <w:sz w:val="24"/>
          <w:szCs w:val="24"/>
        </w:rPr>
        <w:t>in</w:t>
      </w:r>
      <w:r w:rsidR="00B623E4" w:rsidRPr="00B623E4">
        <w:rPr>
          <w:rFonts w:ascii="Arial" w:eastAsia="Arial" w:hAnsi="Arial" w:cs="Arial"/>
          <w:sz w:val="24"/>
          <w:szCs w:val="24"/>
        </w:rPr>
        <w:t xml:space="preserve"> danger of receiving protection as well as those who have additional needs</w:t>
      </w:r>
      <w:r w:rsidR="00B623E4">
        <w:rPr>
          <w:rFonts w:ascii="Arial" w:eastAsia="Arial" w:hAnsi="Arial" w:cs="Arial"/>
          <w:sz w:val="24"/>
          <w:szCs w:val="24"/>
        </w:rPr>
        <w:t xml:space="preserve"> </w:t>
      </w:r>
      <w:r>
        <w:rPr>
          <w:rFonts w:ascii="Arial" w:eastAsia="Arial" w:hAnsi="Arial" w:cs="Arial"/>
          <w:sz w:val="24"/>
          <w:szCs w:val="24"/>
        </w:rPr>
        <w:t>(Abhay, 2023). Multi agencies prevent terrorism regardless of age, religion, nationality, or origin. Additionally, the Prevent Multi-Agency Panel (PMAP) approach offers early support to anyone susceptible to being dragged into terrorism in any form or to supporting terrorist organisations</w:t>
      </w:r>
      <w:r w:rsidR="00AB01FF">
        <w:rPr>
          <w:rFonts w:ascii="Arial" w:eastAsia="Arial" w:hAnsi="Arial" w:cs="Arial"/>
          <w:sz w:val="24"/>
          <w:szCs w:val="24"/>
        </w:rPr>
        <w:t xml:space="preserve"> (Abhay, 2023). </w:t>
      </w:r>
      <w:r>
        <w:rPr>
          <w:rFonts w:ascii="Arial" w:eastAsia="Arial" w:hAnsi="Arial" w:cs="Arial"/>
          <w:color w:val="FF0000"/>
          <w:sz w:val="24"/>
          <w:szCs w:val="24"/>
        </w:rPr>
        <w:t xml:space="preserve"> </w:t>
      </w:r>
      <w:r>
        <w:rPr>
          <w:rFonts w:ascii="Arial" w:eastAsia="Arial" w:hAnsi="Arial" w:cs="Arial"/>
          <w:sz w:val="24"/>
          <w:szCs w:val="24"/>
        </w:rPr>
        <w:t xml:space="preserve">Before being taken advantage of by individuals who would like them to support terrorism, and before engaging in illegal activities related to terrorism, people might get support (HM Government, 2021). </w:t>
      </w:r>
      <w:r>
        <w:rPr>
          <w:rFonts w:ascii="Arial" w:eastAsia="Arial" w:hAnsi="Arial" w:cs="Arial"/>
          <w:color w:val="000000"/>
          <w:sz w:val="24"/>
          <w:szCs w:val="24"/>
        </w:rPr>
        <w:t>Therefore, reducing the potential numbers joining/ being recruited into terrorist organisations (HM Government, 2021)</w:t>
      </w:r>
    </w:p>
    <w:p w14:paraId="0000000D" w14:textId="77777777" w:rsidR="00DC0376" w:rsidRDefault="00DC0376">
      <w:pPr>
        <w:spacing w:line="360" w:lineRule="auto"/>
        <w:jc w:val="both"/>
        <w:rPr>
          <w:rFonts w:ascii="Arial" w:eastAsia="Arial" w:hAnsi="Arial" w:cs="Arial"/>
          <w:sz w:val="24"/>
          <w:szCs w:val="24"/>
        </w:rPr>
      </w:pPr>
    </w:p>
    <w:p w14:paraId="0000000E" w14:textId="266A90A3" w:rsidR="00DC0376" w:rsidRDefault="00B623E4">
      <w:pPr>
        <w:spacing w:line="360" w:lineRule="auto"/>
        <w:jc w:val="both"/>
        <w:rPr>
          <w:rFonts w:ascii="Arial" w:eastAsia="Arial" w:hAnsi="Arial" w:cs="Arial"/>
          <w:color w:val="000000"/>
          <w:sz w:val="24"/>
          <w:szCs w:val="24"/>
        </w:rPr>
      </w:pPr>
      <w:r w:rsidRPr="00B623E4">
        <w:rPr>
          <w:rFonts w:ascii="Arial" w:eastAsia="Arial" w:hAnsi="Arial" w:cs="Arial"/>
          <w:sz w:val="24"/>
          <w:szCs w:val="24"/>
        </w:rPr>
        <w:t>Like</w:t>
      </w:r>
      <w:r w:rsidRPr="00B623E4">
        <w:rPr>
          <w:rFonts w:ascii="Arial" w:eastAsia="Arial" w:hAnsi="Arial" w:cs="Arial"/>
          <w:sz w:val="24"/>
          <w:szCs w:val="24"/>
        </w:rPr>
        <w:t xml:space="preserve"> Local Policing Teams, Community Policing Teams consist of Special Constables, Police Community Support Officers (PCSOs), and Police Officers of all grades. Nonetheless, Community Policing Teams' main goal is to work closely with locals to address and reduce criminal activity and antisocial </w:t>
      </w:r>
      <w:r w:rsidRPr="00B623E4">
        <w:rPr>
          <w:rFonts w:ascii="Arial" w:eastAsia="Arial" w:hAnsi="Arial" w:cs="Arial"/>
          <w:sz w:val="24"/>
          <w:szCs w:val="24"/>
        </w:rPr>
        <w:t>behaviour</w:t>
      </w:r>
      <w:r>
        <w:rPr>
          <w:rFonts w:ascii="Arial" w:eastAsia="Arial" w:hAnsi="Arial" w:cs="Arial"/>
          <w:sz w:val="24"/>
          <w:szCs w:val="24"/>
        </w:rPr>
        <w:t xml:space="preserve"> (</w:t>
      </w:r>
      <w:r w:rsidR="00000000">
        <w:rPr>
          <w:rFonts w:ascii="Arial" w:eastAsia="Arial" w:hAnsi="Arial" w:cs="Arial"/>
          <w:sz w:val="24"/>
          <w:szCs w:val="24"/>
        </w:rPr>
        <w:t xml:space="preserve">Essex Police, 2024), suggesting they form alliances with other nearby companies and organisations to collaborate closely on combating crime. Additionally, the squad responds to serious occurrences (Essex Police, 2024). For example, they work with homeless agencies to try to reduce homelessness and engage with local communities highlighting the link to community engagement (Essex Police, 2024). A positive outcome is that teams have put a lot of effort into making towns safer by apprehending drug dealers, larcenists, and people carrying weapons in addition to handling antisocial conduct (Essex Police, 2024). These teams have improved the information and intelligence obtained by collaborating with individuals and local communities, which aids in the detection and prevention of crime as well as the capturing </w:t>
      </w:r>
      <w:r w:rsidR="00AB01FF">
        <w:rPr>
          <w:rFonts w:ascii="Arial" w:eastAsia="Arial" w:hAnsi="Arial" w:cs="Arial"/>
          <w:sz w:val="24"/>
          <w:szCs w:val="24"/>
        </w:rPr>
        <w:t xml:space="preserve">of </w:t>
      </w:r>
      <w:r w:rsidR="00000000">
        <w:rPr>
          <w:rFonts w:ascii="Arial" w:eastAsia="Arial" w:hAnsi="Arial" w:cs="Arial"/>
          <w:sz w:val="24"/>
          <w:szCs w:val="24"/>
        </w:rPr>
        <w:t xml:space="preserve">more criminals (Essex Police, 2024). </w:t>
      </w:r>
      <w:r w:rsidRPr="00B623E4">
        <w:rPr>
          <w:rFonts w:ascii="Arial" w:eastAsia="Arial" w:hAnsi="Arial" w:cs="Arial"/>
          <w:sz w:val="24"/>
          <w:szCs w:val="24"/>
        </w:rPr>
        <w:t xml:space="preserve">Creating neighbourhood watch programmes is a practical means of enhancing community policing. Community members must work together to spot and report any suspicious activity taking place in their areas to participate in these activities. By interacting with the community, police officers may teach individuals how to spot </w:t>
      </w:r>
      <w:r w:rsidRPr="00B623E4">
        <w:rPr>
          <w:rFonts w:ascii="Arial" w:eastAsia="Arial" w:hAnsi="Arial" w:cs="Arial"/>
          <w:sz w:val="24"/>
          <w:szCs w:val="24"/>
        </w:rPr>
        <w:lastRenderedPageBreak/>
        <w:t>suspicious activity, report it, and put efficient crime prevention measures in place</w:t>
      </w:r>
      <w:r>
        <w:rPr>
          <w:rFonts w:ascii="Arial" w:eastAsia="Arial" w:hAnsi="Arial" w:cs="Arial"/>
          <w:sz w:val="24"/>
          <w:szCs w:val="24"/>
        </w:rPr>
        <w:t xml:space="preserve"> </w:t>
      </w:r>
      <w:r w:rsidR="00000000">
        <w:rPr>
          <w:rFonts w:ascii="Arial" w:eastAsia="Arial" w:hAnsi="Arial" w:cs="Arial"/>
          <w:color w:val="000000"/>
          <w:sz w:val="24"/>
          <w:szCs w:val="24"/>
        </w:rPr>
        <w:t xml:space="preserve">(S, 2023). </w:t>
      </w:r>
    </w:p>
    <w:p w14:paraId="785FE1B1" w14:textId="77777777" w:rsidR="00AB01FF" w:rsidRDefault="00AB01FF">
      <w:pPr>
        <w:spacing w:line="360" w:lineRule="auto"/>
        <w:jc w:val="both"/>
        <w:rPr>
          <w:color w:val="000000"/>
          <w:sz w:val="24"/>
          <w:szCs w:val="24"/>
        </w:rPr>
      </w:pPr>
    </w:p>
    <w:p w14:paraId="0000000F" w14:textId="538AD310" w:rsidR="00DC0376" w:rsidRDefault="00000000">
      <w:pPr>
        <w:spacing w:line="360" w:lineRule="auto"/>
        <w:jc w:val="both"/>
        <w:rPr>
          <w:rFonts w:ascii="Arial" w:eastAsia="Arial" w:hAnsi="Arial" w:cs="Arial"/>
          <w:color w:val="FF0000"/>
          <w:sz w:val="24"/>
          <w:szCs w:val="24"/>
        </w:rPr>
      </w:pPr>
      <w:r>
        <w:rPr>
          <w:rFonts w:ascii="Arial" w:eastAsia="Arial" w:hAnsi="Arial" w:cs="Arial"/>
          <w:sz w:val="24"/>
          <w:szCs w:val="24"/>
        </w:rPr>
        <w:t>To conclude, community engagement aims to involve the community more effectively to produce sustainable long-term results, relationships, procedures, dialogue, decision-making, or execution (Penn State College of Agricultural Sciences, 2021).  Community engagement can help to prevent terrorism by keeping people from becoming involved in terrorism and making sure they receive the help and guidance they need</w:t>
      </w:r>
      <w:r>
        <w:rPr>
          <w:rFonts w:ascii="Arial" w:eastAsia="Arial" w:hAnsi="Arial" w:cs="Arial"/>
          <w:color w:val="FF0000"/>
          <w:sz w:val="24"/>
          <w:szCs w:val="24"/>
        </w:rPr>
        <w:t xml:space="preserve"> </w:t>
      </w:r>
      <w:r>
        <w:rPr>
          <w:rFonts w:ascii="Arial" w:eastAsia="Arial" w:hAnsi="Arial" w:cs="Arial"/>
          <w:sz w:val="24"/>
          <w:szCs w:val="24"/>
        </w:rPr>
        <w:t>(Penn State College of Agricultural Sciences, 2021</w:t>
      </w:r>
      <w:r w:rsidR="00825695">
        <w:rPr>
          <w:rFonts w:ascii="Arial" w:eastAsia="Arial" w:hAnsi="Arial" w:cs="Arial"/>
          <w:sz w:val="24"/>
          <w:szCs w:val="24"/>
        </w:rPr>
        <w:t>)</w:t>
      </w:r>
      <w:r>
        <w:rPr>
          <w:rFonts w:ascii="Arial" w:eastAsia="Arial" w:hAnsi="Arial" w:cs="Arial"/>
          <w:sz w:val="24"/>
          <w:szCs w:val="24"/>
        </w:rPr>
        <w:t xml:space="preserve">. </w:t>
      </w:r>
    </w:p>
    <w:p w14:paraId="00000010" w14:textId="77777777" w:rsidR="00DC0376" w:rsidRDefault="00DC0376">
      <w:pPr>
        <w:spacing w:line="360" w:lineRule="auto"/>
        <w:rPr>
          <w:rFonts w:ascii="Arial" w:eastAsia="Arial" w:hAnsi="Arial" w:cs="Arial"/>
          <w:color w:val="FF0000"/>
          <w:sz w:val="24"/>
          <w:szCs w:val="24"/>
        </w:rPr>
      </w:pPr>
    </w:p>
    <w:p w14:paraId="00000011" w14:textId="77777777" w:rsidR="00DC0376" w:rsidRDefault="00DC0376">
      <w:pPr>
        <w:rPr>
          <w:rFonts w:ascii="Arial" w:eastAsia="Arial" w:hAnsi="Arial" w:cs="Arial"/>
          <w:color w:val="FF0000"/>
          <w:sz w:val="24"/>
          <w:szCs w:val="24"/>
        </w:rPr>
      </w:pPr>
    </w:p>
    <w:p w14:paraId="00000012" w14:textId="77777777" w:rsidR="00DC0376" w:rsidRDefault="00000000">
      <w:pPr>
        <w:pBdr>
          <w:top w:val="nil"/>
          <w:left w:val="nil"/>
          <w:bottom w:val="nil"/>
          <w:right w:val="nil"/>
          <w:between w:val="nil"/>
        </w:pBdr>
        <w:spacing w:after="240"/>
        <w:rPr>
          <w:rFonts w:ascii="Arial" w:eastAsia="Arial" w:hAnsi="Arial" w:cs="Arial"/>
          <w:color w:val="000000"/>
          <w:sz w:val="24"/>
          <w:szCs w:val="24"/>
        </w:rPr>
      </w:pPr>
      <w:r>
        <w:rPr>
          <w:rFonts w:ascii="Arial" w:eastAsia="Arial" w:hAnsi="Arial" w:cs="Arial"/>
          <w:color w:val="000000"/>
          <w:sz w:val="24"/>
          <w:szCs w:val="24"/>
        </w:rPr>
        <w:t xml:space="preserve">References </w:t>
      </w:r>
    </w:p>
    <w:p w14:paraId="00000013" w14:textId="77777777" w:rsidR="00DC0376" w:rsidRDefault="00000000">
      <w:pPr>
        <w:pBdr>
          <w:top w:val="nil"/>
          <w:left w:val="nil"/>
          <w:bottom w:val="nil"/>
          <w:right w:val="nil"/>
          <w:between w:val="nil"/>
        </w:pBdr>
        <w:spacing w:after="240"/>
        <w:rPr>
          <w:rFonts w:ascii="Arial" w:eastAsia="Arial" w:hAnsi="Arial" w:cs="Arial"/>
          <w:color w:val="000000"/>
          <w:sz w:val="24"/>
          <w:szCs w:val="24"/>
        </w:rPr>
      </w:pPr>
      <w:r>
        <w:rPr>
          <w:rFonts w:ascii="Arial" w:eastAsia="Arial" w:hAnsi="Arial" w:cs="Arial"/>
          <w:color w:val="000000"/>
          <w:sz w:val="24"/>
          <w:szCs w:val="24"/>
        </w:rPr>
        <w:t>Abhay, A. (2023). </w:t>
      </w:r>
      <w:r>
        <w:rPr>
          <w:rFonts w:ascii="Arial" w:eastAsia="Arial" w:hAnsi="Arial" w:cs="Arial"/>
          <w:i/>
          <w:color w:val="000000"/>
          <w:sz w:val="24"/>
          <w:szCs w:val="24"/>
        </w:rPr>
        <w:t>What is multi-agency working in safeguarding</w:t>
      </w:r>
      <w:r>
        <w:rPr>
          <w:rFonts w:ascii="Arial" w:eastAsia="Arial" w:hAnsi="Arial" w:cs="Arial"/>
          <w:color w:val="000000"/>
          <w:sz w:val="24"/>
          <w:szCs w:val="24"/>
        </w:rPr>
        <w:t xml:space="preserve">? [online] Training Express. Available at: </w:t>
      </w:r>
      <w:hyperlink r:id="rId4" w:anchor=":~:text=Multi%2Dagency%20working%20is%20where">
        <w:r>
          <w:rPr>
            <w:rFonts w:ascii="Arial" w:eastAsia="Arial" w:hAnsi="Arial" w:cs="Arial"/>
            <w:color w:val="467886"/>
            <w:sz w:val="24"/>
            <w:szCs w:val="24"/>
            <w:u w:val="single"/>
          </w:rPr>
          <w:t>https://trainingexpress.org.uk/what-is-multi-agency-working-in-safeguarding/#:~:text=Multi%2Dagency%20working%20is%20where</w:t>
        </w:r>
      </w:hyperlink>
      <w:r>
        <w:rPr>
          <w:rFonts w:ascii="Arial" w:eastAsia="Arial" w:hAnsi="Arial" w:cs="Arial"/>
          <w:color w:val="000000"/>
          <w:sz w:val="24"/>
          <w:szCs w:val="24"/>
        </w:rPr>
        <w:t>. (Accessed on: 16 April 2024).</w:t>
      </w:r>
    </w:p>
    <w:p w14:paraId="00000014" w14:textId="77777777" w:rsidR="00DC0376" w:rsidRDefault="00000000">
      <w:pPr>
        <w:pBdr>
          <w:top w:val="nil"/>
          <w:left w:val="nil"/>
          <w:bottom w:val="nil"/>
          <w:right w:val="nil"/>
          <w:between w:val="nil"/>
        </w:pBdr>
        <w:spacing w:after="240"/>
        <w:rPr>
          <w:rFonts w:ascii="Arial" w:eastAsia="Arial" w:hAnsi="Arial" w:cs="Arial"/>
          <w:color w:val="222222"/>
          <w:sz w:val="24"/>
          <w:szCs w:val="24"/>
          <w:highlight w:val="white"/>
        </w:rPr>
      </w:pPr>
      <w:r>
        <w:rPr>
          <w:rFonts w:ascii="Arial" w:eastAsia="Arial" w:hAnsi="Arial" w:cs="Arial"/>
          <w:color w:val="222222"/>
          <w:sz w:val="24"/>
          <w:szCs w:val="24"/>
          <w:highlight w:val="white"/>
        </w:rPr>
        <w:t>Briggs, R., 2010. Community engagement for counterterrorism: Lessons from the United Kingdom. </w:t>
      </w:r>
      <w:r>
        <w:rPr>
          <w:rFonts w:ascii="Arial" w:eastAsia="Arial" w:hAnsi="Arial" w:cs="Arial"/>
          <w:i/>
          <w:color w:val="222222"/>
          <w:sz w:val="24"/>
          <w:szCs w:val="24"/>
        </w:rPr>
        <w:t>International affairs</w:t>
      </w:r>
      <w:r>
        <w:rPr>
          <w:rFonts w:ascii="Arial" w:eastAsia="Arial" w:hAnsi="Arial" w:cs="Arial"/>
          <w:color w:val="222222"/>
          <w:sz w:val="24"/>
          <w:szCs w:val="24"/>
          <w:highlight w:val="white"/>
        </w:rPr>
        <w:t>, </w:t>
      </w:r>
      <w:r>
        <w:rPr>
          <w:rFonts w:ascii="Arial" w:eastAsia="Arial" w:hAnsi="Arial" w:cs="Arial"/>
          <w:i/>
          <w:color w:val="222222"/>
          <w:sz w:val="24"/>
          <w:szCs w:val="24"/>
        </w:rPr>
        <w:t>86</w:t>
      </w:r>
      <w:r>
        <w:rPr>
          <w:rFonts w:ascii="Arial" w:eastAsia="Arial" w:hAnsi="Arial" w:cs="Arial"/>
          <w:color w:val="222222"/>
          <w:sz w:val="24"/>
          <w:szCs w:val="24"/>
          <w:highlight w:val="white"/>
        </w:rPr>
        <w:t>(4), pp.971-981.</w:t>
      </w:r>
    </w:p>
    <w:p w14:paraId="00000015" w14:textId="77777777" w:rsidR="00DC0376" w:rsidRDefault="00000000">
      <w:pPr>
        <w:pBdr>
          <w:top w:val="nil"/>
          <w:left w:val="nil"/>
          <w:bottom w:val="nil"/>
          <w:right w:val="nil"/>
          <w:between w:val="nil"/>
        </w:pBdr>
        <w:spacing w:after="240"/>
        <w:rPr>
          <w:rFonts w:ascii="Arial" w:eastAsia="Arial" w:hAnsi="Arial" w:cs="Arial"/>
          <w:color w:val="000000"/>
          <w:sz w:val="24"/>
          <w:szCs w:val="24"/>
        </w:rPr>
      </w:pPr>
      <w:r>
        <w:rPr>
          <w:rFonts w:ascii="Arial" w:eastAsia="Arial" w:hAnsi="Arial" w:cs="Arial"/>
          <w:color w:val="000000"/>
          <w:sz w:val="24"/>
          <w:szCs w:val="24"/>
        </w:rPr>
        <w:t>Counter Terrorism Policing (2024a). </w:t>
      </w:r>
      <w:r>
        <w:rPr>
          <w:rFonts w:ascii="Arial" w:eastAsia="Arial" w:hAnsi="Arial" w:cs="Arial"/>
          <w:i/>
          <w:color w:val="000000"/>
          <w:sz w:val="24"/>
          <w:szCs w:val="24"/>
        </w:rPr>
        <w:t>Prevent</w:t>
      </w:r>
      <w:r>
        <w:rPr>
          <w:rFonts w:ascii="Arial" w:eastAsia="Arial" w:hAnsi="Arial" w:cs="Arial"/>
          <w:color w:val="000000"/>
          <w:sz w:val="24"/>
          <w:szCs w:val="24"/>
        </w:rPr>
        <w:t xml:space="preserve">. [online] Counter Terrorism Policing. Available at: </w:t>
      </w:r>
      <w:hyperlink r:id="rId5">
        <w:r>
          <w:rPr>
            <w:rFonts w:ascii="Arial" w:eastAsia="Arial" w:hAnsi="Arial" w:cs="Arial"/>
            <w:color w:val="467886"/>
            <w:sz w:val="24"/>
            <w:szCs w:val="24"/>
            <w:u w:val="single"/>
          </w:rPr>
          <w:t>https://www.counterterrorism.police.uk/what-we-do/prevent/</w:t>
        </w:r>
      </w:hyperlink>
      <w:r>
        <w:rPr>
          <w:rFonts w:ascii="Arial" w:eastAsia="Arial" w:hAnsi="Arial" w:cs="Arial"/>
          <w:color w:val="000000"/>
          <w:sz w:val="24"/>
          <w:szCs w:val="24"/>
        </w:rPr>
        <w:t>. (Accessed on: 16 April 2024).</w:t>
      </w:r>
    </w:p>
    <w:p w14:paraId="00000016" w14:textId="77777777" w:rsidR="00DC0376" w:rsidRDefault="00000000">
      <w:pPr>
        <w:pBdr>
          <w:top w:val="nil"/>
          <w:left w:val="nil"/>
          <w:bottom w:val="nil"/>
          <w:right w:val="nil"/>
          <w:between w:val="nil"/>
        </w:pBdr>
        <w:spacing w:after="240"/>
        <w:rPr>
          <w:rFonts w:ascii="Arial" w:eastAsia="Arial" w:hAnsi="Arial" w:cs="Arial"/>
          <w:color w:val="000000"/>
          <w:sz w:val="24"/>
          <w:szCs w:val="24"/>
        </w:rPr>
      </w:pPr>
      <w:r>
        <w:rPr>
          <w:rFonts w:ascii="Arial" w:eastAsia="Arial" w:hAnsi="Arial" w:cs="Arial"/>
          <w:color w:val="000000"/>
          <w:sz w:val="24"/>
          <w:szCs w:val="24"/>
        </w:rPr>
        <w:t xml:space="preserve">Essex Police (2024) </w:t>
      </w:r>
      <w:r>
        <w:rPr>
          <w:rFonts w:ascii="Arial" w:eastAsia="Arial" w:hAnsi="Arial" w:cs="Arial"/>
          <w:i/>
          <w:color w:val="000000"/>
          <w:sz w:val="24"/>
          <w:szCs w:val="24"/>
        </w:rPr>
        <w:t>Community policing teams.</w:t>
      </w:r>
      <w:r>
        <w:rPr>
          <w:rFonts w:ascii="Arial" w:eastAsia="Arial" w:hAnsi="Arial" w:cs="Arial"/>
          <w:color w:val="000000"/>
          <w:sz w:val="24"/>
          <w:szCs w:val="24"/>
        </w:rPr>
        <w:t xml:space="preserve"> Available at: </w:t>
      </w:r>
      <w:hyperlink r:id="rId6" w:anchor=":~:text=Community%20Policing%20Teams%2C%20like%20Local,crime%20and%20anti%2Dsocial%20behaviour">
        <w:r>
          <w:rPr>
            <w:rFonts w:ascii="Arial" w:eastAsia="Arial" w:hAnsi="Arial" w:cs="Arial"/>
            <w:color w:val="467886"/>
            <w:sz w:val="24"/>
            <w:szCs w:val="24"/>
            <w:u w:val="single"/>
          </w:rPr>
          <w:t>https://www.essex.police.uk/police-forces/essex-police/areas/essex-police/ca/careers/police-officers/profiles-job-roles/profiles-job-roles-community-policing-teams/#:~:text=Community%20Policing%20Teams%2C%20like%20Local,crime%20and%20anti%2Dsocial%20behaviour</w:t>
        </w:r>
      </w:hyperlink>
      <w:r>
        <w:rPr>
          <w:rFonts w:ascii="Arial" w:eastAsia="Arial" w:hAnsi="Arial" w:cs="Arial"/>
          <w:color w:val="000000"/>
          <w:sz w:val="24"/>
          <w:szCs w:val="24"/>
        </w:rPr>
        <w:t>. (Accessed on: 16 April 2024).</w:t>
      </w:r>
    </w:p>
    <w:p w14:paraId="00000017" w14:textId="77777777" w:rsidR="00DC0376" w:rsidRDefault="00000000">
      <w:pPr>
        <w:pBdr>
          <w:top w:val="nil"/>
          <w:left w:val="nil"/>
          <w:bottom w:val="nil"/>
          <w:right w:val="nil"/>
          <w:between w:val="nil"/>
        </w:pBdr>
        <w:spacing w:before="280" w:after="280"/>
        <w:rPr>
          <w:rFonts w:ascii="Arial" w:eastAsia="Arial" w:hAnsi="Arial" w:cs="Arial"/>
          <w:color w:val="000000"/>
          <w:sz w:val="24"/>
          <w:szCs w:val="24"/>
        </w:rPr>
      </w:pPr>
      <w:r>
        <w:rPr>
          <w:rFonts w:ascii="Arial" w:eastAsia="Arial" w:hAnsi="Arial" w:cs="Arial"/>
          <w:color w:val="000000"/>
          <w:sz w:val="24"/>
          <w:szCs w:val="24"/>
        </w:rPr>
        <w:t>HM Government (2021). </w:t>
      </w:r>
      <w:r>
        <w:rPr>
          <w:rFonts w:ascii="Arial" w:eastAsia="Arial" w:hAnsi="Arial" w:cs="Arial"/>
          <w:i/>
          <w:color w:val="000000"/>
          <w:sz w:val="24"/>
          <w:szCs w:val="24"/>
        </w:rPr>
        <w:t>Prevent Multi-Agency Panel Duty Guidance: Protecting people vulnerable to being drawn into terrorism</w:t>
      </w:r>
      <w:r>
        <w:rPr>
          <w:rFonts w:ascii="Arial" w:eastAsia="Arial" w:hAnsi="Arial" w:cs="Arial"/>
          <w:color w:val="000000"/>
          <w:sz w:val="24"/>
          <w:szCs w:val="24"/>
        </w:rPr>
        <w:t xml:space="preserve">.  Available at: </w:t>
      </w:r>
      <w:hyperlink r:id="rId7">
        <w:r>
          <w:rPr>
            <w:rFonts w:ascii="Arial" w:eastAsia="Arial" w:hAnsi="Arial" w:cs="Arial"/>
            <w:color w:val="467886"/>
            <w:sz w:val="24"/>
            <w:szCs w:val="24"/>
            <w:u w:val="single"/>
          </w:rPr>
          <w:t>https://assets.publishing.service.gov.uk/media/60362a32d3bf7f0ab1c071b7/6.6467_HO_PMAP-Duty-Guidance-Scotland.pdf</w:t>
        </w:r>
      </w:hyperlink>
      <w:r>
        <w:rPr>
          <w:rFonts w:ascii="Arial" w:eastAsia="Arial" w:hAnsi="Arial" w:cs="Arial"/>
          <w:color w:val="000000"/>
          <w:sz w:val="24"/>
          <w:szCs w:val="24"/>
        </w:rPr>
        <w:t xml:space="preserve">. (Accessed on: 18 April 2024). </w:t>
      </w:r>
    </w:p>
    <w:p w14:paraId="616D0184" w14:textId="6FBC6A8A" w:rsidR="002E6A6B" w:rsidRPr="002E6A6B" w:rsidRDefault="002E6A6B" w:rsidP="002E6A6B">
      <w:pPr>
        <w:pStyle w:val="NormalWeb"/>
        <w:spacing w:before="0" w:beforeAutospacing="0" w:after="240" w:afterAutospacing="0" w:line="360" w:lineRule="atLeast"/>
        <w:rPr>
          <w:rFonts w:ascii="Arial" w:eastAsia="Arial" w:hAnsi="Arial" w:cs="Arial"/>
          <w:color w:val="000000"/>
        </w:rPr>
      </w:pPr>
      <w:r w:rsidRPr="002E6A6B">
        <w:rPr>
          <w:rFonts w:ascii="Arial" w:hAnsi="Arial" w:cs="Arial"/>
          <w:color w:val="000000"/>
        </w:rPr>
        <w:t>Home Office (2023).</w:t>
      </w:r>
      <w:r w:rsidRPr="002E6A6B">
        <w:rPr>
          <w:rStyle w:val="apple-converted-space"/>
          <w:rFonts w:ascii="Arial" w:hAnsi="Arial" w:cs="Arial"/>
          <w:color w:val="000000"/>
        </w:rPr>
        <w:t> </w:t>
      </w:r>
      <w:r w:rsidRPr="002E6A6B">
        <w:rPr>
          <w:rFonts w:ascii="Arial" w:hAnsi="Arial" w:cs="Arial"/>
          <w:i/>
          <w:iCs/>
          <w:color w:val="000000"/>
        </w:rPr>
        <w:t>Individuals referred to and supported through the Prevent Programme, April 2021 to March 2022</w:t>
      </w:r>
      <w:r w:rsidRPr="002E6A6B">
        <w:rPr>
          <w:rFonts w:ascii="Arial" w:hAnsi="Arial" w:cs="Arial"/>
          <w:color w:val="000000"/>
        </w:rPr>
        <w:t xml:space="preserve">. Available at: </w:t>
      </w:r>
      <w:hyperlink r:id="rId8" w:history="1">
        <w:r w:rsidRPr="002E6A6B">
          <w:rPr>
            <w:rStyle w:val="Hyperlink"/>
            <w:rFonts w:ascii="Arial" w:hAnsi="Arial" w:cs="Arial"/>
          </w:rPr>
          <w:t>https://www.gov.uk/government/statistics/individuals-referred-to-and-supported-through-the-prevent-programme-april-2021-to-march-2022/individuals-referred-to-and-supported-through-the-prevent-programme-april-2021-to-march-2022</w:t>
        </w:r>
      </w:hyperlink>
      <w:r w:rsidRPr="002E6A6B">
        <w:rPr>
          <w:rFonts w:ascii="Arial" w:hAnsi="Arial" w:cs="Arial"/>
          <w:color w:val="000000"/>
        </w:rPr>
        <w:t xml:space="preserve">. </w:t>
      </w:r>
      <w:r w:rsidRPr="002E6A6B">
        <w:rPr>
          <w:rFonts w:ascii="Arial" w:eastAsia="Arial" w:hAnsi="Arial" w:cs="Arial"/>
          <w:color w:val="000000"/>
        </w:rPr>
        <w:t>(Accessed on: 30 April 2024).</w:t>
      </w:r>
    </w:p>
    <w:p w14:paraId="00000018" w14:textId="02AA10B6" w:rsidR="00DC0376" w:rsidRDefault="00000000">
      <w:pPr>
        <w:pBdr>
          <w:top w:val="nil"/>
          <w:left w:val="nil"/>
          <w:bottom w:val="nil"/>
          <w:right w:val="nil"/>
          <w:between w:val="nil"/>
        </w:pBdr>
        <w:spacing w:after="240"/>
        <w:rPr>
          <w:rFonts w:ascii="Arial" w:eastAsia="Arial" w:hAnsi="Arial" w:cs="Arial"/>
          <w:color w:val="000000"/>
          <w:sz w:val="24"/>
          <w:szCs w:val="24"/>
        </w:rPr>
      </w:pPr>
      <w:r>
        <w:rPr>
          <w:rFonts w:ascii="Arial" w:eastAsia="Arial" w:hAnsi="Arial" w:cs="Arial"/>
          <w:color w:val="000000"/>
          <w:sz w:val="24"/>
          <w:szCs w:val="24"/>
        </w:rPr>
        <w:lastRenderedPageBreak/>
        <w:t>Maarten (2021). </w:t>
      </w:r>
      <w:r>
        <w:rPr>
          <w:rFonts w:ascii="Arial" w:eastAsia="Arial" w:hAnsi="Arial" w:cs="Arial"/>
          <w:i/>
          <w:color w:val="000000"/>
          <w:sz w:val="24"/>
          <w:szCs w:val="24"/>
        </w:rPr>
        <w:t>What is it? | Counter Terrorism Policing</w:t>
      </w:r>
      <w:r>
        <w:rPr>
          <w:rFonts w:ascii="Arial" w:eastAsia="Arial" w:hAnsi="Arial" w:cs="Arial"/>
          <w:color w:val="000000"/>
          <w:sz w:val="24"/>
          <w:szCs w:val="24"/>
        </w:rPr>
        <w:t xml:space="preserve">. [online] Action Counters Terrorism. Available at: </w:t>
      </w:r>
      <w:hyperlink r:id="rId9">
        <w:r>
          <w:rPr>
            <w:rFonts w:ascii="Arial" w:eastAsia="Arial" w:hAnsi="Arial" w:cs="Arial"/>
            <w:color w:val="467886"/>
            <w:sz w:val="24"/>
            <w:szCs w:val="24"/>
            <w:u w:val="single"/>
          </w:rPr>
          <w:t>https://actearly.uk/radicalisation/what-is-it/</w:t>
        </w:r>
      </w:hyperlink>
      <w:r>
        <w:rPr>
          <w:rFonts w:ascii="Arial" w:eastAsia="Arial" w:hAnsi="Arial" w:cs="Arial"/>
          <w:color w:val="000000"/>
          <w:sz w:val="24"/>
          <w:szCs w:val="24"/>
        </w:rPr>
        <w:t>. (Accessed on: 16 April 2024).</w:t>
      </w:r>
    </w:p>
    <w:p w14:paraId="3F31EE3B" w14:textId="77777777" w:rsidR="00825695" w:rsidRPr="00825695" w:rsidRDefault="00825695" w:rsidP="00825695">
      <w:pPr>
        <w:pStyle w:val="Heading1"/>
        <w:spacing w:before="0" w:after="240" w:line="288" w:lineRule="atLeast"/>
        <w:textAlignment w:val="baseline"/>
        <w:rPr>
          <w:rFonts w:ascii="Arial" w:eastAsia="Times New Roman" w:hAnsi="Arial" w:cs="Arial"/>
          <w:color w:val="1F2025"/>
          <w:kern w:val="36"/>
          <w:sz w:val="48"/>
          <w:szCs w:val="48"/>
        </w:rPr>
      </w:pPr>
      <w:r w:rsidRPr="00825695">
        <w:rPr>
          <w:rFonts w:ascii="Arial" w:hAnsi="Arial" w:cs="Arial"/>
          <w:color w:val="000000"/>
          <w:sz w:val="24"/>
          <w:szCs w:val="24"/>
        </w:rPr>
        <w:t xml:space="preserve">National Police </w:t>
      </w:r>
      <w:proofErr w:type="spellStart"/>
      <w:r w:rsidRPr="00825695">
        <w:rPr>
          <w:rFonts w:ascii="Arial" w:hAnsi="Arial" w:cs="Arial"/>
          <w:color w:val="000000"/>
          <w:sz w:val="24"/>
          <w:szCs w:val="24"/>
        </w:rPr>
        <w:t>Cheifs</w:t>
      </w:r>
      <w:proofErr w:type="spellEnd"/>
      <w:r w:rsidRPr="00825695">
        <w:rPr>
          <w:rFonts w:ascii="Arial" w:hAnsi="Arial" w:cs="Arial"/>
          <w:color w:val="000000"/>
          <w:sz w:val="24"/>
          <w:szCs w:val="24"/>
        </w:rPr>
        <w:t xml:space="preserve">’ Council (2020) </w:t>
      </w:r>
      <w:r w:rsidRPr="00825695">
        <w:rPr>
          <w:rFonts w:ascii="Arial" w:eastAsia="Times New Roman" w:hAnsi="Arial" w:cs="Arial"/>
          <w:i/>
          <w:iCs/>
          <w:color w:val="1F2025"/>
          <w:kern w:val="36"/>
          <w:sz w:val="24"/>
          <w:szCs w:val="24"/>
        </w:rPr>
        <w:t xml:space="preserve">HMICFRS report highlights ‘positive aspects' to Prevent. </w:t>
      </w:r>
      <w:r w:rsidRPr="00825695">
        <w:rPr>
          <w:rFonts w:ascii="Arial" w:eastAsia="Times New Roman" w:hAnsi="Arial" w:cs="Arial"/>
          <w:color w:val="1F2025"/>
          <w:kern w:val="36"/>
          <w:sz w:val="24"/>
          <w:szCs w:val="24"/>
        </w:rPr>
        <w:t xml:space="preserve">Available at: </w:t>
      </w:r>
      <w:hyperlink r:id="rId10" w:history="1">
        <w:r w:rsidRPr="00825695">
          <w:rPr>
            <w:rStyle w:val="Hyperlink"/>
            <w:rFonts w:ascii="Arial" w:hAnsi="Arial" w:cs="Arial"/>
            <w:sz w:val="24"/>
            <w:szCs w:val="24"/>
          </w:rPr>
          <w:t>https://news.npcc.police.uk/releases/new-hmicfrs-report-highlights-many-positive-aspects-to-policings-delivery-of-prevent-duty</w:t>
        </w:r>
      </w:hyperlink>
      <w:r w:rsidRPr="00825695">
        <w:rPr>
          <w:rFonts w:ascii="Arial" w:hAnsi="Arial" w:cs="Arial"/>
          <w:color w:val="000000"/>
          <w:sz w:val="24"/>
          <w:szCs w:val="24"/>
        </w:rPr>
        <w:t xml:space="preserve"> </w:t>
      </w:r>
      <w:r w:rsidRPr="00825695">
        <w:rPr>
          <w:rFonts w:ascii="Arial" w:eastAsia="Arial" w:hAnsi="Arial" w:cs="Arial"/>
          <w:color w:val="000000"/>
          <w:sz w:val="24"/>
          <w:szCs w:val="24"/>
        </w:rPr>
        <w:t>(Accessed on: 30 April 2024).</w:t>
      </w:r>
    </w:p>
    <w:p w14:paraId="00000019" w14:textId="77777777" w:rsidR="00DC0376" w:rsidRDefault="00000000">
      <w:pPr>
        <w:pBdr>
          <w:top w:val="nil"/>
          <w:left w:val="nil"/>
          <w:bottom w:val="nil"/>
          <w:right w:val="nil"/>
          <w:between w:val="nil"/>
        </w:pBdr>
        <w:spacing w:after="240"/>
        <w:rPr>
          <w:rFonts w:ascii="Arial" w:eastAsia="Arial" w:hAnsi="Arial" w:cs="Arial"/>
          <w:color w:val="000000"/>
          <w:sz w:val="24"/>
          <w:szCs w:val="24"/>
        </w:rPr>
      </w:pPr>
      <w:r>
        <w:rPr>
          <w:rFonts w:ascii="Arial" w:eastAsia="Arial" w:hAnsi="Arial" w:cs="Arial"/>
          <w:color w:val="000000"/>
          <w:sz w:val="24"/>
          <w:szCs w:val="24"/>
        </w:rPr>
        <w:t>Penn State College of Agricultural Sciences (2021). </w:t>
      </w:r>
      <w:r>
        <w:rPr>
          <w:rFonts w:ascii="Arial" w:eastAsia="Arial" w:hAnsi="Arial" w:cs="Arial"/>
          <w:i/>
          <w:color w:val="000000"/>
          <w:sz w:val="24"/>
          <w:szCs w:val="24"/>
        </w:rPr>
        <w:t>What is Community Engagement? (Centre for Economic and Community Development)</w:t>
      </w:r>
      <w:r>
        <w:rPr>
          <w:rFonts w:ascii="Arial" w:eastAsia="Arial" w:hAnsi="Arial" w:cs="Arial"/>
          <w:color w:val="000000"/>
          <w:sz w:val="24"/>
          <w:szCs w:val="24"/>
        </w:rPr>
        <w:t xml:space="preserve">. [online] Centre for Economic and Community Development (Penn State University). Available at: </w:t>
      </w:r>
      <w:hyperlink r:id="rId11">
        <w:r>
          <w:rPr>
            <w:rFonts w:ascii="Arial" w:eastAsia="Arial" w:hAnsi="Arial" w:cs="Arial"/>
            <w:color w:val="467886"/>
            <w:sz w:val="24"/>
            <w:szCs w:val="24"/>
            <w:u w:val="single"/>
          </w:rPr>
          <w:t>https://aese.psu.edu/research/centers/cecd/engagement-toolbox/engagement/what-is-community-engagement</w:t>
        </w:r>
      </w:hyperlink>
      <w:r>
        <w:rPr>
          <w:rFonts w:ascii="Arial" w:eastAsia="Arial" w:hAnsi="Arial" w:cs="Arial"/>
          <w:color w:val="000000"/>
          <w:sz w:val="24"/>
          <w:szCs w:val="24"/>
        </w:rPr>
        <w:t>. (Accessed on: 16 April 2024).</w:t>
      </w:r>
    </w:p>
    <w:p w14:paraId="0000001A" w14:textId="77777777" w:rsidR="00DC0376" w:rsidRDefault="00000000">
      <w:pPr>
        <w:pBdr>
          <w:top w:val="nil"/>
          <w:left w:val="nil"/>
          <w:bottom w:val="nil"/>
          <w:right w:val="nil"/>
          <w:between w:val="nil"/>
        </w:pBdr>
        <w:spacing w:after="240"/>
        <w:rPr>
          <w:rFonts w:ascii="Arial" w:eastAsia="Arial" w:hAnsi="Arial" w:cs="Arial"/>
          <w:color w:val="000000"/>
          <w:sz w:val="24"/>
          <w:szCs w:val="24"/>
        </w:rPr>
      </w:pPr>
      <w:proofErr w:type="spellStart"/>
      <w:r>
        <w:rPr>
          <w:rFonts w:ascii="Arial" w:eastAsia="Arial" w:hAnsi="Arial" w:cs="Arial"/>
          <w:color w:val="000000"/>
          <w:sz w:val="24"/>
          <w:szCs w:val="24"/>
        </w:rPr>
        <w:t>Sobem</w:t>
      </w:r>
      <w:proofErr w:type="spellEnd"/>
      <w:r>
        <w:rPr>
          <w:rFonts w:ascii="Arial" w:eastAsia="Arial" w:hAnsi="Arial" w:cs="Arial"/>
          <w:color w:val="000000"/>
          <w:sz w:val="24"/>
          <w:szCs w:val="24"/>
        </w:rPr>
        <w:t xml:space="preserve"> </w:t>
      </w:r>
      <w:proofErr w:type="spellStart"/>
      <w:r>
        <w:rPr>
          <w:rFonts w:ascii="Arial" w:eastAsia="Arial" w:hAnsi="Arial" w:cs="Arial"/>
          <w:color w:val="000000"/>
          <w:sz w:val="24"/>
          <w:szCs w:val="24"/>
        </w:rPr>
        <w:t>Nwoko</w:t>
      </w:r>
      <w:proofErr w:type="spellEnd"/>
      <w:r>
        <w:rPr>
          <w:rFonts w:ascii="Arial" w:eastAsia="Arial" w:hAnsi="Arial" w:cs="Arial"/>
          <w:color w:val="000000"/>
          <w:sz w:val="24"/>
          <w:szCs w:val="24"/>
        </w:rPr>
        <w:t xml:space="preserve"> (2018). </w:t>
      </w:r>
      <w:r>
        <w:rPr>
          <w:rFonts w:ascii="Arial" w:eastAsia="Arial" w:hAnsi="Arial" w:cs="Arial"/>
          <w:i/>
          <w:color w:val="000000"/>
          <w:sz w:val="24"/>
          <w:szCs w:val="24"/>
        </w:rPr>
        <w:t>Community Policing</w:t>
      </w:r>
      <w:r>
        <w:rPr>
          <w:rFonts w:ascii="Arial" w:eastAsia="Arial" w:hAnsi="Arial" w:cs="Arial"/>
          <w:color w:val="000000"/>
          <w:sz w:val="24"/>
          <w:szCs w:val="24"/>
        </w:rPr>
        <w:t xml:space="preserve">. Available at: </w:t>
      </w:r>
      <w:hyperlink r:id="rId12">
        <w:r>
          <w:rPr>
            <w:rFonts w:ascii="Arial" w:eastAsia="Arial" w:hAnsi="Arial" w:cs="Arial"/>
            <w:color w:val="0000FF"/>
            <w:sz w:val="24"/>
            <w:szCs w:val="24"/>
            <w:u w:val="single"/>
          </w:rPr>
          <w:t>https://www.ebpsociety.org/blog/education/340-community-policing</w:t>
        </w:r>
      </w:hyperlink>
      <w:r>
        <w:rPr>
          <w:rFonts w:ascii="Arial" w:eastAsia="Arial" w:hAnsi="Arial" w:cs="Arial"/>
          <w:color w:val="000000"/>
          <w:sz w:val="24"/>
          <w:szCs w:val="24"/>
        </w:rPr>
        <w:t>. (Accessed on: 29 April 2024).</w:t>
      </w:r>
    </w:p>
    <w:p w14:paraId="0000001B" w14:textId="77777777" w:rsidR="00DC0376" w:rsidRDefault="00000000">
      <w:pPr>
        <w:pBdr>
          <w:top w:val="nil"/>
          <w:left w:val="nil"/>
          <w:bottom w:val="nil"/>
          <w:right w:val="nil"/>
          <w:between w:val="nil"/>
        </w:pBdr>
        <w:spacing w:after="240"/>
        <w:rPr>
          <w:rFonts w:ascii="Arial" w:eastAsia="Arial" w:hAnsi="Arial" w:cs="Arial"/>
          <w:color w:val="000000"/>
          <w:sz w:val="24"/>
          <w:szCs w:val="24"/>
        </w:rPr>
      </w:pPr>
      <w:r>
        <w:rPr>
          <w:rFonts w:ascii="Arial" w:eastAsia="Arial" w:hAnsi="Arial" w:cs="Arial"/>
          <w:color w:val="000000"/>
          <w:sz w:val="24"/>
          <w:szCs w:val="24"/>
        </w:rPr>
        <w:t xml:space="preserve">South Wales (2024) </w:t>
      </w:r>
      <w:r>
        <w:rPr>
          <w:rFonts w:ascii="Arial" w:eastAsia="Arial" w:hAnsi="Arial" w:cs="Arial"/>
          <w:i/>
          <w:color w:val="000000"/>
          <w:sz w:val="24"/>
          <w:szCs w:val="24"/>
        </w:rPr>
        <w:t>Prevent.</w:t>
      </w:r>
      <w:r>
        <w:rPr>
          <w:rFonts w:ascii="Arial" w:eastAsia="Arial" w:hAnsi="Arial" w:cs="Arial"/>
          <w:color w:val="000000"/>
          <w:sz w:val="24"/>
          <w:szCs w:val="24"/>
        </w:rPr>
        <w:t xml:space="preserve"> Available at: </w:t>
      </w:r>
      <w:hyperlink r:id="rId13">
        <w:r>
          <w:rPr>
            <w:rFonts w:ascii="Arial" w:eastAsia="Arial" w:hAnsi="Arial" w:cs="Arial"/>
            <w:color w:val="467886"/>
            <w:sz w:val="24"/>
            <w:szCs w:val="24"/>
            <w:u w:val="single"/>
          </w:rPr>
          <w:t>https://www.south-wales.police.uk/advice/advice-and-information/t/prevent/prevent/</w:t>
        </w:r>
      </w:hyperlink>
      <w:r>
        <w:rPr>
          <w:rFonts w:ascii="Arial" w:eastAsia="Arial" w:hAnsi="Arial" w:cs="Arial"/>
          <w:color w:val="000000"/>
          <w:sz w:val="24"/>
          <w:szCs w:val="24"/>
        </w:rPr>
        <w:t xml:space="preserve"> (Accessed on: 16 April 2024).</w:t>
      </w:r>
    </w:p>
    <w:p w14:paraId="0000001C" w14:textId="77777777" w:rsidR="00DC0376" w:rsidRDefault="00000000">
      <w:pPr>
        <w:pBdr>
          <w:top w:val="nil"/>
          <w:left w:val="nil"/>
          <w:bottom w:val="nil"/>
          <w:right w:val="nil"/>
          <w:between w:val="nil"/>
        </w:pBdr>
        <w:spacing w:after="240"/>
        <w:rPr>
          <w:rFonts w:ascii="Arial" w:eastAsia="Arial" w:hAnsi="Arial" w:cs="Arial"/>
          <w:color w:val="000000"/>
          <w:sz w:val="24"/>
          <w:szCs w:val="24"/>
        </w:rPr>
      </w:pPr>
      <w:r>
        <w:rPr>
          <w:rFonts w:ascii="Arial" w:eastAsia="Arial" w:hAnsi="Arial" w:cs="Arial"/>
          <w:color w:val="000000"/>
          <w:sz w:val="24"/>
          <w:szCs w:val="24"/>
        </w:rPr>
        <w:t>S, N. (2023). </w:t>
      </w:r>
      <w:r>
        <w:rPr>
          <w:rFonts w:ascii="Arial" w:eastAsia="Arial" w:hAnsi="Arial" w:cs="Arial"/>
          <w:i/>
          <w:color w:val="000000"/>
          <w:sz w:val="24"/>
          <w:szCs w:val="24"/>
        </w:rPr>
        <w:t>Improving Community Policing Strategies and Best Practices</w:t>
      </w:r>
      <w:r>
        <w:rPr>
          <w:rFonts w:ascii="Arial" w:eastAsia="Arial" w:hAnsi="Arial" w:cs="Arial"/>
          <w:color w:val="000000"/>
          <w:sz w:val="24"/>
          <w:szCs w:val="24"/>
        </w:rPr>
        <w:t xml:space="preserve">. West Advanced Technologies, Inc. Available at: </w:t>
      </w:r>
      <w:hyperlink r:id="rId14">
        <w:r>
          <w:rPr>
            <w:rFonts w:ascii="Arial" w:eastAsia="Arial" w:hAnsi="Arial" w:cs="Arial"/>
            <w:color w:val="0000FF"/>
            <w:sz w:val="24"/>
            <w:szCs w:val="24"/>
            <w:u w:val="single"/>
          </w:rPr>
          <w:t>https://www.wati.com/improving-community-policing-strategies/</w:t>
        </w:r>
      </w:hyperlink>
      <w:r>
        <w:rPr>
          <w:rFonts w:ascii="Arial" w:eastAsia="Arial" w:hAnsi="Arial" w:cs="Arial"/>
          <w:color w:val="000000"/>
          <w:sz w:val="24"/>
          <w:szCs w:val="24"/>
        </w:rPr>
        <w:t>. (Accessed on: 29 April 2024).</w:t>
      </w:r>
    </w:p>
    <w:p w14:paraId="28267D91" w14:textId="77777777" w:rsidR="00825695" w:rsidRDefault="00825695">
      <w:pPr>
        <w:pBdr>
          <w:top w:val="nil"/>
          <w:left w:val="nil"/>
          <w:bottom w:val="nil"/>
          <w:right w:val="nil"/>
          <w:between w:val="nil"/>
        </w:pBdr>
        <w:spacing w:after="240"/>
        <w:rPr>
          <w:color w:val="000000"/>
          <w:sz w:val="24"/>
          <w:szCs w:val="24"/>
        </w:rPr>
      </w:pPr>
    </w:p>
    <w:p w14:paraId="0000001F" w14:textId="77777777" w:rsidR="00DC0376" w:rsidRDefault="00DC0376">
      <w:pPr>
        <w:pBdr>
          <w:top w:val="nil"/>
          <w:left w:val="nil"/>
          <w:bottom w:val="nil"/>
          <w:right w:val="nil"/>
          <w:between w:val="nil"/>
        </w:pBdr>
        <w:spacing w:after="240"/>
        <w:rPr>
          <w:rFonts w:ascii="Arial" w:eastAsia="Arial" w:hAnsi="Arial" w:cs="Arial"/>
          <w:color w:val="000000"/>
          <w:sz w:val="24"/>
          <w:szCs w:val="24"/>
        </w:rPr>
      </w:pPr>
    </w:p>
    <w:p w14:paraId="00000020" w14:textId="77777777" w:rsidR="00DC0376" w:rsidRDefault="00DC0376">
      <w:pPr>
        <w:pBdr>
          <w:top w:val="nil"/>
          <w:left w:val="nil"/>
          <w:bottom w:val="nil"/>
          <w:right w:val="nil"/>
          <w:between w:val="nil"/>
        </w:pBdr>
        <w:spacing w:after="240"/>
        <w:rPr>
          <w:color w:val="000000"/>
          <w:sz w:val="24"/>
          <w:szCs w:val="24"/>
        </w:rPr>
      </w:pPr>
    </w:p>
    <w:p w14:paraId="00000021" w14:textId="77777777" w:rsidR="00DC0376" w:rsidRDefault="00DC0376">
      <w:pPr>
        <w:pBdr>
          <w:top w:val="nil"/>
          <w:left w:val="nil"/>
          <w:bottom w:val="nil"/>
          <w:right w:val="nil"/>
          <w:between w:val="nil"/>
        </w:pBdr>
        <w:spacing w:after="240"/>
        <w:rPr>
          <w:color w:val="000000"/>
          <w:sz w:val="24"/>
          <w:szCs w:val="24"/>
        </w:rPr>
      </w:pPr>
    </w:p>
    <w:p w14:paraId="00000022" w14:textId="77777777" w:rsidR="00DC0376" w:rsidRDefault="00DC0376">
      <w:pPr>
        <w:pBdr>
          <w:top w:val="nil"/>
          <w:left w:val="nil"/>
          <w:bottom w:val="nil"/>
          <w:right w:val="nil"/>
          <w:between w:val="nil"/>
        </w:pBdr>
        <w:spacing w:after="240"/>
        <w:rPr>
          <w:color w:val="000000"/>
          <w:sz w:val="24"/>
          <w:szCs w:val="24"/>
        </w:rPr>
      </w:pPr>
    </w:p>
    <w:p w14:paraId="00000023" w14:textId="77777777" w:rsidR="00DC0376" w:rsidRDefault="00DC0376">
      <w:pPr>
        <w:pBdr>
          <w:top w:val="nil"/>
          <w:left w:val="nil"/>
          <w:bottom w:val="nil"/>
          <w:right w:val="nil"/>
          <w:between w:val="nil"/>
        </w:pBdr>
        <w:spacing w:after="240"/>
        <w:rPr>
          <w:color w:val="000000"/>
          <w:sz w:val="24"/>
          <w:szCs w:val="24"/>
        </w:rPr>
      </w:pPr>
    </w:p>
    <w:p w14:paraId="00000024" w14:textId="77777777" w:rsidR="00DC0376" w:rsidRDefault="00DC0376">
      <w:pPr>
        <w:pBdr>
          <w:top w:val="nil"/>
          <w:left w:val="nil"/>
          <w:bottom w:val="nil"/>
          <w:right w:val="nil"/>
          <w:between w:val="nil"/>
        </w:pBdr>
        <w:spacing w:after="240"/>
        <w:rPr>
          <w:color w:val="000000"/>
          <w:sz w:val="24"/>
          <w:szCs w:val="24"/>
        </w:rPr>
      </w:pPr>
    </w:p>
    <w:p w14:paraId="00000025" w14:textId="77777777" w:rsidR="00DC0376" w:rsidRDefault="00DC0376">
      <w:pPr>
        <w:pBdr>
          <w:top w:val="nil"/>
          <w:left w:val="nil"/>
          <w:bottom w:val="nil"/>
          <w:right w:val="nil"/>
          <w:between w:val="nil"/>
        </w:pBdr>
        <w:spacing w:after="240"/>
        <w:rPr>
          <w:color w:val="000000"/>
          <w:sz w:val="24"/>
          <w:szCs w:val="24"/>
        </w:rPr>
      </w:pPr>
    </w:p>
    <w:p w14:paraId="00000026" w14:textId="77777777" w:rsidR="00DC0376" w:rsidRDefault="00DC0376">
      <w:pPr>
        <w:pBdr>
          <w:top w:val="nil"/>
          <w:left w:val="nil"/>
          <w:bottom w:val="nil"/>
          <w:right w:val="nil"/>
          <w:between w:val="nil"/>
        </w:pBdr>
        <w:spacing w:after="240"/>
        <w:rPr>
          <w:color w:val="000000"/>
          <w:sz w:val="24"/>
          <w:szCs w:val="24"/>
        </w:rPr>
      </w:pPr>
    </w:p>
    <w:p w14:paraId="00000027" w14:textId="77777777" w:rsidR="00DC0376" w:rsidRDefault="00DC0376">
      <w:pPr>
        <w:rPr>
          <w:rFonts w:ascii="Arial" w:eastAsia="Arial" w:hAnsi="Arial" w:cs="Arial"/>
          <w:sz w:val="24"/>
          <w:szCs w:val="24"/>
        </w:rPr>
      </w:pPr>
    </w:p>
    <w:p w14:paraId="00000028" w14:textId="77777777" w:rsidR="00DC0376" w:rsidRDefault="00DC0376">
      <w:pPr>
        <w:rPr>
          <w:rFonts w:ascii="Arial" w:eastAsia="Arial" w:hAnsi="Arial" w:cs="Arial"/>
          <w:sz w:val="24"/>
          <w:szCs w:val="24"/>
        </w:rPr>
      </w:pPr>
    </w:p>
    <w:sectPr w:rsidR="00DC0376">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embedRegular r:id="rId1" w:fontKey="{705F14CA-2A19-A44A-86C9-249DC3D32B4A}"/>
    <w:embedItalic r:id="rId2" w:fontKey="{1E58C50B-E1F0-CE47-949C-1F51A8E16C90}"/>
  </w:font>
  <w:font w:name="Play">
    <w:charset w:val="00"/>
    <w:family w:val="auto"/>
    <w:pitch w:val="default"/>
    <w:embedRegular r:id="rId3" w:fontKey="{D676A2D9-E6C7-AC41-AB88-F869B51E3B47}"/>
  </w:font>
  <w:font w:name="Arial">
    <w:panose1 w:val="020B0604020202020204"/>
    <w:charset w:val="00"/>
    <w:family w:val="swiss"/>
    <w:pitch w:val="variable"/>
    <w:sig w:usb0="E0002AFF" w:usb1="C0007843" w:usb2="00000009" w:usb3="00000000" w:csb0="000001FF" w:csb1="00000000"/>
    <w:embedRegular r:id="rId4" w:fontKey="{570BC0DF-75A8-EB4C-BA57-F0F35F5A7B1D}"/>
    <w:embedItalic r:id="rId5" w:fontKey="{845709F6-A7F1-6846-88D8-94EFD3CB9023}"/>
  </w:font>
  <w:font w:name="Calibri">
    <w:panose1 w:val="020F0502020204030204"/>
    <w:charset w:val="00"/>
    <w:family w:val="swiss"/>
    <w:pitch w:val="variable"/>
    <w:sig w:usb0="E0002AFF" w:usb1="C000247B" w:usb2="00000009" w:usb3="00000000" w:csb0="000001FF" w:csb1="00000000"/>
    <w:embedRegular r:id="rId6" w:fontKey="{ACF4170D-219A-204E-9031-7EDADF0BB055}"/>
  </w:font>
  <w:font w:name="Cambria">
    <w:panose1 w:val="02040503050406030204"/>
    <w:charset w:val="00"/>
    <w:family w:val="roman"/>
    <w:pitch w:val="variable"/>
    <w:sig w:usb0="E00002FF" w:usb1="400004FF" w:usb2="00000000" w:usb3="00000000" w:csb0="0000019F" w:csb1="00000000"/>
    <w:embedRegular r:id="rId7" w:fontKey="{F14537C7-17EF-9340-82D2-1EA596D93357}"/>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0376"/>
    <w:rsid w:val="00195373"/>
    <w:rsid w:val="002E6A6B"/>
    <w:rsid w:val="0070156E"/>
    <w:rsid w:val="00825695"/>
    <w:rsid w:val="00AB01FF"/>
    <w:rsid w:val="00B623E4"/>
    <w:rsid w:val="00DC0376"/>
    <w:rsid w:val="00DC52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AA4EC72"/>
  <w15:docId w15:val="{B4DE912A-359B-8E4F-9BAE-DB6489EB12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outlineLvl w:val="5"/>
    </w:pPr>
    <w:rPr>
      <w:i/>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after="80"/>
    </w:pPr>
    <w:rPr>
      <w:rFonts w:ascii="Play" w:eastAsia="Play" w:hAnsi="Play" w:cs="Play"/>
      <w:sz w:val="56"/>
      <w:szCs w:val="56"/>
    </w:rPr>
  </w:style>
  <w:style w:type="paragraph" w:styleId="Subtitle">
    <w:name w:val="Subtitle"/>
    <w:basedOn w:val="Normal"/>
    <w:next w:val="Normal"/>
    <w:uiPriority w:val="11"/>
    <w:qFormat/>
    <w:pPr>
      <w:spacing w:after="160"/>
    </w:pPr>
    <w:rPr>
      <w:color w:val="595959"/>
      <w:sz w:val="28"/>
      <w:szCs w:val="28"/>
    </w:rPr>
  </w:style>
  <w:style w:type="paragraph" w:styleId="NormalWeb">
    <w:name w:val="Normal (Web)"/>
    <w:basedOn w:val="Normal"/>
    <w:uiPriority w:val="99"/>
    <w:semiHidden/>
    <w:unhideWhenUsed/>
    <w:rsid w:val="002E6A6B"/>
    <w:pPr>
      <w:spacing w:before="100" w:beforeAutospacing="1" w:after="100" w:afterAutospacing="1"/>
    </w:pPr>
    <w:rPr>
      <w:sz w:val="24"/>
      <w:szCs w:val="24"/>
    </w:rPr>
  </w:style>
  <w:style w:type="character" w:customStyle="1" w:styleId="apple-converted-space">
    <w:name w:val="apple-converted-space"/>
    <w:basedOn w:val="DefaultParagraphFont"/>
    <w:rsid w:val="002E6A6B"/>
  </w:style>
  <w:style w:type="character" w:styleId="Hyperlink">
    <w:name w:val="Hyperlink"/>
    <w:basedOn w:val="DefaultParagraphFont"/>
    <w:uiPriority w:val="99"/>
    <w:unhideWhenUsed/>
    <w:rsid w:val="002E6A6B"/>
    <w:rPr>
      <w:color w:val="0000FF" w:themeColor="hyperlink"/>
      <w:u w:val="single"/>
    </w:rPr>
  </w:style>
  <w:style w:type="character" w:styleId="UnresolvedMention">
    <w:name w:val="Unresolved Mention"/>
    <w:basedOn w:val="DefaultParagraphFont"/>
    <w:uiPriority w:val="99"/>
    <w:semiHidden/>
    <w:unhideWhenUsed/>
    <w:rsid w:val="002E6A6B"/>
    <w:rPr>
      <w:color w:val="605E5C"/>
      <w:shd w:val="clear" w:color="auto" w:fill="E1DFDD"/>
    </w:rPr>
  </w:style>
  <w:style w:type="character" w:customStyle="1" w:styleId="Heading1Char">
    <w:name w:val="Heading 1 Char"/>
    <w:basedOn w:val="DefaultParagraphFont"/>
    <w:link w:val="Heading1"/>
    <w:uiPriority w:val="9"/>
    <w:rsid w:val="00825695"/>
    <w:rPr>
      <w:rFonts w:ascii="Play" w:eastAsia="Play" w:hAnsi="Play" w:cs="Play"/>
      <w:color w:val="0F4761"/>
      <w:sz w:val="40"/>
      <w:szCs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4422867">
      <w:bodyDiv w:val="1"/>
      <w:marLeft w:val="0"/>
      <w:marRight w:val="0"/>
      <w:marTop w:val="0"/>
      <w:marBottom w:val="0"/>
      <w:divBdr>
        <w:top w:val="none" w:sz="0" w:space="0" w:color="auto"/>
        <w:left w:val="none" w:sz="0" w:space="0" w:color="auto"/>
        <w:bottom w:val="none" w:sz="0" w:space="0" w:color="auto"/>
        <w:right w:val="none" w:sz="0" w:space="0" w:color="auto"/>
      </w:divBdr>
      <w:divsChild>
        <w:div w:id="1454253557">
          <w:marLeft w:val="0"/>
          <w:marRight w:val="0"/>
          <w:marTop w:val="0"/>
          <w:marBottom w:val="0"/>
          <w:divBdr>
            <w:top w:val="none" w:sz="0" w:space="0" w:color="auto"/>
            <w:left w:val="none" w:sz="0" w:space="0" w:color="auto"/>
            <w:bottom w:val="none" w:sz="0" w:space="0" w:color="auto"/>
            <w:right w:val="none" w:sz="0" w:space="0" w:color="auto"/>
          </w:divBdr>
        </w:div>
      </w:divsChild>
    </w:div>
    <w:div w:id="20216211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statistics/individuals-referred-to-and-supported-through-the-prevent-programme-april-2021-to-march-2022/individuals-referred-to-and-supported-through-the-prevent-programme-april-2021-to-march-2022" TargetMode="External"/><Relationship Id="rId13" Type="http://schemas.openxmlformats.org/officeDocument/2006/relationships/hyperlink" Target="https://www.south-wales.police.uk/advice/advice-and-information/t/prevent/prevent/" TargetMode="External"/><Relationship Id="rId3" Type="http://schemas.openxmlformats.org/officeDocument/2006/relationships/webSettings" Target="webSettings.xml"/><Relationship Id="rId7" Type="http://schemas.openxmlformats.org/officeDocument/2006/relationships/hyperlink" Target="https://assets.publishing.service.gov.uk/media/60362a32d3bf7f0ab1c071b7/6.6467_HO_PMAP-Duty-Guidance-Scotland.pdf" TargetMode="External"/><Relationship Id="rId12" Type="http://schemas.openxmlformats.org/officeDocument/2006/relationships/hyperlink" Target="https://www.ebpsociety.org/blog/education/340-community-policing"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essex.police.uk/police-forces/essex-police/areas/essex-police/ca/careers/police-officers/profiles-job-roles/profiles-job-roles-community-policing-teams/" TargetMode="External"/><Relationship Id="rId11" Type="http://schemas.openxmlformats.org/officeDocument/2006/relationships/hyperlink" Target="https://aese.psu.edu/research/centers/cecd/engagement-toolbox/engagement/what-is-community-engagement" TargetMode="External"/><Relationship Id="rId5" Type="http://schemas.openxmlformats.org/officeDocument/2006/relationships/hyperlink" Target="https://www.counterterrorism.police.uk/what-we-do/prevent/" TargetMode="External"/><Relationship Id="rId15" Type="http://schemas.openxmlformats.org/officeDocument/2006/relationships/fontTable" Target="fontTable.xml"/><Relationship Id="rId10" Type="http://schemas.openxmlformats.org/officeDocument/2006/relationships/hyperlink" Target="https://news.npcc.police.uk/releases/new-hmicfrs-report-highlights-many-positive-aspects-to-policings-delivery-of-prevent-duty" TargetMode="External"/><Relationship Id="rId4" Type="http://schemas.openxmlformats.org/officeDocument/2006/relationships/hyperlink" Target="https://trainingexpress.org.uk/what-is-multi-agency-working-in-safeguarding/" TargetMode="External"/><Relationship Id="rId9" Type="http://schemas.openxmlformats.org/officeDocument/2006/relationships/hyperlink" Target="https://actearly.uk/radicalisation/what-is-it/" TargetMode="External"/><Relationship Id="rId14" Type="http://schemas.openxmlformats.org/officeDocument/2006/relationships/hyperlink" Target="https://www.wati.com/improving-community-policing-strategies/"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5</Pages>
  <Words>1872</Words>
  <Characters>10677</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Paige Davies (2204437)</cp:lastModifiedBy>
  <cp:revision>5</cp:revision>
  <dcterms:created xsi:type="dcterms:W3CDTF">2024-04-30T17:27:00Z</dcterms:created>
  <dcterms:modified xsi:type="dcterms:W3CDTF">2024-05-02T10:39:00Z</dcterms:modified>
</cp:coreProperties>
</file>