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FABB36" w14:textId="74D59A0B" w:rsidR="00E546C7" w:rsidRPr="00E546C7" w:rsidRDefault="00026B7E" w:rsidP="00E546C7">
      <w:pPr>
        <w:jc w:val="center"/>
      </w:pPr>
      <w:r w:rsidRPr="00E546C7">
        <w:fldChar w:fldCharType="begin"/>
      </w:r>
      <w:r w:rsidRPr="00E546C7">
        <w:instrText xml:space="preserve"> INCLUDEPICTURE "/Users/ijtehad/Library/Group Containers/UBF8T346G9.ms/WebArchiveCopyPasteTempFiles/com.microsoft.Word/UWTSD-Logo-fi.jpg" \* MERGEFORMATINET </w:instrText>
      </w:r>
      <w:r w:rsidRPr="00E546C7">
        <w:fldChar w:fldCharType="separate"/>
      </w:r>
      <w:r w:rsidRPr="00E546C7">
        <w:rPr>
          <w:noProof/>
        </w:rPr>
        <w:drawing>
          <wp:inline distT="0" distB="0" distL="0" distR="0" wp14:anchorId="01DB5B5A" wp14:editId="375580AC">
            <wp:extent cx="2642616" cy="1056753"/>
            <wp:effectExtent l="0" t="0" r="0" b="0"/>
            <wp:docPr id="300484477"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50543" cy="1059923"/>
                    </a:xfrm>
                    <a:prstGeom prst="rect">
                      <a:avLst/>
                    </a:prstGeom>
                    <a:noFill/>
                    <a:ln>
                      <a:noFill/>
                    </a:ln>
                  </pic:spPr>
                </pic:pic>
              </a:graphicData>
            </a:graphic>
          </wp:inline>
        </w:drawing>
      </w:r>
      <w:r w:rsidRPr="00E546C7">
        <w:fldChar w:fldCharType="end"/>
      </w:r>
      <w:r w:rsidR="40DC0A42" w:rsidRPr="00E546C7">
        <w:rPr>
          <w:b/>
          <w:bCs/>
          <w:sz w:val="32"/>
          <w:szCs w:val="32"/>
        </w:rPr>
        <w:t xml:space="preserve">  </w:t>
      </w:r>
    </w:p>
    <w:p w14:paraId="3CECE567" w14:textId="77777777" w:rsidR="00E546C7" w:rsidRPr="00E546C7" w:rsidRDefault="00E546C7" w:rsidP="00E546C7">
      <w:pPr>
        <w:spacing w:after="0"/>
        <w:jc w:val="center"/>
      </w:pPr>
      <w:r w:rsidRPr="00E546C7">
        <w:rPr>
          <w:b/>
          <w:sz w:val="26"/>
        </w:rPr>
        <w:t>Masters of Business Administration</w:t>
      </w:r>
    </w:p>
    <w:p w14:paraId="672971A3" w14:textId="77777777" w:rsidR="00E546C7" w:rsidRPr="00E546C7" w:rsidRDefault="00E546C7" w:rsidP="00E546C7">
      <w:pPr>
        <w:spacing w:after="0"/>
        <w:jc w:val="center"/>
      </w:pPr>
      <w:r w:rsidRPr="00E546C7">
        <w:rPr>
          <w:b/>
          <w:sz w:val="26"/>
        </w:rPr>
        <w:t>International Business</w:t>
      </w:r>
    </w:p>
    <w:p w14:paraId="3BF97685" w14:textId="77777777" w:rsidR="00E546C7" w:rsidRPr="00E546C7" w:rsidRDefault="00E546C7" w:rsidP="00E546C7">
      <w:pPr>
        <w:spacing w:after="0"/>
        <w:jc w:val="center"/>
      </w:pPr>
      <w:r w:rsidRPr="00E546C7">
        <w:rPr>
          <w:b/>
          <w:sz w:val="26"/>
        </w:rPr>
        <w:t>Dissertation</w:t>
      </w:r>
    </w:p>
    <w:p w14:paraId="6C44B344" w14:textId="77777777" w:rsidR="00E546C7" w:rsidRPr="00E546C7" w:rsidRDefault="00E546C7" w:rsidP="00E546C7"/>
    <w:p w14:paraId="229E2793" w14:textId="77777777" w:rsidR="00E546C7" w:rsidRPr="00E546C7" w:rsidRDefault="00E546C7" w:rsidP="00E546C7">
      <w:pPr>
        <w:spacing w:after="0"/>
        <w:jc w:val="center"/>
      </w:pPr>
      <w:r w:rsidRPr="00E546C7">
        <w:rPr>
          <w:b/>
        </w:rPr>
        <w:t>Module code: LCMB7035</w:t>
      </w:r>
    </w:p>
    <w:p w14:paraId="2860ED39" w14:textId="77777777" w:rsidR="00E546C7" w:rsidRPr="00E546C7" w:rsidRDefault="00E546C7" w:rsidP="00E546C7"/>
    <w:p w14:paraId="29796DBD" w14:textId="77777777" w:rsidR="00E546C7" w:rsidRPr="00E546C7" w:rsidRDefault="00E546C7" w:rsidP="00E546C7"/>
    <w:p w14:paraId="3273B0D2" w14:textId="7D0B43F9" w:rsidR="00E546C7" w:rsidRPr="003F61DF" w:rsidRDefault="00E546C7" w:rsidP="00E546C7">
      <w:pPr>
        <w:spacing w:after="240"/>
        <w:jc w:val="center"/>
        <w:rPr>
          <w:sz w:val="28"/>
          <w:szCs w:val="28"/>
        </w:rPr>
      </w:pPr>
      <w:r w:rsidRPr="003F61DF">
        <w:rPr>
          <w:b/>
          <w:sz w:val="28"/>
          <w:szCs w:val="28"/>
        </w:rPr>
        <w:t>The Impact of Integrated Marketing Communication on</w:t>
      </w:r>
      <w:r w:rsidRPr="003F61DF">
        <w:rPr>
          <w:b/>
          <w:sz w:val="28"/>
          <w:szCs w:val="28"/>
        </w:rPr>
        <w:br/>
        <w:t xml:space="preserve">Consumer Behaviour: An Analysis of </w:t>
      </w:r>
      <w:r w:rsidR="003F61DF">
        <w:rPr>
          <w:b/>
          <w:sz w:val="28"/>
          <w:szCs w:val="28"/>
        </w:rPr>
        <w:t xml:space="preserve">Adidas </w:t>
      </w:r>
    </w:p>
    <w:p w14:paraId="1B5334DE" w14:textId="77777777" w:rsidR="00E546C7" w:rsidRPr="00E546C7" w:rsidRDefault="00E546C7" w:rsidP="00E546C7"/>
    <w:p w14:paraId="621FF48D" w14:textId="77777777" w:rsidR="00E546C7" w:rsidRPr="00E546C7" w:rsidRDefault="00E546C7" w:rsidP="00E546C7"/>
    <w:p w14:paraId="7EF59F22" w14:textId="2AEDB81A" w:rsidR="00E546C7" w:rsidRPr="00D41663" w:rsidRDefault="00E546C7" w:rsidP="00E546C7">
      <w:pPr>
        <w:spacing w:after="0"/>
        <w:jc w:val="center"/>
        <w:rPr>
          <w:color w:val="000000" w:themeColor="text1"/>
        </w:rPr>
      </w:pPr>
      <w:r w:rsidRPr="00E546C7">
        <w:rPr>
          <w:b/>
        </w:rPr>
        <w:t xml:space="preserve">Supervisor: </w:t>
      </w:r>
      <w:proofErr w:type="spellStart"/>
      <w:r w:rsidR="00A71756" w:rsidRPr="00D41663">
        <w:rPr>
          <w:b/>
          <w:color w:val="000000" w:themeColor="text1"/>
        </w:rPr>
        <w:t>Tushara</w:t>
      </w:r>
      <w:proofErr w:type="spellEnd"/>
      <w:r w:rsidR="00A71756" w:rsidRPr="00D41663">
        <w:rPr>
          <w:b/>
          <w:color w:val="000000" w:themeColor="text1"/>
        </w:rPr>
        <w:t xml:space="preserve"> </w:t>
      </w:r>
      <w:proofErr w:type="spellStart"/>
      <w:r w:rsidR="00D41663" w:rsidRPr="00D41663">
        <w:rPr>
          <w:b/>
          <w:color w:val="000000" w:themeColor="text1"/>
        </w:rPr>
        <w:t>Balendran</w:t>
      </w:r>
      <w:proofErr w:type="spellEnd"/>
      <w:r w:rsidR="00D41663" w:rsidRPr="00D41663">
        <w:rPr>
          <w:b/>
          <w:color w:val="000000" w:themeColor="text1"/>
        </w:rPr>
        <w:t xml:space="preserve"> </w:t>
      </w:r>
    </w:p>
    <w:p w14:paraId="2FE6DA5B" w14:textId="77777777" w:rsidR="00E546C7" w:rsidRPr="00E546C7" w:rsidRDefault="00E546C7" w:rsidP="00E546C7"/>
    <w:p w14:paraId="4653AA67" w14:textId="77777777" w:rsidR="00E546C7" w:rsidRPr="00E546C7" w:rsidRDefault="00E546C7" w:rsidP="00E546C7"/>
    <w:p w14:paraId="12BD06FD" w14:textId="77777777" w:rsidR="00E546C7" w:rsidRPr="00E546C7" w:rsidRDefault="00E546C7" w:rsidP="00E546C7">
      <w:pPr>
        <w:spacing w:after="0"/>
        <w:jc w:val="center"/>
      </w:pPr>
      <w:r w:rsidRPr="00E546C7">
        <w:rPr>
          <w:b/>
        </w:rPr>
        <w:t>Student’s Name: Md Faysal Mia</w:t>
      </w:r>
    </w:p>
    <w:p w14:paraId="78C1DC04" w14:textId="77777777" w:rsidR="00E546C7" w:rsidRPr="00E546C7" w:rsidRDefault="00E546C7" w:rsidP="00E546C7">
      <w:pPr>
        <w:spacing w:after="0"/>
        <w:jc w:val="center"/>
      </w:pPr>
      <w:r w:rsidRPr="00E546C7">
        <w:rPr>
          <w:b/>
        </w:rPr>
        <w:t>Student’s ID: 2434754</w:t>
      </w:r>
    </w:p>
    <w:p w14:paraId="08122856" w14:textId="77777777" w:rsidR="00E546C7" w:rsidRPr="00E546C7" w:rsidRDefault="00E546C7" w:rsidP="00E546C7"/>
    <w:p w14:paraId="3BA2198C" w14:textId="77777777" w:rsidR="00E546C7" w:rsidRPr="00E546C7" w:rsidRDefault="00E546C7" w:rsidP="00E546C7">
      <w:pPr>
        <w:spacing w:after="0"/>
        <w:jc w:val="center"/>
      </w:pPr>
      <w:r w:rsidRPr="00E546C7">
        <w:rPr>
          <w:b/>
        </w:rPr>
        <w:t>Submission Date: 25th September, 2026</w:t>
      </w:r>
    </w:p>
    <w:p w14:paraId="72BBC47A" w14:textId="7C250D92" w:rsidR="006F3F22" w:rsidRPr="00E546C7" w:rsidRDefault="006F3F22">
      <w:pPr>
        <w:spacing w:before="0" w:after="160" w:line="259" w:lineRule="auto"/>
        <w:jc w:val="left"/>
        <w:rPr>
          <w:b/>
          <w:bCs/>
          <w:sz w:val="32"/>
          <w:szCs w:val="28"/>
        </w:rPr>
      </w:pPr>
      <w:r w:rsidRPr="00E546C7">
        <w:br w:type="page"/>
      </w:r>
    </w:p>
    <w:p w14:paraId="33DBB4CB" w14:textId="77777777" w:rsidR="006F3F22" w:rsidRPr="00E546C7" w:rsidRDefault="006F3F22" w:rsidP="006F3F22">
      <w:pPr>
        <w:pStyle w:val="Heading1"/>
        <w:rPr>
          <w:rFonts w:cs="Times New Roman"/>
        </w:rPr>
      </w:pPr>
      <w:bookmarkStart w:id="0" w:name="_Toc239819655"/>
      <w:r w:rsidRPr="00E546C7">
        <w:rPr>
          <w:rFonts w:cs="Times New Roman"/>
        </w:rPr>
        <w:t>Abstract</w:t>
      </w:r>
      <w:bookmarkEnd w:id="0"/>
    </w:p>
    <w:p w14:paraId="0EB3A2EB" w14:textId="3F6E135A" w:rsidR="006F3F22" w:rsidRPr="00E546C7" w:rsidRDefault="006F3F22" w:rsidP="006F3F22">
      <w:r w:rsidRPr="00E546C7">
        <w:t>The aim of this dissertation is to consider the role that UK consumers' perception of the integrated marketing communications (IMC) has in influencing their attitude, purchase intention and brand loyalty for Adidas. The research problem that will be highlighted in Chapter 1 is that while there may be a lot of communication across multiple channels, it does not necessarily mean that effective communication is being achieved, which then has led to the establishment of three research objectives and two research objectives dealing with consumer perceptions and behavioural reactions. Literature pertaining to IMC, consumer perception, attitude, purchase intentions and consumer loyalty is critically reviewed in Chapter 2. While combining the Shannon–Weaver Communication Model, Schramm's Interactive Model, the Tricomponent Attitude Model and the Loyalty Ladder, it also highlights a gap in research which stems from the fact that most research is one-way and there is a lack of research evidence focused on sportswear in the UK.</w:t>
      </w:r>
    </w:p>
    <w:p w14:paraId="1C7DDCAD" w14:textId="70CCF254" w:rsidR="006F3F22" w:rsidRPr="00E546C7" w:rsidRDefault="006F3F22" w:rsidP="006F3F22">
      <w:r w:rsidRPr="00E546C7">
        <w:t>The approach used in Chapter 3 is quantitative with the positivistic paradigm, deductive, and mono-method. A cross-sectional, online questionnaire was used to gather primary data from 50 Adidas-aware UK consumers via convenience sampling. To analyse the relationships, descriptive statistics, Spearman's rank correlations, bootstrap confidence intervals and HC3 regression robustness checks were used.</w:t>
      </w:r>
    </w:p>
    <w:p w14:paraId="2387A161" w14:textId="66338631" w:rsidR="006F3F22" w:rsidRPr="00E546C7" w:rsidRDefault="006F3F22" w:rsidP="006F3F22">
      <w:r w:rsidRPr="00E546C7">
        <w:t>Chapter 4 reveals generally good perceptions for Adidas' IMC, with 82% positive for message consistency and 80% for credibility, relevance and engagement. Those numbers were positive attitude (80%) and increased purchase intention (76%). Perceived IMC was significantly correlated with attitude (rho = .523, p &lt; .001), purchase intention (rho = .501, p &lt; .001) and the attitude–purchase congruence measure (rho = .576, p &lt; .001). The regression was found to be robust, accounting for 26.3% of the variance in the outcome, thereby supporting H1 as an association. Perceived IMC, on the other hand, had a very weak relationship with loyalty (rho = .060, p = .677; R² = .004), although 78% agreed with the overall loyalty question. Thus, H2 was not accepted.</w:t>
      </w:r>
    </w:p>
    <w:p w14:paraId="2546D97C" w14:textId="3B271A94" w:rsidR="006F3F22" w:rsidRPr="00E546C7" w:rsidRDefault="006F3F22" w:rsidP="006F3F22">
      <w:r w:rsidRPr="00E546C7">
        <w:t>These findings are then considered in the light of the four theoretical models in Chapter 5, and the important distinction of the immediate consumer response versus durable relational loyalty is illustrated. Favourable communication can facilitate cognition, attitude and purchase intention, but does not necessarily take the consumer to advocacy or commitment. Chapter 6 draws conclusions that coherent, credible and engaging IMC still has good strategic potential however, other factors like product experience, price, service, value and post-purchase engagement are also important for loyalty. The study suggests better cross-channel coordination, more believable communication between influencers, more focused neutral consumer analysis, and more emphasis on post-purchase relations. Future research should use larger and more representative samples, multiple-item measures, longitudinal/experimental designs and validated behavioural outcomes.</w:t>
      </w:r>
    </w:p>
    <w:p w14:paraId="036C5A4A" w14:textId="77777777" w:rsidR="006F3F22" w:rsidRPr="00E546C7" w:rsidRDefault="006F3F22" w:rsidP="006F3F22"/>
    <w:p w14:paraId="6924840D" w14:textId="77777777" w:rsidR="006F3F22" w:rsidRPr="00E546C7" w:rsidRDefault="006F3F22" w:rsidP="006F3F22"/>
    <w:p w14:paraId="6E0239D1" w14:textId="77777777" w:rsidR="006F3F22" w:rsidRPr="00E546C7" w:rsidRDefault="006F3F22" w:rsidP="006F3F22">
      <w:pPr>
        <w:rPr>
          <w:b/>
          <w:bCs/>
          <w:i/>
          <w:iCs/>
          <w:color w:val="2F5496" w:themeColor="accent1" w:themeShade="BF"/>
        </w:rPr>
      </w:pPr>
      <w:r w:rsidRPr="00E546C7">
        <w:rPr>
          <w:b/>
          <w:bCs/>
          <w:i/>
          <w:iCs/>
          <w:color w:val="2F5496" w:themeColor="accent1" w:themeShade="BF"/>
        </w:rPr>
        <w:t>Keywords: Integrated Marketing Communication, Adidas, Consumer Behaviour, Consumer Attitude, Purchase Intention, Brand Loyalty, United Kingdom.</w:t>
      </w:r>
    </w:p>
    <w:p w14:paraId="160952BF" w14:textId="77777777" w:rsidR="006F3F22" w:rsidRPr="00E546C7" w:rsidRDefault="006F3F22" w:rsidP="006F3F22">
      <w:pPr>
        <w:rPr>
          <w:b/>
          <w:bCs/>
          <w:i/>
          <w:iCs/>
          <w:color w:val="2F5496" w:themeColor="accent1" w:themeShade="BF"/>
        </w:rPr>
      </w:pPr>
    </w:p>
    <w:p w14:paraId="77FBBEAB" w14:textId="77777777" w:rsidR="006F3F22" w:rsidRPr="00E546C7" w:rsidRDefault="006F3F22">
      <w:pPr>
        <w:spacing w:before="0" w:after="160" w:line="259" w:lineRule="auto"/>
        <w:jc w:val="left"/>
      </w:pPr>
      <w:r w:rsidRPr="00E546C7">
        <w:br w:type="page"/>
      </w:r>
    </w:p>
    <w:p w14:paraId="63FB2E12" w14:textId="164A0A66" w:rsidR="006F3F22" w:rsidRPr="00E546C7" w:rsidRDefault="006F3F22" w:rsidP="006F3F22">
      <w:pPr>
        <w:pStyle w:val="Heading1"/>
        <w:rPr>
          <w:rFonts w:cs="Times New Roman"/>
        </w:rPr>
      </w:pPr>
      <w:bookmarkStart w:id="1" w:name="_Toc239819656"/>
      <w:r w:rsidRPr="00E546C7">
        <w:rPr>
          <w:rFonts w:cs="Times New Roman"/>
        </w:rPr>
        <w:t>Acknowledgements</w:t>
      </w:r>
      <w:bookmarkEnd w:id="1"/>
    </w:p>
    <w:p w14:paraId="0A30A96E" w14:textId="762840F5" w:rsidR="006F3F22" w:rsidRPr="00E546C7" w:rsidRDefault="006F3F22" w:rsidP="006F3F22">
      <w:r w:rsidRPr="00E546C7">
        <w:t xml:space="preserve">I would </w:t>
      </w:r>
      <w:r w:rsidR="00835C6A" w:rsidRPr="00E546C7">
        <w:t>like</w:t>
      </w:r>
      <w:r w:rsidRPr="00E546C7">
        <w:t xml:space="preserve"> to thank my dissertation supervisor for her precious guidance, constructive critical feedback and sustained support during this research. Their recommendations have enabled me to be more successful in developing and completing this dissertation.</w:t>
      </w:r>
    </w:p>
    <w:p w14:paraId="74D45D66" w14:textId="77777777" w:rsidR="00835C6A" w:rsidRPr="00E546C7" w:rsidRDefault="006F3F22" w:rsidP="006F3F22">
      <w:r w:rsidRPr="00E546C7">
        <w:t>I also express my deepest appreciation to those who participated in this survey and provided their valuable responses, which were a vital component of this study. Last but not least, I would like to express my gratitude to my family and friends for their patience, encouragement and consistent support during my study years and upon completing this dissertation.</w:t>
      </w:r>
    </w:p>
    <w:p w14:paraId="0A7A23AE" w14:textId="77777777" w:rsidR="00835C6A" w:rsidRPr="00E546C7" w:rsidRDefault="00835C6A" w:rsidP="006F3F22"/>
    <w:p w14:paraId="3C8E7869" w14:textId="77777777" w:rsidR="00835C6A" w:rsidRPr="00E546C7" w:rsidRDefault="00835C6A">
      <w:pPr>
        <w:spacing w:before="0" w:after="160" w:line="259" w:lineRule="auto"/>
        <w:jc w:val="left"/>
      </w:pPr>
      <w:r w:rsidRPr="00E546C7">
        <w:br w:type="page"/>
      </w:r>
    </w:p>
    <w:p w14:paraId="6C8C182D" w14:textId="77777777" w:rsidR="00835C6A" w:rsidRPr="00E546C7" w:rsidRDefault="00835C6A" w:rsidP="00835C6A">
      <w:pPr>
        <w:pStyle w:val="Heading1"/>
        <w:rPr>
          <w:rFonts w:cs="Times New Roman"/>
        </w:rPr>
      </w:pPr>
      <w:r w:rsidRPr="00E546C7">
        <w:rPr>
          <w:rFonts w:cs="Times New Roman"/>
        </w:rPr>
        <w:t>AI Acknowledgements</w:t>
      </w:r>
    </w:p>
    <w:p w14:paraId="3ACB98CE" w14:textId="68ED1828" w:rsidR="00835C6A" w:rsidRPr="00E546C7" w:rsidRDefault="00835C6A" w:rsidP="00835C6A">
      <w:r w:rsidRPr="00E546C7">
        <w:t>I acknowledge the use of artificial intelligence (AI) tools in the preparation of this dissertation. AI tools were used as supplementary tools to improve writing clarity, optimise and arrange it, and refine the language used. The ideas for the research, however, the development of the research design, data collection, data analysis, interpretation of research findings and academic decisions that were made throughout this dissertation were made independently by me. This dissertation is my own and the opinions, findings, conclusions, and recommendations presented in it are solely those of the author. AI was only used to enhance the presentation and readability.</w:t>
      </w:r>
      <w:r w:rsidRPr="00E546C7">
        <w:br w:type="page"/>
      </w:r>
    </w:p>
    <w:p w14:paraId="7A165BB4" w14:textId="46C91209" w:rsidR="00835C6A" w:rsidRPr="00E546C7" w:rsidRDefault="00835C6A" w:rsidP="00835C6A">
      <w:pPr>
        <w:pStyle w:val="Heading1"/>
        <w:rPr>
          <w:rFonts w:cs="Times New Roman"/>
        </w:rPr>
      </w:pPr>
      <w:r w:rsidRPr="00E546C7">
        <w:rPr>
          <w:rFonts w:cs="Times New Roman"/>
        </w:rPr>
        <w:t>Declaration</w:t>
      </w:r>
    </w:p>
    <w:p w14:paraId="409C9083" w14:textId="77777777" w:rsidR="00835C6A" w:rsidRPr="00E546C7" w:rsidRDefault="00835C6A" w:rsidP="00835C6A">
      <w:pPr>
        <w:pBdr>
          <w:top w:val="single" w:sz="4" w:space="1" w:color="auto"/>
          <w:left w:val="single" w:sz="4" w:space="4" w:color="auto"/>
          <w:bottom w:val="single" w:sz="4" w:space="1" w:color="auto"/>
          <w:right w:val="single" w:sz="4" w:space="4" w:color="auto"/>
        </w:pBdr>
        <w:jc w:val="center"/>
      </w:pPr>
      <w:r w:rsidRPr="00E546C7">
        <w:rPr>
          <w:noProof/>
        </w:rPr>
        <w:drawing>
          <wp:inline distT="0" distB="0" distL="0" distR="0" wp14:anchorId="4E4245F8" wp14:editId="4F7DE2C6">
            <wp:extent cx="2843530" cy="1170305"/>
            <wp:effectExtent l="0" t="0" r="0" b="0"/>
            <wp:docPr id="2085845408" name="Picture 20858454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3530" cy="1170305"/>
                    </a:xfrm>
                    <a:prstGeom prst="rect">
                      <a:avLst/>
                    </a:prstGeom>
                    <a:noFill/>
                    <a:ln>
                      <a:noFill/>
                    </a:ln>
                  </pic:spPr>
                </pic:pic>
              </a:graphicData>
            </a:graphic>
          </wp:inline>
        </w:drawing>
      </w:r>
    </w:p>
    <w:p w14:paraId="5160CFB3" w14:textId="77777777" w:rsidR="00835C6A" w:rsidRPr="00E546C7" w:rsidRDefault="00835C6A" w:rsidP="00835C6A">
      <w:pPr>
        <w:pBdr>
          <w:top w:val="single" w:sz="4" w:space="1" w:color="auto"/>
          <w:left w:val="single" w:sz="4" w:space="4" w:color="auto"/>
          <w:bottom w:val="single" w:sz="4" w:space="1" w:color="auto"/>
          <w:right w:val="single" w:sz="4" w:space="4" w:color="auto"/>
        </w:pBdr>
        <w:jc w:val="center"/>
        <w:rPr>
          <w:b/>
          <w:sz w:val="28"/>
          <w:szCs w:val="28"/>
        </w:rPr>
      </w:pPr>
    </w:p>
    <w:p w14:paraId="0A0CE544" w14:textId="77777777" w:rsidR="00835C6A" w:rsidRPr="00E546C7" w:rsidRDefault="00835C6A" w:rsidP="00835C6A">
      <w:pPr>
        <w:pBdr>
          <w:top w:val="single" w:sz="4" w:space="1" w:color="auto"/>
          <w:left w:val="single" w:sz="4" w:space="4" w:color="auto"/>
          <w:bottom w:val="single" w:sz="4" w:space="1" w:color="auto"/>
          <w:right w:val="single" w:sz="4" w:space="4" w:color="auto"/>
        </w:pBdr>
        <w:jc w:val="center"/>
        <w:rPr>
          <w:sz w:val="28"/>
          <w:szCs w:val="28"/>
        </w:rPr>
      </w:pPr>
      <w:r w:rsidRPr="00E546C7">
        <w:rPr>
          <w:b/>
          <w:sz w:val="28"/>
          <w:szCs w:val="28"/>
        </w:rPr>
        <w:t>Master’s Degrees by Examination and Dissertation</w:t>
      </w:r>
    </w:p>
    <w:p w14:paraId="2BC41003" w14:textId="77777777" w:rsidR="00835C6A" w:rsidRPr="00E546C7" w:rsidRDefault="00835C6A" w:rsidP="00835C6A">
      <w:pPr>
        <w:pBdr>
          <w:top w:val="single" w:sz="4" w:space="1" w:color="auto"/>
          <w:left w:val="single" w:sz="4" w:space="4" w:color="auto"/>
          <w:bottom w:val="single" w:sz="4" w:space="1" w:color="auto"/>
          <w:right w:val="single" w:sz="4" w:space="4" w:color="auto"/>
        </w:pBdr>
        <w:jc w:val="center"/>
        <w:rPr>
          <w:sz w:val="28"/>
          <w:szCs w:val="28"/>
        </w:rPr>
      </w:pPr>
      <w:r w:rsidRPr="00E546C7">
        <w:rPr>
          <w:b/>
          <w:sz w:val="28"/>
          <w:szCs w:val="28"/>
        </w:rPr>
        <w:t>Declaration Form</w:t>
      </w:r>
      <w:r w:rsidRPr="00E546C7">
        <w:rPr>
          <w:sz w:val="28"/>
          <w:szCs w:val="28"/>
        </w:rPr>
        <w:t>.</w:t>
      </w:r>
    </w:p>
    <w:p w14:paraId="1BA7004F" w14:textId="77777777" w:rsidR="00835C6A" w:rsidRPr="00E546C7" w:rsidRDefault="00835C6A" w:rsidP="00835C6A">
      <w:pPr>
        <w:pBdr>
          <w:top w:val="single" w:sz="4" w:space="1" w:color="auto"/>
          <w:left w:val="single" w:sz="4" w:space="4" w:color="auto"/>
          <w:bottom w:val="single" w:sz="4" w:space="1" w:color="auto"/>
          <w:right w:val="single" w:sz="4" w:space="4" w:color="auto"/>
        </w:pBdr>
        <w:spacing w:line="480" w:lineRule="auto"/>
      </w:pPr>
    </w:p>
    <w:p w14:paraId="70C39988" w14:textId="7CDDD131" w:rsidR="00835C6A" w:rsidRPr="00E546C7" w:rsidRDefault="00835C6A" w:rsidP="00835C6A">
      <w:pPr>
        <w:pBdr>
          <w:top w:val="single" w:sz="4" w:space="1" w:color="auto"/>
          <w:left w:val="single" w:sz="4" w:space="4" w:color="auto"/>
          <w:bottom w:val="single" w:sz="4" w:space="1" w:color="auto"/>
          <w:right w:val="single" w:sz="4" w:space="4" w:color="auto"/>
        </w:pBdr>
        <w:spacing w:line="480" w:lineRule="auto"/>
      </w:pPr>
      <w:r w:rsidRPr="00E546C7">
        <w:t xml:space="preserve">I, Md Faysal Mia,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AE5F783" w14:textId="77777777" w:rsidR="00835C6A" w:rsidRPr="00E546C7" w:rsidRDefault="00835C6A" w:rsidP="00835C6A">
      <w:pPr>
        <w:pBdr>
          <w:top w:val="single" w:sz="4" w:space="1" w:color="auto"/>
          <w:left w:val="single" w:sz="4" w:space="4" w:color="auto"/>
          <w:bottom w:val="single" w:sz="4" w:space="1" w:color="auto"/>
          <w:right w:val="single" w:sz="4" w:space="4" w:color="auto"/>
        </w:pBdr>
        <w:spacing w:line="480" w:lineRule="auto"/>
      </w:pPr>
      <w:r w:rsidRPr="00E546C7">
        <w:t xml:space="preserve"> </w:t>
      </w:r>
    </w:p>
    <w:p w14:paraId="03550EDF" w14:textId="3A15367B" w:rsidR="00835C6A" w:rsidRPr="00E546C7" w:rsidRDefault="00835C6A" w:rsidP="00835C6A">
      <w:pPr>
        <w:pBdr>
          <w:top w:val="single" w:sz="4" w:space="1" w:color="auto"/>
          <w:left w:val="single" w:sz="4" w:space="4" w:color="auto"/>
          <w:bottom w:val="single" w:sz="4" w:space="1" w:color="auto"/>
          <w:right w:val="single" w:sz="4" w:space="4" w:color="auto"/>
        </w:pBdr>
        <w:spacing w:line="480" w:lineRule="auto"/>
      </w:pPr>
      <w:r w:rsidRPr="00E546C7">
        <w:t>Signature:  Md Faysal Mia …………............................</w:t>
      </w:r>
    </w:p>
    <w:p w14:paraId="71282FEA" w14:textId="77777777" w:rsidR="00835C6A" w:rsidRPr="00E546C7" w:rsidRDefault="00835C6A" w:rsidP="00835C6A">
      <w:pPr>
        <w:pBdr>
          <w:top w:val="single" w:sz="4" w:space="1" w:color="auto"/>
          <w:left w:val="single" w:sz="4" w:space="4" w:color="auto"/>
          <w:bottom w:val="single" w:sz="4" w:space="1" w:color="auto"/>
          <w:right w:val="single" w:sz="4" w:space="4" w:color="auto"/>
        </w:pBdr>
        <w:spacing w:line="480" w:lineRule="auto"/>
      </w:pPr>
      <w:r w:rsidRPr="00E546C7">
        <w:t xml:space="preserve"> </w:t>
      </w:r>
    </w:p>
    <w:p w14:paraId="2DC318FA" w14:textId="7757A56A" w:rsidR="00835C6A" w:rsidRPr="00E546C7" w:rsidRDefault="00835C6A" w:rsidP="00835C6A">
      <w:pPr>
        <w:pBdr>
          <w:top w:val="single" w:sz="4" w:space="1" w:color="auto"/>
          <w:left w:val="single" w:sz="4" w:space="4" w:color="auto"/>
          <w:bottom w:val="single" w:sz="4" w:space="1" w:color="auto"/>
          <w:right w:val="single" w:sz="4" w:space="4" w:color="auto"/>
        </w:pBdr>
        <w:spacing w:line="480" w:lineRule="auto"/>
      </w:pPr>
      <w:r w:rsidRPr="00E546C7">
        <w:t>Date:  14 September 2026………............................</w:t>
      </w:r>
    </w:p>
    <w:p w14:paraId="30A1E7B1" w14:textId="77777777" w:rsidR="00835C6A" w:rsidRPr="00E546C7" w:rsidRDefault="00835C6A" w:rsidP="00835C6A">
      <w:pPr>
        <w:pBdr>
          <w:top w:val="single" w:sz="4" w:space="1" w:color="auto"/>
          <w:left w:val="single" w:sz="4" w:space="4" w:color="auto"/>
          <w:bottom w:val="single" w:sz="4" w:space="1" w:color="auto"/>
          <w:right w:val="single" w:sz="4" w:space="4" w:color="auto"/>
        </w:pBdr>
      </w:pPr>
    </w:p>
    <w:p w14:paraId="1F51842E" w14:textId="2FD44DCB" w:rsidR="00F407EA" w:rsidRPr="00E546C7" w:rsidRDefault="00F407EA" w:rsidP="006F3F22">
      <w:pPr>
        <w:rPr>
          <w:b/>
          <w:bCs/>
        </w:rPr>
      </w:pPr>
      <w:r w:rsidRPr="00E546C7">
        <w:rPr>
          <w:b/>
          <w:bCs/>
        </w:rPr>
        <w:br w:type="page"/>
      </w:r>
    </w:p>
    <w:sdt>
      <w:sdtPr>
        <w:rPr>
          <w:rFonts w:eastAsia="Times New Roman" w:cs="Times New Roman"/>
          <w:b w:val="0"/>
          <w:color w:val="auto"/>
          <w:kern w:val="2"/>
          <w:sz w:val="24"/>
          <w:szCs w:val="22"/>
          <w:lang w:eastAsia="en-GB"/>
          <w14:ligatures w14:val="standardContextual"/>
        </w:rPr>
        <w:id w:val="2094047084"/>
        <w:docPartObj>
          <w:docPartGallery w:val="Table of Contents"/>
          <w:docPartUnique/>
        </w:docPartObj>
      </w:sdtPr>
      <w:sdtEndPr>
        <w:rPr>
          <w:noProof/>
          <w:szCs w:val="24"/>
        </w:rPr>
      </w:sdtEndPr>
      <w:sdtContent>
        <w:p w14:paraId="503A60A5" w14:textId="66BEA2C0" w:rsidR="00F407EA" w:rsidRPr="00E546C7" w:rsidRDefault="00F407EA">
          <w:pPr>
            <w:pStyle w:val="TOCHeading"/>
            <w:rPr>
              <w:rFonts w:cs="Times New Roman"/>
            </w:rPr>
          </w:pPr>
          <w:r w:rsidRPr="00E546C7">
            <w:rPr>
              <w:rFonts w:cs="Times New Roman"/>
            </w:rPr>
            <w:t>Table of Contents</w:t>
          </w:r>
        </w:p>
        <w:p w14:paraId="504F2859" w14:textId="59268BAF" w:rsidR="00A00FAA" w:rsidRPr="00E546C7" w:rsidRDefault="00F407EA">
          <w:pPr>
            <w:pStyle w:val="TOC1"/>
            <w:tabs>
              <w:tab w:val="right" w:leader="dot" w:pos="9010"/>
            </w:tabs>
            <w:rPr>
              <w:rFonts w:ascii="Times New Roman" w:eastAsiaTheme="minorEastAsia" w:hAnsi="Times New Roman" w:cs="Times New Roman"/>
              <w:b w:val="0"/>
              <w:bCs w:val="0"/>
              <w:i w:val="0"/>
              <w:iCs w:val="0"/>
              <w:noProof/>
              <w:szCs w:val="30"/>
              <w:lang w:bidi="bn-IN"/>
            </w:rPr>
          </w:pPr>
          <w:r w:rsidRPr="00E546C7">
            <w:rPr>
              <w:rFonts w:ascii="Times New Roman" w:hAnsi="Times New Roman" w:cs="Times New Roman"/>
              <w:b w:val="0"/>
              <w:bCs w:val="0"/>
              <w:i w:val="0"/>
              <w:iCs w:val="0"/>
              <w:szCs w:val="24"/>
            </w:rPr>
            <w:fldChar w:fldCharType="begin"/>
          </w:r>
          <w:r w:rsidRPr="00E546C7">
            <w:rPr>
              <w:rFonts w:ascii="Times New Roman" w:hAnsi="Times New Roman" w:cs="Times New Roman"/>
              <w:b w:val="0"/>
              <w:bCs w:val="0"/>
              <w:i w:val="0"/>
              <w:iCs w:val="0"/>
              <w:szCs w:val="24"/>
            </w:rPr>
            <w:instrText xml:space="preserve"> TOC \o "1-3" \h \z \u </w:instrText>
          </w:r>
          <w:r w:rsidRPr="00E546C7">
            <w:rPr>
              <w:rFonts w:ascii="Times New Roman" w:hAnsi="Times New Roman" w:cs="Times New Roman"/>
              <w:b w:val="0"/>
              <w:bCs w:val="0"/>
              <w:i w:val="0"/>
              <w:iCs w:val="0"/>
              <w:szCs w:val="24"/>
            </w:rPr>
            <w:fldChar w:fldCharType="separate"/>
          </w:r>
          <w:hyperlink w:anchor="_Toc239819655" w:history="1">
            <w:r w:rsidR="00A00FAA" w:rsidRPr="00E546C7">
              <w:rPr>
                <w:rStyle w:val="Hyperlink"/>
                <w:rFonts w:ascii="Times New Roman" w:hAnsi="Times New Roman" w:cs="Times New Roman"/>
                <w:noProof/>
              </w:rPr>
              <w:t>Abstract</w:t>
            </w:r>
            <w:r w:rsidR="00A00FAA" w:rsidRPr="00E546C7">
              <w:rPr>
                <w:rFonts w:ascii="Times New Roman" w:hAnsi="Times New Roman" w:cs="Times New Roman"/>
                <w:noProof/>
                <w:webHidden/>
              </w:rPr>
              <w:tab/>
            </w:r>
            <w:r w:rsidR="00A00FAA" w:rsidRPr="00E546C7">
              <w:rPr>
                <w:rFonts w:ascii="Times New Roman" w:hAnsi="Times New Roman" w:cs="Times New Roman"/>
                <w:noProof/>
                <w:webHidden/>
              </w:rPr>
              <w:fldChar w:fldCharType="begin"/>
            </w:r>
            <w:r w:rsidR="00A00FAA" w:rsidRPr="00E546C7">
              <w:rPr>
                <w:rFonts w:ascii="Times New Roman" w:hAnsi="Times New Roman" w:cs="Times New Roman"/>
                <w:noProof/>
                <w:webHidden/>
              </w:rPr>
              <w:instrText xml:space="preserve"> PAGEREF _Toc239819655 \h </w:instrText>
            </w:r>
            <w:r w:rsidR="00A00FAA" w:rsidRPr="00E546C7">
              <w:rPr>
                <w:rFonts w:ascii="Times New Roman" w:hAnsi="Times New Roman" w:cs="Times New Roman"/>
                <w:noProof/>
                <w:webHidden/>
              </w:rPr>
            </w:r>
            <w:r w:rsidR="00A00FAA" w:rsidRPr="00E546C7">
              <w:rPr>
                <w:rFonts w:ascii="Times New Roman" w:hAnsi="Times New Roman" w:cs="Times New Roman"/>
                <w:noProof/>
                <w:webHidden/>
              </w:rPr>
              <w:fldChar w:fldCharType="separate"/>
            </w:r>
            <w:r w:rsidR="00A00FAA" w:rsidRPr="00E546C7">
              <w:rPr>
                <w:rFonts w:ascii="Times New Roman" w:hAnsi="Times New Roman" w:cs="Times New Roman"/>
                <w:noProof/>
                <w:webHidden/>
              </w:rPr>
              <w:t>2</w:t>
            </w:r>
            <w:r w:rsidR="00A00FAA" w:rsidRPr="00E546C7">
              <w:rPr>
                <w:rFonts w:ascii="Times New Roman" w:hAnsi="Times New Roman" w:cs="Times New Roman"/>
                <w:noProof/>
                <w:webHidden/>
              </w:rPr>
              <w:fldChar w:fldCharType="end"/>
            </w:r>
          </w:hyperlink>
        </w:p>
        <w:p w14:paraId="07CBBB8C" w14:textId="71B24AFD"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656" w:history="1">
            <w:r w:rsidRPr="00E546C7">
              <w:rPr>
                <w:rStyle w:val="Hyperlink"/>
                <w:rFonts w:ascii="Times New Roman" w:hAnsi="Times New Roman" w:cs="Times New Roman"/>
                <w:noProof/>
              </w:rPr>
              <w:t>Acknowledgements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_Toc239819656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w:t>
            </w:r>
            <w:r w:rsidRPr="00E546C7">
              <w:rPr>
                <w:rFonts w:ascii="Times New Roman" w:hAnsi="Times New Roman" w:cs="Times New Roman"/>
                <w:noProof/>
                <w:webHidden/>
              </w:rPr>
              <w:fldChar w:fldCharType="end"/>
            </w:r>
          </w:hyperlink>
        </w:p>
        <w:p w14:paraId="2DE69BD7" w14:textId="5005E7B8"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657" w:history="1">
            <w:r w:rsidRPr="00E546C7">
              <w:rPr>
                <w:rStyle w:val="Hyperlink"/>
                <w:rFonts w:ascii="Times New Roman" w:hAnsi="Times New Roman" w:cs="Times New Roman"/>
                <w:noProof/>
              </w:rPr>
              <w:t>Chapter 1</w:t>
            </w:r>
            <w:r w:rsidRPr="00E546C7">
              <w:rPr>
                <w:rStyle w:val="Hyperlink"/>
                <w:rFonts w:ascii="Times New Roman" w:hAnsi="Times New Roman" w:cs="Times New Roman"/>
                <w:noProof/>
                <w:lang w:val="en-US"/>
              </w:rPr>
              <w:t>:</w:t>
            </w:r>
            <w:r w:rsidRPr="00E546C7">
              <w:rPr>
                <w:rStyle w:val="Hyperlink"/>
                <w:rFonts w:ascii="Times New Roman" w:hAnsi="Times New Roman" w:cs="Times New Roman"/>
                <w:noProof/>
              </w:rPr>
              <w:t xml:space="preserve"> Introduction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_Toc239819657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9</w:t>
            </w:r>
            <w:r w:rsidRPr="00E546C7">
              <w:rPr>
                <w:rFonts w:ascii="Times New Roman" w:hAnsi="Times New Roman" w:cs="Times New Roman"/>
                <w:noProof/>
                <w:webHidden/>
              </w:rPr>
              <w:fldChar w:fldCharType="end"/>
            </w:r>
          </w:hyperlink>
        </w:p>
        <w:p w14:paraId="02F54081" w14:textId="4AABE759"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58" w:history="1">
            <w:r w:rsidRPr="00E546C7">
              <w:rPr>
                <w:rStyle w:val="Hyperlink"/>
                <w:rFonts w:ascii="Times New Roman" w:hAnsi="Times New Roman" w:cs="Times New Roman"/>
                <w:noProof/>
              </w:rPr>
              <w:t>1.1 Background of the Study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_Toc239819658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9</w:t>
            </w:r>
            <w:r w:rsidRPr="00E546C7">
              <w:rPr>
                <w:rFonts w:ascii="Times New Roman" w:hAnsi="Times New Roman" w:cs="Times New Roman"/>
                <w:noProof/>
                <w:webHidden/>
              </w:rPr>
              <w:fldChar w:fldCharType="end"/>
            </w:r>
          </w:hyperlink>
        </w:p>
        <w:p w14:paraId="15B84D96" w14:textId="19E23CB0"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59" w:history="1">
            <w:r w:rsidRPr="00E546C7">
              <w:rPr>
                <w:rStyle w:val="Hyperlink"/>
                <w:rFonts w:ascii="Times New Roman" w:hAnsi="Times New Roman" w:cs="Times New Roman"/>
                <w:noProof/>
              </w:rPr>
              <w:t>1.2 Problem Statement</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_Toc239819659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10</w:t>
            </w:r>
            <w:r w:rsidRPr="00E546C7">
              <w:rPr>
                <w:rFonts w:ascii="Times New Roman" w:hAnsi="Times New Roman" w:cs="Times New Roman"/>
                <w:noProof/>
                <w:webHidden/>
              </w:rPr>
              <w:fldChar w:fldCharType="end"/>
            </w:r>
          </w:hyperlink>
        </w:p>
        <w:p w14:paraId="5A853A3A" w14:textId="0BC83B64"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0" w:history="1">
            <w:r w:rsidRPr="00E546C7">
              <w:rPr>
                <w:rStyle w:val="Hyperlink"/>
                <w:rFonts w:ascii="Times New Roman" w:hAnsi="Times New Roman" w:cs="Times New Roman"/>
                <w:noProof/>
              </w:rPr>
              <w:t>1.3 Rationale of the Study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10</w:t>
            </w:r>
            <w:r w:rsidRPr="00E546C7">
              <w:rPr>
                <w:rFonts w:ascii="Times New Roman" w:hAnsi="Times New Roman" w:cs="Times New Roman"/>
                <w:noProof/>
                <w:webHidden/>
              </w:rPr>
              <w:fldChar w:fldCharType="end"/>
            </w:r>
          </w:hyperlink>
        </w:p>
        <w:p w14:paraId="44179F88" w14:textId="2364F8FC"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1" w:history="1">
            <w:r w:rsidRPr="00E546C7">
              <w:rPr>
                <w:rStyle w:val="Hyperlink"/>
                <w:rFonts w:ascii="Times New Roman" w:hAnsi="Times New Roman" w:cs="Times New Roman"/>
                <w:noProof/>
              </w:rPr>
              <w:t>1.4 Scope and Significance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11</w:t>
            </w:r>
            <w:r w:rsidRPr="00E546C7">
              <w:rPr>
                <w:rFonts w:ascii="Times New Roman" w:hAnsi="Times New Roman" w:cs="Times New Roman"/>
                <w:noProof/>
                <w:webHidden/>
              </w:rPr>
              <w:fldChar w:fldCharType="end"/>
            </w:r>
          </w:hyperlink>
        </w:p>
        <w:p w14:paraId="595003CA" w14:textId="05BA2157"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2" w:history="1">
            <w:r w:rsidRPr="00E546C7">
              <w:rPr>
                <w:rStyle w:val="Hyperlink"/>
                <w:rFonts w:ascii="Times New Roman" w:hAnsi="Times New Roman" w:cs="Times New Roman"/>
                <w:noProof/>
              </w:rPr>
              <w:t>1.5 Research Aim</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12</w:t>
            </w:r>
            <w:r w:rsidRPr="00E546C7">
              <w:rPr>
                <w:rFonts w:ascii="Times New Roman" w:hAnsi="Times New Roman" w:cs="Times New Roman"/>
                <w:noProof/>
                <w:webHidden/>
              </w:rPr>
              <w:fldChar w:fldCharType="end"/>
            </w:r>
          </w:hyperlink>
        </w:p>
        <w:p w14:paraId="6DAE3EFC" w14:textId="70195111"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3" w:history="1">
            <w:r w:rsidRPr="00E546C7">
              <w:rPr>
                <w:rStyle w:val="Hyperlink"/>
                <w:rFonts w:ascii="Times New Roman" w:hAnsi="Times New Roman" w:cs="Times New Roman"/>
                <w:noProof/>
              </w:rPr>
              <w:t>1.6 Research Objectives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12</w:t>
            </w:r>
            <w:r w:rsidRPr="00E546C7">
              <w:rPr>
                <w:rFonts w:ascii="Times New Roman" w:hAnsi="Times New Roman" w:cs="Times New Roman"/>
                <w:noProof/>
                <w:webHidden/>
              </w:rPr>
              <w:fldChar w:fldCharType="end"/>
            </w:r>
          </w:hyperlink>
        </w:p>
        <w:p w14:paraId="50B34B3F" w14:textId="2D45BD5E"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4" w:history="1">
            <w:r w:rsidRPr="00E546C7">
              <w:rPr>
                <w:rStyle w:val="Hyperlink"/>
                <w:rFonts w:ascii="Times New Roman" w:hAnsi="Times New Roman" w:cs="Times New Roman"/>
                <w:noProof/>
              </w:rPr>
              <w:t>1.7 Research Questions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12</w:t>
            </w:r>
            <w:r w:rsidRPr="00E546C7">
              <w:rPr>
                <w:rFonts w:ascii="Times New Roman" w:hAnsi="Times New Roman" w:cs="Times New Roman"/>
                <w:noProof/>
                <w:webHidden/>
              </w:rPr>
              <w:fldChar w:fldCharType="end"/>
            </w:r>
          </w:hyperlink>
        </w:p>
        <w:p w14:paraId="095A99EA" w14:textId="1004A7D2"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5" w:history="1">
            <w:r w:rsidRPr="00E546C7">
              <w:rPr>
                <w:rStyle w:val="Hyperlink"/>
                <w:rFonts w:ascii="Times New Roman" w:hAnsi="Times New Roman" w:cs="Times New Roman"/>
                <w:noProof/>
              </w:rPr>
              <w:t>1.8 Research Hypotheses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12</w:t>
            </w:r>
            <w:r w:rsidRPr="00E546C7">
              <w:rPr>
                <w:rFonts w:ascii="Times New Roman" w:hAnsi="Times New Roman" w:cs="Times New Roman"/>
                <w:noProof/>
                <w:webHidden/>
              </w:rPr>
              <w:fldChar w:fldCharType="end"/>
            </w:r>
          </w:hyperlink>
        </w:p>
        <w:p w14:paraId="73CF5A4E" w14:textId="4EF64E2B"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6" w:history="1">
            <w:r w:rsidRPr="00E546C7">
              <w:rPr>
                <w:rStyle w:val="Hyperlink"/>
                <w:rFonts w:ascii="Times New Roman" w:hAnsi="Times New Roman" w:cs="Times New Roman"/>
                <w:noProof/>
              </w:rPr>
              <w:t>1.9 Chapter Review</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13</w:t>
            </w:r>
            <w:r w:rsidRPr="00E546C7">
              <w:rPr>
                <w:rFonts w:ascii="Times New Roman" w:hAnsi="Times New Roman" w:cs="Times New Roman"/>
                <w:noProof/>
                <w:webHidden/>
              </w:rPr>
              <w:fldChar w:fldCharType="end"/>
            </w:r>
          </w:hyperlink>
        </w:p>
        <w:p w14:paraId="74C85A4B" w14:textId="41663E81"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667" w:history="1">
            <w:r w:rsidRPr="00E546C7">
              <w:rPr>
                <w:rStyle w:val="Hyperlink"/>
                <w:rFonts w:ascii="Times New Roman" w:hAnsi="Times New Roman" w:cs="Times New Roman"/>
                <w:noProof/>
              </w:rPr>
              <w:t>Chapter 2: Literature Review</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14</w:t>
            </w:r>
            <w:r w:rsidRPr="00E546C7">
              <w:rPr>
                <w:rFonts w:ascii="Times New Roman" w:hAnsi="Times New Roman" w:cs="Times New Roman"/>
                <w:noProof/>
                <w:webHidden/>
              </w:rPr>
              <w:fldChar w:fldCharType="end"/>
            </w:r>
          </w:hyperlink>
        </w:p>
        <w:p w14:paraId="453CE81B" w14:textId="101C0314"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8" w:history="1">
            <w:r w:rsidRPr="00E546C7">
              <w:rPr>
                <w:rStyle w:val="Hyperlink"/>
                <w:rFonts w:ascii="Times New Roman" w:hAnsi="Times New Roman" w:cs="Times New Roman"/>
                <w:noProof/>
              </w:rPr>
              <w:t>2.1 Chapter Introduction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14</w:t>
            </w:r>
            <w:r w:rsidRPr="00E546C7">
              <w:rPr>
                <w:rFonts w:ascii="Times New Roman" w:hAnsi="Times New Roman" w:cs="Times New Roman"/>
                <w:noProof/>
                <w:webHidden/>
              </w:rPr>
              <w:fldChar w:fldCharType="end"/>
            </w:r>
          </w:hyperlink>
        </w:p>
        <w:p w14:paraId="4CA12D33" w14:textId="76F55864"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69" w:history="1">
            <w:r w:rsidRPr="00E546C7">
              <w:rPr>
                <w:rStyle w:val="Hyperlink"/>
                <w:rFonts w:ascii="Times New Roman" w:hAnsi="Times New Roman" w:cs="Times New Roman"/>
                <w:noProof/>
              </w:rPr>
              <w:t>2.2 Conceptual Foundations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_Toc239819669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14</w:t>
            </w:r>
            <w:r w:rsidRPr="00E546C7">
              <w:rPr>
                <w:rFonts w:ascii="Times New Roman" w:hAnsi="Times New Roman" w:cs="Times New Roman"/>
                <w:noProof/>
                <w:webHidden/>
              </w:rPr>
              <w:fldChar w:fldCharType="end"/>
            </w:r>
          </w:hyperlink>
        </w:p>
        <w:p w14:paraId="5E4FCBC0" w14:textId="381BFB1E"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0" w:history="1">
            <w:r w:rsidRPr="00E546C7">
              <w:rPr>
                <w:rStyle w:val="Hyperlink"/>
                <w:rFonts w:ascii="Times New Roman" w:hAnsi="Times New Roman" w:cs="Times New Roman"/>
                <w:noProof/>
              </w:rPr>
              <w:t>2.2.1 Integrated Marketing Communication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14</w:t>
            </w:r>
            <w:r w:rsidRPr="00E546C7">
              <w:rPr>
                <w:rFonts w:ascii="Times New Roman" w:hAnsi="Times New Roman" w:cs="Times New Roman"/>
                <w:noProof/>
                <w:webHidden/>
              </w:rPr>
              <w:fldChar w:fldCharType="end"/>
            </w:r>
          </w:hyperlink>
        </w:p>
        <w:p w14:paraId="364876DE" w14:textId="69E75A32"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1" w:history="1">
            <w:r w:rsidRPr="00E546C7">
              <w:rPr>
                <w:rStyle w:val="Hyperlink"/>
                <w:rFonts w:ascii="Times New Roman" w:hAnsi="Times New Roman" w:cs="Times New Roman"/>
                <w:noProof/>
              </w:rPr>
              <w:t>2.2.2 Consumer Perception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15</w:t>
            </w:r>
            <w:r w:rsidRPr="00E546C7">
              <w:rPr>
                <w:rFonts w:ascii="Times New Roman" w:hAnsi="Times New Roman" w:cs="Times New Roman"/>
                <w:noProof/>
                <w:webHidden/>
              </w:rPr>
              <w:fldChar w:fldCharType="end"/>
            </w:r>
          </w:hyperlink>
        </w:p>
        <w:p w14:paraId="1504EEA1" w14:textId="07EA3E34"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2" w:history="1">
            <w:r w:rsidRPr="00E546C7">
              <w:rPr>
                <w:rStyle w:val="Hyperlink"/>
                <w:rFonts w:ascii="Times New Roman" w:hAnsi="Times New Roman" w:cs="Times New Roman"/>
                <w:noProof/>
              </w:rPr>
              <w:t>2.2.3 Consumer Attitude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15</w:t>
            </w:r>
            <w:r w:rsidRPr="00E546C7">
              <w:rPr>
                <w:rFonts w:ascii="Times New Roman" w:hAnsi="Times New Roman" w:cs="Times New Roman"/>
                <w:noProof/>
                <w:webHidden/>
              </w:rPr>
              <w:fldChar w:fldCharType="end"/>
            </w:r>
          </w:hyperlink>
        </w:p>
        <w:p w14:paraId="79435101" w14:textId="74E33349"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3" w:history="1">
            <w:r w:rsidRPr="00E546C7">
              <w:rPr>
                <w:rStyle w:val="Hyperlink"/>
                <w:rFonts w:ascii="Times New Roman" w:hAnsi="Times New Roman" w:cs="Times New Roman"/>
                <w:noProof/>
              </w:rPr>
              <w:t>2.2.4 Brand Loyalty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16</w:t>
            </w:r>
            <w:r w:rsidRPr="00E546C7">
              <w:rPr>
                <w:rFonts w:ascii="Times New Roman" w:hAnsi="Times New Roman" w:cs="Times New Roman"/>
                <w:noProof/>
                <w:webHidden/>
              </w:rPr>
              <w:fldChar w:fldCharType="end"/>
            </w:r>
          </w:hyperlink>
        </w:p>
        <w:p w14:paraId="26878E3F" w14:textId="50AB01FF"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74" w:history="1">
            <w:r w:rsidRPr="00E546C7">
              <w:rPr>
                <w:rStyle w:val="Hyperlink"/>
                <w:rFonts w:ascii="Times New Roman" w:hAnsi="Times New Roman" w:cs="Times New Roman"/>
                <w:noProof/>
              </w:rPr>
              <w:t>2.3 Review Based on the Research Objectives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16</w:t>
            </w:r>
            <w:r w:rsidRPr="00E546C7">
              <w:rPr>
                <w:rFonts w:ascii="Times New Roman" w:hAnsi="Times New Roman" w:cs="Times New Roman"/>
                <w:noProof/>
                <w:webHidden/>
              </w:rPr>
              <w:fldChar w:fldCharType="end"/>
            </w:r>
          </w:hyperlink>
        </w:p>
        <w:p w14:paraId="3968DC88" w14:textId="274C7EA5"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5" w:history="1">
            <w:r w:rsidRPr="00E546C7">
              <w:rPr>
                <w:rStyle w:val="Hyperlink"/>
                <w:rFonts w:ascii="Times New Roman" w:hAnsi="Times New Roman" w:cs="Times New Roman"/>
                <w:noProof/>
              </w:rPr>
              <w:t>2.3.1 Objective One: Consumers’ Perceptions of Adidas’s IMC</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16</w:t>
            </w:r>
            <w:r w:rsidRPr="00E546C7">
              <w:rPr>
                <w:rFonts w:ascii="Times New Roman" w:hAnsi="Times New Roman" w:cs="Times New Roman"/>
                <w:noProof/>
                <w:webHidden/>
              </w:rPr>
              <w:fldChar w:fldCharType="end"/>
            </w:r>
          </w:hyperlink>
        </w:p>
        <w:p w14:paraId="06E1187D" w14:textId="77CDD4B1"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6" w:history="1">
            <w:r w:rsidRPr="00E546C7">
              <w:rPr>
                <w:rStyle w:val="Hyperlink"/>
                <w:rFonts w:ascii="Times New Roman" w:hAnsi="Times New Roman" w:cs="Times New Roman"/>
                <w:noProof/>
              </w:rPr>
              <w:t>2.3.2 Objective Two: IMC, Attitude and Purchase Intention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17</w:t>
            </w:r>
            <w:r w:rsidRPr="00E546C7">
              <w:rPr>
                <w:rFonts w:ascii="Times New Roman" w:hAnsi="Times New Roman" w:cs="Times New Roman"/>
                <w:noProof/>
                <w:webHidden/>
              </w:rPr>
              <w:fldChar w:fldCharType="end"/>
            </w:r>
          </w:hyperlink>
        </w:p>
        <w:p w14:paraId="0475270A" w14:textId="142A84F8"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7" w:history="1">
            <w:r w:rsidRPr="00E546C7">
              <w:rPr>
                <w:rStyle w:val="Hyperlink"/>
                <w:rFonts w:ascii="Times New Roman" w:hAnsi="Times New Roman" w:cs="Times New Roman"/>
                <w:noProof/>
              </w:rPr>
              <w:t>2.3.3 Objective Three: IMC and Brand Loyalty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18</w:t>
            </w:r>
            <w:r w:rsidRPr="00E546C7">
              <w:rPr>
                <w:rFonts w:ascii="Times New Roman" w:hAnsi="Times New Roman" w:cs="Times New Roman"/>
                <w:noProof/>
                <w:webHidden/>
              </w:rPr>
              <w:fldChar w:fldCharType="end"/>
            </w:r>
          </w:hyperlink>
        </w:p>
        <w:p w14:paraId="1D6763E1" w14:textId="2001592B"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78" w:history="1">
            <w:r w:rsidRPr="00E546C7">
              <w:rPr>
                <w:rStyle w:val="Hyperlink"/>
                <w:rFonts w:ascii="Times New Roman" w:hAnsi="Times New Roman" w:cs="Times New Roman"/>
                <w:noProof/>
              </w:rPr>
              <w:t>2.4 Hypothesis Development</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19</w:t>
            </w:r>
            <w:r w:rsidRPr="00E546C7">
              <w:rPr>
                <w:rFonts w:ascii="Times New Roman" w:hAnsi="Times New Roman" w:cs="Times New Roman"/>
                <w:noProof/>
                <w:webHidden/>
              </w:rPr>
              <w:fldChar w:fldCharType="end"/>
            </w:r>
          </w:hyperlink>
        </w:p>
        <w:p w14:paraId="226F7FE3" w14:textId="6C9C13D4"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79" w:history="1">
            <w:r w:rsidRPr="00E546C7">
              <w:rPr>
                <w:rStyle w:val="Hyperlink"/>
                <w:rFonts w:ascii="Times New Roman" w:hAnsi="Times New Roman" w:cs="Times New Roman"/>
                <w:noProof/>
              </w:rPr>
              <w:t>2.4.1 Hypothesis One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_Toc239819679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19</w:t>
            </w:r>
            <w:r w:rsidRPr="00E546C7">
              <w:rPr>
                <w:rFonts w:ascii="Times New Roman" w:hAnsi="Times New Roman" w:cs="Times New Roman"/>
                <w:noProof/>
                <w:webHidden/>
              </w:rPr>
              <w:fldChar w:fldCharType="end"/>
            </w:r>
          </w:hyperlink>
        </w:p>
        <w:p w14:paraId="2A89F671" w14:textId="33D094C9"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80" w:history="1">
            <w:r w:rsidRPr="00E546C7">
              <w:rPr>
                <w:rStyle w:val="Hyperlink"/>
                <w:rFonts w:ascii="Times New Roman" w:hAnsi="Times New Roman" w:cs="Times New Roman"/>
                <w:noProof/>
              </w:rPr>
              <w:t>2.4.2 Hypothesis Two</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19</w:t>
            </w:r>
            <w:r w:rsidRPr="00E546C7">
              <w:rPr>
                <w:rFonts w:ascii="Times New Roman" w:hAnsi="Times New Roman" w:cs="Times New Roman"/>
                <w:noProof/>
                <w:webHidden/>
              </w:rPr>
              <w:fldChar w:fldCharType="end"/>
            </w:r>
          </w:hyperlink>
        </w:p>
        <w:p w14:paraId="09C011C3" w14:textId="51C4D450"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81" w:history="1">
            <w:r w:rsidRPr="00E546C7">
              <w:rPr>
                <w:rStyle w:val="Hyperlink"/>
                <w:rFonts w:ascii="Times New Roman" w:hAnsi="Times New Roman" w:cs="Times New Roman"/>
                <w:noProof/>
              </w:rPr>
              <w:t>2.5 Research Gap</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19</w:t>
            </w:r>
            <w:r w:rsidRPr="00E546C7">
              <w:rPr>
                <w:rFonts w:ascii="Times New Roman" w:hAnsi="Times New Roman" w:cs="Times New Roman"/>
                <w:noProof/>
                <w:webHidden/>
              </w:rPr>
              <w:fldChar w:fldCharType="end"/>
            </w:r>
          </w:hyperlink>
        </w:p>
        <w:p w14:paraId="28762EF9" w14:textId="50EA41B0"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82" w:history="1">
            <w:r w:rsidRPr="00E546C7">
              <w:rPr>
                <w:rStyle w:val="Hyperlink"/>
                <w:rFonts w:ascii="Times New Roman" w:hAnsi="Times New Roman" w:cs="Times New Roman"/>
                <w:noProof/>
              </w:rPr>
              <w:t>2.6 Communication and Consumer Perception Models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20</w:t>
            </w:r>
            <w:r w:rsidRPr="00E546C7">
              <w:rPr>
                <w:rFonts w:ascii="Times New Roman" w:hAnsi="Times New Roman" w:cs="Times New Roman"/>
                <w:noProof/>
                <w:webHidden/>
              </w:rPr>
              <w:fldChar w:fldCharType="end"/>
            </w:r>
          </w:hyperlink>
        </w:p>
        <w:p w14:paraId="58F4C4B9" w14:textId="072FA943"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83" w:history="1">
            <w:r w:rsidRPr="00E546C7">
              <w:rPr>
                <w:rStyle w:val="Hyperlink"/>
                <w:rFonts w:ascii="Times New Roman" w:hAnsi="Times New Roman" w:cs="Times New Roman"/>
                <w:noProof/>
              </w:rPr>
              <w:t>2.6.1 Shannon–Weaver Communication Model</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20</w:t>
            </w:r>
            <w:r w:rsidRPr="00E546C7">
              <w:rPr>
                <w:rFonts w:ascii="Times New Roman" w:hAnsi="Times New Roman" w:cs="Times New Roman"/>
                <w:noProof/>
                <w:webHidden/>
              </w:rPr>
              <w:fldChar w:fldCharType="end"/>
            </w:r>
          </w:hyperlink>
        </w:p>
        <w:p w14:paraId="412BC4E0" w14:textId="5146A6A2"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84" w:history="1">
            <w:r w:rsidRPr="00E546C7">
              <w:rPr>
                <w:rStyle w:val="Hyperlink"/>
                <w:rFonts w:ascii="Times New Roman" w:hAnsi="Times New Roman" w:cs="Times New Roman"/>
                <w:noProof/>
              </w:rPr>
              <w:t>2.6.2 Schramm’s Interactive Model</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21</w:t>
            </w:r>
            <w:r w:rsidRPr="00E546C7">
              <w:rPr>
                <w:rFonts w:ascii="Times New Roman" w:hAnsi="Times New Roman" w:cs="Times New Roman"/>
                <w:noProof/>
                <w:webHidden/>
              </w:rPr>
              <w:fldChar w:fldCharType="end"/>
            </w:r>
          </w:hyperlink>
        </w:p>
        <w:p w14:paraId="472C8CC8" w14:textId="74908F13"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85" w:history="1">
            <w:r w:rsidRPr="00E546C7">
              <w:rPr>
                <w:rStyle w:val="Hyperlink"/>
                <w:rFonts w:ascii="Times New Roman" w:hAnsi="Times New Roman" w:cs="Times New Roman"/>
                <w:noProof/>
              </w:rPr>
              <w:t>2.6.3 Similarities and Differences Between the Models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22</w:t>
            </w:r>
            <w:r w:rsidRPr="00E546C7">
              <w:rPr>
                <w:rFonts w:ascii="Times New Roman" w:hAnsi="Times New Roman" w:cs="Times New Roman"/>
                <w:noProof/>
                <w:webHidden/>
              </w:rPr>
              <w:fldChar w:fldCharType="end"/>
            </w:r>
          </w:hyperlink>
        </w:p>
        <w:p w14:paraId="1321B278" w14:textId="620F6512"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86" w:history="1">
            <w:r w:rsidRPr="00E546C7">
              <w:rPr>
                <w:rStyle w:val="Hyperlink"/>
                <w:rFonts w:ascii="Times New Roman" w:hAnsi="Times New Roman" w:cs="Times New Roman"/>
                <w:noProof/>
              </w:rPr>
              <w:t>2.7 Tricomponent Attitude Model</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23</w:t>
            </w:r>
            <w:r w:rsidRPr="00E546C7">
              <w:rPr>
                <w:rFonts w:ascii="Times New Roman" w:hAnsi="Times New Roman" w:cs="Times New Roman"/>
                <w:noProof/>
                <w:webHidden/>
              </w:rPr>
              <w:fldChar w:fldCharType="end"/>
            </w:r>
          </w:hyperlink>
        </w:p>
        <w:p w14:paraId="0EC868F5" w14:textId="7E8366A1"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87" w:history="1">
            <w:r w:rsidRPr="00E546C7">
              <w:rPr>
                <w:rStyle w:val="Hyperlink"/>
                <w:rFonts w:ascii="Times New Roman" w:hAnsi="Times New Roman" w:cs="Times New Roman"/>
                <w:noProof/>
              </w:rPr>
              <w:t>2.8 Loyalty Ladder Model</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24</w:t>
            </w:r>
            <w:r w:rsidRPr="00E546C7">
              <w:rPr>
                <w:rFonts w:ascii="Times New Roman" w:hAnsi="Times New Roman" w:cs="Times New Roman"/>
                <w:noProof/>
                <w:webHidden/>
              </w:rPr>
              <w:fldChar w:fldCharType="end"/>
            </w:r>
          </w:hyperlink>
        </w:p>
        <w:p w14:paraId="396F3DCB" w14:textId="498B8188"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88" w:history="1">
            <w:r w:rsidRPr="00E546C7">
              <w:rPr>
                <w:rStyle w:val="Hyperlink"/>
                <w:rFonts w:ascii="Times New Roman" w:hAnsi="Times New Roman" w:cs="Times New Roman"/>
                <w:noProof/>
              </w:rPr>
              <w:t>2.9 Chapter Summary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25</w:t>
            </w:r>
            <w:r w:rsidRPr="00E546C7">
              <w:rPr>
                <w:rFonts w:ascii="Times New Roman" w:hAnsi="Times New Roman" w:cs="Times New Roman"/>
                <w:noProof/>
                <w:webHidden/>
              </w:rPr>
              <w:fldChar w:fldCharType="end"/>
            </w:r>
          </w:hyperlink>
        </w:p>
        <w:p w14:paraId="7BA276D3" w14:textId="4FEEF661"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689" w:history="1">
            <w:r w:rsidRPr="00E546C7">
              <w:rPr>
                <w:rStyle w:val="Hyperlink"/>
                <w:rFonts w:ascii="Times New Roman" w:hAnsi="Times New Roman" w:cs="Times New Roman"/>
                <w:noProof/>
              </w:rPr>
              <w:t>3. Research Methodology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_Toc239819689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26</w:t>
            </w:r>
            <w:r w:rsidRPr="00E546C7">
              <w:rPr>
                <w:rFonts w:ascii="Times New Roman" w:hAnsi="Times New Roman" w:cs="Times New Roman"/>
                <w:noProof/>
                <w:webHidden/>
              </w:rPr>
              <w:fldChar w:fldCharType="end"/>
            </w:r>
          </w:hyperlink>
        </w:p>
        <w:p w14:paraId="22B573F1" w14:textId="16C68DAF"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90" w:history="1">
            <w:r w:rsidRPr="00E546C7">
              <w:rPr>
                <w:rStyle w:val="Hyperlink"/>
                <w:rFonts w:ascii="Times New Roman" w:hAnsi="Times New Roman" w:cs="Times New Roman"/>
                <w:noProof/>
              </w:rPr>
              <w:t>3.1 Research Philosophy: Positivism</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27</w:t>
            </w:r>
            <w:r w:rsidRPr="00E546C7">
              <w:rPr>
                <w:rFonts w:ascii="Times New Roman" w:hAnsi="Times New Roman" w:cs="Times New Roman"/>
                <w:noProof/>
                <w:webHidden/>
              </w:rPr>
              <w:fldChar w:fldCharType="end"/>
            </w:r>
          </w:hyperlink>
        </w:p>
        <w:p w14:paraId="262D9E9F" w14:textId="46BFAD97"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91" w:history="1">
            <w:r w:rsidRPr="00E546C7">
              <w:rPr>
                <w:rStyle w:val="Hyperlink"/>
                <w:rFonts w:ascii="Times New Roman" w:hAnsi="Times New Roman" w:cs="Times New Roman"/>
                <w:noProof/>
              </w:rPr>
              <w:t>3.2 Research Approach: Deductive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27</w:t>
            </w:r>
            <w:r w:rsidRPr="00E546C7">
              <w:rPr>
                <w:rFonts w:ascii="Times New Roman" w:hAnsi="Times New Roman" w:cs="Times New Roman"/>
                <w:noProof/>
                <w:webHidden/>
              </w:rPr>
              <w:fldChar w:fldCharType="end"/>
            </w:r>
          </w:hyperlink>
        </w:p>
        <w:p w14:paraId="3F2B0AD6" w14:textId="1705AFFA"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92" w:history="1">
            <w:r w:rsidRPr="00E546C7">
              <w:rPr>
                <w:rStyle w:val="Hyperlink"/>
                <w:rFonts w:ascii="Times New Roman" w:hAnsi="Times New Roman" w:cs="Times New Roman"/>
                <w:noProof/>
              </w:rPr>
              <w:t>3.3 Research Strategy: Survey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28</w:t>
            </w:r>
            <w:r w:rsidRPr="00E546C7">
              <w:rPr>
                <w:rFonts w:ascii="Times New Roman" w:hAnsi="Times New Roman" w:cs="Times New Roman"/>
                <w:noProof/>
                <w:webHidden/>
              </w:rPr>
              <w:fldChar w:fldCharType="end"/>
            </w:r>
          </w:hyperlink>
        </w:p>
        <w:p w14:paraId="714B7BBF" w14:textId="41680038"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93" w:history="1">
            <w:r w:rsidRPr="00E546C7">
              <w:rPr>
                <w:rStyle w:val="Hyperlink"/>
                <w:rFonts w:ascii="Times New Roman" w:hAnsi="Times New Roman" w:cs="Times New Roman"/>
                <w:noProof/>
              </w:rPr>
              <w:t>3.4 Type of Investigation: Primary and Secondary Research</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28</w:t>
            </w:r>
            <w:r w:rsidRPr="00E546C7">
              <w:rPr>
                <w:rFonts w:ascii="Times New Roman" w:hAnsi="Times New Roman" w:cs="Times New Roman"/>
                <w:noProof/>
                <w:webHidden/>
              </w:rPr>
              <w:fldChar w:fldCharType="end"/>
            </w:r>
          </w:hyperlink>
        </w:p>
        <w:p w14:paraId="77D73D94" w14:textId="29068719"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94" w:history="1">
            <w:r w:rsidRPr="00E546C7">
              <w:rPr>
                <w:rStyle w:val="Hyperlink"/>
                <w:rFonts w:ascii="Times New Roman" w:hAnsi="Times New Roman" w:cs="Times New Roman"/>
                <w:noProof/>
              </w:rPr>
              <w:t>3.5 Methodological Choice: Mono-Method Quantitative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28</w:t>
            </w:r>
            <w:r w:rsidRPr="00E546C7">
              <w:rPr>
                <w:rFonts w:ascii="Times New Roman" w:hAnsi="Times New Roman" w:cs="Times New Roman"/>
                <w:noProof/>
                <w:webHidden/>
              </w:rPr>
              <w:fldChar w:fldCharType="end"/>
            </w:r>
          </w:hyperlink>
        </w:p>
        <w:p w14:paraId="176245E3" w14:textId="07B215C1"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95" w:history="1">
            <w:r w:rsidRPr="00E546C7">
              <w:rPr>
                <w:rStyle w:val="Hyperlink"/>
                <w:rFonts w:ascii="Times New Roman" w:hAnsi="Times New Roman" w:cs="Times New Roman"/>
                <w:noProof/>
              </w:rPr>
              <w:t>3.6 Time Horizon: Cross-Sectional</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29</w:t>
            </w:r>
            <w:r w:rsidRPr="00E546C7">
              <w:rPr>
                <w:rFonts w:ascii="Times New Roman" w:hAnsi="Times New Roman" w:cs="Times New Roman"/>
                <w:noProof/>
                <w:webHidden/>
              </w:rPr>
              <w:fldChar w:fldCharType="end"/>
            </w:r>
          </w:hyperlink>
        </w:p>
        <w:p w14:paraId="301FD754" w14:textId="069B6BCC"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696" w:history="1">
            <w:r w:rsidRPr="00E546C7">
              <w:rPr>
                <w:rStyle w:val="Hyperlink"/>
                <w:rFonts w:ascii="Times New Roman" w:hAnsi="Times New Roman" w:cs="Times New Roman"/>
                <w:noProof/>
              </w:rPr>
              <w:t>3.7 Data Collection and Analysis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29</w:t>
            </w:r>
            <w:r w:rsidRPr="00E546C7">
              <w:rPr>
                <w:rFonts w:ascii="Times New Roman" w:hAnsi="Times New Roman" w:cs="Times New Roman"/>
                <w:noProof/>
                <w:webHidden/>
              </w:rPr>
              <w:fldChar w:fldCharType="end"/>
            </w:r>
          </w:hyperlink>
        </w:p>
        <w:p w14:paraId="50947E64" w14:textId="15BC4A69"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97" w:history="1">
            <w:r w:rsidRPr="00E546C7">
              <w:rPr>
                <w:rStyle w:val="Hyperlink"/>
                <w:rFonts w:ascii="Times New Roman" w:hAnsi="Times New Roman" w:cs="Times New Roman"/>
                <w:noProof/>
              </w:rPr>
              <w:t>3.7.1 Definition of Sampling</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29</w:t>
            </w:r>
            <w:r w:rsidRPr="00E546C7">
              <w:rPr>
                <w:rFonts w:ascii="Times New Roman" w:hAnsi="Times New Roman" w:cs="Times New Roman"/>
                <w:noProof/>
                <w:webHidden/>
              </w:rPr>
              <w:fldChar w:fldCharType="end"/>
            </w:r>
          </w:hyperlink>
        </w:p>
        <w:p w14:paraId="6BC1AA1A" w14:textId="1075B57F"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98" w:history="1">
            <w:r w:rsidRPr="00E546C7">
              <w:rPr>
                <w:rStyle w:val="Hyperlink"/>
                <w:rFonts w:ascii="Times New Roman" w:hAnsi="Times New Roman" w:cs="Times New Roman"/>
                <w:noProof/>
              </w:rPr>
              <w:t>3.7.2 Sample Size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29</w:t>
            </w:r>
            <w:r w:rsidRPr="00E546C7">
              <w:rPr>
                <w:rFonts w:ascii="Times New Roman" w:hAnsi="Times New Roman" w:cs="Times New Roman"/>
                <w:noProof/>
                <w:webHidden/>
              </w:rPr>
              <w:fldChar w:fldCharType="end"/>
            </w:r>
          </w:hyperlink>
        </w:p>
        <w:p w14:paraId="7FA7973C" w14:textId="05338056"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699" w:history="1">
            <w:r w:rsidRPr="00E546C7">
              <w:rPr>
                <w:rStyle w:val="Hyperlink"/>
                <w:rFonts w:ascii="Times New Roman" w:hAnsi="Times New Roman" w:cs="Times New Roman"/>
                <w:noProof/>
              </w:rPr>
              <w:t>3.7.3 Sample Type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_Toc239819699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30</w:t>
            </w:r>
            <w:r w:rsidRPr="00E546C7">
              <w:rPr>
                <w:rFonts w:ascii="Times New Roman" w:hAnsi="Times New Roman" w:cs="Times New Roman"/>
                <w:noProof/>
                <w:webHidden/>
              </w:rPr>
              <w:fldChar w:fldCharType="end"/>
            </w:r>
          </w:hyperlink>
        </w:p>
        <w:p w14:paraId="5B61D94C" w14:textId="625C1E3C"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700" w:history="1">
            <w:r w:rsidRPr="00E546C7">
              <w:rPr>
                <w:rStyle w:val="Hyperlink"/>
                <w:rFonts w:ascii="Times New Roman" w:hAnsi="Times New Roman" w:cs="Times New Roman"/>
                <w:noProof/>
              </w:rPr>
              <w:t>3.7.4 Sampling Method</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30</w:t>
            </w:r>
            <w:r w:rsidRPr="00E546C7">
              <w:rPr>
                <w:rFonts w:ascii="Times New Roman" w:hAnsi="Times New Roman" w:cs="Times New Roman"/>
                <w:noProof/>
                <w:webHidden/>
              </w:rPr>
              <w:fldChar w:fldCharType="end"/>
            </w:r>
          </w:hyperlink>
        </w:p>
        <w:p w14:paraId="53DA263B" w14:textId="23CA1A45"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701" w:history="1">
            <w:r w:rsidRPr="00E546C7">
              <w:rPr>
                <w:rStyle w:val="Hyperlink"/>
                <w:rFonts w:ascii="Times New Roman" w:hAnsi="Times New Roman" w:cs="Times New Roman"/>
                <w:noProof/>
              </w:rPr>
              <w:t>3.7.5 Data Collection Method</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30</w:t>
            </w:r>
            <w:r w:rsidRPr="00E546C7">
              <w:rPr>
                <w:rFonts w:ascii="Times New Roman" w:hAnsi="Times New Roman" w:cs="Times New Roman"/>
                <w:noProof/>
                <w:webHidden/>
              </w:rPr>
              <w:fldChar w:fldCharType="end"/>
            </w:r>
          </w:hyperlink>
        </w:p>
        <w:p w14:paraId="72F9754E" w14:textId="4A72A36F"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02" w:history="1">
            <w:r w:rsidRPr="00E546C7">
              <w:rPr>
                <w:rStyle w:val="Hyperlink"/>
                <w:rFonts w:ascii="Times New Roman" w:hAnsi="Times New Roman" w:cs="Times New Roman"/>
                <w:noProof/>
              </w:rPr>
              <w:t>3.8 Research Ethics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30</w:t>
            </w:r>
            <w:r w:rsidRPr="00E546C7">
              <w:rPr>
                <w:rFonts w:ascii="Times New Roman" w:hAnsi="Times New Roman" w:cs="Times New Roman"/>
                <w:noProof/>
                <w:webHidden/>
              </w:rPr>
              <w:fldChar w:fldCharType="end"/>
            </w:r>
          </w:hyperlink>
        </w:p>
        <w:p w14:paraId="6716234D" w14:textId="1C8165D9"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03" w:history="1">
            <w:r w:rsidRPr="00E546C7">
              <w:rPr>
                <w:rStyle w:val="Hyperlink"/>
                <w:rFonts w:ascii="Times New Roman" w:hAnsi="Times New Roman" w:cs="Times New Roman"/>
                <w:noProof/>
              </w:rPr>
              <w:t>3.9 Reliability and Validity of Data</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31</w:t>
            </w:r>
            <w:r w:rsidRPr="00E546C7">
              <w:rPr>
                <w:rFonts w:ascii="Times New Roman" w:hAnsi="Times New Roman" w:cs="Times New Roman"/>
                <w:noProof/>
                <w:webHidden/>
              </w:rPr>
              <w:fldChar w:fldCharType="end"/>
            </w:r>
          </w:hyperlink>
        </w:p>
        <w:p w14:paraId="57552573" w14:textId="20AF38C8"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04" w:history="1">
            <w:r w:rsidRPr="00E546C7">
              <w:rPr>
                <w:rStyle w:val="Hyperlink"/>
                <w:rFonts w:ascii="Times New Roman" w:hAnsi="Times New Roman" w:cs="Times New Roman"/>
                <w:noProof/>
              </w:rPr>
              <w:t>3.10 Discussion: Limitations and Difficulties of Primary Data Collection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31</w:t>
            </w:r>
            <w:r w:rsidRPr="00E546C7">
              <w:rPr>
                <w:rFonts w:ascii="Times New Roman" w:hAnsi="Times New Roman" w:cs="Times New Roman"/>
                <w:noProof/>
                <w:webHidden/>
              </w:rPr>
              <w:fldChar w:fldCharType="end"/>
            </w:r>
          </w:hyperlink>
        </w:p>
        <w:p w14:paraId="788A9CDE" w14:textId="389D03CB"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05" w:history="1">
            <w:r w:rsidRPr="00E546C7">
              <w:rPr>
                <w:rStyle w:val="Hyperlink"/>
                <w:rFonts w:ascii="Times New Roman" w:hAnsi="Times New Roman" w:cs="Times New Roman"/>
                <w:noProof/>
              </w:rPr>
              <w:t>Chapter 4: Analysis and Findings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33</w:t>
            </w:r>
            <w:r w:rsidRPr="00E546C7">
              <w:rPr>
                <w:rFonts w:ascii="Times New Roman" w:hAnsi="Times New Roman" w:cs="Times New Roman"/>
                <w:noProof/>
                <w:webHidden/>
              </w:rPr>
              <w:fldChar w:fldCharType="end"/>
            </w:r>
          </w:hyperlink>
        </w:p>
        <w:p w14:paraId="78B0E6A8" w14:textId="4453AEC5"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06" w:history="1">
            <w:r w:rsidRPr="00E546C7">
              <w:rPr>
                <w:rStyle w:val="Hyperlink"/>
                <w:rFonts w:ascii="Times New Roman" w:hAnsi="Times New Roman" w:cs="Times New Roman"/>
                <w:noProof/>
              </w:rPr>
              <w:t>4.1 Introduction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33</w:t>
            </w:r>
            <w:r w:rsidRPr="00E546C7">
              <w:rPr>
                <w:rFonts w:ascii="Times New Roman" w:hAnsi="Times New Roman" w:cs="Times New Roman"/>
                <w:noProof/>
                <w:webHidden/>
              </w:rPr>
              <w:fldChar w:fldCharType="end"/>
            </w:r>
          </w:hyperlink>
        </w:p>
        <w:p w14:paraId="358DBE88" w14:textId="647B44BF"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07" w:history="1">
            <w:r w:rsidRPr="00E546C7">
              <w:rPr>
                <w:rStyle w:val="Hyperlink"/>
                <w:rFonts w:ascii="Times New Roman" w:hAnsi="Times New Roman" w:cs="Times New Roman"/>
                <w:noProof/>
              </w:rPr>
              <w:t>4.2 Data Quality, Coding and Analytical Framework</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33</w:t>
            </w:r>
            <w:r w:rsidRPr="00E546C7">
              <w:rPr>
                <w:rFonts w:ascii="Times New Roman" w:hAnsi="Times New Roman" w:cs="Times New Roman"/>
                <w:noProof/>
                <w:webHidden/>
              </w:rPr>
              <w:fldChar w:fldCharType="end"/>
            </w:r>
          </w:hyperlink>
        </w:p>
        <w:p w14:paraId="19D338DB" w14:textId="7B9F39BD"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08" w:history="1">
            <w:r w:rsidRPr="00E546C7">
              <w:rPr>
                <w:rStyle w:val="Hyperlink"/>
                <w:rFonts w:ascii="Times New Roman" w:hAnsi="Times New Roman" w:cs="Times New Roman"/>
                <w:noProof/>
              </w:rPr>
              <w:t>4.3 Question 1: Age Group</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34</w:t>
            </w:r>
            <w:r w:rsidRPr="00E546C7">
              <w:rPr>
                <w:rFonts w:ascii="Times New Roman" w:hAnsi="Times New Roman" w:cs="Times New Roman"/>
                <w:noProof/>
                <w:webHidden/>
              </w:rPr>
              <w:fldChar w:fldCharType="end"/>
            </w:r>
          </w:hyperlink>
        </w:p>
        <w:p w14:paraId="5738EE0B" w14:textId="30A75EE9"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09" w:history="1">
            <w:r w:rsidRPr="00E546C7">
              <w:rPr>
                <w:rStyle w:val="Hyperlink"/>
                <w:rFonts w:ascii="Times New Roman" w:hAnsi="Times New Roman" w:cs="Times New Roman"/>
                <w:noProof/>
              </w:rPr>
              <w:t>4.4 Question 2: Gender</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_Toc239819709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35</w:t>
            </w:r>
            <w:r w:rsidRPr="00E546C7">
              <w:rPr>
                <w:rFonts w:ascii="Times New Roman" w:hAnsi="Times New Roman" w:cs="Times New Roman"/>
                <w:noProof/>
                <w:webHidden/>
              </w:rPr>
              <w:fldChar w:fldCharType="end"/>
            </w:r>
          </w:hyperlink>
        </w:p>
        <w:p w14:paraId="3E10F696" w14:textId="575A85C1"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0" w:history="1">
            <w:r w:rsidRPr="00E546C7">
              <w:rPr>
                <w:rStyle w:val="Hyperlink"/>
                <w:rFonts w:ascii="Times New Roman" w:hAnsi="Times New Roman" w:cs="Times New Roman"/>
                <w:noProof/>
              </w:rPr>
              <w:t>4.5 Question 3: Message Consistency Across Channels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36</w:t>
            </w:r>
            <w:r w:rsidRPr="00E546C7">
              <w:rPr>
                <w:rFonts w:ascii="Times New Roman" w:hAnsi="Times New Roman" w:cs="Times New Roman"/>
                <w:noProof/>
                <w:webHidden/>
              </w:rPr>
              <w:fldChar w:fldCharType="end"/>
            </w:r>
          </w:hyperlink>
        </w:p>
        <w:p w14:paraId="2BD0A31F" w14:textId="4A4BF2F4"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1" w:history="1">
            <w:r w:rsidRPr="00E546C7">
              <w:rPr>
                <w:rStyle w:val="Hyperlink"/>
                <w:rFonts w:ascii="Times New Roman" w:hAnsi="Times New Roman" w:cs="Times New Roman"/>
                <w:noProof/>
              </w:rPr>
              <w:t>4.6 Question 4: Credibility, Relevance and Engagement</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37</w:t>
            </w:r>
            <w:r w:rsidRPr="00E546C7">
              <w:rPr>
                <w:rFonts w:ascii="Times New Roman" w:hAnsi="Times New Roman" w:cs="Times New Roman"/>
                <w:noProof/>
                <w:webHidden/>
              </w:rPr>
              <w:fldChar w:fldCharType="end"/>
            </w:r>
          </w:hyperlink>
        </w:p>
        <w:p w14:paraId="7E0EB2CD" w14:textId="69EEC1E6"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2" w:history="1">
            <w:r w:rsidRPr="00E546C7">
              <w:rPr>
                <w:rStyle w:val="Hyperlink"/>
                <w:rFonts w:ascii="Times New Roman" w:hAnsi="Times New Roman" w:cs="Times New Roman"/>
                <w:noProof/>
              </w:rPr>
              <w:t>4.7 Question 5: Positive Brand Attitude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38</w:t>
            </w:r>
            <w:r w:rsidRPr="00E546C7">
              <w:rPr>
                <w:rFonts w:ascii="Times New Roman" w:hAnsi="Times New Roman" w:cs="Times New Roman"/>
                <w:noProof/>
                <w:webHidden/>
              </w:rPr>
              <w:fldChar w:fldCharType="end"/>
            </w:r>
          </w:hyperlink>
        </w:p>
        <w:p w14:paraId="14EE5ACF" w14:textId="08F1CD69"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3" w:history="1">
            <w:r w:rsidRPr="00E546C7">
              <w:rPr>
                <w:rStyle w:val="Hyperlink"/>
                <w:rFonts w:ascii="Times New Roman" w:hAnsi="Times New Roman" w:cs="Times New Roman"/>
                <w:noProof/>
              </w:rPr>
              <w:t>4.8 Question 6: Purchase Intention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39</w:t>
            </w:r>
            <w:r w:rsidRPr="00E546C7">
              <w:rPr>
                <w:rFonts w:ascii="Times New Roman" w:hAnsi="Times New Roman" w:cs="Times New Roman"/>
                <w:noProof/>
                <w:webHidden/>
              </w:rPr>
              <w:fldChar w:fldCharType="end"/>
            </w:r>
          </w:hyperlink>
        </w:p>
        <w:p w14:paraId="171E861A" w14:textId="509594A9"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4" w:history="1">
            <w:r w:rsidRPr="00E546C7">
              <w:rPr>
                <w:rStyle w:val="Hyperlink"/>
                <w:rFonts w:ascii="Times New Roman" w:hAnsi="Times New Roman" w:cs="Times New Roman"/>
                <w:noProof/>
              </w:rPr>
              <w:t>4.9 Question 7: Most Effective Promotional Method</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40</w:t>
            </w:r>
            <w:r w:rsidRPr="00E546C7">
              <w:rPr>
                <w:rFonts w:ascii="Times New Roman" w:hAnsi="Times New Roman" w:cs="Times New Roman"/>
                <w:noProof/>
                <w:webHidden/>
              </w:rPr>
              <w:fldChar w:fldCharType="end"/>
            </w:r>
          </w:hyperlink>
        </w:p>
        <w:p w14:paraId="090B5131" w14:textId="24C8939F"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5" w:history="1">
            <w:r w:rsidRPr="00E546C7">
              <w:rPr>
                <w:rStyle w:val="Hyperlink"/>
                <w:rFonts w:ascii="Times New Roman" w:hAnsi="Times New Roman" w:cs="Times New Roman"/>
                <w:noProof/>
              </w:rPr>
              <w:t>4.10 Question 8: Repurchase Incentive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41</w:t>
            </w:r>
            <w:r w:rsidRPr="00E546C7">
              <w:rPr>
                <w:rFonts w:ascii="Times New Roman" w:hAnsi="Times New Roman" w:cs="Times New Roman"/>
                <w:noProof/>
                <w:webHidden/>
              </w:rPr>
              <w:fldChar w:fldCharType="end"/>
            </w:r>
          </w:hyperlink>
        </w:p>
        <w:p w14:paraId="12366BB1" w14:textId="7700B3F1"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6" w:history="1">
            <w:r w:rsidRPr="00E546C7">
              <w:rPr>
                <w:rStyle w:val="Hyperlink"/>
                <w:rFonts w:ascii="Times New Roman" w:hAnsi="Times New Roman" w:cs="Times New Roman"/>
                <w:noProof/>
              </w:rPr>
              <w:t>4.11 Question 9: Overall Attitude and Purchase Relationship</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42</w:t>
            </w:r>
            <w:r w:rsidRPr="00E546C7">
              <w:rPr>
                <w:rFonts w:ascii="Times New Roman" w:hAnsi="Times New Roman" w:cs="Times New Roman"/>
                <w:noProof/>
                <w:webHidden/>
              </w:rPr>
              <w:fldChar w:fldCharType="end"/>
            </w:r>
          </w:hyperlink>
        </w:p>
        <w:p w14:paraId="4CCE2331" w14:textId="35523135"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7" w:history="1">
            <w:r w:rsidRPr="00E546C7">
              <w:rPr>
                <w:rStyle w:val="Hyperlink"/>
                <w:rFonts w:ascii="Times New Roman" w:hAnsi="Times New Roman" w:cs="Times New Roman"/>
                <w:noProof/>
              </w:rPr>
              <w:t>4.12 Question 10: Brand Loyalty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43</w:t>
            </w:r>
            <w:r w:rsidRPr="00E546C7">
              <w:rPr>
                <w:rFonts w:ascii="Times New Roman" w:hAnsi="Times New Roman" w:cs="Times New Roman"/>
                <w:noProof/>
                <w:webHidden/>
              </w:rPr>
              <w:fldChar w:fldCharType="end"/>
            </w:r>
          </w:hyperlink>
        </w:p>
        <w:p w14:paraId="1B28E9FE" w14:textId="76D9DD28"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8" w:history="1">
            <w:r w:rsidRPr="00E546C7">
              <w:rPr>
                <w:rStyle w:val="Hyperlink"/>
                <w:rFonts w:ascii="Times New Roman" w:hAnsi="Times New Roman" w:cs="Times New Roman"/>
                <w:noProof/>
              </w:rPr>
              <w:t>4.13 Reliability and Construct Quality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43</w:t>
            </w:r>
            <w:r w:rsidRPr="00E546C7">
              <w:rPr>
                <w:rFonts w:ascii="Times New Roman" w:hAnsi="Times New Roman" w:cs="Times New Roman"/>
                <w:noProof/>
                <w:webHidden/>
              </w:rPr>
              <w:fldChar w:fldCharType="end"/>
            </w:r>
          </w:hyperlink>
        </w:p>
        <w:p w14:paraId="0BA56AED" w14:textId="4CA7A994"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19" w:history="1">
            <w:r w:rsidRPr="00E546C7">
              <w:rPr>
                <w:rStyle w:val="Hyperlink"/>
                <w:rFonts w:ascii="Times New Roman" w:hAnsi="Times New Roman" w:cs="Times New Roman"/>
                <w:noProof/>
              </w:rPr>
              <w:t>4.14 Hypothesis Testing</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_Toc239819719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44</w:t>
            </w:r>
            <w:r w:rsidRPr="00E546C7">
              <w:rPr>
                <w:rFonts w:ascii="Times New Roman" w:hAnsi="Times New Roman" w:cs="Times New Roman"/>
                <w:noProof/>
                <w:webHidden/>
              </w:rPr>
              <w:fldChar w:fldCharType="end"/>
            </w:r>
          </w:hyperlink>
        </w:p>
        <w:p w14:paraId="6403BBAB" w14:textId="599833A1" w:rsidR="00A00FAA" w:rsidRPr="00E546C7" w:rsidRDefault="00A00FAA">
          <w:pPr>
            <w:pStyle w:val="TOC3"/>
            <w:tabs>
              <w:tab w:val="right" w:leader="dot" w:pos="9010"/>
            </w:tabs>
            <w:rPr>
              <w:rFonts w:ascii="Times New Roman" w:eastAsiaTheme="minorEastAsia" w:hAnsi="Times New Roman" w:cs="Times New Roman"/>
              <w:noProof/>
              <w:sz w:val="24"/>
              <w:szCs w:val="30"/>
              <w:lang w:bidi="bn-IN"/>
            </w:rPr>
          </w:pPr>
          <w:hyperlink w:anchor="_Toc239819720" w:history="1">
            <w:r w:rsidRPr="00E546C7">
              <w:rPr>
                <w:rStyle w:val="Hyperlink"/>
                <w:rFonts w:ascii="Times New Roman" w:hAnsi="Times New Roman" w:cs="Times New Roman"/>
                <w:noProof/>
              </w:rPr>
              <w:t>4.14.1 Analytical Robustness and Boundary Conditions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46</w:t>
            </w:r>
            <w:r w:rsidRPr="00E546C7">
              <w:rPr>
                <w:rFonts w:ascii="Times New Roman" w:hAnsi="Times New Roman" w:cs="Times New Roman"/>
                <w:noProof/>
                <w:webHidden/>
              </w:rPr>
              <w:fldChar w:fldCharType="end"/>
            </w:r>
          </w:hyperlink>
        </w:p>
        <w:p w14:paraId="7E438A73" w14:textId="3AA9491C"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1" w:history="1">
            <w:r w:rsidRPr="00E546C7">
              <w:rPr>
                <w:rStyle w:val="Hyperlink"/>
                <w:rFonts w:ascii="Times New Roman" w:hAnsi="Times New Roman" w:cs="Times New Roman"/>
                <w:noProof/>
              </w:rPr>
              <w:t>4.15 Chapter Summary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47</w:t>
            </w:r>
            <w:r w:rsidRPr="00E546C7">
              <w:rPr>
                <w:rFonts w:ascii="Times New Roman" w:hAnsi="Times New Roman" w:cs="Times New Roman"/>
                <w:noProof/>
                <w:webHidden/>
              </w:rPr>
              <w:fldChar w:fldCharType="end"/>
            </w:r>
          </w:hyperlink>
        </w:p>
        <w:p w14:paraId="00235D3C" w14:textId="33334481"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22" w:history="1">
            <w:r w:rsidRPr="00E546C7">
              <w:rPr>
                <w:rStyle w:val="Hyperlink"/>
                <w:rFonts w:ascii="Times New Roman" w:hAnsi="Times New Roman" w:cs="Times New Roman"/>
                <w:noProof/>
              </w:rPr>
              <w:t>Chapter 5: Discussion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48</w:t>
            </w:r>
            <w:r w:rsidRPr="00E546C7">
              <w:rPr>
                <w:rFonts w:ascii="Times New Roman" w:hAnsi="Times New Roman" w:cs="Times New Roman"/>
                <w:noProof/>
                <w:webHidden/>
              </w:rPr>
              <w:fldChar w:fldCharType="end"/>
            </w:r>
          </w:hyperlink>
        </w:p>
        <w:p w14:paraId="67BC7939" w14:textId="50018774"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3" w:history="1">
            <w:r w:rsidRPr="00E546C7">
              <w:rPr>
                <w:rStyle w:val="Hyperlink"/>
                <w:rFonts w:ascii="Times New Roman" w:hAnsi="Times New Roman" w:cs="Times New Roman"/>
                <w:noProof/>
              </w:rPr>
              <w:t>5.1 Introduction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48</w:t>
            </w:r>
            <w:r w:rsidRPr="00E546C7">
              <w:rPr>
                <w:rFonts w:ascii="Times New Roman" w:hAnsi="Times New Roman" w:cs="Times New Roman"/>
                <w:noProof/>
                <w:webHidden/>
              </w:rPr>
              <w:fldChar w:fldCharType="end"/>
            </w:r>
          </w:hyperlink>
        </w:p>
        <w:p w14:paraId="448362EA" w14:textId="2A01EE2A"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4" w:history="1">
            <w:r w:rsidRPr="00E546C7">
              <w:rPr>
                <w:rStyle w:val="Hyperlink"/>
                <w:rFonts w:ascii="Times New Roman" w:hAnsi="Times New Roman" w:cs="Times New Roman"/>
                <w:noProof/>
              </w:rPr>
              <w:t>5.2 Research Objective One: Consumers’ Perceptions of Adidas’s IMC</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48</w:t>
            </w:r>
            <w:r w:rsidRPr="00E546C7">
              <w:rPr>
                <w:rFonts w:ascii="Times New Roman" w:hAnsi="Times New Roman" w:cs="Times New Roman"/>
                <w:noProof/>
                <w:webHidden/>
              </w:rPr>
              <w:fldChar w:fldCharType="end"/>
            </w:r>
          </w:hyperlink>
        </w:p>
        <w:p w14:paraId="7F767FC0" w14:textId="26B40775"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5" w:history="1">
            <w:r w:rsidRPr="00E546C7">
              <w:rPr>
                <w:rStyle w:val="Hyperlink"/>
                <w:rFonts w:ascii="Times New Roman" w:hAnsi="Times New Roman" w:cs="Times New Roman"/>
                <w:noProof/>
              </w:rPr>
              <w:t>5.3 Research Objective Two: IMC, Attitude and Purchase Intention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49</w:t>
            </w:r>
            <w:r w:rsidRPr="00E546C7">
              <w:rPr>
                <w:rFonts w:ascii="Times New Roman" w:hAnsi="Times New Roman" w:cs="Times New Roman"/>
                <w:noProof/>
                <w:webHidden/>
              </w:rPr>
              <w:fldChar w:fldCharType="end"/>
            </w:r>
          </w:hyperlink>
        </w:p>
        <w:p w14:paraId="000FD34D" w14:textId="14BC1CC0"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6" w:history="1">
            <w:r w:rsidRPr="00E546C7">
              <w:rPr>
                <w:rStyle w:val="Hyperlink"/>
                <w:rFonts w:ascii="Times New Roman" w:hAnsi="Times New Roman" w:cs="Times New Roman"/>
                <w:noProof/>
              </w:rPr>
              <w:t>5.4 Research Objective Three: IMC and Brand Loyalty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49</w:t>
            </w:r>
            <w:r w:rsidRPr="00E546C7">
              <w:rPr>
                <w:rFonts w:ascii="Times New Roman" w:hAnsi="Times New Roman" w:cs="Times New Roman"/>
                <w:noProof/>
                <w:webHidden/>
              </w:rPr>
              <w:fldChar w:fldCharType="end"/>
            </w:r>
          </w:hyperlink>
        </w:p>
        <w:p w14:paraId="7A29EFAF" w14:textId="123A195D"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7" w:history="1">
            <w:r w:rsidRPr="00E546C7">
              <w:rPr>
                <w:rStyle w:val="Hyperlink"/>
                <w:rFonts w:ascii="Times New Roman" w:hAnsi="Times New Roman" w:cs="Times New Roman"/>
                <w:noProof/>
              </w:rPr>
              <w:t>5.5 Hypothesis 1</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50</w:t>
            </w:r>
            <w:r w:rsidRPr="00E546C7">
              <w:rPr>
                <w:rFonts w:ascii="Times New Roman" w:hAnsi="Times New Roman" w:cs="Times New Roman"/>
                <w:noProof/>
                <w:webHidden/>
              </w:rPr>
              <w:fldChar w:fldCharType="end"/>
            </w:r>
          </w:hyperlink>
        </w:p>
        <w:p w14:paraId="35DD0E0D" w14:textId="3834031E"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8" w:history="1">
            <w:r w:rsidRPr="00E546C7">
              <w:rPr>
                <w:rStyle w:val="Hyperlink"/>
                <w:rFonts w:ascii="Times New Roman" w:hAnsi="Times New Roman" w:cs="Times New Roman"/>
                <w:noProof/>
              </w:rPr>
              <w:t>5.6 Hypothesis 2</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51</w:t>
            </w:r>
            <w:r w:rsidRPr="00E546C7">
              <w:rPr>
                <w:rFonts w:ascii="Times New Roman" w:hAnsi="Times New Roman" w:cs="Times New Roman"/>
                <w:noProof/>
                <w:webHidden/>
              </w:rPr>
              <w:fldChar w:fldCharType="end"/>
            </w:r>
          </w:hyperlink>
        </w:p>
        <w:p w14:paraId="7C70EB66" w14:textId="20E2196D"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29" w:history="1">
            <w:r w:rsidRPr="00E546C7">
              <w:rPr>
                <w:rStyle w:val="Hyperlink"/>
                <w:rFonts w:ascii="Times New Roman" w:hAnsi="Times New Roman" w:cs="Times New Roman"/>
                <w:noProof/>
              </w:rPr>
              <w:t>5.7 Research Gap</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_Toc239819729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51</w:t>
            </w:r>
            <w:r w:rsidRPr="00E546C7">
              <w:rPr>
                <w:rFonts w:ascii="Times New Roman" w:hAnsi="Times New Roman" w:cs="Times New Roman"/>
                <w:noProof/>
                <w:webHidden/>
              </w:rPr>
              <w:fldChar w:fldCharType="end"/>
            </w:r>
          </w:hyperlink>
        </w:p>
        <w:p w14:paraId="1303B0BA" w14:textId="06624489"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0" w:history="1">
            <w:r w:rsidRPr="00E546C7">
              <w:rPr>
                <w:rStyle w:val="Hyperlink"/>
                <w:rFonts w:ascii="Times New Roman" w:hAnsi="Times New Roman" w:cs="Times New Roman"/>
                <w:noProof/>
              </w:rPr>
              <w:t>5.8 How the Research Fills the Gap</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52</w:t>
            </w:r>
            <w:r w:rsidRPr="00E546C7">
              <w:rPr>
                <w:rFonts w:ascii="Times New Roman" w:hAnsi="Times New Roman" w:cs="Times New Roman"/>
                <w:noProof/>
                <w:webHidden/>
              </w:rPr>
              <w:fldChar w:fldCharType="end"/>
            </w:r>
          </w:hyperlink>
        </w:p>
        <w:p w14:paraId="0F9F8F0A" w14:textId="69EB65F8"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1" w:history="1">
            <w:r w:rsidRPr="00E546C7">
              <w:rPr>
                <w:rStyle w:val="Hyperlink"/>
                <w:rFonts w:ascii="Times New Roman" w:hAnsi="Times New Roman" w:cs="Times New Roman"/>
                <w:noProof/>
              </w:rPr>
              <w:t>5.9 Chapter Summary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52</w:t>
            </w:r>
            <w:r w:rsidRPr="00E546C7">
              <w:rPr>
                <w:rFonts w:ascii="Times New Roman" w:hAnsi="Times New Roman" w:cs="Times New Roman"/>
                <w:noProof/>
                <w:webHidden/>
              </w:rPr>
              <w:fldChar w:fldCharType="end"/>
            </w:r>
          </w:hyperlink>
        </w:p>
        <w:p w14:paraId="773F2056" w14:textId="32D99B0C"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32" w:history="1">
            <w:r w:rsidRPr="00E546C7">
              <w:rPr>
                <w:rStyle w:val="Hyperlink"/>
                <w:rFonts w:ascii="Times New Roman" w:hAnsi="Times New Roman" w:cs="Times New Roman"/>
                <w:noProof/>
              </w:rPr>
              <w:t>Chapter 6: Conclusion and Recommendations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53</w:t>
            </w:r>
            <w:r w:rsidRPr="00E546C7">
              <w:rPr>
                <w:rFonts w:ascii="Times New Roman" w:hAnsi="Times New Roman" w:cs="Times New Roman"/>
                <w:noProof/>
                <w:webHidden/>
              </w:rPr>
              <w:fldChar w:fldCharType="end"/>
            </w:r>
          </w:hyperlink>
        </w:p>
        <w:p w14:paraId="4BC87BCD" w14:textId="73C96D5B"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3" w:history="1">
            <w:r w:rsidRPr="00E546C7">
              <w:rPr>
                <w:rStyle w:val="Hyperlink"/>
                <w:rFonts w:ascii="Times New Roman" w:hAnsi="Times New Roman" w:cs="Times New Roman"/>
                <w:noProof/>
              </w:rPr>
              <w:t>6.1 Aim of the Study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53</w:t>
            </w:r>
            <w:r w:rsidRPr="00E546C7">
              <w:rPr>
                <w:rFonts w:ascii="Times New Roman" w:hAnsi="Times New Roman" w:cs="Times New Roman"/>
                <w:noProof/>
                <w:webHidden/>
              </w:rPr>
              <w:fldChar w:fldCharType="end"/>
            </w:r>
          </w:hyperlink>
        </w:p>
        <w:p w14:paraId="65424B5A" w14:textId="4C01F590"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4" w:history="1">
            <w:r w:rsidRPr="00E546C7">
              <w:rPr>
                <w:rStyle w:val="Hyperlink"/>
                <w:rFonts w:ascii="Times New Roman" w:hAnsi="Times New Roman" w:cs="Times New Roman"/>
                <w:noProof/>
              </w:rPr>
              <w:t>6.2 Research Objective One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53</w:t>
            </w:r>
            <w:r w:rsidRPr="00E546C7">
              <w:rPr>
                <w:rFonts w:ascii="Times New Roman" w:hAnsi="Times New Roman" w:cs="Times New Roman"/>
                <w:noProof/>
                <w:webHidden/>
              </w:rPr>
              <w:fldChar w:fldCharType="end"/>
            </w:r>
          </w:hyperlink>
        </w:p>
        <w:p w14:paraId="3B519A68" w14:textId="40D2168E"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5" w:history="1">
            <w:r w:rsidRPr="00E546C7">
              <w:rPr>
                <w:rStyle w:val="Hyperlink"/>
                <w:rFonts w:ascii="Times New Roman" w:hAnsi="Times New Roman" w:cs="Times New Roman"/>
                <w:noProof/>
              </w:rPr>
              <w:t>6.3 Research Objective Two</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53</w:t>
            </w:r>
            <w:r w:rsidRPr="00E546C7">
              <w:rPr>
                <w:rFonts w:ascii="Times New Roman" w:hAnsi="Times New Roman" w:cs="Times New Roman"/>
                <w:noProof/>
                <w:webHidden/>
              </w:rPr>
              <w:fldChar w:fldCharType="end"/>
            </w:r>
          </w:hyperlink>
        </w:p>
        <w:p w14:paraId="449D5209" w14:textId="7703B723"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6" w:history="1">
            <w:r w:rsidRPr="00E546C7">
              <w:rPr>
                <w:rStyle w:val="Hyperlink"/>
                <w:rFonts w:ascii="Times New Roman" w:hAnsi="Times New Roman" w:cs="Times New Roman"/>
                <w:noProof/>
              </w:rPr>
              <w:t>6.4 Research Objective Three</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_Toc239819736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54</w:t>
            </w:r>
            <w:r w:rsidRPr="00E546C7">
              <w:rPr>
                <w:rFonts w:ascii="Times New Roman" w:hAnsi="Times New Roman" w:cs="Times New Roman"/>
                <w:noProof/>
                <w:webHidden/>
              </w:rPr>
              <w:fldChar w:fldCharType="end"/>
            </w:r>
          </w:hyperlink>
        </w:p>
        <w:p w14:paraId="6260FD55" w14:textId="05EE1188"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7" w:history="1">
            <w:r w:rsidRPr="00E546C7">
              <w:rPr>
                <w:rStyle w:val="Hyperlink"/>
                <w:rFonts w:ascii="Times New Roman" w:hAnsi="Times New Roman" w:cs="Times New Roman"/>
                <w:noProof/>
              </w:rPr>
              <w:t>6.5 Limitations and How They Were Addressed</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_Toc239819737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54</w:t>
            </w:r>
            <w:r w:rsidRPr="00E546C7">
              <w:rPr>
                <w:rFonts w:ascii="Times New Roman" w:hAnsi="Times New Roman" w:cs="Times New Roman"/>
                <w:noProof/>
                <w:webHidden/>
              </w:rPr>
              <w:fldChar w:fldCharType="end"/>
            </w:r>
          </w:hyperlink>
        </w:p>
        <w:p w14:paraId="3DE38C75" w14:textId="372E79B4"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8" w:history="1">
            <w:r w:rsidRPr="00E546C7">
              <w:rPr>
                <w:rStyle w:val="Hyperlink"/>
                <w:rFonts w:ascii="Times New Roman" w:hAnsi="Times New Roman" w:cs="Times New Roman"/>
                <w:noProof/>
              </w:rPr>
              <w:t>6.6 Further Research</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_Toc239819738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55</w:t>
            </w:r>
            <w:r w:rsidRPr="00E546C7">
              <w:rPr>
                <w:rFonts w:ascii="Times New Roman" w:hAnsi="Times New Roman" w:cs="Times New Roman"/>
                <w:noProof/>
                <w:webHidden/>
              </w:rPr>
              <w:fldChar w:fldCharType="end"/>
            </w:r>
          </w:hyperlink>
        </w:p>
        <w:p w14:paraId="5D903187" w14:textId="358CC8EA"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39" w:history="1">
            <w:r w:rsidRPr="00E546C7">
              <w:rPr>
                <w:rStyle w:val="Hyperlink"/>
                <w:rFonts w:ascii="Times New Roman" w:hAnsi="Times New Roman" w:cs="Times New Roman"/>
                <w:noProof/>
              </w:rPr>
              <w:t>6.7 Recommendations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_Toc239819739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55</w:t>
            </w:r>
            <w:r w:rsidRPr="00E546C7">
              <w:rPr>
                <w:rFonts w:ascii="Times New Roman" w:hAnsi="Times New Roman" w:cs="Times New Roman"/>
                <w:noProof/>
                <w:webHidden/>
              </w:rPr>
              <w:fldChar w:fldCharType="end"/>
            </w:r>
          </w:hyperlink>
        </w:p>
        <w:p w14:paraId="7FC8FDC0" w14:textId="19280ADF" w:rsidR="00A00FAA" w:rsidRPr="00E546C7" w:rsidRDefault="00A00FAA">
          <w:pPr>
            <w:pStyle w:val="TOC2"/>
            <w:tabs>
              <w:tab w:val="right" w:leader="dot" w:pos="9010"/>
            </w:tabs>
            <w:rPr>
              <w:rFonts w:ascii="Times New Roman" w:eastAsiaTheme="minorEastAsia" w:hAnsi="Times New Roman" w:cs="Times New Roman"/>
              <w:b w:val="0"/>
              <w:bCs w:val="0"/>
              <w:noProof/>
              <w:sz w:val="24"/>
              <w:szCs w:val="30"/>
              <w:lang w:bidi="bn-IN"/>
            </w:rPr>
          </w:pPr>
          <w:hyperlink w:anchor="_Toc239819740" w:history="1">
            <w:r w:rsidRPr="00E546C7">
              <w:rPr>
                <w:rStyle w:val="Hyperlink"/>
                <w:rFonts w:ascii="Times New Roman" w:hAnsi="Times New Roman" w:cs="Times New Roman"/>
                <w:noProof/>
              </w:rPr>
              <w:t>6.8 Value and Contribution of the Study</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_Toc239819740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56</w:t>
            </w:r>
            <w:r w:rsidRPr="00E546C7">
              <w:rPr>
                <w:rFonts w:ascii="Times New Roman" w:hAnsi="Times New Roman" w:cs="Times New Roman"/>
                <w:noProof/>
                <w:webHidden/>
              </w:rPr>
              <w:fldChar w:fldCharType="end"/>
            </w:r>
          </w:hyperlink>
        </w:p>
        <w:p w14:paraId="5CBBBCAA" w14:textId="5D18D18B"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41" w:history="1">
            <w:r w:rsidRPr="00E546C7">
              <w:rPr>
                <w:rStyle w:val="Hyperlink"/>
                <w:rFonts w:ascii="Times New Roman" w:hAnsi="Times New Roman" w:cs="Times New Roman"/>
                <w:noProof/>
              </w:rPr>
              <w:t>References: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_Toc239819741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57</w:t>
            </w:r>
            <w:r w:rsidRPr="00E546C7">
              <w:rPr>
                <w:rFonts w:ascii="Times New Roman" w:hAnsi="Times New Roman" w:cs="Times New Roman"/>
                <w:noProof/>
                <w:webHidden/>
              </w:rPr>
              <w:fldChar w:fldCharType="end"/>
            </w:r>
          </w:hyperlink>
        </w:p>
        <w:p w14:paraId="2941A0A6" w14:textId="091493F2"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42" w:history="1">
            <w:r w:rsidRPr="00E546C7">
              <w:rPr>
                <w:rStyle w:val="Hyperlink"/>
                <w:rFonts w:ascii="Times New Roman" w:hAnsi="Times New Roman" w:cs="Times New Roman"/>
                <w:noProof/>
              </w:rPr>
              <w:t>Appendix A: Survey Instrument and Analytical Alignment</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_Toc239819742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64</w:t>
            </w:r>
            <w:r w:rsidRPr="00E546C7">
              <w:rPr>
                <w:rFonts w:ascii="Times New Roman" w:hAnsi="Times New Roman" w:cs="Times New Roman"/>
                <w:noProof/>
                <w:webHidden/>
              </w:rPr>
              <w:fldChar w:fldCharType="end"/>
            </w:r>
          </w:hyperlink>
        </w:p>
        <w:p w14:paraId="55BCC071" w14:textId="6C7DE511"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43" w:history="1">
            <w:r w:rsidRPr="00E546C7">
              <w:rPr>
                <w:rStyle w:val="Hyperlink"/>
                <w:rFonts w:ascii="Times New Roman" w:hAnsi="Times New Roman" w:cs="Times New Roman"/>
                <w:noProof/>
              </w:rPr>
              <w:t>Appendix B: Complete Question-Level Frequency Tables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_Toc239819743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65</w:t>
            </w:r>
            <w:r w:rsidRPr="00E546C7">
              <w:rPr>
                <w:rFonts w:ascii="Times New Roman" w:hAnsi="Times New Roman" w:cs="Times New Roman"/>
                <w:noProof/>
                <w:webHidden/>
              </w:rPr>
              <w:fldChar w:fldCharType="end"/>
            </w:r>
          </w:hyperlink>
        </w:p>
        <w:p w14:paraId="452F9B79" w14:textId="7DC503D8"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44" w:history="1">
            <w:r w:rsidRPr="00E546C7">
              <w:rPr>
                <w:rStyle w:val="Hyperlink"/>
                <w:rFonts w:ascii="Times New Roman" w:hAnsi="Times New Roman" w:cs="Times New Roman"/>
                <w:noProof/>
              </w:rPr>
              <w:t>Appendix C: Coding and Construct Construction</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_Toc239819744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69</w:t>
            </w:r>
            <w:r w:rsidRPr="00E546C7">
              <w:rPr>
                <w:rFonts w:ascii="Times New Roman" w:hAnsi="Times New Roman" w:cs="Times New Roman"/>
                <w:noProof/>
                <w:webHidden/>
              </w:rPr>
              <w:fldChar w:fldCharType="end"/>
            </w:r>
          </w:hyperlink>
        </w:p>
        <w:p w14:paraId="4E6C446D" w14:textId="56559BE3" w:rsidR="00A00FAA" w:rsidRPr="00E546C7" w:rsidRDefault="00A00FAA">
          <w:pPr>
            <w:pStyle w:val="TOC1"/>
            <w:tabs>
              <w:tab w:val="right" w:leader="dot" w:pos="9010"/>
            </w:tabs>
            <w:rPr>
              <w:rFonts w:ascii="Times New Roman" w:eastAsiaTheme="minorEastAsia" w:hAnsi="Times New Roman" w:cs="Times New Roman"/>
              <w:b w:val="0"/>
              <w:bCs w:val="0"/>
              <w:i w:val="0"/>
              <w:iCs w:val="0"/>
              <w:noProof/>
              <w:szCs w:val="30"/>
              <w:lang w:bidi="bn-IN"/>
            </w:rPr>
          </w:pPr>
          <w:hyperlink w:anchor="_Toc239819745" w:history="1">
            <w:r w:rsidRPr="00E546C7">
              <w:rPr>
                <w:rStyle w:val="Hyperlink"/>
                <w:rFonts w:ascii="Times New Roman" w:hAnsi="Times New Roman" w:cs="Times New Roman"/>
                <w:noProof/>
              </w:rPr>
              <w:t>Appendix D: Detailed Statistical Output and Decision Rules</w:t>
            </w:r>
            <w:r w:rsidRPr="00E546C7">
              <w:rPr>
                <w:rFonts w:ascii="Times New Roman" w:hAnsi="Times New Roman" w:cs="Times New Roman"/>
                <w:noProof/>
                <w:webHidden/>
              </w:rPr>
              <w:tab/>
            </w:r>
            <w:r w:rsidRPr="00E546C7">
              <w:rPr>
                <w:rFonts w:ascii="Times New Roman" w:hAnsi="Times New Roman" w:cs="Times New Roman"/>
                <w:noProof/>
                <w:webHidden/>
              </w:rPr>
              <w:fldChar w:fldCharType="begin"/>
            </w:r>
            <w:r w:rsidRPr="00E546C7">
              <w:rPr>
                <w:rFonts w:ascii="Times New Roman" w:hAnsi="Times New Roman" w:cs="Times New Roman"/>
                <w:noProof/>
                <w:webHidden/>
              </w:rPr>
              <w:instrText xml:space="preserve"> PAGEREF _Toc239819745 \h </w:instrText>
            </w:r>
            <w:r w:rsidRPr="00E546C7">
              <w:rPr>
                <w:rFonts w:ascii="Times New Roman" w:hAnsi="Times New Roman" w:cs="Times New Roman"/>
                <w:noProof/>
                <w:webHidden/>
              </w:rPr>
            </w:r>
            <w:r w:rsidRPr="00E546C7">
              <w:rPr>
                <w:rFonts w:ascii="Times New Roman" w:hAnsi="Times New Roman" w:cs="Times New Roman"/>
                <w:noProof/>
                <w:webHidden/>
              </w:rPr>
              <w:fldChar w:fldCharType="separate"/>
            </w:r>
            <w:r w:rsidRPr="00E546C7">
              <w:rPr>
                <w:rFonts w:ascii="Times New Roman" w:hAnsi="Times New Roman" w:cs="Times New Roman"/>
                <w:noProof/>
                <w:webHidden/>
              </w:rPr>
              <w:t>70</w:t>
            </w:r>
            <w:r w:rsidRPr="00E546C7">
              <w:rPr>
                <w:rFonts w:ascii="Times New Roman" w:hAnsi="Times New Roman" w:cs="Times New Roman"/>
                <w:noProof/>
                <w:webHidden/>
              </w:rPr>
              <w:fldChar w:fldCharType="end"/>
            </w:r>
          </w:hyperlink>
        </w:p>
        <w:p w14:paraId="6A9A7F64" w14:textId="2A89F0C7" w:rsidR="00F407EA" w:rsidRPr="00E546C7" w:rsidRDefault="00F407EA" w:rsidP="00C3200B">
          <w:pPr>
            <w:rPr>
              <w:szCs w:val="24"/>
            </w:rPr>
          </w:pPr>
          <w:r w:rsidRPr="00E546C7">
            <w:rPr>
              <w:noProof/>
              <w:szCs w:val="24"/>
            </w:rPr>
            <w:fldChar w:fldCharType="end"/>
          </w:r>
        </w:p>
      </w:sdtContent>
    </w:sdt>
    <w:p w14:paraId="10E0E4E2" w14:textId="71E9785A" w:rsidR="004109ED" w:rsidRPr="00E546C7" w:rsidRDefault="001B5EDB" w:rsidP="004109ED">
      <w:pPr>
        <w:pStyle w:val="Heading1"/>
        <w:rPr>
          <w:rFonts w:cs="Times New Roman"/>
        </w:rPr>
      </w:pPr>
      <w:r w:rsidRPr="00E546C7">
        <w:rPr>
          <w:rFonts w:cs="Times New Roman"/>
        </w:rPr>
        <w:br w:type="page"/>
      </w:r>
      <w:bookmarkStart w:id="2" w:name="_Toc239819657"/>
      <w:r w:rsidR="004109ED" w:rsidRPr="00E546C7">
        <w:rPr>
          <w:rFonts w:cs="Times New Roman"/>
        </w:rPr>
        <w:t>Chapter 1</w:t>
      </w:r>
      <w:r w:rsidR="004109ED" w:rsidRPr="00E546C7">
        <w:rPr>
          <w:rFonts w:cs="Times New Roman"/>
          <w:lang w:val="en-US"/>
        </w:rPr>
        <w:t>:</w:t>
      </w:r>
      <w:r w:rsidR="004109ED" w:rsidRPr="00E546C7">
        <w:rPr>
          <w:rFonts w:cs="Times New Roman"/>
        </w:rPr>
        <w:t xml:space="preserve"> Introduction</w:t>
      </w:r>
      <w:bookmarkEnd w:id="2"/>
    </w:p>
    <w:p w14:paraId="1EB97610" w14:textId="77777777" w:rsidR="004109ED" w:rsidRPr="00E546C7" w:rsidRDefault="004109ED" w:rsidP="001C5ADB">
      <w:pPr>
        <w:pStyle w:val="Heading2"/>
        <w:rPr>
          <w:rFonts w:cs="Times New Roman"/>
        </w:rPr>
      </w:pPr>
      <w:bookmarkStart w:id="3" w:name="_Toc239819658"/>
      <w:r w:rsidRPr="00E546C7">
        <w:rPr>
          <w:rFonts w:cs="Times New Roman"/>
        </w:rPr>
        <w:t>1.1 Background of the Study</w:t>
      </w:r>
      <w:bookmarkEnd w:id="3"/>
    </w:p>
    <w:p w14:paraId="4BF313FC" w14:textId="7EE4CBAD" w:rsidR="004109ED" w:rsidRPr="00E546C7" w:rsidRDefault="004109ED" w:rsidP="004109ED">
      <w:r w:rsidRPr="00E546C7">
        <w:t>Consumers interact with an organisation on a variety of channels, from web to print</w:t>
      </w:r>
      <w:r w:rsidRPr="00E546C7">
        <w:rPr>
          <w:lang w:val="en-US"/>
        </w:rPr>
        <w:t>. IMC</w:t>
      </w:r>
      <w:r w:rsidRPr="00E546C7">
        <w:t xml:space="preserve"> is crucial to brand management. While advertising, social media, sponsorship, influencer content, PR, sales promotion, email and retail presentation create a longer reach, there needs to be a consistent message, or the sum of the parts will be less. Hence</w:t>
      </w:r>
      <w:r w:rsidRPr="00E546C7">
        <w:rPr>
          <w:lang w:val="en-US"/>
        </w:rPr>
        <w:t>,</w:t>
      </w:r>
      <w:r w:rsidRPr="00E546C7">
        <w:t xml:space="preserve"> Joo, Koo and Nichols (2021) define IMC as a process that is driven by the audience and coordinates the stakeholders, content, channels and measurable outcome</w:t>
      </w:r>
      <w:r w:rsidRPr="00E546C7">
        <w:rPr>
          <w:lang w:val="en-US"/>
        </w:rPr>
        <w:t>s</w:t>
      </w:r>
      <w:r w:rsidRPr="00E546C7">
        <w:t xml:space="preserve">. This view is significant because communication </w:t>
      </w:r>
      <w:r w:rsidRPr="00E546C7">
        <w:rPr>
          <w:lang w:val="en-US"/>
        </w:rPr>
        <w:t xml:space="preserve">alone </w:t>
      </w:r>
      <w:r w:rsidRPr="00E546C7">
        <w:t>is not enough to achieve integration. A brand can have countless platforms and still be sending mixed messages, tones and values. Sportswear is an example of how difficult this challenge is (</w:t>
      </w:r>
      <w:proofErr w:type="spellStart"/>
      <w:r w:rsidRPr="00E546C7">
        <w:t>Butkouskaya</w:t>
      </w:r>
      <w:proofErr w:type="spellEnd"/>
      <w:r w:rsidRPr="00E546C7">
        <w:t xml:space="preserve">, </w:t>
      </w:r>
      <w:proofErr w:type="spellStart"/>
      <w:r w:rsidRPr="00E546C7">
        <w:t>Llonch</w:t>
      </w:r>
      <w:proofErr w:type="spellEnd"/>
      <w:r w:rsidRPr="00E546C7">
        <w:t xml:space="preserve">-Andreu and </w:t>
      </w:r>
      <w:proofErr w:type="spellStart"/>
      <w:r w:rsidRPr="00E546C7">
        <w:t>Alarcón</w:t>
      </w:r>
      <w:proofErr w:type="spellEnd"/>
      <w:r w:rsidRPr="00E546C7">
        <w:t>-del-</w:t>
      </w:r>
      <w:proofErr w:type="spellStart"/>
      <w:r w:rsidRPr="00E546C7">
        <w:t>Amo</w:t>
      </w:r>
      <w:proofErr w:type="spellEnd"/>
      <w:r w:rsidRPr="00E546C7">
        <w:t>, 2021). As well as being based on how the sportswear brands design, price, and perform, the competition is also awarding lifestyle meanings, cultural associations, athlete partnerships, the use of sustainability or the development of online communities. It is important to note that, nowhere near as much as exposure, the elements of credibility, relevance, consistency and interactivity, combined with exposure, can impact consumer responses (Lee, 2021). That is the reason it is a good fit for Adidas, since it's a mix of advertising and football sponsorship, product launches and sustainability messages, mannequins and retail environments and artist collaborations. Its communications need to be international but have a local significance. This results in the strategic tension of achieving global consistency to reinforce recognition and achieving cultural relevance to avoid being “too globalised” at the same time, and parts or pieces of the brand communication strategy can be lost along the way (Kim and Oh, 2020).</w:t>
      </w:r>
    </w:p>
    <w:p w14:paraId="47529206" w14:textId="77777777" w:rsidR="004109ED" w:rsidRPr="00E546C7" w:rsidRDefault="004109ED" w:rsidP="004109ED">
      <w:r w:rsidRPr="00E546C7">
        <w:t>The study will focus on UK consumers, because the sportswear market is highly competitive and is digitally developed in the UK. Adidas is making its mark in the world amongst other brands such as Nike, Puma, etc, and other national and international brands as well, whose messages are displayed on the same media outlets. They are thus bombarded by duplicate campaigns, endorsements, reviews and promotions (Momen, Sultana and Haque, 2020). Effective communication cannot be taken for granted in such an environment, based merely on the amount of campaign reach or the activity that a company is involved in. However, perception of the communication – and whether this perception is favourable or not – and consequently whether intentions to purchase and consumer loyalty ensue are important.</w:t>
      </w:r>
    </w:p>
    <w:p w14:paraId="45B8C419" w14:textId="77777777" w:rsidR="004109ED" w:rsidRPr="00E546C7" w:rsidRDefault="004109ED" w:rsidP="004109ED"/>
    <w:p w14:paraId="5C47DDB4" w14:textId="77777777" w:rsidR="004109ED" w:rsidRPr="00E546C7" w:rsidRDefault="004109ED" w:rsidP="001C5ADB">
      <w:pPr>
        <w:pStyle w:val="Heading2"/>
        <w:rPr>
          <w:rFonts w:cs="Times New Roman"/>
        </w:rPr>
      </w:pPr>
      <w:bookmarkStart w:id="4" w:name="_Toc239819659"/>
      <w:r w:rsidRPr="00E546C7">
        <w:rPr>
          <w:rFonts w:cs="Times New Roman"/>
        </w:rPr>
        <w:t>1.2 Problem Statement</w:t>
      </w:r>
      <w:bookmarkEnd w:id="4"/>
    </w:p>
    <w:p w14:paraId="4C112E70" w14:textId="77777777" w:rsidR="004109ED" w:rsidRPr="00E546C7" w:rsidRDefault="004109ED" w:rsidP="004109ED">
      <w:r w:rsidRPr="00E546C7">
        <w:t xml:space="preserve">The concern is that although Adidas have adopted a variety of communication devices, they do not have enough evidence to show whether UK Consumers see any of these as being consistent, credible, relevant and interactive (Pimentel, Gomes and </w:t>
      </w:r>
      <w:proofErr w:type="spellStart"/>
      <w:r w:rsidRPr="00E546C7">
        <w:t>Didonet</w:t>
      </w:r>
      <w:proofErr w:type="spellEnd"/>
      <w:r w:rsidRPr="00E546C7">
        <w:t>, 2023). Many studies have dealt with one specific tool like social media, sponsorship, advertising or celebrity endorsement on its own. This fragmentation hinders the recognition of Adidas’ communication on an integrated level by consumers. Additionally, it does not consider the potential that one channel might amplify, contest or weaken another. Communication noise further complicates the issue (</w:t>
      </w:r>
      <w:proofErr w:type="spellStart"/>
      <w:r w:rsidRPr="00E546C7">
        <w:t>Šerić</w:t>
      </w:r>
      <w:proofErr w:type="spellEnd"/>
      <w:r w:rsidRPr="00E546C7">
        <w:t xml:space="preserve">, </w:t>
      </w:r>
      <w:proofErr w:type="spellStart"/>
      <w:r w:rsidRPr="00E546C7">
        <w:t>Ozretić-Došen</w:t>
      </w:r>
      <w:proofErr w:type="spellEnd"/>
      <w:r w:rsidRPr="00E546C7">
        <w:t xml:space="preserve"> and </w:t>
      </w:r>
      <w:proofErr w:type="spellStart"/>
      <w:r w:rsidRPr="00E546C7">
        <w:t>Škare</w:t>
      </w:r>
      <w:proofErr w:type="spellEnd"/>
      <w:r w:rsidRPr="00E546C7">
        <w:t>, 2020). However, it may be the case that competitor advertising, negative internet reviews, information overload, cultural differences, controversial endorsers and scepticism towards sustainability claims may limit Adidas from reaching its intended message. The Shannon-Weaver model suggests that distortion may occur between the sender and receiver. However, consumer behaviour studies need to include what happens after interpretation. A message might be successfully received without the creation of a favourable attitude and/or purchase intentions and/or loyalty (Rehman, Gulzar and Aslam, 2022). Thus, exposure is not to be regarded as effectiveness.</w:t>
      </w:r>
    </w:p>
    <w:p w14:paraId="14F6C9A2" w14:textId="5F96698E" w:rsidR="004109ED" w:rsidRPr="00E546C7" w:rsidRDefault="004109ED" w:rsidP="004109ED">
      <w:r w:rsidRPr="00E546C7">
        <w:t xml:space="preserve">There is a dimension of measurement in the problem, as well. Adidas can measure the results of the campaign based on reach, engagement, or sales figures, but such metrics don't necessarily indicate consumers' assessments about integration of the experience across the touch points (Zhou, </w:t>
      </w:r>
      <w:proofErr w:type="spellStart"/>
      <w:r w:rsidRPr="00E546C7">
        <w:t>Aisihaer</w:t>
      </w:r>
      <w:proofErr w:type="spellEnd"/>
      <w:r w:rsidRPr="00E546C7">
        <w:t>, Wu and Zhang, 2026). Labelling can give some attention and acceptance and dilute credibility, and it can be that short-term purchase intent doesn't always lead to long-term loyalty. Consumer perceptions are the missing link that the present study will put to the test by measuring the perceptions of the consumers directly and also examining them in relation to attitude, purchase intention and brand loyalty.</w:t>
      </w:r>
    </w:p>
    <w:p w14:paraId="5AA20206" w14:textId="77777777" w:rsidR="004109ED" w:rsidRPr="00E546C7" w:rsidRDefault="004109ED" w:rsidP="001C5ADB">
      <w:pPr>
        <w:pStyle w:val="Heading2"/>
        <w:rPr>
          <w:rFonts w:cs="Times New Roman"/>
        </w:rPr>
      </w:pPr>
      <w:bookmarkStart w:id="5" w:name="_Toc239819660"/>
      <w:r w:rsidRPr="00E546C7">
        <w:rPr>
          <w:rFonts w:cs="Times New Roman"/>
        </w:rPr>
        <w:t>1.3 Rationale of the Study</w:t>
      </w:r>
      <w:bookmarkEnd w:id="5"/>
    </w:p>
    <w:p w14:paraId="14348689" w14:textId="787CC0F0" w:rsidR="004109ED" w:rsidRPr="00E546C7" w:rsidRDefault="004109ED" w:rsidP="001C5ADB">
      <w:r w:rsidRPr="00E546C7">
        <w:t>The study has a very practical significance as the brand Adidas needs to know about the consumer's reaction to the way it is coordinated when communicating with them – and not only in the individual promotional activities</w:t>
      </w:r>
      <w:r w:rsidR="001C5ADB" w:rsidRPr="00E546C7">
        <w:t xml:space="preserve"> (Mills, </w:t>
      </w:r>
      <w:proofErr w:type="spellStart"/>
      <w:r w:rsidR="001C5ADB" w:rsidRPr="00E546C7">
        <w:t>Oghazi</w:t>
      </w:r>
      <w:proofErr w:type="spellEnd"/>
      <w:r w:rsidR="001C5ADB" w:rsidRPr="00E546C7">
        <w:t xml:space="preserve">, </w:t>
      </w:r>
      <w:proofErr w:type="spellStart"/>
      <w:r w:rsidR="001C5ADB" w:rsidRPr="00E546C7">
        <w:t>Hultman</w:t>
      </w:r>
      <w:proofErr w:type="spellEnd"/>
      <w:r w:rsidR="001C5ADB" w:rsidRPr="00E546C7">
        <w:t xml:space="preserve"> and </w:t>
      </w:r>
      <w:proofErr w:type="spellStart"/>
      <w:r w:rsidR="001C5ADB" w:rsidRPr="00E546C7">
        <w:t>Theotokis</w:t>
      </w:r>
      <w:proofErr w:type="spellEnd"/>
      <w:r w:rsidR="001C5ADB" w:rsidRPr="00E546C7">
        <w:t>, 2022)</w:t>
      </w:r>
      <w:r w:rsidRPr="00E546C7">
        <w:t xml:space="preserve">. Building positive (or negative) perceptions of consistency, credibility, relevance and interactivity could be a clue as to how to improve channel coordination, message design and give the brand more communication (McLean, </w:t>
      </w:r>
      <w:proofErr w:type="spellStart"/>
      <w:r w:rsidRPr="00E546C7">
        <w:t>Osei-Frimpong</w:t>
      </w:r>
      <w:proofErr w:type="spellEnd"/>
      <w:r w:rsidRPr="00E546C7">
        <w:t>, Al-</w:t>
      </w:r>
      <w:proofErr w:type="spellStart"/>
      <w:r w:rsidRPr="00E546C7">
        <w:t>Nabhani</w:t>
      </w:r>
      <w:proofErr w:type="spellEnd"/>
      <w:r w:rsidRPr="00E546C7">
        <w:t xml:space="preserve"> and Marriott, 2020). It should not be assumed that each dimension of the IMC has the same value. For instance, repeating something repeatedly just seems like a redundant exercise, but repeating it with sound relationships can help reinforce recognition. Interactivity can entice participation but will not foster trust where the message being conveyed is not credible. The study is also academically valuable (Kunkel and </w:t>
      </w:r>
      <w:proofErr w:type="spellStart"/>
      <w:r w:rsidRPr="00E546C7">
        <w:t>Biscaia</w:t>
      </w:r>
      <w:proofErr w:type="spellEnd"/>
      <w:r w:rsidRPr="00E546C7">
        <w:t>, 2020). Past research has related communication consistency and interactivity to customer–brand outcomes, but less work has been conducted in the sportswear area specifically</w:t>
      </w:r>
      <w:r w:rsidR="00F64BCD" w:rsidRPr="00E546C7">
        <w:t xml:space="preserve"> </w:t>
      </w:r>
      <w:r w:rsidR="00F64BCD" w:rsidRPr="00E546C7">
        <w:rPr>
          <w:color w:val="000000"/>
        </w:rPr>
        <w:t xml:space="preserve">(Tata, </w:t>
      </w:r>
      <w:proofErr w:type="spellStart"/>
      <w:r w:rsidR="00F64BCD" w:rsidRPr="00E546C7">
        <w:rPr>
          <w:color w:val="000000"/>
        </w:rPr>
        <w:t>Prashar</w:t>
      </w:r>
      <w:proofErr w:type="spellEnd"/>
      <w:r w:rsidR="00F64BCD" w:rsidRPr="00E546C7">
        <w:rPr>
          <w:color w:val="000000"/>
        </w:rPr>
        <w:t xml:space="preserve"> and </w:t>
      </w:r>
      <w:proofErr w:type="spellStart"/>
      <w:r w:rsidR="00F64BCD" w:rsidRPr="00E546C7">
        <w:rPr>
          <w:color w:val="000000"/>
        </w:rPr>
        <w:t>Parsad</w:t>
      </w:r>
      <w:proofErr w:type="spellEnd"/>
      <w:r w:rsidR="00F64BCD" w:rsidRPr="00E546C7">
        <w:rPr>
          <w:color w:val="000000"/>
        </w:rPr>
        <w:t>, 2021)</w:t>
      </w:r>
      <w:r w:rsidRPr="00E546C7">
        <w:t>. However, many studies focus on single promotion tools or overall organisational performance, and it is still unclear what the relationship is between a consumer’s view of an integrated communication system and both their attitude towards it, purchase intention towards it, as well as loyalty towards the system (</w:t>
      </w:r>
      <w:proofErr w:type="spellStart"/>
      <w:r w:rsidRPr="00E546C7">
        <w:t>Koronios</w:t>
      </w:r>
      <w:proofErr w:type="spellEnd"/>
      <w:r w:rsidRPr="00E546C7">
        <w:t xml:space="preserve">, </w:t>
      </w:r>
      <w:proofErr w:type="spellStart"/>
      <w:r w:rsidRPr="00E546C7">
        <w:t>Ntasis</w:t>
      </w:r>
      <w:proofErr w:type="spellEnd"/>
      <w:r w:rsidRPr="00E546C7">
        <w:t xml:space="preserve">, </w:t>
      </w:r>
      <w:proofErr w:type="spellStart"/>
      <w:r w:rsidRPr="00E546C7">
        <w:t>Dimitropoulos</w:t>
      </w:r>
      <w:proofErr w:type="spellEnd"/>
      <w:r w:rsidRPr="00E546C7">
        <w:t xml:space="preserve"> and </w:t>
      </w:r>
      <w:proofErr w:type="spellStart"/>
      <w:r w:rsidRPr="00E546C7">
        <w:t>Ratten</w:t>
      </w:r>
      <w:proofErr w:type="spellEnd"/>
      <w:r w:rsidRPr="00E546C7">
        <w:t>, 2022). This will help to understand the relationship between favourable IMC perceptions and consumer responses as well as longer-term relationship outcomes.</w:t>
      </w:r>
    </w:p>
    <w:p w14:paraId="03C81F8B" w14:textId="2817FE6F" w:rsidR="004109ED" w:rsidRPr="00E546C7" w:rsidRDefault="004109ED" w:rsidP="004109ED">
      <w:r w:rsidRPr="00E546C7">
        <w:t>The research will add primary quantitative evidence from UK consumers in terms of the methodological approach. The structured survey will enable both measures of the hypothesised relationships, rather than reliance on company reports or campaign descriptions. However, the study will be mindful of causality, as a cross-sectional convenience sample will show associations but not cause and effect of IMC alone (Lin, Xu and Tao, 2020). Responses may be influenced by price, product quality, product availability, previous experience or peer offers, and competitor offers.</w:t>
      </w:r>
    </w:p>
    <w:p w14:paraId="0FE0FBA9" w14:textId="7C8BBE51" w:rsidR="006F6F83" w:rsidRPr="00E546C7" w:rsidRDefault="006F6F83" w:rsidP="001C5ADB">
      <w:pPr>
        <w:pStyle w:val="Heading2"/>
        <w:rPr>
          <w:rFonts w:cs="Times New Roman"/>
        </w:rPr>
      </w:pPr>
      <w:bookmarkStart w:id="6" w:name="_Toc239819661"/>
      <w:r w:rsidRPr="00E546C7">
        <w:rPr>
          <w:rFonts w:cs="Times New Roman"/>
        </w:rPr>
        <w:t>1.4 Scope and Significance</w:t>
      </w:r>
      <w:bookmarkEnd w:id="6"/>
    </w:p>
    <w:p w14:paraId="5CAA174F" w14:textId="18111A0C" w:rsidR="006F6F83" w:rsidRPr="00E546C7" w:rsidRDefault="006F6F83" w:rsidP="004109ED">
      <w:r w:rsidRPr="00E546C7">
        <w:t>The study will focus on the population of the United Kingdom age</w:t>
      </w:r>
      <w:r w:rsidRPr="00E546C7">
        <w:rPr>
          <w:lang w:val="en-US"/>
        </w:rPr>
        <w:t>d</w:t>
      </w:r>
      <w:r w:rsidRPr="00E546C7">
        <w:t xml:space="preserve"> eighteen and over, also having some knowledge of Adidas and either viewed</w:t>
      </w:r>
      <w:r w:rsidRPr="00E546C7">
        <w:rPr>
          <w:lang w:val="en-US"/>
        </w:rPr>
        <w:t>,</w:t>
      </w:r>
      <w:r w:rsidRPr="00E546C7">
        <w:t xml:space="preserve"> considered or bought a product from the firm. It will be looking at the perceived aspects of communication consistency, credibility, relevance and interactivity and not at every campaign or at a direct comparison with Adidas' competitors (</w:t>
      </w:r>
      <w:proofErr w:type="spellStart"/>
      <w:r w:rsidRPr="00E546C7">
        <w:t>Butkouskaya</w:t>
      </w:r>
      <w:proofErr w:type="spellEnd"/>
      <w:r w:rsidRPr="00E546C7">
        <w:t xml:space="preserve">, </w:t>
      </w:r>
      <w:proofErr w:type="spellStart"/>
      <w:r w:rsidRPr="00E546C7">
        <w:t>Llonch</w:t>
      </w:r>
      <w:proofErr w:type="spellEnd"/>
      <w:r w:rsidRPr="00E546C7">
        <w:t xml:space="preserve">-Andreu and </w:t>
      </w:r>
      <w:proofErr w:type="spellStart"/>
      <w:r w:rsidRPr="00E546C7">
        <w:t>Alarcón</w:t>
      </w:r>
      <w:proofErr w:type="spellEnd"/>
      <w:r w:rsidRPr="00E546C7">
        <w:t>-del-</w:t>
      </w:r>
      <w:proofErr w:type="spellStart"/>
      <w:r w:rsidRPr="00E546C7">
        <w:t>Amo</w:t>
      </w:r>
      <w:proofErr w:type="spellEnd"/>
      <w:r w:rsidRPr="00E546C7">
        <w:t>, 2024). The main outcomes will be attitude towards purchase and intention towards purchasing the brand. This defined scope will allow for alignment of the research aim with objectives, the questionnaire and the analysis</w:t>
      </w:r>
      <w:r w:rsidRPr="00E546C7">
        <w:rPr>
          <w:lang w:val="en-US"/>
        </w:rPr>
        <w:t>,</w:t>
      </w:r>
      <w:r w:rsidRPr="00E546C7">
        <w:t xml:space="preserve"> but also recognise the limited scope of the study due to the small, non-probability sample (</w:t>
      </w:r>
      <w:proofErr w:type="spellStart"/>
      <w:r w:rsidRPr="00E546C7">
        <w:t>Pourazad</w:t>
      </w:r>
      <w:proofErr w:type="spellEnd"/>
      <w:r w:rsidRPr="00E546C7">
        <w:t xml:space="preserve">, </w:t>
      </w:r>
      <w:proofErr w:type="spellStart"/>
      <w:r w:rsidRPr="00E546C7">
        <w:t>Stocchi</w:t>
      </w:r>
      <w:proofErr w:type="spellEnd"/>
      <w:r w:rsidRPr="00E546C7">
        <w:t xml:space="preserve"> and Pare, 2020). What makes the investigation important is that it untangles consumers' experience with communication from their perception of communication quality. This distinction avoids the reductionist assumption of the study that regularly occurring contact</w:t>
      </w:r>
      <w:r w:rsidRPr="00E546C7">
        <w:rPr>
          <w:lang w:val="en-US"/>
        </w:rPr>
        <w:t xml:space="preserve"> </w:t>
      </w:r>
      <w:r w:rsidRPr="00E546C7">
        <w:t>ingenuously</w:t>
      </w:r>
      <w:r w:rsidRPr="00E546C7">
        <w:rPr>
          <w:lang w:val="en-US"/>
        </w:rPr>
        <w:t xml:space="preserve"> is </w:t>
      </w:r>
      <w:r w:rsidRPr="00E546C7">
        <w:t>the only logical prerequisite necessary for persuasion. It also lays a foundation for the understanding of purchase intention and loyalty as two related but different outcomes. Purchase intention is a behavioural tendency that may happen in the future. On the other ha</w:t>
      </w:r>
      <w:r w:rsidRPr="00E546C7">
        <w:rPr>
          <w:lang w:val="en-US"/>
        </w:rPr>
        <w:t>n</w:t>
      </w:r>
      <w:r w:rsidRPr="00E546C7">
        <w:t>d, loyalty is a behavioural tendency that is "preference, recommendation, commitment to repurchasing (Trivedi, 2020). With both results, an analysis of IMC effectiveness will be balanced.</w:t>
      </w:r>
    </w:p>
    <w:p w14:paraId="2F6ED790" w14:textId="01F5EFE7" w:rsidR="004109ED" w:rsidRPr="00E546C7" w:rsidRDefault="004109ED" w:rsidP="001C5ADB">
      <w:pPr>
        <w:pStyle w:val="Heading2"/>
        <w:rPr>
          <w:rFonts w:cs="Times New Roman"/>
        </w:rPr>
      </w:pPr>
      <w:bookmarkStart w:id="7" w:name="_Toc239819662"/>
      <w:r w:rsidRPr="00E546C7">
        <w:rPr>
          <w:rFonts w:cs="Times New Roman"/>
        </w:rPr>
        <w:t>1.</w:t>
      </w:r>
      <w:r w:rsidR="006F6F83" w:rsidRPr="00E546C7">
        <w:rPr>
          <w:rFonts w:cs="Times New Roman"/>
        </w:rPr>
        <w:t>5</w:t>
      </w:r>
      <w:r w:rsidRPr="00E546C7">
        <w:rPr>
          <w:rFonts w:cs="Times New Roman"/>
        </w:rPr>
        <w:t xml:space="preserve"> Research Aim</w:t>
      </w:r>
      <w:bookmarkEnd w:id="7"/>
    </w:p>
    <w:p w14:paraId="4A506E67" w14:textId="77777777" w:rsidR="004109ED" w:rsidRPr="00E546C7" w:rsidRDefault="004109ED" w:rsidP="004109ED">
      <w:r w:rsidRPr="00E546C7">
        <w:t>This research aims to assess the relationship between consumers’ perceptions of Adidas’s integrated marketing communications and their attitude, purchase intention and brand loyalty among UK consumers.</w:t>
      </w:r>
    </w:p>
    <w:p w14:paraId="0AA83D03" w14:textId="6B546597" w:rsidR="004109ED" w:rsidRPr="00E546C7" w:rsidRDefault="004109ED" w:rsidP="001C5ADB">
      <w:pPr>
        <w:pStyle w:val="Heading2"/>
        <w:rPr>
          <w:rFonts w:cs="Times New Roman"/>
        </w:rPr>
      </w:pPr>
      <w:bookmarkStart w:id="8" w:name="_Toc239819663"/>
      <w:r w:rsidRPr="00E546C7">
        <w:rPr>
          <w:rFonts w:cs="Times New Roman"/>
        </w:rPr>
        <w:t>1.</w:t>
      </w:r>
      <w:r w:rsidR="006F6F83" w:rsidRPr="00E546C7">
        <w:rPr>
          <w:rFonts w:cs="Times New Roman"/>
        </w:rPr>
        <w:t>6</w:t>
      </w:r>
      <w:r w:rsidRPr="00E546C7">
        <w:rPr>
          <w:rFonts w:cs="Times New Roman"/>
        </w:rPr>
        <w:t xml:space="preserve"> Research Objectives</w:t>
      </w:r>
      <w:bookmarkEnd w:id="8"/>
    </w:p>
    <w:p w14:paraId="73395C86" w14:textId="77777777" w:rsidR="004109ED" w:rsidRPr="00E546C7" w:rsidRDefault="004109ED" w:rsidP="004109ED">
      <w:pPr>
        <w:pStyle w:val="ListParagraph"/>
        <w:numPr>
          <w:ilvl w:val="0"/>
          <w:numId w:val="30"/>
        </w:numPr>
        <w:rPr>
          <w:rFonts w:cs="Times New Roman"/>
        </w:rPr>
      </w:pPr>
      <w:r w:rsidRPr="00E546C7">
        <w:rPr>
          <w:rFonts w:cs="Times New Roman"/>
        </w:rPr>
        <w:t>To assess consumers’ perceptions of the consistency, credibility, relevance and interactivity of Adidas’s integrated marketing communications.</w:t>
      </w:r>
    </w:p>
    <w:p w14:paraId="7A9F88F9" w14:textId="77777777" w:rsidR="004109ED" w:rsidRPr="00E546C7" w:rsidRDefault="004109ED" w:rsidP="004109ED">
      <w:pPr>
        <w:pStyle w:val="ListParagraph"/>
        <w:numPr>
          <w:ilvl w:val="0"/>
          <w:numId w:val="30"/>
        </w:numPr>
        <w:rPr>
          <w:rFonts w:cs="Times New Roman"/>
        </w:rPr>
      </w:pPr>
      <w:r w:rsidRPr="00E546C7">
        <w:rPr>
          <w:rFonts w:cs="Times New Roman"/>
        </w:rPr>
        <w:t>To determine the relationship between consumers’ perceptions of Adidas’s integrated marketing communications and their attitude and purchase intention towards the brand.</w:t>
      </w:r>
    </w:p>
    <w:p w14:paraId="5556A1E1" w14:textId="77777777" w:rsidR="004109ED" w:rsidRPr="00E546C7" w:rsidRDefault="004109ED" w:rsidP="004109ED">
      <w:pPr>
        <w:pStyle w:val="ListParagraph"/>
        <w:numPr>
          <w:ilvl w:val="0"/>
          <w:numId w:val="30"/>
        </w:numPr>
        <w:rPr>
          <w:rFonts w:cs="Times New Roman"/>
        </w:rPr>
      </w:pPr>
      <w:r w:rsidRPr="00E546C7">
        <w:rPr>
          <w:rFonts w:cs="Times New Roman"/>
        </w:rPr>
        <w:t>To evaluate the relationship between consumers’ perceptions of Adidas’s integrated marketing communications and their brand loyalty.</w:t>
      </w:r>
    </w:p>
    <w:p w14:paraId="778D2474" w14:textId="2EF4840C" w:rsidR="004109ED" w:rsidRPr="00E546C7" w:rsidRDefault="004109ED" w:rsidP="001C5ADB">
      <w:pPr>
        <w:pStyle w:val="Heading2"/>
        <w:rPr>
          <w:rFonts w:cs="Times New Roman"/>
        </w:rPr>
      </w:pPr>
      <w:bookmarkStart w:id="9" w:name="_Toc239819664"/>
      <w:r w:rsidRPr="00E546C7">
        <w:rPr>
          <w:rFonts w:cs="Times New Roman"/>
        </w:rPr>
        <w:t>1.</w:t>
      </w:r>
      <w:r w:rsidR="006F6F83" w:rsidRPr="00E546C7">
        <w:rPr>
          <w:rFonts w:cs="Times New Roman"/>
        </w:rPr>
        <w:t>7</w:t>
      </w:r>
      <w:r w:rsidRPr="00E546C7">
        <w:rPr>
          <w:rFonts w:cs="Times New Roman"/>
        </w:rPr>
        <w:t xml:space="preserve"> Research Questions</w:t>
      </w:r>
      <w:bookmarkEnd w:id="9"/>
    </w:p>
    <w:p w14:paraId="7CBC6FAC" w14:textId="77777777" w:rsidR="004109ED" w:rsidRPr="00E546C7" w:rsidRDefault="004109ED" w:rsidP="004109ED">
      <w:pPr>
        <w:pStyle w:val="ListParagraph"/>
        <w:numPr>
          <w:ilvl w:val="0"/>
          <w:numId w:val="31"/>
        </w:numPr>
        <w:rPr>
          <w:rFonts w:cs="Times New Roman"/>
        </w:rPr>
      </w:pPr>
      <w:r w:rsidRPr="00E546C7">
        <w:rPr>
          <w:rFonts w:cs="Times New Roman"/>
        </w:rPr>
        <w:t>How do consumers perceive the consistency, credibility, relevance and interactivity of Adidas’s integrated marketing communications?</w:t>
      </w:r>
    </w:p>
    <w:p w14:paraId="64150B26" w14:textId="77777777" w:rsidR="004109ED" w:rsidRPr="00E546C7" w:rsidRDefault="004109ED" w:rsidP="004109ED">
      <w:pPr>
        <w:pStyle w:val="ListParagraph"/>
        <w:numPr>
          <w:ilvl w:val="0"/>
          <w:numId w:val="31"/>
        </w:numPr>
        <w:rPr>
          <w:rFonts w:cs="Times New Roman"/>
        </w:rPr>
      </w:pPr>
      <w:r w:rsidRPr="00E546C7">
        <w:rPr>
          <w:rFonts w:cs="Times New Roman"/>
        </w:rPr>
        <w:t>What relationship exists between consumers’ perceptions of Adidas’s integrated marketing communications and their attitude and purchase intention towards the brand?</w:t>
      </w:r>
    </w:p>
    <w:p w14:paraId="16599FC7" w14:textId="77777777" w:rsidR="004109ED" w:rsidRPr="00E546C7" w:rsidRDefault="004109ED" w:rsidP="004109ED">
      <w:pPr>
        <w:pStyle w:val="ListParagraph"/>
        <w:numPr>
          <w:ilvl w:val="0"/>
          <w:numId w:val="31"/>
        </w:numPr>
        <w:rPr>
          <w:rFonts w:cs="Times New Roman"/>
        </w:rPr>
      </w:pPr>
      <w:r w:rsidRPr="00E546C7">
        <w:rPr>
          <w:rFonts w:cs="Times New Roman"/>
        </w:rPr>
        <w:t>What relationship exists between consumers’ perceptions of Adidas’s integrated marketing communications and their brand loyalty?</w:t>
      </w:r>
    </w:p>
    <w:p w14:paraId="07534926" w14:textId="77777777" w:rsidR="004109ED" w:rsidRPr="00E546C7" w:rsidRDefault="004109ED" w:rsidP="004109ED"/>
    <w:p w14:paraId="2129DE98" w14:textId="7807EFE6" w:rsidR="004109ED" w:rsidRPr="00E546C7" w:rsidRDefault="004109ED" w:rsidP="001C5ADB">
      <w:pPr>
        <w:pStyle w:val="Heading2"/>
        <w:rPr>
          <w:rFonts w:cs="Times New Roman"/>
        </w:rPr>
      </w:pPr>
      <w:bookmarkStart w:id="10" w:name="_Toc239819665"/>
      <w:r w:rsidRPr="00E546C7">
        <w:rPr>
          <w:rFonts w:cs="Times New Roman"/>
        </w:rPr>
        <w:t>1.</w:t>
      </w:r>
      <w:r w:rsidR="006F6F83" w:rsidRPr="00E546C7">
        <w:rPr>
          <w:rFonts w:cs="Times New Roman"/>
        </w:rPr>
        <w:t>8</w:t>
      </w:r>
      <w:r w:rsidRPr="00E546C7">
        <w:rPr>
          <w:rFonts w:cs="Times New Roman"/>
        </w:rPr>
        <w:t xml:space="preserve"> Research Hypotheses</w:t>
      </w:r>
      <w:bookmarkEnd w:id="10"/>
    </w:p>
    <w:p w14:paraId="5E4D3200" w14:textId="77777777" w:rsidR="004109ED" w:rsidRPr="00E546C7" w:rsidRDefault="004109ED" w:rsidP="004109ED">
      <w:r w:rsidRPr="00E546C7">
        <w:rPr>
          <w:b/>
          <w:bCs/>
        </w:rPr>
        <w:t>H1:</w:t>
      </w:r>
      <w:r w:rsidRPr="00E546C7">
        <w:t xml:space="preserve"> Positive consumer perceptions of Adidas’s integrated marketing communications will be significantly associated with favourable consumer attitude and purchase intention.</w:t>
      </w:r>
    </w:p>
    <w:p w14:paraId="52842076" w14:textId="77777777" w:rsidR="004109ED" w:rsidRPr="00E546C7" w:rsidRDefault="004109ED" w:rsidP="004109ED">
      <w:r w:rsidRPr="00E546C7">
        <w:rPr>
          <w:b/>
          <w:bCs/>
        </w:rPr>
        <w:t>H2:</w:t>
      </w:r>
      <w:r w:rsidRPr="00E546C7">
        <w:t xml:space="preserve"> Positive consumer perceptions of Adidas’s integrated marketing communications will be significantly associated with stronger brand loyalty.</w:t>
      </w:r>
    </w:p>
    <w:p w14:paraId="0E08512F" w14:textId="77777777" w:rsidR="004109ED" w:rsidRPr="00E546C7" w:rsidRDefault="004109ED" w:rsidP="001C5ADB">
      <w:pPr>
        <w:pStyle w:val="Heading2"/>
        <w:rPr>
          <w:rFonts w:cs="Times New Roman"/>
        </w:rPr>
      </w:pPr>
      <w:bookmarkStart w:id="11" w:name="_Toc239819666"/>
      <w:r w:rsidRPr="00E546C7">
        <w:rPr>
          <w:rFonts w:cs="Times New Roman"/>
        </w:rPr>
        <w:t>1.9 Chapter Review</w:t>
      </w:r>
      <w:bookmarkEnd w:id="11"/>
    </w:p>
    <w:tbl>
      <w:tblPr>
        <w:tblStyle w:val="PlainTable5"/>
        <w:tblW w:w="0" w:type="auto"/>
        <w:tblLook w:val="04A0" w:firstRow="1" w:lastRow="0" w:firstColumn="1" w:lastColumn="0" w:noHBand="0" w:noVBand="1"/>
      </w:tblPr>
      <w:tblGrid>
        <w:gridCol w:w="3639"/>
        <w:gridCol w:w="5381"/>
      </w:tblGrid>
      <w:tr w:rsidR="001C5ADB" w:rsidRPr="00E546C7" w14:paraId="144A71EE" w14:textId="77777777" w:rsidTr="001C5AD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FDD7331" w14:textId="77777777" w:rsidR="001C5ADB" w:rsidRPr="00E546C7" w:rsidRDefault="001C5ADB" w:rsidP="001C5ADB">
            <w:pPr>
              <w:jc w:val="center"/>
              <w:rPr>
                <w:b/>
                <w:bCs/>
                <w:lang w:bidi="bn-IN"/>
              </w:rPr>
            </w:pPr>
            <w:r w:rsidRPr="00E546C7">
              <w:rPr>
                <w:b/>
                <w:bCs/>
                <w:lang w:bidi="bn-IN"/>
              </w:rPr>
              <w:t>Chapter</w:t>
            </w:r>
          </w:p>
        </w:tc>
        <w:tc>
          <w:tcPr>
            <w:tcW w:w="0" w:type="auto"/>
            <w:hideMark/>
          </w:tcPr>
          <w:p w14:paraId="1D9911BE" w14:textId="77777777" w:rsidR="001C5ADB" w:rsidRPr="00E546C7" w:rsidRDefault="001C5ADB" w:rsidP="001C5ADB">
            <w:pPr>
              <w:jc w:val="center"/>
              <w:cnfStyle w:val="100000000000" w:firstRow="1" w:lastRow="0" w:firstColumn="0" w:lastColumn="0" w:oddVBand="0" w:evenVBand="0" w:oddHBand="0" w:evenHBand="0" w:firstRowFirstColumn="0" w:firstRowLastColumn="0" w:lastRowFirstColumn="0" w:lastRowLastColumn="0"/>
              <w:rPr>
                <w:b/>
                <w:bCs/>
                <w:lang w:bidi="bn-IN"/>
              </w:rPr>
            </w:pPr>
            <w:r w:rsidRPr="00E546C7">
              <w:rPr>
                <w:b/>
                <w:bCs/>
                <w:lang w:bidi="bn-IN"/>
              </w:rPr>
              <w:t>Content Summary</w:t>
            </w:r>
          </w:p>
        </w:tc>
      </w:tr>
      <w:tr w:rsidR="001C5ADB" w:rsidRPr="00E546C7" w14:paraId="493B1D34" w14:textId="77777777" w:rsidTr="001C5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16B04" w14:textId="77777777" w:rsidR="001C5ADB" w:rsidRPr="00E546C7" w:rsidRDefault="001C5ADB" w:rsidP="001C5ADB">
            <w:pPr>
              <w:rPr>
                <w:lang w:bidi="bn-IN"/>
              </w:rPr>
            </w:pPr>
            <w:r w:rsidRPr="00E546C7">
              <w:rPr>
                <w:lang w:bidi="bn-IN"/>
              </w:rPr>
              <w:t>Chapter 1: Introduction</w:t>
            </w:r>
          </w:p>
        </w:tc>
        <w:tc>
          <w:tcPr>
            <w:tcW w:w="0" w:type="auto"/>
            <w:hideMark/>
          </w:tcPr>
          <w:p w14:paraId="5C732ABB" w14:textId="77777777" w:rsidR="001C5ADB" w:rsidRPr="00E546C7" w:rsidRDefault="001C5ADB" w:rsidP="001C5ADB">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Background, problem, rationale, aim, objectives, questions and hypotheses.</w:t>
            </w:r>
          </w:p>
        </w:tc>
      </w:tr>
      <w:tr w:rsidR="001C5ADB" w:rsidRPr="00E546C7" w14:paraId="4BBA7819" w14:textId="77777777" w:rsidTr="001C5ADB">
        <w:tc>
          <w:tcPr>
            <w:cnfStyle w:val="001000000000" w:firstRow="0" w:lastRow="0" w:firstColumn="1" w:lastColumn="0" w:oddVBand="0" w:evenVBand="0" w:oddHBand="0" w:evenHBand="0" w:firstRowFirstColumn="0" w:firstRowLastColumn="0" w:lastRowFirstColumn="0" w:lastRowLastColumn="0"/>
            <w:tcW w:w="0" w:type="auto"/>
            <w:hideMark/>
          </w:tcPr>
          <w:p w14:paraId="7BDC227D" w14:textId="77777777" w:rsidR="001C5ADB" w:rsidRPr="00E546C7" w:rsidRDefault="001C5ADB" w:rsidP="001C5ADB">
            <w:pPr>
              <w:rPr>
                <w:lang w:bidi="bn-IN"/>
              </w:rPr>
            </w:pPr>
            <w:r w:rsidRPr="00E546C7">
              <w:rPr>
                <w:lang w:bidi="bn-IN"/>
              </w:rPr>
              <w:t>Chapter 2: Literature Review</w:t>
            </w:r>
          </w:p>
        </w:tc>
        <w:tc>
          <w:tcPr>
            <w:tcW w:w="0" w:type="auto"/>
            <w:hideMark/>
          </w:tcPr>
          <w:p w14:paraId="47240401" w14:textId="77777777" w:rsidR="001C5ADB" w:rsidRPr="00E546C7" w:rsidRDefault="001C5ADB" w:rsidP="001C5ADB">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Key literature, research gap and Shannon–Weaver model.</w:t>
            </w:r>
          </w:p>
        </w:tc>
      </w:tr>
      <w:tr w:rsidR="001C5ADB" w:rsidRPr="00E546C7" w14:paraId="5DF66B28" w14:textId="77777777" w:rsidTr="001C5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9E39D6" w14:textId="77777777" w:rsidR="001C5ADB" w:rsidRPr="00E546C7" w:rsidRDefault="001C5ADB" w:rsidP="001C5ADB">
            <w:pPr>
              <w:rPr>
                <w:lang w:bidi="bn-IN"/>
              </w:rPr>
            </w:pPr>
            <w:r w:rsidRPr="00E546C7">
              <w:rPr>
                <w:lang w:bidi="bn-IN"/>
              </w:rPr>
              <w:t>Chapter 3: Research Methodology</w:t>
            </w:r>
          </w:p>
        </w:tc>
        <w:tc>
          <w:tcPr>
            <w:tcW w:w="0" w:type="auto"/>
            <w:hideMark/>
          </w:tcPr>
          <w:p w14:paraId="101DB005" w14:textId="77777777" w:rsidR="001C5ADB" w:rsidRPr="00E546C7" w:rsidRDefault="001C5ADB" w:rsidP="001C5ADB">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Research design, sampling, data collection, analysis and ethics.</w:t>
            </w:r>
          </w:p>
        </w:tc>
      </w:tr>
      <w:tr w:rsidR="001C5ADB" w:rsidRPr="00E546C7" w14:paraId="5EADA95B" w14:textId="77777777" w:rsidTr="001C5ADB">
        <w:tc>
          <w:tcPr>
            <w:cnfStyle w:val="001000000000" w:firstRow="0" w:lastRow="0" w:firstColumn="1" w:lastColumn="0" w:oddVBand="0" w:evenVBand="0" w:oddHBand="0" w:evenHBand="0" w:firstRowFirstColumn="0" w:firstRowLastColumn="0" w:lastRowFirstColumn="0" w:lastRowLastColumn="0"/>
            <w:tcW w:w="0" w:type="auto"/>
            <w:hideMark/>
          </w:tcPr>
          <w:p w14:paraId="5179D857" w14:textId="77777777" w:rsidR="001C5ADB" w:rsidRPr="00E546C7" w:rsidRDefault="001C5ADB" w:rsidP="001C5ADB">
            <w:pPr>
              <w:rPr>
                <w:lang w:bidi="bn-IN"/>
              </w:rPr>
            </w:pPr>
            <w:r w:rsidRPr="00E546C7">
              <w:rPr>
                <w:lang w:bidi="bn-IN"/>
              </w:rPr>
              <w:t>Chapter 4: Findings and Data Analysis</w:t>
            </w:r>
          </w:p>
        </w:tc>
        <w:tc>
          <w:tcPr>
            <w:tcW w:w="0" w:type="auto"/>
            <w:hideMark/>
          </w:tcPr>
          <w:p w14:paraId="4A6D5048" w14:textId="77777777" w:rsidR="001C5ADB" w:rsidRPr="00E546C7" w:rsidRDefault="001C5ADB" w:rsidP="001C5ADB">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Survey results, tables, charts and statistical analysis.</w:t>
            </w:r>
          </w:p>
        </w:tc>
      </w:tr>
      <w:tr w:rsidR="001C5ADB" w:rsidRPr="00E546C7" w14:paraId="5F097AC9" w14:textId="77777777" w:rsidTr="001C5A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46E1AC" w14:textId="77777777" w:rsidR="001C5ADB" w:rsidRPr="00E546C7" w:rsidRDefault="001C5ADB" w:rsidP="001C5ADB">
            <w:pPr>
              <w:rPr>
                <w:lang w:bidi="bn-IN"/>
              </w:rPr>
            </w:pPr>
            <w:r w:rsidRPr="00E546C7">
              <w:rPr>
                <w:lang w:bidi="bn-IN"/>
              </w:rPr>
              <w:t>Chapter 5: Discussion</w:t>
            </w:r>
          </w:p>
        </w:tc>
        <w:tc>
          <w:tcPr>
            <w:tcW w:w="0" w:type="auto"/>
            <w:hideMark/>
          </w:tcPr>
          <w:p w14:paraId="054C669E" w14:textId="77777777" w:rsidR="001C5ADB" w:rsidRPr="00E546C7" w:rsidRDefault="001C5ADB" w:rsidP="001C5ADB">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Interpretation of findings using literature and theory.</w:t>
            </w:r>
          </w:p>
        </w:tc>
      </w:tr>
      <w:tr w:rsidR="001C5ADB" w:rsidRPr="00E546C7" w14:paraId="7F013636" w14:textId="77777777" w:rsidTr="001C5ADB">
        <w:tc>
          <w:tcPr>
            <w:cnfStyle w:val="001000000000" w:firstRow="0" w:lastRow="0" w:firstColumn="1" w:lastColumn="0" w:oddVBand="0" w:evenVBand="0" w:oddHBand="0" w:evenHBand="0" w:firstRowFirstColumn="0" w:firstRowLastColumn="0" w:lastRowFirstColumn="0" w:lastRowLastColumn="0"/>
            <w:tcW w:w="0" w:type="auto"/>
            <w:hideMark/>
          </w:tcPr>
          <w:p w14:paraId="09B8647D" w14:textId="77777777" w:rsidR="001C5ADB" w:rsidRPr="00E546C7" w:rsidRDefault="001C5ADB" w:rsidP="001C5ADB">
            <w:pPr>
              <w:rPr>
                <w:lang w:bidi="bn-IN"/>
              </w:rPr>
            </w:pPr>
            <w:r w:rsidRPr="00E546C7">
              <w:rPr>
                <w:lang w:bidi="bn-IN"/>
              </w:rPr>
              <w:t>Chapter 6: Conclusion and Recommendations</w:t>
            </w:r>
          </w:p>
        </w:tc>
        <w:tc>
          <w:tcPr>
            <w:tcW w:w="0" w:type="auto"/>
            <w:hideMark/>
          </w:tcPr>
          <w:p w14:paraId="01F3BF5E" w14:textId="77777777" w:rsidR="001C5ADB" w:rsidRPr="00E546C7" w:rsidRDefault="001C5ADB" w:rsidP="001C5ADB">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Conclusions, recommendations, limitations and future research.</w:t>
            </w:r>
          </w:p>
        </w:tc>
      </w:tr>
    </w:tbl>
    <w:p w14:paraId="55596F84" w14:textId="77777777" w:rsidR="001C5ADB" w:rsidRPr="00E546C7" w:rsidRDefault="001C5ADB" w:rsidP="004109ED">
      <w:pPr>
        <w:rPr>
          <w:color w:val="000000" w:themeColor="text1"/>
        </w:rPr>
      </w:pPr>
    </w:p>
    <w:p w14:paraId="701F3D4E" w14:textId="3AD69686" w:rsidR="004109ED" w:rsidRPr="00E546C7" w:rsidRDefault="004109ED" w:rsidP="004109ED">
      <w:pPr>
        <w:rPr>
          <w:color w:val="000000" w:themeColor="text1"/>
        </w:rPr>
      </w:pPr>
      <w:r w:rsidRPr="00E546C7">
        <w:rPr>
          <w:color w:val="000000" w:themeColor="text1"/>
        </w:rPr>
        <w:t>The following chapter will critically review literature on IMC and consumer attitude, with respect to the consequences of attitude, purchase intention and brand loyalty, and will lay the theoretical foundation for the empirical investigation.</w:t>
      </w:r>
    </w:p>
    <w:p w14:paraId="37D7DFBE" w14:textId="77777777" w:rsidR="004109ED" w:rsidRPr="00E546C7" w:rsidRDefault="004109ED" w:rsidP="004109ED"/>
    <w:p w14:paraId="57F53E50" w14:textId="77777777" w:rsidR="0073459C" w:rsidRPr="00E546C7" w:rsidRDefault="0073459C">
      <w:pPr>
        <w:spacing w:before="0" w:after="160" w:line="259" w:lineRule="auto"/>
        <w:jc w:val="left"/>
      </w:pPr>
      <w:r w:rsidRPr="00E546C7">
        <w:br w:type="page"/>
      </w:r>
    </w:p>
    <w:p w14:paraId="07940A52" w14:textId="4061618C" w:rsidR="0073459C" w:rsidRPr="00E546C7" w:rsidRDefault="0073459C" w:rsidP="0073459C">
      <w:pPr>
        <w:pStyle w:val="Heading1"/>
        <w:rPr>
          <w:rFonts w:cs="Times New Roman"/>
        </w:rPr>
      </w:pPr>
      <w:bookmarkStart w:id="12" w:name="_Toc239819667"/>
      <w:r w:rsidRPr="00E546C7">
        <w:rPr>
          <w:rFonts w:cs="Times New Roman"/>
        </w:rPr>
        <w:t>Chapter 2: Literature Review</w:t>
      </w:r>
      <w:bookmarkEnd w:id="12"/>
    </w:p>
    <w:p w14:paraId="011CF125" w14:textId="76647972" w:rsidR="0073459C" w:rsidRPr="00E546C7" w:rsidRDefault="0073459C" w:rsidP="0073459C">
      <w:pPr>
        <w:pStyle w:val="Heading2"/>
        <w:rPr>
          <w:rFonts w:cs="Times New Roman"/>
        </w:rPr>
      </w:pPr>
      <w:bookmarkStart w:id="13" w:name="_Toc239819668"/>
      <w:r w:rsidRPr="00E546C7">
        <w:rPr>
          <w:rFonts w:cs="Times New Roman"/>
        </w:rPr>
        <w:t>2.1 Chapter Introduction</w:t>
      </w:r>
      <w:bookmarkEnd w:id="13"/>
    </w:p>
    <w:p w14:paraId="4E5BC878" w14:textId="77777777" w:rsidR="0073459C" w:rsidRPr="00E546C7" w:rsidRDefault="0073459C" w:rsidP="0073459C">
      <w:pPr>
        <w:rPr>
          <w:lang w:eastAsia="en-US"/>
        </w:rPr>
      </w:pPr>
      <w:r w:rsidRPr="00E546C7">
        <w:rPr>
          <w:lang w:eastAsia="en-US"/>
        </w:rPr>
        <w:t>This chapter examines evidence critically against the backdrop of the impacts that integrated marketing can have on consumer responses to Adidas. First, an attempt is made to clarify integrated marketing communication, as well as consumer perception, attitude and brand loyalty by competing definitions</w:t>
      </w:r>
      <w:r w:rsidRPr="00E546C7">
        <w:rPr>
          <w:lang w:val="en-US" w:eastAsia="en-US"/>
        </w:rPr>
        <w:t xml:space="preserve"> </w:t>
      </w:r>
      <w:r w:rsidRPr="00E546C7">
        <w:rPr>
          <w:color w:val="000000"/>
        </w:rPr>
        <w:t>(</w:t>
      </w:r>
      <w:proofErr w:type="spellStart"/>
      <w:r w:rsidRPr="00E546C7">
        <w:rPr>
          <w:color w:val="000000"/>
        </w:rPr>
        <w:t>Butkouskaya</w:t>
      </w:r>
      <w:proofErr w:type="spellEnd"/>
      <w:r w:rsidRPr="00E546C7">
        <w:rPr>
          <w:color w:val="000000"/>
        </w:rPr>
        <w:t xml:space="preserve">, </w:t>
      </w:r>
      <w:proofErr w:type="spellStart"/>
      <w:r w:rsidRPr="00E546C7">
        <w:rPr>
          <w:color w:val="000000"/>
        </w:rPr>
        <w:t>Oyner</w:t>
      </w:r>
      <w:proofErr w:type="spellEnd"/>
      <w:r w:rsidRPr="00E546C7">
        <w:rPr>
          <w:color w:val="000000"/>
        </w:rPr>
        <w:t xml:space="preserve"> and </w:t>
      </w:r>
      <w:proofErr w:type="spellStart"/>
      <w:r w:rsidRPr="00E546C7">
        <w:rPr>
          <w:color w:val="000000"/>
        </w:rPr>
        <w:t>Kazakov</w:t>
      </w:r>
      <w:proofErr w:type="spellEnd"/>
      <w:r w:rsidRPr="00E546C7">
        <w:rPr>
          <w:color w:val="000000"/>
        </w:rPr>
        <w:t>, 2023)</w:t>
      </w:r>
      <w:r w:rsidRPr="00E546C7">
        <w:rPr>
          <w:lang w:eastAsia="en-US"/>
        </w:rPr>
        <w:t>. It then considers the three research objectives, formulates two hypotheses and presents conflicting inferences from what happened in various sectors, countries, methods and measures. Four models are combined with Adidas: Shannon–Weaver Model, Schramm's Interactive Model, Tricomponent Attitude Model and Loyalty Ladder. Exposure to communication and behaviour influence are distinguished using statistical evidence</w:t>
      </w:r>
      <w:r w:rsidRPr="00E546C7">
        <w:t>.</w:t>
      </w:r>
    </w:p>
    <w:p w14:paraId="32268DFF" w14:textId="77777777" w:rsidR="0073459C" w:rsidRPr="00E546C7" w:rsidRDefault="0073459C" w:rsidP="0073459C">
      <w:pPr>
        <w:pStyle w:val="Heading2"/>
        <w:rPr>
          <w:rFonts w:cs="Times New Roman"/>
        </w:rPr>
      </w:pPr>
      <w:bookmarkStart w:id="14" w:name="_Toc239819669"/>
      <w:r w:rsidRPr="00E546C7">
        <w:rPr>
          <w:rFonts w:cs="Times New Roman"/>
        </w:rPr>
        <w:t>2.2 Conceptual Foundations</w:t>
      </w:r>
      <w:bookmarkEnd w:id="14"/>
    </w:p>
    <w:p w14:paraId="0C222BE2" w14:textId="77777777" w:rsidR="0073459C" w:rsidRPr="00E546C7" w:rsidRDefault="0073459C" w:rsidP="0073459C">
      <w:pPr>
        <w:pStyle w:val="Heading3"/>
        <w:rPr>
          <w:rFonts w:cs="Times New Roman"/>
        </w:rPr>
      </w:pPr>
      <w:bookmarkStart w:id="15" w:name="_Toc239819670"/>
      <w:r w:rsidRPr="00E546C7">
        <w:rPr>
          <w:rFonts w:cs="Times New Roman"/>
        </w:rPr>
        <w:t>2.2.1 Integrated Marketing Communication</w:t>
      </w:r>
      <w:bookmarkEnd w:id="15"/>
    </w:p>
    <w:p w14:paraId="15FA3214" w14:textId="3256DE2F" w:rsidR="0073459C" w:rsidRPr="00E546C7" w:rsidRDefault="0073459C" w:rsidP="0073459C">
      <w:r w:rsidRPr="00E546C7">
        <w:t>According to Choubey and Sharma (2026)</w:t>
      </w:r>
      <w:r w:rsidRPr="00E546C7">
        <w:rPr>
          <w:lang w:val="en-US"/>
        </w:rPr>
        <w:t>,</w:t>
      </w:r>
      <w:r w:rsidRPr="00E546C7">
        <w:t xml:space="preserve"> integrated marketing communication is an audience-oriented business process that uniquely </w:t>
      </w:r>
      <w:proofErr w:type="spellStart"/>
      <w:r w:rsidRPr="00E546C7">
        <w:t>optimi</w:t>
      </w:r>
      <w:proofErr w:type="spellEnd"/>
      <w:r w:rsidRPr="00E546C7">
        <w:rPr>
          <w:lang w:val="en-US"/>
        </w:rPr>
        <w:t>s</w:t>
      </w:r>
      <w:proofErr w:type="spellStart"/>
      <w:r w:rsidRPr="00E546C7">
        <w:t>es</w:t>
      </w:r>
      <w:proofErr w:type="spellEnd"/>
      <w:r w:rsidRPr="00E546C7">
        <w:t xml:space="preserve"> elements such as stakeholders, content, channels and outcomes. </w:t>
      </w:r>
      <w:proofErr w:type="spellStart"/>
      <w:r w:rsidRPr="00E546C7">
        <w:t>Butkouskaya</w:t>
      </w:r>
      <w:proofErr w:type="spellEnd"/>
      <w:r w:rsidRPr="00E546C7">
        <w:t xml:space="preserve">, </w:t>
      </w:r>
      <w:proofErr w:type="spellStart"/>
      <w:r w:rsidRPr="00E546C7">
        <w:t>Oyner</w:t>
      </w:r>
      <w:proofErr w:type="spellEnd"/>
      <w:r w:rsidRPr="00E546C7">
        <w:t xml:space="preserve"> and </w:t>
      </w:r>
      <w:proofErr w:type="spellStart"/>
      <w:r w:rsidRPr="00E546C7">
        <w:t>Kazakov</w:t>
      </w:r>
      <w:proofErr w:type="spellEnd"/>
      <w:r w:rsidRPr="00E546C7">
        <w:t xml:space="preserve"> (2023) stress the orchestration of the brand touchpoints to develop a holistic customer experience. While both definitions of integration disallow isolated promotion, they place it in different parts of the definition. </w:t>
      </w:r>
      <w:r w:rsidR="003B75BB" w:rsidRPr="00E546C7">
        <w:t>According to Choubey and Sharma (2026), m</w:t>
      </w:r>
      <w:r w:rsidRPr="00E546C7">
        <w:t>anagerial planning and measurement, while Kim and Oh (2020) make an evaluation based on the 'cumulated experiences' of the customer. This distinction is important because, knowingly or not, Adidas can create a harmonious strategy across the internal communications spectrum, but a customer considering a purchase can detect tensions between the athletes, sustainability statements and commercial campaigns.</w:t>
      </w:r>
    </w:p>
    <w:p w14:paraId="3A5FECDA" w14:textId="77777777" w:rsidR="0073459C" w:rsidRPr="00E546C7" w:rsidRDefault="0073459C" w:rsidP="0073459C">
      <w:r w:rsidRPr="00E546C7">
        <w:t>For this dissertation, a more appropriate definition will be offered</w:t>
      </w:r>
      <w:r w:rsidRPr="00E546C7">
        <w:rPr>
          <w:lang w:val="en-US"/>
        </w:rPr>
        <w:t>. It’s a</w:t>
      </w:r>
      <w:r w:rsidRPr="00E546C7">
        <w:t xml:space="preserve"> consumer-centred one. IMC will involve what consumers see as the uniformity, believability, relevance and involvement of Adidas communications, such as with ads, when using social </w:t>
      </w:r>
      <w:r w:rsidRPr="00E546C7">
        <w:rPr>
          <w:lang w:val="en-US"/>
        </w:rPr>
        <w:t xml:space="preserve">media </w:t>
      </w:r>
      <w:r w:rsidRPr="00E546C7">
        <w:t>and influencers, during public relations and in its stores. This is backed up by the investments in marketing and point of sale in 2025</w:t>
      </w:r>
      <w:r w:rsidRPr="00E546C7">
        <w:rPr>
          <w:lang w:val="en-US"/>
        </w:rPr>
        <w:t xml:space="preserve">. </w:t>
      </w:r>
      <w:r w:rsidRPr="00E546C7">
        <w:t>Marketing and point of sale investment amounted to €3.079 billion, equivalent to 12.4% of net sales (Adidas, 2026). This is the kind of scale which proves strategic significance but not effectiveness. Therefore</w:t>
      </w:r>
      <w:r w:rsidRPr="00E546C7">
        <w:rPr>
          <w:lang w:val="en-US"/>
        </w:rPr>
        <w:t>,</w:t>
      </w:r>
      <w:r w:rsidRPr="00E546C7">
        <w:t xml:space="preserve"> the effectiveness has to be judged based on consumers' interpretation and not only on spend and campaign appearances.</w:t>
      </w:r>
    </w:p>
    <w:p w14:paraId="0D0E3AE5" w14:textId="77777777" w:rsidR="0073459C" w:rsidRPr="00E546C7" w:rsidRDefault="0073459C" w:rsidP="0073459C">
      <w:pPr>
        <w:pStyle w:val="Heading3"/>
        <w:rPr>
          <w:rFonts w:cs="Times New Roman"/>
        </w:rPr>
      </w:pPr>
      <w:bookmarkStart w:id="16" w:name="_Toc239819671"/>
      <w:r w:rsidRPr="00E546C7">
        <w:rPr>
          <w:rFonts w:cs="Times New Roman"/>
        </w:rPr>
        <w:t>2.2.2 Consumer Perception</w:t>
      </w:r>
      <w:bookmarkEnd w:id="16"/>
    </w:p>
    <w:p w14:paraId="75F6128B" w14:textId="77777777" w:rsidR="0073459C" w:rsidRPr="00E546C7" w:rsidRDefault="0073459C" w:rsidP="0073459C">
      <w:r w:rsidRPr="00E546C7">
        <w:t xml:space="preserve">Consumer perception is the way consumers select, organise and interpret stimuli as described by </w:t>
      </w:r>
      <w:proofErr w:type="spellStart"/>
      <w:r w:rsidRPr="00E546C7">
        <w:t>Butkouskaya</w:t>
      </w:r>
      <w:proofErr w:type="spellEnd"/>
      <w:r w:rsidRPr="00E546C7">
        <w:t xml:space="preserve">, </w:t>
      </w:r>
      <w:proofErr w:type="spellStart"/>
      <w:r w:rsidRPr="00E546C7">
        <w:t>Llonch</w:t>
      </w:r>
      <w:proofErr w:type="spellEnd"/>
      <w:r w:rsidRPr="00E546C7">
        <w:t xml:space="preserve">-Andreu and </w:t>
      </w:r>
      <w:proofErr w:type="spellStart"/>
      <w:r w:rsidRPr="00E546C7">
        <w:t>Alarcón</w:t>
      </w:r>
      <w:proofErr w:type="spellEnd"/>
      <w:r w:rsidRPr="00E546C7">
        <w:t>-del-</w:t>
      </w:r>
      <w:proofErr w:type="spellStart"/>
      <w:r w:rsidRPr="00E546C7">
        <w:t>Amo</w:t>
      </w:r>
      <w:proofErr w:type="spellEnd"/>
      <w:r w:rsidRPr="00E546C7">
        <w:t xml:space="preserve"> (2021b). According to </w:t>
      </w:r>
      <w:proofErr w:type="spellStart"/>
      <w:r w:rsidRPr="00E546C7">
        <w:t>Arachchi</w:t>
      </w:r>
      <w:proofErr w:type="spellEnd"/>
      <w:r w:rsidRPr="00E546C7">
        <w:t xml:space="preserve"> and </w:t>
      </w:r>
      <w:proofErr w:type="spellStart"/>
      <w:r w:rsidRPr="00E546C7">
        <w:t>Samarasinghe</w:t>
      </w:r>
      <w:proofErr w:type="spellEnd"/>
      <w:r w:rsidRPr="00E546C7">
        <w:t xml:space="preserve"> (2023), there is a larger picture</w:t>
      </w:r>
      <w:r w:rsidRPr="00E546C7">
        <w:rPr>
          <w:lang w:val="en-US"/>
        </w:rPr>
        <w:t>. P</w:t>
      </w:r>
      <w:proofErr w:type="spellStart"/>
      <w:r w:rsidRPr="00E546C7">
        <w:t>erception</w:t>
      </w:r>
      <w:proofErr w:type="spellEnd"/>
      <w:r w:rsidRPr="00E546C7">
        <w:t xml:space="preserve"> </w:t>
      </w:r>
      <w:proofErr w:type="spellStart"/>
      <w:r w:rsidRPr="00E546C7">
        <w:rPr>
          <w:lang w:val="en-US"/>
        </w:rPr>
        <w:t>i</w:t>
      </w:r>
      <w:proofErr w:type="spellEnd"/>
      <w:r w:rsidRPr="00E546C7">
        <w:t>s a subjective meaning as affected by factors such as experience, motivation, expectations and culture. The first definition is information processing, whereas the second is a better explanation of the different reactions that may be produced by identical Adidas messages</w:t>
      </w:r>
      <w:r w:rsidRPr="00E546C7">
        <w:rPr>
          <w:lang w:val="en-US"/>
        </w:rPr>
        <w:t xml:space="preserve"> </w:t>
      </w:r>
      <w:r w:rsidRPr="00E546C7">
        <w:t>(Rehman, Gulzar and Aslam, 2022). A football sponsorship can make buyers who aren't that into sports see something that seems like too much commercial involvement but is perceived as authenticity by the true football fan.</w:t>
      </w:r>
    </w:p>
    <w:p w14:paraId="7C3256E7" w14:textId="77777777" w:rsidR="0073459C" w:rsidRPr="00E546C7" w:rsidRDefault="0073459C" w:rsidP="0073459C">
      <w:r w:rsidRPr="00E546C7">
        <w:t>Hence, the author ha</w:t>
      </w:r>
      <w:r w:rsidRPr="00E546C7">
        <w:rPr>
          <w:lang w:val="en-US"/>
        </w:rPr>
        <w:t>s</w:t>
      </w:r>
      <w:r w:rsidRPr="00E546C7">
        <w:t xml:space="preserve"> chosen to view perception as an evaluation and not an exposure in this dissertation. The average viewing time of UK consumers is approximately four and a half hours per day on the internet, and 94% of adults access YouTube (Ofcom, 2025). However, with regular interaction, it is not possible to develop positive interpretation. It is important because the difference lies in the fact that digital metrics include measuring views, clicks and comments</w:t>
      </w:r>
      <w:r w:rsidRPr="00E546C7">
        <w:rPr>
          <w:lang w:val="en-US"/>
        </w:rPr>
        <w:t>,</w:t>
      </w:r>
      <w:r w:rsidRPr="00E546C7">
        <w:t xml:space="preserve"> while perception involves the appearance of </w:t>
      </w:r>
      <w:proofErr w:type="spellStart"/>
      <w:r w:rsidRPr="00E546C7">
        <w:t>consistenc</w:t>
      </w:r>
      <w:proofErr w:type="spellEnd"/>
      <w:r w:rsidRPr="00E546C7">
        <w:rPr>
          <w:lang w:val="en-US"/>
        </w:rPr>
        <w:t>y</w:t>
      </w:r>
      <w:r w:rsidRPr="00E546C7">
        <w:t>, credibility, relevance and interaction in communication. There is also an implication of some connection between experience and decoding</w:t>
      </w:r>
      <w:r w:rsidRPr="00E546C7">
        <w:rPr>
          <w:lang w:val="en-US"/>
        </w:rPr>
        <w:t>,</w:t>
      </w:r>
      <w:r w:rsidRPr="00E546C7">
        <w:t xml:space="preserve"> which means that previous use of the product and knowledge of the brand can play a role in decoding</w:t>
      </w:r>
      <w:r w:rsidRPr="00E546C7">
        <w:rPr>
          <w:lang w:val="en-US"/>
        </w:rPr>
        <w:t xml:space="preserve"> </w:t>
      </w:r>
      <w:r w:rsidRPr="00E546C7">
        <w:t>(</w:t>
      </w:r>
      <w:proofErr w:type="spellStart"/>
      <w:r w:rsidRPr="00E546C7">
        <w:t>Šerić</w:t>
      </w:r>
      <w:proofErr w:type="spellEnd"/>
      <w:r w:rsidRPr="00E546C7">
        <w:t xml:space="preserve">, </w:t>
      </w:r>
      <w:proofErr w:type="spellStart"/>
      <w:r w:rsidRPr="00E546C7">
        <w:t>Ozretić-Došen</w:t>
      </w:r>
      <w:proofErr w:type="spellEnd"/>
      <w:r w:rsidRPr="00E546C7">
        <w:t xml:space="preserve"> and </w:t>
      </w:r>
      <w:proofErr w:type="spellStart"/>
      <w:r w:rsidRPr="00E546C7">
        <w:t>Škare</w:t>
      </w:r>
      <w:proofErr w:type="spellEnd"/>
      <w:r w:rsidRPr="00E546C7">
        <w:t>, 2020). Thus, the perception of the consumers will be directly captured on survey questions rather than being implied from Adidas's media exposure, campaign sizes or media reports.</w:t>
      </w:r>
    </w:p>
    <w:p w14:paraId="323CD83A" w14:textId="77777777" w:rsidR="0073459C" w:rsidRPr="00E546C7" w:rsidRDefault="0073459C" w:rsidP="0073459C">
      <w:pPr>
        <w:pStyle w:val="Heading3"/>
        <w:rPr>
          <w:rFonts w:cs="Times New Roman"/>
        </w:rPr>
      </w:pPr>
      <w:bookmarkStart w:id="17" w:name="_Toc239819672"/>
      <w:r w:rsidRPr="00E546C7">
        <w:rPr>
          <w:rFonts w:cs="Times New Roman"/>
        </w:rPr>
        <w:t>2.2.3 Consumer Attitude</w:t>
      </w:r>
      <w:bookmarkEnd w:id="17"/>
    </w:p>
    <w:p w14:paraId="633FE9BB" w14:textId="77777777" w:rsidR="0073459C" w:rsidRPr="00E546C7" w:rsidRDefault="0073459C" w:rsidP="0073459C">
      <w:r w:rsidRPr="00E546C7">
        <w:t xml:space="preserve">Attitude is a learned tendency to react favourably or unfavourably to an object, as described by </w:t>
      </w:r>
      <w:proofErr w:type="spellStart"/>
      <w:r w:rsidRPr="00E546C7">
        <w:t>Butkouskaya</w:t>
      </w:r>
      <w:proofErr w:type="spellEnd"/>
      <w:r w:rsidRPr="00E546C7">
        <w:t xml:space="preserve">, </w:t>
      </w:r>
      <w:proofErr w:type="spellStart"/>
      <w:r w:rsidRPr="00E546C7">
        <w:t>Llonch</w:t>
      </w:r>
      <w:proofErr w:type="spellEnd"/>
      <w:r w:rsidRPr="00E546C7">
        <w:t xml:space="preserve">-Andreu and </w:t>
      </w:r>
      <w:proofErr w:type="spellStart"/>
      <w:r w:rsidRPr="00E546C7">
        <w:t>Alarcón</w:t>
      </w:r>
      <w:proofErr w:type="spellEnd"/>
      <w:r w:rsidRPr="00E546C7">
        <w:t>-del-</w:t>
      </w:r>
      <w:proofErr w:type="spellStart"/>
      <w:r w:rsidRPr="00E546C7">
        <w:t>Amo</w:t>
      </w:r>
      <w:proofErr w:type="spellEnd"/>
      <w:r w:rsidRPr="00E546C7">
        <w:t xml:space="preserve"> (2021a). On the other hand, Fernandes et al. (2025) deem brand attitude as an overall appraisal that has a relatively enduring consideration. While both definitions lend themselves to measurement, the first carries the connotation of being ready to behave, whereas the second does not include the assumption that evaluation will yield action. This is important as Adidas advertising can be appreciated by consumers without a transaction.</w:t>
      </w:r>
    </w:p>
    <w:p w14:paraId="25F6A1C6" w14:textId="77777777" w:rsidR="0073459C" w:rsidRPr="00E546C7" w:rsidRDefault="0073459C" w:rsidP="0073459C">
      <w:r w:rsidRPr="00E546C7">
        <w:t xml:space="preserve">There is evidence confirming this attitude–behaviour gap. From the customer perspective, </w:t>
      </w:r>
      <w:proofErr w:type="spellStart"/>
      <w:r w:rsidRPr="00E546C7">
        <w:t>Šerić</w:t>
      </w:r>
      <w:proofErr w:type="spellEnd"/>
      <w:r w:rsidRPr="00E546C7">
        <w:t xml:space="preserve">, </w:t>
      </w:r>
      <w:proofErr w:type="spellStart"/>
      <w:r w:rsidRPr="00E546C7">
        <w:t>Ozretić-Došen</w:t>
      </w:r>
      <w:proofErr w:type="spellEnd"/>
      <w:r w:rsidRPr="00E546C7">
        <w:t xml:space="preserve"> and </w:t>
      </w:r>
      <w:proofErr w:type="spellStart"/>
      <w:r w:rsidRPr="00E546C7">
        <w:t>Škare</w:t>
      </w:r>
      <w:proofErr w:type="spellEnd"/>
      <w:r w:rsidRPr="00E546C7">
        <w:t xml:space="preserve"> (2020) conducted a study on 298 Korean consumers and found that the value of influencers' content had a strong direct effect on purchase intention, but team identification did not have a significant direct effect. But being in a collectivist sporting culture in Korea and a 7-point scale make it not easily transferable to the UK consumer culture. </w:t>
      </w:r>
      <w:proofErr w:type="spellStart"/>
      <w:r w:rsidRPr="00E546C7">
        <w:t>Koronios</w:t>
      </w:r>
      <w:proofErr w:type="spellEnd"/>
      <w:r w:rsidRPr="00E546C7">
        <w:t xml:space="preserve"> et al. (2022) also revealed that attitude toward sustainability of sportswear positively affected the purchase intention</w:t>
      </w:r>
      <w:r w:rsidRPr="00E546C7">
        <w:rPr>
          <w:lang w:val="en-US"/>
        </w:rPr>
        <w:t>,</w:t>
      </w:r>
      <w:r w:rsidRPr="00E546C7">
        <w:t xml:space="preserve"> while negativity of scepticism negatively affected the purchase intention. Thus, attitude will refer to the overall positive or negative appraisal made by the respondent towards Adidas. Price, availability and prior experience may come into play in actual choice</w:t>
      </w:r>
      <w:r w:rsidRPr="00E546C7">
        <w:rPr>
          <w:lang w:val="en-US"/>
        </w:rPr>
        <w:t>,</w:t>
      </w:r>
      <w:r w:rsidRPr="00E546C7">
        <w:t xml:space="preserve"> and it will be considered as a separate outcome that may be facilitating, but not assuring the purchase intention.</w:t>
      </w:r>
    </w:p>
    <w:p w14:paraId="01A8DF8E" w14:textId="77777777" w:rsidR="0073459C" w:rsidRPr="00E546C7" w:rsidRDefault="0073459C" w:rsidP="0073459C">
      <w:pPr>
        <w:pStyle w:val="Heading3"/>
        <w:rPr>
          <w:rFonts w:cs="Times New Roman"/>
        </w:rPr>
      </w:pPr>
      <w:bookmarkStart w:id="18" w:name="_Toc239819673"/>
      <w:r w:rsidRPr="00E546C7">
        <w:rPr>
          <w:rFonts w:cs="Times New Roman"/>
        </w:rPr>
        <w:t>2.2.4 Brand Loyalty</w:t>
      </w:r>
      <w:bookmarkEnd w:id="18"/>
    </w:p>
    <w:p w14:paraId="46950E05" w14:textId="23386C07" w:rsidR="0073459C" w:rsidRPr="00E546C7" w:rsidRDefault="0073459C" w:rsidP="0073459C">
      <w:r w:rsidRPr="00E546C7">
        <w:t>According to Rehman, Gulzar and Aslam (2022)</w:t>
      </w:r>
      <w:r w:rsidRPr="00E546C7">
        <w:rPr>
          <w:lang w:val="en-US"/>
        </w:rPr>
        <w:t>,</w:t>
      </w:r>
      <w:r w:rsidRPr="00E546C7">
        <w:t xml:space="preserve"> brand loyalty is an attitude of deep commitment to rebuy a favourite product in spite of the circumstances and competitive action. Lee (2021)</w:t>
      </w:r>
      <w:r w:rsidRPr="00E546C7">
        <w:rPr>
          <w:lang w:val="en-US"/>
        </w:rPr>
        <w:t>,</w:t>
      </w:r>
      <w:r w:rsidRPr="00E546C7">
        <w:t xml:space="preserve"> on the other hand, define</w:t>
      </w:r>
      <w:r w:rsidRPr="00E546C7">
        <w:rPr>
          <w:lang w:val="en-US"/>
        </w:rPr>
        <w:t>s</w:t>
      </w:r>
      <w:r w:rsidRPr="00E546C7">
        <w:t xml:space="preserve"> loyalty as the relationship between relative attitude and repeat patronage. While </w:t>
      </w:r>
      <w:proofErr w:type="spellStart"/>
      <w:r w:rsidR="003B75BB" w:rsidRPr="00E546C7">
        <w:t>Koronios</w:t>
      </w:r>
      <w:proofErr w:type="spellEnd"/>
      <w:r w:rsidR="003B75BB" w:rsidRPr="00E546C7">
        <w:t xml:space="preserve"> et al. (2022) </w:t>
      </w:r>
      <w:r w:rsidRPr="00E546C7">
        <w:t xml:space="preserve">speak of commitment in the future, </w:t>
      </w:r>
      <w:r w:rsidR="003B75BB" w:rsidRPr="00E546C7">
        <w:t>Kim and Oh (2020)</w:t>
      </w:r>
      <w:r w:rsidRPr="00E546C7">
        <w:t xml:space="preserve"> tell the difference between loyalty and mere purchases. This difference helps to ensure that purchases of Adidas are not </w:t>
      </w:r>
      <w:proofErr w:type="spellStart"/>
      <w:r w:rsidRPr="00E546C7">
        <w:t>categori</w:t>
      </w:r>
      <w:proofErr w:type="spellEnd"/>
      <w:r w:rsidRPr="00E546C7">
        <w:rPr>
          <w:lang w:val="en-US"/>
        </w:rPr>
        <w:t>s</w:t>
      </w:r>
      <w:proofErr w:type="spellStart"/>
      <w:r w:rsidRPr="00E546C7">
        <w:t>ed</w:t>
      </w:r>
      <w:proofErr w:type="spellEnd"/>
      <w:r w:rsidRPr="00E546C7">
        <w:t xml:space="preserve"> as Commitment simply because they are less expensive and more convenient.</w:t>
      </w:r>
    </w:p>
    <w:p w14:paraId="5F47C1F0" w14:textId="77777777" w:rsidR="0073459C" w:rsidRPr="00E546C7" w:rsidRDefault="0073459C" w:rsidP="0073459C">
      <w:r w:rsidRPr="00E546C7">
        <w:t xml:space="preserve">In this research, therefore, loyalty will not be represented only by the purchase frequency but by the sense of preference, recommendation and repurchase intention. In these areas, the perception of communication consistency directly positively affected trust and loyalty, but not affective commitment, </w:t>
      </w:r>
      <w:r w:rsidRPr="00E546C7">
        <w:rPr>
          <w:lang w:val="en-US"/>
        </w:rPr>
        <w:t xml:space="preserve">as </w:t>
      </w:r>
      <w:r w:rsidRPr="00E546C7">
        <w:t xml:space="preserve">found by </w:t>
      </w:r>
      <w:proofErr w:type="spellStart"/>
      <w:r w:rsidRPr="00E546C7">
        <w:t>Šerić</w:t>
      </w:r>
      <w:proofErr w:type="spellEnd"/>
      <w:r w:rsidRPr="00E546C7">
        <w:t xml:space="preserve">, </w:t>
      </w:r>
      <w:proofErr w:type="spellStart"/>
      <w:r w:rsidRPr="00E546C7">
        <w:t>Ozretić-Došen</w:t>
      </w:r>
      <w:proofErr w:type="spellEnd"/>
      <w:r w:rsidRPr="00E546C7">
        <w:t xml:space="preserve"> and </w:t>
      </w:r>
      <w:proofErr w:type="spellStart"/>
      <w:r w:rsidRPr="00E546C7">
        <w:t>Škare</w:t>
      </w:r>
      <w:proofErr w:type="spellEnd"/>
      <w:r w:rsidRPr="00E546C7">
        <w:t xml:space="preserve"> (2020) after surveying 452 consumers of fast-food dishes. The inconsistent pattern indicates that all the dimensions are not equal nor fully transferable from a low</w:t>
      </w:r>
      <w:r w:rsidRPr="00E546C7">
        <w:rPr>
          <w:lang w:val="en-US"/>
        </w:rPr>
        <w:t>-</w:t>
      </w:r>
      <w:r w:rsidRPr="00E546C7">
        <w:t>involvement product like food to a high</w:t>
      </w:r>
      <w:r w:rsidRPr="00E546C7">
        <w:rPr>
          <w:lang w:val="en-US"/>
        </w:rPr>
        <w:t>-</w:t>
      </w:r>
      <w:r w:rsidRPr="00E546C7">
        <w:t>involvement product like sportswear, where identity and price play a larger role. Though the net sales of Adidas in 2025 were at €24.811 billion (</w:t>
      </w:r>
      <w:r w:rsidRPr="00E546C7">
        <w:rPr>
          <w:lang w:val="en-US"/>
        </w:rPr>
        <w:t>A</w:t>
      </w:r>
      <w:proofErr w:type="spellStart"/>
      <w:r w:rsidRPr="00E546C7">
        <w:t>didas</w:t>
      </w:r>
      <w:proofErr w:type="spellEnd"/>
      <w:r w:rsidRPr="00E546C7">
        <w:t xml:space="preserve">, 2026), the numbers cannot determine if consumers are loyal or just following a trend. In a very competitive </w:t>
      </w:r>
      <w:proofErr w:type="spellStart"/>
      <w:r w:rsidRPr="00E546C7">
        <w:t>multibrand</w:t>
      </w:r>
      <w:proofErr w:type="spellEnd"/>
      <w:r w:rsidRPr="00E546C7">
        <w:t xml:space="preserve"> UK market, consumer</w:t>
      </w:r>
      <w:r w:rsidRPr="00E546C7">
        <w:rPr>
          <w:lang w:val="en-US"/>
        </w:rPr>
        <w:t>-</w:t>
      </w:r>
      <w:r w:rsidRPr="00E546C7">
        <w:t>level relational measures accordingly are required.</w:t>
      </w:r>
    </w:p>
    <w:p w14:paraId="5EE7FD9C" w14:textId="77777777" w:rsidR="0073459C" w:rsidRPr="00E546C7" w:rsidRDefault="0073459C" w:rsidP="0073459C">
      <w:pPr>
        <w:pStyle w:val="Heading2"/>
        <w:rPr>
          <w:rFonts w:cs="Times New Roman"/>
        </w:rPr>
      </w:pPr>
      <w:bookmarkStart w:id="19" w:name="_Toc239819674"/>
      <w:r w:rsidRPr="00E546C7">
        <w:rPr>
          <w:rFonts w:cs="Times New Roman"/>
        </w:rPr>
        <w:t>2.3 Review Based on the Research Objectives</w:t>
      </w:r>
      <w:bookmarkEnd w:id="19"/>
    </w:p>
    <w:p w14:paraId="04F93952" w14:textId="77777777" w:rsidR="0073459C" w:rsidRPr="00E546C7" w:rsidRDefault="0073459C" w:rsidP="0073459C">
      <w:pPr>
        <w:pStyle w:val="Heading3"/>
        <w:rPr>
          <w:rFonts w:cs="Times New Roman"/>
        </w:rPr>
      </w:pPr>
      <w:bookmarkStart w:id="20" w:name="_Toc239819675"/>
      <w:r w:rsidRPr="00E546C7">
        <w:rPr>
          <w:rFonts w:cs="Times New Roman"/>
        </w:rPr>
        <w:t>2.3.1 Objective One: Consumers’ Perceptions of Adidas’s IMC</w:t>
      </w:r>
      <w:bookmarkEnd w:id="20"/>
    </w:p>
    <w:p w14:paraId="6818A4A0" w14:textId="6693CD5C" w:rsidR="0073459C" w:rsidRPr="00E546C7" w:rsidRDefault="0073459C" w:rsidP="0073459C">
      <w:r w:rsidRPr="00E546C7">
        <w:t xml:space="preserve">According to literature, positive assessment of IMC is achieved if messages are coherent, believable, meaningful and responsive; according to </w:t>
      </w:r>
      <w:proofErr w:type="spellStart"/>
      <w:r w:rsidRPr="00E546C7">
        <w:t>Šerić</w:t>
      </w:r>
      <w:proofErr w:type="spellEnd"/>
      <w:r w:rsidRPr="00E546C7">
        <w:t xml:space="preserve">, </w:t>
      </w:r>
      <w:proofErr w:type="spellStart"/>
      <w:r w:rsidRPr="00E546C7">
        <w:t>Ozretić-Došen</w:t>
      </w:r>
      <w:proofErr w:type="spellEnd"/>
      <w:r w:rsidRPr="00E546C7">
        <w:t xml:space="preserve"> and </w:t>
      </w:r>
      <w:proofErr w:type="spellStart"/>
      <w:r w:rsidRPr="00E546C7">
        <w:t>Škare</w:t>
      </w:r>
      <w:proofErr w:type="spellEnd"/>
      <w:r w:rsidRPr="00E546C7">
        <w:t xml:space="preserve"> (2020), they strengthen the sense of trust and loyalty, while according to Rehman, Gulzar and Aslam (2022), they integrate through dialogue, not repetition. 89% of all internet users over 16 (rising to 97% in the 16-34 age group in Britain) used social media </w:t>
      </w:r>
      <w:r w:rsidR="00D73D77" w:rsidRPr="00E546C7">
        <w:t>(Ofcom, 2025)</w:t>
      </w:r>
      <w:r w:rsidRPr="00E546C7">
        <w:t>. Adidas can then get the content to the consumer, but positive perception is contingent on how effective sponsorship, as well as influencer, retail, and sustainability messaging work together.</w:t>
      </w:r>
    </w:p>
    <w:p w14:paraId="147083EA" w14:textId="77777777" w:rsidR="0073459C" w:rsidRPr="00E546C7" w:rsidRDefault="0073459C" w:rsidP="0073459C">
      <w:r w:rsidRPr="00E546C7">
        <w:t xml:space="preserve">Contrasting evidence demonstrates that the alternative effects of each IMC dimension can occur. Localisation can increase relevance, but lead to loss of global coherence; consistency can increase recognition, but may lead to repetition. While influential persuasion can boost change depending on credibility </w:t>
      </w:r>
      <w:proofErr w:type="spellStart"/>
      <w:r w:rsidRPr="00E546C7">
        <w:t>favo</w:t>
      </w:r>
      <w:proofErr w:type="spellEnd"/>
      <w:r w:rsidRPr="00E546C7">
        <w:rPr>
          <w:lang w:val="en-US"/>
        </w:rPr>
        <w:t>u</w:t>
      </w:r>
      <w:r w:rsidRPr="00E546C7">
        <w:t>ring, Lee (2021) found that influential status largely enhanced valuable information, implying that celebrity status cannot save weak information. The conditions of communication of sustainability. Kim and Oh (2020) conducted their study with 316 Korean consumers</w:t>
      </w:r>
      <w:r w:rsidRPr="00E546C7">
        <w:rPr>
          <w:lang w:val="en-US"/>
        </w:rPr>
        <w:t>,</w:t>
      </w:r>
      <w:r w:rsidRPr="00E546C7">
        <w:t xml:space="preserve"> and the results showed that perceived sustainability had a positive and significant effect on purchase intention with a β value of 0.302, while scepticism had a negative and significant effect with a β value of -0.333. The CMA reviewed 40% of green claims made online, which created a basis for doubt (CMA, 2021).</w:t>
      </w:r>
    </w:p>
    <w:p w14:paraId="3B81702A" w14:textId="77777777" w:rsidR="0073459C" w:rsidRPr="00E546C7" w:rsidRDefault="0073459C" w:rsidP="0073459C">
      <w:r w:rsidRPr="00E546C7">
        <w:rPr>
          <w:lang w:val="en-US"/>
        </w:rPr>
        <w:t>T</w:t>
      </w:r>
      <w:r w:rsidRPr="00E546C7">
        <w:t>he literature addresses Objective One as follows: Conditionally. If the channel content is stable, claims are backed up, messages resonate with consumers' lives</w:t>
      </w:r>
      <w:r w:rsidRPr="00E546C7">
        <w:rPr>
          <w:lang w:val="en-US"/>
        </w:rPr>
        <w:t>,</w:t>
      </w:r>
      <w:r w:rsidRPr="00E546C7">
        <w:t xml:space="preserve"> and their interactions lead to feedback, Adidas communications are likely to be </w:t>
      </w:r>
      <w:proofErr w:type="spellStart"/>
      <w:r w:rsidRPr="00E546C7">
        <w:t>favo</w:t>
      </w:r>
      <w:proofErr w:type="spellEnd"/>
      <w:r w:rsidRPr="00E546C7">
        <w:rPr>
          <w:lang w:val="en-US"/>
        </w:rPr>
        <w:t>u</w:t>
      </w:r>
      <w:proofErr w:type="spellStart"/>
      <w:r w:rsidRPr="00E546C7">
        <w:t>rably</w:t>
      </w:r>
      <w:proofErr w:type="spellEnd"/>
      <w:r w:rsidRPr="00E546C7">
        <w:t xml:space="preserve"> viewed by consumers. Corporate activity, however, cannot create these perceptions and visibility. As Adidas is investing €3.079 billion on its marketing</w:t>
      </w:r>
      <w:r w:rsidRPr="00E546C7">
        <w:rPr>
          <w:lang w:val="en-US"/>
        </w:rPr>
        <w:t xml:space="preserve"> </w:t>
      </w:r>
      <w:r w:rsidRPr="00E546C7">
        <w:t>(</w:t>
      </w:r>
      <w:r w:rsidRPr="00E546C7">
        <w:rPr>
          <w:lang w:val="en-US"/>
        </w:rPr>
        <w:t>A</w:t>
      </w:r>
      <w:proofErr w:type="spellStart"/>
      <w:r w:rsidRPr="00E546C7">
        <w:t>didas</w:t>
      </w:r>
      <w:proofErr w:type="spellEnd"/>
      <w:r w:rsidRPr="00E546C7">
        <w:t>, 2026), the survey will examine communication intensity from the sender's point of view, while the latter will examine communication quality from the receiver's point of view. The four dimensions need to be addressed individually, as a campaign may be interactive but not credible or consistent but not cultural. Objective One will measure perceived integration directly, rather than take it as a proxy for channel breadth.</w:t>
      </w:r>
    </w:p>
    <w:p w14:paraId="6FB8D206" w14:textId="77777777" w:rsidR="0073459C" w:rsidRPr="00E546C7" w:rsidRDefault="0073459C" w:rsidP="0073459C">
      <w:pPr>
        <w:pStyle w:val="Heading3"/>
        <w:rPr>
          <w:rFonts w:cs="Times New Roman"/>
        </w:rPr>
      </w:pPr>
      <w:bookmarkStart w:id="21" w:name="_Toc239819676"/>
      <w:r w:rsidRPr="00E546C7">
        <w:rPr>
          <w:rFonts w:cs="Times New Roman"/>
        </w:rPr>
        <w:t>2.3.2 Objective Two: IMC, Attitude and Purchase Intention</w:t>
      </w:r>
      <w:bookmarkEnd w:id="21"/>
    </w:p>
    <w:p w14:paraId="6FEC309B" w14:textId="2439FFC1" w:rsidR="005D3BAB" w:rsidRPr="00E546C7" w:rsidRDefault="005D3BAB" w:rsidP="005D3BAB">
      <w:r w:rsidRPr="00E546C7">
        <w:t xml:space="preserve">There is a positive relationship between perceived IMC, consumer attitude and purchase intention. The benefits of being consistent are that there's less uncertainty, and credible claims lessen perceptions of risk, content can be relevant to consumer identity, and interactivity can enhance involvement. In a Korean survey </w:t>
      </w:r>
      <w:r w:rsidRPr="00E546C7">
        <w:rPr>
          <w:lang w:val="en-US"/>
        </w:rPr>
        <w:t xml:space="preserve">of </w:t>
      </w:r>
      <w:r w:rsidRPr="00E546C7">
        <w:t>298 consumers, Lee (2021) revealed that the value of the ad content positively and significantly affected purchase intention and that the influencer's credibility reinforced this effect. As well, Kim and Oh (2020) found a significant positive link between perceived sustainability and purchase intention. These findings suggest that consumer response is not simply influenced by exposure (Yoon, Lee and Sun, 2024). Instead, communication value and credibility connection are factors that influence their response.</w:t>
      </w:r>
    </w:p>
    <w:p w14:paraId="33A9F4A6" w14:textId="1C448104" w:rsidR="0073459C" w:rsidRPr="00E546C7" w:rsidRDefault="005D3BAB" w:rsidP="0073459C">
      <w:r w:rsidRPr="00E546C7">
        <w:t>This isn't guaranteed, though, in these relationships. Moreover</w:t>
      </w:r>
      <w:r w:rsidRPr="00E546C7">
        <w:rPr>
          <w:lang w:val="en-US"/>
        </w:rPr>
        <w:t>,</w:t>
      </w:r>
      <w:r w:rsidRPr="00E546C7">
        <w:t xml:space="preserve"> Lee's study was on sports influencer marketing and not integrated communication, while Kim and Oh's work was based on hypothetical scenarios and their respondents were all in their 20s and 30s, meaning that it was UK Adidas consumers only. Based on 2,752 questionnaires, </w:t>
      </w:r>
      <w:proofErr w:type="spellStart"/>
      <w:r w:rsidRPr="00E546C7">
        <w:t>Koronios</w:t>
      </w:r>
      <w:proofErr w:type="spellEnd"/>
      <w:r w:rsidRPr="00E546C7">
        <w:t xml:space="preserve"> et al. (2022) correlated sponsorship attitude and purchase and found that sponsorship in the sport may be more likely to stimulate emotions than other forms of retail communications (Srivastava et al., 2025). Purchasing decisions may also depend on price, ability and experience. Thus</w:t>
      </w:r>
      <w:r w:rsidRPr="00E546C7">
        <w:rPr>
          <w:lang w:val="en-US"/>
        </w:rPr>
        <w:t>,</w:t>
      </w:r>
      <w:r w:rsidRPr="00E546C7">
        <w:t xml:space="preserve"> Objective Two is a conditional association. This dissertation will assess attitude and purchase willingness individually and differentiate between correlation and causation (Solomon and Russell, 2024)</w:t>
      </w:r>
      <w:r w:rsidR="0073459C" w:rsidRPr="00E546C7">
        <w:t>.</w:t>
      </w:r>
    </w:p>
    <w:p w14:paraId="1A1B42DF" w14:textId="77777777" w:rsidR="0073459C" w:rsidRPr="00E546C7" w:rsidRDefault="0073459C" w:rsidP="0073459C">
      <w:pPr>
        <w:pStyle w:val="Heading3"/>
        <w:rPr>
          <w:rFonts w:cs="Times New Roman"/>
        </w:rPr>
      </w:pPr>
      <w:bookmarkStart w:id="22" w:name="_Toc239819677"/>
      <w:r w:rsidRPr="00E546C7">
        <w:rPr>
          <w:rFonts w:cs="Times New Roman"/>
        </w:rPr>
        <w:t>2.3.3 Objective Three: IMC and Brand Loyalty</w:t>
      </w:r>
      <w:bookmarkEnd w:id="22"/>
    </w:p>
    <w:p w14:paraId="14D88781" w14:textId="67E5C9D1" w:rsidR="005D3BAB" w:rsidRPr="00E546C7" w:rsidRDefault="005D3BAB" w:rsidP="005D3BAB">
      <w:r w:rsidRPr="00E546C7">
        <w:t xml:space="preserve">Repeated positive evaluations leading to the creation of brand trust, which increases the level of brand loyalty, was the direct relationship found by </w:t>
      </w:r>
      <w:proofErr w:type="spellStart"/>
      <w:r w:rsidRPr="00E546C7">
        <w:t>Seric</w:t>
      </w:r>
      <w:proofErr w:type="spellEnd"/>
      <w:r w:rsidRPr="00E546C7">
        <w:t xml:space="preserve">, </w:t>
      </w:r>
      <w:proofErr w:type="spellStart"/>
      <w:r w:rsidRPr="00E546C7">
        <w:t>Ozretic-Desen</w:t>
      </w:r>
      <w:proofErr w:type="spellEnd"/>
      <w:r w:rsidRPr="00E546C7">
        <w:t xml:space="preserve"> and </w:t>
      </w:r>
      <w:proofErr w:type="spellStart"/>
      <w:r w:rsidRPr="00E546C7">
        <w:t>Skare</w:t>
      </w:r>
      <w:proofErr w:type="spellEnd"/>
      <w:r w:rsidRPr="00E546C7">
        <w:t xml:space="preserve"> (2020) for 452 fast-food consumers. Drawing on the same vein, </w:t>
      </w:r>
      <w:proofErr w:type="spellStart"/>
      <w:r w:rsidRPr="00E546C7">
        <w:t>Butkouskaya</w:t>
      </w:r>
      <w:proofErr w:type="spellEnd"/>
      <w:r w:rsidRPr="00E546C7">
        <w:t xml:space="preserve">, </w:t>
      </w:r>
      <w:proofErr w:type="spellStart"/>
      <w:r w:rsidRPr="00E546C7">
        <w:t>Oyner</w:t>
      </w:r>
      <w:proofErr w:type="spellEnd"/>
      <w:r w:rsidRPr="00E546C7">
        <w:t xml:space="preserve"> and </w:t>
      </w:r>
      <w:proofErr w:type="spellStart"/>
      <w:r w:rsidRPr="00E546C7">
        <w:t>Kazakov</w:t>
      </w:r>
      <w:proofErr w:type="spellEnd"/>
      <w:r w:rsidRPr="00E546C7">
        <w:t xml:space="preserve"> (2023), found that customer-centred IMC has a positive effect on post-purchase evaluation, WOM and repurchase intention for both developed and developing economies. These outcomes, however, were influenced by culture, and the developed economy had greater satisfaction influences while the developing economy had greater influence for post-purchase.</w:t>
      </w:r>
    </w:p>
    <w:p w14:paraId="2BB909D6" w14:textId="435899E3" w:rsidR="005D3BAB" w:rsidRPr="00E546C7" w:rsidRDefault="005D3BAB" w:rsidP="005D3BAB">
      <w:r w:rsidRPr="00E546C7">
        <w:t xml:space="preserve">Loyalty cannot be known apart from communication. </w:t>
      </w:r>
      <w:proofErr w:type="spellStart"/>
      <w:r w:rsidRPr="00E546C7">
        <w:t>Koronios</w:t>
      </w:r>
      <w:proofErr w:type="spellEnd"/>
      <w:r w:rsidRPr="00E546C7">
        <w:t xml:space="preserve"> et al. (2022) demonstrate that awareness and perceived sincerity/involvement with sport are also relevant factors when purchasing sponsorships. Loyalty should also not be confused with “repeating” the purchase of a product. The participants may purchase Adidas due to promotions and will be reluctant to purchase Puma products without committing to it, thus resulting in a short-term purchase. (Ismaeel, Khanfar and Al-Shaikh, 2025). Therefore, evidence related to fast food or sponsorship may be limited in its general applicability to sportswear.</w:t>
      </w:r>
    </w:p>
    <w:p w14:paraId="5E3FF084" w14:textId="4A74CA9F" w:rsidR="0073459C" w:rsidRPr="00E546C7" w:rsidRDefault="005D3BAB" w:rsidP="005D3BAB">
      <w:r w:rsidRPr="00E546C7">
        <w:t>Objective Three thus takes a look at a relationship and not a deterministic effect. Authentic and engaging Adidas storytelling can help build trust, identity and a sense of belonging. Loyalty will thus be assessed using preference, recommendation and repurchase intention as it will be acknowledged that other factors related to the product also play a part in loyalty (Fernandes et al., 2025)</w:t>
      </w:r>
      <w:r w:rsidR="0073459C" w:rsidRPr="00E546C7">
        <w:t>.</w:t>
      </w:r>
    </w:p>
    <w:p w14:paraId="55FAD397" w14:textId="77777777" w:rsidR="0073459C" w:rsidRPr="00E546C7" w:rsidRDefault="0073459C" w:rsidP="0073459C">
      <w:pPr>
        <w:pStyle w:val="Heading2"/>
        <w:rPr>
          <w:rFonts w:cs="Times New Roman"/>
        </w:rPr>
      </w:pPr>
      <w:bookmarkStart w:id="23" w:name="_Toc239819678"/>
      <w:r w:rsidRPr="00E546C7">
        <w:rPr>
          <w:rFonts w:cs="Times New Roman"/>
        </w:rPr>
        <w:t>2.4 Hypothesis Development</w:t>
      </w:r>
      <w:bookmarkEnd w:id="23"/>
    </w:p>
    <w:p w14:paraId="12942751" w14:textId="77777777" w:rsidR="0073459C" w:rsidRPr="00E546C7" w:rsidRDefault="0073459C" w:rsidP="0073459C">
      <w:pPr>
        <w:pStyle w:val="Heading3"/>
        <w:rPr>
          <w:rFonts w:cs="Times New Roman"/>
        </w:rPr>
      </w:pPr>
      <w:bookmarkStart w:id="24" w:name="_Toc239819679"/>
      <w:r w:rsidRPr="00E546C7">
        <w:rPr>
          <w:rFonts w:cs="Times New Roman"/>
        </w:rPr>
        <w:t>2.4.1 Hypothesis One</w:t>
      </w:r>
      <w:bookmarkEnd w:id="24"/>
    </w:p>
    <w:p w14:paraId="58B511A3" w14:textId="77777777" w:rsidR="0073459C" w:rsidRPr="00E546C7" w:rsidRDefault="0073459C" w:rsidP="0073459C">
      <w:r w:rsidRPr="00E546C7">
        <w:t>H1 proposes t</w:t>
      </w:r>
      <w:r w:rsidRPr="00E546C7">
        <w:rPr>
          <w:lang w:val="en-US"/>
        </w:rPr>
        <w:t>hat p</w:t>
      </w:r>
      <w:proofErr w:type="spellStart"/>
      <w:r w:rsidRPr="00E546C7">
        <w:t>ositive</w:t>
      </w:r>
      <w:proofErr w:type="spellEnd"/>
      <w:r w:rsidRPr="00E546C7">
        <w:t xml:space="preserve"> consumer perception of Adidas ' integrated marketing communication will significantly relate to favourable consumer attitude and purchase intention. The hypothesis is based on the following evidence: message consistency diminishes </w:t>
      </w:r>
      <w:r w:rsidRPr="00E546C7">
        <w:rPr>
          <w:lang w:val="en-US"/>
        </w:rPr>
        <w:t xml:space="preserve">the </w:t>
      </w:r>
      <w:r w:rsidRPr="00E546C7">
        <w:t>level of uncertainty, content value increases intention</w:t>
      </w:r>
      <w:r w:rsidRPr="00E546C7">
        <w:rPr>
          <w:lang w:val="en-US"/>
        </w:rPr>
        <w:t>,</w:t>
      </w:r>
      <w:r w:rsidRPr="00E546C7">
        <w:t xml:space="preserve"> and credibility restricts </w:t>
      </w:r>
      <w:r w:rsidRPr="00E546C7">
        <w:rPr>
          <w:lang w:val="en-US"/>
        </w:rPr>
        <w:t xml:space="preserve">the </w:t>
      </w:r>
      <w:r w:rsidRPr="00E546C7">
        <w:t>level of scepticism. However</w:t>
      </w:r>
      <w:r w:rsidRPr="00E546C7">
        <w:rPr>
          <w:lang w:val="en-US"/>
        </w:rPr>
        <w:t>,</w:t>
      </w:r>
      <w:r w:rsidRPr="00E546C7">
        <w:t xml:space="preserve"> it doesn't state that IMC drives buying. Lee (2021) reveals the interaction between content value and the credibility of influencers</w:t>
      </w:r>
      <w:r w:rsidRPr="00E546C7">
        <w:rPr>
          <w:lang w:val="en-US"/>
        </w:rPr>
        <w:t>,</w:t>
      </w:r>
      <w:r w:rsidRPr="00E546C7">
        <w:t xml:space="preserve"> and Kim and Oh (2020) prove that the brand reputation modulates the influence of sustainability perceptions on intention. H1 thus posits a positive and measurable relationship</w:t>
      </w:r>
      <w:r w:rsidRPr="00E546C7">
        <w:rPr>
          <w:lang w:val="en-US"/>
        </w:rPr>
        <w:t>,</w:t>
      </w:r>
      <w:r w:rsidRPr="00E546C7">
        <w:t xml:space="preserve"> and that price, experience and availability account for more of the relationship.</w:t>
      </w:r>
    </w:p>
    <w:p w14:paraId="3572716F" w14:textId="77777777" w:rsidR="0073459C" w:rsidRPr="00E546C7" w:rsidRDefault="0073459C" w:rsidP="0073459C">
      <w:pPr>
        <w:pStyle w:val="Heading3"/>
        <w:rPr>
          <w:rFonts w:cs="Times New Roman"/>
        </w:rPr>
      </w:pPr>
      <w:bookmarkStart w:id="25" w:name="_Toc239819680"/>
      <w:r w:rsidRPr="00E546C7">
        <w:rPr>
          <w:rFonts w:cs="Times New Roman"/>
        </w:rPr>
        <w:t>2.4.2 Hypothesis Two</w:t>
      </w:r>
      <w:bookmarkEnd w:id="25"/>
    </w:p>
    <w:p w14:paraId="0276734A" w14:textId="77777777" w:rsidR="0073459C" w:rsidRPr="00E546C7" w:rsidRDefault="0073459C" w:rsidP="0073459C">
      <w:r w:rsidRPr="00E546C7">
        <w:t>H2 expects positive consumer perception of Adidas' integrated marketing communication will be found to relate significantly to increased brand loyalty. This is backed up with evidence on the link between communication consistency and trust; word-of-mouth and repurchase intention. However, the opposite effect was obtained for affective commitment</w:t>
      </w:r>
      <w:r w:rsidRPr="00E546C7">
        <w:rPr>
          <w:lang w:val="en-US"/>
        </w:rPr>
        <w:t>,</w:t>
      </w:r>
      <w:r w:rsidRPr="00E546C7">
        <w:t xml:space="preserve"> where there was no significant effect (</w:t>
      </w:r>
      <w:proofErr w:type="spellStart"/>
      <w:r w:rsidRPr="00E546C7">
        <w:t>Šerić</w:t>
      </w:r>
      <w:proofErr w:type="spellEnd"/>
      <w:r w:rsidRPr="00E546C7">
        <w:t xml:space="preserve">, </w:t>
      </w:r>
      <w:proofErr w:type="spellStart"/>
      <w:r w:rsidRPr="00E546C7">
        <w:t>Ozretić-Došen</w:t>
      </w:r>
      <w:proofErr w:type="spellEnd"/>
      <w:r w:rsidRPr="00E546C7">
        <w:t xml:space="preserve"> and </w:t>
      </w:r>
      <w:proofErr w:type="spellStart"/>
      <w:r w:rsidRPr="00E546C7">
        <w:t>Škare</w:t>
      </w:r>
      <w:proofErr w:type="spellEnd"/>
      <w:r w:rsidRPr="00E546C7">
        <w:t xml:space="preserve">, 2020). Another way of describing the differences mentioned is that the authors of </w:t>
      </w:r>
      <w:proofErr w:type="spellStart"/>
      <w:r w:rsidRPr="00E546C7">
        <w:t>Butkouskaya</w:t>
      </w:r>
      <w:proofErr w:type="spellEnd"/>
      <w:r w:rsidRPr="00E546C7">
        <w:t xml:space="preserve">, </w:t>
      </w:r>
      <w:proofErr w:type="spellStart"/>
      <w:r w:rsidRPr="00E546C7">
        <w:t>Llonch</w:t>
      </w:r>
      <w:proofErr w:type="spellEnd"/>
      <w:r w:rsidRPr="00E546C7">
        <w:t xml:space="preserve">-Andreu and </w:t>
      </w:r>
      <w:proofErr w:type="spellStart"/>
      <w:r w:rsidRPr="00E546C7">
        <w:t>Alarcón</w:t>
      </w:r>
      <w:proofErr w:type="spellEnd"/>
      <w:r w:rsidRPr="00E546C7">
        <w:t>-del-</w:t>
      </w:r>
      <w:proofErr w:type="spellStart"/>
      <w:r w:rsidRPr="00E546C7">
        <w:t>Amo</w:t>
      </w:r>
      <w:proofErr w:type="spellEnd"/>
      <w:r w:rsidRPr="00E546C7">
        <w:t xml:space="preserve"> (2021a) also detected variation across countries. Hence, the association and not the universal cause is expected from H2, and it will be evaluated from preference and recommendation and intended repurchase in addition to the repeat purchase in the selected consumer group of the UK.</w:t>
      </w:r>
    </w:p>
    <w:p w14:paraId="0510D2EB" w14:textId="738E3C68" w:rsidR="00A00FAA" w:rsidRPr="00E546C7" w:rsidRDefault="00A00FAA" w:rsidP="00A00FAA">
      <w:pPr>
        <w:pStyle w:val="Heading2"/>
        <w:rPr>
          <w:rFonts w:cs="Times New Roman"/>
          <w:color w:val="FF0000"/>
        </w:rPr>
      </w:pPr>
      <w:bookmarkStart w:id="26" w:name="_Toc239819681"/>
      <w:r w:rsidRPr="00E546C7">
        <w:rPr>
          <w:rFonts w:cs="Times New Roman"/>
        </w:rPr>
        <w:t>2.5 Research Gap</w:t>
      </w:r>
      <w:bookmarkEnd w:id="26"/>
    </w:p>
    <w:p w14:paraId="66E1F214" w14:textId="6E532BF3" w:rsidR="00A00FAA" w:rsidRPr="00E546C7" w:rsidRDefault="00A00FAA" w:rsidP="0073459C">
      <w:r w:rsidRPr="00E546C7">
        <w:t xml:space="preserve">A reading of the literature shows that there are voids. In practice, researchers tend to </w:t>
      </w:r>
      <w:proofErr w:type="spellStart"/>
      <w:r w:rsidRPr="00E546C7">
        <w:t>analy</w:t>
      </w:r>
      <w:proofErr w:type="spellEnd"/>
      <w:r w:rsidRPr="00E546C7">
        <w:rPr>
          <w:lang w:val="en-US"/>
        </w:rPr>
        <w:t>s</w:t>
      </w:r>
      <w:r w:rsidRPr="00E546C7">
        <w:t xml:space="preserve">e only single communication channels, like sponsors or influencers, not </w:t>
      </w:r>
      <w:r w:rsidRPr="00E546C7">
        <w:rPr>
          <w:lang w:val="en-US"/>
        </w:rPr>
        <w:t xml:space="preserve">the </w:t>
      </w:r>
      <w:r w:rsidRPr="00E546C7">
        <w:t>analysis of consumers' IMC evaluation of Adidas. In terms of contextuality, there is much evidence of Korean sportswear, fast food or sponsorship, restricting transferability onto UK Adidas consumers. Many studies measure purchase intention and not behaviour, or include the elements of loyalty with satisfaction or repeat buying</w:t>
      </w:r>
      <w:r w:rsidRPr="00E546C7">
        <w:rPr>
          <w:lang w:val="en-US"/>
        </w:rPr>
        <w:t xml:space="preserve"> </w:t>
      </w:r>
      <w:r w:rsidRPr="00E546C7">
        <w:t>(</w:t>
      </w:r>
      <w:proofErr w:type="spellStart"/>
      <w:r w:rsidRPr="00E546C7">
        <w:t>Koronios</w:t>
      </w:r>
      <w:proofErr w:type="spellEnd"/>
      <w:r w:rsidRPr="00E546C7">
        <w:t xml:space="preserve"> et al., 2022). Theoretically, communication models are descriptive of the flow of the message, but nothing about attitude and loyalty, while consumer models neglect the idea of 'noise' and consumer feedback. To resolve these gaps, the marriage between Shannon–Weaver, Schramm, the Tricomponent Attitude Model and the Loyalty Ladder is explored in this dissertation. Will examine two relationships based on survey results of 50 UK consumers</w:t>
      </w:r>
      <w:r w:rsidRPr="00E546C7">
        <w:rPr>
          <w:lang w:val="en-US"/>
        </w:rPr>
        <w:t xml:space="preserve"> </w:t>
      </w:r>
      <w:r w:rsidRPr="00E546C7">
        <w:t>(Kim and Oh, 2020)</w:t>
      </w:r>
      <w:r w:rsidRPr="00E546C7">
        <w:rPr>
          <w:lang w:val="en-US"/>
        </w:rPr>
        <w:t>. T</w:t>
      </w:r>
      <w:r w:rsidRPr="00E546C7">
        <w:t>he relationship between perceived IMC and attitude and between perceived IMC and purchase intention</w:t>
      </w:r>
      <w:r w:rsidRPr="00E546C7">
        <w:rPr>
          <w:lang w:val="en-US"/>
        </w:rPr>
        <w:t>. A</w:t>
      </w:r>
      <w:proofErr w:type="spellStart"/>
      <w:r w:rsidRPr="00E546C7">
        <w:t>nd</w:t>
      </w:r>
      <w:proofErr w:type="spellEnd"/>
      <w:r w:rsidRPr="00E546C7">
        <w:t xml:space="preserve"> the relationship between perceived IMC and brand loyalty. The convenience sample </w:t>
      </w:r>
      <w:r w:rsidR="00F64BCD" w:rsidRPr="00E546C7">
        <w:t>cannot</w:t>
      </w:r>
      <w:r w:rsidRPr="00E546C7">
        <w:t xml:space="preserve"> answer questions about causality but will provide brand</w:t>
      </w:r>
      <w:r w:rsidRPr="00E546C7">
        <w:rPr>
          <w:lang w:val="en-US"/>
        </w:rPr>
        <w:t>-</w:t>
      </w:r>
      <w:r w:rsidRPr="00E546C7">
        <w:t>specific evidence</w:t>
      </w:r>
    </w:p>
    <w:p w14:paraId="153187B2" w14:textId="3407CE28" w:rsidR="0073459C" w:rsidRPr="00E546C7" w:rsidRDefault="0073459C" w:rsidP="0073459C">
      <w:pPr>
        <w:pStyle w:val="Heading2"/>
        <w:rPr>
          <w:rFonts w:cs="Times New Roman"/>
        </w:rPr>
      </w:pPr>
      <w:bookmarkStart w:id="27" w:name="_Toc239819682"/>
      <w:r w:rsidRPr="00E546C7">
        <w:rPr>
          <w:rFonts w:cs="Times New Roman"/>
        </w:rPr>
        <w:t>2.</w:t>
      </w:r>
      <w:r w:rsidR="00A00FAA" w:rsidRPr="00E546C7">
        <w:rPr>
          <w:rFonts w:cs="Times New Roman"/>
        </w:rPr>
        <w:t>6</w:t>
      </w:r>
      <w:r w:rsidRPr="00E546C7">
        <w:rPr>
          <w:rFonts w:cs="Times New Roman"/>
        </w:rPr>
        <w:t xml:space="preserve"> Communication and Consumer Perception Models</w:t>
      </w:r>
      <w:bookmarkEnd w:id="27"/>
    </w:p>
    <w:p w14:paraId="282F78C8" w14:textId="0AB075E8" w:rsidR="0073459C" w:rsidRPr="00E546C7" w:rsidRDefault="0073459C" w:rsidP="0073459C">
      <w:pPr>
        <w:pStyle w:val="Heading3"/>
        <w:rPr>
          <w:rFonts w:cs="Times New Roman"/>
        </w:rPr>
      </w:pPr>
      <w:bookmarkStart w:id="28" w:name="_Toc239819683"/>
      <w:r w:rsidRPr="00E546C7">
        <w:rPr>
          <w:rFonts w:cs="Times New Roman"/>
        </w:rPr>
        <w:t>2.</w:t>
      </w:r>
      <w:r w:rsidR="00A00FAA" w:rsidRPr="00E546C7">
        <w:rPr>
          <w:rFonts w:cs="Times New Roman"/>
        </w:rPr>
        <w:t>6</w:t>
      </w:r>
      <w:r w:rsidRPr="00E546C7">
        <w:rPr>
          <w:rFonts w:cs="Times New Roman"/>
        </w:rPr>
        <w:t>.1 Shannon–Weaver Communication Model</w:t>
      </w:r>
      <w:bookmarkEnd w:id="28"/>
    </w:p>
    <w:p w14:paraId="40395537" w14:textId="36BEB8B1" w:rsidR="0073459C" w:rsidRPr="00E546C7" w:rsidRDefault="0073459C" w:rsidP="0073459C">
      <w:r w:rsidRPr="00E546C7">
        <w:t>Shannon and Weaver</w:t>
      </w:r>
      <w:r w:rsidRPr="00E546C7">
        <w:rPr>
          <w:lang w:val="en-US"/>
        </w:rPr>
        <w:t>’s</w:t>
      </w:r>
      <w:r w:rsidRPr="00E546C7">
        <w:t xml:space="preserve"> (1949) model include</w:t>
      </w:r>
      <w:r w:rsidR="00F64BCD" w:rsidRPr="00E546C7">
        <w:t>s</w:t>
      </w:r>
      <w:r w:rsidRPr="00E546C7">
        <w:t xml:space="preserve"> an explanation based on an information source, transmitter, signal, channel, noise, receiver and destination. In this dissertation, the source is Adidas, product claims</w:t>
      </w:r>
      <w:r w:rsidR="00F64BCD" w:rsidRPr="00E546C7">
        <w:t>,</w:t>
      </w:r>
      <w:r w:rsidRPr="00E546C7">
        <w:t xml:space="preserve"> along with claims about lifestyle, performance and sustainability</w:t>
      </w:r>
      <w:r w:rsidR="00F64BCD" w:rsidRPr="00E546C7">
        <w:t>,</w:t>
      </w:r>
      <w:r w:rsidRPr="00E546C7">
        <w:t xml:space="preserve"> are coded in the marketing activities of Adidas</w:t>
      </w:r>
      <w:r w:rsidR="00F64BCD" w:rsidRPr="00E546C7">
        <w:t>. A</w:t>
      </w:r>
      <w:r w:rsidRPr="00E546C7">
        <w:t>dvertising, sponsorship, influencers, social media and stores are the channels that carry information</w:t>
      </w:r>
      <w:r w:rsidR="00F64BCD" w:rsidRPr="00E546C7">
        <w:t xml:space="preserve">. </w:t>
      </w:r>
      <w:r w:rsidRPr="00E546C7">
        <w:t xml:space="preserve">UK consumers are those </w:t>
      </w:r>
      <w:r w:rsidR="00F64BCD" w:rsidRPr="00E546C7">
        <w:t>who</w:t>
      </w:r>
      <w:r w:rsidRPr="00E546C7">
        <w:t xml:space="preserve"> decode the message, and attitudes, intentions, purchases, reviews and recommendation</w:t>
      </w:r>
      <w:r w:rsidR="00F64BCD" w:rsidRPr="00E546C7">
        <w:t>s</w:t>
      </w:r>
      <w:r w:rsidRPr="00E546C7">
        <w:t xml:space="preserve"> provide the feedback, albeit in an adapted form</w:t>
      </w:r>
      <w:r w:rsidRPr="00E546C7">
        <w:rPr>
          <w:lang w:val="en-US"/>
        </w:rPr>
        <w:t xml:space="preserve"> </w:t>
      </w:r>
      <w:r w:rsidRPr="00E546C7">
        <w:rPr>
          <w:color w:val="000000"/>
        </w:rPr>
        <w:t>(</w:t>
      </w:r>
      <w:proofErr w:type="spellStart"/>
      <w:r w:rsidRPr="00E546C7">
        <w:rPr>
          <w:color w:val="000000"/>
        </w:rPr>
        <w:t>Arachchi</w:t>
      </w:r>
      <w:proofErr w:type="spellEnd"/>
      <w:r w:rsidRPr="00E546C7">
        <w:rPr>
          <w:color w:val="000000"/>
        </w:rPr>
        <w:t xml:space="preserve"> and </w:t>
      </w:r>
      <w:proofErr w:type="spellStart"/>
      <w:r w:rsidRPr="00E546C7">
        <w:rPr>
          <w:color w:val="000000"/>
        </w:rPr>
        <w:t>Samarasinghe</w:t>
      </w:r>
      <w:proofErr w:type="spellEnd"/>
      <w:r w:rsidRPr="00E546C7">
        <w:rPr>
          <w:color w:val="000000"/>
        </w:rPr>
        <w:t>, 2023)</w:t>
      </w:r>
      <w:r w:rsidRPr="00E546C7">
        <w:t>. Competitor campaigns are noise, as are false or inconsistent claims, platform noise and negative reviews.</w:t>
      </w:r>
    </w:p>
    <w:p w14:paraId="72870089" w14:textId="77777777" w:rsidR="0073459C" w:rsidRPr="00E546C7" w:rsidRDefault="0073459C" w:rsidP="0073459C">
      <w:r w:rsidRPr="00E546C7">
        <w:t>This model is good because it is a separation between the production of a message and the interpretation of the message. A separation aims to keep Adidas' spending/campaign gain</w:t>
      </w:r>
      <w:r w:rsidRPr="00E546C7">
        <w:rPr>
          <w:lang w:val="en-US"/>
        </w:rPr>
        <w:t>s</w:t>
      </w:r>
      <w:r w:rsidRPr="00E546C7">
        <w:t xml:space="preserve"> from being counted as proof of communication. It further takes a step to place a premium on noise, which may be significant considering the fact that UK adults make use of a lot of platforms and see rivals</w:t>
      </w:r>
      <w:r w:rsidRPr="00E546C7">
        <w:rPr>
          <w:lang w:val="en-US"/>
        </w:rPr>
        <w:t>’</w:t>
      </w:r>
      <w:r w:rsidRPr="00E546C7">
        <w:t xml:space="preserve"> content material. As demonstrated by the CMA, 40% of online green claims may be misleading to consumers, indicating that lack of clarity is another potential reason for a distortion of the message</w:t>
      </w:r>
      <w:r w:rsidRPr="00E546C7">
        <w:rPr>
          <w:lang w:val="en-US"/>
        </w:rPr>
        <w:t xml:space="preserve"> </w:t>
      </w:r>
      <w:r w:rsidRPr="00E546C7">
        <w:rPr>
          <w:color w:val="000000"/>
        </w:rPr>
        <w:t>(CMA, 2021)</w:t>
      </w:r>
      <w:r w:rsidRPr="00E546C7">
        <w:t>.</w:t>
      </w:r>
    </w:p>
    <w:p w14:paraId="402C74A4" w14:textId="77777777" w:rsidR="0073459C" w:rsidRPr="00E546C7" w:rsidRDefault="0073459C" w:rsidP="0073459C">
      <w:r w:rsidRPr="00E546C7">
        <w:t>The model is still linear</w:t>
      </w:r>
      <w:r w:rsidRPr="00E546C7">
        <w:rPr>
          <w:lang w:val="en-US"/>
        </w:rPr>
        <w:t>,</w:t>
      </w:r>
      <w:r w:rsidRPr="00E546C7">
        <w:t xml:space="preserve"> and we created it for technical transmission, not relationships. It lacks representation of emotion, identity, culture and algorithmic interaction</w:t>
      </w:r>
      <w:r w:rsidRPr="00E546C7">
        <w:rPr>
          <w:lang w:val="en-US"/>
        </w:rPr>
        <w:t xml:space="preserve">. The </w:t>
      </w:r>
      <w:r w:rsidRPr="00E546C7">
        <w:t>receiver is too passive for social media. Feedback may be included, but this does not address how meaning is developed through previous experiences</w:t>
      </w:r>
      <w:r w:rsidRPr="00E546C7">
        <w:rPr>
          <w:lang w:val="en-US"/>
        </w:rPr>
        <w:t xml:space="preserve"> </w:t>
      </w:r>
      <w:r w:rsidRPr="00E546C7">
        <w:rPr>
          <w:color w:val="000000"/>
        </w:rPr>
        <w:t>(Choubey and Sharma, 2026)</w:t>
      </w:r>
      <w:r w:rsidRPr="00E546C7">
        <w:t>. Shannon–Weaver will consequently identify the location of a potential breakdown of communication at Adidas, not attitude/loyalty on its own.</w:t>
      </w:r>
    </w:p>
    <w:p w14:paraId="7F611165" w14:textId="77777777" w:rsidR="0073459C" w:rsidRPr="00E546C7" w:rsidRDefault="0073459C" w:rsidP="0073459C">
      <w:pPr>
        <w:keepNext/>
        <w:jc w:val="center"/>
      </w:pPr>
      <w:r w:rsidRPr="00E546C7">
        <w:rPr>
          <w:noProof/>
        </w:rPr>
        <w:drawing>
          <wp:inline distT="0" distB="0" distL="0" distR="0" wp14:anchorId="10EB2C2E" wp14:editId="114F9AFC">
            <wp:extent cx="6080760" cy="203223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annon_weaver_adidas.png"/>
                    <pic:cNvPicPr/>
                  </pic:nvPicPr>
                  <pic:blipFill rotWithShape="1">
                    <a:blip r:embed="rId10"/>
                    <a:srcRect t="14061"/>
                    <a:stretch/>
                  </pic:blipFill>
                  <pic:spPr bwMode="auto">
                    <a:xfrm>
                      <a:off x="0" y="0"/>
                      <a:ext cx="6080760" cy="2032231"/>
                    </a:xfrm>
                    <a:prstGeom prst="rect">
                      <a:avLst/>
                    </a:prstGeom>
                    <a:ln>
                      <a:noFill/>
                    </a:ln>
                    <a:extLst>
                      <a:ext uri="{53640926-AAD7-44D8-BBD7-CCE9431645EC}">
                        <a14:shadowObscured xmlns:a14="http://schemas.microsoft.com/office/drawing/2010/main"/>
                      </a:ext>
                    </a:extLst>
                  </pic:spPr>
                </pic:pic>
              </a:graphicData>
            </a:graphic>
          </wp:inline>
        </w:drawing>
      </w:r>
    </w:p>
    <w:p w14:paraId="577DBC63" w14:textId="650EBC96" w:rsidR="0073459C" w:rsidRPr="00E546C7" w:rsidRDefault="0073459C" w:rsidP="0073459C">
      <w:pPr>
        <w:pStyle w:val="Caption"/>
        <w:rPr>
          <w:rFonts w:cs="Times New Roman"/>
          <w:lang w:val="en-US"/>
        </w:rPr>
      </w:pPr>
      <w:r w:rsidRPr="00E546C7">
        <w:rPr>
          <w:rFonts w:cs="Times New Roman"/>
        </w:rPr>
        <w:t xml:space="preserve">Figure </w:t>
      </w:r>
      <w:r w:rsidRPr="00E546C7">
        <w:rPr>
          <w:rFonts w:cs="Times New Roman"/>
        </w:rPr>
        <w:fldChar w:fldCharType="begin"/>
      </w:r>
      <w:r w:rsidRPr="00E546C7">
        <w:rPr>
          <w:rFonts w:cs="Times New Roman"/>
        </w:rPr>
        <w:instrText>SEQ Figure \* ARABIC</w:instrText>
      </w:r>
      <w:r w:rsidRPr="00E546C7">
        <w:rPr>
          <w:rFonts w:cs="Times New Roman"/>
        </w:rPr>
        <w:fldChar w:fldCharType="separate"/>
      </w:r>
      <w:r w:rsidRPr="00E546C7">
        <w:rPr>
          <w:rFonts w:cs="Times New Roman"/>
          <w:noProof/>
        </w:rPr>
        <w:t>1</w:t>
      </w:r>
      <w:r w:rsidRPr="00E546C7">
        <w:rPr>
          <w:rFonts w:cs="Times New Roman"/>
        </w:rPr>
        <w:fldChar w:fldCharType="end"/>
      </w:r>
      <w:r w:rsidRPr="00E546C7">
        <w:rPr>
          <w:rFonts w:cs="Times New Roman"/>
          <w:lang w:val="en-US"/>
        </w:rPr>
        <w:t>: Shannon–Weaver Model Applied to Adidas</w:t>
      </w:r>
    </w:p>
    <w:p w14:paraId="04838E93" w14:textId="65C87D59" w:rsidR="0073459C" w:rsidRPr="00E546C7" w:rsidRDefault="0073459C" w:rsidP="0073459C">
      <w:pPr>
        <w:pStyle w:val="Caption"/>
        <w:rPr>
          <w:rFonts w:cs="Times New Roman"/>
        </w:rPr>
      </w:pPr>
      <w:r w:rsidRPr="00E546C7">
        <w:rPr>
          <w:rFonts w:cs="Times New Roman"/>
          <w:lang w:val="en-US"/>
        </w:rPr>
        <w:t>Source: Developed by the researcher based on Shannon and Weaver (1949)</w:t>
      </w:r>
    </w:p>
    <w:p w14:paraId="1837C2FD" w14:textId="7B4CEFAC" w:rsidR="0073459C" w:rsidRPr="00E546C7" w:rsidRDefault="0073459C" w:rsidP="0073459C">
      <w:pPr>
        <w:pStyle w:val="Heading3"/>
        <w:rPr>
          <w:rFonts w:cs="Times New Roman"/>
        </w:rPr>
      </w:pPr>
      <w:bookmarkStart w:id="29" w:name="_Toc239819684"/>
      <w:r w:rsidRPr="00E546C7">
        <w:rPr>
          <w:rFonts w:cs="Times New Roman"/>
        </w:rPr>
        <w:t>2.</w:t>
      </w:r>
      <w:r w:rsidR="00A00FAA" w:rsidRPr="00E546C7">
        <w:rPr>
          <w:rFonts w:cs="Times New Roman"/>
        </w:rPr>
        <w:t>6</w:t>
      </w:r>
      <w:r w:rsidRPr="00E546C7">
        <w:rPr>
          <w:rFonts w:cs="Times New Roman"/>
        </w:rPr>
        <w:t>.2 Schramm’s Interactive Model</w:t>
      </w:r>
      <w:bookmarkEnd w:id="29"/>
    </w:p>
    <w:p w14:paraId="2E401C08" w14:textId="77777777" w:rsidR="0073459C" w:rsidRPr="00E546C7" w:rsidRDefault="0073459C" w:rsidP="0073459C">
      <w:r w:rsidRPr="00E546C7">
        <w:t xml:space="preserve">According to Schramm's Interactive Model (1954), communication is a circular process in which each communicator continually encodes, decodes, and interprets messages. A distinguishing feature is the field of experience: communication will be more effective if there is common ground, </w:t>
      </w:r>
      <w:r w:rsidRPr="00E546C7">
        <w:rPr>
          <w:lang w:val="en-US"/>
        </w:rPr>
        <w:t xml:space="preserve">a </w:t>
      </w:r>
      <w:r w:rsidRPr="00E546C7">
        <w:t>common area of knowledge, language and cultural elements in the sender and receiver. In the case of Adidas, communications are made via campaigns and partnerships; the response on the part of consumers is via commenting, liking, user</w:t>
      </w:r>
      <w:r w:rsidRPr="00E546C7">
        <w:rPr>
          <w:lang w:val="en-US"/>
        </w:rPr>
        <w:t>-</w:t>
      </w:r>
      <w:r w:rsidRPr="00E546C7">
        <w:t>generated content, reviewing and purchasing</w:t>
      </w:r>
      <w:r w:rsidRPr="00E546C7">
        <w:rPr>
          <w:lang w:val="en-US"/>
        </w:rPr>
        <w:t xml:space="preserve"> </w:t>
      </w:r>
      <w:r w:rsidRPr="00E546C7">
        <w:rPr>
          <w:color w:val="000000"/>
        </w:rPr>
        <w:t>(Choubey and Sharma, 2026)</w:t>
      </w:r>
      <w:r w:rsidRPr="00E546C7">
        <w:t>. Adidas can then tweak subsequent messages, which means that providing feedback is a component of communication, and not something which is given as the outcome of communication.</w:t>
      </w:r>
    </w:p>
    <w:p w14:paraId="6C803A9E" w14:textId="77777777" w:rsidR="0073459C" w:rsidRPr="00E546C7" w:rsidRDefault="0073459C" w:rsidP="0073459C">
      <w:r w:rsidRPr="00E546C7">
        <w:t>This model fits well into the dissertation as consumer perception is an interpretive one. A storyline about football might be a hit with supporters who have had the same experiences as Adidas' sports narrative and a weak hit with non-fans. According to Ofcom (2026), 97% of the UK internet users aged 16-34 use social media, so interactive feedback is a key consideration for a sportswear brand that aims to target a younger audience.</w:t>
      </w:r>
    </w:p>
    <w:p w14:paraId="0E55A5D4" w14:textId="34BC4804" w:rsidR="0073459C" w:rsidRPr="00E546C7" w:rsidRDefault="0073459C" w:rsidP="0073459C">
      <w:r w:rsidRPr="00E546C7">
        <w:t>However, circular equality is not "</w:t>
      </w:r>
      <w:proofErr w:type="spellStart"/>
      <w:r w:rsidRPr="00E546C7">
        <w:t>equali</w:t>
      </w:r>
      <w:proofErr w:type="spellEnd"/>
      <w:r w:rsidRPr="00E546C7">
        <w:rPr>
          <w:lang w:val="en-US"/>
        </w:rPr>
        <w:t>s</w:t>
      </w:r>
      <w:proofErr w:type="spellStart"/>
      <w:r w:rsidRPr="00E546C7">
        <w:t>ed</w:t>
      </w:r>
      <w:proofErr w:type="spellEnd"/>
      <w:r w:rsidRPr="00E546C7">
        <w:t>". Consumers give inconsequential feedback, which algorithms may be cherry-picking, while Adidas has the purse and power to advertise and message as they wish. Comments do not necessarily reflect unengaging audiences, and there can be negative or ironic engagement</w:t>
      </w:r>
      <w:r w:rsidRPr="00E546C7">
        <w:rPr>
          <w:lang w:val="en-US"/>
        </w:rPr>
        <w:t xml:space="preserve"> </w:t>
      </w:r>
      <w:r w:rsidRPr="00E546C7">
        <w:rPr>
          <w:color w:val="000000"/>
        </w:rPr>
        <w:t>(</w:t>
      </w:r>
      <w:proofErr w:type="spellStart"/>
      <w:r w:rsidRPr="00E546C7">
        <w:rPr>
          <w:color w:val="000000"/>
        </w:rPr>
        <w:t>Butkouskaya</w:t>
      </w:r>
      <w:proofErr w:type="spellEnd"/>
      <w:r w:rsidRPr="00E546C7">
        <w:rPr>
          <w:color w:val="000000"/>
        </w:rPr>
        <w:t xml:space="preserve">, </w:t>
      </w:r>
      <w:proofErr w:type="spellStart"/>
      <w:r w:rsidRPr="00E546C7">
        <w:rPr>
          <w:color w:val="000000"/>
        </w:rPr>
        <w:t>Llonch</w:t>
      </w:r>
      <w:proofErr w:type="spellEnd"/>
      <w:r w:rsidRPr="00E546C7">
        <w:rPr>
          <w:color w:val="000000"/>
        </w:rPr>
        <w:t xml:space="preserve">-Andreu and </w:t>
      </w:r>
      <w:proofErr w:type="spellStart"/>
      <w:r w:rsidRPr="00E546C7">
        <w:rPr>
          <w:color w:val="000000"/>
        </w:rPr>
        <w:t>Alarcón</w:t>
      </w:r>
      <w:proofErr w:type="spellEnd"/>
      <w:r w:rsidRPr="00E546C7">
        <w:rPr>
          <w:color w:val="000000"/>
        </w:rPr>
        <w:t>-del-</w:t>
      </w:r>
      <w:proofErr w:type="spellStart"/>
      <w:r w:rsidRPr="00E546C7">
        <w:rPr>
          <w:color w:val="000000"/>
        </w:rPr>
        <w:t>Amo</w:t>
      </w:r>
      <w:proofErr w:type="spellEnd"/>
      <w:r w:rsidRPr="00E546C7">
        <w:rPr>
          <w:color w:val="000000"/>
        </w:rPr>
        <w:t>, 2021b)</w:t>
      </w:r>
      <w:r w:rsidRPr="00E546C7">
        <w:t>. Therefore, Schramm accounts for interaction better than Shannon–Weaver, but the former does not predict if the interaction will lead to a favourable attitude, purchase intention and/or loyalty</w:t>
      </w:r>
      <w:r w:rsidR="00D411EC" w:rsidRPr="00E546C7">
        <w:t xml:space="preserve"> (Schramm, 1954)</w:t>
      </w:r>
      <w:r w:rsidRPr="00E546C7">
        <w:t>. For those, more models and evidence of consumer behaviour are needed.</w:t>
      </w:r>
    </w:p>
    <w:p w14:paraId="74F61ABB" w14:textId="77777777" w:rsidR="0073459C" w:rsidRPr="00E546C7" w:rsidRDefault="0073459C" w:rsidP="0073459C">
      <w:pPr>
        <w:keepNext/>
        <w:jc w:val="center"/>
      </w:pPr>
      <w:r w:rsidRPr="00E546C7">
        <w:rPr>
          <w:noProof/>
        </w:rPr>
        <w:drawing>
          <wp:inline distT="0" distB="0" distL="0" distR="0" wp14:anchorId="15820B82" wp14:editId="6F0B47C4">
            <wp:extent cx="6079958" cy="244463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ramm_adidas.png"/>
                    <pic:cNvPicPr/>
                  </pic:nvPicPr>
                  <pic:blipFill rotWithShape="1">
                    <a:blip r:embed="rId11"/>
                    <a:srcRect t="15352"/>
                    <a:stretch/>
                  </pic:blipFill>
                  <pic:spPr bwMode="auto">
                    <a:xfrm>
                      <a:off x="0" y="0"/>
                      <a:ext cx="6080760" cy="2444958"/>
                    </a:xfrm>
                    <a:prstGeom prst="rect">
                      <a:avLst/>
                    </a:prstGeom>
                    <a:ln>
                      <a:noFill/>
                    </a:ln>
                    <a:extLst>
                      <a:ext uri="{53640926-AAD7-44D8-BBD7-CCE9431645EC}">
                        <a14:shadowObscured xmlns:a14="http://schemas.microsoft.com/office/drawing/2010/main"/>
                      </a:ext>
                    </a:extLst>
                  </pic:spPr>
                </pic:pic>
              </a:graphicData>
            </a:graphic>
          </wp:inline>
        </w:drawing>
      </w:r>
    </w:p>
    <w:p w14:paraId="5A1DD466" w14:textId="23330BE8" w:rsidR="0073459C" w:rsidRPr="00E546C7" w:rsidRDefault="0073459C" w:rsidP="0073459C">
      <w:pPr>
        <w:pStyle w:val="Caption"/>
        <w:rPr>
          <w:rFonts w:cs="Times New Roman"/>
          <w:lang w:val="en-US"/>
        </w:rPr>
      </w:pPr>
      <w:r w:rsidRPr="00E546C7">
        <w:rPr>
          <w:rFonts w:cs="Times New Roman"/>
        </w:rPr>
        <w:t xml:space="preserve">Figure </w:t>
      </w:r>
      <w:r w:rsidRPr="00E546C7">
        <w:rPr>
          <w:rFonts w:cs="Times New Roman"/>
        </w:rPr>
        <w:fldChar w:fldCharType="begin"/>
      </w:r>
      <w:r w:rsidRPr="00E546C7">
        <w:rPr>
          <w:rFonts w:cs="Times New Roman"/>
        </w:rPr>
        <w:instrText>SEQ Figure \* ARABIC</w:instrText>
      </w:r>
      <w:r w:rsidRPr="00E546C7">
        <w:rPr>
          <w:rFonts w:cs="Times New Roman"/>
        </w:rPr>
        <w:fldChar w:fldCharType="separate"/>
      </w:r>
      <w:r w:rsidRPr="00E546C7">
        <w:rPr>
          <w:rFonts w:cs="Times New Roman"/>
          <w:noProof/>
        </w:rPr>
        <w:t>2</w:t>
      </w:r>
      <w:r w:rsidRPr="00E546C7">
        <w:rPr>
          <w:rFonts w:cs="Times New Roman"/>
        </w:rPr>
        <w:fldChar w:fldCharType="end"/>
      </w:r>
      <w:r w:rsidRPr="00E546C7">
        <w:rPr>
          <w:rFonts w:cs="Times New Roman"/>
          <w:lang w:val="en-US"/>
        </w:rPr>
        <w:t>: Schramm’s Interactive Model Applied to Adidas</w:t>
      </w:r>
    </w:p>
    <w:p w14:paraId="06C7752F" w14:textId="2BAAFFA3" w:rsidR="0073459C" w:rsidRPr="00E546C7" w:rsidRDefault="0073459C" w:rsidP="0073459C">
      <w:pPr>
        <w:pStyle w:val="Caption"/>
        <w:rPr>
          <w:rFonts w:cs="Times New Roman"/>
        </w:rPr>
      </w:pPr>
      <w:r w:rsidRPr="00E546C7">
        <w:rPr>
          <w:rFonts w:cs="Times New Roman"/>
          <w:lang w:val="en-US"/>
        </w:rPr>
        <w:t>Source: Developed by the researcher based on Schramm (1954)</w:t>
      </w:r>
    </w:p>
    <w:p w14:paraId="1FD79AB2" w14:textId="27AF58C6" w:rsidR="0073459C" w:rsidRPr="00E546C7" w:rsidRDefault="0073459C" w:rsidP="0073459C">
      <w:pPr>
        <w:pStyle w:val="Heading3"/>
        <w:rPr>
          <w:rFonts w:cs="Times New Roman"/>
        </w:rPr>
      </w:pPr>
      <w:bookmarkStart w:id="30" w:name="_Toc239819685"/>
      <w:r w:rsidRPr="00E546C7">
        <w:rPr>
          <w:rFonts w:cs="Times New Roman"/>
        </w:rPr>
        <w:t>2.</w:t>
      </w:r>
      <w:r w:rsidR="00A00FAA" w:rsidRPr="00E546C7">
        <w:rPr>
          <w:rFonts w:cs="Times New Roman"/>
        </w:rPr>
        <w:t>6</w:t>
      </w:r>
      <w:r w:rsidRPr="00E546C7">
        <w:rPr>
          <w:rFonts w:cs="Times New Roman"/>
        </w:rPr>
        <w:t>.3 Similarities and Differences Between the Models</w:t>
      </w:r>
      <w:bookmarkEnd w:id="30"/>
    </w:p>
    <w:p w14:paraId="2D565E21" w14:textId="04A12F7A" w:rsidR="0073459C" w:rsidRPr="00E546C7" w:rsidRDefault="0073459C" w:rsidP="0073459C">
      <w:r w:rsidRPr="00E546C7">
        <w:t>Shannon–Weaver and Schramm differentiate between message generation and interpretation</w:t>
      </w:r>
      <w:r w:rsidRPr="00E546C7">
        <w:rPr>
          <w:lang w:val="en-US"/>
        </w:rPr>
        <w:t>. T</w:t>
      </w:r>
      <w:r w:rsidRPr="00E546C7">
        <w:t>hey acknowledge encoding and decoding</w:t>
      </w:r>
      <w:r w:rsidRPr="00E546C7">
        <w:rPr>
          <w:lang w:val="en-US"/>
        </w:rPr>
        <w:t>,</w:t>
      </w:r>
      <w:r w:rsidRPr="00E546C7">
        <w:t xml:space="preserve"> and they demonstrate that communication can be unsuccessful even if a message is sent</w:t>
      </w:r>
      <w:r w:rsidR="00F64BCD" w:rsidRPr="00E546C7">
        <w:t xml:space="preserve"> </w:t>
      </w:r>
      <w:r w:rsidR="00F64BCD" w:rsidRPr="00E546C7">
        <w:rPr>
          <w:color w:val="000000"/>
        </w:rPr>
        <w:t>(</w:t>
      </w:r>
      <w:proofErr w:type="spellStart"/>
      <w:r w:rsidR="00F64BCD" w:rsidRPr="00E546C7">
        <w:rPr>
          <w:color w:val="000000"/>
        </w:rPr>
        <w:t>Porcu</w:t>
      </w:r>
      <w:proofErr w:type="spellEnd"/>
      <w:r w:rsidR="00F64BCD" w:rsidRPr="00E546C7">
        <w:rPr>
          <w:color w:val="000000"/>
        </w:rPr>
        <w:t xml:space="preserve"> </w:t>
      </w:r>
      <w:r w:rsidR="00F64BCD" w:rsidRPr="00E546C7">
        <w:rPr>
          <w:i/>
          <w:iCs/>
          <w:color w:val="000000"/>
        </w:rPr>
        <w:t>et al.</w:t>
      </w:r>
      <w:r w:rsidR="00F64BCD" w:rsidRPr="00E546C7">
        <w:rPr>
          <w:color w:val="000000"/>
        </w:rPr>
        <w:t>, 2020)</w:t>
      </w:r>
      <w:r w:rsidRPr="00E546C7">
        <w:t>. The difference lies in their attitude towards consumer agency. Shannon–Weaver focuses on channel efficiency and noise, which may be applied to consider whether the Adidas message is being misinterpreted by rivals, incoherence or clutter</w:t>
      </w:r>
      <w:r w:rsidRPr="00E546C7">
        <w:rPr>
          <w:lang w:val="en-US"/>
        </w:rPr>
        <w:t xml:space="preserve"> </w:t>
      </w:r>
      <w:r w:rsidRPr="00E546C7">
        <w:rPr>
          <w:color w:val="000000"/>
        </w:rPr>
        <w:t>(Kim and Oh, 2020)</w:t>
      </w:r>
      <w:r w:rsidRPr="00E546C7">
        <w:t>. Feedback and shared experience are better explained by Schramm, which facilitates the discussion of different interpretations of the same campaign by the various target groups, and the impact that reactions have on the communication that follows.</w:t>
      </w:r>
    </w:p>
    <w:p w14:paraId="6565EC0E" w14:textId="3CF70D2E" w:rsidR="0073459C" w:rsidRPr="00E546C7" w:rsidRDefault="0073459C" w:rsidP="0073459C">
      <w:r w:rsidRPr="00E546C7">
        <w:t>Each model alone is insufficient to account for all of the causal dynamics of the dissertation. The danger for Shannon–Weaver is that she is acting as if the consumer is a destination, while the danger with Schramm is that he was glossing over Adidas' uses and abuses of being seen</w:t>
      </w:r>
      <w:r w:rsidRPr="00E546C7">
        <w:rPr>
          <w:lang w:val="en-US"/>
        </w:rPr>
        <w:t xml:space="preserve"> </w:t>
      </w:r>
      <w:r w:rsidRPr="00E546C7">
        <w:rPr>
          <w:color w:val="000000"/>
        </w:rPr>
        <w:t>(</w:t>
      </w:r>
      <w:proofErr w:type="spellStart"/>
      <w:r w:rsidRPr="00E546C7">
        <w:rPr>
          <w:color w:val="000000"/>
        </w:rPr>
        <w:t>Koronios</w:t>
      </w:r>
      <w:proofErr w:type="spellEnd"/>
      <w:r w:rsidRPr="00E546C7">
        <w:rPr>
          <w:color w:val="000000"/>
        </w:rPr>
        <w:t xml:space="preserve"> et al., 2022)</w:t>
      </w:r>
      <w:r w:rsidRPr="00E546C7">
        <w:t>. Together with each other</w:t>
      </w:r>
      <w:r w:rsidRPr="00E546C7">
        <w:rPr>
          <w:lang w:val="en-US"/>
        </w:rPr>
        <w:t>,</w:t>
      </w:r>
      <w:r w:rsidRPr="00E546C7">
        <w:t xml:space="preserve"> they present complementary explanations</w:t>
      </w:r>
      <w:r w:rsidRPr="00E546C7">
        <w:rPr>
          <w:lang w:val="en-US"/>
        </w:rPr>
        <w:t>. O</w:t>
      </w:r>
      <w:r w:rsidRPr="00E546C7">
        <w:t>ne is interruption of communication flow and of reciprocal interpretation</w:t>
      </w:r>
      <w:r w:rsidRPr="00E546C7">
        <w:rPr>
          <w:lang w:val="en-US"/>
        </w:rPr>
        <w:t>. T</w:t>
      </w:r>
      <w:r w:rsidRPr="00E546C7">
        <w:t>he other consumer attitude, purchase intention and loyalty thus need to be linked with the tricomponent attitude. Loyalty ladder models that investigate psychological and relational outcomes are not sufficiently explored by communication models.</w:t>
      </w:r>
    </w:p>
    <w:p w14:paraId="121DCDA6" w14:textId="0B1641BD" w:rsidR="0073459C" w:rsidRPr="00E546C7" w:rsidRDefault="0073459C" w:rsidP="0073459C">
      <w:pPr>
        <w:pStyle w:val="Heading2"/>
        <w:rPr>
          <w:rFonts w:cs="Times New Roman"/>
        </w:rPr>
      </w:pPr>
      <w:bookmarkStart w:id="31" w:name="_Toc239819686"/>
      <w:r w:rsidRPr="00E546C7">
        <w:rPr>
          <w:rFonts w:cs="Times New Roman"/>
        </w:rPr>
        <w:t>2.</w:t>
      </w:r>
      <w:r w:rsidR="00A00FAA" w:rsidRPr="00E546C7">
        <w:rPr>
          <w:rFonts w:cs="Times New Roman"/>
        </w:rPr>
        <w:t>7</w:t>
      </w:r>
      <w:r w:rsidRPr="00E546C7">
        <w:rPr>
          <w:rFonts w:cs="Times New Roman"/>
        </w:rPr>
        <w:t xml:space="preserve"> Tricomponent Attitude Model</w:t>
      </w:r>
      <w:bookmarkEnd w:id="31"/>
    </w:p>
    <w:p w14:paraId="1C6716C0" w14:textId="1A385B0A" w:rsidR="0073459C" w:rsidRPr="00E546C7" w:rsidRDefault="0073459C" w:rsidP="0073459C">
      <w:r w:rsidRPr="00E546C7">
        <w:t xml:space="preserve">The Tricomponent Attitude Model divides attitude into cognition, affect and conation </w:t>
      </w:r>
      <w:r w:rsidRPr="00E546C7">
        <w:rPr>
          <w:color w:val="000000"/>
        </w:rPr>
        <w:t>(Lee, 2021)</w:t>
      </w:r>
      <w:r w:rsidRPr="00E546C7">
        <w:t xml:space="preserve">. Adidas defines cognition as the beliefs communication consistent, credible, relevant or innovative; affect as </w:t>
      </w:r>
      <w:r w:rsidR="00A00FAA" w:rsidRPr="00E546C7">
        <w:t>feelings</w:t>
      </w:r>
      <w:r w:rsidRPr="00E546C7">
        <w:t>, such as the feeling of admiration, excitement or scepticism</w:t>
      </w:r>
      <w:r w:rsidRPr="00E546C7">
        <w:rPr>
          <w:lang w:val="en-US"/>
        </w:rPr>
        <w:t>;</w:t>
      </w:r>
      <w:r w:rsidRPr="00E546C7">
        <w:t xml:space="preserve"> and conation as purchase </w:t>
      </w:r>
      <w:proofErr w:type="spellStart"/>
      <w:r w:rsidRPr="00E546C7">
        <w:t>behavio</w:t>
      </w:r>
      <w:proofErr w:type="spellEnd"/>
      <w:r w:rsidRPr="00E546C7">
        <w:rPr>
          <w:lang w:val="en-US"/>
        </w:rPr>
        <w:t>u</w:t>
      </w:r>
      <w:r w:rsidRPr="00E546C7">
        <w:t>r, recommendation behaviour, or repurchase intention. The model thus serves to explain how IMC can lead to attitudinal changes prior to behavioural changes. A sustainability message can change beliefs on responsibility, but Kim and Oh (2020) indicate that scepticism can block the desire to purchase when it is time to take action.</w:t>
      </w:r>
    </w:p>
    <w:p w14:paraId="39E07521" w14:textId="77777777" w:rsidR="0073459C" w:rsidRPr="00E546C7" w:rsidRDefault="0073459C" w:rsidP="0073459C">
      <w:r w:rsidRPr="00E546C7">
        <w:t>It is beneficial in analytical separation. The use of questionnaire items can differentiate between what consumers think, feel and do and allow attitude not</w:t>
      </w:r>
      <w:r w:rsidRPr="00E546C7">
        <w:rPr>
          <w:lang w:val="en-US"/>
        </w:rPr>
        <w:t xml:space="preserve"> to</w:t>
      </w:r>
      <w:r w:rsidRPr="00E546C7">
        <w:t xml:space="preserve"> act as a catch-all response. The model is also acceptable for H1, as IMC perception could impact the cognitive and affective evaluations</w:t>
      </w:r>
      <w:r w:rsidRPr="00E546C7">
        <w:rPr>
          <w:lang w:val="en-US"/>
        </w:rPr>
        <w:t>,</w:t>
      </w:r>
      <w:r w:rsidRPr="00E546C7">
        <w:t xml:space="preserve"> which in turn can aid in shaping the purchase intention. But its sequential logic could be simplistic in terms of behaviours</w:t>
      </w:r>
      <w:r w:rsidRPr="00E546C7">
        <w:rPr>
          <w:lang w:val="en-US"/>
        </w:rPr>
        <w:t xml:space="preserve"> </w:t>
      </w:r>
      <w:r w:rsidRPr="00E546C7">
        <w:t>(Yoon, Lee and Sun, 2024). Sometimes attitudes may develop after the purchase, out of habit or as a result of promotion. Furthermore, there can be positive cognitive judgement despite negative affect, and intention does not necessarily result in behaviour. The model will be structured, not ordered</w:t>
      </w:r>
      <w:r w:rsidRPr="00E546C7">
        <w:rPr>
          <w:lang w:val="en-US"/>
        </w:rPr>
        <w:t>. T</w:t>
      </w:r>
      <w:proofErr w:type="spellStart"/>
      <w:r w:rsidRPr="00E546C7">
        <w:t>herefore</w:t>
      </w:r>
      <w:proofErr w:type="spellEnd"/>
      <w:r w:rsidRPr="00E546C7">
        <w:t xml:space="preserve">, it </w:t>
      </w:r>
      <w:r w:rsidRPr="00E546C7">
        <w:rPr>
          <w:lang w:val="en-US"/>
        </w:rPr>
        <w:t xml:space="preserve">is </w:t>
      </w:r>
      <w:r w:rsidRPr="00E546C7">
        <w:t>linguistically interpreted. The unrealistic expectations of price, product and social identity will continue to be explanations for the attitude–behaviour gap.</w:t>
      </w:r>
    </w:p>
    <w:p w14:paraId="05C71677" w14:textId="20FF1B2A" w:rsidR="0073459C" w:rsidRPr="00E546C7" w:rsidRDefault="0011252B" w:rsidP="0073459C">
      <w:pPr>
        <w:keepNext/>
        <w:jc w:val="center"/>
      </w:pPr>
      <w:r w:rsidRPr="00E546C7">
        <w:rPr>
          <w:noProof/>
          <w14:ligatures w14:val="none"/>
        </w:rPr>
        <w:drawing>
          <wp:inline distT="0" distB="0" distL="0" distR="0" wp14:anchorId="75C1CFFA" wp14:editId="6A88AE24">
            <wp:extent cx="5727700" cy="1903095"/>
            <wp:effectExtent l="0" t="0" r="0" b="1905"/>
            <wp:docPr id="571439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39017" name="Picture 5714390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1903095"/>
                    </a:xfrm>
                    <a:prstGeom prst="rect">
                      <a:avLst/>
                    </a:prstGeom>
                  </pic:spPr>
                </pic:pic>
              </a:graphicData>
            </a:graphic>
          </wp:inline>
        </w:drawing>
      </w:r>
    </w:p>
    <w:p w14:paraId="6A09DEFD" w14:textId="3673BA09" w:rsidR="0073459C" w:rsidRPr="00E546C7" w:rsidRDefault="0073459C" w:rsidP="0073459C">
      <w:pPr>
        <w:pStyle w:val="Caption"/>
        <w:rPr>
          <w:rFonts w:cs="Times New Roman"/>
          <w:lang w:val="en-US"/>
        </w:rPr>
      </w:pPr>
      <w:r w:rsidRPr="00E546C7">
        <w:rPr>
          <w:rFonts w:cs="Times New Roman"/>
        </w:rPr>
        <w:t xml:space="preserve">Figure </w:t>
      </w:r>
      <w:r w:rsidRPr="00E546C7">
        <w:rPr>
          <w:rFonts w:cs="Times New Roman"/>
        </w:rPr>
        <w:fldChar w:fldCharType="begin"/>
      </w:r>
      <w:r w:rsidRPr="00E546C7">
        <w:rPr>
          <w:rFonts w:cs="Times New Roman"/>
        </w:rPr>
        <w:instrText>SEQ Figure \* ARABIC</w:instrText>
      </w:r>
      <w:r w:rsidRPr="00E546C7">
        <w:rPr>
          <w:rFonts w:cs="Times New Roman"/>
        </w:rPr>
        <w:fldChar w:fldCharType="separate"/>
      </w:r>
      <w:r w:rsidRPr="00E546C7">
        <w:rPr>
          <w:rFonts w:cs="Times New Roman"/>
          <w:noProof/>
        </w:rPr>
        <w:t>3</w:t>
      </w:r>
      <w:r w:rsidRPr="00E546C7">
        <w:rPr>
          <w:rFonts w:cs="Times New Roman"/>
        </w:rPr>
        <w:fldChar w:fldCharType="end"/>
      </w:r>
      <w:r w:rsidRPr="00E546C7">
        <w:rPr>
          <w:rFonts w:cs="Times New Roman"/>
          <w:lang w:val="en-US"/>
        </w:rPr>
        <w:t>: Tricomponent Attitude Model Applied to Adidas</w:t>
      </w:r>
    </w:p>
    <w:p w14:paraId="72FA415C" w14:textId="0EFBB98C" w:rsidR="0073459C" w:rsidRPr="00E546C7" w:rsidRDefault="0073459C" w:rsidP="0073459C">
      <w:pPr>
        <w:pStyle w:val="Caption"/>
        <w:rPr>
          <w:rFonts w:cs="Times New Roman"/>
          <w:lang w:val="en-US"/>
        </w:rPr>
      </w:pPr>
      <w:r w:rsidRPr="00E546C7">
        <w:rPr>
          <w:rFonts w:cs="Times New Roman"/>
          <w:lang w:val="en-US"/>
        </w:rPr>
        <w:t xml:space="preserve">Source: Developed by the researcher based on </w:t>
      </w:r>
      <w:proofErr w:type="spellStart"/>
      <w:r w:rsidRPr="00E546C7">
        <w:rPr>
          <w:rFonts w:cs="Times New Roman"/>
          <w:lang w:val="en-US"/>
        </w:rPr>
        <w:t>Schiffman</w:t>
      </w:r>
      <w:proofErr w:type="spellEnd"/>
      <w:r w:rsidRPr="00E546C7">
        <w:rPr>
          <w:rFonts w:cs="Times New Roman"/>
          <w:lang w:val="en-US"/>
        </w:rPr>
        <w:t xml:space="preserve"> and </w:t>
      </w:r>
      <w:proofErr w:type="spellStart"/>
      <w:r w:rsidRPr="00E546C7">
        <w:rPr>
          <w:rFonts w:cs="Times New Roman"/>
          <w:lang w:val="en-US"/>
        </w:rPr>
        <w:t>Wisenblit</w:t>
      </w:r>
      <w:proofErr w:type="spellEnd"/>
      <w:r w:rsidRPr="00E546C7">
        <w:rPr>
          <w:rFonts w:cs="Times New Roman"/>
          <w:lang w:val="en-US"/>
        </w:rPr>
        <w:t xml:space="preserve"> (2019)</w:t>
      </w:r>
    </w:p>
    <w:p w14:paraId="5BA0B1A3" w14:textId="77777777" w:rsidR="0011252B" w:rsidRPr="00E546C7" w:rsidRDefault="0011252B" w:rsidP="0011252B">
      <w:pPr>
        <w:rPr>
          <w:lang w:val="en-US" w:eastAsia="en-US" w:bidi="bn-IN"/>
        </w:rPr>
      </w:pPr>
    </w:p>
    <w:p w14:paraId="6B394C96" w14:textId="20D5625F" w:rsidR="0073459C" w:rsidRPr="00E546C7" w:rsidRDefault="0073459C" w:rsidP="0073459C">
      <w:pPr>
        <w:pStyle w:val="Heading2"/>
        <w:rPr>
          <w:rFonts w:cs="Times New Roman"/>
        </w:rPr>
      </w:pPr>
      <w:bookmarkStart w:id="32" w:name="_Toc239819687"/>
      <w:r w:rsidRPr="00E546C7">
        <w:rPr>
          <w:rFonts w:cs="Times New Roman"/>
        </w:rPr>
        <w:t>2.</w:t>
      </w:r>
      <w:r w:rsidR="00A00FAA" w:rsidRPr="00E546C7">
        <w:rPr>
          <w:rFonts w:cs="Times New Roman"/>
        </w:rPr>
        <w:t>8</w:t>
      </w:r>
      <w:r w:rsidRPr="00E546C7">
        <w:rPr>
          <w:rFonts w:cs="Times New Roman"/>
        </w:rPr>
        <w:t xml:space="preserve"> Loyalty Ladder Model</w:t>
      </w:r>
      <w:bookmarkEnd w:id="32"/>
    </w:p>
    <w:p w14:paraId="103C0637" w14:textId="68CAB9F8" w:rsidR="0073459C" w:rsidRPr="00E546C7" w:rsidRDefault="0073459C" w:rsidP="0073459C">
      <w:r w:rsidRPr="00E546C7">
        <w:t>The Loyalty Ladder sees the development of the relationship moving from prospect to customer, client, supporter and advocate (Rehman, Gulzar and Aslam, 2022). If we apply the concept of awareness</w:t>
      </w:r>
      <w:r w:rsidRPr="00E546C7">
        <w:rPr>
          <w:lang w:val="en-US"/>
        </w:rPr>
        <w:t>-</w:t>
      </w:r>
      <w:r w:rsidRPr="00E546C7">
        <w:t>oriented IMC to Adidas, it can attract prospects; credible and relevant offers can make first-time customers; consistent post-purchase communication may lead to repeat purchase</w:t>
      </w:r>
      <w:r w:rsidRPr="00E546C7">
        <w:rPr>
          <w:lang w:val="en-US"/>
        </w:rPr>
        <w:t xml:space="preserve">s; </w:t>
      </w:r>
      <w:proofErr w:type="spellStart"/>
      <w:r w:rsidRPr="00E546C7">
        <w:rPr>
          <w:lang w:val="en-US"/>
        </w:rPr>
        <w:t>i</w:t>
      </w:r>
      <w:r w:rsidRPr="00E546C7">
        <w:t>nteractive</w:t>
      </w:r>
      <w:proofErr w:type="spellEnd"/>
      <w:r w:rsidRPr="00E546C7">
        <w:t xml:space="preserve"> communities can be made into supporters</w:t>
      </w:r>
      <w:r w:rsidR="00F64BCD" w:rsidRPr="00E546C7">
        <w:t>. A</w:t>
      </w:r>
      <w:r w:rsidRPr="00E546C7">
        <w:t xml:space="preserve">nd strong identification can create </w:t>
      </w:r>
      <w:proofErr w:type="spellStart"/>
      <w:r w:rsidRPr="00E546C7">
        <w:t>advocat</w:t>
      </w:r>
      <w:proofErr w:type="spellEnd"/>
      <w:r w:rsidRPr="00E546C7">
        <w:rPr>
          <w:lang w:val="en-US"/>
        </w:rPr>
        <w:t>e</w:t>
      </w:r>
      <w:r w:rsidRPr="00E546C7">
        <w:t>s who suggest the brand to others</w:t>
      </w:r>
      <w:r w:rsidR="00F64BCD" w:rsidRPr="00E546C7">
        <w:t xml:space="preserve"> </w:t>
      </w:r>
      <w:r w:rsidR="00F64BCD" w:rsidRPr="00E546C7">
        <w:rPr>
          <w:color w:val="000000"/>
        </w:rPr>
        <w:t>(Gao and Huang, 2021)</w:t>
      </w:r>
      <w:r w:rsidRPr="00E546C7">
        <w:t>. The model thus links to progressive relational depth communication, rather than assuming that a campaign determines loyalty.</w:t>
      </w:r>
    </w:p>
    <w:p w14:paraId="69C718DC" w14:textId="77777777" w:rsidR="0073459C" w:rsidRPr="00E546C7" w:rsidRDefault="0073459C" w:rsidP="0073459C">
      <w:r w:rsidRPr="00E546C7">
        <w:t xml:space="preserve">The goodness of it is </w:t>
      </w:r>
      <w:r w:rsidRPr="00E546C7">
        <w:rPr>
          <w:lang w:val="en-US"/>
        </w:rPr>
        <w:t xml:space="preserve">that </w:t>
      </w:r>
      <w:r w:rsidRPr="00E546C7">
        <w:t>it's very transparent</w:t>
      </w:r>
      <w:r w:rsidRPr="00E546C7">
        <w:rPr>
          <w:lang w:val="en-US"/>
        </w:rPr>
        <w:t xml:space="preserve"> </w:t>
      </w:r>
      <w:r w:rsidRPr="00E546C7">
        <w:t xml:space="preserve">(Rehman, Gulzar and Aslam, 2022). Adidas are able to build communication goals according to the different phases of relationships and can differentiate acquisition from retention. It also dovetails into H2 research in that there is a loyalty sequence of recommendation/repurchase &gt; awareness &gt; engagement. The ladder, however, suggests that movement is vertical - but the </w:t>
      </w:r>
      <w:proofErr w:type="spellStart"/>
      <w:r w:rsidRPr="00E546C7">
        <w:t>vert</w:t>
      </w:r>
      <w:r w:rsidRPr="00E546C7">
        <w:rPr>
          <w:lang w:val="en-US"/>
        </w:rPr>
        <w:t>ical</w:t>
      </w:r>
      <w:proofErr w:type="spellEnd"/>
      <w:r w:rsidRPr="00E546C7">
        <w:t xml:space="preserve"> does not necessarily align with the activity of sportswear customers. A buyer may represent Adidas football in and out of the acquisition of another brand's running shoes, and advertising and marketing may convert consumers without dedication. The model is</w:t>
      </w:r>
      <w:r w:rsidRPr="00E546C7">
        <w:rPr>
          <w:lang w:val="en-US"/>
        </w:rPr>
        <w:t xml:space="preserve"> also</w:t>
      </w:r>
      <w:r w:rsidRPr="00E546C7">
        <w:t xml:space="preserve"> blind to switching, category difference</w:t>
      </w:r>
      <w:r w:rsidRPr="00E546C7">
        <w:rPr>
          <w:lang w:val="en-US"/>
        </w:rPr>
        <w:t>s,</w:t>
      </w:r>
      <w:r w:rsidRPr="00E546C7">
        <w:t xml:space="preserve"> and negative advocacy. As such, it will be a diagnostic continuum and not a journey. Loyalty will be evaluated based on preference, recommendation and repurchase intention, but also considering consumers might be in various positions within Adidas categories.</w:t>
      </w:r>
    </w:p>
    <w:p w14:paraId="745F0B43" w14:textId="77777777" w:rsidR="0073459C" w:rsidRPr="00E546C7" w:rsidRDefault="0073459C" w:rsidP="0073459C">
      <w:pPr>
        <w:keepNext/>
        <w:jc w:val="center"/>
      </w:pPr>
      <w:r w:rsidRPr="00E546C7">
        <w:rPr>
          <w:noProof/>
        </w:rPr>
        <w:drawing>
          <wp:inline distT="0" distB="0" distL="0" distR="0" wp14:anchorId="6C05829F" wp14:editId="4604D9EF">
            <wp:extent cx="6080385" cy="1792721"/>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yalty_ladder_adidas.png"/>
                    <pic:cNvPicPr/>
                  </pic:nvPicPr>
                  <pic:blipFill rotWithShape="1">
                    <a:blip r:embed="rId13"/>
                    <a:srcRect t="12999"/>
                    <a:stretch/>
                  </pic:blipFill>
                  <pic:spPr bwMode="auto">
                    <a:xfrm>
                      <a:off x="0" y="0"/>
                      <a:ext cx="6080760" cy="1792831"/>
                    </a:xfrm>
                    <a:prstGeom prst="rect">
                      <a:avLst/>
                    </a:prstGeom>
                    <a:ln>
                      <a:noFill/>
                    </a:ln>
                    <a:extLst>
                      <a:ext uri="{53640926-AAD7-44D8-BBD7-CCE9431645EC}">
                        <a14:shadowObscured xmlns:a14="http://schemas.microsoft.com/office/drawing/2010/main"/>
                      </a:ext>
                    </a:extLst>
                  </pic:spPr>
                </pic:pic>
              </a:graphicData>
            </a:graphic>
          </wp:inline>
        </w:drawing>
      </w:r>
    </w:p>
    <w:p w14:paraId="04419301" w14:textId="766D9A61" w:rsidR="0073459C" w:rsidRPr="00E546C7" w:rsidRDefault="0073459C" w:rsidP="0073459C">
      <w:pPr>
        <w:pStyle w:val="Caption"/>
        <w:rPr>
          <w:rFonts w:cs="Times New Roman"/>
          <w:lang w:val="en-US"/>
        </w:rPr>
      </w:pPr>
      <w:r w:rsidRPr="00E546C7">
        <w:rPr>
          <w:rFonts w:cs="Times New Roman"/>
        </w:rPr>
        <w:t xml:space="preserve">Figure </w:t>
      </w:r>
      <w:r w:rsidRPr="00E546C7">
        <w:rPr>
          <w:rFonts w:cs="Times New Roman"/>
        </w:rPr>
        <w:fldChar w:fldCharType="begin"/>
      </w:r>
      <w:r w:rsidRPr="00E546C7">
        <w:rPr>
          <w:rFonts w:cs="Times New Roman"/>
        </w:rPr>
        <w:instrText>SEQ Figure \* ARABIC</w:instrText>
      </w:r>
      <w:r w:rsidRPr="00E546C7">
        <w:rPr>
          <w:rFonts w:cs="Times New Roman"/>
        </w:rPr>
        <w:fldChar w:fldCharType="separate"/>
      </w:r>
      <w:r w:rsidRPr="00E546C7">
        <w:rPr>
          <w:rFonts w:cs="Times New Roman"/>
          <w:noProof/>
        </w:rPr>
        <w:t>4</w:t>
      </w:r>
      <w:r w:rsidRPr="00E546C7">
        <w:rPr>
          <w:rFonts w:cs="Times New Roman"/>
        </w:rPr>
        <w:fldChar w:fldCharType="end"/>
      </w:r>
      <w:r w:rsidRPr="00E546C7">
        <w:rPr>
          <w:rFonts w:cs="Times New Roman"/>
          <w:lang w:val="en-US"/>
        </w:rPr>
        <w:t>: Loyalty Ladder Applied to Adidas</w:t>
      </w:r>
    </w:p>
    <w:p w14:paraId="1611A88F" w14:textId="1576A917" w:rsidR="0073459C" w:rsidRPr="00E546C7" w:rsidRDefault="0073459C" w:rsidP="0073459C">
      <w:pPr>
        <w:pStyle w:val="Caption"/>
        <w:rPr>
          <w:rFonts w:cs="Times New Roman"/>
        </w:rPr>
      </w:pPr>
      <w:r w:rsidRPr="00E546C7">
        <w:rPr>
          <w:rFonts w:cs="Times New Roman"/>
          <w:lang w:val="en-US"/>
        </w:rPr>
        <w:t>Source: Developed by the researcher based on Christopher, Payne and Ballantyne (1991)</w:t>
      </w:r>
    </w:p>
    <w:p w14:paraId="0E7B1D15" w14:textId="77777777" w:rsidR="0073459C" w:rsidRPr="00E546C7" w:rsidRDefault="0073459C" w:rsidP="0073459C">
      <w:pPr>
        <w:pStyle w:val="Heading2"/>
        <w:rPr>
          <w:rFonts w:cs="Times New Roman"/>
        </w:rPr>
      </w:pPr>
      <w:bookmarkStart w:id="33" w:name="_Toc239819688"/>
      <w:r w:rsidRPr="00E546C7">
        <w:rPr>
          <w:rFonts w:cs="Times New Roman"/>
        </w:rPr>
        <w:t>2.9 Chapter Summary</w:t>
      </w:r>
      <w:bookmarkEnd w:id="33"/>
    </w:p>
    <w:p w14:paraId="24176BC6" w14:textId="6DD3E367" w:rsidR="0073459C" w:rsidRPr="00E546C7" w:rsidRDefault="0073459C" w:rsidP="0073459C">
      <w:r w:rsidRPr="00E546C7">
        <w:t xml:space="preserve">The chapter concludes that Adidas's IMC can enhance perceptions, attitudes, purchase intentions and loyalty, but </w:t>
      </w:r>
      <w:r w:rsidR="00A00FAA" w:rsidRPr="00E546C7">
        <w:t xml:space="preserve">is </w:t>
      </w:r>
      <w:r w:rsidRPr="00E546C7">
        <w:t>dependent on credibility, relevance, interaction, context, and competing influences. Four models are provided: transmission, interpretation, attitude formation and relationship progression</w:t>
      </w:r>
      <w:r w:rsidRPr="00E546C7">
        <w:rPr>
          <w:lang w:val="en-US"/>
        </w:rPr>
        <w:t xml:space="preserve"> </w:t>
      </w:r>
      <w:r w:rsidRPr="00E546C7">
        <w:t>(Ismaeel, Khanfar and Al-Shaikh, 2025). The following chapter will explain the justification of the positivist, deductive, mono-method quantitative research design, the online survey, the convenience sampling, the use of the EXCEL analysis and safeguards to test the hypotheses.</w:t>
      </w:r>
    </w:p>
    <w:p w14:paraId="51D18C1B" w14:textId="77777777" w:rsidR="0011252B" w:rsidRPr="00E546C7" w:rsidRDefault="0011252B">
      <w:pPr>
        <w:spacing w:before="0" w:after="160" w:line="259" w:lineRule="auto"/>
        <w:jc w:val="left"/>
      </w:pPr>
      <w:r w:rsidRPr="00E546C7">
        <w:br w:type="page"/>
      </w:r>
    </w:p>
    <w:p w14:paraId="6B4E8FEC" w14:textId="77777777" w:rsidR="0011252B" w:rsidRPr="00E546C7" w:rsidRDefault="0011252B" w:rsidP="0011252B">
      <w:pPr>
        <w:pStyle w:val="Heading1"/>
        <w:spacing w:before="160" w:after="100"/>
        <w:rPr>
          <w:rFonts w:cs="Times New Roman"/>
        </w:rPr>
      </w:pPr>
      <w:bookmarkStart w:id="34" w:name="_Toc239819689"/>
      <w:r w:rsidRPr="00E546C7">
        <w:rPr>
          <w:rFonts w:cs="Times New Roman"/>
        </w:rPr>
        <w:t>3. Research Methodology</w:t>
      </w:r>
      <w:bookmarkEnd w:id="34"/>
    </w:p>
    <w:p w14:paraId="3FF44373" w14:textId="5DB3489A" w:rsidR="0011252B" w:rsidRPr="00E546C7" w:rsidRDefault="0011252B" w:rsidP="0011252B">
      <w:r w:rsidRPr="00E546C7">
        <w:t xml:space="preserve">Research methodology deals with the overall plan of approach for systematically answering research questions. It links the research questions with how evidence was gathered, measured and analysed. </w:t>
      </w:r>
      <w:r w:rsidR="00E36DEB" w:rsidRPr="00E546C7">
        <w:t>Saunders, Lewis and Thornhill</w:t>
      </w:r>
      <w:r w:rsidRPr="00E546C7">
        <w:t xml:space="preserve"> (2023) provide the definition of methodology as the assumptions, choices and procedures that guide the research. The methodology in this research aims to investigate consumer perception towards Adidas IMC with consumer attitude, purchase intention and brand loyalty, for consumers in the UK. All three of these have already been addressed in the proposal and can be seen as important characteristics of IMC</w:t>
      </w:r>
      <w:r w:rsidR="00F64BCD" w:rsidRPr="00E546C7">
        <w:t xml:space="preserve">, </w:t>
      </w:r>
      <w:r w:rsidRPr="00E546C7">
        <w:t>being consistent, credible, relevant and interactive.</w:t>
      </w:r>
    </w:p>
    <w:p w14:paraId="18CC7037" w14:textId="42BC58CE" w:rsidR="0011252B" w:rsidRPr="00E546C7" w:rsidRDefault="0011252B" w:rsidP="0011252B">
      <w:r w:rsidRPr="00E546C7">
        <w:t xml:space="preserve">This chapter uses the Research Onion created by </w:t>
      </w:r>
      <w:r w:rsidR="00E36DEB" w:rsidRPr="00E546C7">
        <w:t>Saunders, Lewis and Thornhill</w:t>
      </w:r>
      <w:r w:rsidRPr="00E546C7">
        <w:t xml:space="preserve"> (2023). The model is a representation of decisions made in research, considered as linked layers. A researcher takes his/her philosophical stance to concrete decisions about data collection and analysis. These are broadly the different layers of research: Research philosophy, Research approach, Research strategy, Methodological choice, Time horizon and Techniques and procedures</w:t>
      </w:r>
      <w:r w:rsidR="0077106E" w:rsidRPr="00E546C7">
        <w:t xml:space="preserve"> (</w:t>
      </w:r>
      <w:proofErr w:type="spellStart"/>
      <w:r w:rsidR="0077106E" w:rsidRPr="00E546C7">
        <w:t>Aguinis</w:t>
      </w:r>
      <w:proofErr w:type="spellEnd"/>
      <w:r w:rsidR="0077106E" w:rsidRPr="00E546C7">
        <w:t>, Bergh and Molina-</w:t>
      </w:r>
      <w:proofErr w:type="spellStart"/>
      <w:r w:rsidR="0077106E" w:rsidRPr="00E546C7">
        <w:t>Azorin</w:t>
      </w:r>
      <w:proofErr w:type="spellEnd"/>
      <w:r w:rsidR="0077106E" w:rsidRPr="00E546C7">
        <w:t>, 2022)</w:t>
      </w:r>
      <w:r w:rsidRPr="00E546C7">
        <w:t>. The use of the model keeps the study organised since every methodological consideration is guided by the previous one. The selected approach for this study is positivism, deduction, online survey, mono-method quantitative research, cross-sectional time horizon, convenience sampling and numerical analysis through the use of Microsoft Excel.</w:t>
      </w:r>
    </w:p>
    <w:p w14:paraId="75F9B4DC" w14:textId="46032EB9" w:rsidR="0011252B" w:rsidRPr="00E546C7" w:rsidRDefault="00B6531A" w:rsidP="0011252B">
      <w:pPr>
        <w:jc w:val="center"/>
      </w:pPr>
      <w:r w:rsidRPr="00E546C7">
        <w:rPr>
          <w:noProof/>
          <w14:ligatures w14:val="none"/>
        </w:rPr>
        <w:drawing>
          <wp:inline distT="0" distB="0" distL="0" distR="0" wp14:anchorId="03243C76" wp14:editId="7175CE72">
            <wp:extent cx="3904153" cy="2788742"/>
            <wp:effectExtent l="0" t="0" r="0" b="5715"/>
            <wp:docPr id="415177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177658" name="Picture 41517765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43416" cy="2816788"/>
                    </a:xfrm>
                    <a:prstGeom prst="rect">
                      <a:avLst/>
                    </a:prstGeom>
                  </pic:spPr>
                </pic:pic>
              </a:graphicData>
            </a:graphic>
          </wp:inline>
        </w:drawing>
      </w:r>
    </w:p>
    <w:p w14:paraId="079C55AF" w14:textId="77777777" w:rsidR="0011252B" w:rsidRPr="00E546C7" w:rsidRDefault="0011252B" w:rsidP="0011252B">
      <w:pPr>
        <w:jc w:val="center"/>
      </w:pPr>
      <w:r w:rsidRPr="00E546C7">
        <w:rPr>
          <w:b/>
          <w:sz w:val="19"/>
        </w:rPr>
        <w:t>Figure 3.1: Research Onion Model adapted for this study</w:t>
      </w:r>
    </w:p>
    <w:p w14:paraId="138FD47F" w14:textId="6B08566A" w:rsidR="0011252B" w:rsidRPr="00E546C7" w:rsidRDefault="0011252B" w:rsidP="0011252B">
      <w:pPr>
        <w:jc w:val="center"/>
      </w:pPr>
      <w:r w:rsidRPr="00E546C7">
        <w:rPr>
          <w:i/>
          <w:sz w:val="18"/>
        </w:rPr>
        <w:t xml:space="preserve">Source: Adapted from </w:t>
      </w:r>
      <w:r w:rsidR="00E36DEB" w:rsidRPr="00E546C7">
        <w:rPr>
          <w:i/>
          <w:sz w:val="18"/>
        </w:rPr>
        <w:t>Saunders, Lewis and Thornhill</w:t>
      </w:r>
      <w:r w:rsidRPr="00E546C7">
        <w:rPr>
          <w:i/>
          <w:sz w:val="18"/>
        </w:rPr>
        <w:t xml:space="preserve"> (2023)</w:t>
      </w:r>
    </w:p>
    <w:p w14:paraId="0FD7CF47" w14:textId="77777777" w:rsidR="0011252B" w:rsidRPr="00E546C7" w:rsidRDefault="0011252B" w:rsidP="0011252B">
      <w:pPr>
        <w:pStyle w:val="Heading2"/>
        <w:spacing w:before="160" w:after="100"/>
        <w:rPr>
          <w:rFonts w:cs="Times New Roman"/>
        </w:rPr>
      </w:pPr>
      <w:bookmarkStart w:id="35" w:name="_Toc239819690"/>
      <w:r w:rsidRPr="00E546C7">
        <w:rPr>
          <w:rFonts w:cs="Times New Roman"/>
        </w:rPr>
        <w:t>3.1 Research Philosophy: Positivism</w:t>
      </w:r>
      <w:bookmarkEnd w:id="35"/>
    </w:p>
    <w:p w14:paraId="653780AD" w14:textId="34850A63" w:rsidR="0011252B" w:rsidRPr="00E546C7" w:rsidRDefault="0011252B" w:rsidP="0011252B">
      <w:r w:rsidRPr="00E546C7">
        <w:t>BELIEFS that guide the development and understanding of knowledge are referred to as research philosophy. The approach of this research is positivism approach. Positivism relates to information that can be observed and measured. Appropriate when a researcher is interested in obtaining information of a numerical nature and systematically exploring patterns or relationships (</w:t>
      </w:r>
      <w:r w:rsidR="00E36DEB" w:rsidRPr="00E546C7">
        <w:t>Saunders, Lewis and Thornhill</w:t>
      </w:r>
      <w:r w:rsidRPr="00E546C7">
        <w:t>, 2023). The researcher will try not to bring personal judgement into the picture by using the same questionnaire for all participants and the same response scale. The concepts of this study can be measured by closed-ended statements; therefore, Positivism has been chosen for this study. The respondents will be asked to rate their perception of Adidas' Integrated Marketing Communication, their attitude, purchase intention and their brand loyalty</w:t>
      </w:r>
      <w:r w:rsidR="0077106E" w:rsidRPr="00E546C7">
        <w:t xml:space="preserve"> (Aguinis, Bergh and Molina-Azorin, 2022)</w:t>
      </w:r>
      <w:r w:rsidRPr="00E546C7">
        <w:t>. The responses can then be coded as numbers. This enables the researcher to make comparisons both between the responses of the survey respondents and to discover certain overall trends in the sample. The two hypotheses also align with the philosophy, as relationship statements are those that can be researched through numeric information.</w:t>
      </w:r>
    </w:p>
    <w:p w14:paraId="1D505B4B" w14:textId="77777777" w:rsidR="0011252B" w:rsidRPr="00E546C7" w:rsidRDefault="0011252B" w:rsidP="0011252B">
      <w:pPr>
        <w:pStyle w:val="Heading2"/>
        <w:spacing w:before="160" w:after="100"/>
        <w:rPr>
          <w:rFonts w:cs="Times New Roman"/>
        </w:rPr>
      </w:pPr>
      <w:bookmarkStart w:id="36" w:name="_Toc239819691"/>
      <w:r w:rsidRPr="00E546C7">
        <w:rPr>
          <w:rFonts w:cs="Times New Roman"/>
        </w:rPr>
        <w:t>3.2 Research Approach: Deductive</w:t>
      </w:r>
      <w:bookmarkEnd w:id="36"/>
    </w:p>
    <w:p w14:paraId="2ECB1C0C" w14:textId="269CF265" w:rsidR="0011252B" w:rsidRPr="00E546C7" w:rsidRDefault="0011252B" w:rsidP="0011252B">
      <w:r w:rsidRPr="00E546C7">
        <w:t>A research approach is the linking of theory with evidence. The approach that is used in this study is a deductive approach. Deduction typically starts with one or more theories or previous research and asks research questions about the relationships expected given the new data. An analysis is made based on some existing literature on IMC and consumer behaviour. It also produces positive hypotheses which relate to consumers' attitudes toward Adidas' communication. The deductive approach would be appropriate in this instance because the researcher is not starting with no expectations</w:t>
      </w:r>
      <w:r w:rsidR="0077106E" w:rsidRPr="00E546C7">
        <w:t xml:space="preserve"> (Lock and Seele, 2015)</w:t>
      </w:r>
      <w:r w:rsidRPr="00E546C7">
        <w:t>. There is support in the literature indicating that (perceived) consistency, credibility, relevance and interactivity would impact consumers' brand evaluations. Primary data will be gathered from the questionnaire to elicit similar relationships between the potential UK consumers. The results will either support, partially support, or be inconsistent with the proposed expectations. The study will not, however, state that it is proven through the survey that there is causation.</w:t>
      </w:r>
    </w:p>
    <w:p w14:paraId="40FFBCFE" w14:textId="77777777" w:rsidR="0011252B" w:rsidRPr="00E546C7" w:rsidRDefault="0011252B" w:rsidP="0011252B">
      <w:pPr>
        <w:pStyle w:val="Heading2"/>
        <w:spacing w:before="160" w:after="100"/>
        <w:rPr>
          <w:rFonts w:cs="Times New Roman"/>
        </w:rPr>
      </w:pPr>
      <w:bookmarkStart w:id="37" w:name="_Toc239819692"/>
      <w:r w:rsidRPr="00E546C7">
        <w:rPr>
          <w:rFonts w:cs="Times New Roman"/>
        </w:rPr>
        <w:t>3.3 Research Strategy: Survey</w:t>
      </w:r>
      <w:bookmarkEnd w:id="37"/>
    </w:p>
    <w:p w14:paraId="2E0244CD" w14:textId="7ED420B0" w:rsidR="0011252B" w:rsidRPr="00E546C7" w:rsidRDefault="0011252B" w:rsidP="0011252B">
      <w:r w:rsidRPr="00E546C7">
        <w:t>A research approach is a plan that guides implementation to collect data for research. Explanations will be sought from an online survey strategy. Surveys can be used to gather standardised responses from multiple individuals over a relatively short timeframe. All participants will have the same questions to answer and choices of answers. This will make it easier to compare and analyse answers (</w:t>
      </w:r>
      <w:r w:rsidR="00E36DEB" w:rsidRPr="00E546C7">
        <w:t>Saunders, Lewis and Thornhill</w:t>
      </w:r>
      <w:r w:rsidRPr="00E546C7">
        <w:t xml:space="preserve"> 20</w:t>
      </w:r>
      <w:r w:rsidR="00E36DEB" w:rsidRPr="00E546C7">
        <w:t>23</w:t>
      </w:r>
      <w:r w:rsidRPr="00E546C7">
        <w:t>). Based on the objective of this research – consumer perceptions – the survey is suitable for this project. The respondents can directly tell what their perceived attitude is towards Adidas' communications and what their attitude is towards the brand. The online format also allows for quick dissemination to the target populations in accordance with study criteria. Feasible for a student project of limited time and resources.</w:t>
      </w:r>
    </w:p>
    <w:p w14:paraId="28162EDC" w14:textId="77777777" w:rsidR="0011252B" w:rsidRPr="00E546C7" w:rsidRDefault="0011252B" w:rsidP="0011252B">
      <w:pPr>
        <w:pStyle w:val="Heading2"/>
        <w:spacing w:before="160" w:after="100"/>
        <w:rPr>
          <w:rFonts w:cs="Times New Roman"/>
        </w:rPr>
      </w:pPr>
      <w:bookmarkStart w:id="38" w:name="_Toc239819693"/>
      <w:r w:rsidRPr="00E546C7">
        <w:rPr>
          <w:rFonts w:cs="Times New Roman"/>
        </w:rPr>
        <w:t>3.4 Type of Investigation: Primary and Secondary Research</w:t>
      </w:r>
      <w:bookmarkEnd w:id="38"/>
    </w:p>
    <w:p w14:paraId="76108536" w14:textId="685779E3" w:rsidR="0011252B" w:rsidRPr="00E546C7" w:rsidRDefault="0011252B" w:rsidP="0011252B">
      <w:r w:rsidRPr="00E546C7">
        <w:t>Primary Research: Obtaining new information for particular research. Primary data will be collected from the respondents by using an online questionnaire. The answers will give first-hand numerical data on the perceptions of IMC, consumer attitude, purchase intention and brand loyalty. Primary research is great as the questions can be tailored to the objectives of the research</w:t>
      </w:r>
      <w:r w:rsidR="0077106E" w:rsidRPr="00E546C7">
        <w:t xml:space="preserve"> (Ragab and Arisha, 2017)</w:t>
      </w:r>
      <w:r w:rsidRPr="00E546C7">
        <w:t xml:space="preserve">. </w:t>
      </w:r>
      <w:r w:rsidRPr="00E546C7">
        <w:rPr>
          <w:color w:val="000000" w:themeColor="text1"/>
        </w:rPr>
        <w:t>Also, the researcher can</w:t>
      </w:r>
      <w:r w:rsidR="00026B7E" w:rsidRPr="00E546C7">
        <w:rPr>
          <w:color w:val="000000" w:themeColor="text1"/>
        </w:rPr>
        <w:t xml:space="preserve"> optimise</w:t>
      </w:r>
      <w:r w:rsidRPr="00E546C7">
        <w:rPr>
          <w:color w:val="000000" w:themeColor="text1"/>
        </w:rPr>
        <w:t xml:space="preserve"> the question</w:t>
      </w:r>
      <w:r w:rsidR="00E36DEB" w:rsidRPr="00E546C7">
        <w:rPr>
          <w:color w:val="000000" w:themeColor="text1"/>
        </w:rPr>
        <w:t>naire</w:t>
      </w:r>
      <w:r w:rsidR="00026B7E" w:rsidRPr="00E546C7">
        <w:rPr>
          <w:color w:val="000000" w:themeColor="text1"/>
        </w:rPr>
        <w:t xml:space="preserve"> by making some changes according to the research needs</w:t>
      </w:r>
      <w:r w:rsidRPr="00E546C7">
        <w:rPr>
          <w:color w:val="000000" w:themeColor="text1"/>
        </w:rPr>
        <w:t xml:space="preserve">. </w:t>
      </w:r>
      <w:r w:rsidRPr="00E546C7">
        <w:t>Primary research, however, takes time to recruit subjects and may have a low rate of return, or participation may be biased. Secondary research is a process which relies on existing information. Most of the secondary data used in this dissertation have been gathered from a literature review. The concepts are defined, and the theoretical background is developed and supported by the research design by using academic journal articles, books and published resources that are relevant to the topic</w:t>
      </w:r>
      <w:r w:rsidR="0077106E" w:rsidRPr="00E546C7">
        <w:t xml:space="preserve"> (Saunders, Lewis and Thornhill 2023)</w:t>
      </w:r>
      <w:r w:rsidRPr="00E546C7">
        <w:t xml:space="preserve">. It's cheaper and faster to collect all data than </w:t>
      </w:r>
      <w:r w:rsidR="00026B7E" w:rsidRPr="00E546C7">
        <w:t>prim</w:t>
      </w:r>
      <w:r w:rsidRPr="00E546C7">
        <w:t>ary research. It can also be compared to previous studies. A disadvantage is that different countries or industries, measures or populations may be used in previous studies. Therefore, their results may not necessarily be fully representative of Adidas' customers in the UK.</w:t>
      </w:r>
    </w:p>
    <w:p w14:paraId="72D359E8" w14:textId="77777777" w:rsidR="0011252B" w:rsidRPr="00E546C7" w:rsidRDefault="0011252B" w:rsidP="0011252B">
      <w:pPr>
        <w:pStyle w:val="Heading2"/>
        <w:spacing w:before="160" w:after="100"/>
        <w:rPr>
          <w:rFonts w:cs="Times New Roman"/>
        </w:rPr>
      </w:pPr>
      <w:bookmarkStart w:id="39" w:name="_Toc239819694"/>
      <w:r w:rsidRPr="00E546C7">
        <w:rPr>
          <w:rFonts w:cs="Times New Roman"/>
        </w:rPr>
        <w:t>3.5 Methodological Choice: Mono-Method Quantitative</w:t>
      </w:r>
      <w:bookmarkEnd w:id="39"/>
    </w:p>
    <w:p w14:paraId="312D0BB3" w14:textId="0E2C784C" w:rsidR="0011252B" w:rsidRPr="00E546C7" w:rsidRDefault="0011252B" w:rsidP="0011252B">
      <w:r w:rsidRPr="00E546C7">
        <w:t xml:space="preserve">Quantitative research gathers data that is measurable or able to be explained in numerical data. It can be used as a tool for creating measurements, for comparing responses and looking for patterns or relationships. Qualitative research, on the other hand, is used to find out meanings, experiences and opinions, primarily based on non-numerical information such as interviews, observations or open responses </w:t>
      </w:r>
      <w:r w:rsidR="00E36DEB" w:rsidRPr="00E546C7">
        <w:t>(Saunders, Lewis and Thornhill, 2023)</w:t>
      </w:r>
      <w:r w:rsidRPr="00E546C7">
        <w:t>. The mono-method we will use in this dissertation is quantitative, with a choice of answers. “Mono-method” indicates that the primary method will be employed. It will be done by one structured questionnaire and numerical responses, and not by quantitative and qualitative methods. This option is appropriate since the aims are to measure the perceptions and the relationships between the variables identified</w:t>
      </w:r>
      <w:r w:rsidR="0077106E" w:rsidRPr="00E546C7">
        <w:t xml:space="preserve"> (Snyder, 2019)</w:t>
      </w:r>
      <w:r w:rsidRPr="00E546C7">
        <w:t>. Measures of agreement from the participants will be converted into a five-point Likert scale. The method is also oriented towards positivist philosophy and towards deductive design.</w:t>
      </w:r>
    </w:p>
    <w:p w14:paraId="28269397" w14:textId="77777777" w:rsidR="0011252B" w:rsidRPr="00E546C7" w:rsidRDefault="0011252B" w:rsidP="0011252B">
      <w:pPr>
        <w:pStyle w:val="Heading2"/>
        <w:spacing w:before="160" w:after="100"/>
        <w:rPr>
          <w:rFonts w:cs="Times New Roman"/>
        </w:rPr>
      </w:pPr>
      <w:bookmarkStart w:id="40" w:name="_Toc239819695"/>
      <w:r w:rsidRPr="00E546C7">
        <w:rPr>
          <w:rFonts w:cs="Times New Roman"/>
        </w:rPr>
        <w:t>3.6 Time Horizon: Cross-Sectional</w:t>
      </w:r>
      <w:bookmarkEnd w:id="40"/>
    </w:p>
    <w:p w14:paraId="6AF8DF38" w14:textId="7BA48D14" w:rsidR="0011252B" w:rsidRPr="00E546C7" w:rsidRDefault="0011252B" w:rsidP="0011252B">
      <w:r w:rsidRPr="00E546C7">
        <w:t>The time horizon indicates when and over what time interval data is obtained. The design of this study is a cross-sectional study. A cross-sectional study is a study that draws information from the respondents at a specific period of research, not consecutively, over a long period of time. It offers an instant-in-time picture of consumer attitudes when the data is being gathered. This design has been proved to be appropriate for this dissertation, due to the time constraints of the academic activity</w:t>
      </w:r>
      <w:r w:rsidR="0077106E" w:rsidRPr="00E546C7">
        <w:t xml:space="preserve"> (Snyder, 2019)</w:t>
      </w:r>
      <w:r w:rsidRPr="00E546C7">
        <w:t>. This benefits the researcher as they can observe the present perceptions of Adidas's IMC, attitude, purchase intention and loyalty, which would otherwise happen after several months or years. One drawback is that the design does not present a phenomenon showing opinion development through the years. It also cannot make strong causal claims because of its lack of establishment of temporal order.</w:t>
      </w:r>
    </w:p>
    <w:p w14:paraId="68985F9A" w14:textId="77777777" w:rsidR="0011252B" w:rsidRPr="00E546C7" w:rsidRDefault="0011252B" w:rsidP="0011252B">
      <w:pPr>
        <w:pStyle w:val="Heading2"/>
        <w:spacing w:before="160" w:after="100"/>
        <w:rPr>
          <w:rFonts w:cs="Times New Roman"/>
        </w:rPr>
      </w:pPr>
      <w:bookmarkStart w:id="41" w:name="_Toc239819696"/>
      <w:r w:rsidRPr="00E546C7">
        <w:rPr>
          <w:rFonts w:cs="Times New Roman"/>
        </w:rPr>
        <w:t>3.7 Data Collection and Analysis</w:t>
      </w:r>
      <w:bookmarkEnd w:id="41"/>
    </w:p>
    <w:p w14:paraId="26B3C663" w14:textId="77777777" w:rsidR="00FF36D3" w:rsidRPr="00E546C7" w:rsidRDefault="00FF36D3" w:rsidP="00FF36D3">
      <w:pPr>
        <w:pStyle w:val="Heading3"/>
        <w:rPr>
          <w:rFonts w:cs="Times New Roman"/>
        </w:rPr>
      </w:pPr>
      <w:bookmarkStart w:id="42" w:name="_Toc239819697"/>
      <w:r w:rsidRPr="00E546C7">
        <w:rPr>
          <w:rFonts w:cs="Times New Roman"/>
        </w:rPr>
        <w:t>3.7.1 Definition of Sampling</w:t>
      </w:r>
      <w:bookmarkEnd w:id="42"/>
    </w:p>
    <w:p w14:paraId="59CE97F5" w14:textId="097A16AC" w:rsidR="00FF36D3" w:rsidRPr="00E546C7" w:rsidRDefault="00FF36D3" w:rsidP="00FF36D3">
      <w:pPr>
        <w:pStyle w:val="NormalWeb"/>
        <w:spacing w:before="0" w:after="0"/>
        <w:rPr>
          <w:color w:val="000000"/>
        </w:rPr>
      </w:pPr>
      <w:r w:rsidRPr="00E546C7">
        <w:rPr>
          <w:color w:val="000000"/>
        </w:rPr>
        <w:t>Selection of a small, manageable number of respondents or elements from a large population is defined as sampling (Saunders, Lewis and Thornhill, 2023). Sampling in this study is employed to gain the responses of the consumers of the UK who meet the criteria of the study and can give information pertaining to the IMC (Integrated Marketing Communication) of Adidas, consumer attitude, purchase intention and brand loyalty.</w:t>
      </w:r>
    </w:p>
    <w:p w14:paraId="65A88398" w14:textId="77777777" w:rsidR="00FF36D3" w:rsidRPr="00E546C7" w:rsidRDefault="00FF36D3" w:rsidP="00FF36D3">
      <w:pPr>
        <w:pStyle w:val="Heading3"/>
        <w:rPr>
          <w:rFonts w:cs="Times New Roman"/>
        </w:rPr>
      </w:pPr>
      <w:bookmarkStart w:id="43" w:name="_Toc239819698"/>
      <w:r w:rsidRPr="00E546C7">
        <w:rPr>
          <w:rFonts w:cs="Times New Roman"/>
        </w:rPr>
        <w:t>3.7.2 Sample Size</w:t>
      </w:r>
      <w:bookmarkEnd w:id="43"/>
    </w:p>
    <w:p w14:paraId="0CCD4626" w14:textId="1CCF57DC" w:rsidR="00FF36D3" w:rsidRPr="00E546C7" w:rsidRDefault="00FF36D3" w:rsidP="00FF36D3">
      <w:pPr>
        <w:pStyle w:val="NormalWeb"/>
        <w:spacing w:before="0" w:after="0"/>
        <w:rPr>
          <w:color w:val="000000"/>
        </w:rPr>
      </w:pPr>
      <w:r w:rsidRPr="00E546C7">
        <w:rPr>
          <w:color w:val="000000"/>
        </w:rPr>
        <w:t>The sample size will be 50. This sample size is suitable for research carried out by students, eliminating the need for extensive sample sizes and requiring only a small number of answers for descriptive analysis and simple testing of relationships (Snyder, 2019). This means all respondents will need to be 18 years old or older and based in the UK.</w:t>
      </w:r>
    </w:p>
    <w:p w14:paraId="3A08D0CF" w14:textId="77777777" w:rsidR="00FF36D3" w:rsidRPr="00E546C7" w:rsidRDefault="00FF36D3" w:rsidP="00FF36D3">
      <w:pPr>
        <w:pStyle w:val="Heading3"/>
        <w:rPr>
          <w:rFonts w:cs="Times New Roman"/>
        </w:rPr>
      </w:pPr>
      <w:bookmarkStart w:id="44" w:name="_Toc239819699"/>
      <w:r w:rsidRPr="00E546C7">
        <w:rPr>
          <w:rFonts w:cs="Times New Roman"/>
        </w:rPr>
        <w:t>3.7.3 Sample Type</w:t>
      </w:r>
      <w:bookmarkEnd w:id="44"/>
    </w:p>
    <w:p w14:paraId="7F3F6718" w14:textId="09F638AA" w:rsidR="00FF36D3" w:rsidRPr="00E546C7" w:rsidRDefault="00FF36D3" w:rsidP="00FF36D3">
      <w:pPr>
        <w:pStyle w:val="NormalWeb"/>
        <w:spacing w:before="0" w:after="0"/>
        <w:rPr>
          <w:color w:val="000000"/>
        </w:rPr>
      </w:pPr>
      <w:r w:rsidRPr="00E546C7">
        <w:rPr>
          <w:color w:val="000000"/>
        </w:rPr>
        <w:t>UK consumers who are aware of Adidas and who have seen, considered or bought Adidas products will form the sample. To describe the characteristics of the sample and to help interpret the findings, basic demographic data like age and gender will be collected.</w:t>
      </w:r>
    </w:p>
    <w:p w14:paraId="3E62F203" w14:textId="77777777" w:rsidR="00FF36D3" w:rsidRPr="00E546C7" w:rsidRDefault="00FF36D3" w:rsidP="00FF36D3">
      <w:pPr>
        <w:pStyle w:val="Heading3"/>
        <w:rPr>
          <w:rFonts w:cs="Times New Roman"/>
        </w:rPr>
      </w:pPr>
      <w:bookmarkStart w:id="45" w:name="_Toc239819700"/>
      <w:r w:rsidRPr="00E546C7">
        <w:rPr>
          <w:rFonts w:cs="Times New Roman"/>
        </w:rPr>
        <w:t>3.7.4 Sampling Method</w:t>
      </w:r>
      <w:bookmarkEnd w:id="45"/>
    </w:p>
    <w:p w14:paraId="74EB4550" w14:textId="4A252D69" w:rsidR="00FF36D3" w:rsidRPr="00E546C7" w:rsidRDefault="00FF36D3" w:rsidP="00FF36D3">
      <w:pPr>
        <w:pStyle w:val="NormalWeb"/>
        <w:spacing w:before="0" w:after="0"/>
        <w:rPr>
          <w:color w:val="000000"/>
        </w:rPr>
      </w:pPr>
      <w:r w:rsidRPr="00E546C7">
        <w:rPr>
          <w:color w:val="000000"/>
        </w:rPr>
        <w:t>A convenience method of non-probability sampling will be employed. This will result in the selection of participants in accordance with the inclusion criteria, accessibility and willingness to participate (</w:t>
      </w:r>
      <w:proofErr w:type="spellStart"/>
      <w:r w:rsidRPr="00E546C7">
        <w:rPr>
          <w:color w:val="000000"/>
        </w:rPr>
        <w:t>Aguinis</w:t>
      </w:r>
      <w:proofErr w:type="spellEnd"/>
      <w:r w:rsidRPr="00E546C7">
        <w:rPr>
          <w:color w:val="000000"/>
        </w:rPr>
        <w:t>, Bergh and Molina-</w:t>
      </w:r>
      <w:proofErr w:type="spellStart"/>
      <w:r w:rsidRPr="00E546C7">
        <w:rPr>
          <w:color w:val="000000"/>
        </w:rPr>
        <w:t>Azorin</w:t>
      </w:r>
      <w:proofErr w:type="spellEnd"/>
      <w:r w:rsidRPr="00E546C7">
        <w:rPr>
          <w:color w:val="000000"/>
        </w:rPr>
        <w:t>, 2022). So how the probability of each member of the UK Adidas consumer population is selected is unknown.</w:t>
      </w:r>
    </w:p>
    <w:p w14:paraId="00CF014E" w14:textId="77777777" w:rsidR="00FF36D3" w:rsidRPr="00E546C7" w:rsidRDefault="00FF36D3" w:rsidP="00FF36D3">
      <w:pPr>
        <w:pStyle w:val="Heading3"/>
        <w:rPr>
          <w:rFonts w:cs="Times New Roman"/>
        </w:rPr>
      </w:pPr>
      <w:bookmarkStart w:id="46" w:name="_Toc239819701"/>
      <w:r w:rsidRPr="00E546C7">
        <w:rPr>
          <w:rFonts w:cs="Times New Roman"/>
        </w:rPr>
        <w:t>3.7.5 Data Collection Method</w:t>
      </w:r>
      <w:bookmarkEnd w:id="46"/>
    </w:p>
    <w:p w14:paraId="2071CEC0" w14:textId="0EFD6BCB" w:rsidR="00FF36D3" w:rsidRPr="00E546C7" w:rsidRDefault="00FF36D3" w:rsidP="00FF36D3">
      <w:pPr>
        <w:pStyle w:val="NormalWeb"/>
        <w:spacing w:before="0" w:after="0"/>
        <w:rPr>
          <w:color w:val="000000"/>
        </w:rPr>
      </w:pPr>
      <w:r w:rsidRPr="00E546C7">
        <w:rPr>
          <w:color w:val="000000"/>
        </w:rPr>
        <w:t>There will be an online questionnaire with Google Forms used to collect the primary data. There will be 10 closed-ended questions on the questionnaire. Questions 1 and 2 will be demographic data, and the rest of the questions (3-10) will assess Perceived IMC, attitude, purchase intentions and brand loyalty. The main variables will be measured on a 5 - point Likert scale, from Strongly Disagree to Strongly Agree.</w:t>
      </w:r>
    </w:p>
    <w:p w14:paraId="4915652E" w14:textId="77777777" w:rsidR="00FF36D3" w:rsidRPr="00E546C7" w:rsidRDefault="00FF36D3" w:rsidP="00FF36D3">
      <w:pPr>
        <w:pStyle w:val="NormalWeb"/>
        <w:spacing w:before="0" w:after="0"/>
        <w:rPr>
          <w:color w:val="000000"/>
        </w:rPr>
      </w:pPr>
      <w:r w:rsidRPr="00E546C7">
        <w:rPr>
          <w:color w:val="000000"/>
        </w:rPr>
        <w:t>3.7.6 Pros and Cons of Sampling Method</w:t>
      </w:r>
    </w:p>
    <w:p w14:paraId="69A40190" w14:textId="6D9B83D2" w:rsidR="00FF36D3" w:rsidRPr="00E546C7" w:rsidRDefault="00FF36D3" w:rsidP="00FF36D3">
      <w:pPr>
        <w:pStyle w:val="NormalWeb"/>
        <w:spacing w:before="0" w:after="0"/>
        <w:rPr>
          <w:b/>
          <w:bCs/>
          <w:color w:val="000000"/>
        </w:rPr>
      </w:pPr>
      <w:r w:rsidRPr="00E546C7">
        <w:rPr>
          <w:b/>
          <w:bCs/>
          <w:color w:val="000000"/>
        </w:rPr>
        <w:t xml:space="preserve">Advantages: </w:t>
      </w:r>
      <w:r w:rsidRPr="00E546C7">
        <w:rPr>
          <w:color w:val="000000"/>
        </w:rPr>
        <w:t>Convenience sampling is quick, simple and inexpensive. It can achieve the desired respondents who are available in the online world and is applicable to a study with restricted time, resources and access to the population (Saunders, Lewis and Thornhill, 2023).</w:t>
      </w:r>
    </w:p>
    <w:p w14:paraId="64619786" w14:textId="70D327B4" w:rsidR="0011252B" w:rsidRPr="00E546C7" w:rsidRDefault="00FF36D3" w:rsidP="00FF36D3">
      <w:pPr>
        <w:pStyle w:val="NormalWeb"/>
        <w:spacing w:before="0" w:after="0"/>
        <w:rPr>
          <w:b/>
          <w:bCs/>
          <w:color w:val="000000"/>
        </w:rPr>
      </w:pPr>
      <w:r w:rsidRPr="00E546C7">
        <w:rPr>
          <w:b/>
          <w:bCs/>
          <w:color w:val="000000"/>
        </w:rPr>
        <w:t xml:space="preserve">Disadvantages: </w:t>
      </w:r>
      <w:r w:rsidRPr="00E546C7">
        <w:rPr>
          <w:color w:val="000000"/>
        </w:rPr>
        <w:t>Convenience sampling can lead to selection bias as whoever can be reached may not be representative of the population. Thus, the results may not apply to all consumers of Adidas products in Great Britain. The sample may over- or underrepresent some demographic groups (Saunders, Lewis and Thornhill, 2023)</w:t>
      </w:r>
      <w:r w:rsidR="0011252B" w:rsidRPr="00E546C7">
        <w:t>.</w:t>
      </w:r>
    </w:p>
    <w:p w14:paraId="0EFEE612" w14:textId="2CA53824" w:rsidR="0011252B" w:rsidRPr="00E546C7" w:rsidRDefault="0011252B" w:rsidP="0011252B">
      <w:pPr>
        <w:pStyle w:val="Heading2"/>
        <w:spacing w:before="160" w:after="100"/>
        <w:rPr>
          <w:rFonts w:cs="Times New Roman"/>
        </w:rPr>
      </w:pPr>
      <w:bookmarkStart w:id="47" w:name="_Toc239819702"/>
      <w:r w:rsidRPr="00E546C7">
        <w:rPr>
          <w:rFonts w:cs="Times New Roman"/>
        </w:rPr>
        <w:t>3.</w:t>
      </w:r>
      <w:r w:rsidR="008D07C5" w:rsidRPr="00E546C7">
        <w:rPr>
          <w:rFonts w:cs="Times New Roman"/>
        </w:rPr>
        <w:t>8</w:t>
      </w:r>
      <w:r w:rsidRPr="00E546C7">
        <w:rPr>
          <w:rFonts w:cs="Times New Roman"/>
        </w:rPr>
        <w:t xml:space="preserve"> Research Ethics</w:t>
      </w:r>
      <w:bookmarkEnd w:id="47"/>
    </w:p>
    <w:p w14:paraId="63CCF3B7" w14:textId="19A1A974" w:rsidR="0011252B" w:rsidRPr="00E546C7" w:rsidRDefault="0011252B" w:rsidP="0011252B">
      <w:r w:rsidRPr="00E546C7">
        <w:t>Research ethics are principles safeguarding the people who are involved in the process of research and promoting good practice. Ethical research honours the dignity of its participants, their privacy, their choice and personal info</w:t>
      </w:r>
      <w:r w:rsidR="0077106E" w:rsidRPr="00E546C7">
        <w:t xml:space="preserve"> (Saunders, Lewis and Thornhill, 2023)</w:t>
      </w:r>
      <w:r w:rsidRPr="00E546C7">
        <w:t>. Participants will be given short information about the purpose of this questionnaire prior to answering it. Participation will be on a voluntary basis, and respondents will not be made to participate. Wherever possible, the questionnaire will not ask for names or direct personal identifiers which are not necessary</w:t>
      </w:r>
      <w:r w:rsidR="0077106E" w:rsidRPr="00E546C7">
        <w:t xml:space="preserve"> (Snyder, 2019)</w:t>
      </w:r>
      <w:r w:rsidRPr="00E546C7">
        <w:t>. The main data will be handled as private and confidential and will only be used for academic purposes. Only there will be limited access to the information collected to the process of research. Participants will be told that they are not required to answer all the questions and that if they do not wish to do so, they may leave without making any entries. Data will be handled in line with institutional procedures and the Data Protection Act 2018 and UK GDPR (Data minimisation, secure storage, purpose limitation).</w:t>
      </w:r>
    </w:p>
    <w:p w14:paraId="1953B998" w14:textId="77777777" w:rsidR="00FF36D3" w:rsidRPr="00E546C7" w:rsidRDefault="00FF36D3" w:rsidP="00FF36D3">
      <w:pPr>
        <w:pStyle w:val="Heading2"/>
        <w:rPr>
          <w:rFonts w:cs="Times New Roman"/>
        </w:rPr>
      </w:pPr>
      <w:bookmarkStart w:id="48" w:name="_Toc239819703"/>
      <w:r w:rsidRPr="00E546C7">
        <w:rPr>
          <w:rFonts w:cs="Times New Roman"/>
        </w:rPr>
        <w:t>3.9 Reliability and Validity of Data</w:t>
      </w:r>
      <w:bookmarkEnd w:id="48"/>
    </w:p>
    <w:p w14:paraId="5D830412" w14:textId="3DBB75AA" w:rsidR="00FF36D3" w:rsidRPr="00E546C7" w:rsidRDefault="00FF36D3" w:rsidP="0011252B">
      <w:r w:rsidRPr="00E546C7">
        <w:t>Reliability and validity are crucial to ensure that data are consistent and that they are a true measurement of the variables being measured. Reliability – the consistency of the questionnaire, in such a way that the same responses must be obtained under the same circumstances. Standardised closed-ended questions and a 5-point Likert scale will facilitate consistency in this study (Saunders, Lewis and Thornhill, 2023). Validity is the extent to which the questionnaire measures what Adidas is interested in measuring, that is, consumers' perception of Adidas's IMC, attitude, purchase intention and brand loyalty. The items in the questionnaire will follow the literature and research objectives. Use unambiguous and uniform wording for the questions and response options to minimise misunderstandings and improve the quality of the data collected.</w:t>
      </w:r>
    </w:p>
    <w:p w14:paraId="2348E643" w14:textId="77777777" w:rsidR="007927B7" w:rsidRPr="00E546C7" w:rsidRDefault="007927B7" w:rsidP="0073459C">
      <w:pPr>
        <w:rPr>
          <w:color w:val="FF0000"/>
        </w:rPr>
      </w:pPr>
    </w:p>
    <w:p w14:paraId="77360CAA" w14:textId="77777777" w:rsidR="007927B7" w:rsidRPr="00E546C7" w:rsidRDefault="007927B7" w:rsidP="0073459C"/>
    <w:p w14:paraId="2389A33D" w14:textId="77777777" w:rsidR="007927B7" w:rsidRPr="00E546C7" w:rsidRDefault="007927B7">
      <w:pPr>
        <w:spacing w:before="0" w:after="160" w:line="259" w:lineRule="auto"/>
        <w:jc w:val="left"/>
      </w:pPr>
      <w:r w:rsidRPr="00E546C7">
        <w:br w:type="page"/>
      </w:r>
    </w:p>
    <w:p w14:paraId="72481C45" w14:textId="77777777" w:rsidR="007927B7" w:rsidRPr="00E546C7" w:rsidRDefault="007927B7" w:rsidP="007927B7">
      <w:pPr>
        <w:pStyle w:val="Heading1"/>
        <w:rPr>
          <w:rFonts w:cs="Times New Roman"/>
        </w:rPr>
      </w:pPr>
      <w:bookmarkStart w:id="49" w:name="_Toc239819705"/>
      <w:r w:rsidRPr="00E546C7">
        <w:rPr>
          <w:rFonts w:cs="Times New Roman"/>
        </w:rPr>
        <w:t>Chapter 4: Analysis and Findings</w:t>
      </w:r>
      <w:bookmarkEnd w:id="49"/>
    </w:p>
    <w:p w14:paraId="53717D59" w14:textId="77777777" w:rsidR="007927B7" w:rsidRPr="00E546C7" w:rsidRDefault="007927B7" w:rsidP="007927B7">
      <w:pPr>
        <w:pStyle w:val="Heading2"/>
        <w:rPr>
          <w:rFonts w:cs="Times New Roman"/>
        </w:rPr>
      </w:pPr>
      <w:bookmarkStart w:id="50" w:name="_Toc239819706"/>
      <w:r w:rsidRPr="00E546C7">
        <w:rPr>
          <w:rFonts w:cs="Times New Roman"/>
        </w:rPr>
        <w:t>4.1 Introduction</w:t>
      </w:r>
      <w:bookmarkEnd w:id="50"/>
    </w:p>
    <w:p w14:paraId="43E2A9F4" w14:textId="12431608" w:rsidR="007927B7" w:rsidRPr="00E546C7" w:rsidRDefault="007927B7" w:rsidP="007927B7">
      <w:r w:rsidRPr="00E546C7">
        <w:rPr>
          <w:rFonts w:eastAsiaTheme="majorEastAsia"/>
        </w:rPr>
        <w:t xml:space="preserve">This chapter provides </w:t>
      </w:r>
      <w:r w:rsidRPr="00E546C7">
        <w:t xml:space="preserve">an </w:t>
      </w:r>
      <w:r w:rsidRPr="00E546C7">
        <w:rPr>
          <w:rFonts w:eastAsiaTheme="majorEastAsia"/>
        </w:rPr>
        <w:t>analysis o</w:t>
      </w:r>
      <w:r w:rsidRPr="00E546C7">
        <w:t>f</w:t>
      </w:r>
      <w:r w:rsidRPr="00E546C7">
        <w:rPr>
          <w:rFonts w:eastAsiaTheme="majorEastAsia"/>
        </w:rPr>
        <w:t xml:space="preserve"> the 50 completed questionnaires from the eligible consumers in the United Kingdom based on three objectives and </w:t>
      </w:r>
      <w:r w:rsidRPr="00E546C7">
        <w:t xml:space="preserve">the </w:t>
      </w:r>
      <w:r w:rsidRPr="00E546C7">
        <w:rPr>
          <w:rFonts w:eastAsiaTheme="majorEastAsia"/>
        </w:rPr>
        <w:t>study aim.</w:t>
      </w:r>
      <w:r w:rsidRPr="00E546C7">
        <w:t xml:space="preserve"> </w:t>
      </w:r>
      <w:r w:rsidR="005C756A" w:rsidRPr="00E546C7">
        <w:rPr>
          <w:rFonts w:eastAsiaTheme="majorEastAsia"/>
        </w:rPr>
        <w:t>All graphs and the</w:t>
      </w:r>
      <w:r w:rsidRPr="00E546C7">
        <w:rPr>
          <w:rFonts w:eastAsiaTheme="majorEastAsia"/>
        </w:rPr>
        <w:t xml:space="preserve"> interpretation structure </w:t>
      </w:r>
      <w:r w:rsidR="005C756A" w:rsidRPr="00E546C7">
        <w:rPr>
          <w:rFonts w:eastAsiaTheme="majorEastAsia"/>
        </w:rPr>
        <w:t>are</w:t>
      </w:r>
      <w:r w:rsidRPr="00E546C7">
        <w:rPr>
          <w:rFonts w:eastAsiaTheme="majorEastAsia"/>
        </w:rPr>
        <w:t xml:space="preserve"> followed</w:t>
      </w:r>
      <w:r w:rsidR="005C756A" w:rsidRPr="00E546C7">
        <w:rPr>
          <w:rFonts w:eastAsiaTheme="majorEastAsia"/>
        </w:rPr>
        <w:t>,</w:t>
      </w:r>
      <w:r w:rsidRPr="00E546C7">
        <w:rPr>
          <w:rFonts w:eastAsiaTheme="majorEastAsia"/>
        </w:rPr>
        <w:t xml:space="preserve"> as each survey question is visualised</w:t>
      </w:r>
      <w:r w:rsidR="005C756A" w:rsidRPr="00E546C7">
        <w:rPr>
          <w:rFonts w:eastAsiaTheme="majorEastAsia"/>
        </w:rPr>
        <w:t xml:space="preserve"> and</w:t>
      </w:r>
      <w:r w:rsidRPr="00E546C7">
        <w:rPr>
          <w:rFonts w:eastAsiaTheme="majorEastAsia"/>
        </w:rPr>
        <w:t xml:space="preserve"> interpreted in relation to the objectives, hypotheses and models</w:t>
      </w:r>
      <w:r w:rsidR="00207B08" w:rsidRPr="00E546C7">
        <w:rPr>
          <w:rFonts w:eastAsiaTheme="majorEastAsia"/>
        </w:rPr>
        <w:t xml:space="preserve"> </w:t>
      </w:r>
      <w:r w:rsidR="00207B08" w:rsidRPr="00E546C7">
        <w:rPr>
          <w:color w:val="000000"/>
        </w:rPr>
        <w:t>(Fernandes et al., 2025)</w:t>
      </w:r>
      <w:r w:rsidRPr="00E546C7">
        <w:rPr>
          <w:rFonts w:eastAsiaTheme="majorEastAsia"/>
        </w:rPr>
        <w:t>.</w:t>
      </w:r>
      <w:r w:rsidRPr="00E546C7">
        <w:t xml:space="preserve"> </w:t>
      </w:r>
      <w:r w:rsidRPr="00E546C7">
        <w:rPr>
          <w:rFonts w:eastAsiaTheme="majorEastAsia"/>
        </w:rPr>
        <w:t>Demographic and nominal data were summarised using frequencies and percentages, while means, standard deviations and positive-response rates were used to summarise six</w:t>
      </w:r>
      <w:r w:rsidRPr="00E546C7">
        <w:t xml:space="preserve"> </w:t>
      </w:r>
      <w:r w:rsidRPr="00E546C7">
        <w:rPr>
          <w:rFonts w:eastAsiaTheme="majorEastAsia"/>
        </w:rPr>
        <w:t>items of data collected on the 5-point Likert items.</w:t>
      </w:r>
      <w:r w:rsidRPr="00E546C7">
        <w:t xml:space="preserve"> </w:t>
      </w:r>
      <w:r w:rsidRPr="00E546C7">
        <w:rPr>
          <w:rFonts w:eastAsiaTheme="majorEastAsia"/>
        </w:rPr>
        <w:t xml:space="preserve">The Spearman's rank correlation coefficient </w:t>
      </w:r>
      <w:r w:rsidR="005C756A" w:rsidRPr="00E546C7">
        <w:rPr>
          <w:rFonts w:eastAsiaTheme="majorEastAsia"/>
        </w:rPr>
        <w:t>wa</w:t>
      </w:r>
      <w:r w:rsidRPr="00E546C7">
        <w:rPr>
          <w:rFonts w:eastAsiaTheme="majorEastAsia"/>
        </w:rPr>
        <w:t>s used as the main relationship test</w:t>
      </w:r>
      <w:r w:rsidR="005C756A" w:rsidRPr="00E546C7">
        <w:rPr>
          <w:rFonts w:eastAsiaTheme="majorEastAsia"/>
        </w:rPr>
        <w:t>,</w:t>
      </w:r>
      <w:r w:rsidRPr="00E546C7">
        <w:rPr>
          <w:rFonts w:eastAsiaTheme="majorEastAsia"/>
        </w:rPr>
        <w:t xml:space="preserve"> and also the heteroscedasticity-consistent ordinary least squares (H</w:t>
      </w:r>
      <w:r w:rsidR="005C756A" w:rsidRPr="00E546C7">
        <w:rPr>
          <w:rFonts w:eastAsiaTheme="majorEastAsia"/>
        </w:rPr>
        <w:t>C-</w:t>
      </w:r>
      <w:r w:rsidRPr="00E546C7">
        <w:rPr>
          <w:rFonts w:eastAsiaTheme="majorEastAsia"/>
        </w:rPr>
        <w:t>OLS) as the robust test.</w:t>
      </w:r>
      <w:r w:rsidRPr="00E546C7">
        <w:t xml:space="preserve"> </w:t>
      </w:r>
      <w:r w:rsidRPr="00E546C7">
        <w:rPr>
          <w:rFonts w:eastAsiaTheme="majorEastAsia"/>
        </w:rPr>
        <w:t>Significance is p &lt; .05</w:t>
      </w:r>
      <w:r w:rsidRPr="00E546C7">
        <w:t>,</w:t>
      </w:r>
      <w:r w:rsidRPr="00E546C7">
        <w:rPr>
          <w:rFonts w:eastAsiaTheme="majorEastAsia"/>
        </w:rPr>
        <w:t xml:space="preserve"> and no causal claims are made</w:t>
      </w:r>
      <w:r w:rsidRPr="00E546C7">
        <w:t>.</w:t>
      </w:r>
    </w:p>
    <w:p w14:paraId="699EE1AF" w14:textId="77777777" w:rsidR="007927B7" w:rsidRPr="00E546C7" w:rsidRDefault="007927B7" w:rsidP="007927B7">
      <w:pPr>
        <w:pStyle w:val="Heading2"/>
        <w:rPr>
          <w:rFonts w:cs="Times New Roman"/>
        </w:rPr>
      </w:pPr>
      <w:bookmarkStart w:id="51" w:name="_Toc239819707"/>
      <w:r w:rsidRPr="00E546C7">
        <w:rPr>
          <w:rFonts w:cs="Times New Roman"/>
        </w:rPr>
        <w:t>4.2 Data Quality, Coding and Analytical Framework</w:t>
      </w:r>
      <w:bookmarkEnd w:id="51"/>
    </w:p>
    <w:p w14:paraId="0F44F3EF" w14:textId="4FE0EDB7" w:rsidR="007927B7" w:rsidRPr="00E546C7" w:rsidRDefault="007927B7" w:rsidP="007927B7">
      <w:r w:rsidRPr="00E546C7">
        <w:rPr>
          <w:rFonts w:eastAsiaTheme="majorEastAsia"/>
        </w:rPr>
        <w:t>All 50 records were complete, timestamps were unique</w:t>
      </w:r>
      <w:r w:rsidRPr="00E546C7">
        <w:t>,</w:t>
      </w:r>
      <w:r w:rsidRPr="00E546C7">
        <w:rPr>
          <w:rFonts w:eastAsiaTheme="majorEastAsia"/>
        </w:rPr>
        <w:t xml:space="preserve"> and no duplicated response rows were identified.</w:t>
      </w:r>
      <w:r w:rsidRPr="00E546C7">
        <w:t xml:space="preserve"> </w:t>
      </w:r>
      <w:r w:rsidRPr="00E546C7">
        <w:rPr>
          <w:rFonts w:eastAsiaTheme="majorEastAsia"/>
        </w:rPr>
        <w:t>This means that there was no need to impute or to delete cases.</w:t>
      </w:r>
      <w:r w:rsidRPr="00E546C7">
        <w:t xml:space="preserve"> </w:t>
      </w:r>
      <w:r w:rsidRPr="00E546C7">
        <w:rPr>
          <w:rFonts w:eastAsiaTheme="majorEastAsia"/>
        </w:rPr>
        <w:t>All responses were placed on a common scale from 1 (strongly disagree) to 5 (strongly agree), with the two questions already in the numerical data being coded in the same way.</w:t>
      </w:r>
      <w:r w:rsidRPr="00E546C7">
        <w:t xml:space="preserve"> </w:t>
      </w:r>
      <w:r w:rsidRPr="00E546C7">
        <w:rPr>
          <w:rFonts w:eastAsiaTheme="majorEastAsia"/>
        </w:rPr>
        <w:t>The mean of Question 3 (consistency) and Question 4 (credibility, relevance and engagement) was used as the operationalisation for Perceived IMC</w:t>
      </w:r>
      <w:r w:rsidR="00207B08" w:rsidRPr="00E546C7">
        <w:rPr>
          <w:rFonts w:eastAsiaTheme="majorEastAsia"/>
        </w:rPr>
        <w:t xml:space="preserve"> </w:t>
      </w:r>
      <w:r w:rsidR="00207B08" w:rsidRPr="00E546C7">
        <w:rPr>
          <w:color w:val="000000"/>
        </w:rPr>
        <w:t>(Khadija and Omar, 2023)</w:t>
      </w:r>
      <w:r w:rsidRPr="00E546C7">
        <w:rPr>
          <w:rFonts w:eastAsiaTheme="majorEastAsia"/>
        </w:rPr>
        <w:t>.</w:t>
      </w:r>
      <w:r w:rsidRPr="00E546C7">
        <w:t xml:space="preserve"> </w:t>
      </w:r>
      <w:r w:rsidRPr="00E546C7">
        <w:rPr>
          <w:rFonts w:eastAsiaTheme="majorEastAsia"/>
        </w:rPr>
        <w:t>The H1 result was computed as the average of attitude (Question 5) and purchase intention (Question 6).</w:t>
      </w:r>
      <w:r w:rsidRPr="00E546C7">
        <w:t xml:space="preserve"> </w:t>
      </w:r>
      <w:r w:rsidRPr="00E546C7">
        <w:rPr>
          <w:rFonts w:eastAsiaTheme="majorEastAsia"/>
        </w:rPr>
        <w:t>Question 9 was kept as a generic, respondent</w:t>
      </w:r>
      <w:r w:rsidRPr="00E546C7">
        <w:t>-</w:t>
      </w:r>
      <w:r w:rsidRPr="00E546C7">
        <w:rPr>
          <w:rFonts w:eastAsiaTheme="majorEastAsia"/>
        </w:rPr>
        <w:t>perceived relational statement and not considered to be a distinct behavioural outcome.</w:t>
      </w:r>
      <w:r w:rsidRPr="00E546C7">
        <w:t xml:space="preserve"> </w:t>
      </w:r>
      <w:r w:rsidRPr="00E546C7">
        <w:rPr>
          <w:rFonts w:eastAsiaTheme="majorEastAsia"/>
        </w:rPr>
        <w:t>Question 10 was the only loyalty measure for H2 (available)</w:t>
      </w:r>
      <w:r w:rsidR="00207B08" w:rsidRPr="00E546C7">
        <w:rPr>
          <w:rFonts w:eastAsiaTheme="majorEastAsia"/>
        </w:rPr>
        <w:t xml:space="preserve"> </w:t>
      </w:r>
      <w:r w:rsidR="00207B08" w:rsidRPr="00E546C7">
        <w:rPr>
          <w:color w:val="000000"/>
        </w:rPr>
        <w:t>(McLean et al., 2020)</w:t>
      </w:r>
      <w:r w:rsidRPr="00E546C7">
        <w:rPr>
          <w:rFonts w:eastAsiaTheme="majorEastAsia"/>
        </w:rPr>
        <w:t>.</w:t>
      </w:r>
      <w:r w:rsidRPr="00E546C7">
        <w:t xml:space="preserve"> </w:t>
      </w:r>
      <w:r w:rsidRPr="00E546C7">
        <w:rPr>
          <w:rFonts w:eastAsiaTheme="majorEastAsia"/>
        </w:rPr>
        <w:t>This reflects the actual questionnaire that was used and the fact that Question 4 covers three attributes</w:t>
      </w:r>
      <w:r w:rsidRPr="00E546C7">
        <w:t>. E</w:t>
      </w:r>
      <w:r w:rsidRPr="00E546C7">
        <w:rPr>
          <w:rFonts w:eastAsiaTheme="majorEastAsia"/>
        </w:rPr>
        <w:t>ngagement is being used as an alternate measure of interactivity</w:t>
      </w:r>
      <w:r w:rsidRPr="00E546C7">
        <w:t>.</w:t>
      </w:r>
    </w:p>
    <w:p w14:paraId="634EC6E1" w14:textId="77777777" w:rsidR="007927B7" w:rsidRPr="00E546C7" w:rsidRDefault="007927B7" w:rsidP="007927B7">
      <w:pPr>
        <w:pStyle w:val="Caption"/>
        <w:jc w:val="left"/>
        <w:rPr>
          <w:rFonts w:cs="Times New Roman"/>
        </w:rPr>
      </w:pPr>
      <w:r w:rsidRPr="00E546C7">
        <w:rPr>
          <w:rFonts w:eastAsia="Times New Roman" w:cs="Times New Roman"/>
          <w:color w:val="1F2933"/>
        </w:rPr>
        <w:t>Table 4.1: Data Screening, Coding and Analytical Decisions</w:t>
      </w:r>
    </w:p>
    <w:tbl>
      <w:tblPr>
        <w:tblStyle w:val="TableGrid"/>
        <w:tblW w:w="9020" w:type="dxa"/>
        <w:tblInd w:w="120" w:type="dxa"/>
        <w:tblLayout w:type="fixed"/>
        <w:tblLook w:val="04A0" w:firstRow="1" w:lastRow="0" w:firstColumn="1" w:lastColumn="0" w:noHBand="0" w:noVBand="1"/>
      </w:tblPr>
      <w:tblGrid>
        <w:gridCol w:w="2450"/>
        <w:gridCol w:w="2100"/>
        <w:gridCol w:w="4470"/>
      </w:tblGrid>
      <w:tr w:rsidR="007927B7" w:rsidRPr="00E546C7" w14:paraId="2882A0CB" w14:textId="77777777" w:rsidTr="00B11AF1">
        <w:trPr>
          <w:cantSplit/>
          <w:tblHeader/>
        </w:trPr>
        <w:tc>
          <w:tcPr>
            <w:tcW w:w="2450" w:type="dxa"/>
            <w:shd w:val="clear" w:color="auto" w:fill="17365D"/>
            <w:tcMar>
              <w:top w:w="80" w:type="dxa"/>
              <w:left w:w="120" w:type="dxa"/>
              <w:bottom w:w="80" w:type="dxa"/>
              <w:right w:w="120" w:type="dxa"/>
            </w:tcMar>
            <w:vAlign w:val="center"/>
          </w:tcPr>
          <w:p w14:paraId="60308246" w14:textId="77777777" w:rsidR="007927B7" w:rsidRPr="00E546C7" w:rsidRDefault="007927B7" w:rsidP="00B11AF1">
            <w:pPr>
              <w:pStyle w:val="TableHeader"/>
              <w:rPr>
                <w:rFonts w:cs="Times New Roman"/>
              </w:rPr>
            </w:pPr>
            <w:r w:rsidRPr="00E546C7">
              <w:rPr>
                <w:rFonts w:eastAsia="Times New Roman" w:cs="Times New Roman"/>
                <w:b/>
                <w:sz w:val="18"/>
              </w:rPr>
              <w:t>Check / Variable</w:t>
            </w:r>
          </w:p>
        </w:tc>
        <w:tc>
          <w:tcPr>
            <w:tcW w:w="2100" w:type="dxa"/>
            <w:shd w:val="clear" w:color="auto" w:fill="17365D"/>
            <w:tcMar>
              <w:top w:w="80" w:type="dxa"/>
              <w:left w:w="120" w:type="dxa"/>
              <w:bottom w:w="80" w:type="dxa"/>
              <w:right w:w="120" w:type="dxa"/>
            </w:tcMar>
            <w:vAlign w:val="center"/>
          </w:tcPr>
          <w:p w14:paraId="40029DC8" w14:textId="77777777" w:rsidR="007927B7" w:rsidRPr="00E546C7" w:rsidRDefault="007927B7" w:rsidP="00B11AF1">
            <w:pPr>
              <w:pStyle w:val="TableHeader"/>
              <w:rPr>
                <w:rFonts w:cs="Times New Roman"/>
              </w:rPr>
            </w:pPr>
            <w:r w:rsidRPr="00E546C7">
              <w:rPr>
                <w:rFonts w:eastAsia="Times New Roman" w:cs="Times New Roman"/>
                <w:b/>
                <w:sz w:val="18"/>
              </w:rPr>
              <w:t>Evidence</w:t>
            </w:r>
          </w:p>
        </w:tc>
        <w:tc>
          <w:tcPr>
            <w:tcW w:w="4470" w:type="dxa"/>
            <w:shd w:val="clear" w:color="auto" w:fill="17365D"/>
            <w:tcMar>
              <w:top w:w="80" w:type="dxa"/>
              <w:left w:w="120" w:type="dxa"/>
              <w:bottom w:w="80" w:type="dxa"/>
              <w:right w:w="120" w:type="dxa"/>
            </w:tcMar>
            <w:vAlign w:val="center"/>
          </w:tcPr>
          <w:p w14:paraId="3F6BE024" w14:textId="77777777" w:rsidR="007927B7" w:rsidRPr="00E546C7" w:rsidRDefault="007927B7" w:rsidP="00B11AF1">
            <w:pPr>
              <w:pStyle w:val="TableHeader"/>
              <w:rPr>
                <w:rFonts w:cs="Times New Roman"/>
              </w:rPr>
            </w:pPr>
            <w:r w:rsidRPr="00E546C7">
              <w:rPr>
                <w:rFonts w:eastAsia="Times New Roman" w:cs="Times New Roman"/>
                <w:b/>
                <w:sz w:val="18"/>
              </w:rPr>
              <w:t>Analytical Decision</w:t>
            </w:r>
          </w:p>
        </w:tc>
      </w:tr>
      <w:tr w:rsidR="007927B7" w:rsidRPr="00E546C7" w14:paraId="417DA1C8" w14:textId="77777777" w:rsidTr="00B11AF1">
        <w:trPr>
          <w:cantSplit/>
        </w:trPr>
        <w:tc>
          <w:tcPr>
            <w:tcW w:w="2450" w:type="dxa"/>
            <w:tcMar>
              <w:top w:w="80" w:type="dxa"/>
              <w:left w:w="120" w:type="dxa"/>
              <w:bottom w:w="80" w:type="dxa"/>
              <w:right w:w="120" w:type="dxa"/>
            </w:tcMar>
            <w:vAlign w:val="center"/>
          </w:tcPr>
          <w:p w14:paraId="365F4BD0" w14:textId="77777777" w:rsidR="007927B7" w:rsidRPr="00E546C7" w:rsidRDefault="007927B7" w:rsidP="00B11AF1">
            <w:pPr>
              <w:pStyle w:val="TableText"/>
              <w:rPr>
                <w:rFonts w:cs="Times New Roman"/>
              </w:rPr>
            </w:pPr>
            <w:r w:rsidRPr="00E546C7">
              <w:rPr>
                <w:rFonts w:eastAsia="Times New Roman" w:cs="Times New Roman"/>
                <w:sz w:val="18"/>
              </w:rPr>
              <w:t>Usable responses</w:t>
            </w:r>
          </w:p>
        </w:tc>
        <w:tc>
          <w:tcPr>
            <w:tcW w:w="2100" w:type="dxa"/>
            <w:tcMar>
              <w:top w:w="80" w:type="dxa"/>
              <w:left w:w="120" w:type="dxa"/>
              <w:bottom w:w="80" w:type="dxa"/>
              <w:right w:w="120" w:type="dxa"/>
            </w:tcMar>
            <w:vAlign w:val="center"/>
          </w:tcPr>
          <w:p w14:paraId="00EC29A8" w14:textId="77777777" w:rsidR="007927B7" w:rsidRPr="00E546C7" w:rsidRDefault="007927B7" w:rsidP="00B11AF1">
            <w:pPr>
              <w:pStyle w:val="TableText"/>
              <w:jc w:val="center"/>
              <w:rPr>
                <w:rFonts w:cs="Times New Roman"/>
              </w:rPr>
            </w:pPr>
            <w:r w:rsidRPr="00E546C7">
              <w:rPr>
                <w:rFonts w:eastAsia="Times New Roman" w:cs="Times New Roman"/>
                <w:sz w:val="18"/>
              </w:rPr>
              <w:t>50</w:t>
            </w:r>
          </w:p>
        </w:tc>
        <w:tc>
          <w:tcPr>
            <w:tcW w:w="4470" w:type="dxa"/>
            <w:tcMar>
              <w:top w:w="80" w:type="dxa"/>
              <w:left w:w="120" w:type="dxa"/>
              <w:bottom w:w="80" w:type="dxa"/>
              <w:right w:w="120" w:type="dxa"/>
            </w:tcMar>
            <w:vAlign w:val="center"/>
          </w:tcPr>
          <w:p w14:paraId="7F06C341" w14:textId="77777777" w:rsidR="007927B7" w:rsidRPr="00E546C7" w:rsidRDefault="007927B7" w:rsidP="00B11AF1">
            <w:pPr>
              <w:pStyle w:val="TableText"/>
              <w:jc w:val="center"/>
              <w:rPr>
                <w:rFonts w:cs="Times New Roman"/>
              </w:rPr>
            </w:pPr>
            <w:r w:rsidRPr="00E546C7">
              <w:rPr>
                <w:rFonts w:eastAsia="Times New Roman" w:cs="Times New Roman"/>
                <w:sz w:val="18"/>
              </w:rPr>
              <w:t>All retained</w:t>
            </w:r>
          </w:p>
        </w:tc>
      </w:tr>
      <w:tr w:rsidR="007927B7" w:rsidRPr="00E546C7" w14:paraId="2FF4AE64" w14:textId="77777777" w:rsidTr="00B11AF1">
        <w:trPr>
          <w:cantSplit/>
        </w:trPr>
        <w:tc>
          <w:tcPr>
            <w:tcW w:w="2450" w:type="dxa"/>
            <w:shd w:val="clear" w:color="auto" w:fill="F2F4F7"/>
            <w:tcMar>
              <w:top w:w="80" w:type="dxa"/>
              <w:left w:w="120" w:type="dxa"/>
              <w:bottom w:w="80" w:type="dxa"/>
              <w:right w:w="120" w:type="dxa"/>
            </w:tcMar>
            <w:vAlign w:val="center"/>
          </w:tcPr>
          <w:p w14:paraId="0BB43CC4" w14:textId="77777777" w:rsidR="007927B7" w:rsidRPr="00E546C7" w:rsidRDefault="007927B7" w:rsidP="00B11AF1">
            <w:pPr>
              <w:pStyle w:val="TableText"/>
              <w:rPr>
                <w:rFonts w:cs="Times New Roman"/>
              </w:rPr>
            </w:pPr>
            <w:r w:rsidRPr="00E546C7">
              <w:rPr>
                <w:rFonts w:eastAsia="Times New Roman" w:cs="Times New Roman"/>
                <w:sz w:val="18"/>
              </w:rPr>
              <w:t>Missing values</w:t>
            </w:r>
          </w:p>
        </w:tc>
        <w:tc>
          <w:tcPr>
            <w:tcW w:w="2100" w:type="dxa"/>
            <w:shd w:val="clear" w:color="auto" w:fill="F2F4F7"/>
            <w:tcMar>
              <w:top w:w="80" w:type="dxa"/>
              <w:left w:w="120" w:type="dxa"/>
              <w:bottom w:w="80" w:type="dxa"/>
              <w:right w:w="120" w:type="dxa"/>
            </w:tcMar>
            <w:vAlign w:val="center"/>
          </w:tcPr>
          <w:p w14:paraId="1C8BED24" w14:textId="77777777" w:rsidR="007927B7" w:rsidRPr="00E546C7" w:rsidRDefault="007927B7" w:rsidP="00B11AF1">
            <w:pPr>
              <w:pStyle w:val="TableText"/>
              <w:jc w:val="center"/>
              <w:rPr>
                <w:rFonts w:cs="Times New Roman"/>
              </w:rPr>
            </w:pPr>
            <w:r w:rsidRPr="00E546C7">
              <w:rPr>
                <w:rFonts w:eastAsia="Times New Roman" w:cs="Times New Roman"/>
                <w:sz w:val="18"/>
              </w:rPr>
              <w:t>0</w:t>
            </w:r>
          </w:p>
        </w:tc>
        <w:tc>
          <w:tcPr>
            <w:tcW w:w="4470" w:type="dxa"/>
            <w:shd w:val="clear" w:color="auto" w:fill="F2F4F7"/>
            <w:tcMar>
              <w:top w:w="80" w:type="dxa"/>
              <w:left w:w="120" w:type="dxa"/>
              <w:bottom w:w="80" w:type="dxa"/>
              <w:right w:w="120" w:type="dxa"/>
            </w:tcMar>
            <w:vAlign w:val="center"/>
          </w:tcPr>
          <w:p w14:paraId="3F1551EC" w14:textId="77777777" w:rsidR="007927B7" w:rsidRPr="00E546C7" w:rsidRDefault="007927B7" w:rsidP="00B11AF1">
            <w:pPr>
              <w:pStyle w:val="TableText"/>
              <w:rPr>
                <w:rFonts w:cs="Times New Roman"/>
              </w:rPr>
            </w:pPr>
            <w:r w:rsidRPr="00E546C7">
              <w:rPr>
                <w:rFonts w:eastAsia="Times New Roman" w:cs="Times New Roman"/>
                <w:sz w:val="18"/>
              </w:rPr>
              <w:t>No imputation required</w:t>
            </w:r>
          </w:p>
        </w:tc>
      </w:tr>
      <w:tr w:rsidR="007927B7" w:rsidRPr="00E546C7" w14:paraId="3D74050C" w14:textId="77777777" w:rsidTr="00B11AF1">
        <w:trPr>
          <w:cantSplit/>
        </w:trPr>
        <w:tc>
          <w:tcPr>
            <w:tcW w:w="2450" w:type="dxa"/>
            <w:tcMar>
              <w:top w:w="80" w:type="dxa"/>
              <w:left w:w="120" w:type="dxa"/>
              <w:bottom w:w="80" w:type="dxa"/>
              <w:right w:w="120" w:type="dxa"/>
            </w:tcMar>
            <w:vAlign w:val="center"/>
          </w:tcPr>
          <w:p w14:paraId="58D2FC22" w14:textId="77777777" w:rsidR="007927B7" w:rsidRPr="00E546C7" w:rsidRDefault="007927B7" w:rsidP="00B11AF1">
            <w:pPr>
              <w:pStyle w:val="TableText"/>
              <w:rPr>
                <w:rFonts w:cs="Times New Roman"/>
              </w:rPr>
            </w:pPr>
            <w:r w:rsidRPr="00E546C7">
              <w:rPr>
                <w:rFonts w:eastAsia="Times New Roman" w:cs="Times New Roman"/>
                <w:sz w:val="18"/>
              </w:rPr>
              <w:t>Duplicate rows / timestamps</w:t>
            </w:r>
          </w:p>
        </w:tc>
        <w:tc>
          <w:tcPr>
            <w:tcW w:w="2100" w:type="dxa"/>
            <w:tcMar>
              <w:top w:w="80" w:type="dxa"/>
              <w:left w:w="120" w:type="dxa"/>
              <w:bottom w:w="80" w:type="dxa"/>
              <w:right w:w="120" w:type="dxa"/>
            </w:tcMar>
            <w:vAlign w:val="center"/>
          </w:tcPr>
          <w:p w14:paraId="311F7AF8" w14:textId="77777777" w:rsidR="007927B7" w:rsidRPr="00E546C7" w:rsidRDefault="007927B7" w:rsidP="00B11AF1">
            <w:pPr>
              <w:pStyle w:val="TableText"/>
              <w:jc w:val="center"/>
              <w:rPr>
                <w:rFonts w:cs="Times New Roman"/>
              </w:rPr>
            </w:pPr>
            <w:r w:rsidRPr="00E546C7">
              <w:rPr>
                <w:rFonts w:eastAsia="Times New Roman" w:cs="Times New Roman"/>
                <w:sz w:val="18"/>
              </w:rPr>
              <w:t>0 / 0</w:t>
            </w:r>
          </w:p>
        </w:tc>
        <w:tc>
          <w:tcPr>
            <w:tcW w:w="4470" w:type="dxa"/>
            <w:tcMar>
              <w:top w:w="80" w:type="dxa"/>
              <w:left w:w="120" w:type="dxa"/>
              <w:bottom w:w="80" w:type="dxa"/>
              <w:right w:w="120" w:type="dxa"/>
            </w:tcMar>
            <w:vAlign w:val="center"/>
          </w:tcPr>
          <w:p w14:paraId="1FBD5509" w14:textId="77777777" w:rsidR="007927B7" w:rsidRPr="00E546C7" w:rsidRDefault="007927B7" w:rsidP="00B11AF1">
            <w:pPr>
              <w:pStyle w:val="TableText"/>
              <w:rPr>
                <w:rFonts w:cs="Times New Roman"/>
              </w:rPr>
            </w:pPr>
            <w:r w:rsidRPr="00E546C7">
              <w:rPr>
                <w:rFonts w:eastAsia="Times New Roman" w:cs="Times New Roman"/>
                <w:sz w:val="18"/>
              </w:rPr>
              <w:t>No exclusions required</w:t>
            </w:r>
          </w:p>
        </w:tc>
      </w:tr>
      <w:tr w:rsidR="007927B7" w:rsidRPr="00E546C7" w14:paraId="7D66E463" w14:textId="77777777" w:rsidTr="00B11AF1">
        <w:trPr>
          <w:cantSplit/>
        </w:trPr>
        <w:tc>
          <w:tcPr>
            <w:tcW w:w="2450" w:type="dxa"/>
            <w:shd w:val="clear" w:color="auto" w:fill="F2F4F7"/>
            <w:tcMar>
              <w:top w:w="80" w:type="dxa"/>
              <w:left w:w="120" w:type="dxa"/>
              <w:bottom w:w="80" w:type="dxa"/>
              <w:right w:w="120" w:type="dxa"/>
            </w:tcMar>
            <w:vAlign w:val="center"/>
          </w:tcPr>
          <w:p w14:paraId="26F281D7" w14:textId="77777777" w:rsidR="007927B7" w:rsidRPr="00E546C7" w:rsidRDefault="007927B7" w:rsidP="00B11AF1">
            <w:pPr>
              <w:pStyle w:val="TableText"/>
              <w:rPr>
                <w:rFonts w:cs="Times New Roman"/>
              </w:rPr>
            </w:pPr>
            <w:r w:rsidRPr="00E546C7">
              <w:rPr>
                <w:rFonts w:eastAsia="Times New Roman" w:cs="Times New Roman"/>
                <w:sz w:val="18"/>
              </w:rPr>
              <w:t>Likert coding</w:t>
            </w:r>
          </w:p>
        </w:tc>
        <w:tc>
          <w:tcPr>
            <w:tcW w:w="2100" w:type="dxa"/>
            <w:shd w:val="clear" w:color="auto" w:fill="F2F4F7"/>
            <w:tcMar>
              <w:top w:w="80" w:type="dxa"/>
              <w:left w:w="120" w:type="dxa"/>
              <w:bottom w:w="80" w:type="dxa"/>
              <w:right w:w="120" w:type="dxa"/>
            </w:tcMar>
            <w:vAlign w:val="center"/>
          </w:tcPr>
          <w:p w14:paraId="406BDED6" w14:textId="77777777" w:rsidR="007927B7" w:rsidRPr="00E546C7" w:rsidRDefault="007927B7" w:rsidP="00B11AF1">
            <w:pPr>
              <w:pStyle w:val="TableText"/>
              <w:jc w:val="center"/>
              <w:rPr>
                <w:rFonts w:cs="Times New Roman"/>
              </w:rPr>
            </w:pPr>
            <w:r w:rsidRPr="00E546C7">
              <w:rPr>
                <w:rFonts w:eastAsia="Times New Roman" w:cs="Times New Roman"/>
                <w:sz w:val="18"/>
              </w:rPr>
              <w:t>1–5</w:t>
            </w:r>
          </w:p>
        </w:tc>
        <w:tc>
          <w:tcPr>
            <w:tcW w:w="4470" w:type="dxa"/>
            <w:shd w:val="clear" w:color="auto" w:fill="F2F4F7"/>
            <w:tcMar>
              <w:top w:w="80" w:type="dxa"/>
              <w:left w:w="120" w:type="dxa"/>
              <w:bottom w:w="80" w:type="dxa"/>
              <w:right w:w="120" w:type="dxa"/>
            </w:tcMar>
            <w:vAlign w:val="center"/>
          </w:tcPr>
          <w:p w14:paraId="05508765" w14:textId="77777777" w:rsidR="007927B7" w:rsidRPr="00E546C7" w:rsidRDefault="007927B7" w:rsidP="00B11AF1">
            <w:pPr>
              <w:pStyle w:val="TableText"/>
              <w:rPr>
                <w:rFonts w:cs="Times New Roman"/>
              </w:rPr>
            </w:pPr>
            <w:r w:rsidRPr="00E546C7">
              <w:rPr>
                <w:rFonts w:eastAsia="Times New Roman" w:cs="Times New Roman"/>
                <w:sz w:val="18"/>
              </w:rPr>
              <w:t>Strongly disagree to strongly agree</w:t>
            </w:r>
          </w:p>
        </w:tc>
      </w:tr>
      <w:tr w:rsidR="007927B7" w:rsidRPr="00E546C7" w14:paraId="3417E66F" w14:textId="77777777" w:rsidTr="00B11AF1">
        <w:trPr>
          <w:cantSplit/>
        </w:trPr>
        <w:tc>
          <w:tcPr>
            <w:tcW w:w="2450" w:type="dxa"/>
            <w:tcMar>
              <w:top w:w="80" w:type="dxa"/>
              <w:left w:w="120" w:type="dxa"/>
              <w:bottom w:w="80" w:type="dxa"/>
              <w:right w:w="120" w:type="dxa"/>
            </w:tcMar>
            <w:vAlign w:val="center"/>
          </w:tcPr>
          <w:p w14:paraId="6F549ABB" w14:textId="77777777" w:rsidR="007927B7" w:rsidRPr="00E546C7" w:rsidRDefault="007927B7" w:rsidP="00B11AF1">
            <w:pPr>
              <w:pStyle w:val="TableText"/>
              <w:rPr>
                <w:rFonts w:cs="Times New Roman"/>
              </w:rPr>
            </w:pPr>
            <w:r w:rsidRPr="00E546C7">
              <w:rPr>
                <w:rFonts w:eastAsia="Times New Roman" w:cs="Times New Roman"/>
                <w:sz w:val="18"/>
              </w:rPr>
              <w:t>Perceived IMC</w:t>
            </w:r>
          </w:p>
        </w:tc>
        <w:tc>
          <w:tcPr>
            <w:tcW w:w="2100" w:type="dxa"/>
            <w:tcMar>
              <w:top w:w="80" w:type="dxa"/>
              <w:left w:w="120" w:type="dxa"/>
              <w:bottom w:w="80" w:type="dxa"/>
              <w:right w:w="120" w:type="dxa"/>
            </w:tcMar>
            <w:vAlign w:val="center"/>
          </w:tcPr>
          <w:p w14:paraId="1BC0E003" w14:textId="77777777" w:rsidR="007927B7" w:rsidRPr="00E546C7" w:rsidRDefault="007927B7" w:rsidP="00B11AF1">
            <w:pPr>
              <w:pStyle w:val="TableText"/>
              <w:jc w:val="center"/>
              <w:rPr>
                <w:rFonts w:cs="Times New Roman"/>
              </w:rPr>
            </w:pPr>
            <w:r w:rsidRPr="00E546C7">
              <w:rPr>
                <w:rFonts w:eastAsia="Times New Roman" w:cs="Times New Roman"/>
                <w:sz w:val="18"/>
              </w:rPr>
              <w:t>Mean of Q3 and Q4</w:t>
            </w:r>
          </w:p>
        </w:tc>
        <w:tc>
          <w:tcPr>
            <w:tcW w:w="4470" w:type="dxa"/>
            <w:tcMar>
              <w:top w:w="80" w:type="dxa"/>
              <w:left w:w="120" w:type="dxa"/>
              <w:bottom w:w="80" w:type="dxa"/>
              <w:right w:w="120" w:type="dxa"/>
            </w:tcMar>
            <w:vAlign w:val="center"/>
          </w:tcPr>
          <w:p w14:paraId="515E921B" w14:textId="77777777" w:rsidR="007927B7" w:rsidRPr="00E546C7" w:rsidRDefault="007927B7" w:rsidP="00B11AF1">
            <w:pPr>
              <w:pStyle w:val="TableText"/>
              <w:rPr>
                <w:rFonts w:cs="Times New Roman"/>
              </w:rPr>
            </w:pPr>
            <w:r w:rsidRPr="00E546C7">
              <w:rPr>
                <w:rFonts w:eastAsia="Times New Roman" w:cs="Times New Roman"/>
                <w:sz w:val="18"/>
              </w:rPr>
              <w:t>Predictor for H1 and H2</w:t>
            </w:r>
          </w:p>
        </w:tc>
      </w:tr>
      <w:tr w:rsidR="007927B7" w:rsidRPr="00E546C7" w14:paraId="71C344E8" w14:textId="77777777" w:rsidTr="00B11AF1">
        <w:trPr>
          <w:cantSplit/>
        </w:trPr>
        <w:tc>
          <w:tcPr>
            <w:tcW w:w="2450" w:type="dxa"/>
            <w:shd w:val="clear" w:color="auto" w:fill="F2F4F7"/>
            <w:tcMar>
              <w:top w:w="80" w:type="dxa"/>
              <w:left w:w="120" w:type="dxa"/>
              <w:bottom w:w="80" w:type="dxa"/>
              <w:right w:w="120" w:type="dxa"/>
            </w:tcMar>
            <w:vAlign w:val="center"/>
          </w:tcPr>
          <w:p w14:paraId="13EFF4E3" w14:textId="77777777" w:rsidR="007927B7" w:rsidRPr="00E546C7" w:rsidRDefault="007927B7" w:rsidP="00B11AF1">
            <w:pPr>
              <w:pStyle w:val="TableText"/>
              <w:rPr>
                <w:rFonts w:cs="Times New Roman"/>
              </w:rPr>
            </w:pPr>
            <w:r w:rsidRPr="00E546C7">
              <w:rPr>
                <w:rFonts w:eastAsia="Times New Roman" w:cs="Times New Roman"/>
                <w:sz w:val="18"/>
              </w:rPr>
              <w:t>Attitude–purchase</w:t>
            </w:r>
          </w:p>
        </w:tc>
        <w:tc>
          <w:tcPr>
            <w:tcW w:w="2100" w:type="dxa"/>
            <w:shd w:val="clear" w:color="auto" w:fill="F2F4F7"/>
            <w:tcMar>
              <w:top w:w="80" w:type="dxa"/>
              <w:left w:w="120" w:type="dxa"/>
              <w:bottom w:w="80" w:type="dxa"/>
              <w:right w:w="120" w:type="dxa"/>
            </w:tcMar>
            <w:vAlign w:val="center"/>
          </w:tcPr>
          <w:p w14:paraId="779263A8" w14:textId="77777777" w:rsidR="007927B7" w:rsidRPr="00E546C7" w:rsidRDefault="007927B7" w:rsidP="00B11AF1">
            <w:pPr>
              <w:pStyle w:val="TableText"/>
              <w:jc w:val="center"/>
              <w:rPr>
                <w:rFonts w:cs="Times New Roman"/>
              </w:rPr>
            </w:pPr>
            <w:r w:rsidRPr="00E546C7">
              <w:rPr>
                <w:rFonts w:eastAsia="Times New Roman" w:cs="Times New Roman"/>
                <w:sz w:val="18"/>
              </w:rPr>
              <w:t>Mean of Q5 and Q6</w:t>
            </w:r>
          </w:p>
        </w:tc>
        <w:tc>
          <w:tcPr>
            <w:tcW w:w="4470" w:type="dxa"/>
            <w:shd w:val="clear" w:color="auto" w:fill="F2F4F7"/>
            <w:tcMar>
              <w:top w:w="80" w:type="dxa"/>
              <w:left w:w="120" w:type="dxa"/>
              <w:bottom w:w="80" w:type="dxa"/>
              <w:right w:w="120" w:type="dxa"/>
            </w:tcMar>
            <w:vAlign w:val="center"/>
          </w:tcPr>
          <w:p w14:paraId="460610E7" w14:textId="77777777" w:rsidR="007927B7" w:rsidRPr="00E546C7" w:rsidRDefault="007927B7" w:rsidP="00B11AF1">
            <w:pPr>
              <w:pStyle w:val="TableText"/>
              <w:rPr>
                <w:rFonts w:cs="Times New Roman"/>
              </w:rPr>
            </w:pPr>
            <w:r w:rsidRPr="00E546C7">
              <w:rPr>
                <w:rFonts w:eastAsia="Times New Roman" w:cs="Times New Roman"/>
                <w:sz w:val="18"/>
              </w:rPr>
              <w:t>Primary outcome for H1</w:t>
            </w:r>
          </w:p>
        </w:tc>
      </w:tr>
      <w:tr w:rsidR="007927B7" w:rsidRPr="00E546C7" w14:paraId="2003D9EF" w14:textId="77777777" w:rsidTr="00B11AF1">
        <w:trPr>
          <w:cantSplit/>
        </w:trPr>
        <w:tc>
          <w:tcPr>
            <w:tcW w:w="2450" w:type="dxa"/>
            <w:tcMar>
              <w:top w:w="80" w:type="dxa"/>
              <w:left w:w="120" w:type="dxa"/>
              <w:bottom w:w="80" w:type="dxa"/>
              <w:right w:w="120" w:type="dxa"/>
            </w:tcMar>
            <w:vAlign w:val="center"/>
          </w:tcPr>
          <w:p w14:paraId="6B37740F" w14:textId="77777777" w:rsidR="007927B7" w:rsidRPr="00E546C7" w:rsidRDefault="007927B7" w:rsidP="00B11AF1">
            <w:pPr>
              <w:pStyle w:val="TableText"/>
              <w:rPr>
                <w:rFonts w:cs="Times New Roman"/>
              </w:rPr>
            </w:pPr>
            <w:r w:rsidRPr="00E546C7">
              <w:rPr>
                <w:rFonts w:eastAsia="Times New Roman" w:cs="Times New Roman"/>
                <w:sz w:val="18"/>
              </w:rPr>
              <w:t>Loyalty</w:t>
            </w:r>
          </w:p>
        </w:tc>
        <w:tc>
          <w:tcPr>
            <w:tcW w:w="2100" w:type="dxa"/>
            <w:tcMar>
              <w:top w:w="80" w:type="dxa"/>
              <w:left w:w="120" w:type="dxa"/>
              <w:bottom w:w="80" w:type="dxa"/>
              <w:right w:w="120" w:type="dxa"/>
            </w:tcMar>
            <w:vAlign w:val="center"/>
          </w:tcPr>
          <w:p w14:paraId="496C6659" w14:textId="77777777" w:rsidR="007927B7" w:rsidRPr="00E546C7" w:rsidRDefault="007927B7" w:rsidP="00B11AF1">
            <w:pPr>
              <w:pStyle w:val="TableText"/>
              <w:jc w:val="center"/>
              <w:rPr>
                <w:rFonts w:cs="Times New Roman"/>
              </w:rPr>
            </w:pPr>
            <w:r w:rsidRPr="00E546C7">
              <w:rPr>
                <w:rFonts w:eastAsia="Times New Roman" w:cs="Times New Roman"/>
                <w:sz w:val="18"/>
              </w:rPr>
              <w:t>Q10</w:t>
            </w:r>
          </w:p>
        </w:tc>
        <w:tc>
          <w:tcPr>
            <w:tcW w:w="4470" w:type="dxa"/>
            <w:tcMar>
              <w:top w:w="80" w:type="dxa"/>
              <w:left w:w="120" w:type="dxa"/>
              <w:bottom w:w="80" w:type="dxa"/>
              <w:right w:w="120" w:type="dxa"/>
            </w:tcMar>
            <w:vAlign w:val="center"/>
          </w:tcPr>
          <w:p w14:paraId="5E9F4AC2" w14:textId="77777777" w:rsidR="007927B7" w:rsidRPr="00E546C7" w:rsidRDefault="007927B7" w:rsidP="00B11AF1">
            <w:pPr>
              <w:pStyle w:val="TableText"/>
              <w:rPr>
                <w:rFonts w:cs="Times New Roman"/>
              </w:rPr>
            </w:pPr>
            <w:r w:rsidRPr="00E546C7">
              <w:rPr>
                <w:rFonts w:eastAsia="Times New Roman" w:cs="Times New Roman"/>
                <w:sz w:val="18"/>
              </w:rPr>
              <w:t>Available outcome for H2</w:t>
            </w:r>
          </w:p>
        </w:tc>
      </w:tr>
      <w:tr w:rsidR="007927B7" w:rsidRPr="00E546C7" w14:paraId="5974BC05" w14:textId="77777777" w:rsidTr="00B11AF1">
        <w:trPr>
          <w:cantSplit/>
        </w:trPr>
        <w:tc>
          <w:tcPr>
            <w:tcW w:w="2450" w:type="dxa"/>
            <w:shd w:val="clear" w:color="auto" w:fill="F2F4F7"/>
            <w:tcMar>
              <w:top w:w="80" w:type="dxa"/>
              <w:left w:w="120" w:type="dxa"/>
              <w:bottom w:w="80" w:type="dxa"/>
              <w:right w:w="120" w:type="dxa"/>
            </w:tcMar>
            <w:vAlign w:val="center"/>
          </w:tcPr>
          <w:p w14:paraId="4ECC570D" w14:textId="77777777" w:rsidR="007927B7" w:rsidRPr="00E546C7" w:rsidRDefault="007927B7" w:rsidP="00B11AF1">
            <w:pPr>
              <w:pStyle w:val="TableText"/>
              <w:rPr>
                <w:rFonts w:cs="Times New Roman"/>
              </w:rPr>
            </w:pPr>
            <w:r w:rsidRPr="00E546C7">
              <w:rPr>
                <w:rFonts w:eastAsia="Times New Roman" w:cs="Times New Roman"/>
                <w:sz w:val="18"/>
              </w:rPr>
              <w:t>Primary relationship test</w:t>
            </w:r>
          </w:p>
        </w:tc>
        <w:tc>
          <w:tcPr>
            <w:tcW w:w="2100" w:type="dxa"/>
            <w:shd w:val="clear" w:color="auto" w:fill="F2F4F7"/>
            <w:tcMar>
              <w:top w:w="80" w:type="dxa"/>
              <w:left w:w="120" w:type="dxa"/>
              <w:bottom w:w="80" w:type="dxa"/>
              <w:right w:w="120" w:type="dxa"/>
            </w:tcMar>
            <w:vAlign w:val="center"/>
          </w:tcPr>
          <w:p w14:paraId="10347487" w14:textId="77777777" w:rsidR="007927B7" w:rsidRPr="00E546C7" w:rsidRDefault="007927B7" w:rsidP="00B11AF1">
            <w:pPr>
              <w:pStyle w:val="TableText"/>
              <w:jc w:val="center"/>
              <w:rPr>
                <w:rFonts w:cs="Times New Roman"/>
              </w:rPr>
            </w:pPr>
            <w:r w:rsidRPr="00E546C7">
              <w:rPr>
                <w:rFonts w:eastAsia="Times New Roman" w:cs="Times New Roman"/>
                <w:sz w:val="18"/>
              </w:rPr>
              <w:t>Spearman’s rho</w:t>
            </w:r>
          </w:p>
        </w:tc>
        <w:tc>
          <w:tcPr>
            <w:tcW w:w="4470" w:type="dxa"/>
            <w:shd w:val="clear" w:color="auto" w:fill="F2F4F7"/>
            <w:tcMar>
              <w:top w:w="80" w:type="dxa"/>
              <w:left w:w="120" w:type="dxa"/>
              <w:bottom w:w="80" w:type="dxa"/>
              <w:right w:w="120" w:type="dxa"/>
            </w:tcMar>
            <w:vAlign w:val="center"/>
          </w:tcPr>
          <w:p w14:paraId="47671A9C" w14:textId="77777777" w:rsidR="007927B7" w:rsidRPr="00E546C7" w:rsidRDefault="007927B7" w:rsidP="00B11AF1">
            <w:pPr>
              <w:pStyle w:val="TableText"/>
              <w:rPr>
                <w:rFonts w:cs="Times New Roman"/>
              </w:rPr>
            </w:pPr>
            <w:r w:rsidRPr="00E546C7">
              <w:rPr>
                <w:rFonts w:eastAsia="Times New Roman" w:cs="Times New Roman"/>
                <w:sz w:val="18"/>
              </w:rPr>
              <w:t>Appropriate for ordinal responses</w:t>
            </w:r>
          </w:p>
        </w:tc>
      </w:tr>
    </w:tbl>
    <w:p w14:paraId="6E5DF47D" w14:textId="77777777" w:rsidR="007927B7" w:rsidRPr="00E546C7" w:rsidRDefault="007927B7" w:rsidP="007927B7">
      <w:pPr>
        <w:pStyle w:val="SourceNote"/>
        <w:rPr>
          <w:rFonts w:cs="Times New Roman"/>
        </w:rPr>
      </w:pPr>
      <w:r w:rsidRPr="00E546C7">
        <w:rPr>
          <w:rFonts w:eastAsia="Times New Roman" w:cs="Times New Roman"/>
        </w:rPr>
        <w:t>Source: Author’s analysis of survey data (n = 50).</w:t>
      </w:r>
    </w:p>
    <w:p w14:paraId="25795619" w14:textId="239889BD" w:rsidR="007927B7" w:rsidRPr="00E546C7" w:rsidRDefault="007927B7" w:rsidP="007927B7">
      <w:r w:rsidRPr="00E546C7">
        <w:rPr>
          <w:rFonts w:eastAsiaTheme="majorEastAsia"/>
        </w:rPr>
        <w:t xml:space="preserve">The response period for this was from </w:t>
      </w:r>
      <w:r w:rsidRPr="00E546C7">
        <w:t>16</w:t>
      </w:r>
      <w:r w:rsidRPr="00E546C7">
        <w:rPr>
          <w:rFonts w:eastAsiaTheme="majorEastAsia"/>
        </w:rPr>
        <w:t xml:space="preserve"> to 30 August 2026</w:t>
      </w:r>
      <w:r w:rsidRPr="00E546C7">
        <w:t>. T</w:t>
      </w:r>
      <w:r w:rsidRPr="00E546C7">
        <w:rPr>
          <w:rFonts w:eastAsiaTheme="majorEastAsia"/>
        </w:rPr>
        <w:t>his provided a focused cross</w:t>
      </w:r>
      <w:r w:rsidRPr="00E546C7">
        <w:t>-sectional</w:t>
      </w:r>
      <w:r w:rsidRPr="00E546C7">
        <w:rPr>
          <w:rFonts w:eastAsiaTheme="majorEastAsia"/>
        </w:rPr>
        <w:t xml:space="preserve"> snapshot.</w:t>
      </w:r>
      <w:r w:rsidRPr="00E546C7">
        <w:t xml:space="preserve"> </w:t>
      </w:r>
      <w:r w:rsidRPr="00E546C7">
        <w:rPr>
          <w:rFonts w:eastAsiaTheme="majorEastAsia"/>
        </w:rPr>
        <w:t>Frequency analysis addresses the question of what respondents believed in the sample and cannot tell why they thought so.</w:t>
      </w:r>
      <w:r w:rsidRPr="00E546C7">
        <w:t xml:space="preserve"> </w:t>
      </w:r>
      <w:r w:rsidRPr="00E546C7">
        <w:rPr>
          <w:rFonts w:eastAsiaTheme="majorEastAsia"/>
        </w:rPr>
        <w:t>Instead</w:t>
      </w:r>
      <w:r w:rsidRPr="00E546C7">
        <w:t>,</w:t>
      </w:r>
      <w:r w:rsidRPr="00E546C7">
        <w:rPr>
          <w:rFonts w:eastAsiaTheme="majorEastAsia"/>
        </w:rPr>
        <w:t xml:space="preserve"> the inferential tests ask </w:t>
      </w:r>
      <w:r w:rsidRPr="00E546C7">
        <w:t>whether</w:t>
      </w:r>
      <w:r w:rsidRPr="00E546C7">
        <w:rPr>
          <w:rFonts w:eastAsiaTheme="majorEastAsia"/>
        </w:rPr>
        <w:t xml:space="preserve"> those who saw Adidas' IMC as more positive were more positive in terms of attitude, purchase intention or loyalty</w:t>
      </w:r>
      <w:r w:rsidR="00207B08" w:rsidRPr="00E546C7">
        <w:rPr>
          <w:rFonts w:eastAsiaTheme="majorEastAsia"/>
        </w:rPr>
        <w:t xml:space="preserve"> </w:t>
      </w:r>
      <w:r w:rsidR="00207B08" w:rsidRPr="00E546C7">
        <w:rPr>
          <w:color w:val="000000"/>
        </w:rPr>
        <w:t>(</w:t>
      </w:r>
      <w:proofErr w:type="spellStart"/>
      <w:r w:rsidR="00207B08" w:rsidRPr="00E546C7">
        <w:rPr>
          <w:color w:val="000000"/>
        </w:rPr>
        <w:t>Pourazad</w:t>
      </w:r>
      <w:proofErr w:type="spellEnd"/>
      <w:r w:rsidR="00207B08" w:rsidRPr="00E546C7">
        <w:rPr>
          <w:color w:val="000000"/>
        </w:rPr>
        <w:t xml:space="preserve"> et al., 2020)</w:t>
      </w:r>
      <w:r w:rsidRPr="00E546C7">
        <w:rPr>
          <w:rFonts w:eastAsiaTheme="majorEastAsia"/>
        </w:rPr>
        <w:t>.</w:t>
      </w:r>
      <w:r w:rsidRPr="00E546C7">
        <w:t xml:space="preserve"> </w:t>
      </w:r>
      <w:r w:rsidRPr="00E546C7">
        <w:rPr>
          <w:rFonts w:eastAsiaTheme="majorEastAsia"/>
        </w:rPr>
        <w:t>This distinction is important: a high overall agreement percentage is possible, along with a low correlation, if the extent of agreement across individuals is not systematic.</w:t>
      </w:r>
      <w:r w:rsidRPr="00E546C7">
        <w:t xml:space="preserve"> </w:t>
      </w:r>
      <w:r w:rsidRPr="00E546C7">
        <w:rPr>
          <w:rFonts w:eastAsiaTheme="majorEastAsia"/>
        </w:rPr>
        <w:t>The interpretation is then split between the favour of the sample sentiment and evidence for each of the hypothesi</w:t>
      </w:r>
      <w:r w:rsidRPr="00E546C7">
        <w:t>s</w:t>
      </w:r>
      <w:r w:rsidRPr="00E546C7">
        <w:rPr>
          <w:rFonts w:eastAsiaTheme="majorEastAsia"/>
        </w:rPr>
        <w:t>ed relationships.</w:t>
      </w:r>
      <w:r w:rsidRPr="00E546C7">
        <w:t xml:space="preserve"> Favourable sample sentiment from evidence supporting each hypothesised relationship.</w:t>
      </w:r>
    </w:p>
    <w:p w14:paraId="3AE8CC22" w14:textId="77777777" w:rsidR="007927B7" w:rsidRPr="00E546C7" w:rsidRDefault="007927B7" w:rsidP="007927B7">
      <w:pPr>
        <w:pStyle w:val="Heading2"/>
        <w:rPr>
          <w:rFonts w:cs="Times New Roman"/>
        </w:rPr>
      </w:pPr>
      <w:bookmarkStart w:id="52" w:name="_Toc239819708"/>
      <w:r w:rsidRPr="00E546C7">
        <w:rPr>
          <w:rFonts w:cs="Times New Roman"/>
        </w:rPr>
        <w:t>4.3 Question 1: Age Group</w:t>
      </w:r>
      <w:bookmarkEnd w:id="52"/>
    </w:p>
    <w:p w14:paraId="0FEC0008"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1. What is your age group?</w:t>
      </w:r>
    </w:p>
    <w:p w14:paraId="6BC9F7EA" w14:textId="77777777" w:rsidR="007927B7" w:rsidRPr="00E546C7" w:rsidRDefault="007927B7" w:rsidP="007927B7">
      <w:pPr>
        <w:keepNext/>
        <w:spacing w:before="100" w:after="0"/>
        <w:jc w:val="center"/>
      </w:pPr>
      <w:r w:rsidRPr="00E546C7">
        <w:rPr>
          <w:noProof/>
        </w:rPr>
        <w:drawing>
          <wp:inline distT="0" distB="0" distL="0" distR="0" wp14:anchorId="6B533E40" wp14:editId="73880CF7">
            <wp:extent cx="5532120" cy="3004866"/>
            <wp:effectExtent l="0" t="0" r="0" b="0"/>
            <wp:docPr id="1243290691" name="Picture 1243290691" descr="Age-group histogram showing 5 respondents aged 18–24, 39 aged 25–34, 6 aged 35–44, and none aged 45 or above." title="Fig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_age.png"/>
                    <pic:cNvPicPr/>
                  </pic:nvPicPr>
                  <pic:blipFill>
                    <a:blip r:embed="rId15"/>
                    <a:stretch>
                      <a:fillRect/>
                    </a:stretch>
                  </pic:blipFill>
                  <pic:spPr>
                    <a:xfrm>
                      <a:off x="0" y="0"/>
                      <a:ext cx="5532120" cy="3004866"/>
                    </a:xfrm>
                    <a:prstGeom prst="rect">
                      <a:avLst/>
                    </a:prstGeom>
                  </pic:spPr>
                </pic:pic>
              </a:graphicData>
            </a:graphic>
          </wp:inline>
        </w:drawing>
      </w:r>
    </w:p>
    <w:p w14:paraId="3E38B103" w14:textId="77777777" w:rsidR="007927B7" w:rsidRPr="00E546C7" w:rsidRDefault="007927B7" w:rsidP="007927B7">
      <w:pPr>
        <w:pStyle w:val="Caption"/>
        <w:rPr>
          <w:rFonts w:cs="Times New Roman"/>
        </w:rPr>
      </w:pPr>
      <w:r w:rsidRPr="00E546C7">
        <w:rPr>
          <w:rFonts w:cs="Times New Roman"/>
        </w:rPr>
        <w:t>Figure 4.1: Age Group Distribution (Grouped-Age Histogram)</w:t>
      </w:r>
    </w:p>
    <w:p w14:paraId="1FEB943D" w14:textId="29317790" w:rsidR="007927B7" w:rsidRPr="00E546C7" w:rsidRDefault="007927B7" w:rsidP="007927B7">
      <w:r w:rsidRPr="00E546C7">
        <w:rPr>
          <w:rFonts w:eastAsiaTheme="majorEastAsia"/>
        </w:rPr>
        <w:t>The grouped-age histogram highlights that 78% of the respondents (39 of them) are in the age group 25-34.</w:t>
      </w:r>
      <w:r w:rsidRPr="00E546C7">
        <w:t xml:space="preserve"> Six respondents, 12%, were aged 35–44 and five, 10%, were aged 18–24; nobody was aged 45 or above. </w:t>
      </w:r>
      <w:r w:rsidRPr="00E546C7">
        <w:rPr>
          <w:rFonts w:eastAsiaTheme="majorEastAsia"/>
        </w:rPr>
        <w:t>The sample is therefore a limited one that is much more representative of consumers at the early end of the life course than of all Adidas consumers in the UK.</w:t>
      </w:r>
      <w:r w:rsidRPr="00E546C7">
        <w:t xml:space="preserve"> </w:t>
      </w:r>
      <w:r w:rsidRPr="00E546C7">
        <w:rPr>
          <w:rFonts w:eastAsiaTheme="majorEastAsia"/>
        </w:rPr>
        <w:t xml:space="preserve">The importance of this concentration is based </w:t>
      </w:r>
      <w:r w:rsidRPr="00E546C7">
        <w:t>o</w:t>
      </w:r>
      <w:r w:rsidRPr="00E546C7">
        <w:rPr>
          <w:rFonts w:eastAsiaTheme="majorEastAsia"/>
        </w:rPr>
        <w:t>n analytical depth</w:t>
      </w:r>
      <w:r w:rsidR="00207B08" w:rsidRPr="00E546C7">
        <w:rPr>
          <w:rFonts w:eastAsiaTheme="majorEastAsia"/>
        </w:rPr>
        <w:t xml:space="preserve"> </w:t>
      </w:r>
      <w:r w:rsidR="00207B08" w:rsidRPr="00E546C7">
        <w:rPr>
          <w:color w:val="000000"/>
        </w:rPr>
        <w:t>(</w:t>
      </w:r>
      <w:proofErr w:type="spellStart"/>
      <w:r w:rsidR="00207B08" w:rsidRPr="00E546C7">
        <w:rPr>
          <w:color w:val="000000"/>
        </w:rPr>
        <w:t>Schiffman</w:t>
      </w:r>
      <w:proofErr w:type="spellEnd"/>
      <w:r w:rsidR="00207B08" w:rsidRPr="00E546C7">
        <w:rPr>
          <w:color w:val="000000"/>
        </w:rPr>
        <w:t xml:space="preserve"> and </w:t>
      </w:r>
      <w:proofErr w:type="spellStart"/>
      <w:r w:rsidR="00207B08" w:rsidRPr="00E546C7">
        <w:rPr>
          <w:color w:val="000000"/>
        </w:rPr>
        <w:t>Wisenblit</w:t>
      </w:r>
      <w:proofErr w:type="spellEnd"/>
      <w:r w:rsidR="00207B08" w:rsidRPr="00E546C7">
        <w:rPr>
          <w:color w:val="000000"/>
        </w:rPr>
        <w:t>, 2019)</w:t>
      </w:r>
      <w:r w:rsidR="00207B08" w:rsidRPr="00E546C7">
        <w:t>. Y</w:t>
      </w:r>
      <w:r w:rsidRPr="00E546C7">
        <w:rPr>
          <w:rFonts w:eastAsiaTheme="majorEastAsia"/>
        </w:rPr>
        <w:t>ounger adults more significantly experience social and influencer media channels, which were emphasi</w:t>
      </w:r>
      <w:r w:rsidRPr="00E546C7">
        <w:t>s</w:t>
      </w:r>
      <w:r w:rsidRPr="00E546C7">
        <w:rPr>
          <w:rFonts w:eastAsiaTheme="majorEastAsia"/>
        </w:rPr>
        <w:t>ed during the literature review.</w:t>
      </w:r>
      <w:r w:rsidRPr="00E546C7">
        <w:t xml:space="preserve"> </w:t>
      </w:r>
      <w:r w:rsidRPr="00E546C7">
        <w:rPr>
          <w:rFonts w:eastAsiaTheme="majorEastAsia"/>
        </w:rPr>
        <w:t>They might have more experience of interactive communications and communications that are coordinated digitally that will make them more visible, and therefore the effectiveness of those communications more apparent</w:t>
      </w:r>
      <w:r w:rsidR="00207B08" w:rsidRPr="00E546C7">
        <w:rPr>
          <w:rFonts w:eastAsiaTheme="majorEastAsia"/>
        </w:rPr>
        <w:t xml:space="preserve"> </w:t>
      </w:r>
      <w:r w:rsidR="00207B08" w:rsidRPr="00E546C7">
        <w:rPr>
          <w:color w:val="000000"/>
        </w:rPr>
        <w:t>(</w:t>
      </w:r>
      <w:proofErr w:type="spellStart"/>
      <w:r w:rsidR="00207B08" w:rsidRPr="00E546C7">
        <w:rPr>
          <w:color w:val="000000"/>
        </w:rPr>
        <w:t>Šerić</w:t>
      </w:r>
      <w:proofErr w:type="spellEnd"/>
      <w:r w:rsidR="00207B08" w:rsidRPr="00E546C7">
        <w:rPr>
          <w:color w:val="000000"/>
        </w:rPr>
        <w:t xml:space="preserve"> et al., 2020)</w:t>
      </w:r>
      <w:r w:rsidRPr="00E546C7">
        <w:rPr>
          <w:rFonts w:eastAsiaTheme="majorEastAsia"/>
        </w:rPr>
        <w:t>.</w:t>
      </w:r>
      <w:r w:rsidRPr="00E546C7">
        <w:t xml:space="preserve"> </w:t>
      </w:r>
      <w:r w:rsidRPr="00E546C7">
        <w:rPr>
          <w:rFonts w:eastAsiaTheme="majorEastAsia"/>
        </w:rPr>
        <w:t>Age does not provide a direct answer to the question</w:t>
      </w:r>
      <w:r w:rsidRPr="00E546C7">
        <w:t>,</w:t>
      </w:r>
      <w:r w:rsidRPr="00E546C7">
        <w:rPr>
          <w:rFonts w:eastAsiaTheme="majorEastAsia"/>
        </w:rPr>
        <w:t xml:space="preserve"> and the number of cells makes it difficult to test defensible subgroups.</w:t>
      </w:r>
      <w:r w:rsidRPr="00E546C7">
        <w:t xml:space="preserve"> </w:t>
      </w:r>
      <w:r w:rsidRPr="00E546C7">
        <w:rPr>
          <w:rFonts w:eastAsiaTheme="majorEastAsia"/>
        </w:rPr>
        <w:t>To the contrary, it conditions the external validity of the outcomes: any judgments made on the basis of the results of the preferred promotion, attitude</w:t>
      </w:r>
      <w:r w:rsidRPr="00E546C7">
        <w:t>, and</w:t>
      </w:r>
      <w:r w:rsidRPr="00E546C7">
        <w:rPr>
          <w:rFonts w:eastAsiaTheme="majorEastAsia"/>
        </w:rPr>
        <w:t xml:space="preserve"> intention research must be interpreted as results from a mainly 25- </w:t>
      </w:r>
      <w:r w:rsidR="00207B08" w:rsidRPr="00E546C7">
        <w:rPr>
          <w:rFonts w:eastAsiaTheme="majorEastAsia"/>
        </w:rPr>
        <w:t>34-year-</w:t>
      </w:r>
      <w:r w:rsidRPr="00E546C7">
        <w:rPr>
          <w:rFonts w:eastAsiaTheme="majorEastAsia"/>
        </w:rPr>
        <w:t>old population, rather than as estimates of the populations at large</w:t>
      </w:r>
      <w:r w:rsidRPr="00E546C7">
        <w:t>.</w:t>
      </w:r>
    </w:p>
    <w:p w14:paraId="2BA29AF7" w14:textId="77777777" w:rsidR="007927B7" w:rsidRPr="00E546C7" w:rsidRDefault="007927B7" w:rsidP="007927B7">
      <w:pPr>
        <w:pStyle w:val="Heading2"/>
        <w:rPr>
          <w:rFonts w:cs="Times New Roman"/>
        </w:rPr>
      </w:pPr>
      <w:bookmarkStart w:id="53" w:name="_Toc239819709"/>
      <w:r w:rsidRPr="00E546C7">
        <w:rPr>
          <w:rFonts w:cs="Times New Roman"/>
        </w:rPr>
        <w:t>4.4 Question 2: Gender</w:t>
      </w:r>
      <w:bookmarkEnd w:id="53"/>
    </w:p>
    <w:p w14:paraId="181FAF0E"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2. What is your gender?</w:t>
      </w:r>
    </w:p>
    <w:p w14:paraId="128B5DD7" w14:textId="77777777" w:rsidR="007927B7" w:rsidRPr="00E546C7" w:rsidRDefault="007927B7" w:rsidP="007927B7">
      <w:pPr>
        <w:keepNext/>
        <w:spacing w:before="100" w:after="0"/>
        <w:jc w:val="center"/>
      </w:pPr>
      <w:r w:rsidRPr="00E546C7">
        <w:rPr>
          <w:noProof/>
        </w:rPr>
        <w:drawing>
          <wp:inline distT="0" distB="0" distL="0" distR="0" wp14:anchorId="45665957" wp14:editId="027E30F5">
            <wp:extent cx="5532120" cy="3165314"/>
            <wp:effectExtent l="0" t="0" r="0" b="0"/>
            <wp:docPr id="1339823773" name="Picture 1339823773" descr="Three-dimensional-style pie chart showing 34 male respondents and 16 female respondents." title="Fig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2_gender.png"/>
                    <pic:cNvPicPr/>
                  </pic:nvPicPr>
                  <pic:blipFill>
                    <a:blip r:embed="rId16"/>
                    <a:stretch>
                      <a:fillRect/>
                    </a:stretch>
                  </pic:blipFill>
                  <pic:spPr>
                    <a:xfrm>
                      <a:off x="0" y="0"/>
                      <a:ext cx="5532120" cy="3165314"/>
                    </a:xfrm>
                    <a:prstGeom prst="rect">
                      <a:avLst/>
                    </a:prstGeom>
                  </pic:spPr>
                </pic:pic>
              </a:graphicData>
            </a:graphic>
          </wp:inline>
        </w:drawing>
      </w:r>
    </w:p>
    <w:p w14:paraId="079BCBF6" w14:textId="77777777" w:rsidR="007927B7" w:rsidRPr="00E546C7" w:rsidRDefault="007927B7" w:rsidP="007927B7">
      <w:pPr>
        <w:pStyle w:val="Caption"/>
        <w:rPr>
          <w:rFonts w:cs="Times New Roman"/>
        </w:rPr>
      </w:pPr>
      <w:r w:rsidRPr="00E546C7">
        <w:rPr>
          <w:rFonts w:cs="Times New Roman"/>
        </w:rPr>
        <w:t>Figure 4.2: Gender Distribution (3D-Style Pie Chart)</w:t>
      </w:r>
    </w:p>
    <w:p w14:paraId="7EEC6173" w14:textId="3C551208" w:rsidR="007927B7" w:rsidRPr="00E546C7" w:rsidRDefault="007927B7" w:rsidP="007927B7">
      <w:r w:rsidRPr="00E546C7">
        <w:rPr>
          <w:rFonts w:eastAsiaTheme="majorEastAsia"/>
        </w:rPr>
        <w:t>There were 34 male (68%) and 16 female (32%) respondents.</w:t>
      </w:r>
      <w:r w:rsidRPr="00E546C7">
        <w:t xml:space="preserve"> </w:t>
      </w:r>
      <w:r w:rsidRPr="00E546C7">
        <w:rPr>
          <w:rFonts w:eastAsiaTheme="majorEastAsia"/>
        </w:rPr>
        <w:t>No respondent chose any other category.</w:t>
      </w:r>
      <w:r w:rsidRPr="00E546C7">
        <w:t xml:space="preserve"> </w:t>
      </w:r>
      <w:r w:rsidRPr="00E546C7">
        <w:rPr>
          <w:rFonts w:eastAsiaTheme="majorEastAsia"/>
        </w:rPr>
        <w:t xml:space="preserve">This imbalance does not affect the relationships observed within samples, but does </w:t>
      </w:r>
      <w:r w:rsidR="00207B08" w:rsidRPr="00E546C7">
        <w:rPr>
          <w:rFonts w:eastAsiaTheme="majorEastAsia"/>
        </w:rPr>
        <w:t>reduce</w:t>
      </w:r>
      <w:r w:rsidRPr="00E546C7">
        <w:rPr>
          <w:rFonts w:eastAsiaTheme="majorEastAsia"/>
        </w:rPr>
        <w:t xml:space="preserve"> confidence that observed communication preferences represent the whole of the consumer market in the UK.</w:t>
      </w:r>
      <w:r w:rsidRPr="00E546C7">
        <w:t xml:space="preserve"> </w:t>
      </w:r>
      <w:r w:rsidRPr="00E546C7">
        <w:rPr>
          <w:rFonts w:eastAsiaTheme="majorEastAsia"/>
        </w:rPr>
        <w:t>Within a product category, the extent of celebrity/influencer marketing might vary from one consumer group to the next, and the male population could be more prevalent within a product category at a later stage in the analysis</w:t>
      </w:r>
      <w:r w:rsidR="00207B08" w:rsidRPr="00E546C7">
        <w:rPr>
          <w:rFonts w:eastAsiaTheme="majorEastAsia"/>
        </w:rPr>
        <w:t xml:space="preserve"> </w:t>
      </w:r>
      <w:r w:rsidR="00207B08" w:rsidRPr="00E546C7">
        <w:rPr>
          <w:color w:val="000000"/>
        </w:rPr>
        <w:t>(Rehman et al., 2022)</w:t>
      </w:r>
      <w:r w:rsidRPr="00E546C7">
        <w:rPr>
          <w:rFonts w:eastAsiaTheme="majorEastAsia"/>
        </w:rPr>
        <w:t>.</w:t>
      </w:r>
      <w:r w:rsidRPr="00E546C7">
        <w:t xml:space="preserve"> </w:t>
      </w:r>
      <w:r w:rsidRPr="00E546C7">
        <w:rPr>
          <w:rFonts w:eastAsiaTheme="majorEastAsia"/>
        </w:rPr>
        <w:t>Thus, the two genders are viewed as a sample descriptor and possible boundary condition and NOT as explanatory variables.</w:t>
      </w:r>
      <w:r w:rsidRPr="00E546C7">
        <w:t xml:space="preserve"> </w:t>
      </w:r>
      <w:r w:rsidRPr="00E546C7">
        <w:rPr>
          <w:rFonts w:eastAsiaTheme="majorEastAsia"/>
        </w:rPr>
        <w:t xml:space="preserve">There are only 16 women, and no one else for other categories so inferential comparisons would be underpowered and might be open </w:t>
      </w:r>
      <w:r w:rsidR="00207B08" w:rsidRPr="00E546C7">
        <w:rPr>
          <w:rFonts w:eastAsiaTheme="majorEastAsia"/>
        </w:rPr>
        <w:t>to</w:t>
      </w:r>
      <w:r w:rsidRPr="00E546C7">
        <w:rPr>
          <w:rFonts w:eastAsiaTheme="majorEastAsia"/>
        </w:rPr>
        <w:t xml:space="preserve"> overinterpretation.</w:t>
      </w:r>
      <w:r w:rsidRPr="00E546C7">
        <w:t xml:space="preserve"> </w:t>
      </w:r>
      <w:r w:rsidRPr="00E546C7">
        <w:rPr>
          <w:rFonts w:eastAsiaTheme="majorEastAsia"/>
        </w:rPr>
        <w:t>The correct conclusion is that evidence is useful for answering questions about this recruited sample</w:t>
      </w:r>
      <w:r w:rsidR="00207B08" w:rsidRPr="00E546C7">
        <w:rPr>
          <w:rFonts w:eastAsiaTheme="majorEastAsia"/>
        </w:rPr>
        <w:t>,</w:t>
      </w:r>
      <w:r w:rsidRPr="00E546C7">
        <w:rPr>
          <w:rFonts w:eastAsiaTheme="majorEastAsia"/>
        </w:rPr>
        <w:t xml:space="preserve"> but replication with appropriate gender balance is still needed</w:t>
      </w:r>
      <w:r w:rsidRPr="00E546C7">
        <w:t>.</w:t>
      </w:r>
    </w:p>
    <w:p w14:paraId="4D6364C0" w14:textId="77777777" w:rsidR="007927B7" w:rsidRPr="00E546C7" w:rsidRDefault="007927B7" w:rsidP="007927B7">
      <w:pPr>
        <w:pStyle w:val="Heading2"/>
        <w:rPr>
          <w:rFonts w:cs="Times New Roman"/>
        </w:rPr>
      </w:pPr>
      <w:bookmarkStart w:id="54" w:name="_Toc239819710"/>
      <w:r w:rsidRPr="00E546C7">
        <w:rPr>
          <w:rFonts w:cs="Times New Roman"/>
        </w:rPr>
        <w:t>4.5 Question 3: Message Consistency Across Channels</w:t>
      </w:r>
      <w:bookmarkEnd w:id="54"/>
    </w:p>
    <w:p w14:paraId="791CE9D8"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3. Adidas communicates a consistent message across its different marketing channels.</w:t>
      </w:r>
    </w:p>
    <w:p w14:paraId="65440A56" w14:textId="77777777" w:rsidR="007927B7" w:rsidRPr="00E546C7" w:rsidRDefault="007927B7" w:rsidP="007927B7">
      <w:pPr>
        <w:keepNext/>
        <w:spacing w:before="100" w:after="0"/>
        <w:jc w:val="center"/>
      </w:pPr>
      <w:r w:rsidRPr="00E546C7">
        <w:rPr>
          <w:noProof/>
        </w:rPr>
        <w:drawing>
          <wp:inline distT="0" distB="0" distL="0" distR="0" wp14:anchorId="3E28CC05" wp14:editId="3E27AB51">
            <wp:extent cx="5532120" cy="3093047"/>
            <wp:effectExtent l="0" t="0" r="0" b="0"/>
            <wp:docPr id="3" name="Picture 3" descr="Vertical bar chart of agreement that Adidas communicates a consistent message across marketing channels." title="Fig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3_consistency.png"/>
                    <pic:cNvPicPr/>
                  </pic:nvPicPr>
                  <pic:blipFill>
                    <a:blip r:embed="rId17"/>
                    <a:stretch>
                      <a:fillRect/>
                    </a:stretch>
                  </pic:blipFill>
                  <pic:spPr>
                    <a:xfrm>
                      <a:off x="0" y="0"/>
                      <a:ext cx="5532120" cy="3093047"/>
                    </a:xfrm>
                    <a:prstGeom prst="rect">
                      <a:avLst/>
                    </a:prstGeom>
                  </pic:spPr>
                </pic:pic>
              </a:graphicData>
            </a:graphic>
          </wp:inline>
        </w:drawing>
      </w:r>
    </w:p>
    <w:p w14:paraId="7E4D83A5" w14:textId="77777777" w:rsidR="007927B7" w:rsidRPr="00E546C7" w:rsidRDefault="007927B7" w:rsidP="007927B7">
      <w:pPr>
        <w:pStyle w:val="Caption"/>
        <w:rPr>
          <w:rFonts w:cs="Times New Roman"/>
        </w:rPr>
      </w:pPr>
      <w:r w:rsidRPr="00E546C7">
        <w:rPr>
          <w:rFonts w:cs="Times New Roman"/>
        </w:rPr>
        <w:t>Figure 4.3: Perceived Message Consistency (Vertical Bar Chart)</w:t>
      </w:r>
    </w:p>
    <w:p w14:paraId="7EC03B30" w14:textId="47B27CD7" w:rsidR="007927B7" w:rsidRPr="00E546C7" w:rsidRDefault="007927B7" w:rsidP="007927B7">
      <w:r w:rsidRPr="00E546C7">
        <w:rPr>
          <w:rFonts w:eastAsiaTheme="majorEastAsia"/>
        </w:rPr>
        <w:t>41 (82%) respondents agreed or strongly agreed that Adidas is consistent in its communications</w:t>
      </w:r>
      <w:r w:rsidRPr="00E546C7">
        <w:t>,</w:t>
      </w:r>
      <w:r w:rsidRPr="00E546C7">
        <w:rPr>
          <w:rFonts w:eastAsiaTheme="majorEastAsia"/>
        </w:rPr>
        <w:t xml:space="preserve"> and all of them used a single channel</w:t>
      </w:r>
      <w:r w:rsidRPr="00E546C7">
        <w:t>;</w:t>
      </w:r>
      <w:r w:rsidRPr="00E546C7">
        <w:rPr>
          <w:rFonts w:eastAsiaTheme="majorEastAsia"/>
        </w:rPr>
        <w:t xml:space="preserve"> six (12%) were neither agreeing nor disagreeing, and three (6%) disagreed with the statement.</w:t>
      </w:r>
      <w:r w:rsidRPr="00E546C7">
        <w:t xml:space="preserve"> </w:t>
      </w:r>
      <w:r w:rsidRPr="00E546C7">
        <w:rPr>
          <w:rFonts w:eastAsiaTheme="majorEastAsia"/>
        </w:rPr>
        <w:t xml:space="preserve">The mean was 3.94, </w:t>
      </w:r>
      <w:r w:rsidRPr="00E546C7">
        <w:t xml:space="preserve">the </w:t>
      </w:r>
      <w:r w:rsidRPr="00E546C7">
        <w:rPr>
          <w:rFonts w:eastAsiaTheme="majorEastAsia"/>
        </w:rPr>
        <w:t xml:space="preserve">median 4, and </w:t>
      </w:r>
      <w:r w:rsidRPr="00E546C7">
        <w:t xml:space="preserve">the </w:t>
      </w:r>
      <w:r w:rsidRPr="00E546C7">
        <w:rPr>
          <w:rFonts w:eastAsiaTheme="majorEastAsia"/>
        </w:rPr>
        <w:t>SD was 0.89; this suggested reasonably good perceptions of consistency, but not everyone</w:t>
      </w:r>
      <w:r w:rsidR="00207B08" w:rsidRPr="00E546C7">
        <w:rPr>
          <w:rFonts w:eastAsiaTheme="majorEastAsia"/>
        </w:rPr>
        <w:t xml:space="preserve"> agreed </w:t>
      </w:r>
      <w:r w:rsidR="00207B08" w:rsidRPr="00E546C7">
        <w:rPr>
          <w:color w:val="000000"/>
        </w:rPr>
        <w:t>(Srivastava et al., 2025)</w:t>
      </w:r>
      <w:r w:rsidRPr="00E546C7">
        <w:rPr>
          <w:rFonts w:eastAsiaTheme="majorEastAsia"/>
        </w:rPr>
        <w:t>.</w:t>
      </w:r>
      <w:r w:rsidRPr="00E546C7">
        <w:t xml:space="preserve"> </w:t>
      </w:r>
      <w:r w:rsidRPr="00E546C7">
        <w:rPr>
          <w:rFonts w:eastAsiaTheme="majorEastAsia"/>
        </w:rPr>
        <w:t>To Shannon–Weaver, minority dissent can be due to ‘noise' from platform clutter, competing campaigns or differing interpretations.</w:t>
      </w:r>
      <w:r w:rsidRPr="00E546C7">
        <w:t xml:space="preserve"> </w:t>
      </w:r>
      <w:r w:rsidRPr="00E546C7">
        <w:rPr>
          <w:rFonts w:eastAsiaTheme="majorEastAsia"/>
        </w:rPr>
        <w:t xml:space="preserve">While there is a possibility of recognition for all </w:t>
      </w:r>
      <w:r w:rsidR="00207B08" w:rsidRPr="00E546C7">
        <w:rPr>
          <w:rFonts w:eastAsiaTheme="majorEastAsia"/>
        </w:rPr>
        <w:t xml:space="preserve">of </w:t>
      </w:r>
      <w:r w:rsidRPr="00E546C7">
        <w:rPr>
          <w:rFonts w:eastAsiaTheme="majorEastAsia"/>
        </w:rPr>
        <w:t>Adidas's cross-channel output, repetition is not a proof point for integration – it can boost recognition but not credibility or behaviour</w:t>
      </w:r>
      <w:r w:rsidR="00207B08" w:rsidRPr="00E546C7">
        <w:rPr>
          <w:rFonts w:eastAsiaTheme="majorEastAsia"/>
        </w:rPr>
        <w:t xml:space="preserve"> </w:t>
      </w:r>
      <w:r w:rsidR="00207B08" w:rsidRPr="00E546C7">
        <w:rPr>
          <w:color w:val="000000"/>
        </w:rPr>
        <w:t>(</w:t>
      </w:r>
      <w:proofErr w:type="spellStart"/>
      <w:r w:rsidR="00207B08" w:rsidRPr="00E546C7">
        <w:rPr>
          <w:color w:val="000000"/>
        </w:rPr>
        <w:t>Šerić</w:t>
      </w:r>
      <w:proofErr w:type="spellEnd"/>
      <w:r w:rsidR="00207B08" w:rsidRPr="00E546C7">
        <w:rPr>
          <w:color w:val="000000"/>
        </w:rPr>
        <w:t xml:space="preserve"> and </w:t>
      </w:r>
      <w:proofErr w:type="spellStart"/>
      <w:r w:rsidR="00207B08" w:rsidRPr="00E546C7">
        <w:rPr>
          <w:color w:val="000000"/>
        </w:rPr>
        <w:t>Vernuccio</w:t>
      </w:r>
      <w:proofErr w:type="spellEnd"/>
      <w:r w:rsidR="00207B08" w:rsidRPr="00E546C7">
        <w:rPr>
          <w:color w:val="000000"/>
        </w:rPr>
        <w:t>, 2020)</w:t>
      </w:r>
      <w:r w:rsidRPr="00E546C7">
        <w:rPr>
          <w:rFonts w:eastAsiaTheme="majorEastAsia"/>
        </w:rPr>
        <w:t>.</w:t>
      </w:r>
      <w:r w:rsidRPr="00E546C7">
        <w:t xml:space="preserve"> </w:t>
      </w:r>
      <w:r w:rsidRPr="00E546C7">
        <w:rPr>
          <w:rFonts w:eastAsiaTheme="majorEastAsia"/>
        </w:rPr>
        <w:t>The data for Question 3 should therefore not be used as evidence of a causal relationship and should be viewed instead as a cognitive IMC evaluation together with any relationship tests (Question 4)</w:t>
      </w:r>
      <w:r w:rsidRPr="00E546C7">
        <w:t>.</w:t>
      </w:r>
    </w:p>
    <w:p w14:paraId="2FAB9002" w14:textId="77777777" w:rsidR="007927B7" w:rsidRPr="00E546C7" w:rsidRDefault="007927B7" w:rsidP="007927B7">
      <w:pPr>
        <w:pStyle w:val="Heading2"/>
        <w:rPr>
          <w:rFonts w:cs="Times New Roman"/>
        </w:rPr>
      </w:pPr>
      <w:bookmarkStart w:id="55" w:name="_Toc239819711"/>
      <w:r w:rsidRPr="00E546C7">
        <w:rPr>
          <w:rFonts w:cs="Times New Roman"/>
        </w:rPr>
        <w:t>4.6 Question 4: Credibility, Relevance and Engagement</w:t>
      </w:r>
      <w:bookmarkEnd w:id="55"/>
    </w:p>
    <w:p w14:paraId="63C06209"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4. I find Adidas's marketing communications credible, relevant and engaging.</w:t>
      </w:r>
    </w:p>
    <w:p w14:paraId="667DCDC8" w14:textId="77777777" w:rsidR="007927B7" w:rsidRPr="00E546C7" w:rsidRDefault="007927B7" w:rsidP="007927B7">
      <w:pPr>
        <w:keepNext/>
        <w:spacing w:before="100" w:after="0"/>
        <w:jc w:val="center"/>
      </w:pPr>
      <w:r w:rsidRPr="00E546C7">
        <w:rPr>
          <w:noProof/>
        </w:rPr>
        <w:drawing>
          <wp:inline distT="0" distB="0" distL="0" distR="0" wp14:anchorId="12E4288E" wp14:editId="55F4992A">
            <wp:extent cx="5532120" cy="3079939"/>
            <wp:effectExtent l="0" t="0" r="0" b="0"/>
            <wp:docPr id="481940678" name="Picture 481940678" descr="Three-dimensional-style pie chart of perceived credibility, relevance and engagement of Adidas communications." title="Fig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4_credibility.png"/>
                    <pic:cNvPicPr/>
                  </pic:nvPicPr>
                  <pic:blipFill>
                    <a:blip r:embed="rId18"/>
                    <a:stretch>
                      <a:fillRect/>
                    </a:stretch>
                  </pic:blipFill>
                  <pic:spPr>
                    <a:xfrm>
                      <a:off x="0" y="0"/>
                      <a:ext cx="5532120" cy="3079939"/>
                    </a:xfrm>
                    <a:prstGeom prst="rect">
                      <a:avLst/>
                    </a:prstGeom>
                  </pic:spPr>
                </pic:pic>
              </a:graphicData>
            </a:graphic>
          </wp:inline>
        </w:drawing>
      </w:r>
    </w:p>
    <w:p w14:paraId="034C5BAF" w14:textId="77777777" w:rsidR="007927B7" w:rsidRPr="00E546C7" w:rsidRDefault="007927B7" w:rsidP="007927B7">
      <w:pPr>
        <w:pStyle w:val="Caption"/>
        <w:rPr>
          <w:rFonts w:cs="Times New Roman"/>
        </w:rPr>
      </w:pPr>
      <w:r w:rsidRPr="00E546C7">
        <w:rPr>
          <w:rFonts w:cs="Times New Roman"/>
        </w:rPr>
        <w:t>Figure 4.4: Credibility, Relevance and Engagement (3D-Style Pie Chart)</w:t>
      </w:r>
    </w:p>
    <w:p w14:paraId="2365FCE0" w14:textId="35276CED" w:rsidR="007927B7" w:rsidRPr="00E546C7" w:rsidRDefault="007927B7" w:rsidP="007927B7">
      <w:r w:rsidRPr="00E546C7">
        <w:rPr>
          <w:rFonts w:eastAsiaTheme="majorEastAsia"/>
        </w:rPr>
        <w:t xml:space="preserve">40 respondents said </w:t>
      </w:r>
      <w:r w:rsidRPr="00E546C7">
        <w:t xml:space="preserve">they </w:t>
      </w:r>
      <w:r w:rsidRPr="00E546C7">
        <w:rPr>
          <w:rFonts w:eastAsiaTheme="majorEastAsia"/>
        </w:rPr>
        <w:t>agreed or strongly agreed (80%), nine (18%) were neutral, and one (2%) disagreed.</w:t>
      </w:r>
      <w:r w:rsidRPr="00E546C7">
        <w:t xml:space="preserve"> </w:t>
      </w:r>
      <w:r w:rsidRPr="00E546C7">
        <w:rPr>
          <w:rFonts w:eastAsiaTheme="majorEastAsia"/>
        </w:rPr>
        <w:t>Means and SD were provided for Objective Two and the affective component of the Tricomponent Attitude Model</w:t>
      </w:r>
      <w:r w:rsidRPr="00E546C7">
        <w:t>,</w:t>
      </w:r>
      <w:r w:rsidRPr="00E546C7">
        <w:rPr>
          <w:rFonts w:eastAsiaTheme="majorEastAsia"/>
        </w:rPr>
        <w:t xml:space="preserve"> with a mean of 4.10 and a</w:t>
      </w:r>
      <w:r w:rsidRPr="00E546C7">
        <w:t>n</w:t>
      </w:r>
      <w:r w:rsidRPr="00E546C7">
        <w:rPr>
          <w:rFonts w:eastAsiaTheme="majorEastAsia"/>
        </w:rPr>
        <w:t xml:space="preserve"> SD of 0.76.</w:t>
      </w:r>
      <w:r w:rsidRPr="00E546C7">
        <w:t xml:space="preserve"> </w:t>
      </w:r>
      <w:r w:rsidRPr="00E546C7">
        <w:rPr>
          <w:rFonts w:eastAsiaTheme="majorEastAsia"/>
        </w:rPr>
        <w:t>The majority of respondents associated communication with good evaluations of Adidas.</w:t>
      </w:r>
      <w:r w:rsidRPr="00E546C7">
        <w:t xml:space="preserve"> But</w:t>
      </w:r>
      <w:r w:rsidRPr="00E546C7">
        <w:rPr>
          <w:rFonts w:eastAsiaTheme="majorEastAsia"/>
        </w:rPr>
        <w:t xml:space="preserve"> the language refers to perceived influence and is not an isolated effect </w:t>
      </w:r>
      <w:r w:rsidRPr="00E546C7">
        <w:t>in</w:t>
      </w:r>
      <w:r w:rsidRPr="00E546C7">
        <w:rPr>
          <w:rFonts w:eastAsiaTheme="majorEastAsia"/>
        </w:rPr>
        <w:t xml:space="preserve"> an experiment</w:t>
      </w:r>
      <w:r w:rsidR="00207B08" w:rsidRPr="00E546C7">
        <w:rPr>
          <w:rFonts w:eastAsiaTheme="majorEastAsia"/>
        </w:rPr>
        <w:t xml:space="preserve"> </w:t>
      </w:r>
      <w:r w:rsidR="00207B08" w:rsidRPr="00E546C7">
        <w:rPr>
          <w:color w:val="000000"/>
        </w:rPr>
        <w:t xml:space="preserve">(Kunkel and </w:t>
      </w:r>
      <w:proofErr w:type="spellStart"/>
      <w:r w:rsidR="00207B08" w:rsidRPr="00E546C7">
        <w:rPr>
          <w:color w:val="000000"/>
        </w:rPr>
        <w:t>Biscaia</w:t>
      </w:r>
      <w:proofErr w:type="spellEnd"/>
      <w:r w:rsidR="00207B08" w:rsidRPr="00E546C7">
        <w:rPr>
          <w:color w:val="000000"/>
        </w:rPr>
        <w:t>, 2020)</w:t>
      </w:r>
      <w:r w:rsidR="00207B08" w:rsidRPr="00E546C7">
        <w:rPr>
          <w:rFonts w:eastAsiaTheme="majorEastAsia"/>
        </w:rPr>
        <w:t>. A</w:t>
      </w:r>
      <w:r w:rsidRPr="00E546C7">
        <w:rPr>
          <w:rFonts w:eastAsiaTheme="majorEastAsia"/>
        </w:rPr>
        <w:t>ttitudes may also be influenced by product quality, prev</w:t>
      </w:r>
      <w:r w:rsidRPr="00E546C7">
        <w:t>iou</w:t>
      </w:r>
      <w:r w:rsidRPr="00E546C7">
        <w:rPr>
          <w:rFonts w:eastAsiaTheme="majorEastAsia"/>
        </w:rPr>
        <w:t>s ownership, price and sporting identity.</w:t>
      </w:r>
      <w:r w:rsidRPr="00E546C7">
        <w:t xml:space="preserve"> </w:t>
      </w:r>
      <w:r w:rsidRPr="00E546C7">
        <w:rPr>
          <w:rFonts w:eastAsiaTheme="majorEastAsia"/>
        </w:rPr>
        <w:t>There are 18% who are neither attracted nor repelled, demonstrating that communication failed to produce positive feelings among all.</w:t>
      </w:r>
      <w:r w:rsidRPr="00E546C7">
        <w:t xml:space="preserve"> </w:t>
      </w:r>
      <w:r w:rsidRPr="00E546C7">
        <w:rPr>
          <w:rFonts w:eastAsiaTheme="majorEastAsia"/>
        </w:rPr>
        <w:t>Thus, correlation analysis should be used to examine whether there is a systematic relationship between stronger IMC perceptions and positive attitudes</w:t>
      </w:r>
      <w:r w:rsidRPr="00E546C7">
        <w:t>.</w:t>
      </w:r>
    </w:p>
    <w:p w14:paraId="1AA2EEFA" w14:textId="77777777" w:rsidR="007927B7" w:rsidRPr="00E546C7" w:rsidRDefault="007927B7" w:rsidP="007927B7">
      <w:pPr>
        <w:pStyle w:val="Heading2"/>
        <w:rPr>
          <w:rFonts w:cs="Times New Roman"/>
        </w:rPr>
      </w:pPr>
      <w:bookmarkStart w:id="56" w:name="_Toc239819712"/>
      <w:r w:rsidRPr="00E546C7">
        <w:rPr>
          <w:rFonts w:cs="Times New Roman"/>
        </w:rPr>
        <w:t>4.7 Question 5: Positive Brand Attitude</w:t>
      </w:r>
      <w:bookmarkEnd w:id="56"/>
    </w:p>
    <w:p w14:paraId="77B6AFE1"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5. Adidas's marketing communications create a positive attitude toward the brand.</w:t>
      </w:r>
    </w:p>
    <w:p w14:paraId="36863A62" w14:textId="77777777" w:rsidR="007927B7" w:rsidRPr="00E546C7" w:rsidRDefault="007927B7" w:rsidP="007927B7">
      <w:pPr>
        <w:keepNext/>
        <w:spacing w:before="100" w:after="0"/>
        <w:jc w:val="center"/>
      </w:pPr>
      <w:r w:rsidRPr="00E546C7">
        <w:rPr>
          <w:noProof/>
        </w:rPr>
        <w:drawing>
          <wp:inline distT="0" distB="0" distL="0" distR="0" wp14:anchorId="23A4C856" wp14:editId="03A64A30">
            <wp:extent cx="5532120" cy="3093047"/>
            <wp:effectExtent l="0" t="0" r="0" b="0"/>
            <wp:docPr id="5" name="Picture 5" descr="Vertical bar chart of agreement that Adidas communications create a positive brand attitude." title="Fig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5_attitude.png"/>
                    <pic:cNvPicPr/>
                  </pic:nvPicPr>
                  <pic:blipFill>
                    <a:blip r:embed="rId19"/>
                    <a:stretch>
                      <a:fillRect/>
                    </a:stretch>
                  </pic:blipFill>
                  <pic:spPr>
                    <a:xfrm>
                      <a:off x="0" y="0"/>
                      <a:ext cx="5532120" cy="3093047"/>
                    </a:xfrm>
                    <a:prstGeom prst="rect">
                      <a:avLst/>
                    </a:prstGeom>
                  </pic:spPr>
                </pic:pic>
              </a:graphicData>
            </a:graphic>
          </wp:inline>
        </w:drawing>
      </w:r>
    </w:p>
    <w:p w14:paraId="567A8DCD" w14:textId="77777777" w:rsidR="007927B7" w:rsidRPr="00E546C7" w:rsidRDefault="007927B7" w:rsidP="007927B7">
      <w:pPr>
        <w:pStyle w:val="Caption"/>
        <w:rPr>
          <w:rFonts w:cs="Times New Roman"/>
        </w:rPr>
      </w:pPr>
      <w:r w:rsidRPr="00E546C7">
        <w:rPr>
          <w:rFonts w:cs="Times New Roman"/>
        </w:rPr>
        <w:t>Figure 4.5: Positive Brand Attitude (Vertical Bar Chart)</w:t>
      </w:r>
    </w:p>
    <w:p w14:paraId="369EE743" w14:textId="22671E08" w:rsidR="007927B7" w:rsidRPr="00E546C7" w:rsidRDefault="007927B7" w:rsidP="007927B7">
      <w:r w:rsidRPr="00E546C7">
        <w:rPr>
          <w:rFonts w:eastAsiaTheme="majorEastAsia"/>
        </w:rPr>
        <w:t>The results showed that there were forty respondents (80%) who agreed or strongly agreed, nine respondents (18%) who were neutral and one respondent (2%) who disagreed.</w:t>
      </w:r>
      <w:r w:rsidRPr="00E546C7">
        <w:t xml:space="preserve"> </w:t>
      </w:r>
      <w:r w:rsidRPr="00E546C7">
        <w:rPr>
          <w:rFonts w:eastAsiaTheme="majorEastAsia"/>
        </w:rPr>
        <w:t>Descriptive data for objective 2 (attitude to the behaviour) and the affective component of the Tricomponent Attitude Model w</w:t>
      </w:r>
      <w:r w:rsidRPr="00E546C7">
        <w:t>ere</w:t>
      </w:r>
      <w:r w:rsidRPr="00E546C7">
        <w:rPr>
          <w:rFonts w:eastAsiaTheme="majorEastAsia"/>
        </w:rPr>
        <w:t xml:space="preserve"> supported by the mean (4.10), median (4) and SD (0.76).</w:t>
      </w:r>
      <w:r w:rsidRPr="00E546C7">
        <w:t xml:space="preserve"> The m</w:t>
      </w:r>
      <w:r w:rsidRPr="00E546C7">
        <w:rPr>
          <w:rFonts w:eastAsiaTheme="majorEastAsia"/>
        </w:rPr>
        <w:t xml:space="preserve">ajority of the respondents associated communication </w:t>
      </w:r>
      <w:r w:rsidRPr="00E546C7">
        <w:t>with</w:t>
      </w:r>
      <w:r w:rsidRPr="00E546C7">
        <w:rPr>
          <w:rFonts w:eastAsiaTheme="majorEastAsia"/>
        </w:rPr>
        <w:t xml:space="preserve"> positive Adidas assessments.</w:t>
      </w:r>
      <w:r w:rsidRPr="00E546C7">
        <w:t xml:space="preserve"> </w:t>
      </w:r>
      <w:r w:rsidRPr="00E546C7">
        <w:rPr>
          <w:rFonts w:eastAsiaTheme="majorEastAsia"/>
        </w:rPr>
        <w:t>But the language is indicative of perceived influence</w:t>
      </w:r>
      <w:r w:rsidRPr="00E546C7">
        <w:t>,</w:t>
      </w:r>
      <w:r w:rsidRPr="00E546C7">
        <w:rPr>
          <w:rFonts w:eastAsiaTheme="majorEastAsia"/>
        </w:rPr>
        <w:t xml:space="preserve"> not an isolated effect in experimentation, and quality, prior usage, cost and sporting allegiance may influence attitudes</w:t>
      </w:r>
      <w:r w:rsidR="00207B08" w:rsidRPr="00E546C7">
        <w:rPr>
          <w:rFonts w:eastAsiaTheme="majorEastAsia"/>
          <w:lang w:val="en-US"/>
        </w:rPr>
        <w:t xml:space="preserve"> </w:t>
      </w:r>
      <w:r w:rsidR="00207B08" w:rsidRPr="00E546C7">
        <w:rPr>
          <w:color w:val="000000"/>
        </w:rPr>
        <w:t>(Kim and Oh, 2020)</w:t>
      </w:r>
      <w:r w:rsidRPr="00E546C7">
        <w:rPr>
          <w:rFonts w:eastAsiaTheme="majorEastAsia"/>
        </w:rPr>
        <w:t>.</w:t>
      </w:r>
      <w:r w:rsidRPr="00E546C7">
        <w:t xml:space="preserve"> </w:t>
      </w:r>
      <w:r w:rsidRPr="00E546C7">
        <w:rPr>
          <w:rFonts w:eastAsiaTheme="majorEastAsia"/>
        </w:rPr>
        <w:t xml:space="preserve">Not everyone was moved towards </w:t>
      </w:r>
      <w:r w:rsidRPr="00E546C7">
        <w:t xml:space="preserve">a </w:t>
      </w:r>
      <w:r w:rsidRPr="00E546C7">
        <w:rPr>
          <w:rFonts w:eastAsiaTheme="majorEastAsia"/>
        </w:rPr>
        <w:t>favourable attitude by the communication</w:t>
      </w:r>
      <w:r w:rsidRPr="00E546C7">
        <w:t>,</w:t>
      </w:r>
      <w:r w:rsidRPr="00E546C7">
        <w:rPr>
          <w:rFonts w:eastAsiaTheme="majorEastAsia"/>
        </w:rPr>
        <w:t xml:space="preserve"> as 18% is a neutral group.</w:t>
      </w:r>
      <w:r w:rsidRPr="00E546C7">
        <w:t xml:space="preserve"> </w:t>
      </w:r>
      <w:r w:rsidRPr="00E546C7">
        <w:rPr>
          <w:rFonts w:eastAsiaTheme="majorEastAsia"/>
        </w:rPr>
        <w:t>Thus</w:t>
      </w:r>
      <w:r w:rsidRPr="00E546C7">
        <w:t>,</w:t>
      </w:r>
      <w:r w:rsidRPr="00E546C7">
        <w:rPr>
          <w:rFonts w:eastAsiaTheme="majorEastAsia"/>
        </w:rPr>
        <w:t xml:space="preserve"> correlation analysis is necessary to check </w:t>
      </w:r>
      <w:r w:rsidRPr="00E546C7">
        <w:t>whether</w:t>
      </w:r>
      <w:r w:rsidRPr="00E546C7">
        <w:rPr>
          <w:rFonts w:eastAsiaTheme="majorEastAsia"/>
        </w:rPr>
        <w:t xml:space="preserve"> IMC perceptions are systematically related to positive attitudes</w:t>
      </w:r>
      <w:r w:rsidRPr="00E546C7">
        <w:t>.</w:t>
      </w:r>
    </w:p>
    <w:p w14:paraId="091ABD80" w14:textId="77777777" w:rsidR="007927B7" w:rsidRPr="00E546C7" w:rsidRDefault="007927B7" w:rsidP="007927B7">
      <w:pPr>
        <w:pStyle w:val="Heading2"/>
        <w:rPr>
          <w:rFonts w:cs="Times New Roman"/>
        </w:rPr>
      </w:pPr>
      <w:bookmarkStart w:id="57" w:name="_Toc239819713"/>
      <w:r w:rsidRPr="00E546C7">
        <w:rPr>
          <w:rFonts w:cs="Times New Roman"/>
        </w:rPr>
        <w:t>4.8 Question 6: Purchase Intention</w:t>
      </w:r>
      <w:bookmarkEnd w:id="57"/>
    </w:p>
    <w:p w14:paraId="61E487E7"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6. Adidas's marketing communications increase my intention to purchase Adidas products.</w:t>
      </w:r>
    </w:p>
    <w:p w14:paraId="173E8FCC" w14:textId="77777777" w:rsidR="007927B7" w:rsidRPr="00E546C7" w:rsidRDefault="007927B7" w:rsidP="007927B7">
      <w:pPr>
        <w:keepNext/>
        <w:spacing w:before="100" w:after="0"/>
        <w:jc w:val="center"/>
      </w:pPr>
      <w:r w:rsidRPr="00E546C7">
        <w:rPr>
          <w:noProof/>
        </w:rPr>
        <w:drawing>
          <wp:inline distT="0" distB="0" distL="0" distR="0" wp14:anchorId="1D78B6BB" wp14:editId="3B06EC9D">
            <wp:extent cx="5532120" cy="3093047"/>
            <wp:effectExtent l="0" t="0" r="0" b="0"/>
            <wp:docPr id="6" name="Picture 6" descr="Line graph showing the ordered Likert response profile for purchase intention." title="Fig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6_purchase.png"/>
                    <pic:cNvPicPr/>
                  </pic:nvPicPr>
                  <pic:blipFill>
                    <a:blip r:embed="rId20"/>
                    <a:stretch>
                      <a:fillRect/>
                    </a:stretch>
                  </pic:blipFill>
                  <pic:spPr>
                    <a:xfrm>
                      <a:off x="0" y="0"/>
                      <a:ext cx="5532120" cy="3093047"/>
                    </a:xfrm>
                    <a:prstGeom prst="rect">
                      <a:avLst/>
                    </a:prstGeom>
                  </pic:spPr>
                </pic:pic>
              </a:graphicData>
            </a:graphic>
          </wp:inline>
        </w:drawing>
      </w:r>
    </w:p>
    <w:p w14:paraId="561F47A5" w14:textId="77777777" w:rsidR="007927B7" w:rsidRPr="00E546C7" w:rsidRDefault="007927B7" w:rsidP="007927B7">
      <w:pPr>
        <w:pStyle w:val="Caption"/>
        <w:rPr>
          <w:rFonts w:cs="Times New Roman"/>
        </w:rPr>
      </w:pPr>
      <w:r w:rsidRPr="00E546C7">
        <w:rPr>
          <w:rFonts w:cs="Times New Roman"/>
        </w:rPr>
        <w:t>Figure 4.6: Purchase Intention Response Profile (Line Graph)</w:t>
      </w:r>
    </w:p>
    <w:p w14:paraId="090C6A2C" w14:textId="265F9648" w:rsidR="007927B7" w:rsidRPr="00E546C7" w:rsidRDefault="007927B7" w:rsidP="007927B7">
      <w:r w:rsidRPr="00E546C7">
        <w:t>38 respondents</w:t>
      </w:r>
      <w:r w:rsidRPr="00E546C7">
        <w:rPr>
          <w:rFonts w:eastAsiaTheme="majorEastAsia"/>
        </w:rPr>
        <w:t xml:space="preserve"> (76%) agreed or strongly agreed with the statement, eleven (22%) were neutral</w:t>
      </w:r>
      <w:r w:rsidRPr="00E546C7">
        <w:t>,</w:t>
      </w:r>
      <w:r w:rsidRPr="00E546C7">
        <w:rPr>
          <w:rFonts w:eastAsiaTheme="majorEastAsia"/>
        </w:rPr>
        <w:t xml:space="preserve"> and one (2%) disagreed.</w:t>
      </w:r>
      <w:r w:rsidRPr="00E546C7">
        <w:t xml:space="preserve"> </w:t>
      </w:r>
      <w:r w:rsidRPr="00E546C7">
        <w:rPr>
          <w:rFonts w:eastAsiaTheme="majorEastAsia"/>
        </w:rPr>
        <w:t>Purchase intention had a slightly higher mean of 4.14 compared to attitude (4.10)</w:t>
      </w:r>
      <w:r w:rsidRPr="00E546C7">
        <w:t>,</w:t>
      </w:r>
      <w:r w:rsidRPr="00E546C7">
        <w:rPr>
          <w:rFonts w:eastAsiaTheme="majorEastAsia"/>
        </w:rPr>
        <w:t xml:space="preserve"> which is only 0.04 points higher, but it had a lower positive response rate (76%/80%).</w:t>
      </w:r>
      <w:r w:rsidRPr="00E546C7">
        <w:t xml:space="preserve"> </w:t>
      </w:r>
      <w:r w:rsidRPr="00E546C7">
        <w:rPr>
          <w:rFonts w:eastAsiaTheme="majorEastAsia"/>
        </w:rPr>
        <w:t>This appears to be a comparison between the distribution of responses to both Question 6: There is a neutral to strong positive trend to the statements in the latter, while the former had a more fairly distributed pattern of responses</w:t>
      </w:r>
      <w:r w:rsidR="00207B08" w:rsidRPr="00E546C7">
        <w:rPr>
          <w:rFonts w:eastAsiaTheme="majorEastAsia"/>
        </w:rPr>
        <w:t>. T</w:t>
      </w:r>
      <w:r w:rsidRPr="00E546C7">
        <w:rPr>
          <w:rFonts w:eastAsiaTheme="majorEastAsia"/>
        </w:rPr>
        <w:t xml:space="preserve">he mean </w:t>
      </w:r>
      <w:r w:rsidR="00207B08" w:rsidRPr="00E546C7">
        <w:rPr>
          <w:rFonts w:eastAsiaTheme="majorEastAsia"/>
        </w:rPr>
        <w:t>is</w:t>
      </w:r>
      <w:r w:rsidRPr="00E546C7">
        <w:rPr>
          <w:rFonts w:eastAsiaTheme="majorEastAsia"/>
        </w:rPr>
        <w:t xml:space="preserve"> higher </w:t>
      </w:r>
      <w:r w:rsidR="00207B08" w:rsidRPr="00E546C7">
        <w:rPr>
          <w:rFonts w:eastAsiaTheme="majorEastAsia"/>
        </w:rPr>
        <w:t>du</w:t>
      </w:r>
      <w:r w:rsidRPr="00E546C7">
        <w:rPr>
          <w:rFonts w:eastAsiaTheme="majorEastAsia"/>
        </w:rPr>
        <w:t xml:space="preserve">e </w:t>
      </w:r>
      <w:r w:rsidR="00207B08" w:rsidRPr="00E546C7">
        <w:rPr>
          <w:rFonts w:eastAsiaTheme="majorEastAsia"/>
        </w:rPr>
        <w:t>to</w:t>
      </w:r>
      <w:r w:rsidRPr="00E546C7">
        <w:rPr>
          <w:rFonts w:eastAsiaTheme="majorEastAsia"/>
        </w:rPr>
        <w:t xml:space="preserve"> the more concentrated nature of the positive responses </w:t>
      </w:r>
      <w:r w:rsidR="00207B08" w:rsidRPr="00E546C7">
        <w:rPr>
          <w:rFonts w:eastAsiaTheme="majorEastAsia"/>
        </w:rPr>
        <w:t>in</w:t>
      </w:r>
      <w:r w:rsidRPr="00E546C7">
        <w:rPr>
          <w:rFonts w:eastAsiaTheme="majorEastAsia"/>
        </w:rPr>
        <w:t xml:space="preserve"> the strongly</w:t>
      </w:r>
      <w:r w:rsidR="00207B08" w:rsidRPr="00E546C7">
        <w:rPr>
          <w:rFonts w:eastAsiaTheme="majorEastAsia"/>
        </w:rPr>
        <w:t xml:space="preserve"> </w:t>
      </w:r>
      <w:r w:rsidRPr="00E546C7">
        <w:rPr>
          <w:rFonts w:eastAsiaTheme="majorEastAsia"/>
        </w:rPr>
        <w:t>agree category related to social studies in education</w:t>
      </w:r>
      <w:r w:rsidR="00207B08" w:rsidRPr="00E546C7">
        <w:rPr>
          <w:rFonts w:eastAsiaTheme="majorEastAsia"/>
        </w:rPr>
        <w:t xml:space="preserve"> </w:t>
      </w:r>
      <w:r w:rsidR="00207B08" w:rsidRPr="00E546C7">
        <w:rPr>
          <w:color w:val="000000"/>
        </w:rPr>
        <w:t>(Choubey and Sharma, 2026)</w:t>
      </w:r>
      <w:r w:rsidRPr="00E546C7">
        <w:rPr>
          <w:rFonts w:eastAsiaTheme="majorEastAsia"/>
        </w:rPr>
        <w:t>.</w:t>
      </w:r>
      <w:r w:rsidRPr="00E546C7">
        <w:t xml:space="preserve"> </w:t>
      </w:r>
      <w:r w:rsidRPr="00E546C7">
        <w:rPr>
          <w:rFonts w:eastAsiaTheme="majorEastAsia"/>
        </w:rPr>
        <w:t>The 22% neutral group is representative of an attitude-behaviour boundary for Objective Two.</w:t>
      </w:r>
      <w:r w:rsidRPr="00E546C7">
        <w:t xml:space="preserve"> </w:t>
      </w:r>
      <w:r w:rsidRPr="00E546C7">
        <w:rPr>
          <w:rFonts w:eastAsiaTheme="majorEastAsia"/>
        </w:rPr>
        <w:t>In the Tricomponent Model, a high conative intention does not necessarily stem from positive cognition or positive affect, but factors like price, fit, availability and competing brands may limit intention.</w:t>
      </w:r>
      <w:r w:rsidRPr="00E546C7">
        <w:t xml:space="preserve"> </w:t>
      </w:r>
      <w:r w:rsidRPr="00E546C7">
        <w:rPr>
          <w:rFonts w:eastAsiaTheme="majorEastAsia"/>
        </w:rPr>
        <w:t>Overall, purchase intention was positive</w:t>
      </w:r>
      <w:r w:rsidRPr="00E546C7">
        <w:t>. H</w:t>
      </w:r>
      <w:r w:rsidRPr="00E546C7">
        <w:rPr>
          <w:rFonts w:eastAsiaTheme="majorEastAsia"/>
        </w:rPr>
        <w:t>owever the distribution allows an examination of the relationship between perceived IMC and purchase intention from a statistical perspective</w:t>
      </w:r>
      <w:r w:rsidRPr="00E546C7">
        <w:t xml:space="preserve">. </w:t>
      </w:r>
    </w:p>
    <w:p w14:paraId="3C51DCAC" w14:textId="77777777" w:rsidR="007927B7" w:rsidRPr="00E546C7" w:rsidRDefault="007927B7" w:rsidP="007927B7">
      <w:pPr>
        <w:pStyle w:val="Heading2"/>
        <w:rPr>
          <w:rFonts w:cs="Times New Roman"/>
        </w:rPr>
      </w:pPr>
      <w:bookmarkStart w:id="58" w:name="_Toc239819714"/>
      <w:r w:rsidRPr="00E546C7">
        <w:rPr>
          <w:rFonts w:cs="Times New Roman"/>
        </w:rPr>
        <w:t>4.9 Question 7: Most Effective Promotional Method</w:t>
      </w:r>
      <w:bookmarkEnd w:id="58"/>
    </w:p>
    <w:p w14:paraId="2B8B7F4A"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7. Which of the following Adidas promotional methods do you consider the most effective?</w:t>
      </w:r>
    </w:p>
    <w:p w14:paraId="219EF454" w14:textId="77777777" w:rsidR="007927B7" w:rsidRPr="00E546C7" w:rsidRDefault="007927B7" w:rsidP="007927B7">
      <w:pPr>
        <w:keepNext/>
        <w:spacing w:before="100" w:after="0"/>
        <w:jc w:val="center"/>
      </w:pPr>
      <w:r w:rsidRPr="00E546C7">
        <w:rPr>
          <w:noProof/>
        </w:rPr>
        <w:drawing>
          <wp:inline distT="0" distB="0" distL="0" distR="0" wp14:anchorId="13B02438" wp14:editId="676A425F">
            <wp:extent cx="5532120" cy="3093047"/>
            <wp:effectExtent l="0" t="0" r="0" b="0"/>
            <wp:docPr id="7" name="Picture 7" descr="Vertical bar chart comparing perceived effectiveness of influencer endorsements, social media, advertising and direct marketing." title="Fig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7_promotion.png"/>
                    <pic:cNvPicPr/>
                  </pic:nvPicPr>
                  <pic:blipFill>
                    <a:blip r:embed="rId21"/>
                    <a:stretch>
                      <a:fillRect/>
                    </a:stretch>
                  </pic:blipFill>
                  <pic:spPr>
                    <a:xfrm>
                      <a:off x="0" y="0"/>
                      <a:ext cx="5532120" cy="3093047"/>
                    </a:xfrm>
                    <a:prstGeom prst="rect">
                      <a:avLst/>
                    </a:prstGeom>
                  </pic:spPr>
                </pic:pic>
              </a:graphicData>
            </a:graphic>
          </wp:inline>
        </w:drawing>
      </w:r>
    </w:p>
    <w:p w14:paraId="6A100810" w14:textId="77777777" w:rsidR="007927B7" w:rsidRPr="00E546C7" w:rsidRDefault="007927B7" w:rsidP="007927B7">
      <w:pPr>
        <w:pStyle w:val="Caption"/>
        <w:rPr>
          <w:rFonts w:cs="Times New Roman"/>
        </w:rPr>
      </w:pPr>
      <w:r w:rsidRPr="00E546C7">
        <w:rPr>
          <w:rFonts w:cs="Times New Roman"/>
        </w:rPr>
        <w:t>Figure 4.7: Most Effective Promotional Method (Vertical Bar Chart)</w:t>
      </w:r>
    </w:p>
    <w:p w14:paraId="04124DF2" w14:textId="23480B66" w:rsidR="007927B7" w:rsidRPr="00E546C7" w:rsidRDefault="007927B7" w:rsidP="007927B7">
      <w:r w:rsidRPr="00E546C7">
        <w:rPr>
          <w:rFonts w:eastAsiaTheme="majorEastAsia"/>
        </w:rPr>
        <w:t xml:space="preserve">20 participants (40%) chose celebrity or influencer endorsements, </w:t>
      </w:r>
      <w:r w:rsidR="00207B08" w:rsidRPr="00E546C7">
        <w:rPr>
          <w:rFonts w:eastAsiaTheme="majorEastAsia"/>
        </w:rPr>
        <w:t xml:space="preserve">and </w:t>
      </w:r>
      <w:r w:rsidRPr="00E546C7">
        <w:rPr>
          <w:rFonts w:eastAsiaTheme="majorEastAsia"/>
        </w:rPr>
        <w:t xml:space="preserve">16 (32%) </w:t>
      </w:r>
      <w:r w:rsidRPr="00E546C7">
        <w:t xml:space="preserve">chose </w:t>
      </w:r>
      <w:r w:rsidRPr="00E546C7">
        <w:rPr>
          <w:rFonts w:eastAsiaTheme="majorEastAsia"/>
        </w:rPr>
        <w:t>social media marketing.</w:t>
      </w:r>
      <w:r w:rsidRPr="00E546C7">
        <w:t xml:space="preserve"> </w:t>
      </w:r>
      <w:r w:rsidRPr="00E546C7">
        <w:rPr>
          <w:rFonts w:eastAsiaTheme="majorEastAsia"/>
        </w:rPr>
        <w:t xml:space="preserve">Eight (16%) </w:t>
      </w:r>
      <w:r w:rsidR="00207B08" w:rsidRPr="00E546C7">
        <w:rPr>
          <w:rFonts w:eastAsiaTheme="majorEastAsia"/>
        </w:rPr>
        <w:t>chose</w:t>
      </w:r>
      <w:r w:rsidRPr="00E546C7">
        <w:rPr>
          <w:rFonts w:eastAsiaTheme="majorEastAsia"/>
        </w:rPr>
        <w:t xml:space="preserve"> advertising</w:t>
      </w:r>
      <w:r w:rsidRPr="00E546C7">
        <w:t>,</w:t>
      </w:r>
      <w:r w:rsidRPr="00E546C7">
        <w:rPr>
          <w:rFonts w:eastAsiaTheme="majorEastAsia"/>
        </w:rPr>
        <w:t xml:space="preserve"> and six (12%) </w:t>
      </w:r>
      <w:r w:rsidR="00207B08" w:rsidRPr="00E546C7">
        <w:rPr>
          <w:rFonts w:eastAsiaTheme="majorEastAsia"/>
        </w:rPr>
        <w:t>chose</w:t>
      </w:r>
      <w:r w:rsidRPr="00E546C7">
        <w:rPr>
          <w:rFonts w:eastAsiaTheme="majorEastAsia"/>
        </w:rPr>
        <w:t xml:space="preserve"> direct marketing.</w:t>
      </w:r>
      <w:r w:rsidRPr="00E546C7">
        <w:t xml:space="preserve"> </w:t>
      </w:r>
      <w:r w:rsidRPr="00E546C7">
        <w:rPr>
          <w:rFonts w:eastAsiaTheme="majorEastAsia"/>
        </w:rPr>
        <w:t xml:space="preserve">All digitally mediated social and endorsement options combined </w:t>
      </w:r>
      <w:r w:rsidR="00207B08" w:rsidRPr="00E546C7">
        <w:rPr>
          <w:rFonts w:eastAsiaTheme="majorEastAsia"/>
        </w:rPr>
        <w:t>accounted for</w:t>
      </w:r>
      <w:r w:rsidRPr="00E546C7">
        <w:rPr>
          <w:rFonts w:eastAsiaTheme="majorEastAsia"/>
        </w:rPr>
        <w:t xml:space="preserve"> 72% of preferences.</w:t>
      </w:r>
      <w:r w:rsidRPr="00E546C7">
        <w:t xml:space="preserve"> </w:t>
      </w:r>
      <w:r w:rsidRPr="00E546C7">
        <w:rPr>
          <w:rFonts w:eastAsiaTheme="majorEastAsia"/>
        </w:rPr>
        <w:t>This distribution validates the literature review in which communication value, source credibility and interaction are key in sportswear</w:t>
      </w:r>
      <w:r w:rsidRPr="00E546C7">
        <w:t>,</w:t>
      </w:r>
      <w:r w:rsidRPr="00E546C7">
        <w:rPr>
          <w:rFonts w:eastAsiaTheme="majorEastAsia"/>
        </w:rPr>
        <w:t xml:space="preserve"> but it does not prove that these communication channels are the ones that provide the greatest sales.</w:t>
      </w:r>
      <w:r w:rsidRPr="00E546C7">
        <w:t xml:space="preserve"> </w:t>
      </w:r>
      <w:r w:rsidRPr="00E546C7">
        <w:rPr>
          <w:rFonts w:eastAsiaTheme="majorEastAsia"/>
        </w:rPr>
        <w:t>There was no commonality between perceived method; combined campaigns and channel synerg</w:t>
      </w:r>
      <w:r w:rsidRPr="00E546C7">
        <w:t>y</w:t>
      </w:r>
      <w:r w:rsidRPr="00E546C7">
        <w:rPr>
          <w:rFonts w:eastAsiaTheme="majorEastAsia"/>
        </w:rPr>
        <w:t xml:space="preserve"> were not reflected in the respondents' choice</w:t>
      </w:r>
      <w:r w:rsidR="00207B08" w:rsidRPr="00E546C7">
        <w:rPr>
          <w:rFonts w:eastAsiaTheme="majorEastAsia"/>
        </w:rPr>
        <w:t xml:space="preserve"> </w:t>
      </w:r>
      <w:r w:rsidR="00207B08" w:rsidRPr="00E546C7">
        <w:rPr>
          <w:color w:val="000000"/>
        </w:rPr>
        <w:t>(</w:t>
      </w:r>
      <w:proofErr w:type="spellStart"/>
      <w:r w:rsidR="00207B08" w:rsidRPr="00E546C7">
        <w:rPr>
          <w:color w:val="000000"/>
        </w:rPr>
        <w:t>Butkouskaya</w:t>
      </w:r>
      <w:proofErr w:type="spellEnd"/>
      <w:r w:rsidR="00207B08" w:rsidRPr="00E546C7">
        <w:rPr>
          <w:color w:val="000000"/>
        </w:rPr>
        <w:t xml:space="preserve"> et al., 2023)</w:t>
      </w:r>
      <w:r w:rsidRPr="00E546C7">
        <w:rPr>
          <w:rFonts w:eastAsiaTheme="majorEastAsia"/>
        </w:rPr>
        <w:t>.</w:t>
      </w:r>
      <w:r w:rsidRPr="00E546C7">
        <w:t xml:space="preserve"> </w:t>
      </w:r>
      <w:r w:rsidRPr="00E546C7">
        <w:rPr>
          <w:rFonts w:eastAsiaTheme="majorEastAsia"/>
        </w:rPr>
        <w:t>The outcome may also represent the age concentration in the sample as well as represent a higher degree of preference for digital than among the market population.</w:t>
      </w:r>
      <w:r w:rsidRPr="00E546C7">
        <w:t xml:space="preserve"> </w:t>
      </w:r>
      <w:r w:rsidRPr="00E546C7">
        <w:rPr>
          <w:rFonts w:eastAsiaTheme="majorEastAsia"/>
        </w:rPr>
        <w:t>For Objective One</w:t>
      </w:r>
      <w:r w:rsidRPr="00E546C7">
        <w:t>,</w:t>
      </w:r>
      <w:r w:rsidRPr="00E546C7">
        <w:rPr>
          <w:rFonts w:eastAsiaTheme="majorEastAsia"/>
        </w:rPr>
        <w:t xml:space="preserve"> it pinpoints where consistency, credibility and engagement will be most likely observed</w:t>
      </w:r>
      <w:r w:rsidR="00207B08" w:rsidRPr="00E546C7">
        <w:rPr>
          <w:rFonts w:eastAsiaTheme="majorEastAsia"/>
        </w:rPr>
        <w:t xml:space="preserve"> </w:t>
      </w:r>
      <w:r w:rsidR="00207B08" w:rsidRPr="00E546C7">
        <w:rPr>
          <w:color w:val="000000"/>
        </w:rPr>
        <w:t>(</w:t>
      </w:r>
      <w:proofErr w:type="spellStart"/>
      <w:r w:rsidR="00207B08" w:rsidRPr="00E546C7">
        <w:rPr>
          <w:color w:val="000000"/>
        </w:rPr>
        <w:t>Butkouskaya</w:t>
      </w:r>
      <w:proofErr w:type="spellEnd"/>
      <w:r w:rsidR="00207B08" w:rsidRPr="00E546C7">
        <w:rPr>
          <w:color w:val="000000"/>
        </w:rPr>
        <w:t xml:space="preserve"> et al., 2023)</w:t>
      </w:r>
      <w:r w:rsidRPr="00E546C7">
        <w:rPr>
          <w:rFonts w:eastAsiaTheme="majorEastAsia"/>
        </w:rPr>
        <w:t>.</w:t>
      </w:r>
      <w:r w:rsidRPr="00E546C7">
        <w:t xml:space="preserve"> </w:t>
      </w:r>
      <w:r w:rsidRPr="00E546C7">
        <w:rPr>
          <w:rFonts w:eastAsiaTheme="majorEastAsia"/>
        </w:rPr>
        <w:t>It recommends that when it comes to Objective Two (enhancing sales via favourable attitude)</w:t>
      </w:r>
      <w:r w:rsidRPr="00E546C7">
        <w:t>,</w:t>
      </w:r>
      <w:r w:rsidRPr="00E546C7">
        <w:rPr>
          <w:rFonts w:eastAsiaTheme="majorEastAsia"/>
        </w:rPr>
        <w:t xml:space="preserve"> Adidas should focus on the quality of content as well as congruence with the endorser brand, not just on any appearances by the celebrity</w:t>
      </w:r>
      <w:r w:rsidRPr="00E546C7">
        <w:t>.</w:t>
      </w:r>
    </w:p>
    <w:p w14:paraId="4D44E141" w14:textId="77777777" w:rsidR="007927B7" w:rsidRPr="00E546C7" w:rsidRDefault="007927B7" w:rsidP="007927B7">
      <w:pPr>
        <w:pStyle w:val="Heading2"/>
        <w:rPr>
          <w:rFonts w:cs="Times New Roman"/>
        </w:rPr>
      </w:pPr>
      <w:bookmarkStart w:id="59" w:name="_Toc239819715"/>
      <w:r w:rsidRPr="00E546C7">
        <w:rPr>
          <w:rFonts w:cs="Times New Roman"/>
        </w:rPr>
        <w:t>4.10 Question 8: Repurchase Incentive</w:t>
      </w:r>
      <w:bookmarkEnd w:id="59"/>
    </w:p>
    <w:p w14:paraId="6682581F"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8. Which of the following promotional incentives would most encourage you to repurchase Adidas products?</w:t>
      </w:r>
    </w:p>
    <w:p w14:paraId="317B917A" w14:textId="77777777" w:rsidR="007927B7" w:rsidRPr="00E546C7" w:rsidRDefault="007927B7" w:rsidP="007927B7">
      <w:pPr>
        <w:keepNext/>
        <w:spacing w:before="100" w:after="0"/>
        <w:jc w:val="center"/>
      </w:pPr>
      <w:r w:rsidRPr="00E546C7">
        <w:rPr>
          <w:noProof/>
        </w:rPr>
        <w:drawing>
          <wp:inline distT="0" distB="0" distL="0" distR="0" wp14:anchorId="72812208" wp14:editId="5F037FD8">
            <wp:extent cx="5532120" cy="2945420"/>
            <wp:effectExtent l="0" t="0" r="0" b="0"/>
            <wp:docPr id="8" name="Picture 8" descr="Three-dimensional-style pie chart comparing limited-time offers, discounts, free delivery and loyalty rewards." title="Fig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8_incentive.png"/>
                    <pic:cNvPicPr/>
                  </pic:nvPicPr>
                  <pic:blipFill>
                    <a:blip r:embed="rId22"/>
                    <a:stretch>
                      <a:fillRect/>
                    </a:stretch>
                  </pic:blipFill>
                  <pic:spPr>
                    <a:xfrm>
                      <a:off x="0" y="0"/>
                      <a:ext cx="5532120" cy="2945420"/>
                    </a:xfrm>
                    <a:prstGeom prst="rect">
                      <a:avLst/>
                    </a:prstGeom>
                  </pic:spPr>
                </pic:pic>
              </a:graphicData>
            </a:graphic>
          </wp:inline>
        </w:drawing>
      </w:r>
    </w:p>
    <w:p w14:paraId="6C88C498" w14:textId="77777777" w:rsidR="007927B7" w:rsidRPr="00E546C7" w:rsidRDefault="007927B7" w:rsidP="007927B7">
      <w:pPr>
        <w:pStyle w:val="Caption"/>
        <w:rPr>
          <w:rFonts w:cs="Times New Roman"/>
        </w:rPr>
      </w:pPr>
      <w:r w:rsidRPr="00E546C7">
        <w:rPr>
          <w:rFonts w:cs="Times New Roman"/>
        </w:rPr>
        <w:t>Figure 4.8: Preferred Repurchase Incentive (3D-Style Pie Chart)</w:t>
      </w:r>
    </w:p>
    <w:p w14:paraId="55EADBCD" w14:textId="55F3E118" w:rsidR="007927B7" w:rsidRPr="00E546C7" w:rsidRDefault="007927B7" w:rsidP="007927B7">
      <w:r w:rsidRPr="00E546C7">
        <w:rPr>
          <w:rFonts w:eastAsiaTheme="majorEastAsia"/>
        </w:rPr>
        <w:t>Limited-time special offers were at the top of the responses with 23 responses (46%)</w:t>
      </w:r>
      <w:r w:rsidRPr="00E546C7">
        <w:t>,</w:t>
      </w:r>
      <w:r w:rsidRPr="00E546C7">
        <w:rPr>
          <w:rFonts w:eastAsiaTheme="majorEastAsia"/>
        </w:rPr>
        <w:t xml:space="preserve"> and discounts came second with 16 (32%).</w:t>
      </w:r>
      <w:r w:rsidRPr="00E546C7">
        <w:t xml:space="preserve"> </w:t>
      </w:r>
      <w:r w:rsidRPr="00E546C7">
        <w:rPr>
          <w:rFonts w:eastAsiaTheme="majorEastAsia"/>
        </w:rPr>
        <w:t>Six</w:t>
      </w:r>
      <w:r w:rsidR="00207B08" w:rsidRPr="00E546C7">
        <w:rPr>
          <w:rFonts w:eastAsiaTheme="majorEastAsia"/>
        </w:rPr>
        <w:t>th</w:t>
      </w:r>
      <w:r w:rsidRPr="00E546C7">
        <w:rPr>
          <w:rFonts w:eastAsiaTheme="majorEastAsia"/>
        </w:rPr>
        <w:t>, 12% of respondents selected free delivery</w:t>
      </w:r>
      <w:r w:rsidRPr="00E546C7">
        <w:t>,</w:t>
      </w:r>
      <w:r w:rsidRPr="00E546C7">
        <w:rPr>
          <w:rFonts w:eastAsiaTheme="majorEastAsia"/>
        </w:rPr>
        <w:t xml:space="preserve"> while five, 10%</w:t>
      </w:r>
      <w:r w:rsidRPr="00E546C7">
        <w:t>,</w:t>
      </w:r>
      <w:r w:rsidRPr="00E546C7">
        <w:rPr>
          <w:rFonts w:eastAsiaTheme="majorEastAsia"/>
        </w:rPr>
        <w:t xml:space="preserve"> selected loyalty points/rewards.</w:t>
      </w:r>
      <w:r w:rsidRPr="00E546C7">
        <w:t xml:space="preserve"> </w:t>
      </w:r>
      <w:r w:rsidRPr="00E546C7">
        <w:rPr>
          <w:rFonts w:eastAsiaTheme="majorEastAsia"/>
        </w:rPr>
        <w:t>The 78% preference for time or dollar sign incentives reflects a transactional attitude towards repurchasing</w:t>
      </w:r>
      <w:r w:rsidRPr="00E546C7">
        <w:t>,</w:t>
      </w:r>
      <w:r w:rsidRPr="00E546C7">
        <w:rPr>
          <w:rFonts w:eastAsiaTheme="majorEastAsia"/>
        </w:rPr>
        <w:t xml:space="preserve"> as the majority of this sample prefers to view incentives as either monetary or timed.</w:t>
      </w:r>
      <w:r w:rsidRPr="00E546C7">
        <w:t xml:space="preserve"> </w:t>
      </w:r>
      <w:r w:rsidRPr="00E546C7">
        <w:rPr>
          <w:rFonts w:eastAsiaTheme="majorEastAsia"/>
        </w:rPr>
        <w:t>It makes it possible to qualify Objective Three and the Loyalty Ladder Model</w:t>
      </w:r>
      <w:r w:rsidR="00207B08" w:rsidRPr="00E546C7">
        <w:rPr>
          <w:rFonts w:eastAsiaTheme="majorEastAsia"/>
        </w:rPr>
        <w:t xml:space="preserve"> </w:t>
      </w:r>
      <w:r w:rsidR="00207B08" w:rsidRPr="00E546C7">
        <w:rPr>
          <w:color w:val="000000"/>
        </w:rPr>
        <w:t>(Byon and Phua, 2021)</w:t>
      </w:r>
      <w:r w:rsidRPr="00E546C7">
        <w:rPr>
          <w:rFonts w:eastAsiaTheme="majorEastAsia"/>
        </w:rPr>
        <w:t>.</w:t>
      </w:r>
      <w:r w:rsidRPr="00E546C7">
        <w:t xml:space="preserve"> </w:t>
      </w:r>
      <w:r w:rsidRPr="00E546C7">
        <w:rPr>
          <w:rFonts w:eastAsiaTheme="majorEastAsia"/>
        </w:rPr>
        <w:t xml:space="preserve">Consumers might buy again due to a sacrifice being reduced or urgency </w:t>
      </w:r>
      <w:r w:rsidRPr="00E546C7">
        <w:t>being</w:t>
      </w:r>
      <w:r w:rsidRPr="00E546C7">
        <w:rPr>
          <w:rFonts w:eastAsiaTheme="majorEastAsia"/>
        </w:rPr>
        <w:t xml:space="preserve"> generated, but not to be </w:t>
      </w:r>
      <w:r w:rsidRPr="00E546C7">
        <w:t xml:space="preserve">a </w:t>
      </w:r>
      <w:r w:rsidRPr="00E546C7">
        <w:rPr>
          <w:rFonts w:eastAsiaTheme="majorEastAsia"/>
        </w:rPr>
        <w:t>supporter or advocate.</w:t>
      </w:r>
      <w:r w:rsidRPr="00E546C7">
        <w:t xml:space="preserve"> </w:t>
      </w:r>
      <w:r w:rsidRPr="00E546C7">
        <w:rPr>
          <w:rFonts w:eastAsiaTheme="majorEastAsia"/>
        </w:rPr>
        <w:t xml:space="preserve">This low interest in formal loyalty awards doesn't mean that the power of relationship marketing isn't there, but basic points seem less intriguing than </w:t>
      </w:r>
      <w:r w:rsidR="00207B08" w:rsidRPr="00E546C7">
        <w:rPr>
          <w:rFonts w:eastAsiaTheme="majorEastAsia"/>
        </w:rPr>
        <w:t xml:space="preserve">an </w:t>
      </w:r>
      <w:r w:rsidRPr="00E546C7">
        <w:rPr>
          <w:rFonts w:eastAsiaTheme="majorEastAsia"/>
        </w:rPr>
        <w:t>immediate return now.</w:t>
      </w:r>
      <w:r w:rsidRPr="00E546C7">
        <w:t xml:space="preserve"> </w:t>
      </w:r>
      <w:r w:rsidRPr="00E546C7">
        <w:rPr>
          <w:rFonts w:eastAsiaTheme="majorEastAsia"/>
        </w:rPr>
        <w:t>The question used to measure whether customers are likely to be loyal and to repurchase cannot test H2 by itself</w:t>
      </w:r>
      <w:r w:rsidRPr="00E546C7">
        <w:t>,</w:t>
      </w:r>
      <w:r w:rsidRPr="00E546C7">
        <w:rPr>
          <w:rFonts w:eastAsiaTheme="majorEastAsia"/>
        </w:rPr>
        <w:t xml:space="preserve"> as it asks to confront what would be factors to make them repurchase; hence, they already have assumed they will go back</w:t>
      </w:r>
      <w:r w:rsidR="00207B08" w:rsidRPr="00E546C7">
        <w:rPr>
          <w:rFonts w:eastAsiaTheme="majorEastAsia"/>
        </w:rPr>
        <w:t xml:space="preserve"> </w:t>
      </w:r>
      <w:r w:rsidR="00207B08" w:rsidRPr="00E546C7">
        <w:rPr>
          <w:color w:val="000000"/>
        </w:rPr>
        <w:t>(Lin et al., 2020)</w:t>
      </w:r>
      <w:r w:rsidRPr="00E546C7">
        <w:rPr>
          <w:rFonts w:eastAsiaTheme="majorEastAsia"/>
        </w:rPr>
        <w:t>.</w:t>
      </w:r>
      <w:r w:rsidRPr="00E546C7">
        <w:t xml:space="preserve"> </w:t>
      </w:r>
      <w:r w:rsidRPr="00E546C7">
        <w:rPr>
          <w:rFonts w:eastAsiaTheme="majorEastAsia"/>
        </w:rPr>
        <w:t>It does provide evidence of an alternate explanation, however: promotion economics can explain repeat purchase even if there is little or no relationship between the communication quality and the sustained relationship</w:t>
      </w:r>
      <w:r w:rsidRPr="00E546C7">
        <w:t>.</w:t>
      </w:r>
    </w:p>
    <w:p w14:paraId="2DFF268F" w14:textId="77777777" w:rsidR="007927B7" w:rsidRPr="00E546C7" w:rsidRDefault="007927B7" w:rsidP="007927B7">
      <w:pPr>
        <w:pStyle w:val="Heading2"/>
        <w:rPr>
          <w:rFonts w:cs="Times New Roman"/>
        </w:rPr>
      </w:pPr>
      <w:bookmarkStart w:id="60" w:name="_Toc239819716"/>
      <w:r w:rsidRPr="00E546C7">
        <w:rPr>
          <w:rFonts w:cs="Times New Roman"/>
        </w:rPr>
        <w:t>4.11 Question 9: Overall Attitude and Purchase Relationship</w:t>
      </w:r>
      <w:bookmarkEnd w:id="60"/>
    </w:p>
    <w:p w14:paraId="307702AF"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 xml:space="preserve">9. Overall, positive perceptions of Adidas's integrated marketing communications increase my </w:t>
      </w:r>
      <w:proofErr w:type="spellStart"/>
      <w:r w:rsidRPr="00E546C7">
        <w:rPr>
          <w:rFonts w:eastAsia="Times New Roman" w:cs="Times New Roman"/>
          <w:color w:val="1F2933"/>
        </w:rPr>
        <w:t>favourable</w:t>
      </w:r>
      <w:proofErr w:type="spellEnd"/>
      <w:r w:rsidRPr="00E546C7">
        <w:rPr>
          <w:rFonts w:eastAsia="Times New Roman" w:cs="Times New Roman"/>
          <w:color w:val="1F2933"/>
        </w:rPr>
        <w:t xml:space="preserve"> attitude and willingness to purchase Adidas products.</w:t>
      </w:r>
    </w:p>
    <w:p w14:paraId="60AEB908" w14:textId="77777777" w:rsidR="007927B7" w:rsidRPr="00E546C7" w:rsidRDefault="007927B7" w:rsidP="007927B7">
      <w:pPr>
        <w:keepNext/>
        <w:spacing w:before="100" w:after="0"/>
        <w:jc w:val="center"/>
      </w:pPr>
      <w:r w:rsidRPr="00E546C7">
        <w:rPr>
          <w:noProof/>
        </w:rPr>
        <w:drawing>
          <wp:inline distT="0" distB="0" distL="0" distR="0" wp14:anchorId="244C73BD" wp14:editId="2400CD36">
            <wp:extent cx="5532120" cy="3093047"/>
            <wp:effectExtent l="0" t="0" r="0" b="0"/>
            <wp:docPr id="9" name="Picture 9" descr="Vertical bar chart of agreement with the global IMC, attitude and purchase relationship statement." title="Fig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9_global_h1.png"/>
                    <pic:cNvPicPr/>
                  </pic:nvPicPr>
                  <pic:blipFill>
                    <a:blip r:embed="rId23"/>
                    <a:stretch>
                      <a:fillRect/>
                    </a:stretch>
                  </pic:blipFill>
                  <pic:spPr>
                    <a:xfrm>
                      <a:off x="0" y="0"/>
                      <a:ext cx="5532120" cy="3093047"/>
                    </a:xfrm>
                    <a:prstGeom prst="rect">
                      <a:avLst/>
                    </a:prstGeom>
                  </pic:spPr>
                </pic:pic>
              </a:graphicData>
            </a:graphic>
          </wp:inline>
        </w:drawing>
      </w:r>
    </w:p>
    <w:p w14:paraId="29FD505C" w14:textId="77777777" w:rsidR="007927B7" w:rsidRPr="00E546C7" w:rsidRDefault="007927B7" w:rsidP="007927B7">
      <w:pPr>
        <w:pStyle w:val="Caption"/>
        <w:rPr>
          <w:rFonts w:cs="Times New Roman"/>
        </w:rPr>
      </w:pPr>
      <w:r w:rsidRPr="00E546C7">
        <w:rPr>
          <w:rFonts w:cs="Times New Roman"/>
        </w:rPr>
        <w:t>Figure 4.9: Overall Attitude and Purchase Relationship (Vertical Bar Chart)</w:t>
      </w:r>
    </w:p>
    <w:p w14:paraId="760094D6" w14:textId="7C77499C" w:rsidR="007927B7" w:rsidRPr="00E546C7" w:rsidRDefault="007927B7" w:rsidP="007927B7">
      <w:r w:rsidRPr="00E546C7">
        <w:t>82%</w:t>
      </w:r>
      <w:r w:rsidRPr="00E546C7">
        <w:rPr>
          <w:rFonts w:eastAsiaTheme="majorEastAsia"/>
        </w:rPr>
        <w:t xml:space="preserve"> (</w:t>
      </w:r>
      <w:r w:rsidRPr="00E546C7">
        <w:t>41</w:t>
      </w:r>
      <w:r w:rsidRPr="00E546C7">
        <w:rPr>
          <w:rFonts w:eastAsiaTheme="majorEastAsia"/>
        </w:rPr>
        <w:t xml:space="preserve"> respondents) agreed to the global statement, while five and four respondents</w:t>
      </w:r>
      <w:r w:rsidRPr="00E546C7">
        <w:t>,</w:t>
      </w:r>
      <w:r w:rsidRPr="00E546C7">
        <w:rPr>
          <w:rFonts w:eastAsiaTheme="majorEastAsia"/>
        </w:rPr>
        <w:t xml:space="preserve"> respectively, were undecided and did not agree at all.</w:t>
      </w:r>
      <w:r w:rsidRPr="00E546C7">
        <w:t xml:space="preserve"> </w:t>
      </w:r>
      <w:r w:rsidRPr="00E546C7">
        <w:rPr>
          <w:rFonts w:eastAsiaTheme="majorEastAsia"/>
        </w:rPr>
        <w:t>The mean was 3.86, the median 4 and the standard deviation was 1.01, which was more variable than Questions 5 &amp; 6.</w:t>
      </w:r>
      <w:r w:rsidRPr="00E546C7">
        <w:t xml:space="preserve"> </w:t>
      </w:r>
      <w:r w:rsidRPr="00E546C7">
        <w:rPr>
          <w:rFonts w:eastAsiaTheme="majorEastAsia"/>
        </w:rPr>
        <w:t xml:space="preserve">The result </w:t>
      </w:r>
      <w:r w:rsidRPr="00E546C7">
        <w:t>at the</w:t>
      </w:r>
      <w:r w:rsidRPr="00E546C7">
        <w:rPr>
          <w:rFonts w:eastAsiaTheme="majorEastAsia"/>
        </w:rPr>
        <w:t xml:space="preserve"> descriptive level implies that there is support for the opinion of respondents </w:t>
      </w:r>
      <w:r w:rsidRPr="00E546C7">
        <w:t>in</w:t>
      </w:r>
      <w:r w:rsidRPr="00E546C7">
        <w:rPr>
          <w:rFonts w:eastAsiaTheme="majorEastAsia"/>
        </w:rPr>
        <w:t xml:space="preserve"> the direction suggested by H1</w:t>
      </w:r>
      <w:r w:rsidR="00207B08" w:rsidRPr="00E546C7">
        <w:rPr>
          <w:rFonts w:eastAsiaTheme="majorEastAsia"/>
        </w:rPr>
        <w:t xml:space="preserve"> </w:t>
      </w:r>
      <w:r w:rsidR="00207B08" w:rsidRPr="00E546C7">
        <w:rPr>
          <w:color w:val="000000"/>
        </w:rPr>
        <w:t>(Momen et al., 2020)</w:t>
      </w:r>
      <w:r w:rsidRPr="00E546C7">
        <w:rPr>
          <w:rFonts w:eastAsiaTheme="majorEastAsia"/>
        </w:rPr>
        <w:t>.</w:t>
      </w:r>
      <w:r w:rsidRPr="00E546C7">
        <w:t xml:space="preserve"> </w:t>
      </w:r>
      <w:r w:rsidRPr="00E546C7">
        <w:rPr>
          <w:rFonts w:eastAsiaTheme="majorEastAsia"/>
        </w:rPr>
        <w:t>However, from an analytical point of view, Question 9 is a merged question of the two variables</w:t>
      </w:r>
      <w:r w:rsidRPr="00E546C7">
        <w:t>,</w:t>
      </w:r>
      <w:r w:rsidRPr="00E546C7">
        <w:rPr>
          <w:rFonts w:eastAsiaTheme="majorEastAsia"/>
        </w:rPr>
        <w:t xml:space="preserve"> attitude and purchase willingness</w:t>
      </w:r>
      <w:r w:rsidRPr="00E546C7">
        <w:t>,</w:t>
      </w:r>
      <w:r w:rsidRPr="00E546C7">
        <w:rPr>
          <w:rFonts w:eastAsiaTheme="majorEastAsia"/>
        </w:rPr>
        <w:t xml:space="preserve"> both of which are put into a positive</w:t>
      </w:r>
      <w:r w:rsidRPr="00E546C7">
        <w:t xml:space="preserve"> statement</w:t>
      </w:r>
      <w:r w:rsidRPr="00E546C7">
        <w:rPr>
          <w:rFonts w:eastAsiaTheme="majorEastAsia"/>
        </w:rPr>
        <w:t>.</w:t>
      </w:r>
      <w:r w:rsidRPr="00E546C7">
        <w:t xml:space="preserve"> </w:t>
      </w:r>
      <w:r w:rsidRPr="00E546C7">
        <w:rPr>
          <w:rFonts w:eastAsiaTheme="majorEastAsia"/>
        </w:rPr>
        <w:t>It is thus a measure of perceived agreement with the proposed relationship, and prone to acquiescence</w:t>
      </w:r>
      <w:r w:rsidR="00207B08" w:rsidRPr="00E546C7">
        <w:rPr>
          <w:rFonts w:eastAsiaTheme="majorEastAsia"/>
        </w:rPr>
        <w:t xml:space="preserve"> </w:t>
      </w:r>
      <w:r w:rsidR="00207B08" w:rsidRPr="00E546C7">
        <w:rPr>
          <w:color w:val="000000"/>
        </w:rPr>
        <w:t>(Lin et al., 2020)</w:t>
      </w:r>
      <w:r w:rsidR="00207B08" w:rsidRPr="00E546C7">
        <w:rPr>
          <w:rFonts w:eastAsiaTheme="majorEastAsia"/>
        </w:rPr>
        <w:t>. I</w:t>
      </w:r>
      <w:r w:rsidRPr="00E546C7">
        <w:rPr>
          <w:rFonts w:eastAsiaTheme="majorEastAsia"/>
        </w:rPr>
        <w:t>t yields no independent predictor – outcome test.</w:t>
      </w:r>
      <w:r w:rsidRPr="00E546C7">
        <w:t xml:space="preserve"> </w:t>
      </w:r>
      <w:r w:rsidRPr="00E546C7">
        <w:rPr>
          <w:rFonts w:eastAsiaTheme="majorEastAsia"/>
        </w:rPr>
        <w:t>In addition, its strong-disagreement minority suggests that positive overall sentiment is offsetting negative emotions.</w:t>
      </w:r>
      <w:r w:rsidRPr="00E546C7">
        <w:t xml:space="preserve"> </w:t>
      </w:r>
      <w:r w:rsidRPr="00E546C7">
        <w:rPr>
          <w:rFonts w:eastAsiaTheme="majorEastAsia"/>
        </w:rPr>
        <w:t xml:space="preserve">Question 9 </w:t>
      </w:r>
      <w:r w:rsidRPr="00E546C7">
        <w:t xml:space="preserve">is </w:t>
      </w:r>
      <w:r w:rsidRPr="00E546C7">
        <w:rPr>
          <w:rFonts w:eastAsiaTheme="majorEastAsia"/>
        </w:rPr>
        <w:t>therefore chosen as corroborative evidence</w:t>
      </w:r>
      <w:r w:rsidRPr="00E546C7">
        <w:t>,</w:t>
      </w:r>
      <w:r w:rsidRPr="00E546C7">
        <w:rPr>
          <w:rFonts w:eastAsiaTheme="majorEastAsia"/>
        </w:rPr>
        <w:t xml:space="preserve"> while H1 </w:t>
      </w:r>
      <w:r w:rsidRPr="00E546C7">
        <w:t xml:space="preserve">is </w:t>
      </w:r>
      <w:r w:rsidRPr="00E546C7">
        <w:rPr>
          <w:rFonts w:eastAsiaTheme="majorEastAsia"/>
        </w:rPr>
        <w:t>tested by separately measured Question 3–4 IMC composite and Question 5–6 attitude–purchase composite.</w:t>
      </w:r>
      <w:r w:rsidRPr="00E546C7">
        <w:t xml:space="preserve"> </w:t>
      </w:r>
      <w:r w:rsidRPr="00E546C7">
        <w:rPr>
          <w:rFonts w:eastAsiaTheme="majorEastAsia"/>
        </w:rPr>
        <w:t>This separation leads to a reduced tautology and to a more credible assessment of a hypothesis.</w:t>
      </w:r>
    </w:p>
    <w:p w14:paraId="0F5AD785" w14:textId="77777777" w:rsidR="007927B7" w:rsidRPr="00E546C7" w:rsidRDefault="007927B7" w:rsidP="007927B7">
      <w:pPr>
        <w:pStyle w:val="Heading2"/>
        <w:rPr>
          <w:rFonts w:cs="Times New Roman"/>
        </w:rPr>
      </w:pPr>
      <w:bookmarkStart w:id="61" w:name="_Toc239819717"/>
      <w:r w:rsidRPr="00E546C7">
        <w:rPr>
          <w:rFonts w:cs="Times New Roman"/>
        </w:rPr>
        <w:t>4.12 Question 10: Brand Loyalty</w:t>
      </w:r>
      <w:bookmarkEnd w:id="61"/>
    </w:p>
    <w:p w14:paraId="2B0AD3DF" w14:textId="77777777" w:rsidR="007927B7" w:rsidRPr="00E546C7" w:rsidRDefault="007927B7" w:rsidP="007927B7">
      <w:pPr>
        <w:pStyle w:val="SurveyQuestion"/>
        <w:keepNext/>
        <w:pBdr>
          <w:left w:val="single" w:sz="18" w:space="8" w:color="17365D"/>
        </w:pBdr>
        <w:shd w:val="clear" w:color="auto" w:fill="EAF2F8"/>
        <w:ind w:left="113" w:right="57"/>
        <w:rPr>
          <w:rFonts w:cs="Times New Roman"/>
        </w:rPr>
      </w:pPr>
      <w:r w:rsidRPr="00E546C7">
        <w:rPr>
          <w:rFonts w:eastAsia="Times New Roman" w:cs="Times New Roman"/>
          <w:b/>
          <w:i w:val="0"/>
        </w:rPr>
        <w:t xml:space="preserve">Survey question: </w:t>
      </w:r>
      <w:r w:rsidRPr="00E546C7">
        <w:rPr>
          <w:rFonts w:eastAsia="Times New Roman" w:cs="Times New Roman"/>
          <w:color w:val="1F2933"/>
        </w:rPr>
        <w:t>10. Overall, positive perceptions of Adidas's integrated marketing communications strengthen my loyalty toward Adidas.</w:t>
      </w:r>
    </w:p>
    <w:p w14:paraId="596EE196" w14:textId="77777777" w:rsidR="007927B7" w:rsidRPr="00E546C7" w:rsidRDefault="007927B7" w:rsidP="007927B7">
      <w:pPr>
        <w:keepNext/>
        <w:spacing w:before="100" w:after="0"/>
        <w:jc w:val="center"/>
      </w:pPr>
      <w:r w:rsidRPr="00E546C7">
        <w:rPr>
          <w:noProof/>
        </w:rPr>
        <w:drawing>
          <wp:inline distT="0" distB="0" distL="0" distR="0" wp14:anchorId="4DCD6942" wp14:editId="5C4BDE3E">
            <wp:extent cx="5532120" cy="3093047"/>
            <wp:effectExtent l="0" t="0" r="0" b="0"/>
            <wp:docPr id="10" name="Picture 10" descr="Line graph showing the ordered Likert response profile for the loyalty statement." title="Figure 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0_loyalty.png"/>
                    <pic:cNvPicPr/>
                  </pic:nvPicPr>
                  <pic:blipFill>
                    <a:blip r:embed="rId24"/>
                    <a:stretch>
                      <a:fillRect/>
                    </a:stretch>
                  </pic:blipFill>
                  <pic:spPr>
                    <a:xfrm>
                      <a:off x="0" y="0"/>
                      <a:ext cx="5532120" cy="3093047"/>
                    </a:xfrm>
                    <a:prstGeom prst="rect">
                      <a:avLst/>
                    </a:prstGeom>
                  </pic:spPr>
                </pic:pic>
              </a:graphicData>
            </a:graphic>
          </wp:inline>
        </w:drawing>
      </w:r>
    </w:p>
    <w:p w14:paraId="0DD10D97" w14:textId="77777777" w:rsidR="007927B7" w:rsidRPr="00E546C7" w:rsidRDefault="007927B7" w:rsidP="007927B7">
      <w:pPr>
        <w:pStyle w:val="Caption"/>
        <w:rPr>
          <w:rFonts w:cs="Times New Roman"/>
        </w:rPr>
      </w:pPr>
      <w:r w:rsidRPr="00E546C7">
        <w:rPr>
          <w:rFonts w:cs="Times New Roman"/>
        </w:rPr>
        <w:t>Figure 4.10: Brand Loyalty Response Profile (Line Graph)</w:t>
      </w:r>
    </w:p>
    <w:p w14:paraId="28030205" w14:textId="00FB8033" w:rsidR="007927B7" w:rsidRPr="00E546C7" w:rsidRDefault="007927B7" w:rsidP="007927B7">
      <w:r w:rsidRPr="00E546C7">
        <w:t>39 respondents</w:t>
      </w:r>
      <w:r w:rsidRPr="00E546C7">
        <w:rPr>
          <w:rFonts w:eastAsiaTheme="majorEastAsia"/>
        </w:rPr>
        <w:t xml:space="preserve"> 78% agreed or strongly agreed, 6 </w:t>
      </w:r>
      <w:r w:rsidRPr="00E546C7">
        <w:t>respondents</w:t>
      </w:r>
      <w:r w:rsidRPr="00E546C7">
        <w:rPr>
          <w:rFonts w:eastAsiaTheme="majorEastAsia"/>
        </w:rPr>
        <w:t xml:space="preserve"> 12% were neutral</w:t>
      </w:r>
      <w:r w:rsidRPr="00E546C7">
        <w:t>,</w:t>
      </w:r>
      <w:r w:rsidRPr="00E546C7">
        <w:rPr>
          <w:rFonts w:eastAsiaTheme="majorEastAsia"/>
        </w:rPr>
        <w:t xml:space="preserve"> and 5 </w:t>
      </w:r>
      <w:r w:rsidRPr="00E546C7">
        <w:t>respondents</w:t>
      </w:r>
      <w:r w:rsidRPr="00E546C7">
        <w:rPr>
          <w:rFonts w:eastAsiaTheme="majorEastAsia"/>
        </w:rPr>
        <w:t xml:space="preserve"> 10% disagreed or strongly disagreed.</w:t>
      </w:r>
      <w:r w:rsidRPr="00E546C7">
        <w:t xml:space="preserve"> </w:t>
      </w:r>
      <w:r w:rsidRPr="00E546C7">
        <w:rPr>
          <w:rFonts w:eastAsiaTheme="majorEastAsia"/>
        </w:rPr>
        <w:t>The lowest mean and most widely spread mean of the positive-outcome items is 3.84 and 1.02</w:t>
      </w:r>
      <w:r w:rsidRPr="00E546C7">
        <w:t xml:space="preserve">. </w:t>
      </w:r>
      <w:r w:rsidRPr="00E546C7">
        <w:rPr>
          <w:rFonts w:eastAsiaTheme="majorEastAsia"/>
        </w:rPr>
        <w:t>This reflects a positive sample sentiment</w:t>
      </w:r>
      <w:r w:rsidRPr="00E546C7">
        <w:t>,</w:t>
      </w:r>
      <w:r w:rsidRPr="00E546C7">
        <w:rPr>
          <w:rFonts w:eastAsiaTheme="majorEastAsia"/>
        </w:rPr>
        <w:t xml:space="preserve"> but when it comes to loyalty, there is less uniformity than is typically seen in consideration of attitudes or purchase intentions.</w:t>
      </w:r>
      <w:r w:rsidRPr="00E546C7">
        <w:t xml:space="preserve"> </w:t>
      </w:r>
      <w:r w:rsidRPr="00E546C7">
        <w:rPr>
          <w:rFonts w:eastAsiaTheme="majorEastAsia"/>
        </w:rPr>
        <w:t>Communication can help a segment of consumers to climb the Loyalty Ladder to become supporters or advocates, and other segments stay promotion-sensitive buyers</w:t>
      </w:r>
      <w:r w:rsidR="00207B08" w:rsidRPr="00E546C7">
        <w:rPr>
          <w:rFonts w:eastAsiaTheme="majorEastAsia"/>
        </w:rPr>
        <w:t xml:space="preserve"> </w:t>
      </w:r>
      <w:r w:rsidR="00207B08" w:rsidRPr="00E546C7">
        <w:rPr>
          <w:color w:val="000000"/>
        </w:rPr>
        <w:t>(Solomon and Russell, 2024)</w:t>
      </w:r>
      <w:r w:rsidRPr="00E546C7">
        <w:rPr>
          <w:rFonts w:eastAsiaTheme="majorEastAsia"/>
        </w:rPr>
        <w:t>.</w:t>
      </w:r>
      <w:r w:rsidRPr="00E546C7">
        <w:t xml:space="preserve"> </w:t>
      </w:r>
      <w:r w:rsidRPr="00E546C7">
        <w:rPr>
          <w:rFonts w:eastAsiaTheme="majorEastAsia"/>
        </w:rPr>
        <w:t>However, it is important to note that the item simultaneously evaluates preference, recommendation, commitment and repurchase in one fandom item and that internal reliability cannot be estimated because there is a lack of behavioural loyalty.</w:t>
      </w:r>
      <w:r w:rsidRPr="00E546C7">
        <w:t xml:space="preserve"> </w:t>
      </w:r>
      <w:r w:rsidRPr="00E546C7">
        <w:rPr>
          <w:rFonts w:eastAsiaTheme="majorEastAsia"/>
        </w:rPr>
        <w:t>Most significantly, 78% agreement is not in itself evidence for H2.</w:t>
      </w:r>
      <w:r w:rsidRPr="00E546C7">
        <w:t xml:space="preserve"> </w:t>
      </w:r>
      <w:r w:rsidRPr="00E546C7">
        <w:rPr>
          <w:rFonts w:eastAsiaTheme="majorEastAsia"/>
        </w:rPr>
        <w:t>Loyalty responses also need to increase in an incremental manner alongside increased IMC individual perception scores to support</w:t>
      </w:r>
      <w:r w:rsidR="00207B08" w:rsidRPr="00E546C7">
        <w:rPr>
          <w:rFonts w:eastAsiaTheme="majorEastAsia"/>
        </w:rPr>
        <w:t xml:space="preserve"> </w:t>
      </w:r>
      <w:r w:rsidR="00207B08" w:rsidRPr="00E546C7">
        <w:rPr>
          <w:color w:val="000000"/>
        </w:rPr>
        <w:t>(Yoon et al., 2024)</w:t>
      </w:r>
      <w:r w:rsidRPr="00E546C7">
        <w:rPr>
          <w:rFonts w:eastAsiaTheme="majorEastAsia"/>
        </w:rPr>
        <w:t>.</w:t>
      </w:r>
      <w:r w:rsidRPr="00E546C7">
        <w:t xml:space="preserve"> </w:t>
      </w:r>
      <w:r w:rsidRPr="00E546C7">
        <w:rPr>
          <w:rFonts w:eastAsiaTheme="majorEastAsia"/>
        </w:rPr>
        <w:t>The correlation test below does not replace evidence of a relationship with evidence of a majority opinion, but it shows evidence of the absence of that relationship.</w:t>
      </w:r>
    </w:p>
    <w:p w14:paraId="16713B15" w14:textId="77777777" w:rsidR="007927B7" w:rsidRPr="00E546C7" w:rsidRDefault="007927B7" w:rsidP="007927B7">
      <w:pPr>
        <w:pStyle w:val="Heading2"/>
        <w:rPr>
          <w:rFonts w:cs="Times New Roman"/>
        </w:rPr>
      </w:pPr>
      <w:bookmarkStart w:id="62" w:name="_Toc239819718"/>
      <w:r w:rsidRPr="00E546C7">
        <w:rPr>
          <w:rFonts w:cs="Times New Roman"/>
        </w:rPr>
        <w:t>4.13 Reliability and Construct Quality</w:t>
      </w:r>
      <w:bookmarkEnd w:id="62"/>
    </w:p>
    <w:p w14:paraId="10F45020" w14:textId="77777777" w:rsidR="007927B7" w:rsidRPr="00E546C7" w:rsidRDefault="007927B7" w:rsidP="007927B7">
      <w:pPr>
        <w:pStyle w:val="Caption"/>
        <w:jc w:val="left"/>
        <w:rPr>
          <w:rFonts w:cs="Times New Roman"/>
        </w:rPr>
      </w:pPr>
      <w:r w:rsidRPr="00E546C7">
        <w:rPr>
          <w:rFonts w:eastAsia="Times New Roman" w:cs="Times New Roman"/>
          <w:color w:val="1F2933"/>
        </w:rPr>
        <w:t>Table 4.2: Descriptive Summary of Likert Questions</w:t>
      </w:r>
    </w:p>
    <w:tbl>
      <w:tblPr>
        <w:tblStyle w:val="TableGrid"/>
        <w:tblW w:w="9020" w:type="dxa"/>
        <w:tblInd w:w="120" w:type="dxa"/>
        <w:tblLayout w:type="fixed"/>
        <w:tblLook w:val="04A0" w:firstRow="1" w:lastRow="0" w:firstColumn="1" w:lastColumn="0" w:noHBand="0" w:noVBand="1"/>
      </w:tblPr>
      <w:tblGrid>
        <w:gridCol w:w="700"/>
        <w:gridCol w:w="3880"/>
        <w:gridCol w:w="1100"/>
        <w:gridCol w:w="1100"/>
        <w:gridCol w:w="2240"/>
      </w:tblGrid>
      <w:tr w:rsidR="007927B7" w:rsidRPr="00E546C7" w14:paraId="39F75369" w14:textId="77777777" w:rsidTr="00B11AF1">
        <w:trPr>
          <w:cantSplit/>
          <w:tblHeader/>
        </w:trPr>
        <w:tc>
          <w:tcPr>
            <w:tcW w:w="700" w:type="dxa"/>
            <w:shd w:val="clear" w:color="auto" w:fill="17365D"/>
            <w:tcMar>
              <w:top w:w="80" w:type="dxa"/>
              <w:left w:w="120" w:type="dxa"/>
              <w:bottom w:w="80" w:type="dxa"/>
              <w:right w:w="120" w:type="dxa"/>
            </w:tcMar>
            <w:vAlign w:val="center"/>
          </w:tcPr>
          <w:p w14:paraId="07B297A5" w14:textId="77777777" w:rsidR="007927B7" w:rsidRPr="00E546C7" w:rsidRDefault="007927B7" w:rsidP="00B11AF1">
            <w:pPr>
              <w:pStyle w:val="TableHeader"/>
              <w:keepNext/>
              <w:rPr>
                <w:rFonts w:cs="Times New Roman"/>
              </w:rPr>
            </w:pPr>
            <w:r w:rsidRPr="00E546C7">
              <w:rPr>
                <w:rFonts w:eastAsia="Times New Roman" w:cs="Times New Roman"/>
                <w:b/>
                <w:sz w:val="18"/>
              </w:rPr>
              <w:t>Item</w:t>
            </w:r>
          </w:p>
        </w:tc>
        <w:tc>
          <w:tcPr>
            <w:tcW w:w="3880" w:type="dxa"/>
            <w:shd w:val="clear" w:color="auto" w:fill="17365D"/>
            <w:tcMar>
              <w:top w:w="80" w:type="dxa"/>
              <w:left w:w="120" w:type="dxa"/>
              <w:bottom w:w="80" w:type="dxa"/>
              <w:right w:w="120" w:type="dxa"/>
            </w:tcMar>
            <w:vAlign w:val="center"/>
          </w:tcPr>
          <w:p w14:paraId="69705B5F" w14:textId="77777777" w:rsidR="007927B7" w:rsidRPr="00E546C7" w:rsidRDefault="007927B7" w:rsidP="00B11AF1">
            <w:pPr>
              <w:pStyle w:val="TableHeader"/>
              <w:keepNext/>
              <w:rPr>
                <w:rFonts w:cs="Times New Roman"/>
              </w:rPr>
            </w:pPr>
            <w:r w:rsidRPr="00E546C7">
              <w:rPr>
                <w:rFonts w:eastAsia="Times New Roman" w:cs="Times New Roman"/>
                <w:b/>
                <w:sz w:val="18"/>
              </w:rPr>
              <w:t>Construct</w:t>
            </w:r>
          </w:p>
        </w:tc>
        <w:tc>
          <w:tcPr>
            <w:tcW w:w="1100" w:type="dxa"/>
            <w:shd w:val="clear" w:color="auto" w:fill="17365D"/>
            <w:tcMar>
              <w:top w:w="80" w:type="dxa"/>
              <w:left w:w="120" w:type="dxa"/>
              <w:bottom w:w="80" w:type="dxa"/>
              <w:right w:w="120" w:type="dxa"/>
            </w:tcMar>
            <w:vAlign w:val="center"/>
          </w:tcPr>
          <w:p w14:paraId="166E41D4" w14:textId="77777777" w:rsidR="007927B7" w:rsidRPr="00E546C7" w:rsidRDefault="007927B7" w:rsidP="00B11AF1">
            <w:pPr>
              <w:pStyle w:val="TableHeader"/>
              <w:keepNext/>
              <w:rPr>
                <w:rFonts w:cs="Times New Roman"/>
              </w:rPr>
            </w:pPr>
            <w:r w:rsidRPr="00E546C7">
              <w:rPr>
                <w:rFonts w:eastAsia="Times New Roman" w:cs="Times New Roman"/>
                <w:b/>
                <w:sz w:val="18"/>
              </w:rPr>
              <w:t>Mean</w:t>
            </w:r>
          </w:p>
        </w:tc>
        <w:tc>
          <w:tcPr>
            <w:tcW w:w="1100" w:type="dxa"/>
            <w:shd w:val="clear" w:color="auto" w:fill="17365D"/>
            <w:tcMar>
              <w:top w:w="80" w:type="dxa"/>
              <w:left w:w="120" w:type="dxa"/>
              <w:bottom w:w="80" w:type="dxa"/>
              <w:right w:w="120" w:type="dxa"/>
            </w:tcMar>
            <w:vAlign w:val="center"/>
          </w:tcPr>
          <w:p w14:paraId="1EE00E3A" w14:textId="77777777" w:rsidR="007927B7" w:rsidRPr="00E546C7" w:rsidRDefault="007927B7" w:rsidP="00B11AF1">
            <w:pPr>
              <w:pStyle w:val="TableHeader"/>
              <w:keepNext/>
              <w:rPr>
                <w:rFonts w:cs="Times New Roman"/>
              </w:rPr>
            </w:pPr>
            <w:r w:rsidRPr="00E546C7">
              <w:rPr>
                <w:rFonts w:eastAsia="Times New Roman" w:cs="Times New Roman"/>
                <w:b/>
                <w:sz w:val="18"/>
              </w:rPr>
              <w:t>SD</w:t>
            </w:r>
          </w:p>
        </w:tc>
        <w:tc>
          <w:tcPr>
            <w:tcW w:w="2240" w:type="dxa"/>
            <w:shd w:val="clear" w:color="auto" w:fill="17365D"/>
            <w:tcMar>
              <w:top w:w="80" w:type="dxa"/>
              <w:left w:w="120" w:type="dxa"/>
              <w:bottom w:w="80" w:type="dxa"/>
              <w:right w:w="120" w:type="dxa"/>
            </w:tcMar>
            <w:vAlign w:val="center"/>
          </w:tcPr>
          <w:p w14:paraId="148E80FE" w14:textId="77777777" w:rsidR="007927B7" w:rsidRPr="00E546C7" w:rsidRDefault="007927B7" w:rsidP="00B11AF1">
            <w:pPr>
              <w:pStyle w:val="TableHeader"/>
              <w:keepNext/>
              <w:rPr>
                <w:rFonts w:cs="Times New Roman"/>
              </w:rPr>
            </w:pPr>
            <w:r w:rsidRPr="00E546C7">
              <w:rPr>
                <w:rFonts w:eastAsia="Times New Roman" w:cs="Times New Roman"/>
                <w:b/>
                <w:sz w:val="18"/>
              </w:rPr>
              <w:t>Agree / Strongly Agree</w:t>
            </w:r>
          </w:p>
        </w:tc>
      </w:tr>
      <w:tr w:rsidR="007927B7" w:rsidRPr="00E546C7" w14:paraId="6AB58646" w14:textId="77777777" w:rsidTr="00B11AF1">
        <w:trPr>
          <w:cantSplit/>
        </w:trPr>
        <w:tc>
          <w:tcPr>
            <w:tcW w:w="700" w:type="dxa"/>
            <w:tcMar>
              <w:top w:w="80" w:type="dxa"/>
              <w:left w:w="120" w:type="dxa"/>
              <w:bottom w:w="80" w:type="dxa"/>
              <w:right w:w="120" w:type="dxa"/>
            </w:tcMar>
            <w:vAlign w:val="center"/>
          </w:tcPr>
          <w:p w14:paraId="6047B364" w14:textId="77777777" w:rsidR="007927B7" w:rsidRPr="00E546C7" w:rsidRDefault="007927B7" w:rsidP="00B11AF1">
            <w:pPr>
              <w:pStyle w:val="TableText"/>
              <w:keepNext/>
              <w:rPr>
                <w:rFonts w:cs="Times New Roman"/>
              </w:rPr>
            </w:pPr>
            <w:r w:rsidRPr="00E546C7">
              <w:rPr>
                <w:rFonts w:eastAsia="Times New Roman" w:cs="Times New Roman"/>
                <w:sz w:val="18"/>
              </w:rPr>
              <w:t>Q3</w:t>
            </w:r>
          </w:p>
        </w:tc>
        <w:tc>
          <w:tcPr>
            <w:tcW w:w="3880" w:type="dxa"/>
            <w:tcMar>
              <w:top w:w="80" w:type="dxa"/>
              <w:left w:w="120" w:type="dxa"/>
              <w:bottom w:w="80" w:type="dxa"/>
              <w:right w:w="120" w:type="dxa"/>
            </w:tcMar>
            <w:vAlign w:val="center"/>
          </w:tcPr>
          <w:p w14:paraId="39B9F1C6" w14:textId="77777777" w:rsidR="007927B7" w:rsidRPr="00E546C7" w:rsidRDefault="007927B7" w:rsidP="00B11AF1">
            <w:pPr>
              <w:pStyle w:val="TableText"/>
              <w:keepNext/>
              <w:rPr>
                <w:rFonts w:cs="Times New Roman"/>
              </w:rPr>
            </w:pPr>
            <w:r w:rsidRPr="00E546C7">
              <w:rPr>
                <w:rFonts w:eastAsia="Times New Roman" w:cs="Times New Roman"/>
                <w:sz w:val="18"/>
              </w:rPr>
              <w:t>Message consistency</w:t>
            </w:r>
          </w:p>
        </w:tc>
        <w:tc>
          <w:tcPr>
            <w:tcW w:w="1100" w:type="dxa"/>
            <w:tcMar>
              <w:top w:w="80" w:type="dxa"/>
              <w:left w:w="120" w:type="dxa"/>
              <w:bottom w:w="80" w:type="dxa"/>
              <w:right w:w="120" w:type="dxa"/>
            </w:tcMar>
            <w:vAlign w:val="center"/>
          </w:tcPr>
          <w:p w14:paraId="2D7D08BB" w14:textId="77777777" w:rsidR="007927B7" w:rsidRPr="00E546C7" w:rsidRDefault="007927B7" w:rsidP="00B11AF1">
            <w:pPr>
              <w:pStyle w:val="TableText"/>
              <w:keepNext/>
              <w:jc w:val="center"/>
              <w:rPr>
                <w:rFonts w:cs="Times New Roman"/>
              </w:rPr>
            </w:pPr>
            <w:r w:rsidRPr="00E546C7">
              <w:rPr>
                <w:rFonts w:eastAsia="Times New Roman" w:cs="Times New Roman"/>
                <w:sz w:val="18"/>
              </w:rPr>
              <w:t>3.94</w:t>
            </w:r>
          </w:p>
        </w:tc>
        <w:tc>
          <w:tcPr>
            <w:tcW w:w="1100" w:type="dxa"/>
            <w:tcMar>
              <w:top w:w="80" w:type="dxa"/>
              <w:left w:w="120" w:type="dxa"/>
              <w:bottom w:w="80" w:type="dxa"/>
              <w:right w:w="120" w:type="dxa"/>
            </w:tcMar>
            <w:vAlign w:val="center"/>
          </w:tcPr>
          <w:p w14:paraId="30C4B292" w14:textId="77777777" w:rsidR="007927B7" w:rsidRPr="00E546C7" w:rsidRDefault="007927B7" w:rsidP="00B11AF1">
            <w:pPr>
              <w:pStyle w:val="TableText"/>
              <w:keepNext/>
              <w:jc w:val="center"/>
              <w:rPr>
                <w:rFonts w:cs="Times New Roman"/>
              </w:rPr>
            </w:pPr>
            <w:r w:rsidRPr="00E546C7">
              <w:rPr>
                <w:rFonts w:eastAsia="Times New Roman" w:cs="Times New Roman"/>
                <w:sz w:val="18"/>
              </w:rPr>
              <w:t>0.89</w:t>
            </w:r>
          </w:p>
        </w:tc>
        <w:tc>
          <w:tcPr>
            <w:tcW w:w="2240" w:type="dxa"/>
            <w:tcMar>
              <w:top w:w="80" w:type="dxa"/>
              <w:left w:w="120" w:type="dxa"/>
              <w:bottom w:w="80" w:type="dxa"/>
              <w:right w:w="120" w:type="dxa"/>
            </w:tcMar>
            <w:vAlign w:val="center"/>
          </w:tcPr>
          <w:p w14:paraId="05034D34" w14:textId="77777777" w:rsidR="007927B7" w:rsidRPr="00E546C7" w:rsidRDefault="007927B7" w:rsidP="00B11AF1">
            <w:pPr>
              <w:pStyle w:val="TableText"/>
              <w:keepNext/>
              <w:jc w:val="center"/>
              <w:rPr>
                <w:rFonts w:cs="Times New Roman"/>
              </w:rPr>
            </w:pPr>
            <w:r w:rsidRPr="00E546C7">
              <w:rPr>
                <w:rFonts w:eastAsia="Times New Roman" w:cs="Times New Roman"/>
                <w:sz w:val="18"/>
              </w:rPr>
              <w:t>82%</w:t>
            </w:r>
          </w:p>
        </w:tc>
      </w:tr>
      <w:tr w:rsidR="007927B7" w:rsidRPr="00E546C7" w14:paraId="217F6F2A" w14:textId="77777777" w:rsidTr="00B11AF1">
        <w:trPr>
          <w:cantSplit/>
        </w:trPr>
        <w:tc>
          <w:tcPr>
            <w:tcW w:w="700" w:type="dxa"/>
            <w:shd w:val="clear" w:color="auto" w:fill="F2F4F7"/>
            <w:tcMar>
              <w:top w:w="80" w:type="dxa"/>
              <w:left w:w="120" w:type="dxa"/>
              <w:bottom w:w="80" w:type="dxa"/>
              <w:right w:w="120" w:type="dxa"/>
            </w:tcMar>
            <w:vAlign w:val="center"/>
          </w:tcPr>
          <w:p w14:paraId="50ED2915" w14:textId="77777777" w:rsidR="007927B7" w:rsidRPr="00E546C7" w:rsidRDefault="007927B7" w:rsidP="00B11AF1">
            <w:pPr>
              <w:pStyle w:val="TableText"/>
              <w:keepNext/>
              <w:rPr>
                <w:rFonts w:cs="Times New Roman"/>
              </w:rPr>
            </w:pPr>
            <w:r w:rsidRPr="00E546C7">
              <w:rPr>
                <w:rFonts w:eastAsia="Times New Roman" w:cs="Times New Roman"/>
                <w:sz w:val="18"/>
              </w:rPr>
              <w:t>Q4</w:t>
            </w:r>
          </w:p>
        </w:tc>
        <w:tc>
          <w:tcPr>
            <w:tcW w:w="3880" w:type="dxa"/>
            <w:shd w:val="clear" w:color="auto" w:fill="F2F4F7"/>
            <w:tcMar>
              <w:top w:w="80" w:type="dxa"/>
              <w:left w:w="120" w:type="dxa"/>
              <w:bottom w:w="80" w:type="dxa"/>
              <w:right w:w="120" w:type="dxa"/>
            </w:tcMar>
            <w:vAlign w:val="center"/>
          </w:tcPr>
          <w:p w14:paraId="354DFBEC" w14:textId="77777777" w:rsidR="007927B7" w:rsidRPr="00E546C7" w:rsidRDefault="007927B7" w:rsidP="00B11AF1">
            <w:pPr>
              <w:pStyle w:val="TableText"/>
              <w:keepNext/>
              <w:rPr>
                <w:rFonts w:cs="Times New Roman"/>
              </w:rPr>
            </w:pPr>
            <w:r w:rsidRPr="00E546C7">
              <w:rPr>
                <w:rFonts w:eastAsia="Times New Roman" w:cs="Times New Roman"/>
                <w:sz w:val="18"/>
              </w:rPr>
              <w:t>Credibility, relevance and engagement</w:t>
            </w:r>
          </w:p>
        </w:tc>
        <w:tc>
          <w:tcPr>
            <w:tcW w:w="1100" w:type="dxa"/>
            <w:shd w:val="clear" w:color="auto" w:fill="F2F4F7"/>
            <w:tcMar>
              <w:top w:w="80" w:type="dxa"/>
              <w:left w:w="120" w:type="dxa"/>
              <w:bottom w:w="80" w:type="dxa"/>
              <w:right w:w="120" w:type="dxa"/>
            </w:tcMar>
            <w:vAlign w:val="center"/>
          </w:tcPr>
          <w:p w14:paraId="0BC658CA" w14:textId="77777777" w:rsidR="007927B7" w:rsidRPr="00E546C7" w:rsidRDefault="007927B7" w:rsidP="00B11AF1">
            <w:pPr>
              <w:pStyle w:val="TableText"/>
              <w:keepNext/>
              <w:jc w:val="center"/>
              <w:rPr>
                <w:rFonts w:cs="Times New Roman"/>
              </w:rPr>
            </w:pPr>
            <w:r w:rsidRPr="00E546C7">
              <w:rPr>
                <w:rFonts w:eastAsia="Times New Roman" w:cs="Times New Roman"/>
                <w:sz w:val="18"/>
              </w:rPr>
              <w:t>4.02</w:t>
            </w:r>
          </w:p>
        </w:tc>
        <w:tc>
          <w:tcPr>
            <w:tcW w:w="1100" w:type="dxa"/>
            <w:shd w:val="clear" w:color="auto" w:fill="F2F4F7"/>
            <w:tcMar>
              <w:top w:w="80" w:type="dxa"/>
              <w:left w:w="120" w:type="dxa"/>
              <w:bottom w:w="80" w:type="dxa"/>
              <w:right w:w="120" w:type="dxa"/>
            </w:tcMar>
            <w:vAlign w:val="center"/>
          </w:tcPr>
          <w:p w14:paraId="5348FEDF" w14:textId="77777777" w:rsidR="007927B7" w:rsidRPr="00E546C7" w:rsidRDefault="007927B7" w:rsidP="00B11AF1">
            <w:pPr>
              <w:pStyle w:val="TableText"/>
              <w:keepNext/>
              <w:jc w:val="center"/>
              <w:rPr>
                <w:rFonts w:cs="Times New Roman"/>
              </w:rPr>
            </w:pPr>
            <w:r w:rsidRPr="00E546C7">
              <w:rPr>
                <w:rFonts w:eastAsia="Times New Roman" w:cs="Times New Roman"/>
                <w:sz w:val="18"/>
              </w:rPr>
              <w:t>0.77</w:t>
            </w:r>
          </w:p>
        </w:tc>
        <w:tc>
          <w:tcPr>
            <w:tcW w:w="2240" w:type="dxa"/>
            <w:shd w:val="clear" w:color="auto" w:fill="F2F4F7"/>
            <w:tcMar>
              <w:top w:w="80" w:type="dxa"/>
              <w:left w:w="120" w:type="dxa"/>
              <w:bottom w:w="80" w:type="dxa"/>
              <w:right w:w="120" w:type="dxa"/>
            </w:tcMar>
            <w:vAlign w:val="center"/>
          </w:tcPr>
          <w:p w14:paraId="32668169" w14:textId="77777777" w:rsidR="007927B7" w:rsidRPr="00E546C7" w:rsidRDefault="007927B7" w:rsidP="00B11AF1">
            <w:pPr>
              <w:pStyle w:val="TableText"/>
              <w:keepNext/>
              <w:jc w:val="center"/>
              <w:rPr>
                <w:rFonts w:cs="Times New Roman"/>
              </w:rPr>
            </w:pPr>
            <w:r w:rsidRPr="00E546C7">
              <w:rPr>
                <w:rFonts w:eastAsia="Times New Roman" w:cs="Times New Roman"/>
                <w:sz w:val="18"/>
              </w:rPr>
              <w:t>80%</w:t>
            </w:r>
          </w:p>
        </w:tc>
      </w:tr>
      <w:tr w:rsidR="007927B7" w:rsidRPr="00E546C7" w14:paraId="74C504D0" w14:textId="77777777" w:rsidTr="00B11AF1">
        <w:trPr>
          <w:cantSplit/>
        </w:trPr>
        <w:tc>
          <w:tcPr>
            <w:tcW w:w="700" w:type="dxa"/>
            <w:tcMar>
              <w:top w:w="80" w:type="dxa"/>
              <w:left w:w="120" w:type="dxa"/>
              <w:bottom w:w="80" w:type="dxa"/>
              <w:right w:w="120" w:type="dxa"/>
            </w:tcMar>
            <w:vAlign w:val="center"/>
          </w:tcPr>
          <w:p w14:paraId="30D865D1" w14:textId="77777777" w:rsidR="007927B7" w:rsidRPr="00E546C7" w:rsidRDefault="007927B7" w:rsidP="00B11AF1">
            <w:pPr>
              <w:pStyle w:val="TableText"/>
              <w:keepNext/>
              <w:rPr>
                <w:rFonts w:cs="Times New Roman"/>
              </w:rPr>
            </w:pPr>
            <w:r w:rsidRPr="00E546C7">
              <w:rPr>
                <w:rFonts w:eastAsia="Times New Roman" w:cs="Times New Roman"/>
                <w:sz w:val="18"/>
              </w:rPr>
              <w:t>Q5</w:t>
            </w:r>
          </w:p>
        </w:tc>
        <w:tc>
          <w:tcPr>
            <w:tcW w:w="3880" w:type="dxa"/>
            <w:tcMar>
              <w:top w:w="80" w:type="dxa"/>
              <w:left w:w="120" w:type="dxa"/>
              <w:bottom w:w="80" w:type="dxa"/>
              <w:right w:w="120" w:type="dxa"/>
            </w:tcMar>
            <w:vAlign w:val="center"/>
          </w:tcPr>
          <w:p w14:paraId="78C6C84E" w14:textId="77777777" w:rsidR="007927B7" w:rsidRPr="00E546C7" w:rsidRDefault="007927B7" w:rsidP="00B11AF1">
            <w:pPr>
              <w:pStyle w:val="TableText"/>
              <w:keepNext/>
              <w:jc w:val="center"/>
              <w:rPr>
                <w:rFonts w:cs="Times New Roman"/>
              </w:rPr>
            </w:pPr>
            <w:r w:rsidRPr="00E546C7">
              <w:rPr>
                <w:rFonts w:eastAsia="Times New Roman" w:cs="Times New Roman"/>
                <w:sz w:val="18"/>
              </w:rPr>
              <w:t>Positive attitude</w:t>
            </w:r>
          </w:p>
        </w:tc>
        <w:tc>
          <w:tcPr>
            <w:tcW w:w="1100" w:type="dxa"/>
            <w:tcMar>
              <w:top w:w="80" w:type="dxa"/>
              <w:left w:w="120" w:type="dxa"/>
              <w:bottom w:w="80" w:type="dxa"/>
              <w:right w:w="120" w:type="dxa"/>
            </w:tcMar>
            <w:vAlign w:val="center"/>
          </w:tcPr>
          <w:p w14:paraId="7CFF602D" w14:textId="77777777" w:rsidR="007927B7" w:rsidRPr="00E546C7" w:rsidRDefault="007927B7" w:rsidP="00B11AF1">
            <w:pPr>
              <w:pStyle w:val="TableText"/>
              <w:keepNext/>
              <w:jc w:val="center"/>
              <w:rPr>
                <w:rFonts w:cs="Times New Roman"/>
              </w:rPr>
            </w:pPr>
            <w:r w:rsidRPr="00E546C7">
              <w:rPr>
                <w:rFonts w:eastAsia="Times New Roman" w:cs="Times New Roman"/>
                <w:sz w:val="18"/>
              </w:rPr>
              <w:t>4.10</w:t>
            </w:r>
          </w:p>
        </w:tc>
        <w:tc>
          <w:tcPr>
            <w:tcW w:w="1100" w:type="dxa"/>
            <w:tcMar>
              <w:top w:w="80" w:type="dxa"/>
              <w:left w:w="120" w:type="dxa"/>
              <w:bottom w:w="80" w:type="dxa"/>
              <w:right w:w="120" w:type="dxa"/>
            </w:tcMar>
            <w:vAlign w:val="center"/>
          </w:tcPr>
          <w:p w14:paraId="6C19AAB0" w14:textId="77777777" w:rsidR="007927B7" w:rsidRPr="00E546C7" w:rsidRDefault="007927B7" w:rsidP="00B11AF1">
            <w:pPr>
              <w:pStyle w:val="TableText"/>
              <w:keepNext/>
              <w:jc w:val="center"/>
              <w:rPr>
                <w:rFonts w:cs="Times New Roman"/>
              </w:rPr>
            </w:pPr>
            <w:r w:rsidRPr="00E546C7">
              <w:rPr>
                <w:rFonts w:eastAsia="Times New Roman" w:cs="Times New Roman"/>
                <w:sz w:val="18"/>
              </w:rPr>
              <w:t>0.76</w:t>
            </w:r>
          </w:p>
        </w:tc>
        <w:tc>
          <w:tcPr>
            <w:tcW w:w="2240" w:type="dxa"/>
            <w:tcMar>
              <w:top w:w="80" w:type="dxa"/>
              <w:left w:w="120" w:type="dxa"/>
              <w:bottom w:w="80" w:type="dxa"/>
              <w:right w:w="120" w:type="dxa"/>
            </w:tcMar>
            <w:vAlign w:val="center"/>
          </w:tcPr>
          <w:p w14:paraId="2FB60405" w14:textId="77777777" w:rsidR="007927B7" w:rsidRPr="00E546C7" w:rsidRDefault="007927B7" w:rsidP="00B11AF1">
            <w:pPr>
              <w:pStyle w:val="TableText"/>
              <w:keepNext/>
              <w:jc w:val="center"/>
              <w:rPr>
                <w:rFonts w:cs="Times New Roman"/>
              </w:rPr>
            </w:pPr>
            <w:r w:rsidRPr="00E546C7">
              <w:rPr>
                <w:rFonts w:eastAsia="Times New Roman" w:cs="Times New Roman"/>
                <w:sz w:val="18"/>
              </w:rPr>
              <w:t>80%</w:t>
            </w:r>
          </w:p>
        </w:tc>
      </w:tr>
      <w:tr w:rsidR="007927B7" w:rsidRPr="00E546C7" w14:paraId="6AE14B6C" w14:textId="77777777" w:rsidTr="00B11AF1">
        <w:trPr>
          <w:cantSplit/>
        </w:trPr>
        <w:tc>
          <w:tcPr>
            <w:tcW w:w="700" w:type="dxa"/>
            <w:shd w:val="clear" w:color="auto" w:fill="F2F4F7"/>
            <w:tcMar>
              <w:top w:w="80" w:type="dxa"/>
              <w:left w:w="120" w:type="dxa"/>
              <w:bottom w:w="80" w:type="dxa"/>
              <w:right w:w="120" w:type="dxa"/>
            </w:tcMar>
            <w:vAlign w:val="center"/>
          </w:tcPr>
          <w:p w14:paraId="455686F7" w14:textId="77777777" w:rsidR="007927B7" w:rsidRPr="00E546C7" w:rsidRDefault="007927B7" w:rsidP="00B11AF1">
            <w:pPr>
              <w:pStyle w:val="TableText"/>
              <w:keepNext/>
              <w:rPr>
                <w:rFonts w:cs="Times New Roman"/>
              </w:rPr>
            </w:pPr>
            <w:r w:rsidRPr="00E546C7">
              <w:rPr>
                <w:rFonts w:eastAsia="Times New Roman" w:cs="Times New Roman"/>
                <w:sz w:val="18"/>
              </w:rPr>
              <w:t>Q6</w:t>
            </w:r>
          </w:p>
        </w:tc>
        <w:tc>
          <w:tcPr>
            <w:tcW w:w="3880" w:type="dxa"/>
            <w:shd w:val="clear" w:color="auto" w:fill="F2F4F7"/>
            <w:tcMar>
              <w:top w:w="80" w:type="dxa"/>
              <w:left w:w="120" w:type="dxa"/>
              <w:bottom w:w="80" w:type="dxa"/>
              <w:right w:w="120" w:type="dxa"/>
            </w:tcMar>
            <w:vAlign w:val="center"/>
          </w:tcPr>
          <w:p w14:paraId="23847EAF" w14:textId="77777777" w:rsidR="007927B7" w:rsidRPr="00E546C7" w:rsidRDefault="007927B7" w:rsidP="00B11AF1">
            <w:pPr>
              <w:pStyle w:val="TableText"/>
              <w:keepNext/>
              <w:jc w:val="center"/>
              <w:rPr>
                <w:rFonts w:cs="Times New Roman"/>
              </w:rPr>
            </w:pPr>
            <w:r w:rsidRPr="00E546C7">
              <w:rPr>
                <w:rFonts w:eastAsia="Times New Roman" w:cs="Times New Roman"/>
                <w:sz w:val="18"/>
              </w:rPr>
              <w:t>Purchase intention</w:t>
            </w:r>
          </w:p>
        </w:tc>
        <w:tc>
          <w:tcPr>
            <w:tcW w:w="1100" w:type="dxa"/>
            <w:shd w:val="clear" w:color="auto" w:fill="F2F4F7"/>
            <w:tcMar>
              <w:top w:w="80" w:type="dxa"/>
              <w:left w:w="120" w:type="dxa"/>
              <w:bottom w:w="80" w:type="dxa"/>
              <w:right w:w="120" w:type="dxa"/>
            </w:tcMar>
            <w:vAlign w:val="center"/>
          </w:tcPr>
          <w:p w14:paraId="2CFCC7F5" w14:textId="77777777" w:rsidR="007927B7" w:rsidRPr="00E546C7" w:rsidRDefault="007927B7" w:rsidP="00B11AF1">
            <w:pPr>
              <w:pStyle w:val="TableText"/>
              <w:keepNext/>
              <w:jc w:val="center"/>
              <w:rPr>
                <w:rFonts w:cs="Times New Roman"/>
              </w:rPr>
            </w:pPr>
            <w:r w:rsidRPr="00E546C7">
              <w:rPr>
                <w:rFonts w:eastAsia="Times New Roman" w:cs="Times New Roman"/>
                <w:sz w:val="18"/>
              </w:rPr>
              <w:t>4.14</w:t>
            </w:r>
          </w:p>
        </w:tc>
        <w:tc>
          <w:tcPr>
            <w:tcW w:w="1100" w:type="dxa"/>
            <w:shd w:val="clear" w:color="auto" w:fill="F2F4F7"/>
            <w:tcMar>
              <w:top w:w="80" w:type="dxa"/>
              <w:left w:w="120" w:type="dxa"/>
              <w:bottom w:w="80" w:type="dxa"/>
              <w:right w:w="120" w:type="dxa"/>
            </w:tcMar>
            <w:vAlign w:val="center"/>
          </w:tcPr>
          <w:p w14:paraId="788FC74F" w14:textId="77777777" w:rsidR="007927B7" w:rsidRPr="00E546C7" w:rsidRDefault="007927B7" w:rsidP="00B11AF1">
            <w:pPr>
              <w:pStyle w:val="TableText"/>
              <w:keepNext/>
              <w:jc w:val="center"/>
              <w:rPr>
                <w:rFonts w:cs="Times New Roman"/>
              </w:rPr>
            </w:pPr>
            <w:r w:rsidRPr="00E546C7">
              <w:rPr>
                <w:rFonts w:eastAsia="Times New Roman" w:cs="Times New Roman"/>
                <w:sz w:val="18"/>
              </w:rPr>
              <w:t>0.83</w:t>
            </w:r>
          </w:p>
        </w:tc>
        <w:tc>
          <w:tcPr>
            <w:tcW w:w="2240" w:type="dxa"/>
            <w:shd w:val="clear" w:color="auto" w:fill="F2F4F7"/>
            <w:tcMar>
              <w:top w:w="80" w:type="dxa"/>
              <w:left w:w="120" w:type="dxa"/>
              <w:bottom w:w="80" w:type="dxa"/>
              <w:right w:w="120" w:type="dxa"/>
            </w:tcMar>
            <w:vAlign w:val="center"/>
          </w:tcPr>
          <w:p w14:paraId="3EDE2294" w14:textId="77777777" w:rsidR="007927B7" w:rsidRPr="00E546C7" w:rsidRDefault="007927B7" w:rsidP="00B11AF1">
            <w:pPr>
              <w:pStyle w:val="TableText"/>
              <w:keepNext/>
              <w:jc w:val="center"/>
              <w:rPr>
                <w:rFonts w:cs="Times New Roman"/>
              </w:rPr>
            </w:pPr>
            <w:r w:rsidRPr="00E546C7">
              <w:rPr>
                <w:rFonts w:eastAsia="Times New Roman" w:cs="Times New Roman"/>
                <w:sz w:val="18"/>
              </w:rPr>
              <w:t>76%</w:t>
            </w:r>
          </w:p>
        </w:tc>
      </w:tr>
      <w:tr w:rsidR="007927B7" w:rsidRPr="00E546C7" w14:paraId="24AC52AA" w14:textId="77777777" w:rsidTr="00B11AF1">
        <w:trPr>
          <w:cantSplit/>
        </w:trPr>
        <w:tc>
          <w:tcPr>
            <w:tcW w:w="700" w:type="dxa"/>
            <w:tcMar>
              <w:top w:w="80" w:type="dxa"/>
              <w:left w:w="120" w:type="dxa"/>
              <w:bottom w:w="80" w:type="dxa"/>
              <w:right w:w="120" w:type="dxa"/>
            </w:tcMar>
            <w:vAlign w:val="center"/>
          </w:tcPr>
          <w:p w14:paraId="60176F42" w14:textId="77777777" w:rsidR="007927B7" w:rsidRPr="00E546C7" w:rsidRDefault="007927B7" w:rsidP="00B11AF1">
            <w:pPr>
              <w:pStyle w:val="TableText"/>
              <w:keepNext/>
              <w:rPr>
                <w:rFonts w:cs="Times New Roman"/>
              </w:rPr>
            </w:pPr>
            <w:r w:rsidRPr="00E546C7">
              <w:rPr>
                <w:rFonts w:eastAsia="Times New Roman" w:cs="Times New Roman"/>
                <w:sz w:val="18"/>
              </w:rPr>
              <w:t>Q9</w:t>
            </w:r>
          </w:p>
        </w:tc>
        <w:tc>
          <w:tcPr>
            <w:tcW w:w="3880" w:type="dxa"/>
            <w:tcMar>
              <w:top w:w="80" w:type="dxa"/>
              <w:left w:w="120" w:type="dxa"/>
              <w:bottom w:w="80" w:type="dxa"/>
              <w:right w:w="120" w:type="dxa"/>
            </w:tcMar>
            <w:vAlign w:val="center"/>
          </w:tcPr>
          <w:p w14:paraId="7E142EEF" w14:textId="77777777" w:rsidR="007927B7" w:rsidRPr="00E546C7" w:rsidRDefault="007927B7" w:rsidP="00B11AF1">
            <w:pPr>
              <w:pStyle w:val="TableText"/>
              <w:keepNext/>
              <w:rPr>
                <w:rFonts w:cs="Times New Roman"/>
              </w:rPr>
            </w:pPr>
            <w:r w:rsidRPr="00E546C7">
              <w:rPr>
                <w:rFonts w:eastAsia="Times New Roman" w:cs="Times New Roman"/>
                <w:sz w:val="18"/>
              </w:rPr>
              <w:t>Global H1 statement</w:t>
            </w:r>
          </w:p>
        </w:tc>
        <w:tc>
          <w:tcPr>
            <w:tcW w:w="1100" w:type="dxa"/>
            <w:tcMar>
              <w:top w:w="80" w:type="dxa"/>
              <w:left w:w="120" w:type="dxa"/>
              <w:bottom w:w="80" w:type="dxa"/>
              <w:right w:w="120" w:type="dxa"/>
            </w:tcMar>
            <w:vAlign w:val="center"/>
          </w:tcPr>
          <w:p w14:paraId="67597F9B" w14:textId="77777777" w:rsidR="007927B7" w:rsidRPr="00E546C7" w:rsidRDefault="007927B7" w:rsidP="00B11AF1">
            <w:pPr>
              <w:pStyle w:val="TableText"/>
              <w:keepNext/>
              <w:jc w:val="center"/>
              <w:rPr>
                <w:rFonts w:cs="Times New Roman"/>
              </w:rPr>
            </w:pPr>
            <w:r w:rsidRPr="00E546C7">
              <w:rPr>
                <w:rFonts w:eastAsia="Times New Roman" w:cs="Times New Roman"/>
                <w:sz w:val="18"/>
              </w:rPr>
              <w:t>3.86</w:t>
            </w:r>
          </w:p>
        </w:tc>
        <w:tc>
          <w:tcPr>
            <w:tcW w:w="1100" w:type="dxa"/>
            <w:tcMar>
              <w:top w:w="80" w:type="dxa"/>
              <w:left w:w="120" w:type="dxa"/>
              <w:bottom w:w="80" w:type="dxa"/>
              <w:right w:w="120" w:type="dxa"/>
            </w:tcMar>
            <w:vAlign w:val="center"/>
          </w:tcPr>
          <w:p w14:paraId="6F815604" w14:textId="77777777" w:rsidR="007927B7" w:rsidRPr="00E546C7" w:rsidRDefault="007927B7" w:rsidP="00B11AF1">
            <w:pPr>
              <w:pStyle w:val="TableText"/>
              <w:keepNext/>
              <w:jc w:val="center"/>
              <w:rPr>
                <w:rFonts w:cs="Times New Roman"/>
              </w:rPr>
            </w:pPr>
            <w:r w:rsidRPr="00E546C7">
              <w:rPr>
                <w:rFonts w:eastAsia="Times New Roman" w:cs="Times New Roman"/>
                <w:sz w:val="18"/>
              </w:rPr>
              <w:t>1.01</w:t>
            </w:r>
          </w:p>
        </w:tc>
        <w:tc>
          <w:tcPr>
            <w:tcW w:w="2240" w:type="dxa"/>
            <w:tcMar>
              <w:top w:w="80" w:type="dxa"/>
              <w:left w:w="120" w:type="dxa"/>
              <w:bottom w:w="80" w:type="dxa"/>
              <w:right w:w="120" w:type="dxa"/>
            </w:tcMar>
            <w:vAlign w:val="center"/>
          </w:tcPr>
          <w:p w14:paraId="4FCDC932" w14:textId="77777777" w:rsidR="007927B7" w:rsidRPr="00E546C7" w:rsidRDefault="007927B7" w:rsidP="00B11AF1">
            <w:pPr>
              <w:pStyle w:val="TableText"/>
              <w:keepNext/>
              <w:jc w:val="center"/>
              <w:rPr>
                <w:rFonts w:cs="Times New Roman"/>
              </w:rPr>
            </w:pPr>
            <w:r w:rsidRPr="00E546C7">
              <w:rPr>
                <w:rFonts w:eastAsia="Times New Roman" w:cs="Times New Roman"/>
                <w:sz w:val="18"/>
              </w:rPr>
              <w:t>82%</w:t>
            </w:r>
          </w:p>
        </w:tc>
      </w:tr>
      <w:tr w:rsidR="007927B7" w:rsidRPr="00E546C7" w14:paraId="4EFF5476" w14:textId="77777777" w:rsidTr="00B11AF1">
        <w:trPr>
          <w:cantSplit/>
        </w:trPr>
        <w:tc>
          <w:tcPr>
            <w:tcW w:w="700" w:type="dxa"/>
            <w:shd w:val="clear" w:color="auto" w:fill="F2F4F7"/>
            <w:tcMar>
              <w:top w:w="80" w:type="dxa"/>
              <w:left w:w="120" w:type="dxa"/>
              <w:bottom w:w="80" w:type="dxa"/>
              <w:right w:w="120" w:type="dxa"/>
            </w:tcMar>
            <w:vAlign w:val="center"/>
          </w:tcPr>
          <w:p w14:paraId="01EC12E3" w14:textId="77777777" w:rsidR="007927B7" w:rsidRPr="00E546C7" w:rsidRDefault="007927B7" w:rsidP="00B11AF1">
            <w:pPr>
              <w:pStyle w:val="TableText"/>
              <w:keepNext/>
              <w:rPr>
                <w:rFonts w:cs="Times New Roman"/>
              </w:rPr>
            </w:pPr>
            <w:r w:rsidRPr="00E546C7">
              <w:rPr>
                <w:rFonts w:eastAsia="Times New Roman" w:cs="Times New Roman"/>
                <w:sz w:val="18"/>
              </w:rPr>
              <w:t>Q10</w:t>
            </w:r>
          </w:p>
        </w:tc>
        <w:tc>
          <w:tcPr>
            <w:tcW w:w="3880" w:type="dxa"/>
            <w:shd w:val="clear" w:color="auto" w:fill="F2F4F7"/>
            <w:tcMar>
              <w:top w:w="80" w:type="dxa"/>
              <w:left w:w="120" w:type="dxa"/>
              <w:bottom w:w="80" w:type="dxa"/>
              <w:right w:w="120" w:type="dxa"/>
            </w:tcMar>
            <w:vAlign w:val="center"/>
          </w:tcPr>
          <w:p w14:paraId="589D3ABF" w14:textId="77777777" w:rsidR="007927B7" w:rsidRPr="00E546C7" w:rsidRDefault="007927B7" w:rsidP="00B11AF1">
            <w:pPr>
              <w:pStyle w:val="TableText"/>
              <w:keepNext/>
              <w:jc w:val="center"/>
              <w:rPr>
                <w:rFonts w:cs="Times New Roman"/>
              </w:rPr>
            </w:pPr>
            <w:r w:rsidRPr="00E546C7">
              <w:rPr>
                <w:rFonts w:eastAsia="Times New Roman" w:cs="Times New Roman"/>
                <w:sz w:val="18"/>
              </w:rPr>
              <w:t>Loyalty statement</w:t>
            </w:r>
          </w:p>
        </w:tc>
        <w:tc>
          <w:tcPr>
            <w:tcW w:w="1100" w:type="dxa"/>
            <w:shd w:val="clear" w:color="auto" w:fill="F2F4F7"/>
            <w:tcMar>
              <w:top w:w="80" w:type="dxa"/>
              <w:left w:w="120" w:type="dxa"/>
              <w:bottom w:w="80" w:type="dxa"/>
              <w:right w:w="120" w:type="dxa"/>
            </w:tcMar>
            <w:vAlign w:val="center"/>
          </w:tcPr>
          <w:p w14:paraId="22E398A4" w14:textId="77777777" w:rsidR="007927B7" w:rsidRPr="00E546C7" w:rsidRDefault="007927B7" w:rsidP="00B11AF1">
            <w:pPr>
              <w:pStyle w:val="TableText"/>
              <w:keepNext/>
              <w:jc w:val="center"/>
              <w:rPr>
                <w:rFonts w:cs="Times New Roman"/>
              </w:rPr>
            </w:pPr>
            <w:r w:rsidRPr="00E546C7">
              <w:rPr>
                <w:rFonts w:eastAsia="Times New Roman" w:cs="Times New Roman"/>
                <w:sz w:val="18"/>
              </w:rPr>
              <w:t>3.84</w:t>
            </w:r>
          </w:p>
        </w:tc>
        <w:tc>
          <w:tcPr>
            <w:tcW w:w="1100" w:type="dxa"/>
            <w:shd w:val="clear" w:color="auto" w:fill="F2F4F7"/>
            <w:tcMar>
              <w:top w:w="80" w:type="dxa"/>
              <w:left w:w="120" w:type="dxa"/>
              <w:bottom w:w="80" w:type="dxa"/>
              <w:right w:w="120" w:type="dxa"/>
            </w:tcMar>
            <w:vAlign w:val="center"/>
          </w:tcPr>
          <w:p w14:paraId="1063A199" w14:textId="77777777" w:rsidR="007927B7" w:rsidRPr="00E546C7" w:rsidRDefault="007927B7" w:rsidP="00B11AF1">
            <w:pPr>
              <w:pStyle w:val="TableText"/>
              <w:keepNext/>
              <w:jc w:val="center"/>
              <w:rPr>
                <w:rFonts w:cs="Times New Roman"/>
              </w:rPr>
            </w:pPr>
            <w:r w:rsidRPr="00E546C7">
              <w:rPr>
                <w:rFonts w:eastAsia="Times New Roman" w:cs="Times New Roman"/>
                <w:sz w:val="18"/>
              </w:rPr>
              <w:t>1.02</w:t>
            </w:r>
          </w:p>
        </w:tc>
        <w:tc>
          <w:tcPr>
            <w:tcW w:w="2240" w:type="dxa"/>
            <w:shd w:val="clear" w:color="auto" w:fill="F2F4F7"/>
            <w:tcMar>
              <w:top w:w="80" w:type="dxa"/>
              <w:left w:w="120" w:type="dxa"/>
              <w:bottom w:w="80" w:type="dxa"/>
              <w:right w:w="120" w:type="dxa"/>
            </w:tcMar>
            <w:vAlign w:val="center"/>
          </w:tcPr>
          <w:p w14:paraId="593B3223" w14:textId="77777777" w:rsidR="007927B7" w:rsidRPr="00E546C7" w:rsidRDefault="007927B7" w:rsidP="00B11AF1">
            <w:pPr>
              <w:pStyle w:val="TableText"/>
              <w:keepNext/>
              <w:jc w:val="center"/>
              <w:rPr>
                <w:rFonts w:cs="Times New Roman"/>
              </w:rPr>
            </w:pPr>
            <w:r w:rsidRPr="00E546C7">
              <w:rPr>
                <w:rFonts w:eastAsia="Times New Roman" w:cs="Times New Roman"/>
                <w:sz w:val="18"/>
              </w:rPr>
              <w:t>78%</w:t>
            </w:r>
          </w:p>
        </w:tc>
      </w:tr>
    </w:tbl>
    <w:p w14:paraId="3458145A" w14:textId="77777777" w:rsidR="007927B7" w:rsidRPr="00E546C7" w:rsidRDefault="007927B7" w:rsidP="007927B7">
      <w:pPr>
        <w:pStyle w:val="SourceNote"/>
        <w:rPr>
          <w:rFonts w:cs="Times New Roman"/>
        </w:rPr>
      </w:pPr>
      <w:r w:rsidRPr="00E546C7">
        <w:rPr>
          <w:rFonts w:eastAsia="Times New Roman" w:cs="Times New Roman"/>
        </w:rPr>
        <w:t>Source: Author’s analysis of survey data (n = 50). Scale: 1 = strongly disagree; 5 = strongly agree.</w:t>
      </w:r>
    </w:p>
    <w:p w14:paraId="3211803C" w14:textId="77777777" w:rsidR="007927B7" w:rsidRPr="00E546C7" w:rsidRDefault="007927B7" w:rsidP="007927B7">
      <w:pPr>
        <w:pStyle w:val="Caption"/>
        <w:jc w:val="left"/>
        <w:rPr>
          <w:rFonts w:cs="Times New Roman"/>
        </w:rPr>
      </w:pPr>
      <w:r w:rsidRPr="00E546C7">
        <w:rPr>
          <w:rFonts w:eastAsia="Times New Roman" w:cs="Times New Roman"/>
          <w:color w:val="1F2933"/>
        </w:rPr>
        <w:t>Table 4.3: Reliability and Within-Construct Association</w:t>
      </w:r>
    </w:p>
    <w:tbl>
      <w:tblPr>
        <w:tblStyle w:val="TableGrid"/>
        <w:tblW w:w="9020" w:type="dxa"/>
        <w:tblInd w:w="120" w:type="dxa"/>
        <w:tblLayout w:type="fixed"/>
        <w:tblLook w:val="04A0" w:firstRow="1" w:lastRow="0" w:firstColumn="1" w:lastColumn="0" w:noHBand="0" w:noVBand="1"/>
      </w:tblPr>
      <w:tblGrid>
        <w:gridCol w:w="2000"/>
        <w:gridCol w:w="1100"/>
        <w:gridCol w:w="1500"/>
        <w:gridCol w:w="1200"/>
        <w:gridCol w:w="3220"/>
      </w:tblGrid>
      <w:tr w:rsidR="007927B7" w:rsidRPr="00E546C7" w14:paraId="7F1A634C" w14:textId="77777777" w:rsidTr="00B11AF1">
        <w:trPr>
          <w:cantSplit/>
          <w:tblHeader/>
        </w:trPr>
        <w:tc>
          <w:tcPr>
            <w:tcW w:w="2000" w:type="dxa"/>
            <w:shd w:val="clear" w:color="auto" w:fill="17365D"/>
            <w:tcMar>
              <w:top w:w="80" w:type="dxa"/>
              <w:left w:w="120" w:type="dxa"/>
              <w:bottom w:w="80" w:type="dxa"/>
              <w:right w:w="120" w:type="dxa"/>
            </w:tcMar>
            <w:vAlign w:val="center"/>
          </w:tcPr>
          <w:p w14:paraId="647158D5" w14:textId="77777777" w:rsidR="007927B7" w:rsidRPr="00E546C7" w:rsidRDefault="007927B7" w:rsidP="00B11AF1">
            <w:pPr>
              <w:pStyle w:val="TableHeader"/>
              <w:keepNext/>
              <w:rPr>
                <w:rFonts w:cs="Times New Roman"/>
              </w:rPr>
            </w:pPr>
            <w:r w:rsidRPr="00E546C7">
              <w:rPr>
                <w:rFonts w:eastAsia="Times New Roman" w:cs="Times New Roman"/>
                <w:b/>
                <w:sz w:val="18"/>
              </w:rPr>
              <w:t>Scale</w:t>
            </w:r>
          </w:p>
        </w:tc>
        <w:tc>
          <w:tcPr>
            <w:tcW w:w="1100" w:type="dxa"/>
            <w:shd w:val="clear" w:color="auto" w:fill="17365D"/>
            <w:tcMar>
              <w:top w:w="80" w:type="dxa"/>
              <w:left w:w="120" w:type="dxa"/>
              <w:bottom w:w="80" w:type="dxa"/>
              <w:right w:w="120" w:type="dxa"/>
            </w:tcMar>
            <w:vAlign w:val="center"/>
          </w:tcPr>
          <w:p w14:paraId="6B69D7D1" w14:textId="77777777" w:rsidR="007927B7" w:rsidRPr="00E546C7" w:rsidRDefault="007927B7" w:rsidP="00B11AF1">
            <w:pPr>
              <w:pStyle w:val="TableHeader"/>
              <w:keepNext/>
              <w:rPr>
                <w:rFonts w:cs="Times New Roman"/>
              </w:rPr>
            </w:pPr>
            <w:r w:rsidRPr="00E546C7">
              <w:rPr>
                <w:rFonts w:eastAsia="Times New Roman" w:cs="Times New Roman"/>
                <w:b/>
                <w:sz w:val="18"/>
              </w:rPr>
              <w:t>Items</w:t>
            </w:r>
          </w:p>
        </w:tc>
        <w:tc>
          <w:tcPr>
            <w:tcW w:w="1500" w:type="dxa"/>
            <w:shd w:val="clear" w:color="auto" w:fill="17365D"/>
            <w:tcMar>
              <w:top w:w="80" w:type="dxa"/>
              <w:left w:w="120" w:type="dxa"/>
              <w:bottom w:w="80" w:type="dxa"/>
              <w:right w:w="120" w:type="dxa"/>
            </w:tcMar>
            <w:vAlign w:val="center"/>
          </w:tcPr>
          <w:p w14:paraId="5689511B" w14:textId="77777777" w:rsidR="007927B7" w:rsidRPr="00E546C7" w:rsidRDefault="007927B7" w:rsidP="00B11AF1">
            <w:pPr>
              <w:pStyle w:val="TableHeader"/>
              <w:keepNext/>
              <w:rPr>
                <w:rFonts w:cs="Times New Roman"/>
              </w:rPr>
            </w:pPr>
            <w:r w:rsidRPr="00E546C7">
              <w:rPr>
                <w:rFonts w:eastAsia="Times New Roman" w:cs="Times New Roman"/>
                <w:b/>
                <w:sz w:val="18"/>
              </w:rPr>
              <w:t>Cronbach’s α</w:t>
            </w:r>
          </w:p>
        </w:tc>
        <w:tc>
          <w:tcPr>
            <w:tcW w:w="1200" w:type="dxa"/>
            <w:shd w:val="clear" w:color="auto" w:fill="17365D"/>
            <w:tcMar>
              <w:top w:w="80" w:type="dxa"/>
              <w:left w:w="120" w:type="dxa"/>
              <w:bottom w:w="80" w:type="dxa"/>
              <w:right w:w="120" w:type="dxa"/>
            </w:tcMar>
            <w:vAlign w:val="center"/>
          </w:tcPr>
          <w:p w14:paraId="6CF94D1A" w14:textId="77777777" w:rsidR="007927B7" w:rsidRPr="00E546C7" w:rsidRDefault="007927B7" w:rsidP="00B11AF1">
            <w:pPr>
              <w:pStyle w:val="TableHeader"/>
              <w:keepNext/>
              <w:rPr>
                <w:rFonts w:cs="Times New Roman"/>
              </w:rPr>
            </w:pPr>
            <w:r w:rsidRPr="00E546C7">
              <w:rPr>
                <w:rFonts w:eastAsia="Times New Roman" w:cs="Times New Roman"/>
                <w:b/>
                <w:sz w:val="18"/>
              </w:rPr>
              <w:t>Item ρ</w:t>
            </w:r>
          </w:p>
        </w:tc>
        <w:tc>
          <w:tcPr>
            <w:tcW w:w="3220" w:type="dxa"/>
            <w:shd w:val="clear" w:color="auto" w:fill="17365D"/>
            <w:tcMar>
              <w:top w:w="80" w:type="dxa"/>
              <w:left w:w="120" w:type="dxa"/>
              <w:bottom w:w="80" w:type="dxa"/>
              <w:right w:w="120" w:type="dxa"/>
            </w:tcMar>
            <w:vAlign w:val="center"/>
          </w:tcPr>
          <w:p w14:paraId="330FC58C" w14:textId="77777777" w:rsidR="007927B7" w:rsidRPr="00E546C7" w:rsidRDefault="007927B7" w:rsidP="00B11AF1">
            <w:pPr>
              <w:pStyle w:val="TableHeader"/>
              <w:keepNext/>
              <w:rPr>
                <w:rFonts w:cs="Times New Roman"/>
              </w:rPr>
            </w:pPr>
            <w:r w:rsidRPr="00E546C7">
              <w:rPr>
                <w:rFonts w:eastAsia="Times New Roman" w:cs="Times New Roman"/>
                <w:b/>
                <w:sz w:val="18"/>
              </w:rPr>
              <w:t>Judgement</w:t>
            </w:r>
          </w:p>
        </w:tc>
      </w:tr>
      <w:tr w:rsidR="007927B7" w:rsidRPr="00E546C7" w14:paraId="1F6F61C9" w14:textId="77777777" w:rsidTr="00B11AF1">
        <w:trPr>
          <w:cantSplit/>
        </w:trPr>
        <w:tc>
          <w:tcPr>
            <w:tcW w:w="2000" w:type="dxa"/>
            <w:tcMar>
              <w:top w:w="80" w:type="dxa"/>
              <w:left w:w="120" w:type="dxa"/>
              <w:bottom w:w="80" w:type="dxa"/>
              <w:right w:w="120" w:type="dxa"/>
            </w:tcMar>
            <w:vAlign w:val="center"/>
          </w:tcPr>
          <w:p w14:paraId="326059D7" w14:textId="77777777" w:rsidR="007927B7" w:rsidRPr="00E546C7" w:rsidRDefault="007927B7" w:rsidP="00B11AF1">
            <w:pPr>
              <w:pStyle w:val="TableText"/>
              <w:keepNext/>
              <w:rPr>
                <w:rFonts w:cs="Times New Roman"/>
              </w:rPr>
            </w:pPr>
            <w:r w:rsidRPr="00E546C7">
              <w:rPr>
                <w:rFonts w:eastAsia="Times New Roman" w:cs="Times New Roman"/>
                <w:sz w:val="18"/>
              </w:rPr>
              <w:t>Perceived IMC</w:t>
            </w:r>
          </w:p>
        </w:tc>
        <w:tc>
          <w:tcPr>
            <w:tcW w:w="1100" w:type="dxa"/>
            <w:tcMar>
              <w:top w:w="80" w:type="dxa"/>
              <w:left w:w="120" w:type="dxa"/>
              <w:bottom w:w="80" w:type="dxa"/>
              <w:right w:w="120" w:type="dxa"/>
            </w:tcMar>
            <w:vAlign w:val="center"/>
          </w:tcPr>
          <w:p w14:paraId="356350EB" w14:textId="77777777" w:rsidR="007927B7" w:rsidRPr="00E546C7" w:rsidRDefault="007927B7" w:rsidP="00B11AF1">
            <w:pPr>
              <w:pStyle w:val="TableText"/>
              <w:keepNext/>
              <w:jc w:val="center"/>
              <w:rPr>
                <w:rFonts w:cs="Times New Roman"/>
              </w:rPr>
            </w:pPr>
            <w:r w:rsidRPr="00E546C7">
              <w:rPr>
                <w:rFonts w:eastAsia="Times New Roman" w:cs="Times New Roman"/>
                <w:sz w:val="18"/>
              </w:rPr>
              <w:t>Q3, Q4</w:t>
            </w:r>
          </w:p>
        </w:tc>
        <w:tc>
          <w:tcPr>
            <w:tcW w:w="1500" w:type="dxa"/>
            <w:tcMar>
              <w:top w:w="80" w:type="dxa"/>
              <w:left w:w="120" w:type="dxa"/>
              <w:bottom w:w="80" w:type="dxa"/>
              <w:right w:w="120" w:type="dxa"/>
            </w:tcMar>
            <w:vAlign w:val="center"/>
          </w:tcPr>
          <w:p w14:paraId="3E24099C" w14:textId="77777777" w:rsidR="007927B7" w:rsidRPr="00E546C7" w:rsidRDefault="007927B7" w:rsidP="00B11AF1">
            <w:pPr>
              <w:pStyle w:val="TableText"/>
              <w:keepNext/>
              <w:jc w:val="center"/>
              <w:rPr>
                <w:rFonts w:cs="Times New Roman"/>
              </w:rPr>
            </w:pPr>
            <w:r w:rsidRPr="00E546C7">
              <w:rPr>
                <w:rFonts w:eastAsia="Times New Roman" w:cs="Times New Roman"/>
                <w:sz w:val="18"/>
              </w:rPr>
              <w:t>0.643</w:t>
            </w:r>
          </w:p>
        </w:tc>
        <w:tc>
          <w:tcPr>
            <w:tcW w:w="1200" w:type="dxa"/>
            <w:tcMar>
              <w:top w:w="80" w:type="dxa"/>
              <w:left w:w="120" w:type="dxa"/>
              <w:bottom w:w="80" w:type="dxa"/>
              <w:right w:w="120" w:type="dxa"/>
            </w:tcMar>
            <w:vAlign w:val="center"/>
          </w:tcPr>
          <w:p w14:paraId="07916F08" w14:textId="77777777" w:rsidR="007927B7" w:rsidRPr="00E546C7" w:rsidRDefault="007927B7" w:rsidP="00B11AF1">
            <w:pPr>
              <w:pStyle w:val="TableText"/>
              <w:keepNext/>
              <w:jc w:val="center"/>
              <w:rPr>
                <w:rFonts w:cs="Times New Roman"/>
              </w:rPr>
            </w:pPr>
            <w:r w:rsidRPr="00E546C7">
              <w:rPr>
                <w:rFonts w:eastAsia="Times New Roman" w:cs="Times New Roman"/>
                <w:sz w:val="18"/>
              </w:rPr>
              <w:t>0.465</w:t>
            </w:r>
          </w:p>
        </w:tc>
        <w:tc>
          <w:tcPr>
            <w:tcW w:w="3220" w:type="dxa"/>
            <w:tcMar>
              <w:top w:w="80" w:type="dxa"/>
              <w:left w:w="120" w:type="dxa"/>
              <w:bottom w:w="80" w:type="dxa"/>
              <w:right w:w="120" w:type="dxa"/>
            </w:tcMar>
            <w:vAlign w:val="center"/>
          </w:tcPr>
          <w:p w14:paraId="715D32B6" w14:textId="77777777" w:rsidR="007927B7" w:rsidRPr="00E546C7" w:rsidRDefault="007927B7" w:rsidP="00B11AF1">
            <w:pPr>
              <w:pStyle w:val="TableText"/>
              <w:keepNext/>
              <w:rPr>
                <w:rFonts w:cs="Times New Roman"/>
              </w:rPr>
            </w:pPr>
            <w:r w:rsidRPr="00E546C7">
              <w:rPr>
                <w:rFonts w:eastAsia="Times New Roman" w:cs="Times New Roman"/>
                <w:sz w:val="18"/>
              </w:rPr>
              <w:t>Moderate; interpret cautiously</w:t>
            </w:r>
          </w:p>
        </w:tc>
      </w:tr>
      <w:tr w:rsidR="007927B7" w:rsidRPr="00E546C7" w14:paraId="7E3E4531" w14:textId="77777777" w:rsidTr="00B11AF1">
        <w:trPr>
          <w:cantSplit/>
        </w:trPr>
        <w:tc>
          <w:tcPr>
            <w:tcW w:w="2000" w:type="dxa"/>
            <w:shd w:val="clear" w:color="auto" w:fill="F2F4F7"/>
            <w:tcMar>
              <w:top w:w="80" w:type="dxa"/>
              <w:left w:w="120" w:type="dxa"/>
              <w:bottom w:w="80" w:type="dxa"/>
              <w:right w:w="120" w:type="dxa"/>
            </w:tcMar>
            <w:vAlign w:val="center"/>
          </w:tcPr>
          <w:p w14:paraId="0F0724A1" w14:textId="77777777" w:rsidR="007927B7" w:rsidRPr="00E546C7" w:rsidRDefault="007927B7" w:rsidP="00B11AF1">
            <w:pPr>
              <w:pStyle w:val="TableText"/>
              <w:keepNext/>
              <w:rPr>
                <w:rFonts w:cs="Times New Roman"/>
              </w:rPr>
            </w:pPr>
            <w:r w:rsidRPr="00E546C7">
              <w:rPr>
                <w:rFonts w:eastAsia="Times New Roman" w:cs="Times New Roman"/>
                <w:sz w:val="18"/>
              </w:rPr>
              <w:t>Attitude–purchase</w:t>
            </w:r>
          </w:p>
        </w:tc>
        <w:tc>
          <w:tcPr>
            <w:tcW w:w="1100" w:type="dxa"/>
            <w:shd w:val="clear" w:color="auto" w:fill="F2F4F7"/>
            <w:tcMar>
              <w:top w:w="80" w:type="dxa"/>
              <w:left w:w="120" w:type="dxa"/>
              <w:bottom w:w="80" w:type="dxa"/>
              <w:right w:w="120" w:type="dxa"/>
            </w:tcMar>
            <w:vAlign w:val="center"/>
          </w:tcPr>
          <w:p w14:paraId="2014E857" w14:textId="77777777" w:rsidR="007927B7" w:rsidRPr="00E546C7" w:rsidRDefault="007927B7" w:rsidP="00B11AF1">
            <w:pPr>
              <w:pStyle w:val="TableText"/>
              <w:keepNext/>
              <w:jc w:val="center"/>
              <w:rPr>
                <w:rFonts w:cs="Times New Roman"/>
              </w:rPr>
            </w:pPr>
            <w:r w:rsidRPr="00E546C7">
              <w:rPr>
                <w:rFonts w:eastAsia="Times New Roman" w:cs="Times New Roman"/>
                <w:sz w:val="18"/>
              </w:rPr>
              <w:t>Q5, Q6</w:t>
            </w:r>
          </w:p>
        </w:tc>
        <w:tc>
          <w:tcPr>
            <w:tcW w:w="1500" w:type="dxa"/>
            <w:shd w:val="clear" w:color="auto" w:fill="F2F4F7"/>
            <w:tcMar>
              <w:top w:w="80" w:type="dxa"/>
              <w:left w:w="120" w:type="dxa"/>
              <w:bottom w:w="80" w:type="dxa"/>
              <w:right w:w="120" w:type="dxa"/>
            </w:tcMar>
            <w:vAlign w:val="center"/>
          </w:tcPr>
          <w:p w14:paraId="5D221FC1" w14:textId="77777777" w:rsidR="007927B7" w:rsidRPr="00E546C7" w:rsidRDefault="007927B7" w:rsidP="00B11AF1">
            <w:pPr>
              <w:pStyle w:val="TableText"/>
              <w:keepNext/>
              <w:jc w:val="center"/>
              <w:rPr>
                <w:rFonts w:cs="Times New Roman"/>
              </w:rPr>
            </w:pPr>
            <w:r w:rsidRPr="00E546C7">
              <w:rPr>
                <w:rFonts w:eastAsia="Times New Roman" w:cs="Times New Roman"/>
                <w:sz w:val="18"/>
              </w:rPr>
              <w:t>0.713</w:t>
            </w:r>
          </w:p>
        </w:tc>
        <w:tc>
          <w:tcPr>
            <w:tcW w:w="1200" w:type="dxa"/>
            <w:shd w:val="clear" w:color="auto" w:fill="F2F4F7"/>
            <w:tcMar>
              <w:top w:w="80" w:type="dxa"/>
              <w:left w:w="120" w:type="dxa"/>
              <w:bottom w:w="80" w:type="dxa"/>
              <w:right w:w="120" w:type="dxa"/>
            </w:tcMar>
            <w:vAlign w:val="center"/>
          </w:tcPr>
          <w:p w14:paraId="01291A44" w14:textId="77777777" w:rsidR="007927B7" w:rsidRPr="00E546C7" w:rsidRDefault="007927B7" w:rsidP="00B11AF1">
            <w:pPr>
              <w:pStyle w:val="TableText"/>
              <w:keepNext/>
              <w:jc w:val="center"/>
              <w:rPr>
                <w:rFonts w:cs="Times New Roman"/>
              </w:rPr>
            </w:pPr>
            <w:r w:rsidRPr="00E546C7">
              <w:rPr>
                <w:rFonts w:eastAsia="Times New Roman" w:cs="Times New Roman"/>
                <w:sz w:val="18"/>
              </w:rPr>
              <w:t>0.544</w:t>
            </w:r>
          </w:p>
        </w:tc>
        <w:tc>
          <w:tcPr>
            <w:tcW w:w="3220" w:type="dxa"/>
            <w:shd w:val="clear" w:color="auto" w:fill="F2F4F7"/>
            <w:tcMar>
              <w:top w:w="80" w:type="dxa"/>
              <w:left w:w="120" w:type="dxa"/>
              <w:bottom w:w="80" w:type="dxa"/>
              <w:right w:w="120" w:type="dxa"/>
            </w:tcMar>
            <w:vAlign w:val="center"/>
          </w:tcPr>
          <w:p w14:paraId="20E14C71" w14:textId="77777777" w:rsidR="007927B7" w:rsidRPr="00E546C7" w:rsidRDefault="007927B7" w:rsidP="00B11AF1">
            <w:pPr>
              <w:pStyle w:val="TableText"/>
              <w:keepNext/>
              <w:rPr>
                <w:rFonts w:cs="Times New Roman"/>
              </w:rPr>
            </w:pPr>
            <w:r w:rsidRPr="00E546C7">
              <w:rPr>
                <w:rFonts w:eastAsia="Times New Roman" w:cs="Times New Roman"/>
                <w:sz w:val="18"/>
              </w:rPr>
              <w:t>Acceptable for two items</w:t>
            </w:r>
          </w:p>
        </w:tc>
      </w:tr>
      <w:tr w:rsidR="007927B7" w:rsidRPr="00E546C7" w14:paraId="530F53A1" w14:textId="77777777" w:rsidTr="00B11AF1">
        <w:trPr>
          <w:cantSplit/>
        </w:trPr>
        <w:tc>
          <w:tcPr>
            <w:tcW w:w="2000" w:type="dxa"/>
            <w:tcMar>
              <w:top w:w="80" w:type="dxa"/>
              <w:left w:w="120" w:type="dxa"/>
              <w:bottom w:w="80" w:type="dxa"/>
              <w:right w:w="120" w:type="dxa"/>
            </w:tcMar>
            <w:vAlign w:val="center"/>
          </w:tcPr>
          <w:p w14:paraId="35F172B5" w14:textId="77777777" w:rsidR="007927B7" w:rsidRPr="00E546C7" w:rsidRDefault="007927B7" w:rsidP="00B11AF1">
            <w:pPr>
              <w:pStyle w:val="TableText"/>
              <w:keepNext/>
              <w:rPr>
                <w:rFonts w:cs="Times New Roman"/>
              </w:rPr>
            </w:pPr>
            <w:r w:rsidRPr="00E546C7">
              <w:rPr>
                <w:rFonts w:eastAsia="Times New Roman" w:cs="Times New Roman"/>
                <w:sz w:val="18"/>
              </w:rPr>
              <w:t>Brand loyalty</w:t>
            </w:r>
          </w:p>
        </w:tc>
        <w:tc>
          <w:tcPr>
            <w:tcW w:w="1100" w:type="dxa"/>
            <w:tcMar>
              <w:top w:w="80" w:type="dxa"/>
              <w:left w:w="120" w:type="dxa"/>
              <w:bottom w:w="80" w:type="dxa"/>
              <w:right w:w="120" w:type="dxa"/>
            </w:tcMar>
            <w:vAlign w:val="center"/>
          </w:tcPr>
          <w:p w14:paraId="0ACA5C41" w14:textId="77777777" w:rsidR="007927B7" w:rsidRPr="00E546C7" w:rsidRDefault="007927B7" w:rsidP="00B11AF1">
            <w:pPr>
              <w:pStyle w:val="TableText"/>
              <w:keepNext/>
              <w:jc w:val="center"/>
              <w:rPr>
                <w:rFonts w:cs="Times New Roman"/>
              </w:rPr>
            </w:pPr>
            <w:r w:rsidRPr="00E546C7">
              <w:rPr>
                <w:rFonts w:eastAsia="Times New Roman" w:cs="Times New Roman"/>
                <w:sz w:val="18"/>
              </w:rPr>
              <w:t>Q10</w:t>
            </w:r>
          </w:p>
        </w:tc>
        <w:tc>
          <w:tcPr>
            <w:tcW w:w="1500" w:type="dxa"/>
            <w:tcMar>
              <w:top w:w="80" w:type="dxa"/>
              <w:left w:w="120" w:type="dxa"/>
              <w:bottom w:w="80" w:type="dxa"/>
              <w:right w:w="120" w:type="dxa"/>
            </w:tcMar>
            <w:vAlign w:val="center"/>
          </w:tcPr>
          <w:p w14:paraId="1041DC91" w14:textId="77777777" w:rsidR="007927B7" w:rsidRPr="00E546C7" w:rsidRDefault="007927B7" w:rsidP="00B11AF1">
            <w:pPr>
              <w:pStyle w:val="TableText"/>
              <w:keepNext/>
              <w:jc w:val="center"/>
              <w:rPr>
                <w:rFonts w:cs="Times New Roman"/>
              </w:rPr>
            </w:pPr>
            <w:r w:rsidRPr="00E546C7">
              <w:rPr>
                <w:rFonts w:eastAsia="Times New Roman" w:cs="Times New Roman"/>
                <w:sz w:val="18"/>
              </w:rPr>
              <w:t>Not estimable</w:t>
            </w:r>
          </w:p>
        </w:tc>
        <w:tc>
          <w:tcPr>
            <w:tcW w:w="1200" w:type="dxa"/>
            <w:tcMar>
              <w:top w:w="80" w:type="dxa"/>
              <w:left w:w="120" w:type="dxa"/>
              <w:bottom w:w="80" w:type="dxa"/>
              <w:right w:w="120" w:type="dxa"/>
            </w:tcMar>
            <w:vAlign w:val="center"/>
          </w:tcPr>
          <w:p w14:paraId="49B76DEF" w14:textId="77777777" w:rsidR="007927B7" w:rsidRPr="00E546C7" w:rsidRDefault="007927B7" w:rsidP="00B11AF1">
            <w:pPr>
              <w:pStyle w:val="TableText"/>
              <w:keepNext/>
              <w:jc w:val="center"/>
              <w:rPr>
                <w:rFonts w:cs="Times New Roman"/>
              </w:rPr>
            </w:pPr>
            <w:r w:rsidRPr="00E546C7">
              <w:rPr>
                <w:rFonts w:eastAsia="Times New Roman" w:cs="Times New Roman"/>
                <w:sz w:val="18"/>
              </w:rPr>
              <w:t>Not applicable</w:t>
            </w:r>
          </w:p>
        </w:tc>
        <w:tc>
          <w:tcPr>
            <w:tcW w:w="3220" w:type="dxa"/>
            <w:tcMar>
              <w:top w:w="80" w:type="dxa"/>
              <w:left w:w="120" w:type="dxa"/>
              <w:bottom w:w="80" w:type="dxa"/>
              <w:right w:w="120" w:type="dxa"/>
            </w:tcMar>
            <w:vAlign w:val="center"/>
          </w:tcPr>
          <w:p w14:paraId="1D0139B3" w14:textId="77777777" w:rsidR="007927B7" w:rsidRPr="00E546C7" w:rsidRDefault="007927B7" w:rsidP="00B11AF1">
            <w:pPr>
              <w:pStyle w:val="TableText"/>
              <w:keepNext/>
              <w:rPr>
                <w:rFonts w:cs="Times New Roman"/>
              </w:rPr>
            </w:pPr>
            <w:r w:rsidRPr="00E546C7">
              <w:rPr>
                <w:rFonts w:eastAsia="Times New Roman" w:cs="Times New Roman"/>
                <w:sz w:val="18"/>
              </w:rPr>
              <w:t>Single-item limitation</w:t>
            </w:r>
          </w:p>
        </w:tc>
      </w:tr>
    </w:tbl>
    <w:p w14:paraId="0E082BE5" w14:textId="77777777" w:rsidR="007927B7" w:rsidRPr="00E546C7" w:rsidRDefault="007927B7" w:rsidP="007927B7">
      <w:pPr>
        <w:pStyle w:val="SourceNote"/>
        <w:rPr>
          <w:rFonts w:cs="Times New Roman"/>
        </w:rPr>
      </w:pPr>
      <w:r w:rsidRPr="00E546C7">
        <w:rPr>
          <w:rFonts w:eastAsia="Times New Roman" w:cs="Times New Roman"/>
        </w:rPr>
        <w:t>Source: Author’s analysis of survey data (n = 50).</w:t>
      </w:r>
    </w:p>
    <w:p w14:paraId="6A88B2F3" w14:textId="608BC4D6" w:rsidR="007927B7" w:rsidRPr="00E546C7" w:rsidRDefault="007927B7" w:rsidP="007927B7">
      <w:r w:rsidRPr="00E546C7">
        <w:rPr>
          <w:rFonts w:eastAsiaTheme="majorEastAsia"/>
        </w:rPr>
        <w:t>The two items measure perceived-IMC and achieved a Cronbach's alpha of .643.</w:t>
      </w:r>
      <w:r w:rsidRPr="00E546C7">
        <w:t xml:space="preserve"> </w:t>
      </w:r>
      <w:r w:rsidRPr="00E546C7">
        <w:rPr>
          <w:rFonts w:eastAsiaTheme="majorEastAsia"/>
        </w:rPr>
        <w:t>This suggests moderate coherence, but not up to the conventional level of .70, and consistency and the quality item of the bundle should not be confused as two ways of measuring the same perfectly unidimensional construct.</w:t>
      </w:r>
      <w:r w:rsidRPr="00E546C7">
        <w:t xml:space="preserve"> Their Spearman association was moderate and significant, rho = .465, p &lt; .001, with a bootstrap 95% confidence interval from .198 to .683.  </w:t>
      </w:r>
      <w:r w:rsidRPr="00E546C7">
        <w:rPr>
          <w:rFonts w:eastAsiaTheme="majorEastAsia"/>
        </w:rPr>
        <w:t>Attitude–purchase composite met the criterion of defensibility more adequately, with an alpha of .713</w:t>
      </w:r>
      <w:r w:rsidRPr="00E546C7">
        <w:t>,</w:t>
      </w:r>
      <w:r w:rsidRPr="00E546C7">
        <w:rPr>
          <w:rFonts w:eastAsiaTheme="majorEastAsia"/>
        </w:rPr>
        <w:t xml:space="preserve"> and the items were correlated at rho = .544, p &lt; .001.</w:t>
      </w:r>
      <w:r w:rsidRPr="00E546C7">
        <w:t xml:space="preserve"> </w:t>
      </w:r>
      <w:r w:rsidRPr="00E546C7">
        <w:rPr>
          <w:rFonts w:eastAsiaTheme="majorEastAsia"/>
        </w:rPr>
        <w:t>These results support its use for H1, but give separate attitude and intention results.</w:t>
      </w:r>
      <w:r w:rsidRPr="00E546C7">
        <w:t xml:space="preserve"> </w:t>
      </w:r>
      <w:r w:rsidRPr="00E546C7">
        <w:rPr>
          <w:rFonts w:eastAsiaTheme="majorEastAsia"/>
        </w:rPr>
        <w:t>No alpha is reported for loyalty as Question 10 is a single item</w:t>
      </w:r>
      <w:r w:rsidR="00207B08" w:rsidRPr="00E546C7">
        <w:rPr>
          <w:rFonts w:eastAsiaTheme="majorEastAsia"/>
        </w:rPr>
        <w:t xml:space="preserve"> </w:t>
      </w:r>
      <w:r w:rsidR="00207B08" w:rsidRPr="00E546C7">
        <w:rPr>
          <w:color w:val="000000"/>
        </w:rPr>
        <w:t>(</w:t>
      </w:r>
      <w:proofErr w:type="spellStart"/>
      <w:r w:rsidR="00207B08" w:rsidRPr="00E546C7">
        <w:rPr>
          <w:color w:val="000000"/>
        </w:rPr>
        <w:t>Suay</w:t>
      </w:r>
      <w:proofErr w:type="spellEnd"/>
      <w:r w:rsidR="00207B08" w:rsidRPr="00E546C7">
        <w:rPr>
          <w:color w:val="000000"/>
        </w:rPr>
        <w:t>-Pérez et al., 2022)</w:t>
      </w:r>
      <w:r w:rsidRPr="00E546C7">
        <w:rPr>
          <w:rFonts w:eastAsiaTheme="majorEastAsia"/>
        </w:rPr>
        <w:t>.</w:t>
      </w:r>
      <w:r w:rsidRPr="00E546C7">
        <w:t xml:space="preserve"> </w:t>
      </w:r>
      <w:r w:rsidRPr="00E546C7">
        <w:rPr>
          <w:rFonts w:eastAsiaTheme="majorEastAsia"/>
        </w:rPr>
        <w:t>The six Likert questions were not combined with one another and placed in a single scale since they are predictor and outcomes themselves; otherwise, this would lead to an apparent oversaturated dome of reliability despite loss of the conceptual distinctions defined in Chapter 2.</w:t>
      </w:r>
    </w:p>
    <w:p w14:paraId="19460E6A" w14:textId="77777777" w:rsidR="007927B7" w:rsidRPr="00E546C7" w:rsidRDefault="007927B7" w:rsidP="007927B7">
      <w:pPr>
        <w:pStyle w:val="Heading2"/>
        <w:rPr>
          <w:rFonts w:cs="Times New Roman"/>
        </w:rPr>
      </w:pPr>
      <w:bookmarkStart w:id="63" w:name="_Toc239819719"/>
      <w:r w:rsidRPr="00E546C7">
        <w:rPr>
          <w:rFonts w:cs="Times New Roman"/>
        </w:rPr>
        <w:t>4.14 Hypothesis Testing</w:t>
      </w:r>
      <w:bookmarkEnd w:id="63"/>
    </w:p>
    <w:p w14:paraId="2FA3AED5" w14:textId="77777777" w:rsidR="007927B7" w:rsidRPr="00E546C7" w:rsidRDefault="007927B7" w:rsidP="007927B7">
      <w:pPr>
        <w:pStyle w:val="Caption"/>
        <w:jc w:val="left"/>
        <w:rPr>
          <w:rFonts w:cs="Times New Roman"/>
        </w:rPr>
      </w:pPr>
      <w:r w:rsidRPr="00E546C7">
        <w:rPr>
          <w:rFonts w:eastAsia="Times New Roman" w:cs="Times New Roman"/>
          <w:color w:val="1F2933"/>
        </w:rPr>
        <w:t>Table 4.4: Spearman Correlations with Perceived IMC</w:t>
      </w:r>
    </w:p>
    <w:tbl>
      <w:tblPr>
        <w:tblStyle w:val="TableGrid"/>
        <w:tblW w:w="9020" w:type="dxa"/>
        <w:tblInd w:w="120" w:type="dxa"/>
        <w:tblLayout w:type="fixed"/>
        <w:tblLook w:val="04A0" w:firstRow="1" w:lastRow="0" w:firstColumn="1" w:lastColumn="0" w:noHBand="0" w:noVBand="1"/>
      </w:tblPr>
      <w:tblGrid>
        <w:gridCol w:w="3000"/>
        <w:gridCol w:w="900"/>
        <w:gridCol w:w="1000"/>
        <w:gridCol w:w="2180"/>
        <w:gridCol w:w="1940"/>
      </w:tblGrid>
      <w:tr w:rsidR="007927B7" w:rsidRPr="00E546C7" w14:paraId="3D8C19BA" w14:textId="77777777" w:rsidTr="00B11AF1">
        <w:trPr>
          <w:cantSplit/>
          <w:tblHeader/>
        </w:trPr>
        <w:tc>
          <w:tcPr>
            <w:tcW w:w="3000" w:type="dxa"/>
            <w:shd w:val="clear" w:color="auto" w:fill="17365D"/>
            <w:tcMar>
              <w:top w:w="80" w:type="dxa"/>
              <w:left w:w="120" w:type="dxa"/>
              <w:bottom w:w="80" w:type="dxa"/>
              <w:right w:w="120" w:type="dxa"/>
            </w:tcMar>
            <w:vAlign w:val="center"/>
          </w:tcPr>
          <w:p w14:paraId="3576EF4E" w14:textId="77777777" w:rsidR="007927B7" w:rsidRPr="00E546C7" w:rsidRDefault="007927B7" w:rsidP="00B11AF1">
            <w:pPr>
              <w:pStyle w:val="TableHeader"/>
              <w:keepNext/>
              <w:rPr>
                <w:rFonts w:cs="Times New Roman"/>
              </w:rPr>
            </w:pPr>
            <w:r w:rsidRPr="00E546C7">
              <w:rPr>
                <w:rFonts w:eastAsia="Times New Roman" w:cs="Times New Roman"/>
                <w:b/>
                <w:sz w:val="18"/>
              </w:rPr>
              <w:t>Outcome</w:t>
            </w:r>
          </w:p>
        </w:tc>
        <w:tc>
          <w:tcPr>
            <w:tcW w:w="900" w:type="dxa"/>
            <w:shd w:val="clear" w:color="auto" w:fill="17365D"/>
            <w:tcMar>
              <w:top w:w="80" w:type="dxa"/>
              <w:left w:w="120" w:type="dxa"/>
              <w:bottom w:w="80" w:type="dxa"/>
              <w:right w:w="120" w:type="dxa"/>
            </w:tcMar>
            <w:vAlign w:val="center"/>
          </w:tcPr>
          <w:p w14:paraId="2EC75994" w14:textId="77777777" w:rsidR="007927B7" w:rsidRPr="00E546C7" w:rsidRDefault="007927B7" w:rsidP="00B11AF1">
            <w:pPr>
              <w:pStyle w:val="TableHeader"/>
              <w:keepNext/>
              <w:rPr>
                <w:rFonts w:cs="Times New Roman"/>
              </w:rPr>
            </w:pPr>
            <w:r w:rsidRPr="00E546C7">
              <w:rPr>
                <w:rFonts w:eastAsia="Times New Roman" w:cs="Times New Roman"/>
                <w:b/>
                <w:sz w:val="18"/>
              </w:rPr>
              <w:t>ρ</w:t>
            </w:r>
          </w:p>
        </w:tc>
        <w:tc>
          <w:tcPr>
            <w:tcW w:w="1000" w:type="dxa"/>
            <w:shd w:val="clear" w:color="auto" w:fill="17365D"/>
            <w:tcMar>
              <w:top w:w="80" w:type="dxa"/>
              <w:left w:w="120" w:type="dxa"/>
              <w:bottom w:w="80" w:type="dxa"/>
              <w:right w:w="120" w:type="dxa"/>
            </w:tcMar>
            <w:vAlign w:val="center"/>
          </w:tcPr>
          <w:p w14:paraId="30C45F3A" w14:textId="77777777" w:rsidR="007927B7" w:rsidRPr="00E546C7" w:rsidRDefault="007927B7" w:rsidP="00B11AF1">
            <w:pPr>
              <w:pStyle w:val="TableHeader"/>
              <w:keepNext/>
              <w:rPr>
                <w:rFonts w:cs="Times New Roman"/>
              </w:rPr>
            </w:pPr>
            <w:r w:rsidRPr="00E546C7">
              <w:rPr>
                <w:rFonts w:eastAsia="Times New Roman" w:cs="Times New Roman"/>
                <w:b/>
                <w:sz w:val="18"/>
              </w:rPr>
              <w:t>p</w:t>
            </w:r>
          </w:p>
        </w:tc>
        <w:tc>
          <w:tcPr>
            <w:tcW w:w="2180" w:type="dxa"/>
            <w:shd w:val="clear" w:color="auto" w:fill="17365D"/>
            <w:tcMar>
              <w:top w:w="80" w:type="dxa"/>
              <w:left w:w="120" w:type="dxa"/>
              <w:bottom w:w="80" w:type="dxa"/>
              <w:right w:w="120" w:type="dxa"/>
            </w:tcMar>
            <w:vAlign w:val="center"/>
          </w:tcPr>
          <w:p w14:paraId="78861373" w14:textId="77777777" w:rsidR="007927B7" w:rsidRPr="00E546C7" w:rsidRDefault="007927B7" w:rsidP="00B11AF1">
            <w:pPr>
              <w:pStyle w:val="TableHeader"/>
              <w:keepNext/>
              <w:rPr>
                <w:rFonts w:cs="Times New Roman"/>
              </w:rPr>
            </w:pPr>
            <w:r w:rsidRPr="00E546C7">
              <w:rPr>
                <w:rFonts w:eastAsia="Times New Roman" w:cs="Times New Roman"/>
                <w:b/>
                <w:sz w:val="18"/>
              </w:rPr>
              <w:t>Bootstrap 95% CI</w:t>
            </w:r>
          </w:p>
        </w:tc>
        <w:tc>
          <w:tcPr>
            <w:tcW w:w="1940" w:type="dxa"/>
            <w:shd w:val="clear" w:color="auto" w:fill="17365D"/>
            <w:tcMar>
              <w:top w:w="80" w:type="dxa"/>
              <w:left w:w="120" w:type="dxa"/>
              <w:bottom w:w="80" w:type="dxa"/>
              <w:right w:w="120" w:type="dxa"/>
            </w:tcMar>
            <w:vAlign w:val="center"/>
          </w:tcPr>
          <w:p w14:paraId="4AA52BBF" w14:textId="77777777" w:rsidR="007927B7" w:rsidRPr="00E546C7" w:rsidRDefault="007927B7" w:rsidP="00B11AF1">
            <w:pPr>
              <w:pStyle w:val="TableHeader"/>
              <w:keepNext/>
              <w:rPr>
                <w:rFonts w:cs="Times New Roman"/>
              </w:rPr>
            </w:pPr>
            <w:r w:rsidRPr="00E546C7">
              <w:rPr>
                <w:rFonts w:eastAsia="Times New Roman" w:cs="Times New Roman"/>
                <w:b/>
                <w:sz w:val="18"/>
              </w:rPr>
              <w:t>Result</w:t>
            </w:r>
          </w:p>
        </w:tc>
      </w:tr>
      <w:tr w:rsidR="007927B7" w:rsidRPr="00E546C7" w14:paraId="6DF468DE" w14:textId="77777777" w:rsidTr="00B11AF1">
        <w:trPr>
          <w:cantSplit/>
        </w:trPr>
        <w:tc>
          <w:tcPr>
            <w:tcW w:w="3000" w:type="dxa"/>
            <w:tcMar>
              <w:top w:w="80" w:type="dxa"/>
              <w:left w:w="120" w:type="dxa"/>
              <w:bottom w:w="80" w:type="dxa"/>
              <w:right w:w="120" w:type="dxa"/>
            </w:tcMar>
            <w:vAlign w:val="center"/>
          </w:tcPr>
          <w:p w14:paraId="42C3B828" w14:textId="77777777" w:rsidR="007927B7" w:rsidRPr="00E546C7" w:rsidRDefault="007927B7" w:rsidP="00B11AF1">
            <w:pPr>
              <w:pStyle w:val="TableText"/>
              <w:keepNext/>
              <w:rPr>
                <w:rFonts w:cs="Times New Roman"/>
              </w:rPr>
            </w:pPr>
            <w:r w:rsidRPr="00E546C7">
              <w:rPr>
                <w:rFonts w:eastAsia="Times New Roman" w:cs="Times New Roman"/>
                <w:sz w:val="18"/>
              </w:rPr>
              <w:t>Attitude (Q5)</w:t>
            </w:r>
          </w:p>
        </w:tc>
        <w:tc>
          <w:tcPr>
            <w:tcW w:w="900" w:type="dxa"/>
            <w:tcMar>
              <w:top w:w="80" w:type="dxa"/>
              <w:left w:w="120" w:type="dxa"/>
              <w:bottom w:w="80" w:type="dxa"/>
              <w:right w:w="120" w:type="dxa"/>
            </w:tcMar>
            <w:vAlign w:val="center"/>
          </w:tcPr>
          <w:p w14:paraId="697CAA39" w14:textId="77777777" w:rsidR="007927B7" w:rsidRPr="00E546C7" w:rsidRDefault="007927B7" w:rsidP="00B11AF1">
            <w:pPr>
              <w:pStyle w:val="TableText"/>
              <w:keepNext/>
              <w:jc w:val="center"/>
              <w:rPr>
                <w:rFonts w:cs="Times New Roman"/>
              </w:rPr>
            </w:pPr>
            <w:r w:rsidRPr="00E546C7">
              <w:rPr>
                <w:rFonts w:eastAsia="Times New Roman" w:cs="Times New Roman"/>
                <w:sz w:val="18"/>
              </w:rPr>
              <w:t>0.523</w:t>
            </w:r>
          </w:p>
        </w:tc>
        <w:tc>
          <w:tcPr>
            <w:tcW w:w="1000" w:type="dxa"/>
            <w:tcMar>
              <w:top w:w="80" w:type="dxa"/>
              <w:left w:w="120" w:type="dxa"/>
              <w:bottom w:w="80" w:type="dxa"/>
              <w:right w:w="120" w:type="dxa"/>
            </w:tcMar>
            <w:vAlign w:val="center"/>
          </w:tcPr>
          <w:p w14:paraId="6E9B48C9" w14:textId="77777777" w:rsidR="007927B7" w:rsidRPr="00E546C7" w:rsidRDefault="007927B7" w:rsidP="00B11AF1">
            <w:pPr>
              <w:pStyle w:val="TableText"/>
              <w:keepNext/>
              <w:jc w:val="center"/>
              <w:rPr>
                <w:rFonts w:cs="Times New Roman"/>
              </w:rPr>
            </w:pPr>
            <w:r w:rsidRPr="00E546C7">
              <w:rPr>
                <w:rFonts w:eastAsia="Times New Roman" w:cs="Times New Roman"/>
                <w:sz w:val="18"/>
              </w:rPr>
              <w:t>&lt; .001</w:t>
            </w:r>
          </w:p>
        </w:tc>
        <w:tc>
          <w:tcPr>
            <w:tcW w:w="2180" w:type="dxa"/>
            <w:tcMar>
              <w:top w:w="80" w:type="dxa"/>
              <w:left w:w="120" w:type="dxa"/>
              <w:bottom w:w="80" w:type="dxa"/>
              <w:right w:w="120" w:type="dxa"/>
            </w:tcMar>
            <w:vAlign w:val="center"/>
          </w:tcPr>
          <w:p w14:paraId="56443F6E" w14:textId="77777777" w:rsidR="007927B7" w:rsidRPr="00E546C7" w:rsidRDefault="007927B7" w:rsidP="00B11AF1">
            <w:pPr>
              <w:pStyle w:val="TableText"/>
              <w:keepNext/>
              <w:jc w:val="center"/>
              <w:rPr>
                <w:rFonts w:cs="Times New Roman"/>
              </w:rPr>
            </w:pPr>
            <w:r w:rsidRPr="00E546C7">
              <w:rPr>
                <w:rFonts w:eastAsia="Times New Roman" w:cs="Times New Roman"/>
                <w:sz w:val="18"/>
              </w:rPr>
              <w:t>[0.281, 0.709]</w:t>
            </w:r>
          </w:p>
        </w:tc>
        <w:tc>
          <w:tcPr>
            <w:tcW w:w="1940" w:type="dxa"/>
            <w:tcMar>
              <w:top w:w="80" w:type="dxa"/>
              <w:left w:w="120" w:type="dxa"/>
              <w:bottom w:w="80" w:type="dxa"/>
              <w:right w:w="120" w:type="dxa"/>
            </w:tcMar>
            <w:vAlign w:val="center"/>
          </w:tcPr>
          <w:p w14:paraId="134234E8" w14:textId="77777777" w:rsidR="007927B7" w:rsidRPr="00E546C7" w:rsidRDefault="007927B7" w:rsidP="00B11AF1">
            <w:pPr>
              <w:pStyle w:val="TableText"/>
              <w:keepNext/>
              <w:jc w:val="center"/>
              <w:rPr>
                <w:rFonts w:cs="Times New Roman"/>
              </w:rPr>
            </w:pPr>
            <w:r w:rsidRPr="00E546C7">
              <w:rPr>
                <w:rFonts w:eastAsia="Times New Roman" w:cs="Times New Roman"/>
                <w:sz w:val="18"/>
              </w:rPr>
              <w:t>Significant</w:t>
            </w:r>
          </w:p>
        </w:tc>
      </w:tr>
      <w:tr w:rsidR="007927B7" w:rsidRPr="00E546C7" w14:paraId="60D7D097" w14:textId="77777777" w:rsidTr="00B11AF1">
        <w:trPr>
          <w:cantSplit/>
        </w:trPr>
        <w:tc>
          <w:tcPr>
            <w:tcW w:w="3000" w:type="dxa"/>
            <w:shd w:val="clear" w:color="auto" w:fill="F2F4F7"/>
            <w:tcMar>
              <w:top w:w="80" w:type="dxa"/>
              <w:left w:w="120" w:type="dxa"/>
              <w:bottom w:w="80" w:type="dxa"/>
              <w:right w:w="120" w:type="dxa"/>
            </w:tcMar>
            <w:vAlign w:val="center"/>
          </w:tcPr>
          <w:p w14:paraId="5467FC84" w14:textId="77777777" w:rsidR="007927B7" w:rsidRPr="00E546C7" w:rsidRDefault="007927B7" w:rsidP="00B11AF1">
            <w:pPr>
              <w:pStyle w:val="TableText"/>
              <w:keepNext/>
              <w:rPr>
                <w:rFonts w:cs="Times New Roman"/>
              </w:rPr>
            </w:pPr>
            <w:r w:rsidRPr="00E546C7">
              <w:rPr>
                <w:rFonts w:eastAsia="Times New Roman" w:cs="Times New Roman"/>
                <w:sz w:val="18"/>
              </w:rPr>
              <w:t>Purchase intention (Q6)</w:t>
            </w:r>
          </w:p>
        </w:tc>
        <w:tc>
          <w:tcPr>
            <w:tcW w:w="900" w:type="dxa"/>
            <w:shd w:val="clear" w:color="auto" w:fill="F2F4F7"/>
            <w:tcMar>
              <w:top w:w="80" w:type="dxa"/>
              <w:left w:w="120" w:type="dxa"/>
              <w:bottom w:w="80" w:type="dxa"/>
              <w:right w:w="120" w:type="dxa"/>
            </w:tcMar>
            <w:vAlign w:val="center"/>
          </w:tcPr>
          <w:p w14:paraId="344F3523" w14:textId="77777777" w:rsidR="007927B7" w:rsidRPr="00E546C7" w:rsidRDefault="007927B7" w:rsidP="00B11AF1">
            <w:pPr>
              <w:pStyle w:val="TableText"/>
              <w:keepNext/>
              <w:jc w:val="center"/>
              <w:rPr>
                <w:rFonts w:cs="Times New Roman"/>
              </w:rPr>
            </w:pPr>
            <w:r w:rsidRPr="00E546C7">
              <w:rPr>
                <w:rFonts w:eastAsia="Times New Roman" w:cs="Times New Roman"/>
                <w:sz w:val="18"/>
              </w:rPr>
              <w:t>0.501</w:t>
            </w:r>
          </w:p>
        </w:tc>
        <w:tc>
          <w:tcPr>
            <w:tcW w:w="1000" w:type="dxa"/>
            <w:shd w:val="clear" w:color="auto" w:fill="F2F4F7"/>
            <w:tcMar>
              <w:top w:w="80" w:type="dxa"/>
              <w:left w:w="120" w:type="dxa"/>
              <w:bottom w:w="80" w:type="dxa"/>
              <w:right w:w="120" w:type="dxa"/>
            </w:tcMar>
            <w:vAlign w:val="center"/>
          </w:tcPr>
          <w:p w14:paraId="5DB649BE" w14:textId="77777777" w:rsidR="007927B7" w:rsidRPr="00E546C7" w:rsidRDefault="007927B7" w:rsidP="00B11AF1">
            <w:pPr>
              <w:pStyle w:val="TableText"/>
              <w:keepNext/>
              <w:jc w:val="center"/>
              <w:rPr>
                <w:rFonts w:cs="Times New Roman"/>
              </w:rPr>
            </w:pPr>
            <w:r w:rsidRPr="00E546C7">
              <w:rPr>
                <w:rFonts w:eastAsia="Times New Roman" w:cs="Times New Roman"/>
                <w:sz w:val="18"/>
              </w:rPr>
              <w:t>&lt; .001</w:t>
            </w:r>
          </w:p>
        </w:tc>
        <w:tc>
          <w:tcPr>
            <w:tcW w:w="2180" w:type="dxa"/>
            <w:shd w:val="clear" w:color="auto" w:fill="F2F4F7"/>
            <w:tcMar>
              <w:top w:w="80" w:type="dxa"/>
              <w:left w:w="120" w:type="dxa"/>
              <w:bottom w:w="80" w:type="dxa"/>
              <w:right w:w="120" w:type="dxa"/>
            </w:tcMar>
            <w:vAlign w:val="center"/>
          </w:tcPr>
          <w:p w14:paraId="3537E98C" w14:textId="77777777" w:rsidR="007927B7" w:rsidRPr="00E546C7" w:rsidRDefault="007927B7" w:rsidP="00B11AF1">
            <w:pPr>
              <w:pStyle w:val="TableText"/>
              <w:keepNext/>
              <w:jc w:val="center"/>
              <w:rPr>
                <w:rFonts w:cs="Times New Roman"/>
              </w:rPr>
            </w:pPr>
            <w:r w:rsidRPr="00E546C7">
              <w:rPr>
                <w:rFonts w:eastAsia="Times New Roman" w:cs="Times New Roman"/>
                <w:sz w:val="18"/>
              </w:rPr>
              <w:t>[0.266, 0.692]</w:t>
            </w:r>
          </w:p>
        </w:tc>
        <w:tc>
          <w:tcPr>
            <w:tcW w:w="1940" w:type="dxa"/>
            <w:shd w:val="clear" w:color="auto" w:fill="F2F4F7"/>
            <w:tcMar>
              <w:top w:w="80" w:type="dxa"/>
              <w:left w:w="120" w:type="dxa"/>
              <w:bottom w:w="80" w:type="dxa"/>
              <w:right w:w="120" w:type="dxa"/>
            </w:tcMar>
            <w:vAlign w:val="center"/>
          </w:tcPr>
          <w:p w14:paraId="3D076C70" w14:textId="77777777" w:rsidR="007927B7" w:rsidRPr="00E546C7" w:rsidRDefault="007927B7" w:rsidP="00B11AF1">
            <w:pPr>
              <w:pStyle w:val="TableText"/>
              <w:keepNext/>
              <w:jc w:val="center"/>
              <w:rPr>
                <w:rFonts w:cs="Times New Roman"/>
              </w:rPr>
            </w:pPr>
            <w:r w:rsidRPr="00E546C7">
              <w:rPr>
                <w:rFonts w:eastAsia="Times New Roman" w:cs="Times New Roman"/>
                <w:sz w:val="18"/>
              </w:rPr>
              <w:t>Significant</w:t>
            </w:r>
          </w:p>
        </w:tc>
      </w:tr>
      <w:tr w:rsidR="007927B7" w:rsidRPr="00E546C7" w14:paraId="48C4D6B3" w14:textId="77777777" w:rsidTr="00B11AF1">
        <w:trPr>
          <w:cantSplit/>
        </w:trPr>
        <w:tc>
          <w:tcPr>
            <w:tcW w:w="3000" w:type="dxa"/>
            <w:tcMar>
              <w:top w:w="80" w:type="dxa"/>
              <w:left w:w="120" w:type="dxa"/>
              <w:bottom w:w="80" w:type="dxa"/>
              <w:right w:w="120" w:type="dxa"/>
            </w:tcMar>
            <w:vAlign w:val="center"/>
          </w:tcPr>
          <w:p w14:paraId="526A0AC5" w14:textId="77777777" w:rsidR="007927B7" w:rsidRPr="00E546C7" w:rsidRDefault="007927B7" w:rsidP="00B11AF1">
            <w:pPr>
              <w:pStyle w:val="TableText"/>
              <w:keepNext/>
              <w:rPr>
                <w:rFonts w:cs="Times New Roman"/>
              </w:rPr>
            </w:pPr>
            <w:r w:rsidRPr="00E546C7">
              <w:rPr>
                <w:rFonts w:eastAsia="Times New Roman" w:cs="Times New Roman"/>
                <w:sz w:val="18"/>
              </w:rPr>
              <w:t>Attitude–purchase composite</w:t>
            </w:r>
          </w:p>
        </w:tc>
        <w:tc>
          <w:tcPr>
            <w:tcW w:w="900" w:type="dxa"/>
            <w:tcMar>
              <w:top w:w="80" w:type="dxa"/>
              <w:left w:w="120" w:type="dxa"/>
              <w:bottom w:w="80" w:type="dxa"/>
              <w:right w:w="120" w:type="dxa"/>
            </w:tcMar>
            <w:vAlign w:val="center"/>
          </w:tcPr>
          <w:p w14:paraId="492C0035" w14:textId="77777777" w:rsidR="007927B7" w:rsidRPr="00E546C7" w:rsidRDefault="007927B7" w:rsidP="00B11AF1">
            <w:pPr>
              <w:pStyle w:val="TableText"/>
              <w:keepNext/>
              <w:jc w:val="center"/>
              <w:rPr>
                <w:rFonts w:cs="Times New Roman"/>
              </w:rPr>
            </w:pPr>
            <w:r w:rsidRPr="00E546C7">
              <w:rPr>
                <w:rFonts w:eastAsia="Times New Roman" w:cs="Times New Roman"/>
                <w:sz w:val="18"/>
              </w:rPr>
              <w:t>0.576</w:t>
            </w:r>
          </w:p>
        </w:tc>
        <w:tc>
          <w:tcPr>
            <w:tcW w:w="1000" w:type="dxa"/>
            <w:tcMar>
              <w:top w:w="80" w:type="dxa"/>
              <w:left w:w="120" w:type="dxa"/>
              <w:bottom w:w="80" w:type="dxa"/>
              <w:right w:w="120" w:type="dxa"/>
            </w:tcMar>
            <w:vAlign w:val="center"/>
          </w:tcPr>
          <w:p w14:paraId="3810C686" w14:textId="77777777" w:rsidR="007927B7" w:rsidRPr="00E546C7" w:rsidRDefault="007927B7" w:rsidP="00B11AF1">
            <w:pPr>
              <w:pStyle w:val="TableText"/>
              <w:keepNext/>
              <w:jc w:val="center"/>
              <w:rPr>
                <w:rFonts w:cs="Times New Roman"/>
              </w:rPr>
            </w:pPr>
            <w:r w:rsidRPr="00E546C7">
              <w:rPr>
                <w:rFonts w:eastAsia="Times New Roman" w:cs="Times New Roman"/>
                <w:sz w:val="18"/>
              </w:rPr>
              <w:t>&lt; .001</w:t>
            </w:r>
          </w:p>
        </w:tc>
        <w:tc>
          <w:tcPr>
            <w:tcW w:w="2180" w:type="dxa"/>
            <w:tcMar>
              <w:top w:w="80" w:type="dxa"/>
              <w:left w:w="120" w:type="dxa"/>
              <w:bottom w:w="80" w:type="dxa"/>
              <w:right w:w="120" w:type="dxa"/>
            </w:tcMar>
            <w:vAlign w:val="center"/>
          </w:tcPr>
          <w:p w14:paraId="769CD147" w14:textId="77777777" w:rsidR="007927B7" w:rsidRPr="00E546C7" w:rsidRDefault="007927B7" w:rsidP="00B11AF1">
            <w:pPr>
              <w:pStyle w:val="TableText"/>
              <w:keepNext/>
              <w:jc w:val="center"/>
              <w:rPr>
                <w:rFonts w:cs="Times New Roman"/>
              </w:rPr>
            </w:pPr>
            <w:r w:rsidRPr="00E546C7">
              <w:rPr>
                <w:rFonts w:eastAsia="Times New Roman" w:cs="Times New Roman"/>
                <w:sz w:val="18"/>
              </w:rPr>
              <w:t>[0.314, 0.771]</w:t>
            </w:r>
          </w:p>
        </w:tc>
        <w:tc>
          <w:tcPr>
            <w:tcW w:w="1940" w:type="dxa"/>
            <w:tcMar>
              <w:top w:w="80" w:type="dxa"/>
              <w:left w:w="120" w:type="dxa"/>
              <w:bottom w:w="80" w:type="dxa"/>
              <w:right w:w="120" w:type="dxa"/>
            </w:tcMar>
            <w:vAlign w:val="center"/>
          </w:tcPr>
          <w:p w14:paraId="79157F62" w14:textId="77777777" w:rsidR="007927B7" w:rsidRPr="00E546C7" w:rsidRDefault="007927B7" w:rsidP="00B11AF1">
            <w:pPr>
              <w:pStyle w:val="TableText"/>
              <w:keepNext/>
              <w:jc w:val="center"/>
              <w:rPr>
                <w:rFonts w:cs="Times New Roman"/>
              </w:rPr>
            </w:pPr>
            <w:r w:rsidRPr="00E546C7">
              <w:rPr>
                <w:rFonts w:eastAsia="Times New Roman" w:cs="Times New Roman"/>
                <w:sz w:val="18"/>
              </w:rPr>
              <w:t>Significant</w:t>
            </w:r>
          </w:p>
        </w:tc>
      </w:tr>
      <w:tr w:rsidR="007927B7" w:rsidRPr="00E546C7" w14:paraId="163CB332" w14:textId="77777777" w:rsidTr="00B11AF1">
        <w:trPr>
          <w:cantSplit/>
        </w:trPr>
        <w:tc>
          <w:tcPr>
            <w:tcW w:w="3000" w:type="dxa"/>
            <w:shd w:val="clear" w:color="auto" w:fill="F2F4F7"/>
            <w:tcMar>
              <w:top w:w="80" w:type="dxa"/>
              <w:left w:w="120" w:type="dxa"/>
              <w:bottom w:w="80" w:type="dxa"/>
              <w:right w:w="120" w:type="dxa"/>
            </w:tcMar>
            <w:vAlign w:val="center"/>
          </w:tcPr>
          <w:p w14:paraId="426D73DC" w14:textId="77777777" w:rsidR="007927B7" w:rsidRPr="00E546C7" w:rsidRDefault="007927B7" w:rsidP="00B11AF1">
            <w:pPr>
              <w:pStyle w:val="TableText"/>
              <w:keepNext/>
              <w:rPr>
                <w:rFonts w:cs="Times New Roman"/>
              </w:rPr>
            </w:pPr>
            <w:r w:rsidRPr="00E546C7">
              <w:rPr>
                <w:rFonts w:eastAsia="Times New Roman" w:cs="Times New Roman"/>
                <w:sz w:val="18"/>
              </w:rPr>
              <w:t>Global H1 statement (Q9)</w:t>
            </w:r>
          </w:p>
        </w:tc>
        <w:tc>
          <w:tcPr>
            <w:tcW w:w="900" w:type="dxa"/>
            <w:shd w:val="clear" w:color="auto" w:fill="F2F4F7"/>
            <w:tcMar>
              <w:top w:w="80" w:type="dxa"/>
              <w:left w:w="120" w:type="dxa"/>
              <w:bottom w:w="80" w:type="dxa"/>
              <w:right w:w="120" w:type="dxa"/>
            </w:tcMar>
            <w:vAlign w:val="center"/>
          </w:tcPr>
          <w:p w14:paraId="7C0288CC" w14:textId="77777777" w:rsidR="007927B7" w:rsidRPr="00E546C7" w:rsidRDefault="007927B7" w:rsidP="00B11AF1">
            <w:pPr>
              <w:pStyle w:val="TableText"/>
              <w:keepNext/>
              <w:jc w:val="center"/>
              <w:rPr>
                <w:rFonts w:cs="Times New Roman"/>
              </w:rPr>
            </w:pPr>
            <w:r w:rsidRPr="00E546C7">
              <w:rPr>
                <w:rFonts w:eastAsia="Times New Roman" w:cs="Times New Roman"/>
                <w:sz w:val="18"/>
              </w:rPr>
              <w:t>0.172</w:t>
            </w:r>
          </w:p>
        </w:tc>
        <w:tc>
          <w:tcPr>
            <w:tcW w:w="1000" w:type="dxa"/>
            <w:shd w:val="clear" w:color="auto" w:fill="F2F4F7"/>
            <w:tcMar>
              <w:top w:w="80" w:type="dxa"/>
              <w:left w:w="120" w:type="dxa"/>
              <w:bottom w:w="80" w:type="dxa"/>
              <w:right w:w="120" w:type="dxa"/>
            </w:tcMar>
            <w:vAlign w:val="center"/>
          </w:tcPr>
          <w:p w14:paraId="0846FE10" w14:textId="77777777" w:rsidR="007927B7" w:rsidRPr="00E546C7" w:rsidRDefault="007927B7" w:rsidP="00B11AF1">
            <w:pPr>
              <w:pStyle w:val="TableText"/>
              <w:keepNext/>
              <w:jc w:val="center"/>
              <w:rPr>
                <w:rFonts w:cs="Times New Roman"/>
              </w:rPr>
            </w:pPr>
            <w:r w:rsidRPr="00E546C7">
              <w:rPr>
                <w:rFonts w:eastAsia="Times New Roman" w:cs="Times New Roman"/>
                <w:sz w:val="18"/>
              </w:rPr>
              <w:t>.232</w:t>
            </w:r>
          </w:p>
        </w:tc>
        <w:tc>
          <w:tcPr>
            <w:tcW w:w="2180" w:type="dxa"/>
            <w:shd w:val="clear" w:color="auto" w:fill="F2F4F7"/>
            <w:tcMar>
              <w:top w:w="80" w:type="dxa"/>
              <w:left w:w="120" w:type="dxa"/>
              <w:bottom w:w="80" w:type="dxa"/>
              <w:right w:w="120" w:type="dxa"/>
            </w:tcMar>
            <w:vAlign w:val="center"/>
          </w:tcPr>
          <w:p w14:paraId="268D5A58" w14:textId="77777777" w:rsidR="007927B7" w:rsidRPr="00E546C7" w:rsidRDefault="007927B7" w:rsidP="00B11AF1">
            <w:pPr>
              <w:pStyle w:val="TableText"/>
              <w:keepNext/>
              <w:jc w:val="center"/>
              <w:rPr>
                <w:rFonts w:cs="Times New Roman"/>
              </w:rPr>
            </w:pPr>
            <w:r w:rsidRPr="00E546C7">
              <w:rPr>
                <w:rFonts w:eastAsia="Times New Roman" w:cs="Times New Roman"/>
                <w:sz w:val="18"/>
              </w:rPr>
              <w:t>[-0.168, 0.481]</w:t>
            </w:r>
          </w:p>
        </w:tc>
        <w:tc>
          <w:tcPr>
            <w:tcW w:w="1940" w:type="dxa"/>
            <w:shd w:val="clear" w:color="auto" w:fill="F2F4F7"/>
            <w:tcMar>
              <w:top w:w="80" w:type="dxa"/>
              <w:left w:w="120" w:type="dxa"/>
              <w:bottom w:w="80" w:type="dxa"/>
              <w:right w:w="120" w:type="dxa"/>
            </w:tcMar>
            <w:vAlign w:val="center"/>
          </w:tcPr>
          <w:p w14:paraId="17CFB418" w14:textId="77777777" w:rsidR="007927B7" w:rsidRPr="00E546C7" w:rsidRDefault="007927B7" w:rsidP="00B11AF1">
            <w:pPr>
              <w:pStyle w:val="TableText"/>
              <w:keepNext/>
              <w:jc w:val="center"/>
              <w:rPr>
                <w:rFonts w:cs="Times New Roman"/>
              </w:rPr>
            </w:pPr>
            <w:r w:rsidRPr="00E546C7">
              <w:rPr>
                <w:rFonts w:eastAsia="Times New Roman" w:cs="Times New Roman"/>
                <w:sz w:val="18"/>
              </w:rPr>
              <w:t>Not significant</w:t>
            </w:r>
          </w:p>
        </w:tc>
      </w:tr>
      <w:tr w:rsidR="007927B7" w:rsidRPr="00E546C7" w14:paraId="4420E34F" w14:textId="77777777" w:rsidTr="00B11AF1">
        <w:trPr>
          <w:cantSplit/>
        </w:trPr>
        <w:tc>
          <w:tcPr>
            <w:tcW w:w="3000" w:type="dxa"/>
            <w:tcMar>
              <w:top w:w="80" w:type="dxa"/>
              <w:left w:w="120" w:type="dxa"/>
              <w:bottom w:w="80" w:type="dxa"/>
              <w:right w:w="120" w:type="dxa"/>
            </w:tcMar>
            <w:vAlign w:val="center"/>
          </w:tcPr>
          <w:p w14:paraId="31B33AAA" w14:textId="77777777" w:rsidR="007927B7" w:rsidRPr="00E546C7" w:rsidRDefault="007927B7" w:rsidP="00B11AF1">
            <w:pPr>
              <w:pStyle w:val="TableText"/>
              <w:keepNext/>
              <w:rPr>
                <w:rFonts w:cs="Times New Roman"/>
              </w:rPr>
            </w:pPr>
            <w:r w:rsidRPr="00E546C7">
              <w:rPr>
                <w:rFonts w:eastAsia="Times New Roman" w:cs="Times New Roman"/>
                <w:sz w:val="18"/>
              </w:rPr>
              <w:t>Loyalty (Q10)</w:t>
            </w:r>
          </w:p>
        </w:tc>
        <w:tc>
          <w:tcPr>
            <w:tcW w:w="900" w:type="dxa"/>
            <w:tcMar>
              <w:top w:w="80" w:type="dxa"/>
              <w:left w:w="120" w:type="dxa"/>
              <w:bottom w:w="80" w:type="dxa"/>
              <w:right w:w="120" w:type="dxa"/>
            </w:tcMar>
            <w:vAlign w:val="center"/>
          </w:tcPr>
          <w:p w14:paraId="43DE59C2" w14:textId="77777777" w:rsidR="007927B7" w:rsidRPr="00E546C7" w:rsidRDefault="007927B7" w:rsidP="00B11AF1">
            <w:pPr>
              <w:pStyle w:val="TableText"/>
              <w:keepNext/>
              <w:jc w:val="center"/>
              <w:rPr>
                <w:rFonts w:cs="Times New Roman"/>
              </w:rPr>
            </w:pPr>
            <w:r w:rsidRPr="00E546C7">
              <w:rPr>
                <w:rFonts w:eastAsia="Times New Roman" w:cs="Times New Roman"/>
                <w:sz w:val="18"/>
              </w:rPr>
              <w:t>0.060</w:t>
            </w:r>
          </w:p>
        </w:tc>
        <w:tc>
          <w:tcPr>
            <w:tcW w:w="1000" w:type="dxa"/>
            <w:tcMar>
              <w:top w:w="80" w:type="dxa"/>
              <w:left w:w="120" w:type="dxa"/>
              <w:bottom w:w="80" w:type="dxa"/>
              <w:right w:w="120" w:type="dxa"/>
            </w:tcMar>
            <w:vAlign w:val="center"/>
          </w:tcPr>
          <w:p w14:paraId="442644B0" w14:textId="77777777" w:rsidR="007927B7" w:rsidRPr="00E546C7" w:rsidRDefault="007927B7" w:rsidP="00B11AF1">
            <w:pPr>
              <w:pStyle w:val="TableText"/>
              <w:keepNext/>
              <w:jc w:val="center"/>
              <w:rPr>
                <w:rFonts w:cs="Times New Roman"/>
              </w:rPr>
            </w:pPr>
            <w:r w:rsidRPr="00E546C7">
              <w:rPr>
                <w:rFonts w:eastAsia="Times New Roman" w:cs="Times New Roman"/>
                <w:sz w:val="18"/>
              </w:rPr>
              <w:t>.677</w:t>
            </w:r>
          </w:p>
        </w:tc>
        <w:tc>
          <w:tcPr>
            <w:tcW w:w="2180" w:type="dxa"/>
            <w:tcMar>
              <w:top w:w="80" w:type="dxa"/>
              <w:left w:w="120" w:type="dxa"/>
              <w:bottom w:w="80" w:type="dxa"/>
              <w:right w:w="120" w:type="dxa"/>
            </w:tcMar>
            <w:vAlign w:val="center"/>
          </w:tcPr>
          <w:p w14:paraId="0B25EC48" w14:textId="77777777" w:rsidR="007927B7" w:rsidRPr="00E546C7" w:rsidRDefault="007927B7" w:rsidP="00B11AF1">
            <w:pPr>
              <w:pStyle w:val="TableText"/>
              <w:keepNext/>
              <w:jc w:val="center"/>
              <w:rPr>
                <w:rFonts w:cs="Times New Roman"/>
              </w:rPr>
            </w:pPr>
            <w:r w:rsidRPr="00E546C7">
              <w:rPr>
                <w:rFonts w:eastAsia="Times New Roman" w:cs="Times New Roman"/>
                <w:sz w:val="18"/>
              </w:rPr>
              <w:t>[-0.262, 0.389]</w:t>
            </w:r>
          </w:p>
        </w:tc>
        <w:tc>
          <w:tcPr>
            <w:tcW w:w="1940" w:type="dxa"/>
            <w:tcMar>
              <w:top w:w="80" w:type="dxa"/>
              <w:left w:w="120" w:type="dxa"/>
              <w:bottom w:w="80" w:type="dxa"/>
              <w:right w:w="120" w:type="dxa"/>
            </w:tcMar>
            <w:vAlign w:val="center"/>
          </w:tcPr>
          <w:p w14:paraId="48E63F8D" w14:textId="77777777" w:rsidR="007927B7" w:rsidRPr="00E546C7" w:rsidRDefault="007927B7" w:rsidP="00B11AF1">
            <w:pPr>
              <w:pStyle w:val="TableText"/>
              <w:keepNext/>
              <w:jc w:val="center"/>
              <w:rPr>
                <w:rFonts w:cs="Times New Roman"/>
              </w:rPr>
            </w:pPr>
            <w:r w:rsidRPr="00E546C7">
              <w:rPr>
                <w:rFonts w:eastAsia="Times New Roman" w:cs="Times New Roman"/>
                <w:sz w:val="18"/>
              </w:rPr>
              <w:t>Not significant</w:t>
            </w:r>
          </w:p>
        </w:tc>
      </w:tr>
    </w:tbl>
    <w:p w14:paraId="3CBD146F" w14:textId="77777777" w:rsidR="007927B7" w:rsidRPr="00E546C7" w:rsidRDefault="007927B7" w:rsidP="007927B7">
      <w:pPr>
        <w:pStyle w:val="SourceNote"/>
        <w:rPr>
          <w:rFonts w:cs="Times New Roman"/>
        </w:rPr>
      </w:pPr>
      <w:r w:rsidRPr="00E546C7">
        <w:rPr>
          <w:rFonts w:eastAsia="Times New Roman" w:cs="Times New Roman"/>
        </w:rPr>
        <w:t>Source: Author’s analysis of survey data (n = 50; 5,000 bootstrap resamples).</w:t>
      </w:r>
    </w:p>
    <w:p w14:paraId="3CC5ABC9" w14:textId="77777777" w:rsidR="007927B7" w:rsidRPr="00E546C7" w:rsidRDefault="007927B7" w:rsidP="007927B7">
      <w:r w:rsidRPr="00E546C7">
        <w:rPr>
          <w:rFonts w:eastAsiaTheme="majorEastAsia"/>
        </w:rPr>
        <w:t>Based on this conceptuali</w:t>
      </w:r>
      <w:r w:rsidRPr="00E546C7">
        <w:t>s</w:t>
      </w:r>
      <w:r w:rsidRPr="00E546C7">
        <w:rPr>
          <w:rFonts w:eastAsiaTheme="majorEastAsia"/>
        </w:rPr>
        <w:t>ation, H1 posited a positive link between perceived IMC, attitude and purchase intention.</w:t>
      </w:r>
      <w:r w:rsidRPr="00E546C7">
        <w:t xml:space="preserve"> The perceived-IMC composite correlated with attitude (rho = .523, p &lt; .001, 95% CI [.281, .709]) and purchase intention (rho = .501, p &lt; .001, CI [.266, .692]). Its association with the combined attitude–purchase score was rho = .576, p &lt; .001, CI [.314, .771]. Robustness regression using standardised variables and HC3 errors produced beta = .512, p = .016, 95% CI [.100, .925], explaining 26.3% of variance. Though the data are spread far as regards the sample size, evidence pointed in the same direction. H1 is accepted as an association and not causation.</w:t>
      </w:r>
    </w:p>
    <w:p w14:paraId="065C001C" w14:textId="77777777" w:rsidR="007927B7" w:rsidRPr="00E546C7" w:rsidRDefault="007927B7" w:rsidP="007927B7">
      <w:r w:rsidRPr="00E546C7">
        <w:rPr>
          <w:rFonts w:eastAsiaTheme="majorEastAsia"/>
        </w:rPr>
        <w:t>Question 9 was not used as the primary test for H1.</w:t>
      </w:r>
      <w:r w:rsidRPr="00E546C7">
        <w:t xml:space="preserve"> </w:t>
      </w:r>
      <w:r w:rsidRPr="00E546C7">
        <w:rPr>
          <w:rFonts w:eastAsiaTheme="majorEastAsia"/>
        </w:rPr>
        <w:t>Although there was 82% agreement with its global statement, correlation with the separate IMC composite is nonsignificant and weakly correlated (rho = .172, p = .232).</w:t>
      </w:r>
      <w:r w:rsidRPr="00E546C7">
        <w:t xml:space="preserve"> </w:t>
      </w:r>
      <w:r w:rsidRPr="00E546C7">
        <w:rPr>
          <w:rFonts w:eastAsiaTheme="majorEastAsia"/>
        </w:rPr>
        <w:t>This may be due to compound wording or 'acquiescence' ceiling effects.</w:t>
      </w:r>
      <w:r w:rsidRPr="00E546C7">
        <w:t xml:space="preserve"> </w:t>
      </w:r>
      <w:r w:rsidRPr="00E546C7">
        <w:rPr>
          <w:rFonts w:eastAsiaTheme="majorEastAsia"/>
        </w:rPr>
        <w:t>The component</w:t>
      </w:r>
      <w:r w:rsidRPr="00E546C7">
        <w:t>-</w:t>
      </w:r>
      <w:r w:rsidRPr="00E546C7">
        <w:rPr>
          <w:rFonts w:eastAsiaTheme="majorEastAsia"/>
        </w:rPr>
        <w:t xml:space="preserve">based test is more robust as </w:t>
      </w:r>
      <w:r w:rsidRPr="00E546C7">
        <w:t xml:space="preserve">the </w:t>
      </w:r>
      <w:r w:rsidRPr="00E546C7">
        <w:rPr>
          <w:rFonts w:eastAsiaTheme="majorEastAsia"/>
        </w:rPr>
        <w:t>predictor and outcome are separated</w:t>
      </w:r>
      <w:r w:rsidRPr="00E546C7">
        <w:t>.</w:t>
      </w:r>
    </w:p>
    <w:p w14:paraId="127CED98" w14:textId="77777777" w:rsidR="007927B7" w:rsidRPr="00E546C7" w:rsidRDefault="007927B7" w:rsidP="007927B7">
      <w:r w:rsidRPr="00E546C7">
        <w:t>H2 stated that there is a positive association between perceived IMC and brand loyalty. The association was found negligible (rho = .060, p = .677, 95% CI [-.262, .389]). Regression similarly produced beta = -.061, p = .716 and R² = .004. H2 is unsupported. That does not mean that the 78% positive loyalty response was not valid; that is, respondent-level rankings did not covary. The confidence interval allows for small positive or negative population impacts, and transactional incentives, product experience, identity, or price or measurement constraints may be more determinant.</w:t>
      </w:r>
    </w:p>
    <w:p w14:paraId="5DB39544" w14:textId="77777777" w:rsidR="007927B7" w:rsidRPr="00E546C7" w:rsidRDefault="007927B7" w:rsidP="007927B7">
      <w:pPr>
        <w:pStyle w:val="Caption"/>
        <w:jc w:val="left"/>
        <w:rPr>
          <w:rFonts w:cs="Times New Roman"/>
        </w:rPr>
      </w:pPr>
      <w:r w:rsidRPr="00E546C7">
        <w:rPr>
          <w:rFonts w:eastAsia="Times New Roman" w:cs="Times New Roman"/>
          <w:color w:val="1F2933"/>
        </w:rPr>
        <w:t>Table 4.5: Standardised Regression Robustness Checks</w:t>
      </w:r>
    </w:p>
    <w:tbl>
      <w:tblPr>
        <w:tblStyle w:val="TableGrid"/>
        <w:tblW w:w="9020" w:type="dxa"/>
        <w:tblInd w:w="120" w:type="dxa"/>
        <w:tblLayout w:type="fixed"/>
        <w:tblLook w:val="04A0" w:firstRow="1" w:lastRow="0" w:firstColumn="1" w:lastColumn="0" w:noHBand="0" w:noVBand="1"/>
      </w:tblPr>
      <w:tblGrid>
        <w:gridCol w:w="2600"/>
        <w:gridCol w:w="800"/>
        <w:gridCol w:w="1100"/>
        <w:gridCol w:w="900"/>
        <w:gridCol w:w="2300"/>
        <w:gridCol w:w="1320"/>
      </w:tblGrid>
      <w:tr w:rsidR="007927B7" w:rsidRPr="00E546C7" w14:paraId="778B4843" w14:textId="77777777" w:rsidTr="00B11AF1">
        <w:trPr>
          <w:cantSplit/>
          <w:tblHeader/>
        </w:trPr>
        <w:tc>
          <w:tcPr>
            <w:tcW w:w="2600" w:type="dxa"/>
            <w:shd w:val="clear" w:color="auto" w:fill="17365D"/>
            <w:tcMar>
              <w:top w:w="80" w:type="dxa"/>
              <w:left w:w="120" w:type="dxa"/>
              <w:bottom w:w="80" w:type="dxa"/>
              <w:right w:w="120" w:type="dxa"/>
            </w:tcMar>
            <w:vAlign w:val="center"/>
          </w:tcPr>
          <w:p w14:paraId="4D72429F" w14:textId="77777777" w:rsidR="007927B7" w:rsidRPr="00E546C7" w:rsidRDefault="007927B7" w:rsidP="00B11AF1">
            <w:pPr>
              <w:pStyle w:val="TableHeader"/>
              <w:keepNext/>
              <w:rPr>
                <w:rFonts w:cs="Times New Roman"/>
              </w:rPr>
            </w:pPr>
            <w:r w:rsidRPr="00E546C7">
              <w:rPr>
                <w:rFonts w:eastAsia="Times New Roman" w:cs="Times New Roman"/>
                <w:b/>
                <w:sz w:val="18"/>
              </w:rPr>
              <w:t>Outcome model</w:t>
            </w:r>
          </w:p>
        </w:tc>
        <w:tc>
          <w:tcPr>
            <w:tcW w:w="800" w:type="dxa"/>
            <w:shd w:val="clear" w:color="auto" w:fill="17365D"/>
            <w:tcMar>
              <w:top w:w="80" w:type="dxa"/>
              <w:left w:w="120" w:type="dxa"/>
              <w:bottom w:w="80" w:type="dxa"/>
              <w:right w:w="120" w:type="dxa"/>
            </w:tcMar>
            <w:vAlign w:val="center"/>
          </w:tcPr>
          <w:p w14:paraId="33729D56" w14:textId="77777777" w:rsidR="007927B7" w:rsidRPr="00E546C7" w:rsidRDefault="007927B7" w:rsidP="00B11AF1">
            <w:pPr>
              <w:pStyle w:val="TableHeader"/>
              <w:keepNext/>
              <w:rPr>
                <w:rFonts w:cs="Times New Roman"/>
              </w:rPr>
            </w:pPr>
            <w:r w:rsidRPr="00E546C7">
              <w:rPr>
                <w:rFonts w:eastAsia="Times New Roman" w:cs="Times New Roman"/>
                <w:b/>
                <w:sz w:val="18"/>
              </w:rPr>
              <w:t>β</w:t>
            </w:r>
          </w:p>
        </w:tc>
        <w:tc>
          <w:tcPr>
            <w:tcW w:w="1100" w:type="dxa"/>
            <w:shd w:val="clear" w:color="auto" w:fill="17365D"/>
            <w:tcMar>
              <w:top w:w="80" w:type="dxa"/>
              <w:left w:w="120" w:type="dxa"/>
              <w:bottom w:w="80" w:type="dxa"/>
              <w:right w:w="120" w:type="dxa"/>
            </w:tcMar>
            <w:vAlign w:val="center"/>
          </w:tcPr>
          <w:p w14:paraId="4F0AC256" w14:textId="77777777" w:rsidR="007927B7" w:rsidRPr="00E546C7" w:rsidRDefault="007927B7" w:rsidP="00B11AF1">
            <w:pPr>
              <w:pStyle w:val="TableHeader"/>
              <w:keepNext/>
              <w:rPr>
                <w:rFonts w:cs="Times New Roman"/>
              </w:rPr>
            </w:pPr>
            <w:r w:rsidRPr="00E546C7">
              <w:rPr>
                <w:rFonts w:eastAsia="Times New Roman" w:cs="Times New Roman"/>
                <w:b/>
                <w:sz w:val="18"/>
              </w:rPr>
              <w:t>HC3 SE</w:t>
            </w:r>
          </w:p>
        </w:tc>
        <w:tc>
          <w:tcPr>
            <w:tcW w:w="900" w:type="dxa"/>
            <w:shd w:val="clear" w:color="auto" w:fill="17365D"/>
            <w:tcMar>
              <w:top w:w="80" w:type="dxa"/>
              <w:left w:w="120" w:type="dxa"/>
              <w:bottom w:w="80" w:type="dxa"/>
              <w:right w:w="120" w:type="dxa"/>
            </w:tcMar>
            <w:vAlign w:val="center"/>
          </w:tcPr>
          <w:p w14:paraId="6ACE2BC4" w14:textId="77777777" w:rsidR="007927B7" w:rsidRPr="00E546C7" w:rsidRDefault="007927B7" w:rsidP="00B11AF1">
            <w:pPr>
              <w:pStyle w:val="TableHeader"/>
              <w:keepNext/>
              <w:rPr>
                <w:rFonts w:cs="Times New Roman"/>
              </w:rPr>
            </w:pPr>
            <w:r w:rsidRPr="00E546C7">
              <w:rPr>
                <w:rFonts w:eastAsia="Times New Roman" w:cs="Times New Roman"/>
                <w:b/>
                <w:sz w:val="18"/>
              </w:rPr>
              <w:t>p</w:t>
            </w:r>
          </w:p>
        </w:tc>
        <w:tc>
          <w:tcPr>
            <w:tcW w:w="2300" w:type="dxa"/>
            <w:shd w:val="clear" w:color="auto" w:fill="17365D"/>
            <w:tcMar>
              <w:top w:w="80" w:type="dxa"/>
              <w:left w:w="120" w:type="dxa"/>
              <w:bottom w:w="80" w:type="dxa"/>
              <w:right w:w="120" w:type="dxa"/>
            </w:tcMar>
            <w:vAlign w:val="center"/>
          </w:tcPr>
          <w:p w14:paraId="0271E5D5" w14:textId="77777777" w:rsidR="007927B7" w:rsidRPr="00E546C7" w:rsidRDefault="007927B7" w:rsidP="00B11AF1">
            <w:pPr>
              <w:pStyle w:val="TableHeader"/>
              <w:keepNext/>
              <w:rPr>
                <w:rFonts w:cs="Times New Roman"/>
              </w:rPr>
            </w:pPr>
            <w:r w:rsidRPr="00E546C7">
              <w:rPr>
                <w:rFonts w:eastAsia="Times New Roman" w:cs="Times New Roman"/>
                <w:b/>
                <w:sz w:val="18"/>
              </w:rPr>
              <w:t>95% CI</w:t>
            </w:r>
          </w:p>
        </w:tc>
        <w:tc>
          <w:tcPr>
            <w:tcW w:w="1320" w:type="dxa"/>
            <w:shd w:val="clear" w:color="auto" w:fill="17365D"/>
            <w:tcMar>
              <w:top w:w="80" w:type="dxa"/>
              <w:left w:w="120" w:type="dxa"/>
              <w:bottom w:w="80" w:type="dxa"/>
              <w:right w:w="120" w:type="dxa"/>
            </w:tcMar>
            <w:vAlign w:val="center"/>
          </w:tcPr>
          <w:p w14:paraId="668AD7F2" w14:textId="77777777" w:rsidR="007927B7" w:rsidRPr="00E546C7" w:rsidRDefault="007927B7" w:rsidP="00B11AF1">
            <w:pPr>
              <w:pStyle w:val="TableHeader"/>
              <w:keepNext/>
              <w:rPr>
                <w:rFonts w:cs="Times New Roman"/>
              </w:rPr>
            </w:pPr>
            <w:r w:rsidRPr="00E546C7">
              <w:rPr>
                <w:rFonts w:eastAsia="Times New Roman" w:cs="Times New Roman"/>
                <w:b/>
                <w:sz w:val="18"/>
              </w:rPr>
              <w:t>R²</w:t>
            </w:r>
          </w:p>
        </w:tc>
      </w:tr>
      <w:tr w:rsidR="007927B7" w:rsidRPr="00E546C7" w14:paraId="33EEA6BD" w14:textId="77777777" w:rsidTr="00B11AF1">
        <w:trPr>
          <w:cantSplit/>
        </w:trPr>
        <w:tc>
          <w:tcPr>
            <w:tcW w:w="2600" w:type="dxa"/>
            <w:tcMar>
              <w:top w:w="80" w:type="dxa"/>
              <w:left w:w="120" w:type="dxa"/>
              <w:bottom w:w="80" w:type="dxa"/>
              <w:right w:w="120" w:type="dxa"/>
            </w:tcMar>
            <w:vAlign w:val="center"/>
          </w:tcPr>
          <w:p w14:paraId="35603205" w14:textId="77777777" w:rsidR="007927B7" w:rsidRPr="00E546C7" w:rsidRDefault="007927B7" w:rsidP="00B11AF1">
            <w:pPr>
              <w:pStyle w:val="TableText"/>
              <w:keepNext/>
              <w:rPr>
                <w:rFonts w:cs="Times New Roman"/>
              </w:rPr>
            </w:pPr>
            <w:r w:rsidRPr="00E546C7">
              <w:rPr>
                <w:rFonts w:eastAsia="Times New Roman" w:cs="Times New Roman"/>
                <w:sz w:val="18"/>
              </w:rPr>
              <w:t>H1: attitude–purchase</w:t>
            </w:r>
          </w:p>
        </w:tc>
        <w:tc>
          <w:tcPr>
            <w:tcW w:w="800" w:type="dxa"/>
            <w:tcMar>
              <w:top w:w="80" w:type="dxa"/>
              <w:left w:w="120" w:type="dxa"/>
              <w:bottom w:w="80" w:type="dxa"/>
              <w:right w:w="120" w:type="dxa"/>
            </w:tcMar>
            <w:vAlign w:val="center"/>
          </w:tcPr>
          <w:p w14:paraId="466BB113" w14:textId="77777777" w:rsidR="007927B7" w:rsidRPr="00E546C7" w:rsidRDefault="007927B7" w:rsidP="00B11AF1">
            <w:pPr>
              <w:pStyle w:val="TableText"/>
              <w:keepNext/>
              <w:jc w:val="center"/>
              <w:rPr>
                <w:rFonts w:cs="Times New Roman"/>
              </w:rPr>
            </w:pPr>
            <w:r w:rsidRPr="00E546C7">
              <w:rPr>
                <w:rFonts w:eastAsia="Times New Roman" w:cs="Times New Roman"/>
                <w:sz w:val="18"/>
              </w:rPr>
              <w:t>0.512</w:t>
            </w:r>
          </w:p>
        </w:tc>
        <w:tc>
          <w:tcPr>
            <w:tcW w:w="1100" w:type="dxa"/>
            <w:tcMar>
              <w:top w:w="80" w:type="dxa"/>
              <w:left w:w="120" w:type="dxa"/>
              <w:bottom w:w="80" w:type="dxa"/>
              <w:right w:w="120" w:type="dxa"/>
            </w:tcMar>
            <w:vAlign w:val="center"/>
          </w:tcPr>
          <w:p w14:paraId="2C74F5C7" w14:textId="77777777" w:rsidR="007927B7" w:rsidRPr="00E546C7" w:rsidRDefault="007927B7" w:rsidP="00B11AF1">
            <w:pPr>
              <w:pStyle w:val="TableText"/>
              <w:keepNext/>
              <w:jc w:val="center"/>
              <w:rPr>
                <w:rFonts w:cs="Times New Roman"/>
              </w:rPr>
            </w:pPr>
            <w:r w:rsidRPr="00E546C7">
              <w:rPr>
                <w:rFonts w:eastAsia="Times New Roman" w:cs="Times New Roman"/>
                <w:sz w:val="18"/>
              </w:rPr>
              <w:t>0.205</w:t>
            </w:r>
          </w:p>
        </w:tc>
        <w:tc>
          <w:tcPr>
            <w:tcW w:w="900" w:type="dxa"/>
            <w:tcMar>
              <w:top w:w="80" w:type="dxa"/>
              <w:left w:w="120" w:type="dxa"/>
              <w:bottom w:w="80" w:type="dxa"/>
              <w:right w:w="120" w:type="dxa"/>
            </w:tcMar>
            <w:vAlign w:val="center"/>
          </w:tcPr>
          <w:p w14:paraId="1E059EE6" w14:textId="77777777" w:rsidR="007927B7" w:rsidRPr="00E546C7" w:rsidRDefault="007927B7" w:rsidP="00B11AF1">
            <w:pPr>
              <w:pStyle w:val="TableText"/>
              <w:keepNext/>
              <w:jc w:val="center"/>
              <w:rPr>
                <w:rFonts w:cs="Times New Roman"/>
              </w:rPr>
            </w:pPr>
            <w:r w:rsidRPr="00E546C7">
              <w:rPr>
                <w:rFonts w:eastAsia="Times New Roman" w:cs="Times New Roman"/>
                <w:sz w:val="18"/>
              </w:rPr>
              <w:t>.016</w:t>
            </w:r>
          </w:p>
        </w:tc>
        <w:tc>
          <w:tcPr>
            <w:tcW w:w="2300" w:type="dxa"/>
            <w:tcMar>
              <w:top w:w="80" w:type="dxa"/>
              <w:left w:w="120" w:type="dxa"/>
              <w:bottom w:w="80" w:type="dxa"/>
              <w:right w:w="120" w:type="dxa"/>
            </w:tcMar>
            <w:vAlign w:val="center"/>
          </w:tcPr>
          <w:p w14:paraId="58AD9B98" w14:textId="77777777" w:rsidR="007927B7" w:rsidRPr="00E546C7" w:rsidRDefault="007927B7" w:rsidP="00B11AF1">
            <w:pPr>
              <w:pStyle w:val="TableText"/>
              <w:keepNext/>
              <w:jc w:val="center"/>
              <w:rPr>
                <w:rFonts w:cs="Times New Roman"/>
              </w:rPr>
            </w:pPr>
            <w:r w:rsidRPr="00E546C7">
              <w:rPr>
                <w:rFonts w:eastAsia="Times New Roman" w:cs="Times New Roman"/>
                <w:sz w:val="18"/>
              </w:rPr>
              <w:t>[0.100, 0.925]</w:t>
            </w:r>
          </w:p>
        </w:tc>
        <w:tc>
          <w:tcPr>
            <w:tcW w:w="1320" w:type="dxa"/>
            <w:tcMar>
              <w:top w:w="80" w:type="dxa"/>
              <w:left w:w="120" w:type="dxa"/>
              <w:bottom w:w="80" w:type="dxa"/>
              <w:right w:w="120" w:type="dxa"/>
            </w:tcMar>
            <w:vAlign w:val="center"/>
          </w:tcPr>
          <w:p w14:paraId="1736FF59" w14:textId="77777777" w:rsidR="007927B7" w:rsidRPr="00E546C7" w:rsidRDefault="007927B7" w:rsidP="00B11AF1">
            <w:pPr>
              <w:pStyle w:val="TableText"/>
              <w:keepNext/>
              <w:jc w:val="center"/>
              <w:rPr>
                <w:rFonts w:cs="Times New Roman"/>
              </w:rPr>
            </w:pPr>
            <w:r w:rsidRPr="00E546C7">
              <w:rPr>
                <w:rFonts w:eastAsia="Times New Roman" w:cs="Times New Roman"/>
                <w:sz w:val="18"/>
              </w:rPr>
              <w:t>0.263</w:t>
            </w:r>
          </w:p>
        </w:tc>
      </w:tr>
      <w:tr w:rsidR="007927B7" w:rsidRPr="00E546C7" w14:paraId="1262849E" w14:textId="77777777" w:rsidTr="00B11AF1">
        <w:trPr>
          <w:cantSplit/>
        </w:trPr>
        <w:tc>
          <w:tcPr>
            <w:tcW w:w="2600" w:type="dxa"/>
            <w:shd w:val="clear" w:color="auto" w:fill="F2F4F7"/>
            <w:tcMar>
              <w:top w:w="80" w:type="dxa"/>
              <w:left w:w="120" w:type="dxa"/>
              <w:bottom w:w="80" w:type="dxa"/>
              <w:right w:w="120" w:type="dxa"/>
            </w:tcMar>
            <w:vAlign w:val="center"/>
          </w:tcPr>
          <w:p w14:paraId="657F7D58" w14:textId="77777777" w:rsidR="007927B7" w:rsidRPr="00E546C7" w:rsidRDefault="007927B7" w:rsidP="00B11AF1">
            <w:pPr>
              <w:pStyle w:val="TableText"/>
              <w:keepNext/>
              <w:rPr>
                <w:rFonts w:cs="Times New Roman"/>
              </w:rPr>
            </w:pPr>
            <w:r w:rsidRPr="00E546C7">
              <w:rPr>
                <w:rFonts w:eastAsia="Times New Roman" w:cs="Times New Roman"/>
                <w:sz w:val="18"/>
              </w:rPr>
              <w:t>Global H1 statement (Q9)</w:t>
            </w:r>
          </w:p>
        </w:tc>
        <w:tc>
          <w:tcPr>
            <w:tcW w:w="800" w:type="dxa"/>
            <w:shd w:val="clear" w:color="auto" w:fill="F2F4F7"/>
            <w:tcMar>
              <w:top w:w="80" w:type="dxa"/>
              <w:left w:w="120" w:type="dxa"/>
              <w:bottom w:w="80" w:type="dxa"/>
              <w:right w:w="120" w:type="dxa"/>
            </w:tcMar>
            <w:vAlign w:val="center"/>
          </w:tcPr>
          <w:p w14:paraId="66F88D41" w14:textId="77777777" w:rsidR="007927B7" w:rsidRPr="00E546C7" w:rsidRDefault="007927B7" w:rsidP="00B11AF1">
            <w:pPr>
              <w:pStyle w:val="TableText"/>
              <w:keepNext/>
              <w:jc w:val="center"/>
              <w:rPr>
                <w:rFonts w:cs="Times New Roman"/>
              </w:rPr>
            </w:pPr>
            <w:r w:rsidRPr="00E546C7">
              <w:rPr>
                <w:rFonts w:eastAsia="Times New Roman" w:cs="Times New Roman"/>
                <w:sz w:val="18"/>
              </w:rPr>
              <w:t>-0.004</w:t>
            </w:r>
          </w:p>
        </w:tc>
        <w:tc>
          <w:tcPr>
            <w:tcW w:w="1100" w:type="dxa"/>
            <w:shd w:val="clear" w:color="auto" w:fill="F2F4F7"/>
            <w:tcMar>
              <w:top w:w="80" w:type="dxa"/>
              <w:left w:w="120" w:type="dxa"/>
              <w:bottom w:w="80" w:type="dxa"/>
              <w:right w:w="120" w:type="dxa"/>
            </w:tcMar>
            <w:vAlign w:val="center"/>
          </w:tcPr>
          <w:p w14:paraId="684FF338" w14:textId="77777777" w:rsidR="007927B7" w:rsidRPr="00E546C7" w:rsidRDefault="007927B7" w:rsidP="00B11AF1">
            <w:pPr>
              <w:pStyle w:val="TableText"/>
              <w:keepNext/>
              <w:jc w:val="center"/>
              <w:rPr>
                <w:rFonts w:cs="Times New Roman"/>
              </w:rPr>
            </w:pPr>
            <w:r w:rsidRPr="00E546C7">
              <w:rPr>
                <w:rFonts w:eastAsia="Times New Roman" w:cs="Times New Roman"/>
                <w:sz w:val="18"/>
              </w:rPr>
              <w:t>0.155</w:t>
            </w:r>
          </w:p>
        </w:tc>
        <w:tc>
          <w:tcPr>
            <w:tcW w:w="900" w:type="dxa"/>
            <w:shd w:val="clear" w:color="auto" w:fill="F2F4F7"/>
            <w:tcMar>
              <w:top w:w="80" w:type="dxa"/>
              <w:left w:w="120" w:type="dxa"/>
              <w:bottom w:w="80" w:type="dxa"/>
              <w:right w:w="120" w:type="dxa"/>
            </w:tcMar>
            <w:vAlign w:val="center"/>
          </w:tcPr>
          <w:p w14:paraId="5E3287CE" w14:textId="77777777" w:rsidR="007927B7" w:rsidRPr="00E546C7" w:rsidRDefault="007927B7" w:rsidP="00B11AF1">
            <w:pPr>
              <w:pStyle w:val="TableText"/>
              <w:keepNext/>
              <w:jc w:val="center"/>
              <w:rPr>
                <w:rFonts w:cs="Times New Roman"/>
              </w:rPr>
            </w:pPr>
            <w:r w:rsidRPr="00E546C7">
              <w:rPr>
                <w:rFonts w:eastAsia="Times New Roman" w:cs="Times New Roman"/>
                <w:sz w:val="18"/>
              </w:rPr>
              <w:t>.980</w:t>
            </w:r>
          </w:p>
        </w:tc>
        <w:tc>
          <w:tcPr>
            <w:tcW w:w="2300" w:type="dxa"/>
            <w:shd w:val="clear" w:color="auto" w:fill="F2F4F7"/>
            <w:tcMar>
              <w:top w:w="80" w:type="dxa"/>
              <w:left w:w="120" w:type="dxa"/>
              <w:bottom w:w="80" w:type="dxa"/>
              <w:right w:w="120" w:type="dxa"/>
            </w:tcMar>
            <w:vAlign w:val="center"/>
          </w:tcPr>
          <w:p w14:paraId="5390C938" w14:textId="77777777" w:rsidR="007927B7" w:rsidRPr="00E546C7" w:rsidRDefault="007927B7" w:rsidP="00B11AF1">
            <w:pPr>
              <w:pStyle w:val="TableText"/>
              <w:keepNext/>
              <w:jc w:val="center"/>
              <w:rPr>
                <w:rFonts w:cs="Times New Roman"/>
              </w:rPr>
            </w:pPr>
            <w:r w:rsidRPr="00E546C7">
              <w:rPr>
                <w:rFonts w:eastAsia="Times New Roman" w:cs="Times New Roman"/>
                <w:sz w:val="18"/>
              </w:rPr>
              <w:t>[-0.316, 0.309]</w:t>
            </w:r>
          </w:p>
        </w:tc>
        <w:tc>
          <w:tcPr>
            <w:tcW w:w="1320" w:type="dxa"/>
            <w:shd w:val="clear" w:color="auto" w:fill="F2F4F7"/>
            <w:tcMar>
              <w:top w:w="80" w:type="dxa"/>
              <w:left w:w="120" w:type="dxa"/>
              <w:bottom w:w="80" w:type="dxa"/>
              <w:right w:w="120" w:type="dxa"/>
            </w:tcMar>
            <w:vAlign w:val="center"/>
          </w:tcPr>
          <w:p w14:paraId="74844BF2" w14:textId="77777777" w:rsidR="007927B7" w:rsidRPr="00E546C7" w:rsidRDefault="007927B7" w:rsidP="00B11AF1">
            <w:pPr>
              <w:pStyle w:val="TableText"/>
              <w:keepNext/>
              <w:jc w:val="center"/>
              <w:rPr>
                <w:rFonts w:cs="Times New Roman"/>
              </w:rPr>
            </w:pPr>
            <w:r w:rsidRPr="00E546C7">
              <w:rPr>
                <w:rFonts w:eastAsia="Times New Roman" w:cs="Times New Roman"/>
                <w:sz w:val="18"/>
              </w:rPr>
              <w:t>0.000</w:t>
            </w:r>
          </w:p>
        </w:tc>
      </w:tr>
      <w:tr w:rsidR="007927B7" w:rsidRPr="00E546C7" w14:paraId="77C9737B" w14:textId="77777777" w:rsidTr="00B11AF1">
        <w:trPr>
          <w:cantSplit/>
        </w:trPr>
        <w:tc>
          <w:tcPr>
            <w:tcW w:w="2600" w:type="dxa"/>
            <w:tcMar>
              <w:top w:w="80" w:type="dxa"/>
              <w:left w:w="120" w:type="dxa"/>
              <w:bottom w:w="80" w:type="dxa"/>
              <w:right w:w="120" w:type="dxa"/>
            </w:tcMar>
            <w:vAlign w:val="center"/>
          </w:tcPr>
          <w:p w14:paraId="6886650E" w14:textId="77777777" w:rsidR="007927B7" w:rsidRPr="00E546C7" w:rsidRDefault="007927B7" w:rsidP="00B11AF1">
            <w:pPr>
              <w:pStyle w:val="TableText"/>
              <w:keepNext/>
              <w:rPr>
                <w:rFonts w:cs="Times New Roman"/>
              </w:rPr>
            </w:pPr>
            <w:r w:rsidRPr="00E546C7">
              <w:rPr>
                <w:rFonts w:eastAsia="Times New Roman" w:cs="Times New Roman"/>
                <w:sz w:val="18"/>
              </w:rPr>
              <w:t>H2: loyalty</w:t>
            </w:r>
          </w:p>
        </w:tc>
        <w:tc>
          <w:tcPr>
            <w:tcW w:w="800" w:type="dxa"/>
            <w:tcMar>
              <w:top w:w="80" w:type="dxa"/>
              <w:left w:w="120" w:type="dxa"/>
              <w:bottom w:w="80" w:type="dxa"/>
              <w:right w:w="120" w:type="dxa"/>
            </w:tcMar>
            <w:vAlign w:val="center"/>
          </w:tcPr>
          <w:p w14:paraId="06DFCB1E" w14:textId="77777777" w:rsidR="007927B7" w:rsidRPr="00E546C7" w:rsidRDefault="007927B7" w:rsidP="00B11AF1">
            <w:pPr>
              <w:pStyle w:val="TableText"/>
              <w:keepNext/>
              <w:jc w:val="center"/>
              <w:rPr>
                <w:rFonts w:cs="Times New Roman"/>
              </w:rPr>
            </w:pPr>
            <w:r w:rsidRPr="00E546C7">
              <w:rPr>
                <w:rFonts w:eastAsia="Times New Roman" w:cs="Times New Roman"/>
                <w:sz w:val="18"/>
              </w:rPr>
              <w:t>-0.061</w:t>
            </w:r>
          </w:p>
        </w:tc>
        <w:tc>
          <w:tcPr>
            <w:tcW w:w="1100" w:type="dxa"/>
            <w:tcMar>
              <w:top w:w="80" w:type="dxa"/>
              <w:left w:w="120" w:type="dxa"/>
              <w:bottom w:w="80" w:type="dxa"/>
              <w:right w:w="120" w:type="dxa"/>
            </w:tcMar>
            <w:vAlign w:val="center"/>
          </w:tcPr>
          <w:p w14:paraId="527FE922" w14:textId="77777777" w:rsidR="007927B7" w:rsidRPr="00E546C7" w:rsidRDefault="007927B7" w:rsidP="00B11AF1">
            <w:pPr>
              <w:pStyle w:val="TableText"/>
              <w:keepNext/>
              <w:jc w:val="center"/>
              <w:rPr>
                <w:rFonts w:cs="Times New Roman"/>
              </w:rPr>
            </w:pPr>
            <w:r w:rsidRPr="00E546C7">
              <w:rPr>
                <w:rFonts w:eastAsia="Times New Roman" w:cs="Times New Roman"/>
                <w:sz w:val="18"/>
              </w:rPr>
              <w:t>0.166</w:t>
            </w:r>
          </w:p>
        </w:tc>
        <w:tc>
          <w:tcPr>
            <w:tcW w:w="900" w:type="dxa"/>
            <w:tcMar>
              <w:top w:w="80" w:type="dxa"/>
              <w:left w:w="120" w:type="dxa"/>
              <w:bottom w:w="80" w:type="dxa"/>
              <w:right w:w="120" w:type="dxa"/>
            </w:tcMar>
            <w:vAlign w:val="center"/>
          </w:tcPr>
          <w:p w14:paraId="101F8FC7" w14:textId="77777777" w:rsidR="007927B7" w:rsidRPr="00E546C7" w:rsidRDefault="007927B7" w:rsidP="00B11AF1">
            <w:pPr>
              <w:pStyle w:val="TableText"/>
              <w:keepNext/>
              <w:jc w:val="center"/>
              <w:rPr>
                <w:rFonts w:cs="Times New Roman"/>
              </w:rPr>
            </w:pPr>
            <w:r w:rsidRPr="00E546C7">
              <w:rPr>
                <w:rFonts w:eastAsia="Times New Roman" w:cs="Times New Roman"/>
                <w:sz w:val="18"/>
              </w:rPr>
              <w:t>.716</w:t>
            </w:r>
          </w:p>
        </w:tc>
        <w:tc>
          <w:tcPr>
            <w:tcW w:w="2300" w:type="dxa"/>
            <w:tcMar>
              <w:top w:w="80" w:type="dxa"/>
              <w:left w:w="120" w:type="dxa"/>
              <w:bottom w:w="80" w:type="dxa"/>
              <w:right w:w="120" w:type="dxa"/>
            </w:tcMar>
            <w:vAlign w:val="center"/>
          </w:tcPr>
          <w:p w14:paraId="25DB7147" w14:textId="77777777" w:rsidR="007927B7" w:rsidRPr="00E546C7" w:rsidRDefault="007927B7" w:rsidP="00B11AF1">
            <w:pPr>
              <w:pStyle w:val="TableText"/>
              <w:keepNext/>
              <w:jc w:val="center"/>
              <w:rPr>
                <w:rFonts w:cs="Times New Roman"/>
              </w:rPr>
            </w:pPr>
            <w:r w:rsidRPr="00E546C7">
              <w:rPr>
                <w:rFonts w:eastAsia="Times New Roman" w:cs="Times New Roman"/>
                <w:sz w:val="18"/>
              </w:rPr>
              <w:t>[-0.394, 0.273]</w:t>
            </w:r>
          </w:p>
        </w:tc>
        <w:tc>
          <w:tcPr>
            <w:tcW w:w="1320" w:type="dxa"/>
            <w:tcMar>
              <w:top w:w="80" w:type="dxa"/>
              <w:left w:w="120" w:type="dxa"/>
              <w:bottom w:w="80" w:type="dxa"/>
              <w:right w:w="120" w:type="dxa"/>
            </w:tcMar>
            <w:vAlign w:val="center"/>
          </w:tcPr>
          <w:p w14:paraId="6E957C2B" w14:textId="77777777" w:rsidR="007927B7" w:rsidRPr="00E546C7" w:rsidRDefault="007927B7" w:rsidP="00B11AF1">
            <w:pPr>
              <w:pStyle w:val="TableText"/>
              <w:keepNext/>
              <w:jc w:val="center"/>
              <w:rPr>
                <w:rFonts w:cs="Times New Roman"/>
              </w:rPr>
            </w:pPr>
            <w:r w:rsidRPr="00E546C7">
              <w:rPr>
                <w:rFonts w:eastAsia="Times New Roman" w:cs="Times New Roman"/>
                <w:sz w:val="18"/>
              </w:rPr>
              <w:t>0.004</w:t>
            </w:r>
          </w:p>
        </w:tc>
      </w:tr>
    </w:tbl>
    <w:p w14:paraId="06602B40" w14:textId="77777777" w:rsidR="007927B7" w:rsidRPr="00E546C7" w:rsidRDefault="007927B7" w:rsidP="007927B7">
      <w:pPr>
        <w:pStyle w:val="SourceNote"/>
        <w:rPr>
          <w:rFonts w:cs="Times New Roman"/>
        </w:rPr>
      </w:pPr>
      <w:r w:rsidRPr="00E546C7">
        <w:rPr>
          <w:rFonts w:eastAsia="Times New Roman" w:cs="Times New Roman"/>
        </w:rPr>
        <w:t>Source: Author’s analysis of survey data (n = 50). Regression is a robustness check; Spearman’s rho is primary.</w:t>
      </w:r>
    </w:p>
    <w:p w14:paraId="3267E994" w14:textId="77777777" w:rsidR="007927B7" w:rsidRPr="00E546C7" w:rsidRDefault="007927B7" w:rsidP="007927B7">
      <w:pPr>
        <w:pStyle w:val="Caption"/>
        <w:jc w:val="left"/>
        <w:rPr>
          <w:rFonts w:cs="Times New Roman"/>
        </w:rPr>
      </w:pPr>
      <w:r w:rsidRPr="00E546C7">
        <w:rPr>
          <w:rFonts w:eastAsia="Times New Roman" w:cs="Times New Roman"/>
          <w:color w:val="1F2933"/>
        </w:rPr>
        <w:t>Table 4.6: Hypothesis Decisions</w:t>
      </w:r>
    </w:p>
    <w:tbl>
      <w:tblPr>
        <w:tblStyle w:val="TableGrid"/>
        <w:tblW w:w="9020" w:type="dxa"/>
        <w:tblInd w:w="120" w:type="dxa"/>
        <w:tblLayout w:type="fixed"/>
        <w:tblLook w:val="04A0" w:firstRow="1" w:lastRow="0" w:firstColumn="1" w:lastColumn="0" w:noHBand="0" w:noVBand="1"/>
      </w:tblPr>
      <w:tblGrid>
        <w:gridCol w:w="900"/>
        <w:gridCol w:w="3980"/>
        <w:gridCol w:w="2760"/>
        <w:gridCol w:w="1380"/>
      </w:tblGrid>
      <w:tr w:rsidR="007927B7" w:rsidRPr="00E546C7" w14:paraId="5CD36863" w14:textId="77777777" w:rsidTr="00B11AF1">
        <w:trPr>
          <w:cantSplit/>
          <w:tblHeader/>
        </w:trPr>
        <w:tc>
          <w:tcPr>
            <w:tcW w:w="900" w:type="dxa"/>
            <w:shd w:val="clear" w:color="auto" w:fill="17365D"/>
            <w:tcMar>
              <w:top w:w="80" w:type="dxa"/>
              <w:left w:w="120" w:type="dxa"/>
              <w:bottom w:w="80" w:type="dxa"/>
              <w:right w:w="120" w:type="dxa"/>
            </w:tcMar>
            <w:vAlign w:val="center"/>
          </w:tcPr>
          <w:p w14:paraId="57789680" w14:textId="77777777" w:rsidR="007927B7" w:rsidRPr="00E546C7" w:rsidRDefault="007927B7" w:rsidP="00B11AF1">
            <w:pPr>
              <w:pStyle w:val="TableHeader"/>
              <w:keepNext/>
              <w:rPr>
                <w:rFonts w:cs="Times New Roman"/>
              </w:rPr>
            </w:pPr>
            <w:r w:rsidRPr="00E546C7">
              <w:rPr>
                <w:rFonts w:eastAsia="Times New Roman" w:cs="Times New Roman"/>
                <w:b/>
                <w:sz w:val="18"/>
              </w:rPr>
              <w:t>Hypothesis</w:t>
            </w:r>
          </w:p>
        </w:tc>
        <w:tc>
          <w:tcPr>
            <w:tcW w:w="3980" w:type="dxa"/>
            <w:shd w:val="clear" w:color="auto" w:fill="17365D"/>
            <w:tcMar>
              <w:top w:w="80" w:type="dxa"/>
              <w:left w:w="120" w:type="dxa"/>
              <w:bottom w:w="80" w:type="dxa"/>
              <w:right w:w="120" w:type="dxa"/>
            </w:tcMar>
            <w:vAlign w:val="center"/>
          </w:tcPr>
          <w:p w14:paraId="48328E22" w14:textId="77777777" w:rsidR="007927B7" w:rsidRPr="00E546C7" w:rsidRDefault="007927B7" w:rsidP="00B11AF1">
            <w:pPr>
              <w:pStyle w:val="TableHeader"/>
              <w:keepNext/>
              <w:rPr>
                <w:rFonts w:cs="Times New Roman"/>
              </w:rPr>
            </w:pPr>
            <w:r w:rsidRPr="00E546C7">
              <w:rPr>
                <w:rFonts w:eastAsia="Times New Roman" w:cs="Times New Roman"/>
                <w:b/>
                <w:sz w:val="18"/>
              </w:rPr>
              <w:t>Proposition</w:t>
            </w:r>
          </w:p>
        </w:tc>
        <w:tc>
          <w:tcPr>
            <w:tcW w:w="2760" w:type="dxa"/>
            <w:shd w:val="clear" w:color="auto" w:fill="17365D"/>
            <w:tcMar>
              <w:top w:w="80" w:type="dxa"/>
              <w:left w:w="120" w:type="dxa"/>
              <w:bottom w:w="80" w:type="dxa"/>
              <w:right w:w="120" w:type="dxa"/>
            </w:tcMar>
            <w:vAlign w:val="center"/>
          </w:tcPr>
          <w:p w14:paraId="56837BD4" w14:textId="77777777" w:rsidR="007927B7" w:rsidRPr="00E546C7" w:rsidRDefault="007927B7" w:rsidP="00B11AF1">
            <w:pPr>
              <w:pStyle w:val="TableHeader"/>
              <w:keepNext/>
              <w:rPr>
                <w:rFonts w:cs="Times New Roman"/>
              </w:rPr>
            </w:pPr>
            <w:r w:rsidRPr="00E546C7">
              <w:rPr>
                <w:rFonts w:eastAsia="Times New Roman" w:cs="Times New Roman"/>
                <w:b/>
                <w:sz w:val="18"/>
              </w:rPr>
              <w:t>Primary Evidence</w:t>
            </w:r>
          </w:p>
        </w:tc>
        <w:tc>
          <w:tcPr>
            <w:tcW w:w="1380" w:type="dxa"/>
            <w:shd w:val="clear" w:color="auto" w:fill="17365D"/>
            <w:tcMar>
              <w:top w:w="80" w:type="dxa"/>
              <w:left w:w="120" w:type="dxa"/>
              <w:bottom w:w="80" w:type="dxa"/>
              <w:right w:w="120" w:type="dxa"/>
            </w:tcMar>
            <w:vAlign w:val="center"/>
          </w:tcPr>
          <w:p w14:paraId="0D3246D1" w14:textId="77777777" w:rsidR="007927B7" w:rsidRPr="00E546C7" w:rsidRDefault="007927B7" w:rsidP="00B11AF1">
            <w:pPr>
              <w:pStyle w:val="TableHeader"/>
              <w:keepNext/>
              <w:rPr>
                <w:rFonts w:cs="Times New Roman"/>
              </w:rPr>
            </w:pPr>
            <w:r w:rsidRPr="00E546C7">
              <w:rPr>
                <w:rFonts w:eastAsia="Times New Roman" w:cs="Times New Roman"/>
                <w:b/>
                <w:sz w:val="18"/>
              </w:rPr>
              <w:t>Decision</w:t>
            </w:r>
          </w:p>
        </w:tc>
      </w:tr>
      <w:tr w:rsidR="007927B7" w:rsidRPr="00E546C7" w14:paraId="1A27041E" w14:textId="77777777" w:rsidTr="00B11AF1">
        <w:trPr>
          <w:cantSplit/>
        </w:trPr>
        <w:tc>
          <w:tcPr>
            <w:tcW w:w="900" w:type="dxa"/>
            <w:tcMar>
              <w:top w:w="80" w:type="dxa"/>
              <w:left w:w="120" w:type="dxa"/>
              <w:bottom w:w="80" w:type="dxa"/>
              <w:right w:w="120" w:type="dxa"/>
            </w:tcMar>
            <w:vAlign w:val="center"/>
          </w:tcPr>
          <w:p w14:paraId="35587B1A" w14:textId="77777777" w:rsidR="007927B7" w:rsidRPr="00E546C7" w:rsidRDefault="007927B7" w:rsidP="00B11AF1">
            <w:pPr>
              <w:pStyle w:val="TableText"/>
              <w:keepNext/>
              <w:rPr>
                <w:rFonts w:cs="Times New Roman"/>
              </w:rPr>
            </w:pPr>
            <w:r w:rsidRPr="00E546C7">
              <w:rPr>
                <w:rFonts w:eastAsia="Times New Roman" w:cs="Times New Roman"/>
                <w:sz w:val="18"/>
              </w:rPr>
              <w:t>H1</w:t>
            </w:r>
          </w:p>
        </w:tc>
        <w:tc>
          <w:tcPr>
            <w:tcW w:w="3980" w:type="dxa"/>
            <w:tcMar>
              <w:top w:w="80" w:type="dxa"/>
              <w:left w:w="120" w:type="dxa"/>
              <w:bottom w:w="80" w:type="dxa"/>
              <w:right w:w="120" w:type="dxa"/>
            </w:tcMar>
            <w:vAlign w:val="center"/>
          </w:tcPr>
          <w:p w14:paraId="1E7765D2" w14:textId="77777777" w:rsidR="007927B7" w:rsidRPr="00E546C7" w:rsidRDefault="007927B7" w:rsidP="00B11AF1">
            <w:pPr>
              <w:pStyle w:val="TableText"/>
              <w:keepNext/>
              <w:rPr>
                <w:rFonts w:cs="Times New Roman"/>
              </w:rPr>
            </w:pPr>
            <w:r w:rsidRPr="00E546C7">
              <w:rPr>
                <w:rFonts w:eastAsia="Times New Roman" w:cs="Times New Roman"/>
                <w:sz w:val="18"/>
              </w:rPr>
              <w:t>Positive IMC perception is associated with attitude and purchase intention.</w:t>
            </w:r>
          </w:p>
        </w:tc>
        <w:tc>
          <w:tcPr>
            <w:tcW w:w="2760" w:type="dxa"/>
            <w:tcMar>
              <w:top w:w="80" w:type="dxa"/>
              <w:left w:w="120" w:type="dxa"/>
              <w:bottom w:w="80" w:type="dxa"/>
              <w:right w:w="120" w:type="dxa"/>
            </w:tcMar>
            <w:vAlign w:val="center"/>
          </w:tcPr>
          <w:p w14:paraId="6589E6CE" w14:textId="77777777" w:rsidR="007927B7" w:rsidRPr="00E546C7" w:rsidRDefault="007927B7" w:rsidP="00B11AF1">
            <w:pPr>
              <w:pStyle w:val="TableText"/>
              <w:keepNext/>
              <w:rPr>
                <w:rFonts w:cs="Times New Roman"/>
              </w:rPr>
            </w:pPr>
            <w:r w:rsidRPr="00E546C7">
              <w:rPr>
                <w:rFonts w:eastAsia="Times New Roman" w:cs="Times New Roman"/>
                <w:sz w:val="18"/>
              </w:rPr>
              <w:t>ρ = .576, p &lt; .001; CI [.314, .771]</w:t>
            </w:r>
          </w:p>
        </w:tc>
        <w:tc>
          <w:tcPr>
            <w:tcW w:w="1380" w:type="dxa"/>
            <w:tcMar>
              <w:top w:w="80" w:type="dxa"/>
              <w:left w:w="120" w:type="dxa"/>
              <w:bottom w:w="80" w:type="dxa"/>
              <w:right w:w="120" w:type="dxa"/>
            </w:tcMar>
            <w:vAlign w:val="center"/>
          </w:tcPr>
          <w:p w14:paraId="76684B8B" w14:textId="77777777" w:rsidR="007927B7" w:rsidRPr="00E546C7" w:rsidRDefault="007927B7" w:rsidP="00B11AF1">
            <w:pPr>
              <w:pStyle w:val="TableText"/>
              <w:keepNext/>
              <w:jc w:val="center"/>
              <w:rPr>
                <w:rFonts w:cs="Times New Roman"/>
              </w:rPr>
            </w:pPr>
            <w:r w:rsidRPr="00E546C7">
              <w:rPr>
                <w:rFonts w:eastAsia="Times New Roman" w:cs="Times New Roman"/>
                <w:sz w:val="18"/>
              </w:rPr>
              <w:t>Supported</w:t>
            </w:r>
          </w:p>
        </w:tc>
      </w:tr>
      <w:tr w:rsidR="007927B7" w:rsidRPr="00E546C7" w14:paraId="5035208C" w14:textId="77777777" w:rsidTr="00B11AF1">
        <w:trPr>
          <w:cantSplit/>
        </w:trPr>
        <w:tc>
          <w:tcPr>
            <w:tcW w:w="900" w:type="dxa"/>
            <w:shd w:val="clear" w:color="auto" w:fill="F2F4F7"/>
            <w:tcMar>
              <w:top w:w="80" w:type="dxa"/>
              <w:left w:w="120" w:type="dxa"/>
              <w:bottom w:w="80" w:type="dxa"/>
              <w:right w:w="120" w:type="dxa"/>
            </w:tcMar>
            <w:vAlign w:val="center"/>
          </w:tcPr>
          <w:p w14:paraId="65D5A6AC" w14:textId="77777777" w:rsidR="007927B7" w:rsidRPr="00E546C7" w:rsidRDefault="007927B7" w:rsidP="00B11AF1">
            <w:pPr>
              <w:pStyle w:val="TableText"/>
              <w:keepNext/>
              <w:rPr>
                <w:rFonts w:cs="Times New Roman"/>
              </w:rPr>
            </w:pPr>
            <w:r w:rsidRPr="00E546C7">
              <w:rPr>
                <w:rFonts w:eastAsia="Times New Roman" w:cs="Times New Roman"/>
                <w:sz w:val="18"/>
              </w:rPr>
              <w:t>H2</w:t>
            </w:r>
          </w:p>
        </w:tc>
        <w:tc>
          <w:tcPr>
            <w:tcW w:w="3980" w:type="dxa"/>
            <w:shd w:val="clear" w:color="auto" w:fill="F2F4F7"/>
            <w:tcMar>
              <w:top w:w="80" w:type="dxa"/>
              <w:left w:w="120" w:type="dxa"/>
              <w:bottom w:w="80" w:type="dxa"/>
              <w:right w:w="120" w:type="dxa"/>
            </w:tcMar>
            <w:vAlign w:val="center"/>
          </w:tcPr>
          <w:p w14:paraId="50680207" w14:textId="77777777" w:rsidR="007927B7" w:rsidRPr="00E546C7" w:rsidRDefault="007927B7" w:rsidP="00B11AF1">
            <w:pPr>
              <w:pStyle w:val="TableText"/>
              <w:keepNext/>
              <w:rPr>
                <w:rFonts w:cs="Times New Roman"/>
              </w:rPr>
            </w:pPr>
            <w:r w:rsidRPr="00E546C7">
              <w:rPr>
                <w:rFonts w:eastAsia="Times New Roman" w:cs="Times New Roman"/>
                <w:sz w:val="18"/>
              </w:rPr>
              <w:t>Positive IMC perception is associated with brand loyalty.</w:t>
            </w:r>
          </w:p>
        </w:tc>
        <w:tc>
          <w:tcPr>
            <w:tcW w:w="2760" w:type="dxa"/>
            <w:shd w:val="clear" w:color="auto" w:fill="F2F4F7"/>
            <w:tcMar>
              <w:top w:w="80" w:type="dxa"/>
              <w:left w:w="120" w:type="dxa"/>
              <w:bottom w:w="80" w:type="dxa"/>
              <w:right w:w="120" w:type="dxa"/>
            </w:tcMar>
            <w:vAlign w:val="center"/>
          </w:tcPr>
          <w:p w14:paraId="4122B5D0" w14:textId="77777777" w:rsidR="007927B7" w:rsidRPr="00E546C7" w:rsidRDefault="007927B7" w:rsidP="00B11AF1">
            <w:pPr>
              <w:pStyle w:val="TableText"/>
              <w:keepNext/>
              <w:rPr>
                <w:rFonts w:cs="Times New Roman"/>
              </w:rPr>
            </w:pPr>
            <w:r w:rsidRPr="00E546C7">
              <w:rPr>
                <w:rFonts w:eastAsia="Times New Roman" w:cs="Times New Roman"/>
                <w:sz w:val="18"/>
              </w:rPr>
              <w:t>ρ = .060, p = .677; CI [-.262, .389]</w:t>
            </w:r>
          </w:p>
        </w:tc>
        <w:tc>
          <w:tcPr>
            <w:tcW w:w="1380" w:type="dxa"/>
            <w:shd w:val="clear" w:color="auto" w:fill="F2F4F7"/>
            <w:tcMar>
              <w:top w:w="80" w:type="dxa"/>
              <w:left w:w="120" w:type="dxa"/>
              <w:bottom w:w="80" w:type="dxa"/>
              <w:right w:w="120" w:type="dxa"/>
            </w:tcMar>
            <w:vAlign w:val="center"/>
          </w:tcPr>
          <w:p w14:paraId="6BA5BC49" w14:textId="77777777" w:rsidR="007927B7" w:rsidRPr="00E546C7" w:rsidRDefault="007927B7" w:rsidP="00B11AF1">
            <w:pPr>
              <w:pStyle w:val="TableText"/>
              <w:keepNext/>
              <w:jc w:val="center"/>
              <w:rPr>
                <w:rFonts w:cs="Times New Roman"/>
              </w:rPr>
            </w:pPr>
            <w:r w:rsidRPr="00E546C7">
              <w:rPr>
                <w:rFonts w:eastAsia="Times New Roman" w:cs="Times New Roman"/>
                <w:sz w:val="18"/>
              </w:rPr>
              <w:t>Not supported</w:t>
            </w:r>
          </w:p>
        </w:tc>
      </w:tr>
    </w:tbl>
    <w:p w14:paraId="212E8795" w14:textId="77777777" w:rsidR="007927B7" w:rsidRPr="00E546C7" w:rsidRDefault="007927B7" w:rsidP="007927B7">
      <w:pPr>
        <w:pStyle w:val="SourceNote"/>
        <w:rPr>
          <w:rFonts w:cs="Times New Roman"/>
        </w:rPr>
      </w:pPr>
      <w:r w:rsidRPr="00E546C7">
        <w:rPr>
          <w:rFonts w:eastAsia="Times New Roman" w:cs="Times New Roman"/>
        </w:rPr>
        <w:t>Source: Author’s analysis of survey data (n = 50).</w:t>
      </w:r>
    </w:p>
    <w:p w14:paraId="1114281D" w14:textId="0C308570" w:rsidR="007927B7" w:rsidRPr="00E546C7" w:rsidRDefault="007927B7" w:rsidP="007927B7">
      <w:r w:rsidRPr="00E546C7">
        <w:br/>
      </w:r>
      <w:r w:rsidRPr="00E546C7">
        <w:rPr>
          <w:rFonts w:eastAsiaTheme="majorEastAsia"/>
        </w:rPr>
        <w:t>The combined results paint a picture of an outcome gradient.</w:t>
      </w:r>
      <w:r w:rsidRPr="00E546C7">
        <w:t xml:space="preserve"> </w:t>
      </w:r>
      <w:r w:rsidRPr="00E546C7">
        <w:rPr>
          <w:rFonts w:eastAsiaTheme="majorEastAsia"/>
        </w:rPr>
        <w:t>However, the perceived integration is meaningfully connected with immediate evaluative and intentional consequences, but not with the more long-term relationship outcome.</w:t>
      </w:r>
      <w:r w:rsidRPr="00E546C7">
        <w:t xml:space="preserve"> </w:t>
      </w:r>
      <w:r w:rsidRPr="00E546C7">
        <w:rPr>
          <w:rFonts w:eastAsiaTheme="majorEastAsia"/>
        </w:rPr>
        <w:t>This finding is in line with the distinction put forth by the Tricomponent Model and the Loyalty Ladder</w:t>
      </w:r>
      <w:r w:rsidR="00207B08" w:rsidRPr="00E546C7">
        <w:rPr>
          <w:rFonts w:eastAsiaTheme="majorEastAsia"/>
        </w:rPr>
        <w:t>. C</w:t>
      </w:r>
      <w:r w:rsidRPr="00E546C7">
        <w:rPr>
          <w:rFonts w:eastAsiaTheme="majorEastAsia"/>
        </w:rPr>
        <w:t>ommunication quality can support cognition, affect and conation without guaranteeing movement to advocacy</w:t>
      </w:r>
      <w:r w:rsidR="00207B08" w:rsidRPr="00E546C7">
        <w:rPr>
          <w:rFonts w:eastAsiaTheme="majorEastAsia"/>
        </w:rPr>
        <w:t xml:space="preserve"> </w:t>
      </w:r>
      <w:r w:rsidR="00207B08" w:rsidRPr="00E546C7">
        <w:rPr>
          <w:color w:val="000000"/>
        </w:rPr>
        <w:t>(Zhou et al., 2020)</w:t>
      </w:r>
      <w:r w:rsidRPr="00E546C7">
        <w:rPr>
          <w:rFonts w:eastAsiaTheme="majorEastAsia"/>
        </w:rPr>
        <w:t>.</w:t>
      </w:r>
      <w:r w:rsidRPr="00E546C7">
        <w:t xml:space="preserve"> </w:t>
      </w:r>
      <w:r w:rsidRPr="00E546C7">
        <w:rPr>
          <w:rFonts w:eastAsiaTheme="majorEastAsia"/>
        </w:rPr>
        <w:t>Also, it helps make the separation of description and support of inference clear.</w:t>
      </w:r>
      <w:r w:rsidRPr="00E546C7">
        <w:t xml:space="preserve"> </w:t>
      </w:r>
      <w:r w:rsidRPr="00E546C7">
        <w:rPr>
          <w:rFonts w:eastAsiaTheme="majorEastAsia"/>
        </w:rPr>
        <w:t xml:space="preserve">Respondents are in high agreement on </w:t>
      </w:r>
      <w:r w:rsidRPr="00E546C7">
        <w:t xml:space="preserve">the </w:t>
      </w:r>
      <w:r w:rsidRPr="00E546C7">
        <w:rPr>
          <w:rFonts w:eastAsiaTheme="majorEastAsia"/>
        </w:rPr>
        <w:t>majority of the questions, thus building up a positive overall picture of the questions</w:t>
      </w:r>
      <w:r w:rsidRPr="00E546C7">
        <w:t>,</w:t>
      </w:r>
      <w:r w:rsidRPr="00E546C7">
        <w:rPr>
          <w:rFonts w:eastAsiaTheme="majorEastAsia"/>
        </w:rPr>
        <w:t xml:space="preserve"> while the covariance testing</w:t>
      </w:r>
      <w:r w:rsidRPr="00E546C7">
        <w:t>,</w:t>
      </w:r>
      <w:r w:rsidRPr="00E546C7">
        <w:rPr>
          <w:rFonts w:eastAsiaTheme="majorEastAsia"/>
        </w:rPr>
        <w:t xml:space="preserve"> on the other hand</w:t>
      </w:r>
      <w:r w:rsidRPr="00E546C7">
        <w:t>,</w:t>
      </w:r>
      <w:r w:rsidRPr="00E546C7">
        <w:rPr>
          <w:rFonts w:eastAsiaTheme="majorEastAsia"/>
        </w:rPr>
        <w:t xml:space="preserve"> is able to identify which of the relationship</w:t>
      </w:r>
      <w:r w:rsidRPr="00E546C7">
        <w:t>s</w:t>
      </w:r>
      <w:r w:rsidRPr="00E546C7">
        <w:rPr>
          <w:rFonts w:eastAsiaTheme="majorEastAsia"/>
        </w:rPr>
        <w:t xml:space="preserve"> proposed the data support</w:t>
      </w:r>
      <w:r w:rsidRPr="00E546C7">
        <w:t>.</w:t>
      </w:r>
    </w:p>
    <w:p w14:paraId="4D5390DD" w14:textId="77777777" w:rsidR="007927B7" w:rsidRPr="00E546C7" w:rsidRDefault="007927B7" w:rsidP="007927B7">
      <w:pPr>
        <w:pStyle w:val="Heading3"/>
        <w:rPr>
          <w:rFonts w:cs="Times New Roman"/>
        </w:rPr>
      </w:pPr>
      <w:bookmarkStart w:id="64" w:name="_Toc239819720"/>
      <w:r w:rsidRPr="00E546C7">
        <w:rPr>
          <w:rFonts w:cs="Times New Roman"/>
        </w:rPr>
        <w:t>4.14.1 Analytical Robustness and Boundary Conditions</w:t>
      </w:r>
      <w:bookmarkEnd w:id="64"/>
    </w:p>
    <w:p w14:paraId="19E94E32" w14:textId="2B3623FF" w:rsidR="007927B7" w:rsidRPr="00E546C7" w:rsidRDefault="007927B7" w:rsidP="007927B7">
      <w:r w:rsidRPr="00E546C7">
        <w:rPr>
          <w:rFonts w:eastAsiaTheme="majorEastAsia"/>
        </w:rPr>
        <w:t>Findings are enhanced through choices.</w:t>
      </w:r>
      <w:r w:rsidRPr="00E546C7">
        <w:t xml:space="preserve"> </w:t>
      </w:r>
      <w:r w:rsidRPr="00E546C7">
        <w:rPr>
          <w:rFonts w:eastAsiaTheme="majorEastAsia"/>
        </w:rPr>
        <w:t>Spearman correlation is appropriate for the data that were Likert data and for interval data that are not normally distributed.</w:t>
      </w:r>
      <w:r w:rsidRPr="00E546C7">
        <w:t xml:space="preserve"> </w:t>
      </w:r>
      <w:r w:rsidRPr="00E546C7">
        <w:rPr>
          <w:rFonts w:eastAsiaTheme="majorEastAsia"/>
        </w:rPr>
        <w:t>Bootstrapping is performed on the 50-person sample to account for the imprecision in the sample, and a robustness check is conducted using HC3 regression</w:t>
      </w:r>
      <w:r w:rsidR="00207B08" w:rsidRPr="00E546C7">
        <w:rPr>
          <w:rFonts w:eastAsiaTheme="majorEastAsia"/>
        </w:rPr>
        <w:t xml:space="preserve"> </w:t>
      </w:r>
      <w:r w:rsidR="00207B08" w:rsidRPr="00E546C7">
        <w:rPr>
          <w:color w:val="000000"/>
        </w:rPr>
        <w:t>(Zhou et al., 2026)</w:t>
      </w:r>
      <w:r w:rsidRPr="00E546C7">
        <w:rPr>
          <w:rFonts w:eastAsiaTheme="majorEastAsia"/>
        </w:rPr>
        <w:t>.</w:t>
      </w:r>
      <w:r w:rsidRPr="00E546C7">
        <w:t xml:space="preserve"> </w:t>
      </w:r>
      <w:r w:rsidRPr="00E546C7">
        <w:rPr>
          <w:rFonts w:eastAsiaTheme="majorEastAsia"/>
        </w:rPr>
        <w:t>For H1</w:t>
      </w:r>
      <w:r w:rsidRPr="00E546C7">
        <w:t>,</w:t>
      </w:r>
      <w:r w:rsidRPr="00E546C7">
        <w:rPr>
          <w:rFonts w:eastAsiaTheme="majorEastAsia"/>
        </w:rPr>
        <w:t xml:space="preserve"> there were no intervals below zero</w:t>
      </w:r>
      <w:r w:rsidRPr="00E546C7">
        <w:t>,</w:t>
      </w:r>
      <w:r w:rsidRPr="00E546C7">
        <w:rPr>
          <w:rFonts w:eastAsiaTheme="majorEastAsia"/>
        </w:rPr>
        <w:t xml:space="preserve"> and the attitude and purchase-intention coefficients were comparable, while for H2 the correlation and regression values were negligible</w:t>
      </w:r>
      <w:r w:rsidRPr="00E546C7">
        <w:t>,</w:t>
      </w:r>
      <w:r w:rsidRPr="00E546C7">
        <w:rPr>
          <w:rFonts w:eastAsiaTheme="majorEastAsia"/>
        </w:rPr>
        <w:t xml:space="preserve"> indicating that there was no specific result rejecting the </w:t>
      </w:r>
      <w:r w:rsidR="00207B08" w:rsidRPr="00E546C7">
        <w:rPr>
          <w:rFonts w:eastAsiaTheme="majorEastAsia"/>
        </w:rPr>
        <w:t>hypothesis</w:t>
      </w:r>
      <w:r w:rsidRPr="00E546C7">
        <w:rPr>
          <w:rFonts w:eastAsiaTheme="majorEastAsia"/>
        </w:rPr>
        <w:t>.</w:t>
      </w:r>
      <w:r w:rsidRPr="00E546C7">
        <w:t xml:space="preserve"> Constraints remain. </w:t>
      </w:r>
      <w:r w:rsidRPr="00E546C7">
        <w:rPr>
          <w:rFonts w:eastAsiaTheme="majorEastAsia"/>
        </w:rPr>
        <w:t>Correlation can be negatively affected by restricted variation</w:t>
      </w:r>
      <w:r w:rsidRPr="00E546C7">
        <w:t>,</w:t>
      </w:r>
      <w:r w:rsidRPr="00E546C7">
        <w:rPr>
          <w:rFonts w:eastAsiaTheme="majorEastAsia"/>
        </w:rPr>
        <w:t xml:space="preserve"> but most of the selected agree or strongly agree</w:t>
      </w:r>
      <w:r w:rsidR="00207B08" w:rsidRPr="00E546C7">
        <w:rPr>
          <w:rFonts w:eastAsiaTheme="majorEastAsia"/>
        </w:rPr>
        <w:t>d</w:t>
      </w:r>
      <w:r w:rsidRPr="00E546C7">
        <w:rPr>
          <w:rFonts w:eastAsiaTheme="majorEastAsia"/>
        </w:rPr>
        <w:t>.</w:t>
      </w:r>
      <w:r w:rsidRPr="00E546C7">
        <w:t xml:space="preserve"> </w:t>
      </w:r>
      <w:r w:rsidRPr="00E546C7">
        <w:rPr>
          <w:rFonts w:eastAsiaTheme="majorEastAsia"/>
        </w:rPr>
        <w:t xml:space="preserve">Common-method risk due to predictors and outcomes </w:t>
      </w:r>
      <w:r w:rsidR="00207B08" w:rsidRPr="00E546C7">
        <w:rPr>
          <w:rFonts w:eastAsiaTheme="majorEastAsia"/>
        </w:rPr>
        <w:t xml:space="preserve">being </w:t>
      </w:r>
      <w:r w:rsidRPr="00E546C7">
        <w:rPr>
          <w:rFonts w:eastAsiaTheme="majorEastAsia"/>
        </w:rPr>
        <w:t xml:space="preserve">assessed in </w:t>
      </w:r>
      <w:r w:rsidRPr="00E546C7">
        <w:t xml:space="preserve">the </w:t>
      </w:r>
      <w:r w:rsidRPr="00E546C7">
        <w:rPr>
          <w:rFonts w:eastAsiaTheme="majorEastAsia"/>
        </w:rPr>
        <w:t>same questionnaire, and acquiescence might be caused by the wording of some items, such as Questions 9 and 10.</w:t>
      </w:r>
      <w:r w:rsidRPr="00E546C7">
        <w:t xml:space="preserve"> </w:t>
      </w:r>
      <w:r w:rsidRPr="00E546C7">
        <w:rPr>
          <w:rFonts w:eastAsiaTheme="majorEastAsia"/>
        </w:rPr>
        <w:t>These concerns were reduced, but not eliminated, by separate component scores</w:t>
      </w:r>
      <w:r w:rsidR="00207B08" w:rsidRPr="00E546C7">
        <w:rPr>
          <w:rFonts w:eastAsiaTheme="majorEastAsia"/>
        </w:rPr>
        <w:t xml:space="preserve"> </w:t>
      </w:r>
      <w:r w:rsidR="00207B08" w:rsidRPr="00E546C7">
        <w:rPr>
          <w:color w:val="000000"/>
        </w:rPr>
        <w:t>(Trivedi, 2020)</w:t>
      </w:r>
      <w:r w:rsidRPr="00E546C7">
        <w:rPr>
          <w:rFonts w:eastAsiaTheme="majorEastAsia"/>
        </w:rPr>
        <w:t>.</w:t>
      </w:r>
      <w:r w:rsidRPr="00E546C7">
        <w:t xml:space="preserve"> The s</w:t>
      </w:r>
      <w:r w:rsidRPr="00E546C7">
        <w:rPr>
          <w:rFonts w:eastAsiaTheme="majorEastAsia"/>
        </w:rPr>
        <w:t>ample is not representative, as most are men, age</w:t>
      </w:r>
      <w:r w:rsidRPr="00E546C7">
        <w:t>d</w:t>
      </w:r>
      <w:r w:rsidRPr="00E546C7">
        <w:rPr>
          <w:rFonts w:eastAsiaTheme="majorEastAsia"/>
        </w:rPr>
        <w:t xml:space="preserve"> 25-34</w:t>
      </w:r>
      <w:r w:rsidRPr="00E546C7">
        <w:t>,</w:t>
      </w:r>
      <w:r w:rsidRPr="00E546C7">
        <w:rPr>
          <w:rFonts w:eastAsiaTheme="majorEastAsia"/>
        </w:rPr>
        <w:t xml:space="preserve"> and no one is 45 or older; and one survey wave does not differentiate between new and long-standing customers.</w:t>
      </w:r>
      <w:r w:rsidRPr="00E546C7">
        <w:t xml:space="preserve"> </w:t>
      </w:r>
      <w:r w:rsidRPr="00E546C7">
        <w:rPr>
          <w:rFonts w:eastAsiaTheme="majorEastAsia"/>
        </w:rPr>
        <w:t>Questions 3-4 are cognition, 5-6 affect and conation</w:t>
      </w:r>
      <w:r w:rsidRPr="00E546C7">
        <w:t>,</w:t>
      </w:r>
      <w:r w:rsidRPr="00E546C7">
        <w:rPr>
          <w:rFonts w:eastAsiaTheme="majorEastAsia"/>
        </w:rPr>
        <w:t xml:space="preserve"> and 10 suggests a break before durable loyalty, challenging the Loyalty Ladder.</w:t>
      </w:r>
      <w:r w:rsidRPr="00E546C7">
        <w:t xml:space="preserve"> </w:t>
      </w:r>
      <w:r w:rsidRPr="00E546C7">
        <w:rPr>
          <w:rFonts w:eastAsiaTheme="majorEastAsia"/>
        </w:rPr>
        <w:t>Shannon- Weaver and Schramm provide for communication and interpretation, not necessarily advocacy.</w:t>
      </w:r>
      <w:r w:rsidRPr="00E546C7">
        <w:t xml:space="preserve"> </w:t>
      </w:r>
      <w:r w:rsidRPr="00E546C7">
        <w:rPr>
          <w:rFonts w:eastAsiaTheme="majorEastAsia"/>
        </w:rPr>
        <w:t xml:space="preserve">Adidas must ensure that there is coherent, credible and engaging </w:t>
      </w:r>
      <w:r w:rsidRPr="00E546C7">
        <w:t>managerial</w:t>
      </w:r>
      <w:r w:rsidRPr="00E546C7">
        <w:rPr>
          <w:rFonts w:eastAsiaTheme="majorEastAsia"/>
        </w:rPr>
        <w:t xml:space="preserve"> </w:t>
      </w:r>
      <w:r w:rsidRPr="00E546C7">
        <w:t>communication</w:t>
      </w:r>
      <w:r w:rsidRPr="00E546C7">
        <w:rPr>
          <w:rFonts w:eastAsiaTheme="majorEastAsia"/>
        </w:rPr>
        <w:t xml:space="preserve"> without taking for granted that the customers are loyal</w:t>
      </w:r>
      <w:r w:rsidR="00207B08" w:rsidRPr="00E546C7">
        <w:rPr>
          <w:rFonts w:eastAsiaTheme="majorEastAsia"/>
        </w:rPr>
        <w:t xml:space="preserve"> </w:t>
      </w:r>
      <w:r w:rsidR="00207B08" w:rsidRPr="00E546C7">
        <w:rPr>
          <w:color w:val="000000"/>
        </w:rPr>
        <w:t>(Trivedi, 2020)</w:t>
      </w:r>
      <w:r w:rsidRPr="00E546C7">
        <w:rPr>
          <w:rFonts w:eastAsiaTheme="majorEastAsia"/>
        </w:rPr>
        <w:t>.</w:t>
      </w:r>
      <w:r w:rsidRPr="00E546C7">
        <w:t xml:space="preserve"> </w:t>
      </w:r>
      <w:r w:rsidRPr="00E546C7">
        <w:rPr>
          <w:rFonts w:eastAsiaTheme="majorEastAsia"/>
        </w:rPr>
        <w:t>The population effect was small, with H1 accounting for 26.3% of variance and 73.7% unexplained, and a wide CI for H2 allowing for a small population effect.</w:t>
      </w:r>
      <w:r w:rsidRPr="00E546C7">
        <w:t xml:space="preserve"> </w:t>
      </w:r>
      <w:r w:rsidRPr="00E546C7">
        <w:rPr>
          <w:rFonts w:eastAsiaTheme="majorEastAsia"/>
        </w:rPr>
        <w:t xml:space="preserve">Replication with increased measures of </w:t>
      </w:r>
      <w:r w:rsidRPr="00E546C7">
        <w:t>behaviours</w:t>
      </w:r>
      <w:r w:rsidRPr="00E546C7">
        <w:rPr>
          <w:rFonts w:eastAsiaTheme="majorEastAsia"/>
        </w:rPr>
        <w:t xml:space="preserve"> and validation needed</w:t>
      </w:r>
      <w:r w:rsidRPr="00E546C7">
        <w:t>.</w:t>
      </w:r>
    </w:p>
    <w:p w14:paraId="26699AD3" w14:textId="77777777" w:rsidR="007927B7" w:rsidRPr="00E546C7" w:rsidRDefault="007927B7" w:rsidP="007927B7">
      <w:pPr>
        <w:pStyle w:val="Heading2"/>
        <w:rPr>
          <w:rFonts w:cs="Times New Roman"/>
        </w:rPr>
      </w:pPr>
      <w:bookmarkStart w:id="65" w:name="_Toc239819721"/>
      <w:r w:rsidRPr="00E546C7">
        <w:rPr>
          <w:rFonts w:cs="Times New Roman"/>
        </w:rPr>
        <w:t>4.15 Chapter Summary</w:t>
      </w:r>
      <w:bookmarkEnd w:id="65"/>
    </w:p>
    <w:p w14:paraId="3C654F25" w14:textId="7C586896" w:rsidR="007927B7" w:rsidRPr="00E546C7" w:rsidRDefault="007927B7" w:rsidP="007927B7">
      <w:r w:rsidRPr="00E546C7">
        <w:rPr>
          <w:rFonts w:eastAsiaTheme="majorEastAsia"/>
        </w:rPr>
        <w:t>The analysis did show that there was positive attitude change towards Adidas' message consistency, credibility, relevance and engagement, and purchase intention.</w:t>
      </w:r>
      <w:r w:rsidRPr="00E546C7">
        <w:t xml:space="preserve"> </w:t>
      </w:r>
      <w:r w:rsidRPr="00E546C7">
        <w:rPr>
          <w:rFonts w:eastAsiaTheme="majorEastAsia"/>
        </w:rPr>
        <w:t>Digital and endorsement channels were the two top-performing channels for perceived effectiveness, and immediate offers and discounts were the top</w:t>
      </w:r>
      <w:r w:rsidR="00207B08" w:rsidRPr="00E546C7">
        <w:rPr>
          <w:rFonts w:eastAsiaTheme="majorEastAsia"/>
        </w:rPr>
        <w:t>-</w:t>
      </w:r>
      <w:r w:rsidRPr="00E546C7">
        <w:rPr>
          <w:rFonts w:eastAsiaTheme="majorEastAsia"/>
        </w:rPr>
        <w:t>performing for repurchasing incentive</w:t>
      </w:r>
      <w:r w:rsidR="00207B08" w:rsidRPr="00E546C7">
        <w:rPr>
          <w:rFonts w:eastAsiaTheme="majorEastAsia"/>
        </w:rPr>
        <w:t xml:space="preserve"> </w:t>
      </w:r>
      <w:r w:rsidR="00207B08" w:rsidRPr="00E546C7">
        <w:rPr>
          <w:color w:val="000000"/>
        </w:rPr>
        <w:t>(Rai et al., 2021)</w:t>
      </w:r>
      <w:r w:rsidRPr="00E546C7">
        <w:rPr>
          <w:rFonts w:eastAsiaTheme="majorEastAsia"/>
        </w:rPr>
        <w:t>.</w:t>
      </w:r>
      <w:r w:rsidRPr="00E546C7">
        <w:t xml:space="preserve"> </w:t>
      </w:r>
      <w:r w:rsidRPr="00E546C7">
        <w:rPr>
          <w:rFonts w:eastAsiaTheme="majorEastAsia"/>
        </w:rPr>
        <w:t>There were weak but significant relationships between perceived IMC and attitude and between perceived IMC and purchase intention, in support of H1.</w:t>
      </w:r>
      <w:r w:rsidRPr="00E546C7">
        <w:t xml:space="preserve"> </w:t>
      </w:r>
      <w:r w:rsidRPr="00E546C7">
        <w:rPr>
          <w:rFonts w:eastAsiaTheme="majorEastAsia"/>
        </w:rPr>
        <w:t>Due to perceived IMC and loyalty being in majority agreement but not being meaningfully associated, it was not supported</w:t>
      </w:r>
      <w:r w:rsidR="00207B08" w:rsidRPr="00E546C7">
        <w:rPr>
          <w:rFonts w:eastAsiaTheme="majorEastAsia"/>
        </w:rPr>
        <w:t xml:space="preserve"> </w:t>
      </w:r>
      <w:r w:rsidR="00207B08" w:rsidRPr="00E546C7">
        <w:rPr>
          <w:color w:val="000000"/>
        </w:rPr>
        <w:t>(Rai et al., 2021)</w:t>
      </w:r>
      <w:r w:rsidRPr="00E546C7">
        <w:rPr>
          <w:rFonts w:eastAsiaTheme="majorEastAsia"/>
        </w:rPr>
        <w:t>.</w:t>
      </w:r>
      <w:r w:rsidRPr="00E546C7">
        <w:t xml:space="preserve"> </w:t>
      </w:r>
      <w:r w:rsidRPr="00E546C7">
        <w:rPr>
          <w:rFonts w:eastAsiaTheme="majorEastAsia"/>
        </w:rPr>
        <w:t>Limitations include demographic density, composite items, not</w:t>
      </w:r>
      <w:r w:rsidR="00207B08" w:rsidRPr="00E546C7">
        <w:rPr>
          <w:rFonts w:eastAsiaTheme="majorEastAsia"/>
        </w:rPr>
        <w:t>-too-</w:t>
      </w:r>
      <w:r w:rsidRPr="00E546C7">
        <w:rPr>
          <w:rFonts w:eastAsiaTheme="majorEastAsia"/>
        </w:rPr>
        <w:t>high predictor reliability, use of only one loyalty measure</w:t>
      </w:r>
      <w:r w:rsidRPr="00E546C7">
        <w:t>,</w:t>
      </w:r>
      <w:r w:rsidRPr="00E546C7">
        <w:rPr>
          <w:rFonts w:eastAsiaTheme="majorEastAsia"/>
        </w:rPr>
        <w:t xml:space="preserve"> and convenience cross</w:t>
      </w:r>
      <w:r w:rsidRPr="00E546C7">
        <w:t>-</w:t>
      </w:r>
      <w:r w:rsidRPr="00E546C7">
        <w:rPr>
          <w:rFonts w:eastAsiaTheme="majorEastAsia"/>
        </w:rPr>
        <w:t>sectional sampling.</w:t>
      </w:r>
      <w:r w:rsidRPr="00E546C7">
        <w:t xml:space="preserve"> </w:t>
      </w:r>
      <w:r w:rsidRPr="00E546C7">
        <w:rPr>
          <w:rFonts w:eastAsiaTheme="majorEastAsia"/>
        </w:rPr>
        <w:t>Chapter 5 now gets to the interpretation of these results in light of the research objectives, hypotheses, literature and four theoretical models.</w:t>
      </w:r>
    </w:p>
    <w:p w14:paraId="159A04A7" w14:textId="77777777" w:rsidR="007927B7" w:rsidRPr="00E546C7" w:rsidRDefault="007927B7" w:rsidP="007927B7">
      <w:pPr>
        <w:pStyle w:val="Heading1"/>
        <w:pageBreakBefore/>
        <w:rPr>
          <w:rFonts w:cs="Times New Roman"/>
        </w:rPr>
      </w:pPr>
      <w:bookmarkStart w:id="66" w:name="_Toc239819722"/>
      <w:r w:rsidRPr="00E546C7">
        <w:rPr>
          <w:rFonts w:cs="Times New Roman"/>
        </w:rPr>
        <w:t>Chapter 5: Discussion</w:t>
      </w:r>
      <w:bookmarkEnd w:id="66"/>
    </w:p>
    <w:p w14:paraId="50B135B6" w14:textId="77777777" w:rsidR="007927B7" w:rsidRPr="00E546C7" w:rsidRDefault="007927B7" w:rsidP="007927B7">
      <w:pPr>
        <w:pStyle w:val="Heading2"/>
        <w:rPr>
          <w:rFonts w:cs="Times New Roman"/>
        </w:rPr>
      </w:pPr>
      <w:bookmarkStart w:id="67" w:name="_Toc239819723"/>
      <w:r w:rsidRPr="00E546C7">
        <w:rPr>
          <w:rFonts w:cs="Times New Roman"/>
        </w:rPr>
        <w:t>5.1 Introduction</w:t>
      </w:r>
      <w:bookmarkEnd w:id="67"/>
    </w:p>
    <w:p w14:paraId="3966660D" w14:textId="4F5ED02D" w:rsidR="007927B7" w:rsidRPr="00E546C7" w:rsidRDefault="007927B7" w:rsidP="007927B7">
      <w:r w:rsidRPr="00E546C7">
        <w:rPr>
          <w:rFonts w:eastAsiaTheme="majorEastAsia"/>
        </w:rPr>
        <w:t>The chapter addresses the meaning of the survey results in relation to the research objectives, research hypotheses and literature review.</w:t>
      </w:r>
      <w:r w:rsidRPr="00E546C7">
        <w:t xml:space="preserve"> </w:t>
      </w:r>
      <w:r w:rsidRPr="00E546C7">
        <w:rPr>
          <w:rFonts w:eastAsiaTheme="majorEastAsia"/>
        </w:rPr>
        <w:t>It isn't just about percentages, but about describing sentiment and its relationship.</w:t>
      </w:r>
      <w:r w:rsidRPr="00E546C7">
        <w:t xml:space="preserve"> </w:t>
      </w:r>
      <w:r w:rsidRPr="00E546C7">
        <w:rPr>
          <w:rFonts w:eastAsiaTheme="majorEastAsia"/>
        </w:rPr>
        <w:t>Shannon</w:t>
      </w:r>
      <w:r w:rsidR="00207B08" w:rsidRPr="00E546C7">
        <w:rPr>
          <w:rFonts w:eastAsiaTheme="majorEastAsia"/>
        </w:rPr>
        <w:t xml:space="preserve"> </w:t>
      </w:r>
      <w:r w:rsidRPr="00E546C7">
        <w:rPr>
          <w:rFonts w:eastAsiaTheme="majorEastAsia"/>
        </w:rPr>
        <w:t xml:space="preserve">Weaver is used to frame </w:t>
      </w:r>
      <w:r w:rsidR="00207B08" w:rsidRPr="00E546C7">
        <w:rPr>
          <w:rFonts w:eastAsiaTheme="majorEastAsia"/>
        </w:rPr>
        <w:t xml:space="preserve">the </w:t>
      </w:r>
      <w:r w:rsidRPr="00E546C7">
        <w:rPr>
          <w:rFonts w:eastAsiaTheme="majorEastAsia"/>
        </w:rPr>
        <w:t>discussion about consistency vs noise in the message</w:t>
      </w:r>
      <w:r w:rsidR="00207B08" w:rsidRPr="00E546C7">
        <w:rPr>
          <w:rFonts w:eastAsiaTheme="majorEastAsia"/>
        </w:rPr>
        <w:t xml:space="preserve">. </w:t>
      </w:r>
      <w:r w:rsidRPr="00E546C7">
        <w:rPr>
          <w:rFonts w:eastAsiaTheme="majorEastAsia"/>
        </w:rPr>
        <w:t>Schramm for relevance vs engagement</w:t>
      </w:r>
      <w:r w:rsidR="00207B08" w:rsidRPr="00E546C7">
        <w:rPr>
          <w:rFonts w:eastAsiaTheme="majorEastAsia"/>
        </w:rPr>
        <w:t xml:space="preserve"> </w:t>
      </w:r>
      <w:r w:rsidR="00207B08" w:rsidRPr="00E546C7">
        <w:rPr>
          <w:color w:val="000000"/>
        </w:rPr>
        <w:t>(Mills et al., 2022)</w:t>
      </w:r>
      <w:r w:rsidR="00207B08" w:rsidRPr="00E546C7">
        <w:rPr>
          <w:rFonts w:eastAsiaTheme="majorEastAsia"/>
        </w:rPr>
        <w:t>. T</w:t>
      </w:r>
      <w:r w:rsidRPr="00E546C7">
        <w:rPr>
          <w:rFonts w:eastAsiaTheme="majorEastAsia"/>
        </w:rPr>
        <w:t>he Tricomponent Attitude Model for levels of cognition, affect and conation, and the Loyalty Ladder for the possibility that the nature of communication evaluations transfer</w:t>
      </w:r>
      <w:r w:rsidRPr="00E546C7">
        <w:t>s</w:t>
      </w:r>
      <w:r w:rsidRPr="00E546C7">
        <w:rPr>
          <w:rFonts w:eastAsiaTheme="majorEastAsia"/>
        </w:rPr>
        <w:t xml:space="preserve"> into relationships.</w:t>
      </w:r>
      <w:r w:rsidRPr="00E546C7">
        <w:t xml:space="preserve"> </w:t>
      </w:r>
      <w:r w:rsidRPr="00E546C7">
        <w:rPr>
          <w:rFonts w:eastAsiaTheme="majorEastAsia"/>
        </w:rPr>
        <w:t>The 10th question is fully integrated</w:t>
      </w:r>
      <w:r w:rsidRPr="00E546C7">
        <w:t>.</w:t>
      </w:r>
    </w:p>
    <w:p w14:paraId="2865DFE2" w14:textId="77777777" w:rsidR="007927B7" w:rsidRPr="00E546C7" w:rsidRDefault="007927B7" w:rsidP="007927B7">
      <w:pPr>
        <w:pStyle w:val="Heading2"/>
        <w:rPr>
          <w:rFonts w:cs="Times New Roman"/>
        </w:rPr>
      </w:pPr>
      <w:bookmarkStart w:id="68" w:name="_Toc239819724"/>
      <w:r w:rsidRPr="00E546C7">
        <w:rPr>
          <w:rFonts w:cs="Times New Roman"/>
        </w:rPr>
        <w:t>5.2 Research Objective One: Consumers’ Perceptions of Adidas’s IMC</w:t>
      </w:r>
      <w:bookmarkEnd w:id="68"/>
    </w:p>
    <w:p w14:paraId="674AAECD" w14:textId="0B2393F2" w:rsidR="007927B7" w:rsidRPr="00E546C7" w:rsidRDefault="007927B7" w:rsidP="007927B7">
      <w:r w:rsidRPr="00E546C7">
        <w:rPr>
          <w:rFonts w:eastAsiaTheme="majorEastAsia"/>
        </w:rPr>
        <w:t xml:space="preserve">Objective One </w:t>
      </w:r>
      <w:r w:rsidRPr="00E546C7">
        <w:t xml:space="preserve">examined </w:t>
      </w:r>
      <w:r w:rsidRPr="00E546C7">
        <w:rPr>
          <w:rFonts w:eastAsiaTheme="majorEastAsia"/>
        </w:rPr>
        <w:t>an exploration into people's beliefs regarding the consistency, credibility, relevance and interactivity of Adidas' IMC.</w:t>
      </w:r>
      <w:r w:rsidRPr="00E546C7">
        <w:t xml:space="preserve"> </w:t>
      </w:r>
      <w:r w:rsidRPr="00E546C7">
        <w:rPr>
          <w:rFonts w:eastAsiaTheme="majorEastAsia"/>
        </w:rPr>
        <w:t xml:space="preserve">Question 3’s positive responses were 82% (M = 3.94), </w:t>
      </w:r>
      <w:r w:rsidRPr="00E546C7">
        <w:t xml:space="preserve">and </w:t>
      </w:r>
      <w:r w:rsidRPr="00E546C7">
        <w:rPr>
          <w:rFonts w:eastAsiaTheme="majorEastAsia"/>
        </w:rPr>
        <w:t xml:space="preserve">Question 4 had 80% (M = 4.02), demonstrating that the communications are generally considered </w:t>
      </w:r>
      <w:r w:rsidRPr="00E546C7">
        <w:t xml:space="preserve">by </w:t>
      </w:r>
      <w:r w:rsidRPr="00E546C7">
        <w:rPr>
          <w:rFonts w:eastAsiaTheme="majorEastAsia"/>
        </w:rPr>
        <w:t xml:space="preserve">people to </w:t>
      </w:r>
      <w:r w:rsidRPr="00E546C7">
        <w:t>b</w:t>
      </w:r>
      <w:r w:rsidRPr="00E546C7">
        <w:rPr>
          <w:rFonts w:eastAsiaTheme="majorEastAsia"/>
        </w:rPr>
        <w:t>e coherent but not fragmented because of Adidas.</w:t>
      </w:r>
      <w:r w:rsidRPr="00E546C7">
        <w:t xml:space="preserve"> </w:t>
      </w:r>
      <w:r w:rsidRPr="00E546C7">
        <w:rPr>
          <w:rFonts w:eastAsiaTheme="majorEastAsia"/>
        </w:rPr>
        <w:t xml:space="preserve">This validates the concepts of consistency and customer–brand outcomes presented by </w:t>
      </w:r>
      <w:proofErr w:type="spellStart"/>
      <w:r w:rsidRPr="00E546C7">
        <w:rPr>
          <w:rFonts w:eastAsiaTheme="majorEastAsia"/>
        </w:rPr>
        <w:t>Šerić</w:t>
      </w:r>
      <w:proofErr w:type="spellEnd"/>
      <w:r w:rsidRPr="00E546C7">
        <w:rPr>
          <w:rFonts w:eastAsiaTheme="majorEastAsia"/>
        </w:rPr>
        <w:t xml:space="preserve">, </w:t>
      </w:r>
      <w:proofErr w:type="spellStart"/>
      <w:r w:rsidRPr="00E546C7">
        <w:rPr>
          <w:rFonts w:eastAsiaTheme="majorEastAsia"/>
        </w:rPr>
        <w:t>Ozretić-Došen</w:t>
      </w:r>
      <w:proofErr w:type="spellEnd"/>
      <w:r w:rsidRPr="00E546C7">
        <w:rPr>
          <w:rFonts w:eastAsiaTheme="majorEastAsia"/>
        </w:rPr>
        <w:t xml:space="preserve"> and </w:t>
      </w:r>
      <w:proofErr w:type="spellStart"/>
      <w:r w:rsidRPr="00E546C7">
        <w:rPr>
          <w:rFonts w:eastAsiaTheme="majorEastAsia"/>
        </w:rPr>
        <w:t>Škare</w:t>
      </w:r>
      <w:proofErr w:type="spellEnd"/>
      <w:r w:rsidRPr="00E546C7">
        <w:rPr>
          <w:rFonts w:eastAsiaTheme="majorEastAsia"/>
        </w:rPr>
        <w:t xml:space="preserve"> (2020) and coordinated IMC dialogue as suggested by Rehman, Gulzar and Aslam (2022).</w:t>
      </w:r>
      <w:r w:rsidRPr="00E546C7">
        <w:t xml:space="preserve"> </w:t>
      </w:r>
      <w:r w:rsidRPr="00E546C7">
        <w:rPr>
          <w:rFonts w:eastAsiaTheme="majorEastAsia"/>
        </w:rPr>
        <w:t>Some individuals, however, had mixed feelings about it</w:t>
      </w:r>
      <w:r w:rsidRPr="00E546C7">
        <w:t>,</w:t>
      </w:r>
      <w:r w:rsidRPr="00E546C7">
        <w:rPr>
          <w:rFonts w:eastAsiaTheme="majorEastAsia"/>
        </w:rPr>
        <w:t xml:space="preserve"> as evidenced by the neutral responses (12-16%) and the negative responses (4-6%).</w:t>
      </w:r>
      <w:r w:rsidRPr="00E546C7">
        <w:t xml:space="preserve"> </w:t>
      </w:r>
      <w:r w:rsidRPr="00E546C7">
        <w:rPr>
          <w:rFonts w:eastAsiaTheme="majorEastAsia"/>
        </w:rPr>
        <w:t xml:space="preserve">Shannon–Weaver </w:t>
      </w:r>
      <w:r w:rsidRPr="00E546C7">
        <w:t>explains</w:t>
      </w:r>
      <w:r w:rsidRPr="00E546C7">
        <w:rPr>
          <w:rFonts w:eastAsiaTheme="majorEastAsia"/>
        </w:rPr>
        <w:t xml:space="preserve"> this variation.</w:t>
      </w:r>
      <w:r w:rsidRPr="00E546C7">
        <w:t xml:space="preserve"> </w:t>
      </w:r>
      <w:r w:rsidRPr="00E546C7">
        <w:rPr>
          <w:rFonts w:eastAsiaTheme="majorEastAsia"/>
        </w:rPr>
        <w:t>A proposition can be the same in all ads, sponsorship, influencers, retail and social media</w:t>
      </w:r>
      <w:r w:rsidRPr="00E546C7">
        <w:t>,</w:t>
      </w:r>
      <w:r w:rsidRPr="00E546C7">
        <w:rPr>
          <w:rFonts w:eastAsiaTheme="majorEastAsia"/>
        </w:rPr>
        <w:t xml:space="preserve"> but competitor claims, platform clutter, negative reviews and scepticism can cause some noise</w:t>
      </w:r>
      <w:r w:rsidR="00207B08" w:rsidRPr="00E546C7">
        <w:rPr>
          <w:rFonts w:eastAsiaTheme="majorEastAsia"/>
        </w:rPr>
        <w:t xml:space="preserve"> </w:t>
      </w:r>
      <w:r w:rsidR="00207B08" w:rsidRPr="00E546C7">
        <w:rPr>
          <w:color w:val="000000"/>
        </w:rPr>
        <w:t>(Mills et al., 2022)</w:t>
      </w:r>
      <w:r w:rsidRPr="00E546C7">
        <w:rPr>
          <w:rFonts w:eastAsiaTheme="majorEastAsia"/>
        </w:rPr>
        <w:t>.</w:t>
      </w:r>
      <w:r w:rsidRPr="00E546C7">
        <w:t xml:space="preserve"> </w:t>
      </w:r>
      <w:r w:rsidRPr="00E546C7">
        <w:rPr>
          <w:rFonts w:eastAsiaTheme="majorEastAsia"/>
        </w:rPr>
        <w:t>Successful transmission does not always result in the same decoding, underscoring the importance of evaluating IMC by measuring consumer response, and not campaign delivery.</w:t>
      </w:r>
    </w:p>
    <w:p w14:paraId="3720D62D" w14:textId="77777777" w:rsidR="007927B7" w:rsidRPr="00E546C7" w:rsidRDefault="007927B7" w:rsidP="007927B7">
      <w:r w:rsidRPr="00E546C7">
        <w:rPr>
          <w:rFonts w:eastAsiaTheme="majorEastAsia"/>
        </w:rPr>
        <w:t>This view of “reciprocity” is echoed in Question 4.</w:t>
      </w:r>
      <w:r w:rsidRPr="00E546C7">
        <w:t xml:space="preserve"> </w:t>
      </w:r>
      <w:r w:rsidRPr="00E546C7">
        <w:rPr>
          <w:rFonts w:eastAsiaTheme="majorEastAsia"/>
        </w:rPr>
        <w:t xml:space="preserve">Regarding credibility, relevance and engagement, this indicates congruency </w:t>
      </w:r>
      <w:r w:rsidRPr="00E546C7">
        <w:t>with</w:t>
      </w:r>
      <w:r w:rsidRPr="00E546C7">
        <w:rPr>
          <w:rFonts w:eastAsiaTheme="majorEastAsia"/>
        </w:rPr>
        <w:t xml:space="preserve"> the consumers' realm of experience, as echoed by Choubey and Sharma (2026) and Lee (2021).</w:t>
      </w:r>
      <w:r w:rsidRPr="00E546C7">
        <w:t xml:space="preserve"> </w:t>
      </w:r>
      <w:r w:rsidRPr="00E546C7">
        <w:rPr>
          <w:rFonts w:eastAsiaTheme="majorEastAsia"/>
        </w:rPr>
        <w:t>But putting all those qualities into a single object makes it unequivocal as to which is the most powerful aspect, and engagement is an imperfect measure of being interactive.</w:t>
      </w:r>
      <w:r w:rsidRPr="00E546C7">
        <w:t xml:space="preserve"> </w:t>
      </w:r>
      <w:r w:rsidRPr="00E546C7">
        <w:rPr>
          <w:rFonts w:eastAsiaTheme="majorEastAsia"/>
        </w:rPr>
        <w:t xml:space="preserve">Question 7 revealed that celebrity/influencer endorsements were used at 40% and </w:t>
      </w:r>
      <w:r w:rsidRPr="00E546C7">
        <w:t>social media</w:t>
      </w:r>
      <w:r w:rsidRPr="00E546C7">
        <w:rPr>
          <w:rFonts w:eastAsiaTheme="majorEastAsia"/>
        </w:rPr>
        <w:t xml:space="preserve"> was used at 32% – 72% preferred socially mediated approaches.</w:t>
      </w:r>
      <w:r w:rsidRPr="00E546C7">
        <w:t xml:space="preserve"> </w:t>
      </w:r>
      <w:r w:rsidRPr="00E546C7">
        <w:rPr>
          <w:rFonts w:eastAsiaTheme="majorEastAsia"/>
        </w:rPr>
        <w:t>However, this is not a causal performance ranking, as the exposure, synergy, conversion and cost were not determined.</w:t>
      </w:r>
      <w:r w:rsidRPr="00E546C7">
        <w:t xml:space="preserve"> </w:t>
      </w:r>
      <w:r w:rsidRPr="00E546C7">
        <w:rPr>
          <w:rFonts w:eastAsiaTheme="majorEastAsia"/>
        </w:rPr>
        <w:t>The over 25s (78%) and males (68%) could further accentuate digital and sporty tastes.</w:t>
      </w:r>
      <w:r w:rsidRPr="00E546C7">
        <w:t xml:space="preserve"> </w:t>
      </w:r>
      <w:r w:rsidRPr="00E546C7">
        <w:rPr>
          <w:rFonts w:eastAsiaTheme="majorEastAsia"/>
        </w:rPr>
        <w:t xml:space="preserve">Overall, Objective One is supported but there is </w:t>
      </w:r>
      <w:r w:rsidRPr="00E546C7">
        <w:t xml:space="preserve">a </w:t>
      </w:r>
      <w:r w:rsidRPr="00E546C7">
        <w:rPr>
          <w:rFonts w:eastAsiaTheme="majorEastAsia"/>
        </w:rPr>
        <w:t>lack of precision and transferability across broader UK consumers due to measurement aggregation and sample composition</w:t>
      </w:r>
      <w:r w:rsidRPr="00E546C7">
        <w:t>.</w:t>
      </w:r>
    </w:p>
    <w:p w14:paraId="01C53ED0" w14:textId="77777777" w:rsidR="007927B7" w:rsidRPr="00E546C7" w:rsidRDefault="007927B7" w:rsidP="007927B7">
      <w:pPr>
        <w:pStyle w:val="Heading2"/>
        <w:rPr>
          <w:rFonts w:cs="Times New Roman"/>
        </w:rPr>
      </w:pPr>
      <w:bookmarkStart w:id="69" w:name="_Toc239819725"/>
      <w:r w:rsidRPr="00E546C7">
        <w:rPr>
          <w:rFonts w:cs="Times New Roman"/>
        </w:rPr>
        <w:t>5.3 Research Objective Two: IMC, Attitude and Purchase Intention</w:t>
      </w:r>
      <w:bookmarkEnd w:id="69"/>
    </w:p>
    <w:p w14:paraId="07076976" w14:textId="04D80DD0" w:rsidR="007927B7" w:rsidRPr="00E546C7" w:rsidRDefault="007927B7" w:rsidP="007927B7">
      <w:r w:rsidRPr="00E546C7">
        <w:t xml:space="preserve">Objective Two explored the link between perceived IMC, consumer attitude and purchase intention. 80% (M = 4.10) were positive to Question 5, 76% (M = 4.14) were positive with Question 6, while 82% agreed with Question 9. Data indicate that respondents had a favourable evaluation and willingness to buy in most cases due to </w:t>
      </w:r>
      <w:r w:rsidR="00F64BCD" w:rsidRPr="00E546C7">
        <w:t>Adidas's</w:t>
      </w:r>
      <w:r w:rsidRPr="00E546C7">
        <w:t xml:space="preserve"> communication of Adidas</w:t>
      </w:r>
      <w:r w:rsidR="00207B08" w:rsidRPr="00E546C7">
        <w:t xml:space="preserve"> </w:t>
      </w:r>
      <w:r w:rsidR="00207B08" w:rsidRPr="00E546C7">
        <w:rPr>
          <w:color w:val="000000"/>
        </w:rPr>
        <w:t>(Ofcom, 2025)</w:t>
      </w:r>
      <w:r w:rsidRPr="00E546C7">
        <w:t>. The 22% neutral on purchase intention, however, indicates that not all consumers are affected as a result of positive communication, and this is in alignment with literature which considers the distinction between campaign appreciation and choice, under price and availability constraints and the competition. A Tricomponent Attitude Model is the most straightforward explanation. Questions 3 and 4 are cognitive judgments of coherence and communication quality. Question 5 is an affective judgment, and Question 6 is a conational judgment. Correlation with attitude was found as .523, correlation with purchase intention was .501 and correlation from perceived IMC to attitude then to purchase intention was .576, which is significant. The regression accounted for 26.3% of the variance in the outcome, which suggested that it had a meaningful but not determinate explanatory value, and this substantiated the attitude–behaviour gap.</w:t>
      </w:r>
    </w:p>
    <w:p w14:paraId="42659AAD" w14:textId="4DF324DF" w:rsidR="007927B7" w:rsidRPr="00E546C7" w:rsidRDefault="007927B7" w:rsidP="007927B7">
      <w:r w:rsidRPr="00E546C7">
        <w:t xml:space="preserve">These results support Lee (2021) regarding content value and credibility and Kim and Oh (2020) regarding perceptions and scepticism in the context of sustainability. To conclude this research paper, the authors looked at perceived integration across Adidas touchpoints, taking the channel-specific insights from above a step further. It also reinforces the findings of </w:t>
      </w:r>
      <w:proofErr w:type="spellStart"/>
      <w:r w:rsidRPr="00E546C7">
        <w:t>Koronios</w:t>
      </w:r>
      <w:proofErr w:type="spellEnd"/>
      <w:r w:rsidRPr="00E546C7">
        <w:t xml:space="preserve"> et al. (2022) that intention and actual behaviour are two different things</w:t>
      </w:r>
      <w:r w:rsidR="00F64BCD" w:rsidRPr="00E546C7">
        <w:t xml:space="preserve"> </w:t>
      </w:r>
      <w:r w:rsidR="00F64BCD" w:rsidRPr="00E546C7">
        <w:rPr>
          <w:color w:val="000000"/>
        </w:rPr>
        <w:t>(</w:t>
      </w:r>
      <w:proofErr w:type="spellStart"/>
      <w:r w:rsidR="00F64BCD" w:rsidRPr="00E546C7">
        <w:rPr>
          <w:color w:val="000000"/>
        </w:rPr>
        <w:t>Pisicchio</w:t>
      </w:r>
      <w:proofErr w:type="spellEnd"/>
      <w:r w:rsidR="00F64BCD" w:rsidRPr="00E546C7">
        <w:rPr>
          <w:color w:val="000000"/>
        </w:rPr>
        <w:t xml:space="preserve"> and </w:t>
      </w:r>
      <w:proofErr w:type="spellStart"/>
      <w:r w:rsidR="00F64BCD" w:rsidRPr="00E546C7">
        <w:rPr>
          <w:color w:val="000000"/>
        </w:rPr>
        <w:t>Toaldo</w:t>
      </w:r>
      <w:proofErr w:type="spellEnd"/>
      <w:r w:rsidR="00F64BCD" w:rsidRPr="00E546C7">
        <w:rPr>
          <w:color w:val="000000"/>
        </w:rPr>
        <w:t>, 2021)</w:t>
      </w:r>
      <w:r w:rsidR="00F64BCD" w:rsidRPr="00E546C7">
        <w:t>. A</w:t>
      </w:r>
      <w:r w:rsidRPr="00E546C7">
        <w:t xml:space="preserve"> cross-sectional self-report study cannot define causality or the order in which things happened. Question 9 requires caution. 82% agreed, but there was no significant correlation with the Independent IMC composite. The compound wording could also be an indication of beliefs, an acquiescent or ceiling effect; a better account is provided by Questions 3-6. Question 7 also indicates that credibility, useful content and interaction might be factors influencers and social media have on attitude. </w:t>
      </w:r>
    </w:p>
    <w:p w14:paraId="4EEBC244" w14:textId="77777777" w:rsidR="007927B7" w:rsidRPr="00E546C7" w:rsidRDefault="007927B7" w:rsidP="007927B7">
      <w:pPr>
        <w:pStyle w:val="Heading2"/>
        <w:rPr>
          <w:rFonts w:cs="Times New Roman"/>
        </w:rPr>
      </w:pPr>
      <w:bookmarkStart w:id="70" w:name="_Toc239819726"/>
      <w:r w:rsidRPr="00E546C7">
        <w:rPr>
          <w:rFonts w:cs="Times New Roman"/>
        </w:rPr>
        <w:t>5.4 Research Objective Three: IMC and Brand Loyalty</w:t>
      </w:r>
      <w:bookmarkEnd w:id="70"/>
    </w:p>
    <w:p w14:paraId="45889D0B" w14:textId="5A256EBA" w:rsidR="007927B7" w:rsidRPr="00E546C7" w:rsidRDefault="007927B7" w:rsidP="007927B7">
      <w:r w:rsidRPr="00E546C7">
        <w:t>The relationship between perceived IMC and brand loyalty has been explored in Objective Three. Question 10 indicated the lowest mean (3.84) and highest standard deviation (1.02) of the main outcome items, with 78% agreeing that good perceptions of IMC increased loyalty. What was significant is that perceived IMC was essentially unrelated to verbally expressed loyalty (rho = .060, p = .677) and explains just 0.4% of variance in a regression analysis. That is, there was no greater likelihood of stronger relational behaviour when the communication was more positive</w:t>
      </w:r>
      <w:r w:rsidR="00207B08" w:rsidRPr="00E546C7">
        <w:t xml:space="preserve"> </w:t>
      </w:r>
      <w:r w:rsidR="00207B08" w:rsidRPr="00E546C7">
        <w:rPr>
          <w:color w:val="000000"/>
        </w:rPr>
        <w:t>(Pimentel et al., 2023)</w:t>
      </w:r>
      <w:r w:rsidRPr="00E546C7">
        <w:t>. This creates a bit of a problem for the simple interpretation of the Loyalty Ladder. The model suggests that moving from prospect to advocate might make a difference, but in this model, there was no differentiating behaviour in terms of favouring the loyalty levels with favourable communication alone</w:t>
      </w:r>
      <w:r w:rsidR="00F64BCD" w:rsidRPr="00E546C7">
        <w:t xml:space="preserve"> </w:t>
      </w:r>
      <w:r w:rsidR="00F64BCD" w:rsidRPr="00E546C7">
        <w:rPr>
          <w:color w:val="000000"/>
        </w:rPr>
        <w:t>(Hsiao, 2022)</w:t>
      </w:r>
      <w:r w:rsidRPr="00E546C7">
        <w:t xml:space="preserve">. This validates that sportswear consumers might not be "category specific" but also "promotion sensitive and willing to switch brands," with positive relationships between consistency, trust and loyalty but with contextual variations according to </w:t>
      </w:r>
      <w:proofErr w:type="spellStart"/>
      <w:r w:rsidRPr="00E546C7">
        <w:t>Šerić</w:t>
      </w:r>
      <w:proofErr w:type="spellEnd"/>
      <w:r w:rsidRPr="00E546C7">
        <w:t xml:space="preserve">, </w:t>
      </w:r>
      <w:proofErr w:type="spellStart"/>
      <w:r w:rsidRPr="00E546C7">
        <w:t>Ozretić-Došen</w:t>
      </w:r>
      <w:proofErr w:type="spellEnd"/>
      <w:r w:rsidRPr="00E546C7">
        <w:t xml:space="preserve"> and </w:t>
      </w:r>
      <w:proofErr w:type="spellStart"/>
      <w:r w:rsidRPr="00E546C7">
        <w:t>Škare</w:t>
      </w:r>
      <w:proofErr w:type="spellEnd"/>
      <w:r w:rsidRPr="00E546C7">
        <w:t xml:space="preserve"> (2020), or according to context in the study by </w:t>
      </w:r>
      <w:proofErr w:type="spellStart"/>
      <w:r w:rsidRPr="00E546C7">
        <w:t>Butkouskaya</w:t>
      </w:r>
      <w:proofErr w:type="spellEnd"/>
      <w:r w:rsidRPr="00E546C7">
        <w:t xml:space="preserve">, </w:t>
      </w:r>
      <w:proofErr w:type="spellStart"/>
      <w:r w:rsidRPr="00E546C7">
        <w:t>Oyner</w:t>
      </w:r>
      <w:proofErr w:type="spellEnd"/>
      <w:r w:rsidRPr="00E546C7">
        <w:t xml:space="preserve"> and </w:t>
      </w:r>
      <w:proofErr w:type="spellStart"/>
      <w:r w:rsidRPr="00E546C7">
        <w:t>Kazakov</w:t>
      </w:r>
      <w:proofErr w:type="spellEnd"/>
      <w:r w:rsidRPr="00E546C7">
        <w:t xml:space="preserve"> (2023).</w:t>
      </w:r>
    </w:p>
    <w:p w14:paraId="24FD8FE1" w14:textId="45D0FBC3" w:rsidR="007927B7" w:rsidRPr="00E546C7" w:rsidRDefault="007927B7" w:rsidP="007927B7">
      <w:r w:rsidRPr="00E546C7">
        <w:t>Wave 8 indicates an alternative route: 78% wanted limited-time offers or discounts, and only 10% loyalty points. Repurchasing can thus be a reflection of economic considerations, not relational commitment. The wording of Question 10 is also a single item and is not able to distinguish between preference, recommendation, commitment, and behavioural repurchase - this compromises construct validity</w:t>
      </w:r>
      <w:r w:rsidR="00207B08" w:rsidRPr="00E546C7">
        <w:t xml:space="preserve"> </w:t>
      </w:r>
      <w:r w:rsidR="00207B08" w:rsidRPr="00E546C7">
        <w:rPr>
          <w:color w:val="000000"/>
        </w:rPr>
        <w:t>(Pimentel et al., 2023)</w:t>
      </w:r>
      <w:r w:rsidRPr="00E546C7">
        <w:t>. Answers to Objective Three are done with care. There was no evidence of the hypothesis about the association between positive IMC and trust, although positive IMC may aid in salience. But variables such as product performance, service, community identification, price fairness and post-purchase engagement could be more significant.</w:t>
      </w:r>
    </w:p>
    <w:p w14:paraId="2E857F42" w14:textId="77777777" w:rsidR="007927B7" w:rsidRPr="00E546C7" w:rsidRDefault="007927B7" w:rsidP="007927B7">
      <w:pPr>
        <w:pStyle w:val="Heading2"/>
        <w:rPr>
          <w:rFonts w:cs="Times New Roman"/>
        </w:rPr>
      </w:pPr>
      <w:bookmarkStart w:id="71" w:name="_Toc239819727"/>
      <w:r w:rsidRPr="00E546C7">
        <w:rPr>
          <w:rFonts w:cs="Times New Roman"/>
        </w:rPr>
        <w:t>5.5 Hypothesis 1</w:t>
      </w:r>
      <w:bookmarkEnd w:id="71"/>
    </w:p>
    <w:p w14:paraId="526FDC9E" w14:textId="1A3F5DE1" w:rsidR="007927B7" w:rsidRPr="00E546C7" w:rsidRDefault="007927B7" w:rsidP="007927B7">
      <w:r w:rsidRPr="00E546C7">
        <w:rPr>
          <w:rFonts w:eastAsiaTheme="majorEastAsia"/>
        </w:rPr>
        <w:t>Based on previous studies, positive consumer perception of Adidas' IMC was significantly related to positive consumer attitude</w:t>
      </w:r>
      <w:r w:rsidRPr="00E546C7">
        <w:t>s</w:t>
      </w:r>
      <w:r w:rsidRPr="00E546C7">
        <w:rPr>
          <w:rFonts w:eastAsiaTheme="majorEastAsia"/>
        </w:rPr>
        <w:t xml:space="preserve"> and purchase intention (H1).</w:t>
      </w:r>
      <w:r w:rsidRPr="00E546C7">
        <w:t xml:space="preserve"> It is supported</w:t>
      </w:r>
      <w:r w:rsidR="00F64BCD" w:rsidRPr="00E546C7">
        <w:t xml:space="preserve"> </w:t>
      </w:r>
      <w:r w:rsidR="00F64BCD" w:rsidRPr="00E546C7">
        <w:rPr>
          <w:color w:val="000000"/>
        </w:rPr>
        <w:t>(</w:t>
      </w:r>
      <w:proofErr w:type="spellStart"/>
      <w:r w:rsidR="00F64BCD" w:rsidRPr="00E546C7">
        <w:rPr>
          <w:color w:val="000000"/>
        </w:rPr>
        <w:t>Porcu</w:t>
      </w:r>
      <w:proofErr w:type="spellEnd"/>
      <w:r w:rsidR="00F64BCD" w:rsidRPr="00E546C7">
        <w:rPr>
          <w:color w:val="000000"/>
        </w:rPr>
        <w:t xml:space="preserve"> and Del Barrio-</w:t>
      </w:r>
      <w:proofErr w:type="spellStart"/>
      <w:r w:rsidR="00F64BCD" w:rsidRPr="00E546C7">
        <w:rPr>
          <w:color w:val="000000"/>
        </w:rPr>
        <w:t>García</w:t>
      </w:r>
      <w:proofErr w:type="spellEnd"/>
      <w:r w:rsidR="00F64BCD" w:rsidRPr="00E546C7">
        <w:rPr>
          <w:color w:val="000000"/>
        </w:rPr>
        <w:t>, 2022)</w:t>
      </w:r>
      <w:r w:rsidRPr="00E546C7">
        <w:t xml:space="preserve">. </w:t>
      </w:r>
      <w:r w:rsidRPr="00E546C7">
        <w:rPr>
          <w:rFonts w:eastAsiaTheme="majorEastAsia"/>
        </w:rPr>
        <w:t xml:space="preserve">There was </w:t>
      </w:r>
      <w:r w:rsidRPr="00E546C7">
        <w:t xml:space="preserve">a </w:t>
      </w:r>
      <w:r w:rsidRPr="00E546C7">
        <w:rPr>
          <w:rFonts w:eastAsiaTheme="majorEastAsia"/>
        </w:rPr>
        <w:t>moderate and significant correlation between both component outcomes and the perceived-IMC composite</w:t>
      </w:r>
      <w:r w:rsidRPr="00E546C7">
        <w:t>. B</w:t>
      </w:r>
      <w:r w:rsidRPr="00E546C7">
        <w:rPr>
          <w:rFonts w:eastAsiaTheme="majorEastAsia"/>
        </w:rPr>
        <w:t>oth bootstrap intervals were not centred around zero, and both robustness regression</w:t>
      </w:r>
      <w:r w:rsidRPr="00E546C7">
        <w:t>s</w:t>
      </w:r>
      <w:r w:rsidRPr="00E546C7">
        <w:rPr>
          <w:rFonts w:eastAsiaTheme="majorEastAsia"/>
        </w:rPr>
        <w:t xml:space="preserve"> had positive coefficients.</w:t>
      </w:r>
      <w:r w:rsidRPr="00E546C7">
        <w:t xml:space="preserve"> </w:t>
      </w:r>
      <w:r w:rsidRPr="00E546C7">
        <w:rPr>
          <w:rFonts w:eastAsiaTheme="majorEastAsia"/>
        </w:rPr>
        <w:t>This is not based on the leading statement in Question 9, but on separately measured constructs</w:t>
      </w:r>
      <w:r w:rsidR="00207B08" w:rsidRPr="00E546C7">
        <w:rPr>
          <w:rFonts w:eastAsiaTheme="majorEastAsia"/>
          <w:lang w:val="en-US"/>
        </w:rPr>
        <w:t xml:space="preserve"> </w:t>
      </w:r>
      <w:r w:rsidR="00207B08" w:rsidRPr="00E546C7">
        <w:rPr>
          <w:color w:val="000000"/>
        </w:rPr>
        <w:t>(Pimentel et al., 2023)</w:t>
      </w:r>
      <w:r w:rsidRPr="00E546C7">
        <w:rPr>
          <w:rFonts w:eastAsiaTheme="majorEastAsia"/>
        </w:rPr>
        <w:t>.</w:t>
      </w:r>
      <w:r w:rsidRPr="00E546C7">
        <w:t xml:space="preserve"> </w:t>
      </w:r>
      <w:r w:rsidRPr="00E546C7">
        <w:rPr>
          <w:rFonts w:eastAsiaTheme="majorEastAsia"/>
        </w:rPr>
        <w:t>This finding supports the Tricomponent Model and earlier studies on content value, 'credibility and scepticism</w:t>
      </w:r>
      <w:r w:rsidRPr="00E546C7">
        <w:t>',</w:t>
      </w:r>
      <w:r w:rsidRPr="00E546C7">
        <w:rPr>
          <w:rFonts w:eastAsiaTheme="majorEastAsia"/>
        </w:rPr>
        <w:t xml:space="preserve"> and an R-square of 26.3% renders overclaiming impossible.</w:t>
      </w:r>
      <w:r w:rsidRPr="00E546C7">
        <w:t xml:space="preserve"> </w:t>
      </w:r>
      <w:r w:rsidRPr="00E546C7">
        <w:rPr>
          <w:rFonts w:eastAsiaTheme="majorEastAsia"/>
        </w:rPr>
        <w:t>H1 creates a substantive connection in the sample, but not one that indicates that improved communication can lead to increased purchases.</w:t>
      </w:r>
    </w:p>
    <w:p w14:paraId="286F8AD7" w14:textId="77777777" w:rsidR="007927B7" w:rsidRPr="00E546C7" w:rsidRDefault="007927B7" w:rsidP="007927B7">
      <w:pPr>
        <w:pStyle w:val="Heading2"/>
        <w:rPr>
          <w:rFonts w:cs="Times New Roman"/>
        </w:rPr>
      </w:pPr>
      <w:bookmarkStart w:id="72" w:name="_Toc239819728"/>
      <w:r w:rsidRPr="00E546C7">
        <w:rPr>
          <w:rFonts w:cs="Times New Roman"/>
        </w:rPr>
        <w:t>5.6 Hypothesis 2</w:t>
      </w:r>
      <w:bookmarkEnd w:id="72"/>
    </w:p>
    <w:p w14:paraId="5A2E3418" w14:textId="179F5227" w:rsidR="007927B7" w:rsidRPr="00E546C7" w:rsidRDefault="007927B7" w:rsidP="007927B7">
      <w:r w:rsidRPr="00E546C7">
        <w:rPr>
          <w:rFonts w:eastAsiaTheme="majorEastAsia"/>
        </w:rPr>
        <w:t>Positive consumer perception towards the IMC of Adidas would significantly relate to greater brand loyalty, as stated by H2.</w:t>
      </w:r>
      <w:r w:rsidRPr="00E546C7">
        <w:t xml:space="preserve"> </w:t>
      </w:r>
      <w:r w:rsidRPr="00E546C7">
        <w:rPr>
          <w:rFonts w:eastAsiaTheme="majorEastAsia"/>
        </w:rPr>
        <w:t>This is not supported.</w:t>
      </w:r>
      <w:r w:rsidRPr="00E546C7">
        <w:t xml:space="preserve"> </w:t>
      </w:r>
      <w:r w:rsidRPr="00E546C7">
        <w:rPr>
          <w:rFonts w:eastAsiaTheme="majorEastAsia"/>
        </w:rPr>
        <w:t>Results of the near</w:t>
      </w:r>
      <w:r w:rsidRPr="00E546C7">
        <w:t>-</w:t>
      </w:r>
      <w:r w:rsidRPr="00E546C7">
        <w:rPr>
          <w:rFonts w:eastAsiaTheme="majorEastAsia"/>
        </w:rPr>
        <w:t xml:space="preserve">zero correlation with </w:t>
      </w:r>
      <w:r w:rsidRPr="00E546C7">
        <w:t xml:space="preserve">a </w:t>
      </w:r>
      <w:r w:rsidRPr="00E546C7">
        <w:rPr>
          <w:rFonts w:eastAsiaTheme="majorEastAsia"/>
        </w:rPr>
        <w:t>nonsignificant p-value, confidence interval containing zero, and negligible amount of explained variance are convergent evidence against the proposed association in these data</w:t>
      </w:r>
      <w:r w:rsidR="00F64BCD" w:rsidRPr="00E546C7">
        <w:rPr>
          <w:rFonts w:eastAsiaTheme="majorEastAsia"/>
        </w:rPr>
        <w:t xml:space="preserve"> </w:t>
      </w:r>
      <w:r w:rsidR="00F64BCD" w:rsidRPr="00E546C7">
        <w:rPr>
          <w:color w:val="000000"/>
        </w:rPr>
        <w:t>(</w:t>
      </w:r>
      <w:proofErr w:type="spellStart"/>
      <w:r w:rsidR="00F64BCD" w:rsidRPr="00E546C7">
        <w:rPr>
          <w:color w:val="000000"/>
        </w:rPr>
        <w:t>Dobre</w:t>
      </w:r>
      <w:proofErr w:type="spellEnd"/>
      <w:r w:rsidR="00F64BCD" w:rsidRPr="00E546C7">
        <w:rPr>
          <w:color w:val="000000"/>
        </w:rPr>
        <w:t xml:space="preserve"> </w:t>
      </w:r>
      <w:r w:rsidR="00F64BCD" w:rsidRPr="00E546C7">
        <w:rPr>
          <w:i/>
          <w:iCs/>
          <w:color w:val="000000"/>
        </w:rPr>
        <w:t>et al.</w:t>
      </w:r>
      <w:r w:rsidR="00F64BCD" w:rsidRPr="00E546C7">
        <w:rPr>
          <w:color w:val="000000"/>
        </w:rPr>
        <w:t>, 2023)</w:t>
      </w:r>
      <w:r w:rsidRPr="00E546C7">
        <w:rPr>
          <w:rFonts w:eastAsiaTheme="majorEastAsia"/>
        </w:rPr>
        <w:t>.</w:t>
      </w:r>
      <w:r w:rsidRPr="00E546C7">
        <w:t xml:space="preserve"> </w:t>
      </w:r>
      <w:r w:rsidRPr="00E546C7">
        <w:rPr>
          <w:rFonts w:eastAsiaTheme="majorEastAsia"/>
        </w:rPr>
        <w:t>Question 10 uses majority agreement as a way to "explain" a feeling, but this does not take the place of covariance</w:t>
      </w:r>
      <w:r w:rsidR="00207B08" w:rsidRPr="00E546C7">
        <w:rPr>
          <w:rFonts w:eastAsiaTheme="majorEastAsia"/>
        </w:rPr>
        <w:t xml:space="preserve"> </w:t>
      </w:r>
      <w:r w:rsidR="00207B08" w:rsidRPr="00E546C7">
        <w:rPr>
          <w:color w:val="000000"/>
        </w:rPr>
        <w:t>(Lee, 2021)</w:t>
      </w:r>
      <w:r w:rsidRPr="00E546C7">
        <w:rPr>
          <w:rFonts w:eastAsiaTheme="majorEastAsia"/>
        </w:rPr>
        <w:t>.</w:t>
      </w:r>
      <w:r w:rsidRPr="00E546C7">
        <w:t xml:space="preserve"> </w:t>
      </w:r>
      <w:r w:rsidRPr="00E546C7">
        <w:rPr>
          <w:rFonts w:eastAsiaTheme="majorEastAsia"/>
        </w:rPr>
        <w:t>The outcome confirmed the Loyalty Ladder and suggested that there are intervening experiences and value that will help move the customer from favourable communication towards Loyalty through the steps.</w:t>
      </w:r>
      <w:r w:rsidRPr="00E546C7">
        <w:t xml:space="preserve"> </w:t>
      </w:r>
      <w:r w:rsidRPr="00E546C7">
        <w:rPr>
          <w:rFonts w:eastAsiaTheme="majorEastAsia"/>
        </w:rPr>
        <w:t xml:space="preserve">Furthermore, measurement of a single compound loyalty item may also dampen the relationship, and one cannot conclude from this study that there is no relationship between the items of measurement because it is not </w:t>
      </w:r>
      <w:r w:rsidRPr="00E546C7">
        <w:t>a</w:t>
      </w:r>
      <w:r w:rsidRPr="00E546C7">
        <w:rPr>
          <w:rFonts w:eastAsiaTheme="majorEastAsia"/>
        </w:rPr>
        <w:t xml:space="preserve"> definitively definitive relationship</w:t>
      </w:r>
      <w:r w:rsidRPr="00E546C7">
        <w:t>.</w:t>
      </w:r>
    </w:p>
    <w:p w14:paraId="39915C54" w14:textId="77777777" w:rsidR="007927B7" w:rsidRPr="00E546C7" w:rsidRDefault="007927B7" w:rsidP="007927B7">
      <w:pPr>
        <w:pStyle w:val="Heading2"/>
        <w:rPr>
          <w:rFonts w:cs="Times New Roman"/>
        </w:rPr>
      </w:pPr>
      <w:bookmarkStart w:id="73" w:name="_Toc239819729"/>
      <w:r w:rsidRPr="00E546C7">
        <w:rPr>
          <w:rFonts w:cs="Times New Roman"/>
        </w:rPr>
        <w:t>5.7 Research Gap</w:t>
      </w:r>
      <w:bookmarkEnd w:id="73"/>
    </w:p>
    <w:p w14:paraId="188FD3AA" w14:textId="1E1E55A0" w:rsidR="007927B7" w:rsidRPr="00E546C7" w:rsidRDefault="007927B7" w:rsidP="007927B7">
      <w:r w:rsidRPr="00E546C7">
        <w:rPr>
          <w:rFonts w:eastAsiaTheme="majorEastAsia"/>
        </w:rPr>
        <w:t>In Chapter 2</w:t>
      </w:r>
      <w:r w:rsidRPr="00E546C7">
        <w:t>,</w:t>
      </w:r>
      <w:r w:rsidRPr="00E546C7">
        <w:rPr>
          <w:rFonts w:eastAsiaTheme="majorEastAsia"/>
        </w:rPr>
        <w:t xml:space="preserve"> the following four related gaps were identified.</w:t>
      </w:r>
      <w:r w:rsidRPr="00E546C7">
        <w:t xml:space="preserve"> </w:t>
      </w:r>
      <w:r w:rsidRPr="00E546C7">
        <w:rPr>
          <w:rFonts w:eastAsiaTheme="majorEastAsia"/>
        </w:rPr>
        <w:t xml:space="preserve">But previous research tends to focus on either sponsorship, influencers, sustainability or social media individually rather than consumers' overall picture and impression across the </w:t>
      </w:r>
      <w:proofErr w:type="spellStart"/>
      <w:r w:rsidRPr="00E546C7">
        <w:rPr>
          <w:rFonts w:eastAsiaTheme="majorEastAsia"/>
        </w:rPr>
        <w:t>touchpoints</w:t>
      </w:r>
      <w:proofErr w:type="spellEnd"/>
      <w:r w:rsidR="00F64BCD" w:rsidRPr="00E546C7">
        <w:rPr>
          <w:rFonts w:eastAsiaTheme="majorEastAsia"/>
        </w:rPr>
        <w:t xml:space="preserve"> </w:t>
      </w:r>
      <w:r w:rsidR="00F64BCD" w:rsidRPr="00E546C7">
        <w:rPr>
          <w:color w:val="000000"/>
        </w:rPr>
        <w:t>(</w:t>
      </w:r>
      <w:proofErr w:type="spellStart"/>
      <w:r w:rsidR="00F64BCD" w:rsidRPr="00E546C7">
        <w:rPr>
          <w:color w:val="000000"/>
        </w:rPr>
        <w:t>Akter</w:t>
      </w:r>
      <w:proofErr w:type="spellEnd"/>
      <w:r w:rsidR="00F64BCD" w:rsidRPr="00E546C7">
        <w:rPr>
          <w:color w:val="000000"/>
        </w:rPr>
        <w:t xml:space="preserve"> </w:t>
      </w:r>
      <w:r w:rsidR="00F64BCD" w:rsidRPr="00E546C7">
        <w:rPr>
          <w:i/>
          <w:iCs/>
          <w:color w:val="000000"/>
        </w:rPr>
        <w:t>et al.</w:t>
      </w:r>
      <w:r w:rsidR="00F64BCD" w:rsidRPr="00E546C7">
        <w:rPr>
          <w:color w:val="000000"/>
        </w:rPr>
        <w:t>, 2024)</w:t>
      </w:r>
      <w:r w:rsidRPr="00E546C7">
        <w:rPr>
          <w:rFonts w:eastAsiaTheme="majorEastAsia"/>
        </w:rPr>
        <w:t>.</w:t>
      </w:r>
      <w:r w:rsidRPr="00E546C7">
        <w:t xml:space="preserve"> </w:t>
      </w:r>
      <w:r w:rsidRPr="00E546C7">
        <w:rPr>
          <w:rFonts w:eastAsiaTheme="majorEastAsia"/>
        </w:rPr>
        <w:t>Much of the evidence is from Korean, fast-food, telecommunications or organisational contexts</w:t>
      </w:r>
      <w:r w:rsidRPr="00E546C7">
        <w:t>,</w:t>
      </w:r>
      <w:r w:rsidRPr="00E546C7">
        <w:rPr>
          <w:rFonts w:eastAsiaTheme="majorEastAsia"/>
        </w:rPr>
        <w:t xml:space="preserve"> and the contextual transfer can only be applied to the UK sport</w:t>
      </w:r>
      <w:r w:rsidRPr="00E546C7">
        <w:t>s</w:t>
      </w:r>
      <w:r w:rsidRPr="00E546C7">
        <w:rPr>
          <w:rFonts w:eastAsiaTheme="majorEastAsia"/>
        </w:rPr>
        <w:t>wear context</w:t>
      </w:r>
      <w:r w:rsidR="00207B08" w:rsidRPr="00E546C7">
        <w:rPr>
          <w:rFonts w:eastAsiaTheme="majorEastAsia"/>
        </w:rPr>
        <w:t xml:space="preserve"> </w:t>
      </w:r>
      <w:r w:rsidR="00207B08" w:rsidRPr="00E546C7">
        <w:rPr>
          <w:color w:val="000000"/>
        </w:rPr>
        <w:t>(Ismaeel et al., 2025)</w:t>
      </w:r>
      <w:r w:rsidRPr="00E546C7">
        <w:rPr>
          <w:rFonts w:eastAsiaTheme="majorEastAsia"/>
        </w:rPr>
        <w:t>.</w:t>
      </w:r>
      <w:r w:rsidRPr="00E546C7">
        <w:t xml:space="preserve"> </w:t>
      </w:r>
      <w:r w:rsidRPr="00E546C7">
        <w:rPr>
          <w:rFonts w:eastAsiaTheme="majorEastAsia"/>
        </w:rPr>
        <w:t>Purchase intention is sometimes regarded as being synonymous with behaviour and combined with repeat buying and satisfaction with loyalty.</w:t>
      </w:r>
      <w:r w:rsidRPr="00E546C7">
        <w:t xml:space="preserve"> </w:t>
      </w:r>
      <w:r w:rsidRPr="00E546C7">
        <w:rPr>
          <w:rFonts w:eastAsiaTheme="majorEastAsia"/>
        </w:rPr>
        <w:t>Lastly, communication-flow models account for transmission and feedback—but not for attitude or customer loyalty—as do consumer models that tend to ignore channel noise and the way customers interpret.</w:t>
      </w:r>
      <w:r w:rsidRPr="00E546C7">
        <w:t xml:space="preserve"> </w:t>
      </w:r>
      <w:r w:rsidRPr="00E546C7">
        <w:rPr>
          <w:rFonts w:eastAsiaTheme="majorEastAsia"/>
        </w:rPr>
        <w:t>Evidence at the consumer level was needed to support the brand-specific evidence.</w:t>
      </w:r>
      <w:r w:rsidRPr="00E546C7">
        <w:t xml:space="preserve"> </w:t>
      </w:r>
      <w:r w:rsidRPr="00E546C7">
        <w:rPr>
          <w:rFonts w:eastAsiaTheme="majorEastAsia"/>
        </w:rPr>
        <w:t>The results reiterate the importance of the gap.</w:t>
      </w:r>
      <w:r w:rsidRPr="00E546C7">
        <w:t xml:space="preserve"> </w:t>
      </w:r>
      <w:r w:rsidRPr="00E546C7">
        <w:rPr>
          <w:rFonts w:eastAsiaTheme="majorEastAsia"/>
        </w:rPr>
        <w:t>Overall, the quality of attitude and perceived IMC was evaluated positively</w:t>
      </w:r>
      <w:r w:rsidRPr="00E546C7">
        <w:t>. W</w:t>
      </w:r>
      <w:r w:rsidRPr="00E546C7">
        <w:rPr>
          <w:rFonts w:eastAsiaTheme="majorEastAsia"/>
        </w:rPr>
        <w:t>hile quality of purchase intention and loyalty was evaluated negatively</w:t>
      </w:r>
      <w:r w:rsidR="00207B08" w:rsidRPr="00E546C7">
        <w:rPr>
          <w:rFonts w:eastAsiaTheme="majorEastAsia"/>
        </w:rPr>
        <w:t xml:space="preserve"> </w:t>
      </w:r>
      <w:r w:rsidR="00207B08" w:rsidRPr="00E546C7">
        <w:rPr>
          <w:color w:val="000000"/>
        </w:rPr>
        <w:t>(Joo et al., 2021)</w:t>
      </w:r>
      <w:r w:rsidRPr="00E546C7">
        <w:rPr>
          <w:rFonts w:eastAsiaTheme="majorEastAsia"/>
        </w:rPr>
        <w:t>.</w:t>
      </w:r>
      <w:r w:rsidRPr="00E546C7">
        <w:t xml:space="preserve"> </w:t>
      </w:r>
      <w:r w:rsidRPr="00E546C7">
        <w:rPr>
          <w:rFonts w:eastAsiaTheme="majorEastAsia"/>
        </w:rPr>
        <w:t>This boundary might have been masked by a single channel or an aggregate-agreement design.</w:t>
      </w:r>
      <w:r w:rsidRPr="00E546C7">
        <w:t xml:space="preserve"> </w:t>
      </w:r>
      <w:r w:rsidRPr="00E546C7">
        <w:rPr>
          <w:rFonts w:eastAsiaTheme="majorEastAsia"/>
        </w:rPr>
        <w:t>The contrast also demonstrates that there are distinct phases of transmission and attitude formation and progression of relationship, which can be analy</w:t>
      </w:r>
      <w:r w:rsidRPr="00E546C7">
        <w:t>s</w:t>
      </w:r>
      <w:r w:rsidRPr="00E546C7">
        <w:rPr>
          <w:rFonts w:eastAsiaTheme="majorEastAsia"/>
        </w:rPr>
        <w:t>ed as such.</w:t>
      </w:r>
      <w:r w:rsidRPr="00E546C7">
        <w:t xml:space="preserve"> </w:t>
      </w:r>
      <w:r w:rsidRPr="00E546C7">
        <w:rPr>
          <w:rFonts w:eastAsiaTheme="majorEastAsia"/>
        </w:rPr>
        <w:t>Yet the survey is somewhat limited in its use to fill the void in that the dimensions of the IMC were addressed with only two items and loyalty was addressed with only one</w:t>
      </w:r>
      <w:r w:rsidR="00F64BCD" w:rsidRPr="00E546C7">
        <w:rPr>
          <w:rFonts w:eastAsiaTheme="majorEastAsia"/>
        </w:rPr>
        <w:t xml:space="preserve"> </w:t>
      </w:r>
      <w:r w:rsidR="00F64BCD" w:rsidRPr="00E546C7">
        <w:rPr>
          <w:color w:val="000000"/>
        </w:rPr>
        <w:t xml:space="preserve">(Agarwal, Kumar and Rajesh </w:t>
      </w:r>
      <w:proofErr w:type="spellStart"/>
      <w:r w:rsidR="00F64BCD" w:rsidRPr="00E546C7">
        <w:rPr>
          <w:color w:val="000000"/>
        </w:rPr>
        <w:t>Katiyar</w:t>
      </w:r>
      <w:proofErr w:type="spellEnd"/>
      <w:r w:rsidR="00F64BCD" w:rsidRPr="00E546C7">
        <w:rPr>
          <w:color w:val="000000"/>
        </w:rPr>
        <w:t>, 2025)</w:t>
      </w:r>
      <w:r w:rsidRPr="00E546C7">
        <w:rPr>
          <w:rFonts w:eastAsiaTheme="majorEastAsia"/>
        </w:rPr>
        <w:t>.</w:t>
      </w:r>
      <w:r w:rsidRPr="00E546C7">
        <w:t xml:space="preserve"> </w:t>
      </w:r>
      <w:r w:rsidRPr="00E546C7">
        <w:rPr>
          <w:rFonts w:eastAsiaTheme="majorEastAsia"/>
        </w:rPr>
        <w:t>The study contributes to narrowing down but does not close the empirical and measurement gaps</w:t>
      </w:r>
      <w:r w:rsidRPr="00E546C7">
        <w:t>.</w:t>
      </w:r>
    </w:p>
    <w:p w14:paraId="60B7EFBB" w14:textId="77777777" w:rsidR="007927B7" w:rsidRPr="00E546C7" w:rsidRDefault="007927B7" w:rsidP="007927B7">
      <w:pPr>
        <w:pStyle w:val="Heading2"/>
        <w:rPr>
          <w:rFonts w:cs="Times New Roman"/>
        </w:rPr>
      </w:pPr>
      <w:bookmarkStart w:id="74" w:name="_Toc239819730"/>
      <w:r w:rsidRPr="00E546C7">
        <w:rPr>
          <w:rFonts w:cs="Times New Roman"/>
        </w:rPr>
        <w:t>5.8 How the Research Fills the Gap</w:t>
      </w:r>
      <w:bookmarkEnd w:id="74"/>
    </w:p>
    <w:p w14:paraId="0B74C402" w14:textId="3C3D3693" w:rsidR="007927B7" w:rsidRPr="00E546C7" w:rsidRDefault="007927B7" w:rsidP="007927B7">
      <w:pPr>
        <w:rPr>
          <w:rFonts w:eastAsiaTheme="majorEastAsia"/>
        </w:rPr>
      </w:pPr>
      <w:r w:rsidRPr="00E546C7">
        <w:rPr>
          <w:rFonts w:eastAsiaTheme="majorEastAsia"/>
        </w:rPr>
        <w:t>This research aims to provide a dataset, focused on the United Kingdom, of 50 Adidas-aware consumers and then test integrated perception within the context of two different classes of outcome</w:t>
      </w:r>
      <w:r w:rsidR="00F64BCD" w:rsidRPr="00E546C7">
        <w:rPr>
          <w:rFonts w:eastAsiaTheme="majorEastAsia"/>
        </w:rPr>
        <w:t xml:space="preserve">s </w:t>
      </w:r>
      <w:r w:rsidR="00F64BCD" w:rsidRPr="00E546C7">
        <w:rPr>
          <w:color w:val="000000"/>
        </w:rPr>
        <w:t>(</w:t>
      </w:r>
      <w:proofErr w:type="spellStart"/>
      <w:r w:rsidR="00F64BCD" w:rsidRPr="00E546C7">
        <w:rPr>
          <w:color w:val="000000"/>
        </w:rPr>
        <w:t>Salvietti</w:t>
      </w:r>
      <w:proofErr w:type="spellEnd"/>
      <w:r w:rsidR="00F64BCD" w:rsidRPr="00E546C7">
        <w:rPr>
          <w:color w:val="000000"/>
        </w:rPr>
        <w:t xml:space="preserve">, </w:t>
      </w:r>
      <w:proofErr w:type="spellStart"/>
      <w:r w:rsidR="00F64BCD" w:rsidRPr="00E546C7">
        <w:rPr>
          <w:color w:val="000000"/>
        </w:rPr>
        <w:t>Ieva</w:t>
      </w:r>
      <w:proofErr w:type="spellEnd"/>
      <w:r w:rsidR="00F64BCD" w:rsidRPr="00E546C7">
        <w:rPr>
          <w:color w:val="000000"/>
        </w:rPr>
        <w:t xml:space="preserve"> and </w:t>
      </w:r>
      <w:proofErr w:type="spellStart"/>
      <w:r w:rsidR="00F64BCD" w:rsidRPr="00E546C7">
        <w:rPr>
          <w:color w:val="000000"/>
        </w:rPr>
        <w:t>Ziliani</w:t>
      </w:r>
      <w:proofErr w:type="spellEnd"/>
      <w:r w:rsidR="00F64BCD" w:rsidRPr="00E546C7">
        <w:rPr>
          <w:color w:val="000000"/>
        </w:rPr>
        <w:t>, 2025)</w:t>
      </w:r>
      <w:r w:rsidRPr="00E546C7">
        <w:rPr>
          <w:rFonts w:eastAsiaTheme="majorEastAsia"/>
        </w:rPr>
        <w:t>.</w:t>
      </w:r>
      <w:r w:rsidRPr="00E546C7">
        <w:t xml:space="preserve"> </w:t>
      </w:r>
      <w:r w:rsidRPr="00E546C7">
        <w:rPr>
          <w:rFonts w:eastAsiaTheme="majorEastAsia"/>
        </w:rPr>
        <w:t>It shows the correlation between Shannon–Weaver and Schramm and consistency, quality and engagement, and thereafter integrates the perception of these with the Tricomponent Model and the Loyalty Ladder</w:t>
      </w:r>
      <w:r w:rsidR="00207B08" w:rsidRPr="00E546C7">
        <w:rPr>
          <w:rFonts w:eastAsiaTheme="majorEastAsia"/>
        </w:rPr>
        <w:t xml:space="preserve"> </w:t>
      </w:r>
      <w:r w:rsidR="00207B08" w:rsidRPr="00E546C7">
        <w:rPr>
          <w:color w:val="000000"/>
        </w:rPr>
        <w:t>(Joo et al., 2021)</w:t>
      </w:r>
      <w:r w:rsidRPr="00E546C7">
        <w:rPr>
          <w:rFonts w:eastAsiaTheme="majorEastAsia"/>
        </w:rPr>
        <w:t>.</w:t>
      </w:r>
      <w:r w:rsidRPr="00E546C7">
        <w:t xml:space="preserve"> </w:t>
      </w:r>
      <w:r w:rsidRPr="00E546C7">
        <w:rPr>
          <w:rFonts w:eastAsiaTheme="majorEastAsia"/>
        </w:rPr>
        <w:t>The important H1 and unsupported H2 provide for a more discriminating conclusion than a general one that IMC has a positive effect on consumer behaviour.</w:t>
      </w:r>
      <w:r w:rsidRPr="00E546C7">
        <w:t xml:space="preserve"> </w:t>
      </w:r>
      <w:r w:rsidRPr="00E546C7">
        <w:rPr>
          <w:rFonts w:eastAsiaTheme="majorEastAsia"/>
        </w:rPr>
        <w:t xml:space="preserve">Digital endorsement preferences and transactional repurchase incentives are also identified at </w:t>
      </w:r>
      <w:r w:rsidRPr="00E546C7">
        <w:t xml:space="preserve">the </w:t>
      </w:r>
      <w:r w:rsidRPr="00E546C7">
        <w:rPr>
          <w:rFonts w:eastAsiaTheme="majorEastAsia"/>
        </w:rPr>
        <w:t>question level to provide a context for the manager's actions and to uncover other possible explanations.</w:t>
      </w:r>
      <w:r w:rsidRPr="00E546C7">
        <w:t xml:space="preserve"> </w:t>
      </w:r>
      <w:r w:rsidRPr="00E546C7">
        <w:rPr>
          <w:rFonts w:eastAsiaTheme="majorEastAsia"/>
        </w:rPr>
        <w:t>The contributions are still proportionate to the design quality</w:t>
      </w:r>
      <w:r w:rsidR="00207B08" w:rsidRPr="00E546C7">
        <w:rPr>
          <w:rFonts w:eastAsiaTheme="majorEastAsia"/>
        </w:rPr>
        <w:t xml:space="preserve"> </w:t>
      </w:r>
      <w:r w:rsidR="00207B08" w:rsidRPr="00E546C7">
        <w:rPr>
          <w:color w:val="000000"/>
        </w:rPr>
        <w:t>(</w:t>
      </w:r>
      <w:proofErr w:type="spellStart"/>
      <w:r w:rsidR="00207B08" w:rsidRPr="00E546C7">
        <w:rPr>
          <w:color w:val="000000"/>
        </w:rPr>
        <w:t>Koronios</w:t>
      </w:r>
      <w:proofErr w:type="spellEnd"/>
      <w:r w:rsidR="00207B08" w:rsidRPr="00E546C7">
        <w:rPr>
          <w:color w:val="000000"/>
        </w:rPr>
        <w:t xml:space="preserve"> et al., 2022)</w:t>
      </w:r>
      <w:r w:rsidRPr="00E546C7">
        <w:rPr>
          <w:rFonts w:eastAsiaTheme="majorEastAsia"/>
        </w:rPr>
        <w:t>.</w:t>
      </w:r>
      <w:r w:rsidRPr="00E546C7">
        <w:t xml:space="preserve"> </w:t>
      </w:r>
      <w:r w:rsidRPr="00E546C7">
        <w:rPr>
          <w:rFonts w:eastAsiaTheme="majorEastAsia"/>
        </w:rPr>
        <w:t xml:space="preserve">There are insufficient grounds for national or causal generalisation due to convenience sampling, demographic concentrations, </w:t>
      </w:r>
      <w:r w:rsidRPr="00E546C7">
        <w:t xml:space="preserve">a </w:t>
      </w:r>
      <w:r w:rsidRPr="00E546C7">
        <w:rPr>
          <w:rFonts w:eastAsiaTheme="majorEastAsia"/>
        </w:rPr>
        <w:t>short period of collection, common-method self-report and limited breadth of constructs.</w:t>
      </w:r>
      <w:r w:rsidRPr="00E546C7">
        <w:t xml:space="preserve"> </w:t>
      </w:r>
      <w:r w:rsidRPr="00E546C7">
        <w:rPr>
          <w:rFonts w:eastAsiaTheme="majorEastAsia"/>
        </w:rPr>
        <w:t>Nevertheless, the study provides clear data to indicate that positive communication perceptions are more related to attitude and intention than to loyalty.</w:t>
      </w:r>
      <w:r w:rsidRPr="00E546C7">
        <w:t xml:space="preserve"> </w:t>
      </w:r>
      <w:r w:rsidRPr="00E546C7">
        <w:rPr>
          <w:rFonts w:eastAsiaTheme="majorEastAsia"/>
        </w:rPr>
        <w:t>It consequently bridges the gap with contextualised testing, theoretical integration</w:t>
      </w:r>
      <w:r w:rsidR="00EA262A" w:rsidRPr="00E546C7">
        <w:rPr>
          <w:rFonts w:eastAsiaTheme="majorEastAsia"/>
        </w:rPr>
        <w:t>,</w:t>
      </w:r>
      <w:r w:rsidRPr="00E546C7">
        <w:rPr>
          <w:rFonts w:eastAsiaTheme="majorEastAsia"/>
        </w:rPr>
        <w:t xml:space="preserve"> as well as through the explicit identification of a boundary condition and defines the more rigorous longitudinal and multi-item work to follow.</w:t>
      </w:r>
    </w:p>
    <w:p w14:paraId="168D06F5" w14:textId="7441FCCC" w:rsidR="00026B7E" w:rsidRPr="00E546C7" w:rsidRDefault="006709E8" w:rsidP="00026B7E">
      <w:pPr>
        <w:pStyle w:val="Heading2"/>
        <w:spacing w:before="160" w:after="100"/>
        <w:rPr>
          <w:rFonts w:cs="Times New Roman"/>
        </w:rPr>
      </w:pPr>
      <w:bookmarkStart w:id="75" w:name="_Toc239819704"/>
      <w:r w:rsidRPr="00E546C7">
        <w:rPr>
          <w:rFonts w:cs="Times New Roman"/>
        </w:rPr>
        <w:t>5</w:t>
      </w:r>
      <w:r w:rsidR="00026B7E" w:rsidRPr="00E546C7">
        <w:rPr>
          <w:rFonts w:cs="Times New Roman"/>
        </w:rPr>
        <w:t>.</w:t>
      </w:r>
      <w:r w:rsidRPr="00E546C7">
        <w:rPr>
          <w:rFonts w:cs="Times New Roman"/>
        </w:rPr>
        <w:t>9</w:t>
      </w:r>
      <w:r w:rsidR="00026B7E" w:rsidRPr="00E546C7">
        <w:rPr>
          <w:rFonts w:cs="Times New Roman"/>
        </w:rPr>
        <w:t xml:space="preserve"> Discussion: Limitations and Difficulties of Primary Data Collection</w:t>
      </w:r>
      <w:bookmarkEnd w:id="75"/>
    </w:p>
    <w:p w14:paraId="0A89E11C" w14:textId="2D8BF24C" w:rsidR="00EA262A" w:rsidRPr="00E546C7" w:rsidRDefault="00EA262A" w:rsidP="00EA262A">
      <w:pPr>
        <w:rPr>
          <w:color w:val="000000" w:themeColor="text1"/>
          <w:lang/>
        </w:rPr>
      </w:pPr>
      <w:r w:rsidRPr="00E546C7">
        <w:rPr>
          <w:color w:val="000000" w:themeColor="text1"/>
          <w:lang/>
        </w:rPr>
        <w:t>The results offer a valuable understanding o</w:t>
      </w:r>
      <w:r w:rsidRPr="00E546C7">
        <w:rPr>
          <w:color w:val="000000" w:themeColor="text1"/>
          <w:lang w:val="en-US"/>
        </w:rPr>
        <w:t>f</w:t>
      </w:r>
      <w:r w:rsidRPr="00E546C7">
        <w:rPr>
          <w:color w:val="000000" w:themeColor="text1"/>
          <w:lang/>
        </w:rPr>
        <w:t xml:space="preserve"> the consumers' perception of Adidas' integrated marketing communication. However, there are a number of caveats to take into account when considering the findings</w:t>
      </w:r>
      <w:r w:rsidR="00F64BCD" w:rsidRPr="00E546C7">
        <w:rPr>
          <w:color w:val="000000" w:themeColor="text1"/>
          <w:lang w:val="en-US"/>
        </w:rPr>
        <w:t xml:space="preserve"> </w:t>
      </w:r>
      <w:r w:rsidR="00F64BCD" w:rsidRPr="00E546C7">
        <w:rPr>
          <w:color w:val="000000"/>
        </w:rPr>
        <w:t xml:space="preserve">(Kumar, </w:t>
      </w:r>
      <w:proofErr w:type="spellStart"/>
      <w:r w:rsidR="00F64BCD" w:rsidRPr="00E546C7">
        <w:rPr>
          <w:color w:val="000000"/>
        </w:rPr>
        <w:t>Melese</w:t>
      </w:r>
      <w:proofErr w:type="spellEnd"/>
      <w:r w:rsidR="00F64BCD" w:rsidRPr="00E546C7">
        <w:rPr>
          <w:color w:val="000000"/>
        </w:rPr>
        <w:t xml:space="preserve"> and </w:t>
      </w:r>
      <w:proofErr w:type="spellStart"/>
      <w:r w:rsidR="00F64BCD" w:rsidRPr="00E546C7">
        <w:rPr>
          <w:color w:val="000000"/>
        </w:rPr>
        <w:t>Kashyap</w:t>
      </w:r>
      <w:proofErr w:type="spellEnd"/>
      <w:r w:rsidR="00F64BCD" w:rsidRPr="00E546C7">
        <w:rPr>
          <w:color w:val="000000"/>
        </w:rPr>
        <w:t>, 2026)</w:t>
      </w:r>
      <w:r w:rsidRPr="00E546C7">
        <w:rPr>
          <w:color w:val="000000" w:themeColor="text1"/>
          <w:lang/>
        </w:rPr>
        <w:t>. The first constraint is concerning the sample size. 50 participants were reached in the study, fulfilling the number needed for patterns and testing of the suggested relationships. However, the study is not representative of all Adidas consumers in the UK (Saunders, Lewis and Thornhill, 2023). Findings may also have been affected by the selection of the participants, particularly by using convenience sampling due to easy access to participate in the study. Thus, there is a possibility that the respondents have similar attributes, interests or perceptions about Adidas</w:t>
      </w:r>
      <w:r w:rsidRPr="00E546C7">
        <w:rPr>
          <w:color w:val="000000" w:themeColor="text1"/>
          <w:lang w:val="en-US"/>
        </w:rPr>
        <w:t>,</w:t>
      </w:r>
      <w:r w:rsidRPr="00E546C7">
        <w:rPr>
          <w:color w:val="000000" w:themeColor="text1"/>
          <w:lang/>
        </w:rPr>
        <w:t xml:space="preserve"> which can limit the generalisability of the conclusions.</w:t>
      </w:r>
    </w:p>
    <w:p w14:paraId="668DB6F3" w14:textId="0E5EB9F0" w:rsidR="00EA262A" w:rsidRPr="00E546C7" w:rsidRDefault="00EA262A" w:rsidP="00EA262A">
      <w:pPr>
        <w:rPr>
          <w:color w:val="000000" w:themeColor="text1"/>
          <w:lang/>
        </w:rPr>
      </w:pPr>
      <w:r w:rsidRPr="00E546C7">
        <w:rPr>
          <w:color w:val="000000" w:themeColor="text1"/>
          <w:lang/>
        </w:rPr>
        <w:t>Another constraint pertains to the type of research done in an online questionnaire format. There might have been some potential participants who never responded to the invitation to fill out the survey or who quickly responded, not thinking about each statement (Koronios et al., 2022). Furthermore, it is possible that people responded by answering what they think is "the right way" instead of what their real opinion on Adidas is. These factors may impact the validity of self-reports of perceptions and behaviours.</w:t>
      </w:r>
    </w:p>
    <w:p w14:paraId="5A22A6B6" w14:textId="62F0A280" w:rsidR="00026B7E" w:rsidRPr="00E546C7" w:rsidRDefault="00EA262A" w:rsidP="007927B7">
      <w:pPr>
        <w:rPr>
          <w:color w:val="000000" w:themeColor="text1"/>
          <w:lang/>
        </w:rPr>
      </w:pPr>
      <w:r w:rsidRPr="00E546C7">
        <w:rPr>
          <w:color w:val="000000" w:themeColor="text1"/>
          <w:lang/>
        </w:rPr>
        <w:t>Several steps have been taken to enhance the quality of the data</w:t>
      </w:r>
      <w:r w:rsidRPr="00E546C7">
        <w:rPr>
          <w:color w:val="000000" w:themeColor="text1"/>
          <w:lang w:val="en-US"/>
        </w:rPr>
        <w:t>. H</w:t>
      </w:r>
      <w:r w:rsidRPr="00E546C7">
        <w:rPr>
          <w:color w:val="000000" w:themeColor="text1"/>
          <w:lang/>
        </w:rPr>
        <w:t>owever, in spite of these difficulties. This questionnaire was designed so as to be brief, well-worded and focused on the research objectives. More honesty was achieved by telling the participants that their responses would be kept confidential (Joo et al., 2021). The survey was distributed to more than one group in order to limit the number of overly similar responses</w:t>
      </w:r>
      <w:r w:rsidRPr="00E546C7">
        <w:rPr>
          <w:color w:val="000000" w:themeColor="text1"/>
          <w:lang w:val="en-US"/>
        </w:rPr>
        <w:t>,</w:t>
      </w:r>
      <w:r w:rsidRPr="00E546C7">
        <w:rPr>
          <w:color w:val="000000" w:themeColor="text1"/>
          <w:lang/>
        </w:rPr>
        <w:t xml:space="preserve"> and incomplete and unusable data were screened for before analysis. These were intended to address some limitations and enhance the credibility and usefulness of the research results. Future studies need to be more representative</w:t>
      </w:r>
      <w:r w:rsidRPr="00E546C7">
        <w:rPr>
          <w:color w:val="000000" w:themeColor="text1"/>
          <w:lang w:val="en-US"/>
        </w:rPr>
        <w:t>,</w:t>
      </w:r>
      <w:r w:rsidRPr="00E546C7">
        <w:rPr>
          <w:color w:val="000000" w:themeColor="text1"/>
          <w:lang/>
        </w:rPr>
        <w:t xml:space="preserve"> with larger samples that would add to valid results</w:t>
      </w:r>
      <w:r w:rsidR="00026B7E" w:rsidRPr="00E546C7">
        <w:rPr>
          <w:color w:val="000000" w:themeColor="text1"/>
        </w:rPr>
        <w:t>.</w:t>
      </w:r>
    </w:p>
    <w:p w14:paraId="199049DC" w14:textId="0CF4B4CB" w:rsidR="007927B7" w:rsidRPr="00E546C7" w:rsidRDefault="007927B7" w:rsidP="007927B7">
      <w:pPr>
        <w:pStyle w:val="Heading2"/>
        <w:rPr>
          <w:rFonts w:cs="Times New Roman"/>
        </w:rPr>
      </w:pPr>
      <w:bookmarkStart w:id="76" w:name="_Toc239819731"/>
      <w:r w:rsidRPr="00E546C7">
        <w:rPr>
          <w:rFonts w:cs="Times New Roman"/>
        </w:rPr>
        <w:t>5.</w:t>
      </w:r>
      <w:r w:rsidR="006709E8" w:rsidRPr="00E546C7">
        <w:rPr>
          <w:rFonts w:cs="Times New Roman"/>
        </w:rPr>
        <w:t>10</w:t>
      </w:r>
      <w:r w:rsidRPr="00E546C7">
        <w:rPr>
          <w:rFonts w:cs="Times New Roman"/>
        </w:rPr>
        <w:t xml:space="preserve"> Chapter Summary</w:t>
      </w:r>
      <w:bookmarkEnd w:id="76"/>
    </w:p>
    <w:p w14:paraId="4F6E3B30" w14:textId="287F9818" w:rsidR="007927B7" w:rsidRPr="00E546C7" w:rsidRDefault="007927B7" w:rsidP="007927B7">
      <w:r w:rsidRPr="00E546C7">
        <w:rPr>
          <w:rFonts w:eastAsiaTheme="majorEastAsia"/>
        </w:rPr>
        <w:t>The result of the discussion is that there is a positive perception of Adidas' IMC</w:t>
      </w:r>
      <w:r w:rsidRPr="00E546C7">
        <w:t>. This</w:t>
      </w:r>
      <w:r w:rsidRPr="00E546C7">
        <w:rPr>
          <w:rFonts w:eastAsiaTheme="majorEastAsia"/>
        </w:rPr>
        <w:t xml:space="preserve"> is greatly related to attitude and purchase intention, which supports H1.</w:t>
      </w:r>
      <w:r w:rsidRPr="00E546C7">
        <w:t xml:space="preserve"> </w:t>
      </w:r>
      <w:r w:rsidRPr="00E546C7">
        <w:rPr>
          <w:rFonts w:eastAsiaTheme="majorEastAsia"/>
        </w:rPr>
        <w:t>Although favourable descriptions are provided for Loyalty, it is not related to perceived IMC</w:t>
      </w:r>
      <w:r w:rsidR="00207B08" w:rsidRPr="00E546C7">
        <w:rPr>
          <w:rFonts w:eastAsiaTheme="majorEastAsia"/>
        </w:rPr>
        <w:t>. T</w:t>
      </w:r>
      <w:r w:rsidRPr="00E546C7">
        <w:rPr>
          <w:rFonts w:eastAsiaTheme="majorEastAsia"/>
        </w:rPr>
        <w:t>herefore, H2 is not supported.</w:t>
      </w:r>
      <w:r w:rsidRPr="00E546C7">
        <w:t xml:space="preserve"> </w:t>
      </w:r>
      <w:r w:rsidRPr="00E546C7">
        <w:rPr>
          <w:rFonts w:eastAsiaTheme="majorEastAsia"/>
        </w:rPr>
        <w:t>The four are complementary, and not interchangeable</w:t>
      </w:r>
      <w:r w:rsidR="00207B08" w:rsidRPr="00E546C7">
        <w:rPr>
          <w:rFonts w:eastAsiaTheme="majorEastAsia"/>
        </w:rPr>
        <w:t xml:space="preserve"> </w:t>
      </w:r>
      <w:r w:rsidR="00207B08" w:rsidRPr="00E546C7">
        <w:rPr>
          <w:color w:val="000000"/>
        </w:rPr>
        <w:t>(</w:t>
      </w:r>
      <w:proofErr w:type="spellStart"/>
      <w:r w:rsidR="00207B08" w:rsidRPr="00E546C7">
        <w:rPr>
          <w:color w:val="000000"/>
        </w:rPr>
        <w:t>Koronios</w:t>
      </w:r>
      <w:proofErr w:type="spellEnd"/>
      <w:r w:rsidR="00207B08" w:rsidRPr="00E546C7">
        <w:rPr>
          <w:color w:val="000000"/>
        </w:rPr>
        <w:t xml:space="preserve"> et al., 2022)</w:t>
      </w:r>
      <w:r w:rsidR="00207B08" w:rsidRPr="00E546C7">
        <w:rPr>
          <w:rFonts w:eastAsiaTheme="majorEastAsia"/>
        </w:rPr>
        <w:t>. T</w:t>
      </w:r>
      <w:r w:rsidRPr="00E546C7">
        <w:rPr>
          <w:rFonts w:eastAsiaTheme="majorEastAsia"/>
        </w:rPr>
        <w:t xml:space="preserve">he transmission and interaction are related to perception, as is the Tricomponent Model to immediate response, while </w:t>
      </w:r>
      <w:r w:rsidR="00207B08" w:rsidRPr="00E546C7">
        <w:rPr>
          <w:rFonts w:eastAsiaTheme="majorEastAsia"/>
        </w:rPr>
        <w:t xml:space="preserve">the </w:t>
      </w:r>
      <w:r w:rsidRPr="00E546C7">
        <w:rPr>
          <w:rFonts w:eastAsiaTheme="majorEastAsia"/>
        </w:rPr>
        <w:t>Loyalty Ladder identifies the pitfalls of presuming relational progression.</w:t>
      </w:r>
      <w:r w:rsidRPr="00E546C7">
        <w:t xml:space="preserve"> </w:t>
      </w:r>
      <w:r w:rsidRPr="00E546C7">
        <w:rPr>
          <w:rFonts w:eastAsiaTheme="majorEastAsia"/>
        </w:rPr>
        <w:t>These conclusions, limitations, and future research and stakeholder recommendations are summari</w:t>
      </w:r>
      <w:r w:rsidRPr="00E546C7">
        <w:t>s</w:t>
      </w:r>
      <w:r w:rsidRPr="00E546C7">
        <w:rPr>
          <w:rFonts w:eastAsiaTheme="majorEastAsia"/>
        </w:rPr>
        <w:t>ed in Chapter 6</w:t>
      </w:r>
      <w:r w:rsidRPr="00E546C7">
        <w:t>.</w:t>
      </w:r>
    </w:p>
    <w:p w14:paraId="52E1781A" w14:textId="77777777" w:rsidR="007927B7" w:rsidRPr="00E546C7" w:rsidRDefault="007927B7" w:rsidP="007927B7">
      <w:pPr>
        <w:pStyle w:val="Heading1"/>
        <w:pageBreakBefore/>
        <w:rPr>
          <w:rFonts w:cs="Times New Roman"/>
        </w:rPr>
      </w:pPr>
      <w:bookmarkStart w:id="77" w:name="_Toc239819732"/>
      <w:r w:rsidRPr="00E546C7">
        <w:rPr>
          <w:rFonts w:cs="Times New Roman"/>
        </w:rPr>
        <w:t>Chapter 6: Conclusion and Recommendations</w:t>
      </w:r>
      <w:bookmarkEnd w:id="77"/>
    </w:p>
    <w:p w14:paraId="2EC96B37" w14:textId="77777777" w:rsidR="007927B7" w:rsidRPr="00E546C7" w:rsidRDefault="007927B7" w:rsidP="007927B7">
      <w:pPr>
        <w:pStyle w:val="Heading2"/>
        <w:rPr>
          <w:rFonts w:cs="Times New Roman"/>
        </w:rPr>
      </w:pPr>
      <w:bookmarkStart w:id="78" w:name="_Toc239819733"/>
      <w:r w:rsidRPr="00E546C7">
        <w:rPr>
          <w:rFonts w:cs="Times New Roman"/>
        </w:rPr>
        <w:t>6.1 Aim of the Study</w:t>
      </w:r>
      <w:bookmarkEnd w:id="78"/>
    </w:p>
    <w:p w14:paraId="0022FACB" w14:textId="5C38B179" w:rsidR="007927B7" w:rsidRPr="00E546C7" w:rsidRDefault="007927B7" w:rsidP="007927B7">
      <w:r w:rsidRPr="00E546C7">
        <w:rPr>
          <w:rFonts w:eastAsiaTheme="majorEastAsia"/>
        </w:rPr>
        <w:t>The study aimed to assess the relationship between UK consumers’ perceptions of Adidas’s integrated marketing communications and their attitude, purchase intention and brand loyalty.</w:t>
      </w:r>
      <w:r w:rsidRPr="00E546C7">
        <w:t xml:space="preserve"> </w:t>
      </w:r>
      <w:r w:rsidRPr="00E546C7">
        <w:rPr>
          <w:rFonts w:eastAsiaTheme="majorEastAsia"/>
        </w:rPr>
        <w:t>With 50 questionnaires completed, it was able to separate favourable sample sentiment and statistically supported relationships.</w:t>
      </w:r>
      <w:r w:rsidRPr="00E546C7">
        <w:t xml:space="preserve"> </w:t>
      </w:r>
      <w:r w:rsidRPr="00E546C7">
        <w:rPr>
          <w:rFonts w:eastAsiaTheme="majorEastAsia"/>
        </w:rPr>
        <w:t>Overall, respondents were favourable when it came to message consistency, credibility, relevance and engagement</w:t>
      </w:r>
      <w:r w:rsidR="00207B08" w:rsidRPr="00E546C7">
        <w:rPr>
          <w:rFonts w:eastAsiaTheme="majorEastAsia"/>
        </w:rPr>
        <w:t xml:space="preserve"> </w:t>
      </w:r>
      <w:r w:rsidR="00207B08" w:rsidRPr="00E546C7">
        <w:rPr>
          <w:color w:val="000000"/>
        </w:rPr>
        <w:t>(</w:t>
      </w:r>
      <w:proofErr w:type="spellStart"/>
      <w:r w:rsidR="00207B08" w:rsidRPr="00E546C7">
        <w:rPr>
          <w:color w:val="000000"/>
        </w:rPr>
        <w:t>Koronios</w:t>
      </w:r>
      <w:proofErr w:type="spellEnd"/>
      <w:r w:rsidR="00207B08" w:rsidRPr="00E546C7">
        <w:rPr>
          <w:color w:val="000000"/>
        </w:rPr>
        <w:t xml:space="preserve"> et al., 2022)</w:t>
      </w:r>
      <w:r w:rsidRPr="00E546C7">
        <w:rPr>
          <w:rFonts w:eastAsiaTheme="majorEastAsia"/>
        </w:rPr>
        <w:t>.</w:t>
      </w:r>
      <w:r w:rsidRPr="00E546C7">
        <w:t xml:space="preserve"> </w:t>
      </w:r>
      <w:r w:rsidRPr="00E546C7">
        <w:rPr>
          <w:rFonts w:eastAsiaTheme="majorEastAsia"/>
        </w:rPr>
        <w:t>There was a moderate relationship between perceived IMC and attitude and purchase intention</w:t>
      </w:r>
      <w:r w:rsidRPr="00E546C7">
        <w:t>. N</w:t>
      </w:r>
      <w:r w:rsidRPr="00E546C7">
        <w:rPr>
          <w:rFonts w:eastAsiaTheme="majorEastAsia"/>
        </w:rPr>
        <w:t>o relationship between perceived IMC and loyalty.</w:t>
      </w:r>
      <w:r w:rsidRPr="00E546C7">
        <w:t xml:space="preserve"> The c</w:t>
      </w:r>
      <w:r w:rsidRPr="00E546C7">
        <w:rPr>
          <w:rFonts w:eastAsiaTheme="majorEastAsia"/>
        </w:rPr>
        <w:t>entral conclusion is therefore conditional</w:t>
      </w:r>
      <w:r w:rsidRPr="00E546C7">
        <w:t xml:space="preserve">. </w:t>
      </w:r>
      <w:r w:rsidR="00207B08" w:rsidRPr="00E546C7">
        <w:rPr>
          <w:rFonts w:eastAsiaTheme="majorEastAsia"/>
        </w:rPr>
        <w:t>S</w:t>
      </w:r>
      <w:r w:rsidRPr="00E546C7">
        <w:rPr>
          <w:rFonts w:eastAsiaTheme="majorEastAsia"/>
        </w:rPr>
        <w:t>uccessful integrated communication is therefore strategically relevant for the immediate evaluation and willingness of the consumers, but without the support of a product/service, value and post-purchase, a durable commitment is not to be expected</w:t>
      </w:r>
      <w:r w:rsidRPr="00E546C7">
        <w:t>.</w:t>
      </w:r>
    </w:p>
    <w:p w14:paraId="58FC011B" w14:textId="77777777" w:rsidR="007927B7" w:rsidRPr="00E546C7" w:rsidRDefault="007927B7" w:rsidP="007927B7">
      <w:pPr>
        <w:pStyle w:val="Heading2"/>
        <w:rPr>
          <w:rFonts w:cs="Times New Roman"/>
        </w:rPr>
      </w:pPr>
      <w:bookmarkStart w:id="79" w:name="_Toc239819734"/>
      <w:r w:rsidRPr="00E546C7">
        <w:rPr>
          <w:rFonts w:cs="Times New Roman"/>
        </w:rPr>
        <w:t>6.2 Research Objective One</w:t>
      </w:r>
      <w:bookmarkEnd w:id="79"/>
    </w:p>
    <w:p w14:paraId="56C34DF6" w14:textId="1962D04E" w:rsidR="007927B7" w:rsidRPr="00E546C7" w:rsidRDefault="007927B7" w:rsidP="007927B7">
      <w:r w:rsidRPr="00E546C7">
        <w:t>The f</w:t>
      </w:r>
      <w:r w:rsidRPr="00E546C7">
        <w:rPr>
          <w:rFonts w:eastAsiaTheme="majorEastAsia"/>
        </w:rPr>
        <w:t>irst goal looked at how people view the consistency, credibility, relevance and interactivity of Adidas's IMC.</w:t>
      </w:r>
      <w:r w:rsidRPr="00E546C7">
        <w:t xml:space="preserve"> </w:t>
      </w:r>
      <w:r w:rsidRPr="00E546C7">
        <w:rPr>
          <w:rFonts w:eastAsiaTheme="majorEastAsia"/>
        </w:rPr>
        <w:t>82% achieved a positive response for consistency, and 80% for credibility, relevance and engagement.</w:t>
      </w:r>
      <w:r w:rsidRPr="00E546C7">
        <w:t xml:space="preserve"> </w:t>
      </w:r>
      <w:r w:rsidRPr="00E546C7">
        <w:rPr>
          <w:rFonts w:eastAsiaTheme="majorEastAsia"/>
        </w:rPr>
        <w:t>This is consistent with literature which considers integration to be a coherent, believable, and meaningful set of touchpoints, along with Shannon–Weaver's emphasis on decoding and Schramm's emphasis on common ground</w:t>
      </w:r>
      <w:r w:rsidR="00207B08" w:rsidRPr="00E546C7">
        <w:rPr>
          <w:rFonts w:eastAsiaTheme="majorEastAsia"/>
        </w:rPr>
        <w:t xml:space="preserve"> </w:t>
      </w:r>
      <w:r w:rsidR="00207B08" w:rsidRPr="00E546C7">
        <w:rPr>
          <w:color w:val="000000"/>
        </w:rPr>
        <w:t>(Momen et al., 2020)</w:t>
      </w:r>
      <w:r w:rsidRPr="00E546C7">
        <w:rPr>
          <w:rFonts w:eastAsiaTheme="majorEastAsia"/>
        </w:rPr>
        <w:t>.</w:t>
      </w:r>
      <w:r w:rsidRPr="00E546C7">
        <w:t xml:space="preserve"> </w:t>
      </w:r>
      <w:r w:rsidRPr="00E546C7">
        <w:rPr>
          <w:rFonts w:eastAsiaTheme="majorEastAsia"/>
        </w:rPr>
        <w:t>Familiarity with digital media resulted in the 72% preference for influencer endorsements and social media.</w:t>
      </w:r>
      <w:r w:rsidRPr="00E546C7">
        <w:t xml:space="preserve"> </w:t>
      </w:r>
      <w:r w:rsidRPr="00E546C7">
        <w:rPr>
          <w:rFonts w:eastAsiaTheme="majorEastAsia"/>
        </w:rPr>
        <w:t>This was essentially met at the general level, but because of the questionnaire used, it was impossible not only to distinguish between credibility, relevance and engagement but also to gauge interactivity directly</w:t>
      </w:r>
      <w:r w:rsidRPr="00E546C7">
        <w:t>.</w:t>
      </w:r>
    </w:p>
    <w:p w14:paraId="1D92C6D6" w14:textId="77777777" w:rsidR="007927B7" w:rsidRPr="00E546C7" w:rsidRDefault="007927B7" w:rsidP="007927B7">
      <w:pPr>
        <w:pStyle w:val="Heading2"/>
        <w:rPr>
          <w:rFonts w:cs="Times New Roman"/>
        </w:rPr>
      </w:pPr>
      <w:bookmarkStart w:id="80" w:name="_Toc239819735"/>
      <w:r w:rsidRPr="00E546C7">
        <w:rPr>
          <w:rFonts w:cs="Times New Roman"/>
        </w:rPr>
        <w:t>6.3 Research Objective Two</w:t>
      </w:r>
      <w:bookmarkEnd w:id="80"/>
    </w:p>
    <w:p w14:paraId="22E2CBDF" w14:textId="58363DE4" w:rsidR="007927B7" w:rsidRPr="00E546C7" w:rsidRDefault="007927B7" w:rsidP="007927B7">
      <w:r w:rsidRPr="00E546C7">
        <w:rPr>
          <w:rFonts w:eastAsiaTheme="majorEastAsia"/>
        </w:rPr>
        <w:t>The second objective found the relationship between perceived IMC and attitude and purchase intention.</w:t>
      </w:r>
      <w:r w:rsidRPr="00E546C7">
        <w:t xml:space="preserve"> </w:t>
      </w:r>
      <w:r w:rsidRPr="00E546C7">
        <w:rPr>
          <w:rFonts w:eastAsiaTheme="majorEastAsia"/>
        </w:rPr>
        <w:t>80% reported positive attitude</w:t>
      </w:r>
      <w:r w:rsidRPr="00E546C7">
        <w:t>,</w:t>
      </w:r>
      <w:r w:rsidRPr="00E546C7">
        <w:rPr>
          <w:rFonts w:eastAsiaTheme="majorEastAsia"/>
        </w:rPr>
        <w:t xml:space="preserve"> and 76% reported greater purchase intention.</w:t>
      </w:r>
      <w:r w:rsidRPr="00E546C7">
        <w:t xml:space="preserve"> </w:t>
      </w:r>
      <w:r w:rsidRPr="00E546C7">
        <w:rPr>
          <w:rFonts w:eastAsiaTheme="majorEastAsia"/>
        </w:rPr>
        <w:t>More importantly, there was a significant correlation between perceived IMC and attitude (rho = .523), perceived IMC and purchase intention (rho = .501), and between the combination of perceived IMC and attitude and purchase intention (rho = .576).</w:t>
      </w:r>
      <w:r w:rsidRPr="00E546C7">
        <w:t xml:space="preserve"> </w:t>
      </w:r>
      <w:r w:rsidRPr="00E546C7">
        <w:rPr>
          <w:rFonts w:eastAsiaTheme="majorEastAsia"/>
        </w:rPr>
        <w:t>In support of H1, cognitive evaluations, affect and conation appeared to be linked, in line with a Tricomponent Attitude Model</w:t>
      </w:r>
      <w:r w:rsidR="00207B08" w:rsidRPr="00E546C7">
        <w:rPr>
          <w:rFonts w:eastAsiaTheme="majorEastAsia"/>
        </w:rPr>
        <w:t xml:space="preserve"> </w:t>
      </w:r>
      <w:r w:rsidR="00207B08" w:rsidRPr="00E546C7">
        <w:rPr>
          <w:color w:val="000000"/>
        </w:rPr>
        <w:t>(Pimentel et al., 2023)</w:t>
      </w:r>
      <w:r w:rsidRPr="00E546C7">
        <w:rPr>
          <w:rFonts w:eastAsiaTheme="majorEastAsia"/>
        </w:rPr>
        <w:t>.</w:t>
      </w:r>
      <w:r w:rsidRPr="00E546C7">
        <w:t xml:space="preserve"> </w:t>
      </w:r>
      <w:r w:rsidRPr="00E546C7">
        <w:rPr>
          <w:rFonts w:eastAsiaTheme="majorEastAsia"/>
        </w:rPr>
        <w:t xml:space="preserve">Price, experience, availability and competitors were all significant factors, as the relationship accounted for 26.3% of variance in </w:t>
      </w:r>
      <w:r w:rsidRPr="00E546C7">
        <w:t xml:space="preserve">the </w:t>
      </w:r>
      <w:r w:rsidRPr="00E546C7">
        <w:rPr>
          <w:rFonts w:eastAsiaTheme="majorEastAsia"/>
        </w:rPr>
        <w:t>combined outcome of the robustness model.</w:t>
      </w:r>
      <w:r w:rsidRPr="00E546C7">
        <w:t xml:space="preserve"> </w:t>
      </w:r>
      <w:r w:rsidRPr="00E546C7">
        <w:rPr>
          <w:rFonts w:eastAsiaTheme="majorEastAsia"/>
        </w:rPr>
        <w:t>There was no evidence that communication led to actual purchases; the objective was achieved as an association</w:t>
      </w:r>
      <w:r w:rsidRPr="00E546C7">
        <w:t>.</w:t>
      </w:r>
    </w:p>
    <w:p w14:paraId="71B3F277" w14:textId="77777777" w:rsidR="007927B7" w:rsidRPr="00E546C7" w:rsidRDefault="007927B7" w:rsidP="007927B7">
      <w:pPr>
        <w:pStyle w:val="Heading2"/>
        <w:rPr>
          <w:rFonts w:cs="Times New Roman"/>
        </w:rPr>
      </w:pPr>
      <w:bookmarkStart w:id="81" w:name="_Toc239819736"/>
      <w:r w:rsidRPr="00E546C7">
        <w:rPr>
          <w:rFonts w:cs="Times New Roman"/>
        </w:rPr>
        <w:t>6.4 Research Objective Three</w:t>
      </w:r>
      <w:bookmarkEnd w:id="81"/>
    </w:p>
    <w:p w14:paraId="14B3156C" w14:textId="62AA8AF3" w:rsidR="00CB512A" w:rsidRPr="00E546C7" w:rsidRDefault="007927B7" w:rsidP="007927B7">
      <w:r w:rsidRPr="00E546C7">
        <w:rPr>
          <w:rFonts w:eastAsiaTheme="majorEastAsia"/>
        </w:rPr>
        <w:t>In the third objective, it was examined how perceived IMC was correlated with loyalty.</w:t>
      </w:r>
      <w:r w:rsidRPr="00E546C7">
        <w:t xml:space="preserve"> </w:t>
      </w:r>
      <w:r w:rsidRPr="00E546C7">
        <w:rPr>
          <w:rFonts w:eastAsiaTheme="majorEastAsia"/>
        </w:rPr>
        <w:t>The correlation was negligible and not significant</w:t>
      </w:r>
      <w:r w:rsidRPr="00E546C7">
        <w:t>,</w:t>
      </w:r>
      <w:r w:rsidRPr="00E546C7">
        <w:rPr>
          <w:rFonts w:eastAsiaTheme="majorEastAsia"/>
        </w:rPr>
        <w:t xml:space="preserve"> with 78% agreeing with the global loyalty statement, rho = .060, p = .677.</w:t>
      </w:r>
      <w:r w:rsidRPr="00E546C7">
        <w:t xml:space="preserve"> </w:t>
      </w:r>
      <w:r w:rsidRPr="00E546C7">
        <w:rPr>
          <w:rFonts w:eastAsiaTheme="majorEastAsia"/>
        </w:rPr>
        <w:t xml:space="preserve">However, this was not the case for H2, as its funding was not being </w:t>
      </w:r>
      <w:r w:rsidR="006709E8" w:rsidRPr="00E546C7">
        <w:rPr>
          <w:rFonts w:eastAsiaTheme="majorEastAsia"/>
        </w:rPr>
        <w:t>supported</w:t>
      </w:r>
      <w:r w:rsidRPr="00E546C7">
        <w:rPr>
          <w:rFonts w:eastAsiaTheme="majorEastAsia"/>
        </w:rPr>
        <w:t>.</w:t>
      </w:r>
      <w:r w:rsidRPr="00E546C7">
        <w:t xml:space="preserve"> </w:t>
      </w:r>
      <w:r w:rsidRPr="00E546C7">
        <w:rPr>
          <w:rFonts w:eastAsiaTheme="majorEastAsia"/>
        </w:rPr>
        <w:t>These findings indicate that respondents' loyalty is not necessarily enhanced by favourable communication only and that the Loyalty Ladder has been produced</w:t>
      </w:r>
      <w:r w:rsidR="00207B08" w:rsidRPr="00E546C7">
        <w:rPr>
          <w:rFonts w:eastAsiaTheme="majorEastAsia"/>
        </w:rPr>
        <w:t xml:space="preserve"> </w:t>
      </w:r>
      <w:r w:rsidR="00207B08" w:rsidRPr="00E546C7">
        <w:rPr>
          <w:color w:val="000000"/>
        </w:rPr>
        <w:t>(</w:t>
      </w:r>
      <w:proofErr w:type="spellStart"/>
      <w:r w:rsidR="00207B08" w:rsidRPr="00E546C7">
        <w:rPr>
          <w:color w:val="000000"/>
        </w:rPr>
        <w:t>Koronios</w:t>
      </w:r>
      <w:proofErr w:type="spellEnd"/>
      <w:r w:rsidR="00207B08" w:rsidRPr="00E546C7">
        <w:rPr>
          <w:color w:val="000000"/>
        </w:rPr>
        <w:t xml:space="preserve"> et al., 2022)</w:t>
      </w:r>
      <w:r w:rsidRPr="00E546C7">
        <w:rPr>
          <w:rFonts w:eastAsiaTheme="majorEastAsia"/>
        </w:rPr>
        <w:t>.</w:t>
      </w:r>
      <w:r w:rsidRPr="00E546C7">
        <w:t xml:space="preserve"> </w:t>
      </w:r>
      <w:r w:rsidRPr="00E546C7">
        <w:rPr>
          <w:rFonts w:eastAsiaTheme="majorEastAsia"/>
        </w:rPr>
        <w:t>Repurchase preferences substantiate this view as 78% chose limited time offers or discounts, but only 10% chose loyalty offers.</w:t>
      </w:r>
      <w:r w:rsidRPr="00E546C7">
        <w:t xml:space="preserve"> </w:t>
      </w:r>
      <w:r w:rsidRPr="00E546C7">
        <w:rPr>
          <w:rFonts w:eastAsiaTheme="majorEastAsia"/>
        </w:rPr>
        <w:t>It could thus be a "one</w:t>
      </w:r>
      <w:r w:rsidRPr="00E546C7">
        <w:t>-</w:t>
      </w:r>
      <w:r w:rsidRPr="00E546C7">
        <w:rPr>
          <w:rFonts w:eastAsiaTheme="majorEastAsia"/>
        </w:rPr>
        <w:t>time deal" purchase.</w:t>
      </w:r>
      <w:r w:rsidRPr="00E546C7">
        <w:t xml:space="preserve"> </w:t>
      </w:r>
      <w:r w:rsidRPr="00E546C7">
        <w:rPr>
          <w:rFonts w:eastAsiaTheme="majorEastAsia"/>
        </w:rPr>
        <w:t>This goal was accomplished by recogni</w:t>
      </w:r>
      <w:r w:rsidRPr="00E546C7">
        <w:t>s</w:t>
      </w:r>
      <w:r w:rsidRPr="00E546C7">
        <w:rPr>
          <w:rFonts w:eastAsiaTheme="majorEastAsia"/>
        </w:rPr>
        <w:t>ing a separation between immediate consumer reactions and enduring relationship results</w:t>
      </w:r>
      <w:r w:rsidRPr="00E546C7">
        <w:t>.</w:t>
      </w:r>
    </w:p>
    <w:p w14:paraId="74B1AADD" w14:textId="293DDEF5" w:rsidR="00026B7E" w:rsidRPr="00E546C7" w:rsidRDefault="00026B7E" w:rsidP="00026B7E">
      <w:pPr>
        <w:pStyle w:val="Heading2"/>
        <w:rPr>
          <w:rFonts w:cs="Times New Roman"/>
        </w:rPr>
      </w:pPr>
      <w:bookmarkStart w:id="82" w:name="_Toc239819739"/>
      <w:r w:rsidRPr="00E546C7">
        <w:rPr>
          <w:rFonts w:cs="Times New Roman"/>
        </w:rPr>
        <w:t>6.</w:t>
      </w:r>
      <w:r w:rsidR="0079425E" w:rsidRPr="00E546C7">
        <w:rPr>
          <w:rFonts w:cs="Times New Roman"/>
        </w:rPr>
        <w:t>5</w:t>
      </w:r>
      <w:r w:rsidRPr="00E546C7">
        <w:rPr>
          <w:rFonts w:cs="Times New Roman"/>
        </w:rPr>
        <w:t xml:space="preserve"> Recommendations</w:t>
      </w:r>
      <w:bookmarkEnd w:id="82"/>
    </w:p>
    <w:p w14:paraId="6ADB0797" w14:textId="4F973555" w:rsidR="0079425E" w:rsidRPr="00E546C7" w:rsidRDefault="0079425E" w:rsidP="0079425E">
      <w:pPr>
        <w:rPr>
          <w:lang w:bidi="bn-IN"/>
        </w:rPr>
      </w:pPr>
      <w:r w:rsidRPr="00E546C7">
        <w:rPr>
          <w:lang w:bidi="bn-IN"/>
        </w:rPr>
        <w:t>Survey results and hypothesis testing plus a literature review have led to the conclusion that Adidas needs to use an integrated approach to consumer engagement to tie in the promotional communication with long-term engagement building. The results show that there is a significant relationship between IMC perceptions and attitude, and between IMC perceptions and purchase intention, such that there is no direct relationship between IMC perceptions and loyalty (Suay-Pérez et al., 2022). Thus, Adidas' exposure to communication has to be shifted to strategies that will lead to repeated relationships based on positive attitude. The recommendation is on two points: promotional activity (Question 7) and loyalty activity (Question 8 and Question 10).</w:t>
      </w:r>
    </w:p>
    <w:p w14:paraId="6FBF101B" w14:textId="77777777" w:rsidR="0079425E" w:rsidRPr="00E546C7" w:rsidRDefault="0079425E" w:rsidP="0079425E">
      <w:pPr>
        <w:pStyle w:val="Heading3"/>
        <w:rPr>
          <w:rFonts w:cs="Times New Roman"/>
          <w:lang/>
        </w:rPr>
      </w:pPr>
      <w:r w:rsidRPr="00E546C7">
        <w:rPr>
          <w:rFonts w:cs="Times New Roman"/>
          <w:lang/>
        </w:rPr>
        <w:t>Promotional Strategy: Socially Connected Authentic Campaigns</w:t>
      </w:r>
    </w:p>
    <w:p w14:paraId="0FD9DD5D" w14:textId="58648B65" w:rsidR="0079425E" w:rsidRPr="00E546C7" w:rsidRDefault="0079425E" w:rsidP="0079425E">
      <w:pPr>
        <w:rPr>
          <w:lang w:bidi="bn-IN"/>
        </w:rPr>
      </w:pPr>
      <w:r w:rsidRPr="00E546C7">
        <w:rPr>
          <w:lang w:bidi="bn-IN"/>
        </w:rPr>
        <w:t xml:space="preserve">In Question 7, 40% of the respondents mentioned that celebrity/influencer endorsement would </w:t>
      </w:r>
      <w:r w:rsidRPr="00E546C7">
        <w:rPr>
          <w:lang w:val="en-US" w:bidi="bn-IN"/>
        </w:rPr>
        <w:t>b</w:t>
      </w:r>
      <w:r w:rsidRPr="00E546C7">
        <w:rPr>
          <w:lang w:bidi="bn-IN"/>
        </w:rPr>
        <w:t>e the best promotional method</w:t>
      </w:r>
      <w:r w:rsidRPr="00E546C7">
        <w:rPr>
          <w:lang w:val="en-US" w:bidi="bn-IN"/>
        </w:rPr>
        <w:t>,</w:t>
      </w:r>
      <w:r w:rsidRPr="00E546C7">
        <w:rPr>
          <w:lang w:bidi="bn-IN"/>
        </w:rPr>
        <w:t xml:space="preserve"> while 32% mentioned social media marketing. Therefore, the ideal social media tactic that Adidas should aim at is to invest more in </w:t>
      </w:r>
      <w:r w:rsidRPr="00E546C7">
        <w:rPr>
          <w:lang w:val="en-US" w:bidi="bn-IN"/>
        </w:rPr>
        <w:t>s</w:t>
      </w:r>
      <w:r w:rsidRPr="00E546C7">
        <w:rPr>
          <w:lang w:bidi="bn-IN"/>
        </w:rPr>
        <w:t xml:space="preserve">ocial </w:t>
      </w:r>
      <w:proofErr w:type="spellStart"/>
      <w:r w:rsidRPr="00E546C7">
        <w:rPr>
          <w:lang w:val="en-US" w:bidi="bn-IN"/>
        </w:rPr>
        <w:t>i</w:t>
      </w:r>
      <w:proofErr w:type="spellEnd"/>
      <w:r w:rsidRPr="00E546C7">
        <w:rPr>
          <w:lang w:bidi="bn-IN"/>
        </w:rPr>
        <w:t xml:space="preserve">nfluencer </w:t>
      </w:r>
      <w:r w:rsidRPr="00E546C7">
        <w:rPr>
          <w:lang w:val="en-US" w:bidi="bn-IN"/>
        </w:rPr>
        <w:t>c</w:t>
      </w:r>
      <w:r w:rsidRPr="00E546C7">
        <w:rPr>
          <w:lang w:bidi="bn-IN"/>
        </w:rPr>
        <w:t xml:space="preserve">ampaigns, but </w:t>
      </w:r>
      <w:r w:rsidRPr="00E546C7">
        <w:rPr>
          <w:lang w:val="en-US" w:bidi="bn-IN"/>
        </w:rPr>
        <w:t>not just with</w:t>
      </w:r>
      <w:r w:rsidRPr="00E546C7">
        <w:rPr>
          <w:lang w:bidi="bn-IN"/>
        </w:rPr>
        <w:t xml:space="preserve"> everyone popular (Zhou et al., 2020). This fits well with the literature that found that source credibility, relevance and interaction are relevant parts of an effective IMC.</w:t>
      </w:r>
    </w:p>
    <w:p w14:paraId="340DEE83" w14:textId="77777777" w:rsidR="0079425E" w:rsidRPr="00E546C7" w:rsidRDefault="0079425E" w:rsidP="0079425E">
      <w:pPr>
        <w:rPr>
          <w:lang w:bidi="bn-IN"/>
        </w:rPr>
      </w:pPr>
      <w:r w:rsidRPr="00E546C7">
        <w:rPr>
          <w:b/>
          <w:bCs/>
          <w:lang w:bidi="bn-IN"/>
        </w:rPr>
        <w:t>Implementation Plan:</w:t>
      </w:r>
    </w:p>
    <w:tbl>
      <w:tblPr>
        <w:tblStyle w:val="PlainTable5"/>
        <w:tblW w:w="0" w:type="auto"/>
        <w:tblLook w:val="04A0" w:firstRow="1" w:lastRow="0" w:firstColumn="1" w:lastColumn="0" w:noHBand="0" w:noVBand="1"/>
      </w:tblPr>
      <w:tblGrid>
        <w:gridCol w:w="1722"/>
        <w:gridCol w:w="4585"/>
        <w:gridCol w:w="1301"/>
        <w:gridCol w:w="1412"/>
      </w:tblGrid>
      <w:tr w:rsidR="0079425E" w:rsidRPr="00E546C7" w14:paraId="5C46BA4C" w14:textId="77777777" w:rsidTr="0079425E">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1583D423" w14:textId="77777777" w:rsidR="0079425E" w:rsidRPr="00E546C7" w:rsidRDefault="0079425E" w:rsidP="0079425E">
            <w:pPr>
              <w:rPr>
                <w:lang w:bidi="bn-IN"/>
              </w:rPr>
            </w:pPr>
            <w:r w:rsidRPr="00E546C7">
              <w:rPr>
                <w:b/>
                <w:bCs/>
                <w:lang w:bidi="bn-IN"/>
              </w:rPr>
              <w:t>Strategy</w:t>
            </w:r>
          </w:p>
        </w:tc>
        <w:tc>
          <w:tcPr>
            <w:tcW w:w="0" w:type="auto"/>
            <w:hideMark/>
          </w:tcPr>
          <w:p w14:paraId="7D6DED32" w14:textId="77777777" w:rsidR="0079425E" w:rsidRPr="00E546C7" w:rsidRDefault="0079425E" w:rsidP="0079425E">
            <w:pPr>
              <w:cnfStyle w:val="100000000000" w:firstRow="1" w:lastRow="0" w:firstColumn="0" w:lastColumn="0" w:oddVBand="0" w:evenVBand="0" w:oddHBand="0" w:evenHBand="0" w:firstRowFirstColumn="0" w:firstRowLastColumn="0" w:lastRowFirstColumn="0" w:lastRowLastColumn="0"/>
              <w:rPr>
                <w:lang w:bidi="bn-IN"/>
              </w:rPr>
            </w:pPr>
            <w:r w:rsidRPr="00E546C7">
              <w:rPr>
                <w:b/>
                <w:bCs/>
                <w:lang w:bidi="bn-IN"/>
              </w:rPr>
              <w:t>Action</w:t>
            </w:r>
          </w:p>
        </w:tc>
        <w:tc>
          <w:tcPr>
            <w:tcW w:w="0" w:type="auto"/>
            <w:hideMark/>
          </w:tcPr>
          <w:p w14:paraId="7D3196FD" w14:textId="77777777" w:rsidR="0079425E" w:rsidRPr="00E546C7" w:rsidRDefault="0079425E" w:rsidP="0079425E">
            <w:pPr>
              <w:cnfStyle w:val="100000000000" w:firstRow="1" w:lastRow="0" w:firstColumn="0" w:lastColumn="0" w:oddVBand="0" w:evenVBand="0" w:oddHBand="0" w:evenHBand="0" w:firstRowFirstColumn="0" w:firstRowLastColumn="0" w:lastRowFirstColumn="0" w:lastRowLastColumn="0"/>
              <w:rPr>
                <w:lang w:bidi="bn-IN"/>
              </w:rPr>
            </w:pPr>
            <w:r w:rsidRPr="00E546C7">
              <w:rPr>
                <w:b/>
                <w:bCs/>
                <w:lang w:bidi="bn-IN"/>
              </w:rPr>
              <w:t>Timeframe</w:t>
            </w:r>
          </w:p>
        </w:tc>
        <w:tc>
          <w:tcPr>
            <w:tcW w:w="0" w:type="auto"/>
            <w:hideMark/>
          </w:tcPr>
          <w:p w14:paraId="727A6377" w14:textId="77777777" w:rsidR="0079425E" w:rsidRPr="00E546C7" w:rsidRDefault="0079425E" w:rsidP="0079425E">
            <w:pPr>
              <w:cnfStyle w:val="100000000000" w:firstRow="1" w:lastRow="0" w:firstColumn="0" w:lastColumn="0" w:oddVBand="0" w:evenVBand="0" w:oddHBand="0" w:evenHBand="0" w:firstRowFirstColumn="0" w:firstRowLastColumn="0" w:lastRowFirstColumn="0" w:lastRowLastColumn="0"/>
              <w:rPr>
                <w:lang w:bidi="bn-IN"/>
              </w:rPr>
            </w:pPr>
            <w:r w:rsidRPr="00E546C7">
              <w:rPr>
                <w:b/>
                <w:bCs/>
                <w:lang w:bidi="bn-IN"/>
              </w:rPr>
              <w:t>Estimated Budget</w:t>
            </w:r>
          </w:p>
        </w:tc>
      </w:tr>
      <w:tr w:rsidR="0079425E" w:rsidRPr="00E546C7" w14:paraId="01705F52" w14:textId="77777777" w:rsidTr="0079425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065EF5F" w14:textId="77777777" w:rsidR="0079425E" w:rsidRPr="00E546C7" w:rsidRDefault="0079425E" w:rsidP="0079425E">
            <w:pPr>
              <w:rPr>
                <w:lang w:bidi="bn-IN"/>
              </w:rPr>
            </w:pPr>
            <w:r w:rsidRPr="00E546C7">
              <w:rPr>
                <w:lang w:bidi="bn-IN"/>
              </w:rPr>
              <w:t>Influencer integration</w:t>
            </w:r>
          </w:p>
        </w:tc>
        <w:tc>
          <w:tcPr>
            <w:tcW w:w="0" w:type="auto"/>
            <w:hideMark/>
          </w:tcPr>
          <w:p w14:paraId="019CC95C" w14:textId="77777777" w:rsidR="0079425E" w:rsidRPr="00E546C7" w:rsidRDefault="0079425E" w:rsidP="0079425E">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Partner with credible athletes and lifestyle creators to deliver consistent product stories across TikTok, Instagram and Adidas platforms</w:t>
            </w:r>
          </w:p>
        </w:tc>
        <w:tc>
          <w:tcPr>
            <w:tcW w:w="0" w:type="auto"/>
            <w:hideMark/>
          </w:tcPr>
          <w:p w14:paraId="76E58A96" w14:textId="77777777" w:rsidR="0079425E" w:rsidRPr="00E546C7" w:rsidRDefault="0079425E" w:rsidP="0079425E">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6 months</w:t>
            </w:r>
          </w:p>
        </w:tc>
        <w:tc>
          <w:tcPr>
            <w:tcW w:w="0" w:type="auto"/>
            <w:hideMark/>
          </w:tcPr>
          <w:p w14:paraId="5F029739" w14:textId="77777777" w:rsidR="0079425E" w:rsidRPr="00E546C7" w:rsidRDefault="0079425E" w:rsidP="0079425E">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€5 million</w:t>
            </w:r>
          </w:p>
        </w:tc>
      </w:tr>
      <w:tr w:rsidR="0079425E" w:rsidRPr="00E546C7" w14:paraId="2F8DB338" w14:textId="77777777" w:rsidTr="0079425E">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F0578B2" w14:textId="77777777" w:rsidR="0079425E" w:rsidRPr="00E546C7" w:rsidRDefault="0079425E" w:rsidP="0079425E">
            <w:pPr>
              <w:rPr>
                <w:lang w:bidi="bn-IN"/>
              </w:rPr>
            </w:pPr>
            <w:r w:rsidRPr="00E546C7">
              <w:rPr>
                <w:lang w:bidi="bn-IN"/>
              </w:rPr>
              <w:t>Interactive social campaign</w:t>
            </w:r>
          </w:p>
        </w:tc>
        <w:tc>
          <w:tcPr>
            <w:tcW w:w="0" w:type="auto"/>
            <w:hideMark/>
          </w:tcPr>
          <w:p w14:paraId="1FF42F71" w14:textId="77777777" w:rsidR="0079425E" w:rsidRPr="00E546C7" w:rsidRDefault="0079425E" w:rsidP="0079425E">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Create user-generated content challenges and community engagement activities</w:t>
            </w:r>
          </w:p>
        </w:tc>
        <w:tc>
          <w:tcPr>
            <w:tcW w:w="0" w:type="auto"/>
            <w:hideMark/>
          </w:tcPr>
          <w:p w14:paraId="75CCBAC5" w14:textId="77777777" w:rsidR="0079425E" w:rsidRPr="00E546C7" w:rsidRDefault="0079425E" w:rsidP="0079425E">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3 months</w:t>
            </w:r>
          </w:p>
        </w:tc>
        <w:tc>
          <w:tcPr>
            <w:tcW w:w="0" w:type="auto"/>
            <w:hideMark/>
          </w:tcPr>
          <w:p w14:paraId="4A2604A9" w14:textId="77777777" w:rsidR="0079425E" w:rsidRPr="00E546C7" w:rsidRDefault="0079425E" w:rsidP="0079425E">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€2 million</w:t>
            </w:r>
          </w:p>
        </w:tc>
      </w:tr>
    </w:tbl>
    <w:p w14:paraId="6A212D6E" w14:textId="77777777" w:rsidR="0079425E" w:rsidRPr="00E546C7" w:rsidRDefault="0079425E" w:rsidP="0079425E">
      <w:pPr>
        <w:pStyle w:val="Heading3"/>
        <w:rPr>
          <w:rFonts w:cs="Times New Roman"/>
          <w:lang/>
        </w:rPr>
      </w:pPr>
      <w:r w:rsidRPr="00E546C7">
        <w:rPr>
          <w:rFonts w:cs="Times New Roman"/>
          <w:lang/>
        </w:rPr>
        <w:t>Brand Loyalty Development Strategy: Adidas Community and Retention Programme</w:t>
      </w:r>
    </w:p>
    <w:p w14:paraId="15D8B6BF" w14:textId="448CEB7E" w:rsidR="0079425E" w:rsidRPr="00E546C7" w:rsidRDefault="0079425E" w:rsidP="0079425E">
      <w:pPr>
        <w:rPr>
          <w:lang w:bidi="bn-IN"/>
        </w:rPr>
      </w:pPr>
      <w:r w:rsidRPr="00E546C7">
        <w:rPr>
          <w:sz w:val="23"/>
          <w:szCs w:val="23"/>
          <w:lang w:bidi="bn-IN"/>
        </w:rPr>
        <w:t>Limited-time special offers (46%) were seen as the greatest incentive to repurchase, followed by discounts (32%), showed Question 8. The literature and hypothesis testing, however, reveal that giving promotion</w:t>
      </w:r>
      <w:r w:rsidRPr="00E546C7">
        <w:rPr>
          <w:sz w:val="23"/>
          <w:szCs w:val="23"/>
          <w:lang w:val="en-US" w:bidi="bn-IN"/>
        </w:rPr>
        <w:t>al</w:t>
      </w:r>
      <w:r w:rsidRPr="00E546C7">
        <w:rPr>
          <w:sz w:val="23"/>
          <w:szCs w:val="23"/>
          <w:lang w:bidi="bn-IN"/>
        </w:rPr>
        <w:t xml:space="preserve"> incentives can lead to “customer practice” and not real customer loyalty. Result of Question 10 showed that 78% agreed that positive IMC gives rise to loyalty. However, there was a low correlation between IMC and loyalty (Trivedi, 2020). Thus, Adidas ought to incorporate promotional offers as well as relationship-building-related activities.</w:t>
      </w:r>
    </w:p>
    <w:p w14:paraId="35E77270" w14:textId="77777777" w:rsidR="0079425E" w:rsidRPr="00E546C7" w:rsidRDefault="0079425E" w:rsidP="0079425E">
      <w:pPr>
        <w:rPr>
          <w:lang w:bidi="bn-IN"/>
        </w:rPr>
      </w:pPr>
      <w:r w:rsidRPr="00E546C7">
        <w:rPr>
          <w:b/>
          <w:bCs/>
          <w:lang w:bidi="bn-IN"/>
        </w:rPr>
        <w:t>Implementation Plan:</w:t>
      </w:r>
    </w:p>
    <w:tbl>
      <w:tblPr>
        <w:tblStyle w:val="PlainTable5"/>
        <w:tblW w:w="0" w:type="auto"/>
        <w:tblLook w:val="04A0" w:firstRow="1" w:lastRow="0" w:firstColumn="1" w:lastColumn="0" w:noHBand="0" w:noVBand="1"/>
      </w:tblPr>
      <w:tblGrid>
        <w:gridCol w:w="1832"/>
        <w:gridCol w:w="4441"/>
        <w:gridCol w:w="1301"/>
        <w:gridCol w:w="1446"/>
      </w:tblGrid>
      <w:tr w:rsidR="0079425E" w:rsidRPr="00E546C7" w14:paraId="7F1B3AA2" w14:textId="77777777" w:rsidTr="0079425E">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0B1DFD3F" w14:textId="77777777" w:rsidR="0079425E" w:rsidRPr="00E546C7" w:rsidRDefault="0079425E" w:rsidP="0079425E">
            <w:pPr>
              <w:rPr>
                <w:lang w:bidi="bn-IN"/>
              </w:rPr>
            </w:pPr>
            <w:r w:rsidRPr="00E546C7">
              <w:rPr>
                <w:b/>
                <w:bCs/>
                <w:lang w:bidi="bn-IN"/>
              </w:rPr>
              <w:t>Strategy</w:t>
            </w:r>
          </w:p>
        </w:tc>
        <w:tc>
          <w:tcPr>
            <w:tcW w:w="0" w:type="auto"/>
            <w:hideMark/>
          </w:tcPr>
          <w:p w14:paraId="1889031A" w14:textId="77777777" w:rsidR="0079425E" w:rsidRPr="00E546C7" w:rsidRDefault="0079425E" w:rsidP="0079425E">
            <w:pPr>
              <w:cnfStyle w:val="100000000000" w:firstRow="1" w:lastRow="0" w:firstColumn="0" w:lastColumn="0" w:oddVBand="0" w:evenVBand="0" w:oddHBand="0" w:evenHBand="0" w:firstRowFirstColumn="0" w:firstRowLastColumn="0" w:lastRowFirstColumn="0" w:lastRowLastColumn="0"/>
              <w:rPr>
                <w:lang w:bidi="bn-IN"/>
              </w:rPr>
            </w:pPr>
            <w:r w:rsidRPr="00E546C7">
              <w:rPr>
                <w:b/>
                <w:bCs/>
                <w:lang w:bidi="bn-IN"/>
              </w:rPr>
              <w:t>Action</w:t>
            </w:r>
          </w:p>
        </w:tc>
        <w:tc>
          <w:tcPr>
            <w:tcW w:w="0" w:type="auto"/>
            <w:hideMark/>
          </w:tcPr>
          <w:p w14:paraId="5B48AC2C" w14:textId="77777777" w:rsidR="0079425E" w:rsidRPr="00E546C7" w:rsidRDefault="0079425E" w:rsidP="0079425E">
            <w:pPr>
              <w:cnfStyle w:val="100000000000" w:firstRow="1" w:lastRow="0" w:firstColumn="0" w:lastColumn="0" w:oddVBand="0" w:evenVBand="0" w:oddHBand="0" w:evenHBand="0" w:firstRowFirstColumn="0" w:firstRowLastColumn="0" w:lastRowFirstColumn="0" w:lastRowLastColumn="0"/>
              <w:rPr>
                <w:lang w:bidi="bn-IN"/>
              </w:rPr>
            </w:pPr>
            <w:r w:rsidRPr="00E546C7">
              <w:rPr>
                <w:b/>
                <w:bCs/>
                <w:lang w:bidi="bn-IN"/>
              </w:rPr>
              <w:t>Timeframe</w:t>
            </w:r>
          </w:p>
        </w:tc>
        <w:tc>
          <w:tcPr>
            <w:tcW w:w="0" w:type="auto"/>
            <w:hideMark/>
          </w:tcPr>
          <w:p w14:paraId="0E0208E0" w14:textId="77777777" w:rsidR="0079425E" w:rsidRPr="00E546C7" w:rsidRDefault="0079425E" w:rsidP="0079425E">
            <w:pPr>
              <w:cnfStyle w:val="100000000000" w:firstRow="1" w:lastRow="0" w:firstColumn="0" w:lastColumn="0" w:oddVBand="0" w:evenVBand="0" w:oddHBand="0" w:evenHBand="0" w:firstRowFirstColumn="0" w:firstRowLastColumn="0" w:lastRowFirstColumn="0" w:lastRowLastColumn="0"/>
              <w:rPr>
                <w:lang w:bidi="bn-IN"/>
              </w:rPr>
            </w:pPr>
            <w:r w:rsidRPr="00E546C7">
              <w:rPr>
                <w:b/>
                <w:bCs/>
                <w:lang w:bidi="bn-IN"/>
              </w:rPr>
              <w:t>Estimated Budget</w:t>
            </w:r>
          </w:p>
        </w:tc>
      </w:tr>
      <w:tr w:rsidR="0079425E" w:rsidRPr="00E546C7" w14:paraId="5E20A99C" w14:textId="77777777" w:rsidTr="0079425E">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52A56112" w14:textId="77777777" w:rsidR="0079425E" w:rsidRPr="00E546C7" w:rsidRDefault="0079425E" w:rsidP="0079425E">
            <w:pPr>
              <w:rPr>
                <w:lang w:bidi="bn-IN"/>
              </w:rPr>
            </w:pPr>
            <w:r w:rsidRPr="00E546C7">
              <w:rPr>
                <w:lang w:bidi="bn-IN"/>
              </w:rPr>
              <w:t>Adidas Loyalty Hub</w:t>
            </w:r>
          </w:p>
        </w:tc>
        <w:tc>
          <w:tcPr>
            <w:tcW w:w="0" w:type="auto"/>
            <w:hideMark/>
          </w:tcPr>
          <w:p w14:paraId="2D89D1EC" w14:textId="77777777" w:rsidR="0079425E" w:rsidRPr="00E546C7" w:rsidRDefault="0079425E" w:rsidP="0079425E">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Develop a membership programme offering personalised rewards, early product access and community benefits</w:t>
            </w:r>
          </w:p>
        </w:tc>
        <w:tc>
          <w:tcPr>
            <w:tcW w:w="0" w:type="auto"/>
            <w:hideMark/>
          </w:tcPr>
          <w:p w14:paraId="1B47112B" w14:textId="77777777" w:rsidR="0079425E" w:rsidRPr="00E546C7" w:rsidRDefault="0079425E" w:rsidP="0079425E">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12 months</w:t>
            </w:r>
          </w:p>
        </w:tc>
        <w:tc>
          <w:tcPr>
            <w:tcW w:w="0" w:type="auto"/>
            <w:hideMark/>
          </w:tcPr>
          <w:p w14:paraId="106A6E93" w14:textId="77777777" w:rsidR="0079425E" w:rsidRPr="00E546C7" w:rsidRDefault="0079425E" w:rsidP="0079425E">
            <w:pPr>
              <w:cnfStyle w:val="000000100000" w:firstRow="0" w:lastRow="0" w:firstColumn="0" w:lastColumn="0" w:oddVBand="0" w:evenVBand="0" w:oddHBand="1" w:evenHBand="0" w:firstRowFirstColumn="0" w:firstRowLastColumn="0" w:lastRowFirstColumn="0" w:lastRowLastColumn="0"/>
              <w:rPr>
                <w:lang w:bidi="bn-IN"/>
              </w:rPr>
            </w:pPr>
            <w:r w:rsidRPr="00E546C7">
              <w:rPr>
                <w:lang w:bidi="bn-IN"/>
              </w:rPr>
              <w:t>€8 million</w:t>
            </w:r>
          </w:p>
        </w:tc>
      </w:tr>
      <w:tr w:rsidR="0079425E" w:rsidRPr="00E546C7" w14:paraId="6EB67740" w14:textId="77777777" w:rsidTr="0079425E">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2617A5F5" w14:textId="77777777" w:rsidR="0079425E" w:rsidRPr="00E546C7" w:rsidRDefault="0079425E" w:rsidP="0079425E">
            <w:pPr>
              <w:rPr>
                <w:lang w:bidi="bn-IN"/>
              </w:rPr>
            </w:pPr>
            <w:r w:rsidRPr="00E546C7">
              <w:rPr>
                <w:lang w:bidi="bn-IN"/>
              </w:rPr>
              <w:t>Post-purchase engagement</w:t>
            </w:r>
          </w:p>
        </w:tc>
        <w:tc>
          <w:tcPr>
            <w:tcW w:w="0" w:type="auto"/>
            <w:hideMark/>
          </w:tcPr>
          <w:p w14:paraId="74466B23" w14:textId="77777777" w:rsidR="0079425E" w:rsidRPr="00E546C7" w:rsidRDefault="0079425E" w:rsidP="0079425E">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Introduce feedback systems, product care support and exclusive customer experiences</w:t>
            </w:r>
          </w:p>
        </w:tc>
        <w:tc>
          <w:tcPr>
            <w:tcW w:w="0" w:type="auto"/>
            <w:hideMark/>
          </w:tcPr>
          <w:p w14:paraId="4C891453" w14:textId="77777777" w:rsidR="0079425E" w:rsidRPr="00E546C7" w:rsidRDefault="0079425E" w:rsidP="0079425E">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6 months</w:t>
            </w:r>
          </w:p>
        </w:tc>
        <w:tc>
          <w:tcPr>
            <w:tcW w:w="0" w:type="auto"/>
            <w:hideMark/>
          </w:tcPr>
          <w:p w14:paraId="41DDA2AC" w14:textId="77777777" w:rsidR="0079425E" w:rsidRPr="00E546C7" w:rsidRDefault="0079425E" w:rsidP="0079425E">
            <w:pPr>
              <w:cnfStyle w:val="000000000000" w:firstRow="0" w:lastRow="0" w:firstColumn="0" w:lastColumn="0" w:oddVBand="0" w:evenVBand="0" w:oddHBand="0" w:evenHBand="0" w:firstRowFirstColumn="0" w:firstRowLastColumn="0" w:lastRowFirstColumn="0" w:lastRowLastColumn="0"/>
              <w:rPr>
                <w:lang w:bidi="bn-IN"/>
              </w:rPr>
            </w:pPr>
            <w:r w:rsidRPr="00E546C7">
              <w:rPr>
                <w:lang w:bidi="bn-IN"/>
              </w:rPr>
              <w:t>€3 million</w:t>
            </w:r>
          </w:p>
        </w:tc>
      </w:tr>
    </w:tbl>
    <w:p w14:paraId="6909B920" w14:textId="711212BB" w:rsidR="0079425E" w:rsidRPr="00E546C7" w:rsidRDefault="0079425E" w:rsidP="0079425E">
      <w:pPr>
        <w:rPr>
          <w:lang w:bidi="bn-IN"/>
        </w:rPr>
      </w:pPr>
      <w:r w:rsidRPr="00E546C7">
        <w:rPr>
          <w:sz w:val="23"/>
          <w:szCs w:val="23"/>
          <w:lang w:bidi="bn-IN"/>
        </w:rPr>
        <w:t>Behavioural metrics of the recommended strategy should be assessed: repeat purchase, membership activity, customer retention and advocacy. This is supported by the Loyalty Ladder approach attributes, whereby after the act of awareness and purchase, consumers must take each step towards different higher levels of engagement, and reinsta</w:t>
      </w:r>
      <w:r w:rsidRPr="00E546C7">
        <w:rPr>
          <w:sz w:val="23"/>
          <w:szCs w:val="23"/>
          <w:lang w:val="en-US" w:bidi="bn-IN"/>
        </w:rPr>
        <w:t>t</w:t>
      </w:r>
      <w:r w:rsidRPr="00E546C7">
        <w:rPr>
          <w:sz w:val="23"/>
          <w:szCs w:val="23"/>
          <w:lang w:bidi="bn-IN"/>
        </w:rPr>
        <w:t>ing a sense of value through continuous value creation (Yoon et al., 2024). Adidas should also track the process to see if the activities of the influencers boost credibility and engagement because higher visibility doesn't necessarily equate to better and more engaging communication.</w:t>
      </w:r>
    </w:p>
    <w:p w14:paraId="0E98B5B1" w14:textId="6F6691F9" w:rsidR="00026B7E" w:rsidRPr="00E546C7" w:rsidRDefault="0079425E" w:rsidP="007927B7">
      <w:pPr>
        <w:rPr>
          <w:lang w:bidi="bn-IN"/>
        </w:rPr>
      </w:pPr>
      <w:r w:rsidRPr="00E546C7">
        <w:rPr>
          <w:sz w:val="23"/>
          <w:szCs w:val="23"/>
          <w:lang w:bidi="bn-IN"/>
        </w:rPr>
        <w:t>This should include marketing, retail, e-commerce and customer service teams so that it is consistent across all touchpoints. A coordinated approach will enhance the bond between IMC and consumer behaviour because the brand message that is pushed through advertising will be reinforced when a consumer experiences it in person (Yoon et al., 2024). In summary, Adidas would be better served by communicating with the customer in order to attract them to its products, and value, community and personalised experiences would better serve to keep them. This balance considers that purchase intentions can be obtained with promotion, while sustainable loyalty can be achieved with the creation, development and maintenance of consumer relationships through integrated marketing communication.</w:t>
      </w:r>
    </w:p>
    <w:p w14:paraId="34D98E68" w14:textId="05FF858D" w:rsidR="007927B7" w:rsidRPr="00E546C7" w:rsidRDefault="007927B7" w:rsidP="007927B7">
      <w:pPr>
        <w:pStyle w:val="Heading2"/>
        <w:rPr>
          <w:rFonts w:cs="Times New Roman"/>
        </w:rPr>
      </w:pPr>
      <w:bookmarkStart w:id="83" w:name="_Toc239819737"/>
      <w:r w:rsidRPr="00E546C7">
        <w:rPr>
          <w:rFonts w:cs="Times New Roman"/>
        </w:rPr>
        <w:t>6.</w:t>
      </w:r>
      <w:r w:rsidR="0079425E" w:rsidRPr="00E546C7">
        <w:rPr>
          <w:rFonts w:cs="Times New Roman"/>
        </w:rPr>
        <w:t>6</w:t>
      </w:r>
      <w:r w:rsidRPr="00E546C7">
        <w:rPr>
          <w:rFonts w:cs="Times New Roman"/>
        </w:rPr>
        <w:t xml:space="preserve"> Limitations and How They Were Addressed</w:t>
      </w:r>
      <w:bookmarkEnd w:id="83"/>
    </w:p>
    <w:p w14:paraId="1938EFD2" w14:textId="2C930514" w:rsidR="007927B7" w:rsidRPr="00E546C7" w:rsidRDefault="007927B7" w:rsidP="007927B7">
      <w:r w:rsidRPr="00E546C7">
        <w:rPr>
          <w:rFonts w:eastAsiaTheme="majorEastAsia"/>
        </w:rPr>
        <w:t xml:space="preserve">It can be seen that the respondents in the primary research were only 50 and were </w:t>
      </w:r>
      <w:r w:rsidRPr="00E546C7">
        <w:t>selected</w:t>
      </w:r>
      <w:r w:rsidRPr="00E546C7">
        <w:rPr>
          <w:rFonts w:eastAsiaTheme="majorEastAsia"/>
        </w:rPr>
        <w:t xml:space="preserve"> by convenience sampling, which would mean that the sample did not represent all of Adidas' consumers in the United Kingdom.</w:t>
      </w:r>
      <w:r w:rsidRPr="00E546C7">
        <w:t xml:space="preserve"> </w:t>
      </w:r>
      <w:r w:rsidRPr="00E546C7">
        <w:rPr>
          <w:rFonts w:eastAsiaTheme="majorEastAsia"/>
        </w:rPr>
        <w:t>The accessibility and willingness might have tended to focus individuals on the same interests, and less active internet users were not included in an online survey</w:t>
      </w:r>
      <w:r w:rsidR="00207B08" w:rsidRPr="00E546C7">
        <w:rPr>
          <w:rFonts w:eastAsiaTheme="majorEastAsia"/>
        </w:rPr>
        <w:t xml:space="preserve"> </w:t>
      </w:r>
      <w:r w:rsidR="00207B08" w:rsidRPr="00E546C7">
        <w:rPr>
          <w:color w:val="000000"/>
        </w:rPr>
        <w:t>(Ismaeel et al., 2025)</w:t>
      </w:r>
      <w:r w:rsidRPr="00E546C7">
        <w:rPr>
          <w:rFonts w:eastAsiaTheme="majorEastAsia"/>
        </w:rPr>
        <w:t>.</w:t>
      </w:r>
      <w:r w:rsidRPr="00E546C7">
        <w:t xml:space="preserve"> </w:t>
      </w:r>
      <w:r w:rsidRPr="00E546C7">
        <w:rPr>
          <w:rFonts w:eastAsiaTheme="majorEastAsia"/>
        </w:rPr>
        <w:t>There was also oversampling of young adults (25-34) and males</w:t>
      </w:r>
      <w:r w:rsidRPr="00E546C7">
        <w:t>. N</w:t>
      </w:r>
      <w:r w:rsidRPr="00E546C7">
        <w:rPr>
          <w:rFonts w:eastAsiaTheme="majorEastAsia"/>
        </w:rPr>
        <w:t xml:space="preserve">o one </w:t>
      </w:r>
      <w:r w:rsidRPr="00E546C7">
        <w:t xml:space="preserve">was </w:t>
      </w:r>
      <w:r w:rsidRPr="00E546C7">
        <w:rPr>
          <w:rFonts w:eastAsiaTheme="majorEastAsia"/>
        </w:rPr>
        <w:t xml:space="preserve">over </w:t>
      </w:r>
      <w:r w:rsidR="0079425E" w:rsidRPr="00E546C7">
        <w:rPr>
          <w:rFonts w:eastAsiaTheme="majorEastAsia"/>
        </w:rPr>
        <w:t xml:space="preserve">the </w:t>
      </w:r>
      <w:r w:rsidRPr="00E546C7">
        <w:rPr>
          <w:rFonts w:eastAsiaTheme="majorEastAsia"/>
        </w:rPr>
        <w:t xml:space="preserve">age </w:t>
      </w:r>
      <w:r w:rsidR="0079425E" w:rsidRPr="00E546C7">
        <w:rPr>
          <w:rFonts w:eastAsiaTheme="majorEastAsia"/>
        </w:rPr>
        <w:t xml:space="preserve">of </w:t>
      </w:r>
      <w:r w:rsidRPr="00E546C7">
        <w:rPr>
          <w:rFonts w:eastAsiaTheme="majorEastAsia"/>
        </w:rPr>
        <w:t>45.</w:t>
      </w:r>
      <w:r w:rsidRPr="00E546C7">
        <w:t xml:space="preserve"> </w:t>
      </w:r>
      <w:r w:rsidRPr="00E546C7">
        <w:rPr>
          <w:rFonts w:eastAsiaTheme="majorEastAsia"/>
        </w:rPr>
        <w:t>These were minimised by making the questionnaire short, employing clear standardised language</w:t>
      </w:r>
      <w:r w:rsidR="0079425E" w:rsidRPr="00E546C7">
        <w:rPr>
          <w:rFonts w:eastAsiaTheme="majorEastAsia"/>
        </w:rPr>
        <w:t>,</w:t>
      </w:r>
      <w:r w:rsidRPr="00E546C7">
        <w:rPr>
          <w:rFonts w:eastAsiaTheme="majorEastAsia"/>
        </w:rPr>
        <w:t xml:space="preserve"> ensuring confidentiality and spreading the questionnaire beyond one immediate social group.</w:t>
      </w:r>
      <w:r w:rsidRPr="00E546C7">
        <w:t xml:space="preserve"> </w:t>
      </w:r>
      <w:r w:rsidRPr="00E546C7">
        <w:rPr>
          <w:rFonts w:eastAsiaTheme="majorEastAsia"/>
        </w:rPr>
        <w:t>All records were checked for missing values or duplicate rows and for a max scale of 4 responses; completion was supported through reminders and a specified deadline</w:t>
      </w:r>
      <w:r w:rsidR="00207B08" w:rsidRPr="00E546C7">
        <w:rPr>
          <w:rFonts w:eastAsiaTheme="majorEastAsia"/>
        </w:rPr>
        <w:t xml:space="preserve"> </w:t>
      </w:r>
      <w:r w:rsidR="00207B08" w:rsidRPr="00E546C7">
        <w:rPr>
          <w:color w:val="000000"/>
        </w:rPr>
        <w:t>(Mills et al., 2022)</w:t>
      </w:r>
      <w:r w:rsidRPr="00E546C7">
        <w:rPr>
          <w:rFonts w:eastAsiaTheme="majorEastAsia"/>
        </w:rPr>
        <w:t>.</w:t>
      </w:r>
      <w:r w:rsidRPr="00E546C7">
        <w:t xml:space="preserve"> </w:t>
      </w:r>
      <w:r w:rsidRPr="00E546C7">
        <w:rPr>
          <w:rFonts w:eastAsiaTheme="majorEastAsia"/>
        </w:rPr>
        <w:t>Additional restrictions include measurability and measurability analysis.</w:t>
      </w:r>
      <w:r w:rsidRPr="00E546C7">
        <w:t xml:space="preserve"> </w:t>
      </w:r>
      <w:r w:rsidRPr="00E546C7">
        <w:rPr>
          <w:rFonts w:eastAsiaTheme="majorEastAsia"/>
        </w:rPr>
        <w:t>Question 4 was a combination of credibility and relevance/engagement</w:t>
      </w:r>
      <w:r w:rsidRPr="00E546C7">
        <w:t>,</w:t>
      </w:r>
      <w:r w:rsidRPr="00E546C7">
        <w:rPr>
          <w:rFonts w:eastAsiaTheme="majorEastAsia"/>
        </w:rPr>
        <w:t xml:space="preserve"> and Question 9 included both predictor</w:t>
      </w:r>
      <w:r w:rsidRPr="00E546C7">
        <w:t>s</w:t>
      </w:r>
      <w:r w:rsidRPr="00E546C7">
        <w:rPr>
          <w:rFonts w:eastAsiaTheme="majorEastAsia"/>
        </w:rPr>
        <w:t xml:space="preserve"> and outcomes, while loyalty was based on one global item.</w:t>
      </w:r>
      <w:r w:rsidRPr="00E546C7">
        <w:t xml:space="preserve"> </w:t>
      </w:r>
      <w:r w:rsidRPr="00E546C7">
        <w:rPr>
          <w:rFonts w:eastAsiaTheme="majorEastAsia"/>
        </w:rPr>
        <w:t>All substantive items were positively worded, which likely also led to the presence of acquiescence and common-method bias.</w:t>
      </w:r>
      <w:r w:rsidRPr="00E546C7">
        <w:t xml:space="preserve"> A s</w:t>
      </w:r>
      <w:r w:rsidRPr="00E546C7">
        <w:rPr>
          <w:rFonts w:eastAsiaTheme="majorEastAsia"/>
        </w:rPr>
        <w:t>hort cross-sectional collection window did not allow for temporal or causal inferences, and self-reported intention was not confirmed with purchases</w:t>
      </w:r>
      <w:r w:rsidR="00207B08" w:rsidRPr="00E546C7">
        <w:rPr>
          <w:rFonts w:eastAsiaTheme="majorEastAsia"/>
        </w:rPr>
        <w:t xml:space="preserve"> </w:t>
      </w:r>
      <w:r w:rsidR="00207B08" w:rsidRPr="00E546C7">
        <w:rPr>
          <w:color w:val="000000"/>
        </w:rPr>
        <w:t>(Solomon and Russell, 2024)</w:t>
      </w:r>
      <w:r w:rsidRPr="00E546C7">
        <w:rPr>
          <w:rFonts w:eastAsiaTheme="majorEastAsia"/>
        </w:rPr>
        <w:t>.</w:t>
      </w:r>
      <w:r w:rsidRPr="00E546C7">
        <w:t xml:space="preserve"> </w:t>
      </w:r>
      <w:r w:rsidRPr="00E546C7">
        <w:rPr>
          <w:rFonts w:eastAsiaTheme="majorEastAsia"/>
        </w:rPr>
        <w:t>Predictor and outcome items were separated analytically</w:t>
      </w:r>
      <w:r w:rsidRPr="00E546C7">
        <w:t>. Q</w:t>
      </w:r>
      <w:r w:rsidRPr="00E546C7">
        <w:rPr>
          <w:rFonts w:eastAsiaTheme="majorEastAsia"/>
        </w:rPr>
        <w:t>uestion 9 was only used as corroboration</w:t>
      </w:r>
      <w:r w:rsidRPr="00E546C7">
        <w:t>. S</w:t>
      </w:r>
      <w:r w:rsidRPr="00E546C7">
        <w:rPr>
          <w:rFonts w:eastAsiaTheme="majorEastAsia"/>
        </w:rPr>
        <w:t>pearman was used to get the correlation between the ordinal data, and bootstrap confidence intervals were reported, and robust regression checks were performed.</w:t>
      </w:r>
      <w:r w:rsidRPr="00E546C7">
        <w:t xml:space="preserve"> </w:t>
      </w:r>
      <w:r w:rsidRPr="00E546C7">
        <w:rPr>
          <w:rFonts w:eastAsiaTheme="majorEastAsia"/>
        </w:rPr>
        <w:t>Transparent hypothesis decisions and restrained generalisation lessen but will not remove limitations</w:t>
      </w:r>
      <w:r w:rsidRPr="00E546C7">
        <w:t>.</w:t>
      </w:r>
    </w:p>
    <w:p w14:paraId="3854FC11" w14:textId="1435591F" w:rsidR="007927B7" w:rsidRPr="00E546C7" w:rsidRDefault="007927B7" w:rsidP="007927B7">
      <w:pPr>
        <w:pStyle w:val="Heading2"/>
        <w:rPr>
          <w:rFonts w:cs="Times New Roman"/>
        </w:rPr>
      </w:pPr>
      <w:bookmarkStart w:id="84" w:name="_Toc239819738"/>
      <w:r w:rsidRPr="00E546C7">
        <w:rPr>
          <w:rFonts w:cs="Times New Roman"/>
        </w:rPr>
        <w:t>6.</w:t>
      </w:r>
      <w:r w:rsidR="0079425E" w:rsidRPr="00E546C7">
        <w:rPr>
          <w:rFonts w:cs="Times New Roman"/>
        </w:rPr>
        <w:t>7</w:t>
      </w:r>
      <w:r w:rsidRPr="00E546C7">
        <w:rPr>
          <w:rFonts w:cs="Times New Roman"/>
        </w:rPr>
        <w:t xml:space="preserve"> Further Research</w:t>
      </w:r>
      <w:bookmarkEnd w:id="84"/>
    </w:p>
    <w:p w14:paraId="2F56FB88" w14:textId="7F321812" w:rsidR="007927B7" w:rsidRPr="00E546C7" w:rsidRDefault="007927B7" w:rsidP="007927B7">
      <w:r w:rsidRPr="00E546C7">
        <w:rPr>
          <w:rFonts w:eastAsiaTheme="majorEastAsia"/>
        </w:rPr>
        <w:t>Future studies could benefit from extending to a larger sample from the UK using a stratified sampling method, as well as longitudinal or experimental data with validated behavio</w:t>
      </w:r>
      <w:r w:rsidRPr="00E546C7">
        <w:t>u</w:t>
      </w:r>
      <w:r w:rsidRPr="00E546C7">
        <w:rPr>
          <w:rFonts w:eastAsiaTheme="majorEastAsia"/>
        </w:rPr>
        <w:t>r, and a separate multi-item measure for each of the IMC dimensions and for loyalty</w:t>
      </w:r>
      <w:r w:rsidR="0022051D" w:rsidRPr="00E546C7">
        <w:rPr>
          <w:rFonts w:eastAsiaTheme="majorEastAsia"/>
        </w:rPr>
        <w:t xml:space="preserve"> </w:t>
      </w:r>
      <w:r w:rsidR="0022051D" w:rsidRPr="00E546C7">
        <w:rPr>
          <w:color w:val="000000"/>
        </w:rPr>
        <w:t>(Rai et al., 2021)</w:t>
      </w:r>
      <w:r w:rsidRPr="00E546C7">
        <w:rPr>
          <w:rFonts w:eastAsiaTheme="majorEastAsia"/>
        </w:rPr>
        <w:t>.</w:t>
      </w:r>
      <w:r w:rsidRPr="00E546C7">
        <w:t xml:space="preserve"> </w:t>
      </w:r>
      <w:r w:rsidRPr="00E546C7">
        <w:rPr>
          <w:rFonts w:eastAsiaTheme="majorEastAsia"/>
        </w:rPr>
        <w:t>An extension of this dissertation title is valuable as “The Impact of Artificial Intelligence on Consumer Behaviour in Integrated Sportswear Marketing.”</w:t>
      </w:r>
      <w:r w:rsidRPr="00E546C7">
        <w:t xml:space="preserve"> </w:t>
      </w:r>
      <w:r w:rsidRPr="00E546C7">
        <w:rPr>
          <w:rFonts w:eastAsiaTheme="majorEastAsia"/>
        </w:rPr>
        <w:t>It might be able to document the differences between human</w:t>
      </w:r>
      <w:r w:rsidRPr="00E546C7">
        <w:t>-</w:t>
      </w:r>
      <w:r w:rsidRPr="00E546C7">
        <w:rPr>
          <w:rFonts w:eastAsiaTheme="majorEastAsia"/>
        </w:rPr>
        <w:t xml:space="preserve"> and AI</w:t>
      </w:r>
      <w:r w:rsidRPr="00E546C7">
        <w:t>-</w:t>
      </w:r>
      <w:r w:rsidRPr="00E546C7">
        <w:rPr>
          <w:rFonts w:eastAsiaTheme="majorEastAsia"/>
        </w:rPr>
        <w:t>generated endorsements, personalised recommendations, conversational agents and algorithmic targeting, their perceived authenticity and privacy, their level of trust, attitude, purchase and loyalty</w:t>
      </w:r>
      <w:r w:rsidR="0022051D" w:rsidRPr="00E546C7">
        <w:rPr>
          <w:rFonts w:eastAsiaTheme="majorEastAsia"/>
        </w:rPr>
        <w:t xml:space="preserve"> </w:t>
      </w:r>
      <w:r w:rsidR="0022051D" w:rsidRPr="00E546C7">
        <w:rPr>
          <w:color w:val="000000"/>
        </w:rPr>
        <w:t>(Solomon and Russell, 2024)</w:t>
      </w:r>
      <w:r w:rsidRPr="00E546C7">
        <w:rPr>
          <w:rFonts w:eastAsiaTheme="majorEastAsia"/>
        </w:rPr>
        <w:t>.</w:t>
      </w:r>
      <w:r w:rsidRPr="00E546C7">
        <w:t xml:space="preserve"> </w:t>
      </w:r>
      <w:r w:rsidRPr="00E546C7">
        <w:rPr>
          <w:rFonts w:eastAsiaTheme="majorEastAsia"/>
        </w:rPr>
        <w:t xml:space="preserve">An experiment might take place that involved the exposure </w:t>
      </w:r>
      <w:r w:rsidR="005C756A" w:rsidRPr="00E546C7">
        <w:rPr>
          <w:rFonts w:eastAsiaTheme="majorEastAsia"/>
        </w:rPr>
        <w:t>to</w:t>
      </w:r>
      <w:r w:rsidRPr="00E546C7">
        <w:rPr>
          <w:rFonts w:eastAsiaTheme="majorEastAsia"/>
        </w:rPr>
        <w:t xml:space="preserve"> the disclosure of AI use and personalisation of messaging and then follow up purchasing behaviour to see whether</w:t>
      </w:r>
      <w:r w:rsidRPr="00E546C7">
        <w:t>,</w:t>
      </w:r>
      <w:r w:rsidRPr="00E546C7">
        <w:rPr>
          <w:rFonts w:eastAsiaTheme="majorEastAsia"/>
        </w:rPr>
        <w:t xml:space="preserve"> for each of the demographics</w:t>
      </w:r>
      <w:r w:rsidRPr="00E546C7">
        <w:t>,</w:t>
      </w:r>
      <w:r w:rsidRPr="00E546C7">
        <w:rPr>
          <w:rFonts w:eastAsiaTheme="majorEastAsia"/>
        </w:rPr>
        <w:t xml:space="preserve"> the intended behaviour continued</w:t>
      </w:r>
      <w:r w:rsidRPr="00E546C7">
        <w:t>.</w:t>
      </w:r>
    </w:p>
    <w:p w14:paraId="2DFA57D4" w14:textId="77777777" w:rsidR="007927B7" w:rsidRPr="00E546C7" w:rsidRDefault="007927B7" w:rsidP="007927B7">
      <w:pPr>
        <w:pStyle w:val="Heading2"/>
        <w:rPr>
          <w:rFonts w:cs="Times New Roman"/>
        </w:rPr>
      </w:pPr>
      <w:bookmarkStart w:id="85" w:name="_Toc239819740"/>
      <w:r w:rsidRPr="00E546C7">
        <w:rPr>
          <w:rFonts w:cs="Times New Roman"/>
        </w:rPr>
        <w:t>6.8 Value and Contribution of the Study</w:t>
      </w:r>
      <w:bookmarkEnd w:id="85"/>
    </w:p>
    <w:p w14:paraId="780823D3" w14:textId="257CD4BB" w:rsidR="007927B7" w:rsidRPr="00E546C7" w:rsidRDefault="007927B7" w:rsidP="007927B7">
      <w:r w:rsidRPr="00E546C7">
        <w:rPr>
          <w:rFonts w:eastAsiaTheme="majorEastAsia"/>
        </w:rPr>
        <w:t>The usefulness of this study is that it demonstrates</w:t>
      </w:r>
      <w:r w:rsidRPr="00E546C7">
        <w:t>,</w:t>
      </w:r>
      <w:r w:rsidRPr="00E546C7">
        <w:rPr>
          <w:rFonts w:eastAsiaTheme="majorEastAsia"/>
        </w:rPr>
        <w:t xml:space="preserve"> using transparent evidence from the UK Adidas survey</w:t>
      </w:r>
      <w:r w:rsidRPr="00E546C7">
        <w:t>,</w:t>
      </w:r>
      <w:r w:rsidRPr="00E546C7">
        <w:rPr>
          <w:rFonts w:eastAsiaTheme="majorEastAsia"/>
        </w:rPr>
        <w:t xml:space="preserve"> that good perceptions of IMC lead to attitude and purchase intention but not necessarily to loyalty.</w:t>
      </w:r>
      <w:r w:rsidRPr="00E546C7">
        <w:t xml:space="preserve"> </w:t>
      </w:r>
      <w:r w:rsidRPr="00E546C7">
        <w:rPr>
          <w:rFonts w:eastAsiaTheme="majorEastAsia"/>
        </w:rPr>
        <w:t>It combines four models</w:t>
      </w:r>
      <w:r w:rsidRPr="00E546C7">
        <w:t>. I</w:t>
      </w:r>
      <w:r w:rsidRPr="00E546C7">
        <w:rPr>
          <w:rFonts w:eastAsiaTheme="majorEastAsia"/>
        </w:rPr>
        <w:t>t tests rather than assumes both hypotheses</w:t>
      </w:r>
      <w:r w:rsidRPr="00E546C7">
        <w:t>,</w:t>
      </w:r>
      <w:r w:rsidRPr="00E546C7">
        <w:rPr>
          <w:rFonts w:eastAsiaTheme="majorEastAsia"/>
        </w:rPr>
        <w:t xml:space="preserve"> and it points to differential majority and respondent-level association</w:t>
      </w:r>
      <w:r w:rsidR="005C756A" w:rsidRPr="00E546C7">
        <w:rPr>
          <w:rFonts w:eastAsiaTheme="majorEastAsia"/>
        </w:rPr>
        <w:t>s</w:t>
      </w:r>
      <w:r w:rsidR="0022051D" w:rsidRPr="00E546C7">
        <w:rPr>
          <w:rFonts w:eastAsiaTheme="majorEastAsia"/>
        </w:rPr>
        <w:t xml:space="preserve"> </w:t>
      </w:r>
      <w:r w:rsidR="0022051D" w:rsidRPr="00E546C7">
        <w:rPr>
          <w:color w:val="000000"/>
        </w:rPr>
        <w:t>(Zhou et al., 2026)</w:t>
      </w:r>
      <w:r w:rsidR="0022051D" w:rsidRPr="00E546C7">
        <w:rPr>
          <w:rFonts w:eastAsiaTheme="majorEastAsia"/>
        </w:rPr>
        <w:t>. P</w:t>
      </w:r>
      <w:r w:rsidRPr="00E546C7">
        <w:rPr>
          <w:rFonts w:eastAsiaTheme="majorEastAsia"/>
        </w:rPr>
        <w:t>roviding a more disciplined pathway to making a communication decision for managers and a clearly drawn</w:t>
      </w:r>
      <w:r w:rsidRPr="00E546C7">
        <w:t>-</w:t>
      </w:r>
      <w:r w:rsidRPr="00E546C7">
        <w:rPr>
          <w:rFonts w:eastAsiaTheme="majorEastAsia"/>
        </w:rPr>
        <w:t>out measurement and behavioural research agenda for the future.</w:t>
      </w:r>
      <w:r w:rsidRPr="00E546C7">
        <w:t xml:space="preserve"> </w:t>
      </w:r>
      <w:r w:rsidRPr="00E546C7">
        <w:rPr>
          <w:rFonts w:eastAsiaTheme="majorEastAsia"/>
        </w:rPr>
        <w:t>In practical terms, this investment goes to short-term reactionary results, but with a significant caution against ignoring the importance of engagement and equating it with loyalty</w:t>
      </w:r>
      <w:r w:rsidR="0022051D" w:rsidRPr="00E546C7">
        <w:rPr>
          <w:rFonts w:eastAsiaTheme="majorEastAsia"/>
        </w:rPr>
        <w:t xml:space="preserve"> </w:t>
      </w:r>
      <w:r w:rsidR="0022051D" w:rsidRPr="00E546C7">
        <w:rPr>
          <w:color w:val="000000"/>
        </w:rPr>
        <w:t>(Joo et al., 2021)</w:t>
      </w:r>
      <w:r w:rsidRPr="00E546C7">
        <w:rPr>
          <w:rFonts w:eastAsiaTheme="majorEastAsia"/>
        </w:rPr>
        <w:t>.</w:t>
      </w:r>
      <w:r w:rsidRPr="00E546C7">
        <w:t xml:space="preserve"> </w:t>
      </w:r>
      <w:r w:rsidRPr="00E546C7">
        <w:rPr>
          <w:rFonts w:eastAsiaTheme="majorEastAsia"/>
        </w:rPr>
        <w:t>Theoretically, this study shows that perce</w:t>
      </w:r>
      <w:r w:rsidR="005C756A" w:rsidRPr="00E546C7">
        <w:rPr>
          <w:rFonts w:eastAsiaTheme="majorEastAsia"/>
        </w:rPr>
        <w:t>ptions</w:t>
      </w:r>
      <w:r w:rsidRPr="00E546C7">
        <w:rPr>
          <w:rFonts w:eastAsiaTheme="majorEastAsia"/>
        </w:rPr>
        <w:t>, attitudes, intention</w:t>
      </w:r>
      <w:r w:rsidRPr="00E546C7">
        <w:t>,</w:t>
      </w:r>
      <w:r w:rsidRPr="00E546C7">
        <w:rPr>
          <w:rFonts w:eastAsiaTheme="majorEastAsia"/>
        </w:rPr>
        <w:t xml:space="preserve"> and commitment must be kept analytically separate.</w:t>
      </w:r>
      <w:r w:rsidRPr="00E546C7">
        <w:t xml:space="preserve"> </w:t>
      </w:r>
      <w:r w:rsidRPr="00E546C7">
        <w:rPr>
          <w:rFonts w:eastAsiaTheme="majorEastAsia"/>
        </w:rPr>
        <w:t>It methodologically offers a replicable question-to-objective map, coding decisions and uncertainty-aware hypothesis tests.</w:t>
      </w:r>
      <w:r w:rsidRPr="00E546C7">
        <w:t xml:space="preserve"> </w:t>
      </w:r>
      <w:r w:rsidRPr="00E546C7">
        <w:rPr>
          <w:rFonts w:eastAsiaTheme="majorEastAsia"/>
        </w:rPr>
        <w:t>Such features ensure that the dissertation can be applied to understanding Adidas as well as ha</w:t>
      </w:r>
      <w:r w:rsidRPr="00E546C7">
        <w:t>s</w:t>
      </w:r>
      <w:r w:rsidRPr="00E546C7">
        <w:rPr>
          <w:rFonts w:eastAsiaTheme="majorEastAsia"/>
        </w:rPr>
        <w:t xml:space="preserve"> the potential to be contrasted when it comes to other brands, channels, and AI-powered consumer experiences</w:t>
      </w:r>
      <w:r w:rsidRPr="00E546C7">
        <w:t>.</w:t>
      </w:r>
    </w:p>
    <w:p w14:paraId="318E46CC" w14:textId="6F90DD60" w:rsidR="0073459C" w:rsidRPr="00E546C7" w:rsidRDefault="0073459C" w:rsidP="0073459C">
      <w:r w:rsidRPr="00E546C7">
        <w:br w:type="page"/>
      </w:r>
    </w:p>
    <w:p w14:paraId="561517D8" w14:textId="0B134EAB" w:rsidR="001B5EDB" w:rsidRPr="00E546C7" w:rsidRDefault="00F407EA" w:rsidP="00F407EA">
      <w:pPr>
        <w:pStyle w:val="Heading1"/>
        <w:rPr>
          <w:rFonts w:cs="Times New Roman"/>
        </w:rPr>
      </w:pPr>
      <w:bookmarkStart w:id="86" w:name="_Toc239819741"/>
      <w:r w:rsidRPr="00E546C7">
        <w:rPr>
          <w:rFonts w:cs="Times New Roman"/>
        </w:rPr>
        <w:t>References:</w:t>
      </w:r>
      <w:bookmarkEnd w:id="86"/>
    </w:p>
    <w:p w14:paraId="1B58BDDA" w14:textId="77777777" w:rsidR="00E5002F" w:rsidRPr="00E546C7" w:rsidRDefault="00E5002F" w:rsidP="00851BEF">
      <w:pPr>
        <w:rPr>
          <w:lang w:val="en-US" w:bidi="bn-IN"/>
        </w:rPr>
      </w:pPr>
      <w:r w:rsidRPr="00E546C7">
        <w:t>Adidas (2026)</w:t>
      </w:r>
      <w:r w:rsidRPr="00E546C7">
        <w:rPr>
          <w:rStyle w:val="apple-converted-space"/>
          <w:color w:val="000000"/>
        </w:rPr>
        <w:t> </w:t>
      </w:r>
      <w:r w:rsidRPr="00E546C7">
        <w:rPr>
          <w:i/>
          <w:iCs/>
        </w:rPr>
        <w:t>Adidas annual report 2025 - adidas annual report 2025</w:t>
      </w:r>
      <w:r w:rsidRPr="00E546C7">
        <w:t>,</w:t>
      </w:r>
      <w:r w:rsidRPr="00E546C7">
        <w:rPr>
          <w:rStyle w:val="apple-converted-space"/>
          <w:color w:val="000000"/>
        </w:rPr>
        <w:t> </w:t>
      </w:r>
      <w:r w:rsidRPr="00E546C7">
        <w:rPr>
          <w:i/>
          <w:iCs/>
        </w:rPr>
        <w:t>adidas Annual Report 2025</w:t>
      </w:r>
      <w:r w:rsidRPr="00E546C7">
        <w:t xml:space="preserve">. Available at: </w:t>
      </w:r>
      <w:hyperlink r:id="rId25" w:history="1">
        <w:r w:rsidRPr="00E546C7">
          <w:rPr>
            <w:rStyle w:val="Hyperlink"/>
          </w:rPr>
          <w:t>https://report.adidas-group.com/2025/en/</w:t>
        </w:r>
      </w:hyperlink>
      <w:r w:rsidRPr="00E546C7">
        <w:t xml:space="preserve"> (Accessed: 02 August 2026).</w:t>
      </w:r>
    </w:p>
    <w:p w14:paraId="36782019" w14:textId="77777777" w:rsidR="00E5002F" w:rsidRPr="00E546C7" w:rsidRDefault="00E5002F" w:rsidP="000F016C">
      <w:pPr>
        <w:rPr>
          <w:lang w:val="en-US" w:bidi="bn-IN"/>
        </w:rPr>
      </w:pPr>
      <w:r w:rsidRPr="00E546C7">
        <w:rPr>
          <w:lang w:bidi="bn-IN"/>
        </w:rPr>
        <w:t>Agarwal, P., Kumar, D. and Rajesh Katiyar (2025) ‘Antecedents of Continuous Purchase Behavior for Sustainable Products: An Integrated Conceptual Framework and Review’, </w:t>
      </w:r>
      <w:r w:rsidRPr="00E546C7">
        <w:rPr>
          <w:i/>
          <w:iCs/>
          <w:lang w:bidi="bn-IN"/>
        </w:rPr>
        <w:t>Journal of Consumer Behaviour</w:t>
      </w:r>
      <w:r w:rsidRPr="00E546C7">
        <w:rPr>
          <w:lang w:bidi="bn-IN"/>
        </w:rPr>
        <w:t xml:space="preserve">, 24(4). Available at: </w:t>
      </w:r>
      <w:hyperlink r:id="rId26" w:history="1">
        <w:r w:rsidRPr="00E546C7">
          <w:rPr>
            <w:rStyle w:val="Hyperlink"/>
            <w:lang w:bidi="bn-IN"/>
          </w:rPr>
          <w:t>https://doi.org/10.1002/cb.2487</w:t>
        </w:r>
      </w:hyperlink>
      <w:r w:rsidRPr="00E546C7">
        <w:rPr>
          <w:lang w:bidi="bn-IN"/>
        </w:rPr>
        <w:t>.</w:t>
      </w:r>
      <w:r w:rsidRPr="00E546C7">
        <w:rPr>
          <w:lang w:val="en-US" w:bidi="bn-IN"/>
        </w:rPr>
        <w:t xml:space="preserve"> </w:t>
      </w:r>
    </w:p>
    <w:p w14:paraId="397438FF" w14:textId="77777777" w:rsidR="00E5002F" w:rsidRPr="00E546C7" w:rsidRDefault="00E5002F" w:rsidP="00851BEF">
      <w:pPr>
        <w:rPr>
          <w:lang w:val="en-US" w:bidi="bn-IN"/>
        </w:rPr>
      </w:pPr>
      <w:proofErr w:type="spellStart"/>
      <w:r w:rsidRPr="00E546C7">
        <w:rPr>
          <w:lang w:bidi="bn-IN"/>
        </w:rPr>
        <w:t>Aguinis</w:t>
      </w:r>
      <w:proofErr w:type="spellEnd"/>
      <w:r w:rsidRPr="00E546C7">
        <w:rPr>
          <w:lang w:bidi="bn-IN"/>
        </w:rPr>
        <w:t>, H., Bergh, D. and Molina-</w:t>
      </w:r>
      <w:proofErr w:type="spellStart"/>
      <w:r w:rsidRPr="00E546C7">
        <w:rPr>
          <w:lang w:bidi="bn-IN"/>
        </w:rPr>
        <w:t>Azorin</w:t>
      </w:r>
      <w:proofErr w:type="spellEnd"/>
      <w:r w:rsidRPr="00E546C7">
        <w:rPr>
          <w:lang w:bidi="bn-IN"/>
        </w:rPr>
        <w:t xml:space="preserve">, J.F. (2022) ‘Methodological challenges and insights for future international business research’, </w:t>
      </w:r>
      <w:r w:rsidRPr="00E546C7">
        <w:rPr>
          <w:i/>
          <w:iCs/>
          <w:lang w:bidi="bn-IN"/>
        </w:rPr>
        <w:t>Journal of International Business Studies</w:t>
      </w:r>
      <w:r w:rsidRPr="00E546C7">
        <w:rPr>
          <w:lang w:bidi="bn-IN"/>
        </w:rPr>
        <w:t xml:space="preserve"> [Preprint]. Available at: </w:t>
      </w:r>
      <w:hyperlink r:id="rId27" w:history="1">
        <w:r w:rsidRPr="00E546C7">
          <w:rPr>
            <w:rStyle w:val="Hyperlink"/>
            <w:lang w:bidi="bn-IN"/>
          </w:rPr>
          <w:t>https://doi.org/10.1057/s41267-022-00578-8</w:t>
        </w:r>
      </w:hyperlink>
      <w:r w:rsidRPr="00E546C7">
        <w:rPr>
          <w:lang w:bidi="bn-IN"/>
        </w:rPr>
        <w:t>.</w:t>
      </w:r>
      <w:r w:rsidRPr="00E546C7">
        <w:rPr>
          <w:lang w:val="en-US" w:bidi="bn-IN"/>
        </w:rPr>
        <w:t xml:space="preserve"> </w:t>
      </w:r>
    </w:p>
    <w:p w14:paraId="3ABB6747" w14:textId="77777777" w:rsidR="00E5002F" w:rsidRPr="00E546C7" w:rsidRDefault="00E5002F" w:rsidP="000F016C">
      <w:pPr>
        <w:rPr>
          <w:lang w:val="en-US" w:bidi="bn-IN"/>
        </w:rPr>
      </w:pPr>
      <w:r w:rsidRPr="00E546C7">
        <w:rPr>
          <w:lang w:bidi="bn-IN"/>
        </w:rPr>
        <w:t>Akter, S., Mujahid Mohiuddin Babu, Hossain, T., Bidit Lal Dey, Liu, H. and Singh, P. (2024) ‘Omnichannel Management Capabilities in international marketing: The effects of word of mouth on customer engagement and customer equity’, </w:t>
      </w:r>
      <w:r w:rsidRPr="00E546C7">
        <w:rPr>
          <w:i/>
          <w:iCs/>
          <w:lang w:bidi="bn-IN"/>
        </w:rPr>
        <w:t>International Marketing Review</w:t>
      </w:r>
      <w:r w:rsidRPr="00E546C7">
        <w:rPr>
          <w:lang w:bidi="bn-IN"/>
        </w:rPr>
        <w:t xml:space="preserve">, 41(1). Available at: </w:t>
      </w:r>
      <w:hyperlink r:id="rId28" w:history="1">
        <w:r w:rsidRPr="00E546C7">
          <w:rPr>
            <w:rStyle w:val="Hyperlink"/>
            <w:lang w:bidi="bn-IN"/>
          </w:rPr>
          <w:t>https://doi.org/10.1108/imr-09-2022-0203</w:t>
        </w:r>
      </w:hyperlink>
      <w:r w:rsidRPr="00E546C7">
        <w:rPr>
          <w:lang w:bidi="bn-IN"/>
        </w:rPr>
        <w:t>.</w:t>
      </w:r>
      <w:r w:rsidRPr="00E546C7">
        <w:rPr>
          <w:lang w:val="en-US" w:bidi="bn-IN"/>
        </w:rPr>
        <w:t xml:space="preserve"> </w:t>
      </w:r>
    </w:p>
    <w:p w14:paraId="4275E410" w14:textId="77777777" w:rsidR="00E5002F" w:rsidRPr="00E546C7" w:rsidRDefault="00E5002F" w:rsidP="00851BEF">
      <w:proofErr w:type="spellStart"/>
      <w:r w:rsidRPr="00E546C7">
        <w:t>Arachchi</w:t>
      </w:r>
      <w:proofErr w:type="spellEnd"/>
      <w:r w:rsidRPr="00E546C7">
        <w:t xml:space="preserve">, H.A.D.M. and </w:t>
      </w:r>
      <w:proofErr w:type="spellStart"/>
      <w:r w:rsidRPr="00E546C7">
        <w:t>Samarasinghe</w:t>
      </w:r>
      <w:proofErr w:type="spellEnd"/>
      <w:r w:rsidRPr="00E546C7">
        <w:t>, G.D. (2023) 'Influence of corporate social responsibility and brand attitude on purchase intention',</w:t>
      </w:r>
      <w:r w:rsidRPr="00E546C7">
        <w:rPr>
          <w:rStyle w:val="apple-converted-space"/>
          <w:color w:val="000000"/>
          <w:sz w:val="21"/>
          <w:szCs w:val="21"/>
        </w:rPr>
        <w:t> </w:t>
      </w:r>
      <w:r w:rsidRPr="00E546C7">
        <w:rPr>
          <w:i/>
          <w:iCs/>
        </w:rPr>
        <w:t>Spanish Journal of Marketing-ESIC,</w:t>
      </w:r>
      <w:r w:rsidRPr="00E546C7">
        <w:rPr>
          <w:rStyle w:val="apple-converted-space"/>
          <w:color w:val="000000"/>
          <w:sz w:val="21"/>
          <w:szCs w:val="21"/>
        </w:rPr>
        <w:t> </w:t>
      </w:r>
      <w:r w:rsidRPr="00E546C7">
        <w:t>27(3), pp. 389–406. Available at:</w:t>
      </w:r>
      <w:r w:rsidRPr="00E546C7">
        <w:rPr>
          <w:rStyle w:val="apple-converted-space"/>
          <w:color w:val="000000"/>
          <w:sz w:val="21"/>
          <w:szCs w:val="21"/>
        </w:rPr>
        <w:t> </w:t>
      </w:r>
      <w:hyperlink r:id="rId29" w:tgtFrame="_blank" w:history="1">
        <w:r w:rsidRPr="00E546C7">
          <w:rPr>
            <w:rStyle w:val="Hyperlink"/>
            <w:color w:val="0066CC"/>
            <w:sz w:val="21"/>
            <w:szCs w:val="21"/>
          </w:rPr>
          <w:t>https://doi.org/10.1108/SJME-12-2021-0224</w:t>
        </w:r>
      </w:hyperlink>
      <w:r w:rsidRPr="00E546C7">
        <w:t>.</w:t>
      </w:r>
    </w:p>
    <w:p w14:paraId="3FBB086A" w14:textId="77777777" w:rsidR="00E5002F" w:rsidRPr="00E546C7" w:rsidRDefault="00E5002F" w:rsidP="00851BEF">
      <w:proofErr w:type="spellStart"/>
      <w:r w:rsidRPr="00E546C7">
        <w:t>Butkouskaya</w:t>
      </w:r>
      <w:proofErr w:type="spellEnd"/>
      <w:r w:rsidRPr="00E546C7">
        <w:t xml:space="preserve">, V., </w:t>
      </w:r>
      <w:proofErr w:type="spellStart"/>
      <w:r w:rsidRPr="00E546C7">
        <w:t>Llonch</w:t>
      </w:r>
      <w:proofErr w:type="spellEnd"/>
      <w:r w:rsidRPr="00E546C7">
        <w:t xml:space="preserve">-Andreu, J. and </w:t>
      </w:r>
      <w:proofErr w:type="spellStart"/>
      <w:r w:rsidRPr="00E546C7">
        <w:t>Alarcón</w:t>
      </w:r>
      <w:proofErr w:type="spellEnd"/>
      <w:r w:rsidRPr="00E546C7">
        <w:t>-del-</w:t>
      </w:r>
      <w:proofErr w:type="spellStart"/>
      <w:r w:rsidRPr="00E546C7">
        <w:t>Amo</w:t>
      </w:r>
      <w:proofErr w:type="spellEnd"/>
      <w:r w:rsidRPr="00E546C7">
        <w:t>, M. (2021a) 'The impact of customer performance on IMC outcomes: Firm size moderation in the inter-country context',</w:t>
      </w:r>
      <w:r w:rsidRPr="00E546C7">
        <w:rPr>
          <w:rStyle w:val="apple-converted-space"/>
          <w:color w:val="000000"/>
          <w:sz w:val="21"/>
          <w:szCs w:val="21"/>
        </w:rPr>
        <w:t> </w:t>
      </w:r>
      <w:r w:rsidRPr="00E546C7">
        <w:rPr>
          <w:i/>
          <w:iCs/>
        </w:rPr>
        <w:t>Journal of Economics, Finance and Administrative Science,</w:t>
      </w:r>
      <w:r w:rsidRPr="00E546C7">
        <w:rPr>
          <w:rStyle w:val="apple-converted-space"/>
          <w:color w:val="000000"/>
          <w:sz w:val="21"/>
          <w:szCs w:val="21"/>
        </w:rPr>
        <w:t> </w:t>
      </w:r>
      <w:r w:rsidRPr="00E546C7">
        <w:t>26(52), pp. 358–375. Available at:</w:t>
      </w:r>
      <w:r w:rsidRPr="00E546C7">
        <w:rPr>
          <w:rStyle w:val="apple-converted-space"/>
          <w:color w:val="000000"/>
          <w:sz w:val="21"/>
          <w:szCs w:val="21"/>
        </w:rPr>
        <w:t> </w:t>
      </w:r>
      <w:hyperlink r:id="rId30" w:tgtFrame="_blank" w:history="1">
        <w:r w:rsidRPr="00E546C7">
          <w:rPr>
            <w:rStyle w:val="Hyperlink"/>
            <w:color w:val="0066CC"/>
            <w:sz w:val="21"/>
            <w:szCs w:val="21"/>
          </w:rPr>
          <w:t>https://doi.org/10.1108/JEFAS-10-2021-0207</w:t>
        </w:r>
      </w:hyperlink>
      <w:r w:rsidRPr="00E546C7">
        <w:t>.</w:t>
      </w:r>
    </w:p>
    <w:p w14:paraId="053E92BE" w14:textId="77777777" w:rsidR="00E5002F" w:rsidRPr="00E546C7" w:rsidRDefault="00E5002F" w:rsidP="00851BEF">
      <w:proofErr w:type="spellStart"/>
      <w:r w:rsidRPr="00E546C7">
        <w:t>Butkouskaya</w:t>
      </w:r>
      <w:proofErr w:type="spellEnd"/>
      <w:r w:rsidRPr="00E546C7">
        <w:t xml:space="preserve">, V., </w:t>
      </w:r>
      <w:proofErr w:type="spellStart"/>
      <w:r w:rsidRPr="00E546C7">
        <w:t>Llonch</w:t>
      </w:r>
      <w:proofErr w:type="spellEnd"/>
      <w:r w:rsidRPr="00E546C7">
        <w:t xml:space="preserve">-Andreu, J. and </w:t>
      </w:r>
      <w:proofErr w:type="spellStart"/>
      <w:r w:rsidRPr="00E546C7">
        <w:t>Alarcón</w:t>
      </w:r>
      <w:proofErr w:type="spellEnd"/>
      <w:r w:rsidRPr="00E546C7">
        <w:t>-del-</w:t>
      </w:r>
      <w:proofErr w:type="spellStart"/>
      <w:r w:rsidRPr="00E546C7">
        <w:t>Amo</w:t>
      </w:r>
      <w:proofErr w:type="spellEnd"/>
      <w:r w:rsidRPr="00E546C7">
        <w:t>, M. (2021b) 'Inter-country customer-perspective analysis of strategic antecedents and consequences for post-purchase behaviour in integrated marketing communications (IMC)',</w:t>
      </w:r>
      <w:r w:rsidRPr="00E546C7">
        <w:rPr>
          <w:rStyle w:val="apple-converted-space"/>
          <w:color w:val="000000"/>
          <w:sz w:val="21"/>
          <w:szCs w:val="21"/>
        </w:rPr>
        <w:t> </w:t>
      </w:r>
      <w:r w:rsidRPr="00E546C7">
        <w:rPr>
          <w:i/>
          <w:iCs/>
        </w:rPr>
        <w:t>Journal of International Consumer Marketing,</w:t>
      </w:r>
      <w:r w:rsidRPr="00E546C7">
        <w:rPr>
          <w:rStyle w:val="apple-converted-space"/>
          <w:color w:val="000000"/>
          <w:sz w:val="21"/>
          <w:szCs w:val="21"/>
        </w:rPr>
        <w:t> </w:t>
      </w:r>
      <w:r w:rsidRPr="00E546C7">
        <w:t>33(1), pp. 68–83. Available at:</w:t>
      </w:r>
      <w:r w:rsidRPr="00E546C7">
        <w:rPr>
          <w:rStyle w:val="apple-converted-space"/>
          <w:color w:val="000000"/>
          <w:sz w:val="21"/>
          <w:szCs w:val="21"/>
        </w:rPr>
        <w:t> </w:t>
      </w:r>
      <w:hyperlink r:id="rId31" w:tgtFrame="_blank" w:history="1">
        <w:r w:rsidRPr="00E546C7">
          <w:rPr>
            <w:rStyle w:val="Hyperlink"/>
            <w:color w:val="0066CC"/>
            <w:sz w:val="21"/>
            <w:szCs w:val="21"/>
          </w:rPr>
          <w:t>https://doi.org/10.1080/08961530.2020.1731901</w:t>
        </w:r>
      </w:hyperlink>
      <w:r w:rsidRPr="00E546C7">
        <w:t>.</w:t>
      </w:r>
    </w:p>
    <w:p w14:paraId="4C903A65" w14:textId="77777777" w:rsidR="00E5002F" w:rsidRPr="00E546C7" w:rsidRDefault="00E5002F" w:rsidP="00851BEF">
      <w:pPr>
        <w:rPr>
          <w:lang w:bidi="bn-IN"/>
        </w:rPr>
      </w:pPr>
      <w:proofErr w:type="spellStart"/>
      <w:r w:rsidRPr="00E546C7">
        <w:rPr>
          <w:lang w:bidi="bn-IN"/>
        </w:rPr>
        <w:t>Butkouskaya</w:t>
      </w:r>
      <w:proofErr w:type="spellEnd"/>
      <w:r w:rsidRPr="00E546C7">
        <w:rPr>
          <w:lang w:bidi="bn-IN"/>
        </w:rPr>
        <w:t xml:space="preserve">, V., </w:t>
      </w:r>
      <w:proofErr w:type="spellStart"/>
      <w:r w:rsidRPr="00E546C7">
        <w:rPr>
          <w:lang w:bidi="bn-IN"/>
        </w:rPr>
        <w:t>Llonch</w:t>
      </w:r>
      <w:proofErr w:type="spellEnd"/>
      <w:r w:rsidRPr="00E546C7">
        <w:rPr>
          <w:lang w:bidi="bn-IN"/>
        </w:rPr>
        <w:t xml:space="preserve">-Andreu, J. and </w:t>
      </w:r>
      <w:proofErr w:type="spellStart"/>
      <w:r w:rsidRPr="00E546C7">
        <w:rPr>
          <w:lang w:bidi="bn-IN"/>
        </w:rPr>
        <w:t>Alarcón</w:t>
      </w:r>
      <w:proofErr w:type="spellEnd"/>
      <w:r w:rsidRPr="00E546C7">
        <w:rPr>
          <w:lang w:bidi="bn-IN"/>
        </w:rPr>
        <w:t>-del-</w:t>
      </w:r>
      <w:proofErr w:type="spellStart"/>
      <w:r w:rsidRPr="00E546C7">
        <w:rPr>
          <w:lang w:bidi="bn-IN"/>
        </w:rPr>
        <w:t>Amo</w:t>
      </w:r>
      <w:proofErr w:type="spellEnd"/>
      <w:r w:rsidRPr="00E546C7">
        <w:rPr>
          <w:lang w:bidi="bn-IN"/>
        </w:rPr>
        <w:t>, M.-C. (2024) ‘Market orientation, integrated marketing communications, and small and medium-sized enterprises (SMEs) performance: A comparison between developed and developing economies’, </w:t>
      </w:r>
      <w:r w:rsidRPr="00E546C7">
        <w:rPr>
          <w:i/>
          <w:iCs/>
          <w:lang w:bidi="bn-IN"/>
        </w:rPr>
        <w:t>European Research on Management and Business Economics</w:t>
      </w:r>
      <w:r w:rsidRPr="00E546C7">
        <w:rPr>
          <w:lang w:bidi="bn-IN"/>
        </w:rPr>
        <w:t xml:space="preserve">, 30(3), p. 100260. Available at: </w:t>
      </w:r>
      <w:hyperlink r:id="rId32" w:history="1">
        <w:r w:rsidRPr="00E546C7">
          <w:rPr>
            <w:rStyle w:val="Hyperlink"/>
            <w:kern w:val="0"/>
            <w:szCs w:val="24"/>
            <w:lang w:bidi="bn-IN"/>
            <w14:ligatures w14:val="none"/>
          </w:rPr>
          <w:t>https://doi.org/10.1016/j.iedeen.2024.100260</w:t>
        </w:r>
      </w:hyperlink>
      <w:r w:rsidRPr="00E546C7">
        <w:rPr>
          <w:lang w:bidi="bn-IN"/>
        </w:rPr>
        <w:t xml:space="preserve">. </w:t>
      </w:r>
    </w:p>
    <w:p w14:paraId="541D1772" w14:textId="77777777" w:rsidR="00E5002F" w:rsidRPr="00E546C7" w:rsidRDefault="00E5002F" w:rsidP="00851BEF">
      <w:pPr>
        <w:rPr>
          <w:lang w:val="en-US" w:bidi="bn-IN"/>
        </w:rPr>
      </w:pPr>
      <w:proofErr w:type="spellStart"/>
      <w:r w:rsidRPr="00E546C7">
        <w:rPr>
          <w:lang w:bidi="bn-IN"/>
        </w:rPr>
        <w:t>Butkouskaya</w:t>
      </w:r>
      <w:proofErr w:type="spellEnd"/>
      <w:r w:rsidRPr="00E546C7">
        <w:rPr>
          <w:lang w:bidi="bn-IN"/>
        </w:rPr>
        <w:t xml:space="preserve">, V., </w:t>
      </w:r>
      <w:proofErr w:type="spellStart"/>
      <w:r w:rsidRPr="00E546C7">
        <w:rPr>
          <w:lang w:bidi="bn-IN"/>
        </w:rPr>
        <w:t>Llonch</w:t>
      </w:r>
      <w:proofErr w:type="spellEnd"/>
      <w:r w:rsidRPr="00E546C7">
        <w:rPr>
          <w:lang w:bidi="bn-IN"/>
        </w:rPr>
        <w:t xml:space="preserve">-Andreu, J. and </w:t>
      </w:r>
      <w:proofErr w:type="spellStart"/>
      <w:r w:rsidRPr="00E546C7">
        <w:rPr>
          <w:lang w:bidi="bn-IN"/>
        </w:rPr>
        <w:t>Alarcón</w:t>
      </w:r>
      <w:proofErr w:type="spellEnd"/>
      <w:r w:rsidRPr="00E546C7">
        <w:rPr>
          <w:lang w:bidi="bn-IN"/>
        </w:rPr>
        <w:t>-del-</w:t>
      </w:r>
      <w:proofErr w:type="spellStart"/>
      <w:r w:rsidRPr="00E546C7">
        <w:rPr>
          <w:lang w:bidi="bn-IN"/>
        </w:rPr>
        <w:t>Amo</w:t>
      </w:r>
      <w:proofErr w:type="spellEnd"/>
      <w:r w:rsidRPr="00E546C7">
        <w:rPr>
          <w:lang w:bidi="bn-IN"/>
        </w:rPr>
        <w:t>, M.C. (2020) “Entrepreneurial Orientation (EO), Integrated Marketing Communications (IMC), and Performance in Small and Medium-Sized Enterprises (SMEs): Gender Gap and Inter-Country Context,” </w:t>
      </w:r>
      <w:r w:rsidRPr="00E546C7">
        <w:rPr>
          <w:i/>
          <w:iCs/>
          <w:lang w:bidi="bn-IN"/>
        </w:rPr>
        <w:t>Sustainability</w:t>
      </w:r>
      <w:r w:rsidRPr="00E546C7">
        <w:rPr>
          <w:lang w:bidi="bn-IN"/>
        </w:rPr>
        <w:t xml:space="preserve">, 12(17), p. 7159. Available at: </w:t>
      </w:r>
      <w:hyperlink r:id="rId33" w:history="1">
        <w:r w:rsidRPr="00E546C7">
          <w:rPr>
            <w:rStyle w:val="Hyperlink"/>
            <w:lang w:bidi="bn-IN"/>
          </w:rPr>
          <w:t>https://doi.org/10.3390/su12177159</w:t>
        </w:r>
      </w:hyperlink>
      <w:r w:rsidRPr="00E546C7">
        <w:rPr>
          <w:lang w:bidi="bn-IN"/>
        </w:rPr>
        <w:t>.</w:t>
      </w:r>
      <w:r w:rsidRPr="00E546C7">
        <w:rPr>
          <w:lang w:val="en-US" w:bidi="bn-IN"/>
        </w:rPr>
        <w:t xml:space="preserve"> </w:t>
      </w:r>
    </w:p>
    <w:p w14:paraId="7B1959AF" w14:textId="77777777" w:rsidR="00E5002F" w:rsidRPr="00E546C7" w:rsidRDefault="00E5002F" w:rsidP="00851BEF">
      <w:proofErr w:type="spellStart"/>
      <w:r w:rsidRPr="00E546C7">
        <w:t>Butkouskaya</w:t>
      </w:r>
      <w:proofErr w:type="spellEnd"/>
      <w:r w:rsidRPr="00E546C7">
        <w:t xml:space="preserve">, V., </w:t>
      </w:r>
      <w:proofErr w:type="spellStart"/>
      <w:r w:rsidRPr="00E546C7">
        <w:t>Oyner</w:t>
      </w:r>
      <w:proofErr w:type="spellEnd"/>
      <w:r w:rsidRPr="00E546C7">
        <w:t xml:space="preserve">, O. and </w:t>
      </w:r>
      <w:proofErr w:type="spellStart"/>
      <w:r w:rsidRPr="00E546C7">
        <w:t>Kazakov</w:t>
      </w:r>
      <w:proofErr w:type="spellEnd"/>
      <w:r w:rsidRPr="00E546C7">
        <w:t>, S. (2023) 'The impact of omnichannel integrated marketing communications (IMC) on product and retail service satisfaction',</w:t>
      </w:r>
      <w:r w:rsidRPr="00E546C7">
        <w:rPr>
          <w:rStyle w:val="apple-converted-space"/>
          <w:color w:val="000000"/>
          <w:sz w:val="21"/>
          <w:szCs w:val="21"/>
        </w:rPr>
        <w:t> </w:t>
      </w:r>
      <w:r w:rsidRPr="00E546C7">
        <w:rPr>
          <w:i/>
          <w:iCs/>
        </w:rPr>
        <w:t>Journal of Economics, Finance and Administrative Science,</w:t>
      </w:r>
      <w:r w:rsidRPr="00E546C7">
        <w:rPr>
          <w:rStyle w:val="apple-converted-space"/>
          <w:color w:val="000000"/>
          <w:sz w:val="21"/>
          <w:szCs w:val="21"/>
        </w:rPr>
        <w:t> </w:t>
      </w:r>
      <w:r w:rsidRPr="00E546C7">
        <w:t>28(56), pp. 319–334. Available at:</w:t>
      </w:r>
      <w:r w:rsidRPr="00E546C7">
        <w:rPr>
          <w:rStyle w:val="apple-converted-space"/>
          <w:color w:val="000000"/>
          <w:sz w:val="21"/>
          <w:szCs w:val="21"/>
        </w:rPr>
        <w:t> </w:t>
      </w:r>
      <w:hyperlink r:id="rId34" w:tgtFrame="_blank" w:history="1">
        <w:r w:rsidRPr="00E546C7">
          <w:rPr>
            <w:rStyle w:val="Hyperlink"/>
            <w:color w:val="0066CC"/>
            <w:sz w:val="21"/>
            <w:szCs w:val="21"/>
          </w:rPr>
          <w:t>https://doi.org/10.1108/JEFAS-09-2022-0237</w:t>
        </w:r>
      </w:hyperlink>
      <w:r w:rsidRPr="00E546C7">
        <w:t>.</w:t>
      </w:r>
    </w:p>
    <w:p w14:paraId="169296A6" w14:textId="77777777" w:rsidR="00E5002F" w:rsidRPr="00E546C7" w:rsidRDefault="00E5002F" w:rsidP="00851BEF">
      <w:pPr>
        <w:rPr>
          <w:lang w:bidi="bn-IN"/>
        </w:rPr>
      </w:pPr>
      <w:r w:rsidRPr="00E546C7">
        <w:rPr>
          <w:lang w:bidi="bn-IN"/>
        </w:rPr>
        <w:t xml:space="preserve">Byon, K.K. and </w:t>
      </w:r>
      <w:proofErr w:type="spellStart"/>
      <w:r w:rsidRPr="00E546C7">
        <w:rPr>
          <w:lang w:bidi="bn-IN"/>
        </w:rPr>
        <w:t>Phua</w:t>
      </w:r>
      <w:proofErr w:type="spellEnd"/>
      <w:r w:rsidRPr="00E546C7">
        <w:rPr>
          <w:lang w:bidi="bn-IN"/>
        </w:rPr>
        <w:t>, J. (2021) ‘Digital and Interactive Marketing Communications in Sports’, </w:t>
      </w:r>
      <w:r w:rsidRPr="00E546C7">
        <w:rPr>
          <w:i/>
          <w:iCs/>
          <w:lang w:bidi="bn-IN"/>
        </w:rPr>
        <w:t>Journal of Interactive Advertising</w:t>
      </w:r>
      <w:r w:rsidRPr="00E546C7">
        <w:rPr>
          <w:lang w:bidi="bn-IN"/>
        </w:rPr>
        <w:t xml:space="preserve">, 21(2), pp. 75–78. Available at: </w:t>
      </w:r>
      <w:hyperlink r:id="rId35" w:history="1">
        <w:r w:rsidRPr="00E546C7">
          <w:rPr>
            <w:rStyle w:val="Hyperlink"/>
            <w:kern w:val="0"/>
            <w:szCs w:val="24"/>
            <w:lang w:bidi="bn-IN"/>
            <w14:ligatures w14:val="none"/>
          </w:rPr>
          <w:t>https://doi.org/10.1080/15252019.2021.1970422</w:t>
        </w:r>
      </w:hyperlink>
      <w:r w:rsidRPr="00E546C7">
        <w:rPr>
          <w:lang w:bidi="bn-IN"/>
        </w:rPr>
        <w:t xml:space="preserve">. </w:t>
      </w:r>
    </w:p>
    <w:p w14:paraId="10AA0C64" w14:textId="77777777" w:rsidR="00E5002F" w:rsidRPr="00E546C7" w:rsidRDefault="00E5002F" w:rsidP="00851BEF">
      <w:r w:rsidRPr="00E546C7">
        <w:t xml:space="preserve">Choubey, A. and Sharma, M. (2026) 'Effect of green integrated marketing communication on green purchase intention in </w:t>
      </w:r>
      <w:proofErr w:type="spellStart"/>
      <w:r w:rsidRPr="00E546C7">
        <w:t>indian</w:t>
      </w:r>
      <w:proofErr w:type="spellEnd"/>
      <w:r w:rsidRPr="00E546C7">
        <w:t xml:space="preserve"> banking sector',</w:t>
      </w:r>
      <w:r w:rsidRPr="00E546C7">
        <w:rPr>
          <w:rStyle w:val="apple-converted-space"/>
          <w:color w:val="000000"/>
          <w:sz w:val="21"/>
          <w:szCs w:val="21"/>
        </w:rPr>
        <w:t> </w:t>
      </w:r>
      <w:r w:rsidRPr="00E546C7">
        <w:rPr>
          <w:i/>
          <w:iCs/>
        </w:rPr>
        <w:t>Journal of Marketing Communications,</w:t>
      </w:r>
      <w:r w:rsidRPr="00E546C7">
        <w:rPr>
          <w:rStyle w:val="apple-converted-space"/>
          <w:color w:val="000000"/>
          <w:sz w:val="21"/>
          <w:szCs w:val="21"/>
        </w:rPr>
        <w:t> </w:t>
      </w:r>
      <w:r w:rsidRPr="00E546C7">
        <w:t>32(3), pp. 329–363. Available at:</w:t>
      </w:r>
      <w:r w:rsidRPr="00E546C7">
        <w:rPr>
          <w:rStyle w:val="apple-converted-space"/>
          <w:color w:val="000000"/>
          <w:sz w:val="21"/>
          <w:szCs w:val="21"/>
        </w:rPr>
        <w:t> </w:t>
      </w:r>
      <w:hyperlink r:id="rId36" w:tgtFrame="_blank" w:history="1">
        <w:r w:rsidRPr="00E546C7">
          <w:rPr>
            <w:rStyle w:val="Hyperlink"/>
            <w:color w:val="0066CC"/>
            <w:sz w:val="21"/>
            <w:szCs w:val="21"/>
          </w:rPr>
          <w:t>https://doi.org/10.1080/13527266.2024.2387848</w:t>
        </w:r>
      </w:hyperlink>
      <w:r w:rsidRPr="00E546C7">
        <w:t>.</w:t>
      </w:r>
    </w:p>
    <w:p w14:paraId="66AA00A3" w14:textId="77777777" w:rsidR="00E5002F" w:rsidRPr="00E546C7" w:rsidRDefault="00E5002F" w:rsidP="00851BEF">
      <w:pPr>
        <w:rPr>
          <w:color w:val="000000" w:themeColor="text1"/>
        </w:rPr>
      </w:pPr>
      <w:r w:rsidRPr="00E546C7">
        <w:rPr>
          <w:color w:val="000000" w:themeColor="text1"/>
        </w:rPr>
        <w:t>Christopher, M., Payne, A. and Ballantyne, D. (1991)</w:t>
      </w:r>
      <w:r w:rsidRPr="00E546C7">
        <w:rPr>
          <w:rStyle w:val="apple-converted-space"/>
          <w:color w:val="000000" w:themeColor="text1"/>
        </w:rPr>
        <w:t> </w:t>
      </w:r>
      <w:r w:rsidRPr="00E546C7">
        <w:rPr>
          <w:rStyle w:val="Emphasis"/>
          <w:color w:val="000000" w:themeColor="text1"/>
        </w:rPr>
        <w:t>Relationship marketing: bringing quality, customer service and marketing together</w:t>
      </w:r>
      <w:r w:rsidRPr="00E546C7">
        <w:rPr>
          <w:color w:val="000000" w:themeColor="text1"/>
        </w:rPr>
        <w:t>. Oxford: Butterworth-Heinemann.</w:t>
      </w:r>
    </w:p>
    <w:p w14:paraId="22E762C8" w14:textId="77777777" w:rsidR="00E5002F" w:rsidRPr="00E546C7" w:rsidRDefault="00E5002F" w:rsidP="00851BEF">
      <w:r w:rsidRPr="00E546C7">
        <w:t>CMA (2021)</w:t>
      </w:r>
      <w:r w:rsidRPr="00E546C7">
        <w:rPr>
          <w:rStyle w:val="apple-converted-space"/>
          <w:color w:val="000000"/>
        </w:rPr>
        <w:t> </w:t>
      </w:r>
      <w:r w:rsidRPr="00E546C7">
        <w:rPr>
          <w:i/>
          <w:iCs/>
        </w:rPr>
        <w:t>Global sweep finds 40% of firms’ green claims could be misleading</w:t>
      </w:r>
      <w:r w:rsidRPr="00E546C7">
        <w:t>,</w:t>
      </w:r>
      <w:r w:rsidRPr="00E546C7">
        <w:rPr>
          <w:rStyle w:val="apple-converted-space"/>
          <w:color w:val="000000"/>
        </w:rPr>
        <w:t> </w:t>
      </w:r>
      <w:r w:rsidRPr="00E546C7">
        <w:rPr>
          <w:i/>
          <w:iCs/>
        </w:rPr>
        <w:t>GOV.UK</w:t>
      </w:r>
      <w:r w:rsidRPr="00E546C7">
        <w:t xml:space="preserve">. Competition and Markets Authority. Available at: </w:t>
      </w:r>
      <w:hyperlink r:id="rId37" w:history="1">
        <w:r w:rsidRPr="00E546C7">
          <w:rPr>
            <w:rStyle w:val="Hyperlink"/>
          </w:rPr>
          <w:t>https://www.gov.uk/government/news/global-sweep-finds-40-of-firms-green-claims-could-be-misleading</w:t>
        </w:r>
      </w:hyperlink>
      <w:r w:rsidRPr="00E546C7">
        <w:t xml:space="preserve"> (Accessed: 9 August 2026).</w:t>
      </w:r>
    </w:p>
    <w:p w14:paraId="21C545E9" w14:textId="77777777" w:rsidR="00E5002F" w:rsidRPr="00E546C7" w:rsidRDefault="00E5002F" w:rsidP="000F016C">
      <w:pPr>
        <w:rPr>
          <w:lang w:val="en-US" w:bidi="bn-IN"/>
        </w:rPr>
      </w:pPr>
      <w:r w:rsidRPr="00E546C7">
        <w:rPr>
          <w:lang w:bidi="bn-IN"/>
        </w:rPr>
        <w:t>Dobre, C., Milovan, A.-M., Preda, G. and Naghi, R. (2023) ‘Post-purchase behaviour triggers in branded mobile shopping apps’, </w:t>
      </w:r>
      <w:r w:rsidRPr="00E546C7">
        <w:rPr>
          <w:i/>
          <w:iCs/>
          <w:lang w:bidi="bn-IN"/>
        </w:rPr>
        <w:t>Marketing Intelligence &amp; Planning</w:t>
      </w:r>
      <w:r w:rsidRPr="00E546C7">
        <w:rPr>
          <w:lang w:bidi="bn-IN"/>
        </w:rPr>
        <w:t xml:space="preserve">, 41(3). Available at: </w:t>
      </w:r>
      <w:hyperlink r:id="rId38" w:history="1">
        <w:r w:rsidRPr="00E546C7">
          <w:rPr>
            <w:rStyle w:val="Hyperlink"/>
            <w:lang w:bidi="bn-IN"/>
          </w:rPr>
          <w:t>https://doi.org/10.1108/mip-08-2022-0357</w:t>
        </w:r>
      </w:hyperlink>
      <w:r w:rsidRPr="00E546C7">
        <w:rPr>
          <w:lang w:bidi="bn-IN"/>
        </w:rPr>
        <w:t>.</w:t>
      </w:r>
      <w:r w:rsidRPr="00E546C7">
        <w:rPr>
          <w:lang w:val="en-US" w:bidi="bn-IN"/>
        </w:rPr>
        <w:t xml:space="preserve"> </w:t>
      </w:r>
    </w:p>
    <w:p w14:paraId="2817B86A" w14:textId="77777777" w:rsidR="00E5002F" w:rsidRPr="00E546C7" w:rsidRDefault="00E5002F" w:rsidP="00851BEF">
      <w:proofErr w:type="spellStart"/>
      <w:r w:rsidRPr="00E546C7">
        <w:t>Fernandes</w:t>
      </w:r>
      <w:proofErr w:type="spellEnd"/>
      <w:r w:rsidRPr="00E546C7">
        <w:t xml:space="preserve">, D.G.C., </w:t>
      </w:r>
      <w:proofErr w:type="spellStart"/>
      <w:r w:rsidRPr="00E546C7">
        <w:t>Sepulcri</w:t>
      </w:r>
      <w:proofErr w:type="spellEnd"/>
      <w:r w:rsidRPr="00E546C7">
        <w:t xml:space="preserve">, L.M.C.B., </w:t>
      </w:r>
      <w:proofErr w:type="spellStart"/>
      <w:r w:rsidRPr="00E546C7">
        <w:t>Mainardes</w:t>
      </w:r>
      <w:proofErr w:type="spellEnd"/>
      <w:r w:rsidRPr="00E546C7">
        <w:t xml:space="preserve">, E.W. and </w:t>
      </w:r>
      <w:proofErr w:type="spellStart"/>
      <w:r w:rsidRPr="00E546C7">
        <w:t>Azzari</w:t>
      </w:r>
      <w:proofErr w:type="spellEnd"/>
      <w:r w:rsidRPr="00E546C7">
        <w:t>, V. (2025) 'The power of integrated marketing communication on organizational commitment and employee engagement',</w:t>
      </w:r>
      <w:r w:rsidRPr="00E546C7">
        <w:rPr>
          <w:rStyle w:val="apple-converted-space"/>
          <w:color w:val="000000"/>
          <w:sz w:val="21"/>
          <w:szCs w:val="21"/>
        </w:rPr>
        <w:t> </w:t>
      </w:r>
      <w:r w:rsidRPr="00E546C7">
        <w:rPr>
          <w:i/>
          <w:iCs/>
        </w:rPr>
        <w:t>Journal of Marketing Communications,</w:t>
      </w:r>
      <w:r w:rsidRPr="00E546C7">
        <w:rPr>
          <w:rStyle w:val="apple-converted-space"/>
          <w:color w:val="000000"/>
          <w:sz w:val="21"/>
          <w:szCs w:val="21"/>
        </w:rPr>
        <w:t> </w:t>
      </w:r>
      <w:r w:rsidRPr="00E546C7">
        <w:t>pp. 1–22. Available at:</w:t>
      </w:r>
      <w:r w:rsidRPr="00E546C7">
        <w:rPr>
          <w:rStyle w:val="apple-converted-space"/>
          <w:color w:val="000000"/>
          <w:sz w:val="21"/>
          <w:szCs w:val="21"/>
        </w:rPr>
        <w:t> </w:t>
      </w:r>
      <w:hyperlink r:id="rId39" w:tgtFrame="_blank" w:history="1">
        <w:r w:rsidRPr="00E546C7">
          <w:rPr>
            <w:rStyle w:val="Hyperlink"/>
            <w:color w:val="0066CC"/>
            <w:sz w:val="21"/>
            <w:szCs w:val="21"/>
          </w:rPr>
          <w:t>https://doi.org/10.1080/13527266.2025.2521124</w:t>
        </w:r>
      </w:hyperlink>
      <w:r w:rsidRPr="00E546C7">
        <w:t>.</w:t>
      </w:r>
    </w:p>
    <w:p w14:paraId="310A79E6" w14:textId="77777777" w:rsidR="00E5002F" w:rsidRPr="00E546C7" w:rsidRDefault="00E5002F" w:rsidP="000F016C">
      <w:pPr>
        <w:rPr>
          <w:lang w:val="en-US" w:bidi="bn-IN"/>
        </w:rPr>
      </w:pPr>
      <w:r w:rsidRPr="00E546C7">
        <w:rPr>
          <w:lang w:bidi="bn-IN"/>
        </w:rPr>
        <w:t>Gao, M. and Huang, L. (2021) ‘Quality of channel integration and customer loyalty in omnichannel retailing: The mediating role of customer engagement and relationship program receptiveness’, </w:t>
      </w:r>
      <w:r w:rsidRPr="00E546C7">
        <w:rPr>
          <w:i/>
          <w:iCs/>
          <w:lang w:bidi="bn-IN"/>
        </w:rPr>
        <w:t>Journal of Retailing and Consumer Services</w:t>
      </w:r>
      <w:r w:rsidRPr="00E546C7">
        <w:rPr>
          <w:lang w:bidi="bn-IN"/>
        </w:rPr>
        <w:t xml:space="preserve">, 63, p. 102688. Available at: </w:t>
      </w:r>
      <w:hyperlink r:id="rId40" w:history="1">
        <w:r w:rsidRPr="00E546C7">
          <w:rPr>
            <w:rStyle w:val="Hyperlink"/>
            <w:lang w:bidi="bn-IN"/>
          </w:rPr>
          <w:t>https://doi.org/10.1016/j.jretconser.2021.102688</w:t>
        </w:r>
      </w:hyperlink>
      <w:r w:rsidRPr="00E546C7">
        <w:rPr>
          <w:lang w:bidi="bn-IN"/>
        </w:rPr>
        <w:t>.</w:t>
      </w:r>
      <w:r w:rsidRPr="00E546C7">
        <w:rPr>
          <w:lang w:val="en-US" w:bidi="bn-IN"/>
        </w:rPr>
        <w:t xml:space="preserve"> </w:t>
      </w:r>
    </w:p>
    <w:p w14:paraId="79F339A7" w14:textId="77777777" w:rsidR="00E5002F" w:rsidRPr="00E546C7" w:rsidRDefault="00E5002F" w:rsidP="000F016C">
      <w:pPr>
        <w:rPr>
          <w:lang w:val="en-US" w:bidi="bn-IN"/>
        </w:rPr>
      </w:pPr>
      <w:r w:rsidRPr="00E546C7">
        <w:rPr>
          <w:lang w:bidi="bn-IN"/>
        </w:rPr>
        <w:t>Hsiao, M.-H. (2022) ‘Post-purchase behaviour from customer perceived value of mobile payment services’, </w:t>
      </w:r>
      <w:r w:rsidRPr="00E546C7">
        <w:rPr>
          <w:i/>
          <w:iCs/>
          <w:lang w:bidi="bn-IN"/>
        </w:rPr>
        <w:t>Journal of Modelling in Management</w:t>
      </w:r>
      <w:r w:rsidRPr="00E546C7">
        <w:rPr>
          <w:lang w:bidi="bn-IN"/>
        </w:rPr>
        <w:t xml:space="preserve">, 17(4). Available at: </w:t>
      </w:r>
      <w:hyperlink r:id="rId41" w:history="1">
        <w:r w:rsidRPr="00E546C7">
          <w:rPr>
            <w:rStyle w:val="Hyperlink"/>
            <w:lang w:bidi="bn-IN"/>
          </w:rPr>
          <w:t>https://doi.org/10.1108/jm2-11-2020-0293</w:t>
        </w:r>
      </w:hyperlink>
      <w:r w:rsidRPr="00E546C7">
        <w:rPr>
          <w:lang w:bidi="bn-IN"/>
        </w:rPr>
        <w:t>.</w:t>
      </w:r>
      <w:r w:rsidRPr="00E546C7">
        <w:rPr>
          <w:lang w:val="en-US" w:bidi="bn-IN"/>
        </w:rPr>
        <w:t xml:space="preserve"> </w:t>
      </w:r>
    </w:p>
    <w:p w14:paraId="02F7B85A" w14:textId="77777777" w:rsidR="00E5002F" w:rsidRPr="00E546C7" w:rsidRDefault="00E5002F" w:rsidP="00851BEF">
      <w:r w:rsidRPr="00E546C7">
        <w:t xml:space="preserve">Ismaeel, B., Khanfar, I.A.A. and Al-Shaikh, M.S. (2025) 'The impact of integrated marketing communications on consumer buying decisions: Evidence from </w:t>
      </w:r>
      <w:proofErr w:type="spellStart"/>
      <w:r w:rsidRPr="00E546C7">
        <w:t>zain</w:t>
      </w:r>
      <w:proofErr w:type="spellEnd"/>
      <w:r w:rsidRPr="00E546C7">
        <w:t xml:space="preserve"> telecom',</w:t>
      </w:r>
      <w:r w:rsidRPr="00E546C7">
        <w:rPr>
          <w:rStyle w:val="apple-converted-space"/>
          <w:color w:val="000000"/>
          <w:sz w:val="21"/>
          <w:szCs w:val="21"/>
        </w:rPr>
        <w:t> </w:t>
      </w:r>
      <w:proofErr w:type="spellStart"/>
      <w:r w:rsidRPr="00E546C7">
        <w:rPr>
          <w:i/>
          <w:iCs/>
        </w:rPr>
        <w:t>Acta</w:t>
      </w:r>
      <w:proofErr w:type="spellEnd"/>
      <w:r w:rsidRPr="00E546C7">
        <w:rPr>
          <w:i/>
          <w:iCs/>
        </w:rPr>
        <w:t xml:space="preserve"> </w:t>
      </w:r>
      <w:proofErr w:type="spellStart"/>
      <w:r w:rsidRPr="00E546C7">
        <w:rPr>
          <w:i/>
          <w:iCs/>
        </w:rPr>
        <w:t>Psychologica</w:t>
      </w:r>
      <w:proofErr w:type="spellEnd"/>
      <w:r w:rsidRPr="00E546C7">
        <w:rPr>
          <w:i/>
          <w:iCs/>
        </w:rPr>
        <w:t>,</w:t>
      </w:r>
      <w:r w:rsidRPr="00E546C7">
        <w:rPr>
          <w:rStyle w:val="apple-converted-space"/>
          <w:color w:val="000000"/>
          <w:sz w:val="21"/>
          <w:szCs w:val="21"/>
        </w:rPr>
        <w:t> </w:t>
      </w:r>
      <w:r w:rsidRPr="00E546C7">
        <w:t>260, pp. 105695. Available at:</w:t>
      </w:r>
      <w:r w:rsidRPr="00E546C7">
        <w:rPr>
          <w:rStyle w:val="apple-converted-space"/>
          <w:color w:val="000000"/>
          <w:sz w:val="21"/>
          <w:szCs w:val="21"/>
        </w:rPr>
        <w:t> </w:t>
      </w:r>
      <w:hyperlink r:id="rId42" w:tgtFrame="_blank" w:history="1">
        <w:r w:rsidRPr="00E546C7">
          <w:rPr>
            <w:rStyle w:val="Hyperlink"/>
            <w:color w:val="0066CC"/>
            <w:sz w:val="21"/>
            <w:szCs w:val="21"/>
          </w:rPr>
          <w:t>https://doi.org/10.1016/j.actpsy.2025.105695</w:t>
        </w:r>
      </w:hyperlink>
      <w:r w:rsidRPr="00E546C7">
        <w:t>.</w:t>
      </w:r>
    </w:p>
    <w:p w14:paraId="746811C2" w14:textId="77777777" w:rsidR="00E5002F" w:rsidRPr="00E546C7" w:rsidRDefault="00E5002F" w:rsidP="00851BEF">
      <w:pPr>
        <w:rPr>
          <w:lang w:val="en-US" w:bidi="bn-IN"/>
        </w:rPr>
      </w:pPr>
      <w:proofErr w:type="spellStart"/>
      <w:r w:rsidRPr="00E546C7">
        <w:rPr>
          <w:lang w:bidi="bn-IN"/>
        </w:rPr>
        <w:t>Joo</w:t>
      </w:r>
      <w:proofErr w:type="spellEnd"/>
      <w:r w:rsidRPr="00E546C7">
        <w:rPr>
          <w:lang w:bidi="bn-IN"/>
        </w:rPr>
        <w:t>, S., Koo, J. and Nichols, B.S. (2021) “Understanding consumer attitudes in cause-brand alliances in sports: The role of sport entity attitudes,” </w:t>
      </w:r>
      <w:r w:rsidRPr="00E546C7">
        <w:rPr>
          <w:i/>
          <w:iCs/>
          <w:lang w:bidi="bn-IN"/>
        </w:rPr>
        <w:t>International Journal of Sports Marketing and Sponsorship</w:t>
      </w:r>
      <w:r w:rsidRPr="00E546C7">
        <w:rPr>
          <w:lang w:bidi="bn-IN"/>
        </w:rPr>
        <w:t xml:space="preserve">, 22(3). Available at: </w:t>
      </w:r>
      <w:hyperlink r:id="rId43" w:history="1">
        <w:r w:rsidRPr="00E546C7">
          <w:rPr>
            <w:rStyle w:val="Hyperlink"/>
            <w:lang w:bidi="bn-IN"/>
          </w:rPr>
          <w:t>https://doi.org/10.1108/ijsms-12-2019-0142</w:t>
        </w:r>
      </w:hyperlink>
      <w:r w:rsidRPr="00E546C7">
        <w:rPr>
          <w:lang w:bidi="bn-IN"/>
        </w:rPr>
        <w:t>.</w:t>
      </w:r>
      <w:r w:rsidRPr="00E546C7">
        <w:rPr>
          <w:lang w:val="en-US" w:bidi="bn-IN"/>
        </w:rPr>
        <w:t xml:space="preserve"> </w:t>
      </w:r>
    </w:p>
    <w:p w14:paraId="577E411B" w14:textId="77777777" w:rsidR="00E5002F" w:rsidRPr="00E546C7" w:rsidRDefault="00E5002F" w:rsidP="00851BEF">
      <w:pPr>
        <w:rPr>
          <w:lang w:bidi="bn-IN"/>
        </w:rPr>
      </w:pPr>
      <w:r w:rsidRPr="00E546C7">
        <w:rPr>
          <w:lang w:bidi="bn-IN"/>
        </w:rPr>
        <w:t xml:space="preserve">Khadija, E. and Omar, T. (2023) ‘Literature review on knowledge transfer models: From Shannon- Weaver (1949) to </w:t>
      </w:r>
      <w:proofErr w:type="spellStart"/>
      <w:r w:rsidRPr="00E546C7">
        <w:rPr>
          <w:lang w:bidi="bn-IN"/>
        </w:rPr>
        <w:t>Kostova</w:t>
      </w:r>
      <w:proofErr w:type="spellEnd"/>
      <w:r w:rsidRPr="00E546C7">
        <w:rPr>
          <w:lang w:bidi="bn-IN"/>
        </w:rPr>
        <w:t xml:space="preserve"> (1999)’, </w:t>
      </w:r>
      <w:r w:rsidRPr="00E546C7">
        <w:rPr>
          <w:i/>
          <w:iCs/>
          <w:lang w:bidi="bn-IN"/>
        </w:rPr>
        <w:t>African Scientific Journal</w:t>
      </w:r>
      <w:r w:rsidRPr="00E546C7">
        <w:rPr>
          <w:lang w:bidi="bn-IN"/>
        </w:rPr>
        <w:t xml:space="preserve">, 3(21), pp. 548–548. Available at: </w:t>
      </w:r>
      <w:hyperlink r:id="rId44" w:history="1">
        <w:r w:rsidRPr="00E546C7">
          <w:rPr>
            <w:rStyle w:val="Hyperlink"/>
            <w:kern w:val="0"/>
            <w:szCs w:val="24"/>
            <w:lang w:bidi="bn-IN"/>
            <w14:ligatures w14:val="none"/>
          </w:rPr>
          <w:t>https://doi.org/10.5281/zenodo.10434490</w:t>
        </w:r>
      </w:hyperlink>
      <w:r w:rsidRPr="00E546C7">
        <w:rPr>
          <w:lang w:bidi="bn-IN"/>
        </w:rPr>
        <w:t xml:space="preserve">. </w:t>
      </w:r>
    </w:p>
    <w:p w14:paraId="21947C5B" w14:textId="77777777" w:rsidR="00E5002F" w:rsidRPr="00E546C7" w:rsidRDefault="00E5002F" w:rsidP="00851BEF">
      <w:r w:rsidRPr="00E546C7">
        <w:t xml:space="preserve">Kim, Y. and Oh, K.W. (2020) 'Effects of perceived sustainability level of sportswear product on purchase intention: Exploring the roles of perceived </w:t>
      </w:r>
      <w:proofErr w:type="spellStart"/>
      <w:r w:rsidRPr="00E546C7">
        <w:t>skepticism</w:t>
      </w:r>
      <w:proofErr w:type="spellEnd"/>
      <w:r w:rsidRPr="00E546C7">
        <w:t xml:space="preserve"> and perceived brand reputation',</w:t>
      </w:r>
      <w:r w:rsidRPr="00E546C7">
        <w:rPr>
          <w:rStyle w:val="apple-converted-space"/>
          <w:color w:val="000000"/>
          <w:sz w:val="21"/>
          <w:szCs w:val="21"/>
        </w:rPr>
        <w:t> </w:t>
      </w:r>
      <w:r w:rsidRPr="00E546C7">
        <w:rPr>
          <w:i/>
          <w:iCs/>
        </w:rPr>
        <w:t>Sustainability,</w:t>
      </w:r>
      <w:r w:rsidRPr="00E546C7">
        <w:rPr>
          <w:rStyle w:val="apple-converted-space"/>
          <w:color w:val="000000"/>
          <w:sz w:val="21"/>
          <w:szCs w:val="21"/>
        </w:rPr>
        <w:t> </w:t>
      </w:r>
      <w:r w:rsidRPr="00E546C7">
        <w:t>12(20), pp. 8650. Available at:</w:t>
      </w:r>
      <w:r w:rsidRPr="00E546C7">
        <w:rPr>
          <w:rStyle w:val="apple-converted-space"/>
          <w:color w:val="000000"/>
          <w:sz w:val="21"/>
          <w:szCs w:val="21"/>
        </w:rPr>
        <w:t> </w:t>
      </w:r>
      <w:hyperlink r:id="rId45" w:tgtFrame="_blank" w:history="1">
        <w:r w:rsidRPr="00E546C7">
          <w:rPr>
            <w:rStyle w:val="Hyperlink"/>
            <w:color w:val="0066CC"/>
            <w:sz w:val="21"/>
            <w:szCs w:val="21"/>
          </w:rPr>
          <w:t>https://doi.org/10.3390/su12208650</w:t>
        </w:r>
      </w:hyperlink>
      <w:r w:rsidRPr="00E546C7">
        <w:t>.</w:t>
      </w:r>
    </w:p>
    <w:p w14:paraId="587376D7" w14:textId="77777777" w:rsidR="00E5002F" w:rsidRPr="00E546C7" w:rsidRDefault="00E5002F" w:rsidP="00851BEF">
      <w:pPr>
        <w:rPr>
          <w:lang w:val="en-US" w:bidi="bn-IN"/>
        </w:rPr>
      </w:pPr>
      <w:r w:rsidRPr="00E546C7">
        <w:rPr>
          <w:lang w:bidi="bn-IN"/>
        </w:rPr>
        <w:t xml:space="preserve">Kim, Y. and Oh, K.W. (2020) “Effects of Perceived Sustainability Level of Sportswear Product on Purchase Intention: Exploring the Roles of Perceived </w:t>
      </w:r>
      <w:proofErr w:type="spellStart"/>
      <w:r w:rsidRPr="00E546C7">
        <w:rPr>
          <w:lang w:bidi="bn-IN"/>
        </w:rPr>
        <w:t>Skepticism</w:t>
      </w:r>
      <w:proofErr w:type="spellEnd"/>
      <w:r w:rsidRPr="00E546C7">
        <w:rPr>
          <w:lang w:bidi="bn-IN"/>
        </w:rPr>
        <w:t xml:space="preserve"> and Perceived Brand Reputation,” </w:t>
      </w:r>
      <w:r w:rsidRPr="00E546C7">
        <w:rPr>
          <w:i/>
          <w:iCs/>
          <w:lang w:bidi="bn-IN"/>
        </w:rPr>
        <w:t>Sustainability</w:t>
      </w:r>
      <w:r w:rsidRPr="00E546C7">
        <w:rPr>
          <w:lang w:bidi="bn-IN"/>
        </w:rPr>
        <w:t xml:space="preserve">, 12(20), p. 8650. Available at: </w:t>
      </w:r>
      <w:hyperlink r:id="rId46" w:history="1">
        <w:r w:rsidRPr="00E546C7">
          <w:rPr>
            <w:rStyle w:val="Hyperlink"/>
            <w:lang w:bidi="bn-IN"/>
          </w:rPr>
          <w:t>https://doi.org/10.3390/su12208650</w:t>
        </w:r>
      </w:hyperlink>
      <w:r w:rsidRPr="00E546C7">
        <w:rPr>
          <w:lang w:bidi="bn-IN"/>
        </w:rPr>
        <w:t>.</w:t>
      </w:r>
      <w:r w:rsidRPr="00E546C7">
        <w:rPr>
          <w:lang w:val="en-US" w:bidi="bn-IN"/>
        </w:rPr>
        <w:t xml:space="preserve"> </w:t>
      </w:r>
    </w:p>
    <w:p w14:paraId="60A2F064" w14:textId="77777777" w:rsidR="00E5002F" w:rsidRPr="00E546C7" w:rsidRDefault="00E5002F" w:rsidP="00851BEF">
      <w:pPr>
        <w:rPr>
          <w:lang w:val="en-US" w:bidi="bn-IN"/>
        </w:rPr>
      </w:pPr>
      <w:proofErr w:type="spellStart"/>
      <w:r w:rsidRPr="00E546C7">
        <w:rPr>
          <w:lang w:bidi="bn-IN"/>
        </w:rPr>
        <w:t>Koronios</w:t>
      </w:r>
      <w:proofErr w:type="spellEnd"/>
      <w:r w:rsidRPr="00E546C7">
        <w:rPr>
          <w:lang w:bidi="bn-IN"/>
        </w:rPr>
        <w:t xml:space="preserve">, K., </w:t>
      </w:r>
      <w:proofErr w:type="spellStart"/>
      <w:r w:rsidRPr="00E546C7">
        <w:rPr>
          <w:lang w:bidi="bn-IN"/>
        </w:rPr>
        <w:t>Ntasis</w:t>
      </w:r>
      <w:proofErr w:type="spellEnd"/>
      <w:r w:rsidRPr="00E546C7">
        <w:rPr>
          <w:lang w:bidi="bn-IN"/>
        </w:rPr>
        <w:t xml:space="preserve">, L., </w:t>
      </w:r>
      <w:proofErr w:type="spellStart"/>
      <w:r w:rsidRPr="00E546C7">
        <w:rPr>
          <w:lang w:bidi="bn-IN"/>
        </w:rPr>
        <w:t>Dimitropoulos</w:t>
      </w:r>
      <w:proofErr w:type="spellEnd"/>
      <w:r w:rsidRPr="00E546C7">
        <w:rPr>
          <w:lang w:bidi="bn-IN"/>
        </w:rPr>
        <w:t xml:space="preserve">, P. and </w:t>
      </w:r>
      <w:proofErr w:type="spellStart"/>
      <w:r w:rsidRPr="00E546C7">
        <w:rPr>
          <w:lang w:bidi="bn-IN"/>
        </w:rPr>
        <w:t>Ratten</w:t>
      </w:r>
      <w:proofErr w:type="spellEnd"/>
      <w:r w:rsidRPr="00E546C7">
        <w:rPr>
          <w:lang w:bidi="bn-IN"/>
        </w:rPr>
        <w:t xml:space="preserve">, V. (2022) “Not just intentions: Predicting actual purchase </w:t>
      </w:r>
      <w:proofErr w:type="spellStart"/>
      <w:r w:rsidRPr="00E546C7">
        <w:rPr>
          <w:lang w:bidi="bn-IN"/>
        </w:rPr>
        <w:t>behavior</w:t>
      </w:r>
      <w:proofErr w:type="spellEnd"/>
      <w:r w:rsidRPr="00E546C7">
        <w:rPr>
          <w:lang w:bidi="bn-IN"/>
        </w:rPr>
        <w:t xml:space="preserve"> in sport sponsorship context,” </w:t>
      </w:r>
      <w:r w:rsidRPr="00E546C7">
        <w:rPr>
          <w:i/>
          <w:iCs/>
          <w:lang w:bidi="bn-IN"/>
        </w:rPr>
        <w:t>Sport, Business and Management: An International Journal</w:t>
      </w:r>
      <w:r w:rsidRPr="00E546C7">
        <w:rPr>
          <w:lang w:bidi="bn-IN"/>
        </w:rPr>
        <w:t xml:space="preserve">, 12(1). Available at: </w:t>
      </w:r>
      <w:hyperlink r:id="rId47" w:history="1">
        <w:r w:rsidRPr="00E546C7">
          <w:rPr>
            <w:rStyle w:val="Hyperlink"/>
            <w:lang w:bidi="bn-IN"/>
          </w:rPr>
          <w:t>https://doi.org/10.1108/sbm-03-2021-0034</w:t>
        </w:r>
      </w:hyperlink>
      <w:r w:rsidRPr="00E546C7">
        <w:rPr>
          <w:lang w:bidi="bn-IN"/>
        </w:rPr>
        <w:t>.</w:t>
      </w:r>
      <w:r w:rsidRPr="00E546C7">
        <w:rPr>
          <w:lang w:val="en-US" w:bidi="bn-IN"/>
        </w:rPr>
        <w:t xml:space="preserve"> </w:t>
      </w:r>
    </w:p>
    <w:p w14:paraId="65ED27CF" w14:textId="77777777" w:rsidR="00E5002F" w:rsidRPr="00E546C7" w:rsidRDefault="00E5002F" w:rsidP="000F016C">
      <w:pPr>
        <w:rPr>
          <w:lang w:val="en-US" w:bidi="bn-IN"/>
        </w:rPr>
      </w:pPr>
      <w:r w:rsidRPr="00E546C7">
        <w:rPr>
          <w:lang w:bidi="bn-IN"/>
        </w:rPr>
        <w:t>Kumar, A., Melese, E. and Kashyap, A.K. (2026) ‘Antecedents and consequences of international marketing capabilities: Insights from a systematic review’, </w:t>
      </w:r>
      <w:r w:rsidRPr="00E546C7">
        <w:rPr>
          <w:i/>
          <w:iCs/>
          <w:lang w:bidi="bn-IN"/>
        </w:rPr>
        <w:t>Journal of Trade Science</w:t>
      </w:r>
      <w:r w:rsidRPr="00E546C7">
        <w:rPr>
          <w:lang w:bidi="bn-IN"/>
        </w:rPr>
        <w:t xml:space="preserve">, 14(3), pp. 1–21. Available at: </w:t>
      </w:r>
      <w:hyperlink r:id="rId48" w:history="1">
        <w:r w:rsidRPr="00E546C7">
          <w:rPr>
            <w:rStyle w:val="Hyperlink"/>
            <w:lang w:bidi="bn-IN"/>
          </w:rPr>
          <w:t>https://doi.org/10.1108/jts-01-2026-0005</w:t>
        </w:r>
      </w:hyperlink>
      <w:r w:rsidRPr="00E546C7">
        <w:rPr>
          <w:lang w:bidi="bn-IN"/>
        </w:rPr>
        <w:t>.</w:t>
      </w:r>
      <w:r w:rsidRPr="00E546C7">
        <w:rPr>
          <w:lang w:val="en-US" w:bidi="bn-IN"/>
        </w:rPr>
        <w:t xml:space="preserve"> </w:t>
      </w:r>
    </w:p>
    <w:p w14:paraId="561D1739" w14:textId="77777777" w:rsidR="00E5002F" w:rsidRPr="00E546C7" w:rsidRDefault="00E5002F" w:rsidP="00851BEF">
      <w:pPr>
        <w:rPr>
          <w:lang w:val="en-US" w:bidi="bn-IN"/>
        </w:rPr>
      </w:pPr>
      <w:r w:rsidRPr="00E546C7">
        <w:rPr>
          <w:lang w:bidi="bn-IN"/>
        </w:rPr>
        <w:t xml:space="preserve">Kunkel, T. and </w:t>
      </w:r>
      <w:proofErr w:type="spellStart"/>
      <w:r w:rsidRPr="00E546C7">
        <w:rPr>
          <w:lang w:bidi="bn-IN"/>
        </w:rPr>
        <w:t>Biscaia</w:t>
      </w:r>
      <w:proofErr w:type="spellEnd"/>
      <w:r w:rsidRPr="00E546C7">
        <w:rPr>
          <w:lang w:bidi="bn-IN"/>
        </w:rPr>
        <w:t xml:space="preserve">, R. (2020) “Sport Brands: Brand Relationships and Consumer </w:t>
      </w:r>
      <w:proofErr w:type="spellStart"/>
      <w:r w:rsidRPr="00E546C7">
        <w:rPr>
          <w:lang w:bidi="bn-IN"/>
        </w:rPr>
        <w:t>Behavior</w:t>
      </w:r>
      <w:proofErr w:type="spellEnd"/>
      <w:r w:rsidRPr="00E546C7">
        <w:rPr>
          <w:lang w:bidi="bn-IN"/>
        </w:rPr>
        <w:t>,” </w:t>
      </w:r>
      <w:r w:rsidRPr="00E546C7">
        <w:rPr>
          <w:i/>
          <w:iCs/>
          <w:lang w:bidi="bn-IN"/>
        </w:rPr>
        <w:t>Sport Marketing Quarterly</w:t>
      </w:r>
      <w:r w:rsidRPr="00E546C7">
        <w:rPr>
          <w:lang w:bidi="bn-IN"/>
        </w:rPr>
        <w:t xml:space="preserve">, 29(1), pp. 3–17. Available at: </w:t>
      </w:r>
      <w:hyperlink r:id="rId49" w:history="1">
        <w:r w:rsidRPr="00E546C7">
          <w:rPr>
            <w:rStyle w:val="Hyperlink"/>
            <w:lang w:bidi="bn-IN"/>
          </w:rPr>
          <w:t>https://doi.org/10.32731/smq.291.032020.01</w:t>
        </w:r>
      </w:hyperlink>
      <w:r w:rsidRPr="00E546C7">
        <w:rPr>
          <w:lang w:bidi="bn-IN"/>
        </w:rPr>
        <w:t>.</w:t>
      </w:r>
      <w:r w:rsidRPr="00E546C7">
        <w:rPr>
          <w:lang w:val="en-US" w:bidi="bn-IN"/>
        </w:rPr>
        <w:t xml:space="preserve"> </w:t>
      </w:r>
    </w:p>
    <w:p w14:paraId="3510DC8B" w14:textId="77777777" w:rsidR="00E5002F" w:rsidRPr="00E546C7" w:rsidRDefault="00E5002F" w:rsidP="00851BEF">
      <w:pPr>
        <w:rPr>
          <w:lang w:val="en-US" w:bidi="bn-IN"/>
        </w:rPr>
      </w:pPr>
      <w:r w:rsidRPr="00E546C7">
        <w:rPr>
          <w:lang w:bidi="bn-IN"/>
        </w:rPr>
        <w:t>Lee, J.K. (2021) “The effects of team identification on consumer purchase intention in sports influencer marketing: The mediation effect of ad content value moderated by sports influencer credibility,” </w:t>
      </w:r>
      <w:r w:rsidRPr="00E546C7">
        <w:rPr>
          <w:i/>
          <w:iCs/>
          <w:lang w:bidi="bn-IN"/>
        </w:rPr>
        <w:t>Cogent Business &amp; Management</w:t>
      </w:r>
      <w:r w:rsidRPr="00E546C7">
        <w:rPr>
          <w:lang w:bidi="bn-IN"/>
        </w:rPr>
        <w:t xml:space="preserve">. Edited by O. Adeola, 8(1), p. 1957073. Available at: </w:t>
      </w:r>
      <w:hyperlink r:id="rId50" w:history="1">
        <w:r w:rsidRPr="00E546C7">
          <w:rPr>
            <w:rStyle w:val="Hyperlink"/>
            <w:lang w:bidi="bn-IN"/>
          </w:rPr>
          <w:t>https://doi.org/10.1080/23311975.2021.1957073</w:t>
        </w:r>
      </w:hyperlink>
      <w:r w:rsidRPr="00E546C7">
        <w:rPr>
          <w:lang w:bidi="bn-IN"/>
        </w:rPr>
        <w:t>.</w:t>
      </w:r>
      <w:r w:rsidRPr="00E546C7">
        <w:rPr>
          <w:lang w:val="en-US" w:bidi="bn-IN"/>
        </w:rPr>
        <w:t xml:space="preserve"> </w:t>
      </w:r>
    </w:p>
    <w:p w14:paraId="62E99D7B" w14:textId="77777777" w:rsidR="00E5002F" w:rsidRPr="00E546C7" w:rsidRDefault="00E5002F" w:rsidP="00851BEF">
      <w:pPr>
        <w:rPr>
          <w:lang w:val="en-US" w:bidi="bn-IN"/>
        </w:rPr>
      </w:pPr>
      <w:r w:rsidRPr="00E546C7">
        <w:rPr>
          <w:lang w:bidi="bn-IN"/>
        </w:rPr>
        <w:t>Lin, L., Xu, Y. and Tao, Q. (2020) “Motivational drivers of Chinese consumers’ brand avoidance behaviours: A perspective of sportswear,” </w:t>
      </w:r>
      <w:r w:rsidRPr="00E546C7">
        <w:rPr>
          <w:i/>
          <w:iCs/>
          <w:lang w:bidi="bn-IN"/>
        </w:rPr>
        <w:t>International Journal of Fashion Design, Technology and Education</w:t>
      </w:r>
      <w:r w:rsidRPr="00E546C7">
        <w:rPr>
          <w:lang w:bidi="bn-IN"/>
        </w:rPr>
        <w:t xml:space="preserve">, 13(1), pp. 45–57. Available at: </w:t>
      </w:r>
      <w:hyperlink r:id="rId51" w:history="1">
        <w:r w:rsidRPr="00E546C7">
          <w:rPr>
            <w:rStyle w:val="Hyperlink"/>
            <w:lang w:bidi="bn-IN"/>
          </w:rPr>
          <w:t>https://doi.org/10.1080/17543266.2020.1719435</w:t>
        </w:r>
      </w:hyperlink>
      <w:r w:rsidRPr="00E546C7">
        <w:rPr>
          <w:lang w:bidi="bn-IN"/>
        </w:rPr>
        <w:t>.</w:t>
      </w:r>
      <w:r w:rsidRPr="00E546C7">
        <w:rPr>
          <w:lang w:val="en-US" w:bidi="bn-IN"/>
        </w:rPr>
        <w:t xml:space="preserve"> </w:t>
      </w:r>
    </w:p>
    <w:p w14:paraId="374B617C" w14:textId="77777777" w:rsidR="00E5002F" w:rsidRPr="00E546C7" w:rsidRDefault="00E5002F" w:rsidP="00E36DEB">
      <w:pPr>
        <w:rPr>
          <w:lang w:val="en-US" w:bidi="bn-IN"/>
        </w:rPr>
      </w:pPr>
      <w:r w:rsidRPr="00E546C7">
        <w:rPr>
          <w:lang w:bidi="bn-IN"/>
        </w:rPr>
        <w:t xml:space="preserve">Lock, I. and </w:t>
      </w:r>
      <w:proofErr w:type="spellStart"/>
      <w:r w:rsidRPr="00E546C7">
        <w:rPr>
          <w:lang w:bidi="bn-IN"/>
        </w:rPr>
        <w:t>Seele</w:t>
      </w:r>
      <w:proofErr w:type="spellEnd"/>
      <w:r w:rsidRPr="00E546C7">
        <w:rPr>
          <w:lang w:bidi="bn-IN"/>
        </w:rPr>
        <w:t xml:space="preserve">, P. (2015) ‘Quantitative content analysis as a method for business ethics research’, </w:t>
      </w:r>
      <w:r w:rsidRPr="00E546C7">
        <w:rPr>
          <w:i/>
          <w:iCs/>
          <w:lang w:bidi="bn-IN"/>
        </w:rPr>
        <w:t>Business Ethics: A European Review</w:t>
      </w:r>
      <w:r w:rsidRPr="00E546C7">
        <w:rPr>
          <w:lang w:bidi="bn-IN"/>
        </w:rPr>
        <w:t xml:space="preserve">, 24(51), pp. S24–S40. Available at: </w:t>
      </w:r>
      <w:hyperlink r:id="rId52" w:history="1">
        <w:r w:rsidRPr="00E546C7">
          <w:rPr>
            <w:rStyle w:val="Hyperlink"/>
            <w:lang w:bidi="bn-IN"/>
          </w:rPr>
          <w:t>https://doi.org/10.1111/beer.12095</w:t>
        </w:r>
      </w:hyperlink>
      <w:r w:rsidRPr="00E546C7">
        <w:rPr>
          <w:lang w:bidi="bn-IN"/>
        </w:rPr>
        <w:t>.</w:t>
      </w:r>
      <w:r w:rsidRPr="00E546C7">
        <w:rPr>
          <w:lang w:val="en-US" w:bidi="bn-IN"/>
        </w:rPr>
        <w:t xml:space="preserve"> </w:t>
      </w:r>
    </w:p>
    <w:p w14:paraId="61E797CE" w14:textId="77777777" w:rsidR="00E5002F" w:rsidRPr="00E546C7" w:rsidRDefault="00E5002F" w:rsidP="00851BEF">
      <w:pPr>
        <w:rPr>
          <w:lang w:val="en-US" w:bidi="bn-IN"/>
        </w:rPr>
      </w:pPr>
      <w:r w:rsidRPr="00E546C7">
        <w:rPr>
          <w:lang w:bidi="bn-IN"/>
        </w:rPr>
        <w:t>McLean, G., Osei-Frimpong, K., Al-</w:t>
      </w:r>
      <w:proofErr w:type="spellStart"/>
      <w:r w:rsidRPr="00E546C7">
        <w:rPr>
          <w:lang w:bidi="bn-IN"/>
        </w:rPr>
        <w:t>Nabhani</w:t>
      </w:r>
      <w:proofErr w:type="spellEnd"/>
      <w:r w:rsidRPr="00E546C7">
        <w:rPr>
          <w:lang w:bidi="bn-IN"/>
        </w:rPr>
        <w:t>, K. and Marriott, H. (2020) “Examining consumer attitudes towards retailers’ m-commerce mobile applications – An initial adoption vs. continuous use perspective,” </w:t>
      </w:r>
      <w:r w:rsidRPr="00E546C7">
        <w:rPr>
          <w:i/>
          <w:iCs/>
          <w:lang w:bidi="bn-IN"/>
        </w:rPr>
        <w:t>Journal of Business Research</w:t>
      </w:r>
      <w:r w:rsidRPr="00E546C7">
        <w:rPr>
          <w:lang w:bidi="bn-IN"/>
        </w:rPr>
        <w:t xml:space="preserve">, 106, pp. 139–157. Available at: </w:t>
      </w:r>
      <w:hyperlink r:id="rId53" w:history="1">
        <w:r w:rsidRPr="00E546C7">
          <w:rPr>
            <w:rStyle w:val="Hyperlink"/>
            <w:lang w:bidi="bn-IN"/>
          </w:rPr>
          <w:t>https://doi.org/10.1016/j.jbusres.2019.08.032</w:t>
        </w:r>
      </w:hyperlink>
      <w:r w:rsidRPr="00E546C7">
        <w:rPr>
          <w:lang w:bidi="bn-IN"/>
        </w:rPr>
        <w:t>.</w:t>
      </w:r>
      <w:r w:rsidRPr="00E546C7">
        <w:rPr>
          <w:lang w:val="en-US" w:bidi="bn-IN"/>
        </w:rPr>
        <w:t xml:space="preserve"> </w:t>
      </w:r>
    </w:p>
    <w:p w14:paraId="0CB797CD" w14:textId="77777777" w:rsidR="00E5002F" w:rsidRPr="00E546C7" w:rsidRDefault="00E5002F" w:rsidP="00851BEF">
      <w:pPr>
        <w:rPr>
          <w:lang w:val="en-US" w:bidi="bn-IN"/>
        </w:rPr>
      </w:pPr>
      <w:r w:rsidRPr="00E546C7">
        <w:rPr>
          <w:lang w:bidi="bn-IN"/>
        </w:rPr>
        <w:t xml:space="preserve">Mills, M., </w:t>
      </w:r>
      <w:proofErr w:type="spellStart"/>
      <w:r w:rsidRPr="00E546C7">
        <w:rPr>
          <w:lang w:bidi="bn-IN"/>
        </w:rPr>
        <w:t>Oghazi</w:t>
      </w:r>
      <w:proofErr w:type="spellEnd"/>
      <w:r w:rsidRPr="00E546C7">
        <w:rPr>
          <w:lang w:bidi="bn-IN"/>
        </w:rPr>
        <w:t xml:space="preserve">, P., </w:t>
      </w:r>
      <w:proofErr w:type="spellStart"/>
      <w:r w:rsidRPr="00E546C7">
        <w:rPr>
          <w:lang w:bidi="bn-IN"/>
        </w:rPr>
        <w:t>Hultman</w:t>
      </w:r>
      <w:proofErr w:type="spellEnd"/>
      <w:r w:rsidRPr="00E546C7">
        <w:rPr>
          <w:lang w:bidi="bn-IN"/>
        </w:rPr>
        <w:t xml:space="preserve">, M. and </w:t>
      </w:r>
      <w:proofErr w:type="spellStart"/>
      <w:r w:rsidRPr="00E546C7">
        <w:rPr>
          <w:lang w:bidi="bn-IN"/>
        </w:rPr>
        <w:t>Theotokis</w:t>
      </w:r>
      <w:proofErr w:type="spellEnd"/>
      <w:r w:rsidRPr="00E546C7">
        <w:rPr>
          <w:lang w:bidi="bn-IN"/>
        </w:rPr>
        <w:t>, A. (2022) “The impact of brand communities on public and private brand loyalty: A field study in professional sports,” </w:t>
      </w:r>
      <w:r w:rsidRPr="00E546C7">
        <w:rPr>
          <w:i/>
          <w:iCs/>
          <w:lang w:bidi="bn-IN"/>
        </w:rPr>
        <w:t>Journal of Business Research</w:t>
      </w:r>
      <w:r w:rsidRPr="00E546C7">
        <w:rPr>
          <w:lang w:bidi="bn-IN"/>
        </w:rPr>
        <w:t xml:space="preserve">, 144, pp. 1077–1086. Available at: </w:t>
      </w:r>
      <w:hyperlink r:id="rId54" w:history="1">
        <w:r w:rsidRPr="00E546C7">
          <w:rPr>
            <w:rStyle w:val="Hyperlink"/>
            <w:lang w:bidi="bn-IN"/>
          </w:rPr>
          <w:t>https://doi.org/10.1016/j.jbusres.2022.02.056</w:t>
        </w:r>
      </w:hyperlink>
      <w:r w:rsidRPr="00E546C7">
        <w:rPr>
          <w:lang w:bidi="bn-IN"/>
        </w:rPr>
        <w:t>.</w:t>
      </w:r>
      <w:r w:rsidRPr="00E546C7">
        <w:rPr>
          <w:lang w:val="en-US" w:bidi="bn-IN"/>
        </w:rPr>
        <w:t xml:space="preserve"> </w:t>
      </w:r>
    </w:p>
    <w:p w14:paraId="7A473E67" w14:textId="77777777" w:rsidR="00E5002F" w:rsidRPr="00E546C7" w:rsidRDefault="00E5002F" w:rsidP="00851BEF">
      <w:pPr>
        <w:rPr>
          <w:lang w:bidi="bn-IN"/>
        </w:rPr>
      </w:pPr>
      <w:proofErr w:type="spellStart"/>
      <w:r w:rsidRPr="00E546C7">
        <w:rPr>
          <w:lang w:bidi="bn-IN"/>
        </w:rPr>
        <w:t>Momen</w:t>
      </w:r>
      <w:proofErr w:type="spellEnd"/>
      <w:r w:rsidRPr="00E546C7">
        <w:rPr>
          <w:lang w:bidi="bn-IN"/>
        </w:rPr>
        <w:t xml:space="preserve">, </w:t>
      </w:r>
      <w:proofErr w:type="spellStart"/>
      <w:r w:rsidRPr="00E546C7">
        <w:rPr>
          <w:lang w:bidi="bn-IN"/>
        </w:rPr>
        <w:t>Md.A</w:t>
      </w:r>
      <w:proofErr w:type="spellEnd"/>
      <w:r w:rsidRPr="00E546C7">
        <w:rPr>
          <w:lang w:bidi="bn-IN"/>
        </w:rPr>
        <w:t>., Sultana, S. and Haque, A.K.M.A. (2020) ‘Web-based marketing communication to develop brand image and brand equity of higher educational institutions’, </w:t>
      </w:r>
      <w:r w:rsidRPr="00E546C7">
        <w:rPr>
          <w:i/>
          <w:iCs/>
          <w:lang w:bidi="bn-IN"/>
        </w:rPr>
        <w:t>Global Knowledge, Memory and Communication</w:t>
      </w:r>
      <w:r w:rsidRPr="00E546C7">
        <w:rPr>
          <w:lang w:bidi="bn-IN"/>
        </w:rPr>
        <w:t xml:space="preserve">, 69(3), pp. 151–169. Available at: </w:t>
      </w:r>
      <w:hyperlink r:id="rId55" w:history="1">
        <w:r w:rsidRPr="00E546C7">
          <w:rPr>
            <w:rStyle w:val="Hyperlink"/>
            <w:kern w:val="0"/>
            <w:szCs w:val="24"/>
            <w:lang w:bidi="bn-IN"/>
            <w14:ligatures w14:val="none"/>
          </w:rPr>
          <w:t>https://doi.org/10.1108/gkmc-10-2018-0088</w:t>
        </w:r>
      </w:hyperlink>
      <w:r w:rsidRPr="00E546C7">
        <w:rPr>
          <w:lang w:bidi="bn-IN"/>
        </w:rPr>
        <w:t xml:space="preserve">. </w:t>
      </w:r>
    </w:p>
    <w:p w14:paraId="1A31F8B2" w14:textId="77777777" w:rsidR="00E5002F" w:rsidRPr="00E546C7" w:rsidRDefault="00E5002F" w:rsidP="00851BEF">
      <w:r w:rsidRPr="00E546C7">
        <w:t>Ofcom (2025)</w:t>
      </w:r>
      <w:r w:rsidRPr="00E546C7">
        <w:rPr>
          <w:rStyle w:val="apple-converted-space"/>
          <w:color w:val="000000"/>
        </w:rPr>
        <w:t> </w:t>
      </w:r>
      <w:r w:rsidRPr="00E546C7">
        <w:rPr>
          <w:i/>
          <w:iCs/>
        </w:rPr>
        <w:t>Online nation</w:t>
      </w:r>
      <w:r w:rsidRPr="00E546C7">
        <w:t>,</w:t>
      </w:r>
      <w:r w:rsidRPr="00E546C7">
        <w:rPr>
          <w:rStyle w:val="apple-converted-space"/>
          <w:color w:val="000000"/>
        </w:rPr>
        <w:t> </w:t>
      </w:r>
      <w:r w:rsidRPr="00E546C7">
        <w:rPr>
          <w:i/>
          <w:iCs/>
        </w:rPr>
        <w:t>www.ofcom.org.uk</w:t>
      </w:r>
      <w:r w:rsidRPr="00E546C7">
        <w:t xml:space="preserve">. London: Ofcom. Available at: </w:t>
      </w:r>
      <w:hyperlink r:id="rId56" w:history="1">
        <w:r w:rsidRPr="00E546C7">
          <w:rPr>
            <w:rStyle w:val="Hyperlink"/>
          </w:rPr>
          <w:t>https://www.ofcom.org.uk/media-use-and-attitudes/online-habits/online-nation</w:t>
        </w:r>
      </w:hyperlink>
      <w:r w:rsidRPr="00E546C7">
        <w:t xml:space="preserve"> (Accessed: 9 August 2026).</w:t>
      </w:r>
    </w:p>
    <w:p w14:paraId="0A1E8123" w14:textId="77777777" w:rsidR="00E5002F" w:rsidRPr="00E546C7" w:rsidRDefault="00E5002F" w:rsidP="00851BEF">
      <w:pPr>
        <w:rPr>
          <w:lang w:bidi="bn-IN"/>
        </w:rPr>
      </w:pPr>
      <w:r w:rsidRPr="00E546C7">
        <w:rPr>
          <w:lang w:bidi="bn-IN"/>
        </w:rPr>
        <w:t xml:space="preserve">Pimentel, P.C., Gomes, P.M.L. and </w:t>
      </w:r>
      <w:proofErr w:type="spellStart"/>
      <w:r w:rsidRPr="00E546C7">
        <w:rPr>
          <w:lang w:bidi="bn-IN"/>
        </w:rPr>
        <w:t>Didonet</w:t>
      </w:r>
      <w:proofErr w:type="spellEnd"/>
      <w:r w:rsidRPr="00E546C7">
        <w:rPr>
          <w:lang w:bidi="bn-IN"/>
        </w:rPr>
        <w:t>, S.R. (2023) ‘Dealing with Integrated Marketing Communications’ Paradoxes in Social Ventures’, </w:t>
      </w:r>
      <w:r w:rsidRPr="00E546C7">
        <w:rPr>
          <w:i/>
          <w:iCs/>
          <w:lang w:bidi="bn-IN"/>
        </w:rPr>
        <w:t xml:space="preserve">Journal of </w:t>
      </w:r>
      <w:proofErr w:type="spellStart"/>
      <w:r w:rsidRPr="00E546C7">
        <w:rPr>
          <w:i/>
          <w:iCs/>
          <w:lang w:bidi="bn-IN"/>
        </w:rPr>
        <w:t>Nonprofit</w:t>
      </w:r>
      <w:proofErr w:type="spellEnd"/>
      <w:r w:rsidRPr="00E546C7">
        <w:rPr>
          <w:i/>
          <w:iCs/>
          <w:lang w:bidi="bn-IN"/>
        </w:rPr>
        <w:t xml:space="preserve"> &amp; Public Sector Marketing</w:t>
      </w:r>
      <w:r w:rsidRPr="00E546C7">
        <w:rPr>
          <w:lang w:bidi="bn-IN"/>
        </w:rPr>
        <w:t xml:space="preserve">, 35(4), pp. 1–37. Available at: </w:t>
      </w:r>
      <w:hyperlink r:id="rId57" w:history="1">
        <w:r w:rsidRPr="00E546C7">
          <w:rPr>
            <w:rStyle w:val="Hyperlink"/>
            <w:kern w:val="0"/>
            <w:szCs w:val="24"/>
            <w:lang w:bidi="bn-IN"/>
            <w14:ligatures w14:val="none"/>
          </w:rPr>
          <w:t>https://doi.org/10.1080/10495142.2021.1954130</w:t>
        </w:r>
      </w:hyperlink>
      <w:r w:rsidRPr="00E546C7">
        <w:rPr>
          <w:lang w:bidi="bn-IN"/>
        </w:rPr>
        <w:t xml:space="preserve">. </w:t>
      </w:r>
    </w:p>
    <w:p w14:paraId="4F4CBF3B" w14:textId="77777777" w:rsidR="00E5002F" w:rsidRPr="00E546C7" w:rsidRDefault="00E5002F" w:rsidP="000F016C">
      <w:pPr>
        <w:rPr>
          <w:lang w:val="en-US" w:bidi="bn-IN"/>
        </w:rPr>
      </w:pPr>
      <w:r w:rsidRPr="00E546C7">
        <w:rPr>
          <w:lang w:bidi="bn-IN"/>
        </w:rPr>
        <w:t>Pisicchio, A.C. and Toaldo, A.M.M. (2021) ‘Integrated Marketing communication in hospitality SMEs: Analyzing the antecedent role of innovation orientation and the effect on market performance’, </w:t>
      </w:r>
      <w:r w:rsidRPr="00E546C7">
        <w:rPr>
          <w:i/>
          <w:iCs/>
          <w:lang w:bidi="bn-IN"/>
        </w:rPr>
        <w:t>Journal of Marketing Communications</w:t>
      </w:r>
      <w:r w:rsidRPr="00E546C7">
        <w:rPr>
          <w:lang w:bidi="bn-IN"/>
        </w:rPr>
        <w:t xml:space="preserve">, 27(7), pp. 1–20. Available at: </w:t>
      </w:r>
      <w:hyperlink r:id="rId58" w:history="1">
        <w:r w:rsidRPr="00E546C7">
          <w:rPr>
            <w:rStyle w:val="Hyperlink"/>
            <w:lang w:bidi="bn-IN"/>
          </w:rPr>
          <w:t>https://doi.org/10.1080/13527266.2020.1759121</w:t>
        </w:r>
      </w:hyperlink>
      <w:r w:rsidRPr="00E546C7">
        <w:rPr>
          <w:lang w:bidi="bn-IN"/>
        </w:rPr>
        <w:t>.</w:t>
      </w:r>
      <w:r w:rsidRPr="00E546C7">
        <w:rPr>
          <w:lang w:val="en-US" w:bidi="bn-IN"/>
        </w:rPr>
        <w:t xml:space="preserve"> </w:t>
      </w:r>
    </w:p>
    <w:p w14:paraId="4E511805" w14:textId="77777777" w:rsidR="00E5002F" w:rsidRPr="00E546C7" w:rsidRDefault="00E5002F" w:rsidP="000F016C">
      <w:pPr>
        <w:rPr>
          <w:lang w:val="en-US" w:bidi="bn-IN"/>
        </w:rPr>
      </w:pPr>
      <w:r w:rsidRPr="00E546C7">
        <w:rPr>
          <w:lang w:bidi="bn-IN"/>
        </w:rPr>
        <w:t>Porcu, L. and Del Barrio-García, S. (2022) ‘Introduction to the special issue ”Omni-channel communication: Delivering unified communications across all branded touch-points”’, </w:t>
      </w:r>
      <w:r w:rsidRPr="00E546C7">
        <w:rPr>
          <w:i/>
          <w:iCs/>
          <w:lang w:bidi="bn-IN"/>
        </w:rPr>
        <w:t>Journal of Marketing Communications</w:t>
      </w:r>
      <w:r w:rsidRPr="00E546C7">
        <w:rPr>
          <w:lang w:bidi="bn-IN"/>
        </w:rPr>
        <w:t xml:space="preserve">, 28(5), pp. 1–4. Available at: </w:t>
      </w:r>
      <w:hyperlink r:id="rId59" w:history="1">
        <w:r w:rsidRPr="00E546C7">
          <w:rPr>
            <w:rStyle w:val="Hyperlink"/>
            <w:lang w:bidi="bn-IN"/>
          </w:rPr>
          <w:t>https://doi.org/10.1080/13527266.2022.2097297</w:t>
        </w:r>
      </w:hyperlink>
      <w:r w:rsidRPr="00E546C7">
        <w:rPr>
          <w:lang w:bidi="bn-IN"/>
        </w:rPr>
        <w:t>.</w:t>
      </w:r>
      <w:r w:rsidRPr="00E546C7">
        <w:rPr>
          <w:lang w:val="en-US" w:bidi="bn-IN"/>
        </w:rPr>
        <w:t xml:space="preserve"> </w:t>
      </w:r>
    </w:p>
    <w:p w14:paraId="18134CA3" w14:textId="77777777" w:rsidR="00E5002F" w:rsidRPr="00E546C7" w:rsidRDefault="00E5002F" w:rsidP="000F016C">
      <w:pPr>
        <w:rPr>
          <w:lang w:val="en-US" w:bidi="bn-IN"/>
        </w:rPr>
      </w:pPr>
      <w:r w:rsidRPr="00E546C7">
        <w:rPr>
          <w:lang w:bidi="bn-IN"/>
        </w:rPr>
        <w:t>Porcu, L., del Barrio-García, S., Kitchen, P.J. and Tourky, M. (2020) ‘The antecedent role of a collaborative vs. a controlling corporate culture on firm-wide integrated marketing communication and brand performance’, </w:t>
      </w:r>
      <w:r w:rsidRPr="00E546C7">
        <w:rPr>
          <w:i/>
          <w:iCs/>
          <w:lang w:bidi="bn-IN"/>
        </w:rPr>
        <w:t>Journal of Business Research</w:t>
      </w:r>
      <w:r w:rsidRPr="00E546C7">
        <w:rPr>
          <w:lang w:bidi="bn-IN"/>
        </w:rPr>
        <w:t xml:space="preserve">, 119, pp. 435–443. Available at: </w:t>
      </w:r>
      <w:hyperlink r:id="rId60" w:history="1">
        <w:r w:rsidRPr="00E546C7">
          <w:rPr>
            <w:rStyle w:val="Hyperlink"/>
            <w:lang w:bidi="bn-IN"/>
          </w:rPr>
          <w:t>https://doi.org/10.1016/j.jbusres.2019.10.049</w:t>
        </w:r>
      </w:hyperlink>
      <w:r w:rsidRPr="00E546C7">
        <w:rPr>
          <w:lang w:bidi="bn-IN"/>
        </w:rPr>
        <w:t>.</w:t>
      </w:r>
      <w:r w:rsidRPr="00E546C7">
        <w:rPr>
          <w:lang w:val="en-US" w:bidi="bn-IN"/>
        </w:rPr>
        <w:t xml:space="preserve"> </w:t>
      </w:r>
    </w:p>
    <w:p w14:paraId="376FD45E" w14:textId="77777777" w:rsidR="00E5002F" w:rsidRPr="00E546C7" w:rsidRDefault="00E5002F" w:rsidP="00851BEF">
      <w:pPr>
        <w:rPr>
          <w:lang w:val="en-US" w:bidi="bn-IN"/>
        </w:rPr>
      </w:pPr>
      <w:proofErr w:type="spellStart"/>
      <w:r w:rsidRPr="00E546C7">
        <w:rPr>
          <w:lang w:bidi="bn-IN"/>
        </w:rPr>
        <w:t>Pourazad</w:t>
      </w:r>
      <w:proofErr w:type="spellEnd"/>
      <w:r w:rsidRPr="00E546C7">
        <w:rPr>
          <w:lang w:bidi="bn-IN"/>
        </w:rPr>
        <w:t xml:space="preserve">, N., </w:t>
      </w:r>
      <w:proofErr w:type="spellStart"/>
      <w:r w:rsidRPr="00E546C7">
        <w:rPr>
          <w:lang w:bidi="bn-IN"/>
        </w:rPr>
        <w:t>Stocchi</w:t>
      </w:r>
      <w:proofErr w:type="spellEnd"/>
      <w:r w:rsidRPr="00E546C7">
        <w:rPr>
          <w:lang w:bidi="bn-IN"/>
        </w:rPr>
        <w:t>, L. and Pare, V. (2020) “The Power of Brand Passion in Sports Apparel Brands,” </w:t>
      </w:r>
      <w:r w:rsidRPr="00E546C7">
        <w:rPr>
          <w:i/>
          <w:iCs/>
          <w:lang w:bidi="bn-IN"/>
        </w:rPr>
        <w:t>Journal of Product &amp; Brand Management</w:t>
      </w:r>
      <w:r w:rsidRPr="00E546C7">
        <w:rPr>
          <w:lang w:bidi="bn-IN"/>
        </w:rPr>
        <w:t xml:space="preserve">, 29(5), pp. 547–568. Available at: </w:t>
      </w:r>
      <w:hyperlink r:id="rId61" w:history="1">
        <w:r w:rsidRPr="00E546C7">
          <w:rPr>
            <w:rStyle w:val="Hyperlink"/>
            <w:lang w:bidi="bn-IN"/>
          </w:rPr>
          <w:t>https://doi.org/10.1108/jpbm-12-2018-2164</w:t>
        </w:r>
      </w:hyperlink>
      <w:r w:rsidRPr="00E546C7">
        <w:rPr>
          <w:lang w:bidi="bn-IN"/>
        </w:rPr>
        <w:t>.</w:t>
      </w:r>
      <w:r w:rsidRPr="00E546C7">
        <w:rPr>
          <w:lang w:val="en-US" w:bidi="bn-IN"/>
        </w:rPr>
        <w:t xml:space="preserve"> </w:t>
      </w:r>
    </w:p>
    <w:p w14:paraId="5832FB1B" w14:textId="77777777" w:rsidR="00E5002F" w:rsidRPr="00E546C7" w:rsidRDefault="00E5002F" w:rsidP="00851BEF">
      <w:pPr>
        <w:rPr>
          <w:lang w:val="en-US" w:bidi="bn-IN"/>
        </w:rPr>
      </w:pPr>
      <w:r w:rsidRPr="00E546C7">
        <w:rPr>
          <w:lang w:bidi="bn-IN"/>
        </w:rPr>
        <w:t xml:space="preserve">Ragab, M.A. and </w:t>
      </w:r>
      <w:proofErr w:type="spellStart"/>
      <w:r w:rsidRPr="00E546C7">
        <w:rPr>
          <w:lang w:bidi="bn-IN"/>
        </w:rPr>
        <w:t>Arisha</w:t>
      </w:r>
      <w:proofErr w:type="spellEnd"/>
      <w:r w:rsidRPr="00E546C7">
        <w:rPr>
          <w:lang w:bidi="bn-IN"/>
        </w:rPr>
        <w:t xml:space="preserve">, A. (2017) ‘Research Methodology in Business: a Starter’s Guide’, </w:t>
      </w:r>
      <w:r w:rsidRPr="00E546C7">
        <w:rPr>
          <w:i/>
          <w:iCs/>
          <w:lang w:bidi="bn-IN"/>
        </w:rPr>
        <w:t>Management and Organizational Studies</w:t>
      </w:r>
      <w:r w:rsidRPr="00E546C7">
        <w:rPr>
          <w:lang w:bidi="bn-IN"/>
        </w:rPr>
        <w:t xml:space="preserve">, 5(1), p. 1. Available at: </w:t>
      </w:r>
      <w:hyperlink r:id="rId62" w:history="1">
        <w:r w:rsidRPr="00E546C7">
          <w:rPr>
            <w:rStyle w:val="Hyperlink"/>
            <w:lang w:bidi="bn-IN"/>
          </w:rPr>
          <w:t>https://doi.org/10.5430/mos.v5n1p1</w:t>
        </w:r>
      </w:hyperlink>
      <w:r w:rsidRPr="00E546C7">
        <w:rPr>
          <w:lang w:bidi="bn-IN"/>
        </w:rPr>
        <w:t>.</w:t>
      </w:r>
      <w:r w:rsidRPr="00E546C7">
        <w:rPr>
          <w:lang w:val="en-US" w:bidi="bn-IN"/>
        </w:rPr>
        <w:t xml:space="preserve"> </w:t>
      </w:r>
    </w:p>
    <w:p w14:paraId="36D8164C" w14:textId="77777777" w:rsidR="00E5002F" w:rsidRPr="00E546C7" w:rsidRDefault="00E5002F" w:rsidP="00851BEF">
      <w:pPr>
        <w:rPr>
          <w:lang w:val="en-US" w:bidi="bn-IN"/>
        </w:rPr>
      </w:pPr>
      <w:r w:rsidRPr="00E546C7">
        <w:rPr>
          <w:lang w:bidi="bn-IN"/>
        </w:rPr>
        <w:t xml:space="preserve">Rai, J.S., Yousaf, A., </w:t>
      </w:r>
      <w:proofErr w:type="spellStart"/>
      <w:r w:rsidRPr="00E546C7">
        <w:rPr>
          <w:lang w:bidi="bn-IN"/>
        </w:rPr>
        <w:t>Itani</w:t>
      </w:r>
      <w:proofErr w:type="spellEnd"/>
      <w:r w:rsidRPr="00E546C7">
        <w:rPr>
          <w:lang w:bidi="bn-IN"/>
        </w:rPr>
        <w:t>, M.N. and Singh, A. (2021) “Sports celebrity personality and purchase intention: The role of endorser-brand congruence, brand credibility and brand image transfer,” </w:t>
      </w:r>
      <w:r w:rsidRPr="00E546C7">
        <w:rPr>
          <w:i/>
          <w:iCs/>
          <w:lang w:bidi="bn-IN"/>
        </w:rPr>
        <w:t>Sport, Business and Management: An International Journal</w:t>
      </w:r>
      <w:r w:rsidRPr="00E546C7">
        <w:rPr>
          <w:lang w:bidi="bn-IN"/>
        </w:rPr>
        <w:t xml:space="preserve">, 11(3). Available at: </w:t>
      </w:r>
      <w:hyperlink r:id="rId63" w:history="1">
        <w:r w:rsidRPr="00E546C7">
          <w:rPr>
            <w:rStyle w:val="Hyperlink"/>
            <w:lang w:bidi="bn-IN"/>
          </w:rPr>
          <w:t>https://doi.org/10.1108/sbm-06-2020-0062</w:t>
        </w:r>
      </w:hyperlink>
      <w:r w:rsidRPr="00E546C7">
        <w:rPr>
          <w:lang w:bidi="bn-IN"/>
        </w:rPr>
        <w:t>.</w:t>
      </w:r>
      <w:r w:rsidRPr="00E546C7">
        <w:rPr>
          <w:lang w:val="en-US" w:bidi="bn-IN"/>
        </w:rPr>
        <w:t xml:space="preserve"> </w:t>
      </w:r>
    </w:p>
    <w:p w14:paraId="1ADC3322" w14:textId="77777777" w:rsidR="00E5002F" w:rsidRPr="00E546C7" w:rsidRDefault="00E5002F" w:rsidP="00851BEF">
      <w:pPr>
        <w:rPr>
          <w:lang w:val="en-US" w:bidi="bn-IN"/>
        </w:rPr>
      </w:pPr>
      <w:r w:rsidRPr="00E546C7">
        <w:rPr>
          <w:lang w:bidi="bn-IN"/>
        </w:rPr>
        <w:t>Rehman, S., Gulzar, R. and Aslam, W. (2022) “Developing the Integrated Marketing Communication (IMC) through Social Media (SM): The Modern Marketing Communication Approach,” </w:t>
      </w:r>
      <w:r w:rsidRPr="00E546C7">
        <w:rPr>
          <w:i/>
          <w:iCs/>
          <w:lang w:bidi="bn-IN"/>
        </w:rPr>
        <w:t>SAGE Open</w:t>
      </w:r>
      <w:r w:rsidRPr="00E546C7">
        <w:rPr>
          <w:lang w:bidi="bn-IN"/>
        </w:rPr>
        <w:t xml:space="preserve">, 12(2), pp. 1–23. Available at: </w:t>
      </w:r>
      <w:hyperlink r:id="rId64" w:history="1">
        <w:r w:rsidRPr="00E546C7">
          <w:rPr>
            <w:rStyle w:val="Hyperlink"/>
            <w:lang w:bidi="bn-IN"/>
          </w:rPr>
          <w:t>https://doi.org/https://doi.org/10.1177/21582440221099936</w:t>
        </w:r>
      </w:hyperlink>
      <w:r w:rsidRPr="00E546C7">
        <w:rPr>
          <w:lang w:bidi="bn-IN"/>
        </w:rPr>
        <w:t>.</w:t>
      </w:r>
      <w:r w:rsidRPr="00E546C7">
        <w:rPr>
          <w:lang w:val="en-US" w:bidi="bn-IN"/>
        </w:rPr>
        <w:t xml:space="preserve"> </w:t>
      </w:r>
    </w:p>
    <w:p w14:paraId="0CA26ACF" w14:textId="77777777" w:rsidR="00E5002F" w:rsidRPr="00E546C7" w:rsidRDefault="00E5002F" w:rsidP="00851BEF">
      <w:proofErr w:type="spellStart"/>
      <w:r w:rsidRPr="00E546C7">
        <w:t>Rehman</w:t>
      </w:r>
      <w:proofErr w:type="spellEnd"/>
      <w:r w:rsidRPr="00E546C7">
        <w:t xml:space="preserve">, </w:t>
      </w:r>
      <w:proofErr w:type="spellStart"/>
      <w:r w:rsidRPr="00E546C7">
        <w:t>S.u</w:t>
      </w:r>
      <w:proofErr w:type="spellEnd"/>
      <w:r w:rsidRPr="00E546C7">
        <w:t>., Gulzar, R. and Aslam, W. (2022) 'Developing the integrated marketing communication (IMC) through social media (SM): The modern marketing communication approach',</w:t>
      </w:r>
      <w:r w:rsidRPr="00E546C7">
        <w:rPr>
          <w:rStyle w:val="apple-converted-space"/>
          <w:color w:val="000000"/>
          <w:sz w:val="21"/>
          <w:szCs w:val="21"/>
        </w:rPr>
        <w:t> </w:t>
      </w:r>
      <w:r w:rsidRPr="00E546C7">
        <w:rPr>
          <w:i/>
          <w:iCs/>
        </w:rPr>
        <w:t>SAGE Open,</w:t>
      </w:r>
      <w:r w:rsidRPr="00E546C7">
        <w:rPr>
          <w:rStyle w:val="apple-converted-space"/>
          <w:color w:val="000000"/>
          <w:sz w:val="21"/>
          <w:szCs w:val="21"/>
        </w:rPr>
        <w:t> </w:t>
      </w:r>
      <w:r w:rsidRPr="00E546C7">
        <w:t>12(2) Available at:</w:t>
      </w:r>
      <w:r w:rsidRPr="00E546C7">
        <w:rPr>
          <w:rStyle w:val="apple-converted-space"/>
          <w:color w:val="000000"/>
          <w:sz w:val="21"/>
          <w:szCs w:val="21"/>
        </w:rPr>
        <w:t> </w:t>
      </w:r>
      <w:hyperlink r:id="rId65" w:tgtFrame="_blank" w:history="1">
        <w:r w:rsidRPr="00E546C7">
          <w:rPr>
            <w:rStyle w:val="Hyperlink"/>
            <w:color w:val="0066CC"/>
            <w:sz w:val="21"/>
            <w:szCs w:val="21"/>
          </w:rPr>
          <w:t>https://doi.org/10.1177/21582440221099936</w:t>
        </w:r>
      </w:hyperlink>
      <w:r w:rsidRPr="00E546C7">
        <w:t>.</w:t>
      </w:r>
    </w:p>
    <w:p w14:paraId="4DE8374D" w14:textId="77777777" w:rsidR="00E5002F" w:rsidRPr="00E546C7" w:rsidRDefault="00E5002F" w:rsidP="000F016C">
      <w:pPr>
        <w:rPr>
          <w:lang w:val="en-US" w:bidi="bn-IN"/>
        </w:rPr>
      </w:pPr>
      <w:r w:rsidRPr="00E546C7">
        <w:rPr>
          <w:lang w:bidi="bn-IN"/>
        </w:rPr>
        <w:t>Salvietti, G., Ieva, M. and Ziliani, C. (2025) ‘Driving Channel Integration Perception in omnichannel environments: The role of touchpoints’, </w:t>
      </w:r>
      <w:r w:rsidRPr="00E546C7">
        <w:rPr>
          <w:i/>
          <w:iCs/>
          <w:lang w:bidi="bn-IN"/>
        </w:rPr>
        <w:t>Journal of Product &amp; Brand Management</w:t>
      </w:r>
      <w:r w:rsidRPr="00E546C7">
        <w:rPr>
          <w:lang w:bidi="bn-IN"/>
        </w:rPr>
        <w:t xml:space="preserve">, 34(1), pp. 6–20. Available at: </w:t>
      </w:r>
      <w:hyperlink r:id="rId66" w:history="1">
        <w:r w:rsidRPr="00E546C7">
          <w:rPr>
            <w:rStyle w:val="Hyperlink"/>
            <w:lang w:bidi="bn-IN"/>
          </w:rPr>
          <w:t>https://doi.org/10.1108/jpbm-12-2023-4873</w:t>
        </w:r>
      </w:hyperlink>
      <w:r w:rsidRPr="00E546C7">
        <w:rPr>
          <w:lang w:bidi="bn-IN"/>
        </w:rPr>
        <w:t>.</w:t>
      </w:r>
      <w:r w:rsidRPr="00E546C7">
        <w:rPr>
          <w:lang w:val="en-US" w:bidi="bn-IN"/>
        </w:rPr>
        <w:t xml:space="preserve"> </w:t>
      </w:r>
    </w:p>
    <w:p w14:paraId="609E7656" w14:textId="77777777" w:rsidR="00E5002F" w:rsidRPr="00E546C7" w:rsidRDefault="00E5002F" w:rsidP="00E36DEB">
      <w:pPr>
        <w:rPr>
          <w:lang w:bidi="bn-IN"/>
        </w:rPr>
      </w:pPr>
      <w:r w:rsidRPr="00E546C7">
        <w:rPr>
          <w:lang w:bidi="bn-IN"/>
        </w:rPr>
        <w:t>Saunders, M.N.K., Lewis, P. &amp; Thornhill, A. (2023) Research Methods for Business Students (9th ed.). Pearson. </w:t>
      </w:r>
    </w:p>
    <w:p w14:paraId="3A2EBAA0" w14:textId="77777777" w:rsidR="00E5002F" w:rsidRPr="00E546C7" w:rsidRDefault="00E5002F" w:rsidP="00851BEF">
      <w:pPr>
        <w:rPr>
          <w:color w:val="000000" w:themeColor="text1"/>
        </w:rPr>
      </w:pPr>
      <w:r w:rsidRPr="00E546C7">
        <w:rPr>
          <w:color w:val="000000" w:themeColor="text1"/>
        </w:rPr>
        <w:t xml:space="preserve">Schiffman, L.G. and </w:t>
      </w:r>
      <w:proofErr w:type="spellStart"/>
      <w:r w:rsidRPr="00E546C7">
        <w:rPr>
          <w:color w:val="000000" w:themeColor="text1"/>
        </w:rPr>
        <w:t>Wisenblit</w:t>
      </w:r>
      <w:proofErr w:type="spellEnd"/>
      <w:r w:rsidRPr="00E546C7">
        <w:rPr>
          <w:color w:val="000000" w:themeColor="text1"/>
        </w:rPr>
        <w:t>, J. (2019)</w:t>
      </w:r>
      <w:r w:rsidRPr="00E546C7">
        <w:rPr>
          <w:rStyle w:val="apple-converted-space"/>
          <w:color w:val="000000" w:themeColor="text1"/>
        </w:rPr>
        <w:t> </w:t>
      </w:r>
      <w:r w:rsidRPr="00E546C7">
        <w:rPr>
          <w:rStyle w:val="Emphasis"/>
          <w:color w:val="000000" w:themeColor="text1"/>
        </w:rPr>
        <w:t xml:space="preserve">Consumer </w:t>
      </w:r>
      <w:proofErr w:type="spellStart"/>
      <w:r w:rsidRPr="00E546C7">
        <w:rPr>
          <w:rStyle w:val="Emphasis"/>
          <w:color w:val="000000" w:themeColor="text1"/>
        </w:rPr>
        <w:t>behavior</w:t>
      </w:r>
      <w:proofErr w:type="spellEnd"/>
      <w:r w:rsidRPr="00E546C7">
        <w:rPr>
          <w:color w:val="000000" w:themeColor="text1"/>
        </w:rPr>
        <w:t xml:space="preserve">. 12th </w:t>
      </w:r>
      <w:proofErr w:type="spellStart"/>
      <w:r w:rsidRPr="00E546C7">
        <w:rPr>
          <w:color w:val="000000" w:themeColor="text1"/>
        </w:rPr>
        <w:t>edn</w:t>
      </w:r>
      <w:proofErr w:type="spellEnd"/>
      <w:r w:rsidRPr="00E546C7">
        <w:rPr>
          <w:color w:val="000000" w:themeColor="text1"/>
        </w:rPr>
        <w:t>. Harlow: Pearson.</w:t>
      </w:r>
    </w:p>
    <w:p w14:paraId="2DBA6FDB" w14:textId="77777777" w:rsidR="00E5002F" w:rsidRPr="00E546C7" w:rsidRDefault="00E5002F" w:rsidP="00851BEF">
      <w:pPr>
        <w:rPr>
          <w:color w:val="000000" w:themeColor="text1"/>
        </w:rPr>
      </w:pPr>
      <w:r w:rsidRPr="00E546C7">
        <w:rPr>
          <w:color w:val="000000" w:themeColor="text1"/>
        </w:rPr>
        <w:t>Schramm, W. (1954)</w:t>
      </w:r>
      <w:r w:rsidRPr="00E546C7">
        <w:rPr>
          <w:rStyle w:val="apple-converted-space"/>
          <w:color w:val="000000" w:themeColor="text1"/>
        </w:rPr>
        <w:t> </w:t>
      </w:r>
      <w:r w:rsidRPr="00E546C7">
        <w:rPr>
          <w:rStyle w:val="Emphasis"/>
          <w:color w:val="000000" w:themeColor="text1"/>
        </w:rPr>
        <w:t>The process and effects of mass communication</w:t>
      </w:r>
      <w:r w:rsidRPr="00E546C7">
        <w:rPr>
          <w:color w:val="000000" w:themeColor="text1"/>
        </w:rPr>
        <w:t xml:space="preserve">. Urbana, IL: University of Illinois Press. </w:t>
      </w:r>
    </w:p>
    <w:p w14:paraId="6461F554" w14:textId="77777777" w:rsidR="00E5002F" w:rsidRPr="00E546C7" w:rsidRDefault="00E5002F" w:rsidP="00851BEF">
      <w:pPr>
        <w:rPr>
          <w:lang w:bidi="bn-IN"/>
        </w:rPr>
      </w:pPr>
      <w:proofErr w:type="spellStart"/>
      <w:r w:rsidRPr="00E546C7">
        <w:rPr>
          <w:lang w:bidi="bn-IN"/>
        </w:rPr>
        <w:t>Šerić</w:t>
      </w:r>
      <w:proofErr w:type="spellEnd"/>
      <w:r w:rsidRPr="00E546C7">
        <w:rPr>
          <w:lang w:bidi="bn-IN"/>
        </w:rPr>
        <w:t xml:space="preserve">, M. and </w:t>
      </w:r>
      <w:proofErr w:type="spellStart"/>
      <w:r w:rsidRPr="00E546C7">
        <w:rPr>
          <w:lang w:bidi="bn-IN"/>
        </w:rPr>
        <w:t>Vernuccio</w:t>
      </w:r>
      <w:proofErr w:type="spellEnd"/>
      <w:r w:rsidRPr="00E546C7">
        <w:rPr>
          <w:lang w:bidi="bn-IN"/>
        </w:rPr>
        <w:t>, M. (2020) ‘The impact of IMC consistency and interactivity on city reputation and consumer brand engagement: the moderating effects of gender’, </w:t>
      </w:r>
      <w:r w:rsidRPr="00E546C7">
        <w:rPr>
          <w:i/>
          <w:iCs/>
          <w:lang w:bidi="bn-IN"/>
        </w:rPr>
        <w:t>Current Issues in Tourism</w:t>
      </w:r>
      <w:r w:rsidRPr="00E546C7">
        <w:rPr>
          <w:lang w:bidi="bn-IN"/>
        </w:rPr>
        <w:t xml:space="preserve">, 23(17), pp. 2127–2145. Available at: </w:t>
      </w:r>
      <w:hyperlink r:id="rId67" w:history="1">
        <w:r w:rsidRPr="00E546C7">
          <w:rPr>
            <w:rStyle w:val="Hyperlink"/>
            <w:kern w:val="0"/>
            <w:szCs w:val="24"/>
            <w:lang w:bidi="bn-IN"/>
            <w14:ligatures w14:val="none"/>
          </w:rPr>
          <w:t>https://doi.org/10.1080/13683500.2019.1637403</w:t>
        </w:r>
      </w:hyperlink>
      <w:r w:rsidRPr="00E546C7">
        <w:rPr>
          <w:lang w:bidi="bn-IN"/>
        </w:rPr>
        <w:t xml:space="preserve">. </w:t>
      </w:r>
    </w:p>
    <w:p w14:paraId="1D0D9061" w14:textId="77777777" w:rsidR="00E5002F" w:rsidRPr="00E546C7" w:rsidRDefault="00E5002F" w:rsidP="00851BEF">
      <w:pPr>
        <w:rPr>
          <w:lang w:bidi="bn-IN"/>
        </w:rPr>
      </w:pPr>
      <w:proofErr w:type="spellStart"/>
      <w:r w:rsidRPr="00E546C7">
        <w:rPr>
          <w:lang w:bidi="bn-IN"/>
        </w:rPr>
        <w:t>Šerić</w:t>
      </w:r>
      <w:proofErr w:type="spellEnd"/>
      <w:r w:rsidRPr="00E546C7">
        <w:rPr>
          <w:lang w:bidi="bn-IN"/>
        </w:rPr>
        <w:t xml:space="preserve">, M., </w:t>
      </w:r>
      <w:proofErr w:type="spellStart"/>
      <w:r w:rsidRPr="00E546C7">
        <w:rPr>
          <w:lang w:bidi="bn-IN"/>
        </w:rPr>
        <w:t>Ozretić-Došen</w:t>
      </w:r>
      <w:proofErr w:type="spellEnd"/>
      <w:r w:rsidRPr="00E546C7">
        <w:rPr>
          <w:lang w:bidi="bn-IN"/>
        </w:rPr>
        <w:t xml:space="preserve">, Đ. and </w:t>
      </w:r>
      <w:proofErr w:type="spellStart"/>
      <w:r w:rsidRPr="00E546C7">
        <w:rPr>
          <w:lang w:bidi="bn-IN"/>
        </w:rPr>
        <w:t>Škare</w:t>
      </w:r>
      <w:proofErr w:type="spellEnd"/>
      <w:r w:rsidRPr="00E546C7">
        <w:rPr>
          <w:lang w:bidi="bn-IN"/>
        </w:rPr>
        <w:t>, V. (2020) ‘How can perceived consistency in marketing communications influence customer–brand relationship outcomes?’, </w:t>
      </w:r>
      <w:r w:rsidRPr="00E546C7">
        <w:rPr>
          <w:i/>
          <w:iCs/>
          <w:lang w:bidi="bn-IN"/>
        </w:rPr>
        <w:t>European Management Journal</w:t>
      </w:r>
      <w:r w:rsidRPr="00E546C7">
        <w:rPr>
          <w:lang w:bidi="bn-IN"/>
        </w:rPr>
        <w:t xml:space="preserve">, 38(2), pp. 335–343. Available at: </w:t>
      </w:r>
      <w:hyperlink r:id="rId68" w:history="1">
        <w:r w:rsidRPr="00E546C7">
          <w:rPr>
            <w:rStyle w:val="Hyperlink"/>
            <w:kern w:val="0"/>
            <w:szCs w:val="24"/>
            <w:lang w:bidi="bn-IN"/>
            <w14:ligatures w14:val="none"/>
          </w:rPr>
          <w:t>https://doi.org/10.1016/j.emj.2019.08.011</w:t>
        </w:r>
      </w:hyperlink>
      <w:r w:rsidRPr="00E546C7">
        <w:rPr>
          <w:lang w:bidi="bn-IN"/>
        </w:rPr>
        <w:t xml:space="preserve">. </w:t>
      </w:r>
    </w:p>
    <w:p w14:paraId="2C688C31" w14:textId="77777777" w:rsidR="00E5002F" w:rsidRPr="00E546C7" w:rsidRDefault="00E5002F" w:rsidP="00851BEF">
      <w:pPr>
        <w:rPr>
          <w:color w:val="000000" w:themeColor="text1"/>
        </w:rPr>
      </w:pPr>
      <w:r w:rsidRPr="00E546C7">
        <w:rPr>
          <w:color w:val="000000" w:themeColor="text1"/>
        </w:rPr>
        <w:t>Shannon, C.E. and Weaver, W. (1949)</w:t>
      </w:r>
      <w:r w:rsidRPr="00E546C7">
        <w:rPr>
          <w:rStyle w:val="apple-converted-space"/>
          <w:color w:val="000000" w:themeColor="text1"/>
        </w:rPr>
        <w:t> </w:t>
      </w:r>
      <w:r w:rsidRPr="00E546C7">
        <w:rPr>
          <w:rStyle w:val="Emphasis"/>
          <w:color w:val="000000" w:themeColor="text1"/>
        </w:rPr>
        <w:t>The mathematical theory of communication</w:t>
      </w:r>
      <w:r w:rsidRPr="00E546C7">
        <w:rPr>
          <w:color w:val="000000" w:themeColor="text1"/>
        </w:rPr>
        <w:t>. Urbana, IL: University of Illinois Press.</w:t>
      </w:r>
    </w:p>
    <w:p w14:paraId="41D6FB0F" w14:textId="77777777" w:rsidR="00E5002F" w:rsidRPr="00E546C7" w:rsidRDefault="00E5002F" w:rsidP="00851BEF">
      <w:pPr>
        <w:rPr>
          <w:color w:val="000000"/>
        </w:rPr>
      </w:pPr>
      <w:r w:rsidRPr="00E546C7">
        <w:rPr>
          <w:color w:val="000000"/>
        </w:rPr>
        <w:t xml:space="preserve">Snyder, H. (2019) ‘Literature review as a research methodology: An overview and guidelines’, </w:t>
      </w:r>
      <w:r w:rsidRPr="00E546C7">
        <w:rPr>
          <w:i/>
          <w:iCs/>
          <w:color w:val="000000"/>
        </w:rPr>
        <w:t>Journal of Business Research</w:t>
      </w:r>
      <w:r w:rsidRPr="00E546C7">
        <w:rPr>
          <w:color w:val="000000"/>
        </w:rPr>
        <w:t xml:space="preserve">, 104, pp. 333–339. Available at: </w:t>
      </w:r>
      <w:hyperlink r:id="rId69" w:history="1">
        <w:r w:rsidRPr="00E546C7">
          <w:rPr>
            <w:rStyle w:val="Hyperlink"/>
          </w:rPr>
          <w:t>https://doi.org/10.1016/j.jbusres.2019.07.039</w:t>
        </w:r>
      </w:hyperlink>
      <w:r w:rsidRPr="00E546C7">
        <w:rPr>
          <w:color w:val="000000"/>
        </w:rPr>
        <w:t xml:space="preserve">. </w:t>
      </w:r>
    </w:p>
    <w:p w14:paraId="6F6A3E52" w14:textId="77777777" w:rsidR="00E5002F" w:rsidRPr="00E546C7" w:rsidRDefault="00E5002F" w:rsidP="00851BEF">
      <w:r w:rsidRPr="00E546C7">
        <w:t>Solomon, M.R. and Russell, C.A. (2024)</w:t>
      </w:r>
      <w:r w:rsidRPr="00E546C7">
        <w:rPr>
          <w:rStyle w:val="apple-converted-space"/>
          <w:color w:val="000000"/>
          <w:sz w:val="21"/>
          <w:szCs w:val="21"/>
        </w:rPr>
        <w:t> </w:t>
      </w:r>
      <w:r w:rsidRPr="00E546C7">
        <w:rPr>
          <w:i/>
          <w:iCs/>
        </w:rPr>
        <w:t xml:space="preserve">Consumer </w:t>
      </w:r>
      <w:proofErr w:type="spellStart"/>
      <w:r w:rsidRPr="00E546C7">
        <w:rPr>
          <w:i/>
          <w:iCs/>
        </w:rPr>
        <w:t>behavior</w:t>
      </w:r>
      <w:proofErr w:type="spellEnd"/>
      <w:r w:rsidRPr="00E546C7">
        <w:rPr>
          <w:i/>
          <w:iCs/>
        </w:rPr>
        <w:t xml:space="preserve"> : buying, having, and being.</w:t>
      </w:r>
      <w:r w:rsidRPr="00E546C7">
        <w:rPr>
          <w:rStyle w:val="apple-converted-space"/>
          <w:i/>
          <w:iCs/>
          <w:color w:val="000000"/>
          <w:sz w:val="21"/>
          <w:szCs w:val="21"/>
        </w:rPr>
        <w:t> </w:t>
      </w:r>
      <w:r w:rsidRPr="00E546C7">
        <w:t xml:space="preserve">14th ed., Global ed. / Michael R. Solomon, </w:t>
      </w:r>
      <w:proofErr w:type="spellStart"/>
      <w:r w:rsidRPr="00E546C7">
        <w:t>Cristel</w:t>
      </w:r>
      <w:proofErr w:type="spellEnd"/>
      <w:r w:rsidRPr="00E546C7">
        <w:t xml:space="preserve"> Antonia Russell </w:t>
      </w:r>
      <w:proofErr w:type="spellStart"/>
      <w:r w:rsidRPr="00E546C7">
        <w:t>edn</w:t>
      </w:r>
      <w:proofErr w:type="spellEnd"/>
      <w:r w:rsidRPr="00E546C7">
        <w:t>. Pearson.</w:t>
      </w:r>
    </w:p>
    <w:p w14:paraId="59E5C1C1" w14:textId="77777777" w:rsidR="00E5002F" w:rsidRPr="00E546C7" w:rsidRDefault="00E5002F" w:rsidP="00851BEF">
      <w:r w:rsidRPr="00E546C7">
        <w:t>Srivastava, J., Malik, N., Sethi, D. and Tripathi, S.N. (2025) 'Impact of inclusive marketing communication on brand love and brand attitude',</w:t>
      </w:r>
      <w:r w:rsidRPr="00E546C7">
        <w:rPr>
          <w:rStyle w:val="apple-converted-space"/>
          <w:color w:val="000000"/>
          <w:sz w:val="21"/>
          <w:szCs w:val="21"/>
        </w:rPr>
        <w:t> </w:t>
      </w:r>
      <w:r w:rsidRPr="00E546C7">
        <w:rPr>
          <w:i/>
          <w:iCs/>
        </w:rPr>
        <w:t>Corporate Communications,</w:t>
      </w:r>
      <w:r w:rsidRPr="00E546C7">
        <w:rPr>
          <w:rStyle w:val="apple-converted-space"/>
          <w:color w:val="000000"/>
          <w:sz w:val="21"/>
          <w:szCs w:val="21"/>
        </w:rPr>
        <w:t> </w:t>
      </w:r>
      <w:r w:rsidRPr="00E546C7">
        <w:t>30(5), pp. 795–816. Available at:</w:t>
      </w:r>
      <w:r w:rsidRPr="00E546C7">
        <w:rPr>
          <w:rStyle w:val="apple-converted-space"/>
          <w:color w:val="000000"/>
          <w:sz w:val="21"/>
          <w:szCs w:val="21"/>
        </w:rPr>
        <w:t> </w:t>
      </w:r>
      <w:hyperlink r:id="rId70" w:tgtFrame="_blank" w:history="1">
        <w:r w:rsidRPr="00E546C7">
          <w:rPr>
            <w:rStyle w:val="Hyperlink"/>
            <w:color w:val="0066CC"/>
            <w:sz w:val="21"/>
            <w:szCs w:val="21"/>
          </w:rPr>
          <w:t>https://doi.org/10.1108/CCIJ-02-2024-0021</w:t>
        </w:r>
      </w:hyperlink>
      <w:r w:rsidRPr="00E546C7">
        <w:t>.</w:t>
      </w:r>
    </w:p>
    <w:p w14:paraId="5E46ED97" w14:textId="77777777" w:rsidR="00E5002F" w:rsidRPr="00E546C7" w:rsidRDefault="00E5002F" w:rsidP="00851BEF">
      <w:pPr>
        <w:rPr>
          <w:lang w:val="en-US" w:bidi="bn-IN"/>
        </w:rPr>
      </w:pPr>
      <w:proofErr w:type="spellStart"/>
      <w:r w:rsidRPr="00E546C7">
        <w:rPr>
          <w:lang w:bidi="bn-IN"/>
        </w:rPr>
        <w:t>Suay</w:t>
      </w:r>
      <w:proofErr w:type="spellEnd"/>
      <w:r w:rsidRPr="00E546C7">
        <w:rPr>
          <w:lang w:bidi="bn-IN"/>
        </w:rPr>
        <w:t>-Pérez, F., Penagos-Londoño, G.I., Porcu, L. and Ruiz-Moreno, F. (2022) “Customer perceived integrated marketing communications: A segmentation of the soda market,” </w:t>
      </w:r>
      <w:r w:rsidRPr="00E546C7">
        <w:rPr>
          <w:i/>
          <w:iCs/>
          <w:lang w:bidi="bn-IN"/>
        </w:rPr>
        <w:t>Journal of Marketing Communications</w:t>
      </w:r>
      <w:r w:rsidRPr="00E546C7">
        <w:rPr>
          <w:lang w:bidi="bn-IN"/>
        </w:rPr>
        <w:t xml:space="preserve">, 28(4), pp. 1–17. Available at: </w:t>
      </w:r>
      <w:hyperlink r:id="rId71" w:history="1">
        <w:r w:rsidRPr="00E546C7">
          <w:rPr>
            <w:rStyle w:val="Hyperlink"/>
            <w:lang w:bidi="bn-IN"/>
          </w:rPr>
          <w:t>https://doi.org/10.1080/13527266.2021.1915853</w:t>
        </w:r>
      </w:hyperlink>
      <w:r w:rsidRPr="00E546C7">
        <w:rPr>
          <w:lang w:bidi="bn-IN"/>
        </w:rPr>
        <w:t>.</w:t>
      </w:r>
      <w:r w:rsidRPr="00E546C7">
        <w:rPr>
          <w:lang w:val="en-US" w:bidi="bn-IN"/>
        </w:rPr>
        <w:t xml:space="preserve"> </w:t>
      </w:r>
    </w:p>
    <w:p w14:paraId="6215A9F2" w14:textId="77777777" w:rsidR="00E5002F" w:rsidRPr="00E546C7" w:rsidRDefault="00E5002F" w:rsidP="000F016C">
      <w:pPr>
        <w:rPr>
          <w:lang w:val="en-US" w:bidi="bn-IN"/>
        </w:rPr>
      </w:pPr>
      <w:r w:rsidRPr="00E546C7">
        <w:rPr>
          <w:lang w:bidi="bn-IN"/>
        </w:rPr>
        <w:t>Tata, S.V., Prashar, S. and Parsad, C. (2021) ‘Examining the influence of satisfaction and regret on online shoppers” post-purchase behaviour’, </w:t>
      </w:r>
      <w:r w:rsidRPr="00E546C7">
        <w:rPr>
          <w:i/>
          <w:iCs/>
          <w:lang w:bidi="bn-IN"/>
        </w:rPr>
        <w:t>Benchmarking: An International Journal</w:t>
      </w:r>
      <w:r w:rsidRPr="00E546C7">
        <w:rPr>
          <w:lang w:bidi="bn-IN"/>
        </w:rPr>
        <w:t xml:space="preserve">, 28(6), pp. 1987–2007. Available at: </w:t>
      </w:r>
      <w:hyperlink r:id="rId72" w:history="1">
        <w:r w:rsidRPr="00E546C7">
          <w:rPr>
            <w:rStyle w:val="Hyperlink"/>
            <w:lang w:bidi="bn-IN"/>
          </w:rPr>
          <w:t>https://doi.org/10.1108/bij-06-2020-0332</w:t>
        </w:r>
      </w:hyperlink>
      <w:r w:rsidRPr="00E546C7">
        <w:rPr>
          <w:lang w:bidi="bn-IN"/>
        </w:rPr>
        <w:t>.</w:t>
      </w:r>
      <w:r w:rsidRPr="00E546C7">
        <w:rPr>
          <w:lang w:val="en-US" w:bidi="bn-IN"/>
        </w:rPr>
        <w:t xml:space="preserve"> </w:t>
      </w:r>
    </w:p>
    <w:p w14:paraId="74259EEC" w14:textId="77777777" w:rsidR="00E5002F" w:rsidRPr="00E546C7" w:rsidRDefault="00E5002F" w:rsidP="00851BEF">
      <w:pPr>
        <w:rPr>
          <w:lang w:val="en-US" w:bidi="bn-IN"/>
        </w:rPr>
      </w:pPr>
      <w:r w:rsidRPr="00E546C7">
        <w:rPr>
          <w:lang w:bidi="bn-IN"/>
        </w:rPr>
        <w:t>Trivedi, J. (2020) “Effect of corporate image of the sponsor on brand love and purchase intentions: The moderating role of sports involvement,” </w:t>
      </w:r>
      <w:r w:rsidRPr="00E546C7">
        <w:rPr>
          <w:i/>
          <w:iCs/>
          <w:lang w:bidi="bn-IN"/>
        </w:rPr>
        <w:t>Journal of Global Scholars of Marketing Science</w:t>
      </w:r>
      <w:r w:rsidRPr="00E546C7">
        <w:rPr>
          <w:lang w:bidi="bn-IN"/>
        </w:rPr>
        <w:t xml:space="preserve">, 30(2), pp. 188–209. Available at: </w:t>
      </w:r>
      <w:hyperlink r:id="rId73" w:history="1">
        <w:r w:rsidRPr="00E546C7">
          <w:rPr>
            <w:rStyle w:val="Hyperlink"/>
            <w:lang w:bidi="bn-IN"/>
          </w:rPr>
          <w:t>https://doi.org/10.1080/21639159.2020.1717978</w:t>
        </w:r>
      </w:hyperlink>
      <w:r w:rsidRPr="00E546C7">
        <w:rPr>
          <w:lang w:bidi="bn-IN"/>
        </w:rPr>
        <w:t>.</w:t>
      </w:r>
      <w:r w:rsidRPr="00E546C7">
        <w:rPr>
          <w:lang w:val="en-US" w:bidi="bn-IN"/>
        </w:rPr>
        <w:t xml:space="preserve"> </w:t>
      </w:r>
    </w:p>
    <w:p w14:paraId="624EC728" w14:textId="77777777" w:rsidR="00E5002F" w:rsidRPr="00E546C7" w:rsidRDefault="00E5002F" w:rsidP="00851BEF">
      <w:r w:rsidRPr="00E546C7">
        <w:t>Yoon, H.J., Lee, Y. and Sun, S. (2024) 'Decoding demarketing advertising effects through the IMC lens: The role of earned and paid media',</w:t>
      </w:r>
      <w:r w:rsidRPr="00E546C7">
        <w:rPr>
          <w:rStyle w:val="apple-converted-space"/>
          <w:color w:val="000000"/>
          <w:sz w:val="21"/>
          <w:szCs w:val="21"/>
        </w:rPr>
        <w:t> </w:t>
      </w:r>
      <w:r w:rsidRPr="00E546C7">
        <w:rPr>
          <w:i/>
          <w:iCs/>
        </w:rPr>
        <w:t>International Journal of Advertising,</w:t>
      </w:r>
      <w:r w:rsidRPr="00E546C7">
        <w:rPr>
          <w:rStyle w:val="apple-converted-space"/>
          <w:color w:val="000000"/>
          <w:sz w:val="21"/>
          <w:szCs w:val="21"/>
        </w:rPr>
        <w:t> </w:t>
      </w:r>
      <w:r w:rsidRPr="00E546C7">
        <w:t>43(8), pp. 1366–1391. Available at:</w:t>
      </w:r>
      <w:r w:rsidRPr="00E546C7">
        <w:rPr>
          <w:rStyle w:val="apple-converted-space"/>
          <w:color w:val="000000"/>
          <w:sz w:val="21"/>
          <w:szCs w:val="21"/>
        </w:rPr>
        <w:t> </w:t>
      </w:r>
      <w:hyperlink r:id="rId74" w:tgtFrame="_blank" w:history="1">
        <w:r w:rsidRPr="00E546C7">
          <w:rPr>
            <w:rStyle w:val="Hyperlink"/>
            <w:color w:val="0066CC"/>
            <w:sz w:val="21"/>
            <w:szCs w:val="21"/>
          </w:rPr>
          <w:t>https://doi.org/10.1080/02650487.2024.2312751</w:t>
        </w:r>
      </w:hyperlink>
      <w:r w:rsidRPr="00E546C7">
        <w:t>.</w:t>
      </w:r>
    </w:p>
    <w:p w14:paraId="033B3A4D" w14:textId="77777777" w:rsidR="00E5002F" w:rsidRPr="00E546C7" w:rsidRDefault="00E5002F" w:rsidP="00851BEF">
      <w:pPr>
        <w:rPr>
          <w:lang w:val="en-US" w:bidi="bn-IN"/>
        </w:rPr>
      </w:pPr>
      <w:r w:rsidRPr="00E546C7">
        <w:rPr>
          <w:lang w:bidi="bn-IN"/>
        </w:rPr>
        <w:t>Zhou, F., Mou, J., Su, Q. and Jim Wu, Y.C. (2020) “How does consumers’ Perception of Sports Stars’ Personal Brand Promote Consumers’ brand love? A mediation model of global brand equity,” </w:t>
      </w:r>
      <w:r w:rsidRPr="00E546C7">
        <w:rPr>
          <w:i/>
          <w:iCs/>
          <w:lang w:bidi="bn-IN"/>
        </w:rPr>
        <w:t>Journal of Retailing and Consumer Services</w:t>
      </w:r>
      <w:r w:rsidRPr="00E546C7">
        <w:rPr>
          <w:lang w:bidi="bn-IN"/>
        </w:rPr>
        <w:t xml:space="preserve">, 54, p. 102012. Available at: </w:t>
      </w:r>
      <w:hyperlink r:id="rId75" w:history="1">
        <w:r w:rsidRPr="00E546C7">
          <w:rPr>
            <w:rStyle w:val="Hyperlink"/>
            <w:lang w:bidi="bn-IN"/>
          </w:rPr>
          <w:t>https://doi.org/10.1016/j.jretconser.2019.102012</w:t>
        </w:r>
      </w:hyperlink>
      <w:r w:rsidRPr="00E546C7">
        <w:rPr>
          <w:lang w:bidi="bn-IN"/>
        </w:rPr>
        <w:t>.</w:t>
      </w:r>
      <w:r w:rsidRPr="00E546C7">
        <w:rPr>
          <w:lang w:val="en-US" w:bidi="bn-IN"/>
        </w:rPr>
        <w:t xml:space="preserve"> </w:t>
      </w:r>
    </w:p>
    <w:p w14:paraId="12385D9D" w14:textId="77777777" w:rsidR="00E5002F" w:rsidRPr="00E546C7" w:rsidRDefault="00E5002F" w:rsidP="00851BEF">
      <w:pPr>
        <w:rPr>
          <w:lang w:val="en-US" w:bidi="bn-IN"/>
        </w:rPr>
      </w:pPr>
      <w:r w:rsidRPr="00E546C7">
        <w:rPr>
          <w:lang w:bidi="bn-IN"/>
        </w:rPr>
        <w:t xml:space="preserve">Zhou, Z., </w:t>
      </w:r>
      <w:proofErr w:type="spellStart"/>
      <w:r w:rsidRPr="00E546C7">
        <w:rPr>
          <w:lang w:bidi="bn-IN"/>
        </w:rPr>
        <w:t>Aisihaer</w:t>
      </w:r>
      <w:proofErr w:type="spellEnd"/>
      <w:r w:rsidRPr="00E546C7">
        <w:rPr>
          <w:lang w:bidi="bn-IN"/>
        </w:rPr>
        <w:t>, N., Wu, J. and Zhang, S. (2026) “When brand meets sport: A study of the interactive effects of brand perception and sport type on brand attitude,” </w:t>
      </w:r>
      <w:r w:rsidRPr="00E546C7">
        <w:rPr>
          <w:i/>
          <w:iCs/>
          <w:lang w:bidi="bn-IN"/>
        </w:rPr>
        <w:t>International Journal of Sports Marketing and Sponsorship</w:t>
      </w:r>
      <w:r w:rsidRPr="00E546C7">
        <w:rPr>
          <w:lang w:bidi="bn-IN"/>
        </w:rPr>
        <w:t xml:space="preserve">, 27(1), pp. 199–217. Available at: </w:t>
      </w:r>
      <w:hyperlink r:id="rId76" w:history="1">
        <w:r w:rsidRPr="00E546C7">
          <w:rPr>
            <w:rStyle w:val="Hyperlink"/>
            <w:lang w:bidi="bn-IN"/>
          </w:rPr>
          <w:t>https://doi.org/10.1108/ijsms-03-2025-0107</w:t>
        </w:r>
      </w:hyperlink>
      <w:r w:rsidRPr="00E546C7">
        <w:rPr>
          <w:lang w:bidi="bn-IN"/>
        </w:rPr>
        <w:t>.</w:t>
      </w:r>
      <w:r w:rsidRPr="00E546C7">
        <w:rPr>
          <w:lang w:val="en-US" w:bidi="bn-IN"/>
        </w:rPr>
        <w:t xml:space="preserve"> </w:t>
      </w:r>
    </w:p>
    <w:p w14:paraId="70391EA7" w14:textId="77777777" w:rsidR="000F016C" w:rsidRPr="00E546C7" w:rsidRDefault="000F016C" w:rsidP="00851BEF">
      <w:pPr>
        <w:rPr>
          <w:lang w:val="en-US" w:bidi="bn-IN"/>
        </w:rPr>
      </w:pPr>
    </w:p>
    <w:p w14:paraId="38BA4A76" w14:textId="77777777" w:rsidR="00764D9A" w:rsidRPr="00E546C7" w:rsidRDefault="00764D9A" w:rsidP="00764D9A">
      <w:pPr>
        <w:pStyle w:val="Heading1"/>
        <w:pageBreakBefore/>
        <w:rPr>
          <w:rFonts w:cs="Times New Roman"/>
        </w:rPr>
      </w:pPr>
      <w:bookmarkStart w:id="87" w:name="_Toc239819742"/>
      <w:r w:rsidRPr="00E546C7">
        <w:rPr>
          <w:rFonts w:cs="Times New Roman"/>
        </w:rPr>
        <w:t>Appendix A: Survey Instrument and Analytical Alignment</w:t>
      </w:r>
      <w:bookmarkEnd w:id="87"/>
    </w:p>
    <w:p w14:paraId="5DC757F9" w14:textId="77777777" w:rsidR="00764D9A" w:rsidRPr="00E546C7" w:rsidRDefault="00764D9A" w:rsidP="00764D9A">
      <w:r w:rsidRPr="00E546C7">
        <w:t>This appendix records the administered questions and their role in the analytical framework. Literature anchors indicate conceptual provenance; the exact wording was taken from the response workbook.</w:t>
      </w:r>
    </w:p>
    <w:p w14:paraId="47ECF851" w14:textId="68A71D7F" w:rsidR="005C0E10" w:rsidRPr="00E546C7" w:rsidRDefault="00D3500E" w:rsidP="00764D9A">
      <w:r w:rsidRPr="00E546C7">
        <w:rPr>
          <w:noProof/>
          <w14:ligatures w14:val="none"/>
        </w:rPr>
        <w:drawing>
          <wp:inline distT="0" distB="0" distL="0" distR="0" wp14:anchorId="6E236F52" wp14:editId="4713F3EF">
            <wp:extent cx="5727700" cy="3239770"/>
            <wp:effectExtent l="0" t="0" r="0" b="0"/>
            <wp:docPr id="1297770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77067" name="Picture 129777067"/>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27700" cy="3239770"/>
                    </a:xfrm>
                    <a:prstGeom prst="rect">
                      <a:avLst/>
                    </a:prstGeom>
                  </pic:spPr>
                </pic:pic>
              </a:graphicData>
            </a:graphic>
          </wp:inline>
        </w:drawing>
      </w:r>
    </w:p>
    <w:p w14:paraId="4386D3C2" w14:textId="77777777" w:rsidR="00764D9A" w:rsidRPr="00E546C7" w:rsidRDefault="00764D9A" w:rsidP="00764D9A">
      <w:pPr>
        <w:pStyle w:val="Caption"/>
        <w:jc w:val="left"/>
        <w:rPr>
          <w:rFonts w:cs="Times New Roman"/>
        </w:rPr>
      </w:pPr>
      <w:r w:rsidRPr="00E546C7">
        <w:rPr>
          <w:rFonts w:eastAsia="Times New Roman" w:cs="Times New Roman"/>
          <w:color w:val="1F2933"/>
        </w:rPr>
        <w:t>Table A1: Questionnaire-to-Objective, Hypothesis and Model Map</w:t>
      </w:r>
    </w:p>
    <w:tbl>
      <w:tblPr>
        <w:tblStyle w:val="TableGrid"/>
        <w:tblW w:w="9020" w:type="dxa"/>
        <w:tblInd w:w="120" w:type="dxa"/>
        <w:tblLayout w:type="fixed"/>
        <w:tblLook w:val="04A0" w:firstRow="1" w:lastRow="0" w:firstColumn="1" w:lastColumn="0" w:noHBand="0" w:noVBand="1"/>
      </w:tblPr>
      <w:tblGrid>
        <w:gridCol w:w="650"/>
        <w:gridCol w:w="3550"/>
        <w:gridCol w:w="1280"/>
        <w:gridCol w:w="1700"/>
        <w:gridCol w:w="1840"/>
      </w:tblGrid>
      <w:tr w:rsidR="00764D9A" w:rsidRPr="00E546C7" w14:paraId="1F6AEA7B" w14:textId="77777777" w:rsidTr="00B11AF1">
        <w:trPr>
          <w:cantSplit/>
          <w:tblHeader/>
        </w:trPr>
        <w:tc>
          <w:tcPr>
            <w:tcW w:w="650" w:type="dxa"/>
            <w:shd w:val="clear" w:color="auto" w:fill="17365D"/>
            <w:tcMar>
              <w:top w:w="80" w:type="dxa"/>
              <w:left w:w="120" w:type="dxa"/>
              <w:bottom w:w="80" w:type="dxa"/>
              <w:right w:w="120" w:type="dxa"/>
            </w:tcMar>
            <w:vAlign w:val="center"/>
          </w:tcPr>
          <w:p w14:paraId="26768D53" w14:textId="77777777" w:rsidR="00764D9A" w:rsidRPr="00E546C7" w:rsidRDefault="00764D9A" w:rsidP="00B11AF1">
            <w:pPr>
              <w:pStyle w:val="TableHeader"/>
              <w:rPr>
                <w:rFonts w:cs="Times New Roman"/>
              </w:rPr>
            </w:pPr>
            <w:r w:rsidRPr="00E546C7">
              <w:rPr>
                <w:rFonts w:eastAsia="Times New Roman" w:cs="Times New Roman"/>
                <w:b/>
                <w:sz w:val="16"/>
              </w:rPr>
              <w:t>Item</w:t>
            </w:r>
          </w:p>
        </w:tc>
        <w:tc>
          <w:tcPr>
            <w:tcW w:w="3550" w:type="dxa"/>
            <w:shd w:val="clear" w:color="auto" w:fill="17365D"/>
            <w:tcMar>
              <w:top w:w="80" w:type="dxa"/>
              <w:left w:w="120" w:type="dxa"/>
              <w:bottom w:w="80" w:type="dxa"/>
              <w:right w:w="120" w:type="dxa"/>
            </w:tcMar>
            <w:vAlign w:val="center"/>
          </w:tcPr>
          <w:p w14:paraId="2D186672" w14:textId="77777777" w:rsidR="00764D9A" w:rsidRPr="00E546C7" w:rsidRDefault="00764D9A" w:rsidP="00B11AF1">
            <w:pPr>
              <w:pStyle w:val="TableHeader"/>
              <w:rPr>
                <w:rFonts w:cs="Times New Roman"/>
              </w:rPr>
            </w:pPr>
            <w:r w:rsidRPr="00E546C7">
              <w:rPr>
                <w:rFonts w:eastAsia="Times New Roman" w:cs="Times New Roman"/>
                <w:b/>
                <w:sz w:val="16"/>
              </w:rPr>
              <w:t>Exact Survey Question</w:t>
            </w:r>
          </w:p>
        </w:tc>
        <w:tc>
          <w:tcPr>
            <w:tcW w:w="1280" w:type="dxa"/>
            <w:shd w:val="clear" w:color="auto" w:fill="17365D"/>
            <w:tcMar>
              <w:top w:w="80" w:type="dxa"/>
              <w:left w:w="120" w:type="dxa"/>
              <w:bottom w:w="80" w:type="dxa"/>
              <w:right w:w="120" w:type="dxa"/>
            </w:tcMar>
            <w:vAlign w:val="center"/>
          </w:tcPr>
          <w:p w14:paraId="1C1EED39" w14:textId="77777777" w:rsidR="00764D9A" w:rsidRPr="00E546C7" w:rsidRDefault="00764D9A" w:rsidP="00B11AF1">
            <w:pPr>
              <w:pStyle w:val="TableHeader"/>
              <w:rPr>
                <w:rFonts w:cs="Times New Roman"/>
              </w:rPr>
            </w:pPr>
            <w:r w:rsidRPr="00E546C7">
              <w:rPr>
                <w:rFonts w:eastAsia="Times New Roman" w:cs="Times New Roman"/>
                <w:b/>
                <w:sz w:val="16"/>
              </w:rPr>
              <w:t>Variable</w:t>
            </w:r>
          </w:p>
        </w:tc>
        <w:tc>
          <w:tcPr>
            <w:tcW w:w="1700" w:type="dxa"/>
            <w:shd w:val="clear" w:color="auto" w:fill="17365D"/>
            <w:tcMar>
              <w:top w:w="80" w:type="dxa"/>
              <w:left w:w="120" w:type="dxa"/>
              <w:bottom w:w="80" w:type="dxa"/>
              <w:right w:w="120" w:type="dxa"/>
            </w:tcMar>
            <w:vAlign w:val="center"/>
          </w:tcPr>
          <w:p w14:paraId="697F53F5" w14:textId="77777777" w:rsidR="00764D9A" w:rsidRPr="00E546C7" w:rsidRDefault="00764D9A" w:rsidP="00B11AF1">
            <w:pPr>
              <w:pStyle w:val="TableHeader"/>
              <w:rPr>
                <w:rFonts w:cs="Times New Roman"/>
              </w:rPr>
            </w:pPr>
            <w:r w:rsidRPr="00E546C7">
              <w:rPr>
                <w:rFonts w:eastAsia="Times New Roman" w:cs="Times New Roman"/>
                <w:b/>
                <w:sz w:val="16"/>
              </w:rPr>
              <w:t>Analytical Role</w:t>
            </w:r>
          </w:p>
        </w:tc>
        <w:tc>
          <w:tcPr>
            <w:tcW w:w="1840" w:type="dxa"/>
            <w:shd w:val="clear" w:color="auto" w:fill="17365D"/>
            <w:tcMar>
              <w:top w:w="80" w:type="dxa"/>
              <w:left w:w="120" w:type="dxa"/>
              <w:bottom w:w="80" w:type="dxa"/>
              <w:right w:w="120" w:type="dxa"/>
            </w:tcMar>
            <w:vAlign w:val="center"/>
          </w:tcPr>
          <w:p w14:paraId="54C4DD4E" w14:textId="77777777" w:rsidR="00764D9A" w:rsidRPr="00E546C7" w:rsidRDefault="00764D9A" w:rsidP="00B11AF1">
            <w:pPr>
              <w:pStyle w:val="TableHeader"/>
              <w:rPr>
                <w:rFonts w:cs="Times New Roman"/>
              </w:rPr>
            </w:pPr>
            <w:r w:rsidRPr="00E546C7">
              <w:rPr>
                <w:rFonts w:eastAsia="Times New Roman" w:cs="Times New Roman"/>
                <w:b/>
                <w:sz w:val="16"/>
              </w:rPr>
              <w:t>Literature / Model Anchor</w:t>
            </w:r>
          </w:p>
        </w:tc>
      </w:tr>
      <w:tr w:rsidR="00764D9A" w:rsidRPr="00E546C7" w14:paraId="216CA7AE" w14:textId="77777777" w:rsidTr="00B11AF1">
        <w:trPr>
          <w:cantSplit/>
        </w:trPr>
        <w:tc>
          <w:tcPr>
            <w:tcW w:w="650" w:type="dxa"/>
            <w:tcMar>
              <w:top w:w="80" w:type="dxa"/>
              <w:left w:w="120" w:type="dxa"/>
              <w:bottom w:w="80" w:type="dxa"/>
              <w:right w:w="120" w:type="dxa"/>
            </w:tcMar>
            <w:vAlign w:val="center"/>
          </w:tcPr>
          <w:p w14:paraId="63B22ECC" w14:textId="77777777" w:rsidR="00764D9A" w:rsidRPr="00E546C7" w:rsidRDefault="00764D9A" w:rsidP="00B11AF1">
            <w:pPr>
              <w:pStyle w:val="TableText"/>
              <w:rPr>
                <w:rFonts w:cs="Times New Roman"/>
              </w:rPr>
            </w:pPr>
            <w:r w:rsidRPr="00E546C7">
              <w:rPr>
                <w:rFonts w:eastAsia="Times New Roman" w:cs="Times New Roman"/>
                <w:sz w:val="16"/>
              </w:rPr>
              <w:t>Q1</w:t>
            </w:r>
          </w:p>
        </w:tc>
        <w:tc>
          <w:tcPr>
            <w:tcW w:w="3550" w:type="dxa"/>
            <w:tcMar>
              <w:top w:w="80" w:type="dxa"/>
              <w:left w:w="120" w:type="dxa"/>
              <w:bottom w:w="80" w:type="dxa"/>
              <w:right w:w="120" w:type="dxa"/>
            </w:tcMar>
            <w:vAlign w:val="center"/>
          </w:tcPr>
          <w:p w14:paraId="45BA3834" w14:textId="77777777" w:rsidR="00764D9A" w:rsidRPr="00E546C7" w:rsidRDefault="00764D9A" w:rsidP="00B11AF1">
            <w:pPr>
              <w:pStyle w:val="TableText"/>
              <w:rPr>
                <w:rFonts w:cs="Times New Roman"/>
              </w:rPr>
            </w:pPr>
            <w:r w:rsidRPr="00E546C7">
              <w:rPr>
                <w:rFonts w:eastAsia="Times New Roman" w:cs="Times New Roman"/>
                <w:sz w:val="16"/>
              </w:rPr>
              <w:t>1. What is your age group?</w:t>
            </w:r>
          </w:p>
        </w:tc>
        <w:tc>
          <w:tcPr>
            <w:tcW w:w="1280" w:type="dxa"/>
            <w:tcMar>
              <w:top w:w="80" w:type="dxa"/>
              <w:left w:w="120" w:type="dxa"/>
              <w:bottom w:w="80" w:type="dxa"/>
              <w:right w:w="120" w:type="dxa"/>
            </w:tcMar>
            <w:vAlign w:val="center"/>
          </w:tcPr>
          <w:p w14:paraId="140AF28B" w14:textId="77777777" w:rsidR="00764D9A" w:rsidRPr="00E546C7" w:rsidRDefault="00764D9A" w:rsidP="00B11AF1">
            <w:pPr>
              <w:pStyle w:val="TableText"/>
              <w:jc w:val="center"/>
              <w:rPr>
                <w:rFonts w:cs="Times New Roman"/>
              </w:rPr>
            </w:pPr>
            <w:r w:rsidRPr="00E546C7">
              <w:rPr>
                <w:rFonts w:eastAsia="Times New Roman" w:cs="Times New Roman"/>
                <w:sz w:val="16"/>
              </w:rPr>
              <w:t>Demographic</w:t>
            </w:r>
          </w:p>
        </w:tc>
        <w:tc>
          <w:tcPr>
            <w:tcW w:w="1700" w:type="dxa"/>
            <w:tcMar>
              <w:top w:w="80" w:type="dxa"/>
              <w:left w:w="120" w:type="dxa"/>
              <w:bottom w:w="80" w:type="dxa"/>
              <w:right w:w="120" w:type="dxa"/>
            </w:tcMar>
            <w:vAlign w:val="center"/>
          </w:tcPr>
          <w:p w14:paraId="03077533" w14:textId="77777777" w:rsidR="00764D9A" w:rsidRPr="00E546C7" w:rsidRDefault="00764D9A" w:rsidP="00B11AF1">
            <w:pPr>
              <w:pStyle w:val="TableText"/>
              <w:rPr>
                <w:rFonts w:cs="Times New Roman"/>
              </w:rPr>
            </w:pPr>
            <w:r w:rsidRPr="00E546C7">
              <w:rPr>
                <w:rFonts w:eastAsia="Times New Roman" w:cs="Times New Roman"/>
                <w:sz w:val="16"/>
              </w:rPr>
              <w:t>Context / external validity</w:t>
            </w:r>
          </w:p>
        </w:tc>
        <w:tc>
          <w:tcPr>
            <w:tcW w:w="1840" w:type="dxa"/>
            <w:tcMar>
              <w:top w:w="80" w:type="dxa"/>
              <w:left w:w="120" w:type="dxa"/>
              <w:bottom w:w="80" w:type="dxa"/>
              <w:right w:w="120" w:type="dxa"/>
            </w:tcMar>
            <w:vAlign w:val="center"/>
          </w:tcPr>
          <w:p w14:paraId="5027C991" w14:textId="77777777" w:rsidR="00764D9A" w:rsidRPr="00E546C7" w:rsidRDefault="00764D9A" w:rsidP="00B11AF1">
            <w:pPr>
              <w:pStyle w:val="TableText"/>
              <w:jc w:val="center"/>
              <w:rPr>
                <w:rFonts w:cs="Times New Roman"/>
              </w:rPr>
            </w:pPr>
            <w:r w:rsidRPr="00E546C7">
              <w:rPr>
                <w:rFonts w:eastAsia="Times New Roman" w:cs="Times New Roman"/>
                <w:sz w:val="16"/>
              </w:rPr>
              <w:t>Sampling profile</w:t>
            </w:r>
          </w:p>
        </w:tc>
      </w:tr>
      <w:tr w:rsidR="00764D9A" w:rsidRPr="00E546C7" w14:paraId="4EB15F9B" w14:textId="77777777" w:rsidTr="00B11AF1">
        <w:trPr>
          <w:cantSplit/>
        </w:trPr>
        <w:tc>
          <w:tcPr>
            <w:tcW w:w="650" w:type="dxa"/>
            <w:shd w:val="clear" w:color="auto" w:fill="F2F4F7"/>
            <w:tcMar>
              <w:top w:w="80" w:type="dxa"/>
              <w:left w:w="120" w:type="dxa"/>
              <w:bottom w:w="80" w:type="dxa"/>
              <w:right w:w="120" w:type="dxa"/>
            </w:tcMar>
            <w:vAlign w:val="center"/>
          </w:tcPr>
          <w:p w14:paraId="60698D2F" w14:textId="77777777" w:rsidR="00764D9A" w:rsidRPr="00E546C7" w:rsidRDefault="00764D9A" w:rsidP="00B11AF1">
            <w:pPr>
              <w:pStyle w:val="TableText"/>
              <w:rPr>
                <w:rFonts w:cs="Times New Roman"/>
              </w:rPr>
            </w:pPr>
            <w:r w:rsidRPr="00E546C7">
              <w:rPr>
                <w:rFonts w:eastAsia="Times New Roman" w:cs="Times New Roman"/>
                <w:sz w:val="16"/>
              </w:rPr>
              <w:t>Q2</w:t>
            </w:r>
          </w:p>
        </w:tc>
        <w:tc>
          <w:tcPr>
            <w:tcW w:w="3550" w:type="dxa"/>
            <w:shd w:val="clear" w:color="auto" w:fill="F2F4F7"/>
            <w:tcMar>
              <w:top w:w="80" w:type="dxa"/>
              <w:left w:w="120" w:type="dxa"/>
              <w:bottom w:w="80" w:type="dxa"/>
              <w:right w:w="120" w:type="dxa"/>
            </w:tcMar>
            <w:vAlign w:val="center"/>
          </w:tcPr>
          <w:p w14:paraId="4C5A2F25" w14:textId="77777777" w:rsidR="00764D9A" w:rsidRPr="00E546C7" w:rsidRDefault="00764D9A" w:rsidP="00B11AF1">
            <w:pPr>
              <w:pStyle w:val="TableText"/>
              <w:rPr>
                <w:rFonts w:cs="Times New Roman"/>
              </w:rPr>
            </w:pPr>
            <w:r w:rsidRPr="00E546C7">
              <w:rPr>
                <w:rFonts w:eastAsia="Times New Roman" w:cs="Times New Roman"/>
                <w:sz w:val="16"/>
              </w:rPr>
              <w:t>2. What is your gender?</w:t>
            </w:r>
          </w:p>
        </w:tc>
        <w:tc>
          <w:tcPr>
            <w:tcW w:w="1280" w:type="dxa"/>
            <w:shd w:val="clear" w:color="auto" w:fill="F2F4F7"/>
            <w:tcMar>
              <w:top w:w="80" w:type="dxa"/>
              <w:left w:w="120" w:type="dxa"/>
              <w:bottom w:w="80" w:type="dxa"/>
              <w:right w:w="120" w:type="dxa"/>
            </w:tcMar>
            <w:vAlign w:val="center"/>
          </w:tcPr>
          <w:p w14:paraId="3ACF8DEF" w14:textId="77777777" w:rsidR="00764D9A" w:rsidRPr="00E546C7" w:rsidRDefault="00764D9A" w:rsidP="00B11AF1">
            <w:pPr>
              <w:pStyle w:val="TableText"/>
              <w:jc w:val="center"/>
              <w:rPr>
                <w:rFonts w:cs="Times New Roman"/>
              </w:rPr>
            </w:pPr>
            <w:r w:rsidRPr="00E546C7">
              <w:rPr>
                <w:rFonts w:eastAsia="Times New Roman" w:cs="Times New Roman"/>
                <w:sz w:val="16"/>
              </w:rPr>
              <w:t>Demographic</w:t>
            </w:r>
          </w:p>
        </w:tc>
        <w:tc>
          <w:tcPr>
            <w:tcW w:w="1700" w:type="dxa"/>
            <w:shd w:val="clear" w:color="auto" w:fill="F2F4F7"/>
            <w:tcMar>
              <w:top w:w="80" w:type="dxa"/>
              <w:left w:w="120" w:type="dxa"/>
              <w:bottom w:w="80" w:type="dxa"/>
              <w:right w:w="120" w:type="dxa"/>
            </w:tcMar>
            <w:vAlign w:val="center"/>
          </w:tcPr>
          <w:p w14:paraId="4784EE74" w14:textId="77777777" w:rsidR="00764D9A" w:rsidRPr="00E546C7" w:rsidRDefault="00764D9A" w:rsidP="00B11AF1">
            <w:pPr>
              <w:pStyle w:val="TableText"/>
              <w:rPr>
                <w:rFonts w:cs="Times New Roman"/>
              </w:rPr>
            </w:pPr>
            <w:r w:rsidRPr="00E546C7">
              <w:rPr>
                <w:rFonts w:eastAsia="Times New Roman" w:cs="Times New Roman"/>
                <w:sz w:val="16"/>
              </w:rPr>
              <w:t>Context / external validity</w:t>
            </w:r>
          </w:p>
        </w:tc>
        <w:tc>
          <w:tcPr>
            <w:tcW w:w="1840" w:type="dxa"/>
            <w:shd w:val="clear" w:color="auto" w:fill="F2F4F7"/>
            <w:tcMar>
              <w:top w:w="80" w:type="dxa"/>
              <w:left w:w="120" w:type="dxa"/>
              <w:bottom w:w="80" w:type="dxa"/>
              <w:right w:w="120" w:type="dxa"/>
            </w:tcMar>
            <w:vAlign w:val="center"/>
          </w:tcPr>
          <w:p w14:paraId="51BCAFCE" w14:textId="77777777" w:rsidR="00764D9A" w:rsidRPr="00E546C7" w:rsidRDefault="00764D9A" w:rsidP="00B11AF1">
            <w:pPr>
              <w:pStyle w:val="TableText"/>
              <w:jc w:val="center"/>
              <w:rPr>
                <w:rFonts w:cs="Times New Roman"/>
              </w:rPr>
            </w:pPr>
            <w:r w:rsidRPr="00E546C7">
              <w:rPr>
                <w:rFonts w:eastAsia="Times New Roman" w:cs="Times New Roman"/>
                <w:sz w:val="16"/>
              </w:rPr>
              <w:t>Sampling profile</w:t>
            </w:r>
          </w:p>
        </w:tc>
      </w:tr>
      <w:tr w:rsidR="00764D9A" w:rsidRPr="00E546C7" w14:paraId="7910A539" w14:textId="77777777" w:rsidTr="00B11AF1">
        <w:trPr>
          <w:cantSplit/>
        </w:trPr>
        <w:tc>
          <w:tcPr>
            <w:tcW w:w="650" w:type="dxa"/>
            <w:tcMar>
              <w:top w:w="80" w:type="dxa"/>
              <w:left w:w="120" w:type="dxa"/>
              <w:bottom w:w="80" w:type="dxa"/>
              <w:right w:w="120" w:type="dxa"/>
            </w:tcMar>
            <w:vAlign w:val="center"/>
          </w:tcPr>
          <w:p w14:paraId="05AD9B1F" w14:textId="77777777" w:rsidR="00764D9A" w:rsidRPr="00E546C7" w:rsidRDefault="00764D9A" w:rsidP="00B11AF1">
            <w:pPr>
              <w:pStyle w:val="TableText"/>
              <w:rPr>
                <w:rFonts w:cs="Times New Roman"/>
              </w:rPr>
            </w:pPr>
            <w:r w:rsidRPr="00E546C7">
              <w:rPr>
                <w:rFonts w:eastAsia="Times New Roman" w:cs="Times New Roman"/>
                <w:sz w:val="16"/>
              </w:rPr>
              <w:t>Q3</w:t>
            </w:r>
          </w:p>
        </w:tc>
        <w:tc>
          <w:tcPr>
            <w:tcW w:w="3550" w:type="dxa"/>
            <w:tcMar>
              <w:top w:w="80" w:type="dxa"/>
              <w:left w:w="120" w:type="dxa"/>
              <w:bottom w:w="80" w:type="dxa"/>
              <w:right w:w="120" w:type="dxa"/>
            </w:tcMar>
            <w:vAlign w:val="center"/>
          </w:tcPr>
          <w:p w14:paraId="7024B79F" w14:textId="77777777" w:rsidR="00764D9A" w:rsidRPr="00E546C7" w:rsidRDefault="00764D9A" w:rsidP="00B11AF1">
            <w:pPr>
              <w:pStyle w:val="TableText"/>
              <w:rPr>
                <w:rFonts w:cs="Times New Roman"/>
              </w:rPr>
            </w:pPr>
            <w:r w:rsidRPr="00E546C7">
              <w:rPr>
                <w:rFonts w:eastAsia="Times New Roman" w:cs="Times New Roman"/>
                <w:sz w:val="16"/>
              </w:rPr>
              <w:t>3. Adidas communicates a consistent message across its different marketing channels.</w:t>
            </w:r>
          </w:p>
        </w:tc>
        <w:tc>
          <w:tcPr>
            <w:tcW w:w="1280" w:type="dxa"/>
            <w:tcMar>
              <w:top w:w="80" w:type="dxa"/>
              <w:left w:w="120" w:type="dxa"/>
              <w:bottom w:w="80" w:type="dxa"/>
              <w:right w:w="120" w:type="dxa"/>
            </w:tcMar>
            <w:vAlign w:val="center"/>
          </w:tcPr>
          <w:p w14:paraId="4BA533EA" w14:textId="77777777" w:rsidR="00764D9A" w:rsidRPr="00E546C7" w:rsidRDefault="00764D9A" w:rsidP="00B11AF1">
            <w:pPr>
              <w:pStyle w:val="TableText"/>
              <w:jc w:val="center"/>
              <w:rPr>
                <w:rFonts w:cs="Times New Roman"/>
              </w:rPr>
            </w:pPr>
            <w:r w:rsidRPr="00E546C7">
              <w:rPr>
                <w:rFonts w:eastAsia="Times New Roman" w:cs="Times New Roman"/>
                <w:sz w:val="16"/>
              </w:rPr>
              <w:t>IMC consistency</w:t>
            </w:r>
          </w:p>
        </w:tc>
        <w:tc>
          <w:tcPr>
            <w:tcW w:w="1700" w:type="dxa"/>
            <w:tcMar>
              <w:top w:w="80" w:type="dxa"/>
              <w:left w:w="120" w:type="dxa"/>
              <w:bottom w:w="80" w:type="dxa"/>
              <w:right w:w="120" w:type="dxa"/>
            </w:tcMar>
            <w:vAlign w:val="center"/>
          </w:tcPr>
          <w:p w14:paraId="1BC57A17" w14:textId="77777777" w:rsidR="00764D9A" w:rsidRPr="00E546C7" w:rsidRDefault="00764D9A" w:rsidP="00B11AF1">
            <w:pPr>
              <w:pStyle w:val="TableText"/>
              <w:rPr>
                <w:rFonts w:cs="Times New Roman"/>
              </w:rPr>
            </w:pPr>
            <w:r w:rsidRPr="00E546C7">
              <w:rPr>
                <w:rFonts w:eastAsia="Times New Roman" w:cs="Times New Roman"/>
                <w:sz w:val="16"/>
              </w:rPr>
              <w:t>Objective 1; predictor for H1/H2</w:t>
            </w:r>
          </w:p>
        </w:tc>
        <w:tc>
          <w:tcPr>
            <w:tcW w:w="1840" w:type="dxa"/>
            <w:tcMar>
              <w:top w:w="80" w:type="dxa"/>
              <w:left w:w="120" w:type="dxa"/>
              <w:bottom w:w="80" w:type="dxa"/>
              <w:right w:w="120" w:type="dxa"/>
            </w:tcMar>
            <w:vAlign w:val="center"/>
          </w:tcPr>
          <w:p w14:paraId="01E99548" w14:textId="77777777" w:rsidR="00764D9A" w:rsidRPr="00E546C7" w:rsidRDefault="00764D9A" w:rsidP="00B11AF1">
            <w:pPr>
              <w:pStyle w:val="TableText"/>
              <w:rPr>
                <w:rFonts w:cs="Times New Roman"/>
              </w:rPr>
            </w:pPr>
            <w:r w:rsidRPr="00E546C7">
              <w:rPr>
                <w:rFonts w:eastAsia="Times New Roman" w:cs="Times New Roman"/>
                <w:sz w:val="16"/>
              </w:rPr>
              <w:t xml:space="preserve">Shannon–Weaver; </w:t>
            </w:r>
            <w:proofErr w:type="spellStart"/>
            <w:r w:rsidRPr="00E546C7">
              <w:rPr>
                <w:rFonts w:eastAsia="Times New Roman" w:cs="Times New Roman"/>
                <w:sz w:val="16"/>
              </w:rPr>
              <w:t>Šerić</w:t>
            </w:r>
            <w:proofErr w:type="spellEnd"/>
            <w:r w:rsidRPr="00E546C7">
              <w:rPr>
                <w:rFonts w:eastAsia="Times New Roman" w:cs="Times New Roman"/>
                <w:sz w:val="16"/>
              </w:rPr>
              <w:t xml:space="preserve"> et al. (2020)</w:t>
            </w:r>
          </w:p>
        </w:tc>
      </w:tr>
      <w:tr w:rsidR="00764D9A" w:rsidRPr="00E546C7" w14:paraId="3CE3A292" w14:textId="77777777" w:rsidTr="00B11AF1">
        <w:trPr>
          <w:cantSplit/>
        </w:trPr>
        <w:tc>
          <w:tcPr>
            <w:tcW w:w="650" w:type="dxa"/>
            <w:shd w:val="clear" w:color="auto" w:fill="F2F4F7"/>
            <w:tcMar>
              <w:top w:w="80" w:type="dxa"/>
              <w:left w:w="120" w:type="dxa"/>
              <w:bottom w:w="80" w:type="dxa"/>
              <w:right w:w="120" w:type="dxa"/>
            </w:tcMar>
            <w:vAlign w:val="center"/>
          </w:tcPr>
          <w:p w14:paraId="0E9F7326" w14:textId="77777777" w:rsidR="00764D9A" w:rsidRPr="00E546C7" w:rsidRDefault="00764D9A" w:rsidP="00B11AF1">
            <w:pPr>
              <w:pStyle w:val="TableText"/>
              <w:rPr>
                <w:rFonts w:cs="Times New Roman"/>
              </w:rPr>
            </w:pPr>
            <w:r w:rsidRPr="00E546C7">
              <w:rPr>
                <w:rFonts w:eastAsia="Times New Roman" w:cs="Times New Roman"/>
                <w:sz w:val="16"/>
              </w:rPr>
              <w:t>Q4</w:t>
            </w:r>
          </w:p>
        </w:tc>
        <w:tc>
          <w:tcPr>
            <w:tcW w:w="3550" w:type="dxa"/>
            <w:shd w:val="clear" w:color="auto" w:fill="F2F4F7"/>
            <w:tcMar>
              <w:top w:w="80" w:type="dxa"/>
              <w:left w:w="120" w:type="dxa"/>
              <w:bottom w:w="80" w:type="dxa"/>
              <w:right w:w="120" w:type="dxa"/>
            </w:tcMar>
            <w:vAlign w:val="center"/>
          </w:tcPr>
          <w:p w14:paraId="16113161" w14:textId="77777777" w:rsidR="00764D9A" w:rsidRPr="00E546C7" w:rsidRDefault="00764D9A" w:rsidP="00B11AF1">
            <w:pPr>
              <w:pStyle w:val="TableText"/>
              <w:rPr>
                <w:rFonts w:cs="Times New Roman"/>
              </w:rPr>
            </w:pPr>
            <w:r w:rsidRPr="00E546C7">
              <w:rPr>
                <w:rFonts w:eastAsia="Times New Roman" w:cs="Times New Roman"/>
                <w:sz w:val="16"/>
              </w:rPr>
              <w:t>4. I find Adidas's marketing communications credible, relevant and engaging.</w:t>
            </w:r>
          </w:p>
        </w:tc>
        <w:tc>
          <w:tcPr>
            <w:tcW w:w="1280" w:type="dxa"/>
            <w:shd w:val="clear" w:color="auto" w:fill="F2F4F7"/>
            <w:tcMar>
              <w:top w:w="80" w:type="dxa"/>
              <w:left w:w="120" w:type="dxa"/>
              <w:bottom w:w="80" w:type="dxa"/>
              <w:right w:w="120" w:type="dxa"/>
            </w:tcMar>
            <w:vAlign w:val="center"/>
          </w:tcPr>
          <w:p w14:paraId="2CA00F09" w14:textId="77777777" w:rsidR="00764D9A" w:rsidRPr="00E546C7" w:rsidRDefault="00764D9A" w:rsidP="00B11AF1">
            <w:pPr>
              <w:pStyle w:val="TableText"/>
              <w:jc w:val="center"/>
              <w:rPr>
                <w:rFonts w:cs="Times New Roman"/>
              </w:rPr>
            </w:pPr>
            <w:r w:rsidRPr="00E546C7">
              <w:rPr>
                <w:rFonts w:eastAsia="Times New Roman" w:cs="Times New Roman"/>
                <w:sz w:val="16"/>
              </w:rPr>
              <w:t>IMC quality</w:t>
            </w:r>
          </w:p>
        </w:tc>
        <w:tc>
          <w:tcPr>
            <w:tcW w:w="1700" w:type="dxa"/>
            <w:shd w:val="clear" w:color="auto" w:fill="F2F4F7"/>
            <w:tcMar>
              <w:top w:w="80" w:type="dxa"/>
              <w:left w:w="120" w:type="dxa"/>
              <w:bottom w:w="80" w:type="dxa"/>
              <w:right w:w="120" w:type="dxa"/>
            </w:tcMar>
            <w:vAlign w:val="center"/>
          </w:tcPr>
          <w:p w14:paraId="136D99F9" w14:textId="77777777" w:rsidR="00764D9A" w:rsidRPr="00E546C7" w:rsidRDefault="00764D9A" w:rsidP="00B11AF1">
            <w:pPr>
              <w:pStyle w:val="TableText"/>
              <w:rPr>
                <w:rFonts w:cs="Times New Roman"/>
              </w:rPr>
            </w:pPr>
            <w:r w:rsidRPr="00E546C7">
              <w:rPr>
                <w:rFonts w:eastAsia="Times New Roman" w:cs="Times New Roman"/>
                <w:sz w:val="16"/>
              </w:rPr>
              <w:t>Objective 1; predictor for H1/H2</w:t>
            </w:r>
          </w:p>
        </w:tc>
        <w:tc>
          <w:tcPr>
            <w:tcW w:w="1840" w:type="dxa"/>
            <w:shd w:val="clear" w:color="auto" w:fill="F2F4F7"/>
            <w:tcMar>
              <w:top w:w="80" w:type="dxa"/>
              <w:left w:w="120" w:type="dxa"/>
              <w:bottom w:w="80" w:type="dxa"/>
              <w:right w:w="120" w:type="dxa"/>
            </w:tcMar>
            <w:vAlign w:val="center"/>
          </w:tcPr>
          <w:p w14:paraId="6EB8A6CB" w14:textId="77777777" w:rsidR="00764D9A" w:rsidRPr="00E546C7" w:rsidRDefault="00764D9A" w:rsidP="00B11AF1">
            <w:pPr>
              <w:pStyle w:val="TableText"/>
              <w:rPr>
                <w:rFonts w:cs="Times New Roman"/>
              </w:rPr>
            </w:pPr>
            <w:r w:rsidRPr="00E546C7">
              <w:rPr>
                <w:rFonts w:eastAsia="Times New Roman" w:cs="Times New Roman"/>
                <w:sz w:val="16"/>
              </w:rPr>
              <w:t>Schramm; Rehman et al. (2022); Lee (2021)</w:t>
            </w:r>
          </w:p>
        </w:tc>
      </w:tr>
      <w:tr w:rsidR="00764D9A" w:rsidRPr="00E546C7" w14:paraId="2B80BF28" w14:textId="77777777" w:rsidTr="00B11AF1">
        <w:trPr>
          <w:cantSplit/>
        </w:trPr>
        <w:tc>
          <w:tcPr>
            <w:tcW w:w="650" w:type="dxa"/>
            <w:tcMar>
              <w:top w:w="80" w:type="dxa"/>
              <w:left w:w="120" w:type="dxa"/>
              <w:bottom w:w="80" w:type="dxa"/>
              <w:right w:w="120" w:type="dxa"/>
            </w:tcMar>
            <w:vAlign w:val="center"/>
          </w:tcPr>
          <w:p w14:paraId="03E09961" w14:textId="77777777" w:rsidR="00764D9A" w:rsidRPr="00E546C7" w:rsidRDefault="00764D9A" w:rsidP="00B11AF1">
            <w:pPr>
              <w:pStyle w:val="TableText"/>
              <w:rPr>
                <w:rFonts w:cs="Times New Roman"/>
              </w:rPr>
            </w:pPr>
            <w:r w:rsidRPr="00E546C7">
              <w:rPr>
                <w:rFonts w:eastAsia="Times New Roman" w:cs="Times New Roman"/>
                <w:sz w:val="16"/>
              </w:rPr>
              <w:t>Q5</w:t>
            </w:r>
          </w:p>
        </w:tc>
        <w:tc>
          <w:tcPr>
            <w:tcW w:w="3550" w:type="dxa"/>
            <w:tcMar>
              <w:top w:w="80" w:type="dxa"/>
              <w:left w:w="120" w:type="dxa"/>
              <w:bottom w:w="80" w:type="dxa"/>
              <w:right w:w="120" w:type="dxa"/>
            </w:tcMar>
            <w:vAlign w:val="center"/>
          </w:tcPr>
          <w:p w14:paraId="5A68C5A6" w14:textId="77777777" w:rsidR="00764D9A" w:rsidRPr="00E546C7" w:rsidRDefault="00764D9A" w:rsidP="00B11AF1">
            <w:pPr>
              <w:pStyle w:val="TableText"/>
              <w:rPr>
                <w:rFonts w:cs="Times New Roman"/>
              </w:rPr>
            </w:pPr>
            <w:r w:rsidRPr="00E546C7">
              <w:rPr>
                <w:rFonts w:eastAsia="Times New Roman" w:cs="Times New Roman"/>
                <w:sz w:val="16"/>
              </w:rPr>
              <w:t>5. Adidas's marketing communications create a positive attitude toward the brand.</w:t>
            </w:r>
          </w:p>
        </w:tc>
        <w:tc>
          <w:tcPr>
            <w:tcW w:w="1280" w:type="dxa"/>
            <w:tcMar>
              <w:top w:w="80" w:type="dxa"/>
              <w:left w:w="120" w:type="dxa"/>
              <w:bottom w:w="80" w:type="dxa"/>
              <w:right w:w="120" w:type="dxa"/>
            </w:tcMar>
            <w:vAlign w:val="center"/>
          </w:tcPr>
          <w:p w14:paraId="00735FFA" w14:textId="77777777" w:rsidR="00764D9A" w:rsidRPr="00E546C7" w:rsidRDefault="00764D9A" w:rsidP="00B11AF1">
            <w:pPr>
              <w:pStyle w:val="TableText"/>
              <w:jc w:val="center"/>
              <w:rPr>
                <w:rFonts w:cs="Times New Roman"/>
              </w:rPr>
            </w:pPr>
            <w:r w:rsidRPr="00E546C7">
              <w:rPr>
                <w:rFonts w:eastAsia="Times New Roman" w:cs="Times New Roman"/>
                <w:sz w:val="16"/>
              </w:rPr>
              <w:t>Brand attitude</w:t>
            </w:r>
          </w:p>
        </w:tc>
        <w:tc>
          <w:tcPr>
            <w:tcW w:w="1700" w:type="dxa"/>
            <w:tcMar>
              <w:top w:w="80" w:type="dxa"/>
              <w:left w:w="120" w:type="dxa"/>
              <w:bottom w:w="80" w:type="dxa"/>
              <w:right w:w="120" w:type="dxa"/>
            </w:tcMar>
            <w:vAlign w:val="center"/>
          </w:tcPr>
          <w:p w14:paraId="6535B829" w14:textId="77777777" w:rsidR="00764D9A" w:rsidRPr="00E546C7" w:rsidRDefault="00764D9A" w:rsidP="00B11AF1">
            <w:pPr>
              <w:pStyle w:val="TableText"/>
              <w:rPr>
                <w:rFonts w:cs="Times New Roman"/>
              </w:rPr>
            </w:pPr>
            <w:r w:rsidRPr="00E546C7">
              <w:rPr>
                <w:rFonts w:eastAsia="Times New Roman" w:cs="Times New Roman"/>
                <w:sz w:val="16"/>
              </w:rPr>
              <w:t>Objective 2; H1 outcome</w:t>
            </w:r>
          </w:p>
        </w:tc>
        <w:tc>
          <w:tcPr>
            <w:tcW w:w="1840" w:type="dxa"/>
            <w:tcMar>
              <w:top w:w="80" w:type="dxa"/>
              <w:left w:w="120" w:type="dxa"/>
              <w:bottom w:w="80" w:type="dxa"/>
              <w:right w:w="120" w:type="dxa"/>
            </w:tcMar>
            <w:vAlign w:val="center"/>
          </w:tcPr>
          <w:p w14:paraId="58E6DB87" w14:textId="77777777" w:rsidR="00764D9A" w:rsidRPr="00E546C7" w:rsidRDefault="00764D9A" w:rsidP="00B11AF1">
            <w:pPr>
              <w:pStyle w:val="TableText"/>
              <w:rPr>
                <w:rFonts w:cs="Times New Roman"/>
              </w:rPr>
            </w:pPr>
            <w:r w:rsidRPr="00E546C7">
              <w:rPr>
                <w:rFonts w:eastAsia="Times New Roman" w:cs="Times New Roman"/>
                <w:sz w:val="16"/>
              </w:rPr>
              <w:t>Tricomponent Model; Lee (2021)</w:t>
            </w:r>
          </w:p>
        </w:tc>
      </w:tr>
      <w:tr w:rsidR="00764D9A" w:rsidRPr="00E546C7" w14:paraId="2E75E18A" w14:textId="77777777" w:rsidTr="00B11AF1">
        <w:trPr>
          <w:cantSplit/>
        </w:trPr>
        <w:tc>
          <w:tcPr>
            <w:tcW w:w="650" w:type="dxa"/>
            <w:shd w:val="clear" w:color="auto" w:fill="F2F4F7"/>
            <w:tcMar>
              <w:top w:w="80" w:type="dxa"/>
              <w:left w:w="120" w:type="dxa"/>
              <w:bottom w:w="80" w:type="dxa"/>
              <w:right w:w="120" w:type="dxa"/>
            </w:tcMar>
            <w:vAlign w:val="center"/>
          </w:tcPr>
          <w:p w14:paraId="053237B4" w14:textId="77777777" w:rsidR="00764D9A" w:rsidRPr="00E546C7" w:rsidRDefault="00764D9A" w:rsidP="00B11AF1">
            <w:pPr>
              <w:pStyle w:val="TableText"/>
              <w:rPr>
                <w:rFonts w:cs="Times New Roman"/>
              </w:rPr>
            </w:pPr>
            <w:r w:rsidRPr="00E546C7">
              <w:rPr>
                <w:rFonts w:eastAsia="Times New Roman" w:cs="Times New Roman"/>
                <w:sz w:val="16"/>
              </w:rPr>
              <w:t>Q6</w:t>
            </w:r>
          </w:p>
        </w:tc>
        <w:tc>
          <w:tcPr>
            <w:tcW w:w="3550" w:type="dxa"/>
            <w:shd w:val="clear" w:color="auto" w:fill="F2F4F7"/>
            <w:tcMar>
              <w:top w:w="80" w:type="dxa"/>
              <w:left w:w="120" w:type="dxa"/>
              <w:bottom w:w="80" w:type="dxa"/>
              <w:right w:w="120" w:type="dxa"/>
            </w:tcMar>
            <w:vAlign w:val="center"/>
          </w:tcPr>
          <w:p w14:paraId="728FA385" w14:textId="77777777" w:rsidR="00764D9A" w:rsidRPr="00E546C7" w:rsidRDefault="00764D9A" w:rsidP="00B11AF1">
            <w:pPr>
              <w:pStyle w:val="TableText"/>
              <w:rPr>
                <w:rFonts w:cs="Times New Roman"/>
              </w:rPr>
            </w:pPr>
            <w:r w:rsidRPr="00E546C7">
              <w:rPr>
                <w:rFonts w:eastAsia="Times New Roman" w:cs="Times New Roman"/>
                <w:sz w:val="16"/>
              </w:rPr>
              <w:t>6. Adidas's marketing communications increase my intention to purchase Adidas products.</w:t>
            </w:r>
          </w:p>
        </w:tc>
        <w:tc>
          <w:tcPr>
            <w:tcW w:w="1280" w:type="dxa"/>
            <w:shd w:val="clear" w:color="auto" w:fill="F2F4F7"/>
            <w:tcMar>
              <w:top w:w="80" w:type="dxa"/>
              <w:left w:w="120" w:type="dxa"/>
              <w:bottom w:w="80" w:type="dxa"/>
              <w:right w:w="120" w:type="dxa"/>
            </w:tcMar>
            <w:vAlign w:val="center"/>
          </w:tcPr>
          <w:p w14:paraId="0B8108D3" w14:textId="77777777" w:rsidR="00764D9A" w:rsidRPr="00E546C7" w:rsidRDefault="00764D9A" w:rsidP="00B11AF1">
            <w:pPr>
              <w:pStyle w:val="TableText"/>
              <w:jc w:val="center"/>
              <w:rPr>
                <w:rFonts w:cs="Times New Roman"/>
              </w:rPr>
            </w:pPr>
            <w:r w:rsidRPr="00E546C7">
              <w:rPr>
                <w:rFonts w:eastAsia="Times New Roman" w:cs="Times New Roman"/>
                <w:sz w:val="16"/>
              </w:rPr>
              <w:t>Purchase intention</w:t>
            </w:r>
          </w:p>
        </w:tc>
        <w:tc>
          <w:tcPr>
            <w:tcW w:w="1700" w:type="dxa"/>
            <w:shd w:val="clear" w:color="auto" w:fill="F2F4F7"/>
            <w:tcMar>
              <w:top w:w="80" w:type="dxa"/>
              <w:left w:w="120" w:type="dxa"/>
              <w:bottom w:w="80" w:type="dxa"/>
              <w:right w:w="120" w:type="dxa"/>
            </w:tcMar>
            <w:vAlign w:val="center"/>
          </w:tcPr>
          <w:p w14:paraId="703C4284" w14:textId="77777777" w:rsidR="00764D9A" w:rsidRPr="00E546C7" w:rsidRDefault="00764D9A" w:rsidP="00B11AF1">
            <w:pPr>
              <w:pStyle w:val="TableText"/>
              <w:rPr>
                <w:rFonts w:cs="Times New Roman"/>
              </w:rPr>
            </w:pPr>
            <w:r w:rsidRPr="00E546C7">
              <w:rPr>
                <w:rFonts w:eastAsia="Times New Roman" w:cs="Times New Roman"/>
                <w:sz w:val="16"/>
              </w:rPr>
              <w:t>Objective 2; H1 outcome</w:t>
            </w:r>
          </w:p>
        </w:tc>
        <w:tc>
          <w:tcPr>
            <w:tcW w:w="1840" w:type="dxa"/>
            <w:shd w:val="clear" w:color="auto" w:fill="F2F4F7"/>
            <w:tcMar>
              <w:top w:w="80" w:type="dxa"/>
              <w:left w:w="120" w:type="dxa"/>
              <w:bottom w:w="80" w:type="dxa"/>
              <w:right w:w="120" w:type="dxa"/>
            </w:tcMar>
            <w:vAlign w:val="center"/>
          </w:tcPr>
          <w:p w14:paraId="52D0C72D" w14:textId="77777777" w:rsidR="00764D9A" w:rsidRPr="00E546C7" w:rsidRDefault="00764D9A" w:rsidP="00B11AF1">
            <w:pPr>
              <w:pStyle w:val="TableText"/>
              <w:rPr>
                <w:rFonts w:cs="Times New Roman"/>
              </w:rPr>
            </w:pPr>
            <w:r w:rsidRPr="00E546C7">
              <w:rPr>
                <w:rFonts w:eastAsia="Times New Roman" w:cs="Times New Roman"/>
                <w:sz w:val="16"/>
              </w:rPr>
              <w:t>Tricomponent Model; Kim and Oh (2020)</w:t>
            </w:r>
          </w:p>
        </w:tc>
      </w:tr>
      <w:tr w:rsidR="00764D9A" w:rsidRPr="00E546C7" w14:paraId="356104BD" w14:textId="77777777" w:rsidTr="00B11AF1">
        <w:trPr>
          <w:cantSplit/>
        </w:trPr>
        <w:tc>
          <w:tcPr>
            <w:tcW w:w="650" w:type="dxa"/>
            <w:tcMar>
              <w:top w:w="80" w:type="dxa"/>
              <w:left w:w="120" w:type="dxa"/>
              <w:bottom w:w="80" w:type="dxa"/>
              <w:right w:w="120" w:type="dxa"/>
            </w:tcMar>
            <w:vAlign w:val="center"/>
          </w:tcPr>
          <w:p w14:paraId="7B5A3CF4" w14:textId="77777777" w:rsidR="00764D9A" w:rsidRPr="00E546C7" w:rsidRDefault="00764D9A" w:rsidP="00B11AF1">
            <w:pPr>
              <w:pStyle w:val="TableText"/>
              <w:rPr>
                <w:rFonts w:cs="Times New Roman"/>
              </w:rPr>
            </w:pPr>
            <w:r w:rsidRPr="00E546C7">
              <w:rPr>
                <w:rFonts w:eastAsia="Times New Roman" w:cs="Times New Roman"/>
                <w:sz w:val="16"/>
              </w:rPr>
              <w:t>Q7</w:t>
            </w:r>
          </w:p>
        </w:tc>
        <w:tc>
          <w:tcPr>
            <w:tcW w:w="3550" w:type="dxa"/>
            <w:tcMar>
              <w:top w:w="80" w:type="dxa"/>
              <w:left w:w="120" w:type="dxa"/>
              <w:bottom w:w="80" w:type="dxa"/>
              <w:right w:w="120" w:type="dxa"/>
            </w:tcMar>
            <w:vAlign w:val="center"/>
          </w:tcPr>
          <w:p w14:paraId="4FE143F7" w14:textId="77777777" w:rsidR="00764D9A" w:rsidRPr="00E546C7" w:rsidRDefault="00764D9A" w:rsidP="00B11AF1">
            <w:pPr>
              <w:pStyle w:val="TableText"/>
              <w:rPr>
                <w:rFonts w:cs="Times New Roman"/>
              </w:rPr>
            </w:pPr>
            <w:r w:rsidRPr="00E546C7">
              <w:rPr>
                <w:rFonts w:eastAsia="Times New Roman" w:cs="Times New Roman"/>
                <w:sz w:val="16"/>
              </w:rPr>
              <w:t>7. Which of the following Adidas promotional methods do you consider the most effective?</w:t>
            </w:r>
          </w:p>
        </w:tc>
        <w:tc>
          <w:tcPr>
            <w:tcW w:w="1280" w:type="dxa"/>
            <w:tcMar>
              <w:top w:w="80" w:type="dxa"/>
              <w:left w:w="120" w:type="dxa"/>
              <w:bottom w:w="80" w:type="dxa"/>
              <w:right w:w="120" w:type="dxa"/>
            </w:tcMar>
            <w:vAlign w:val="center"/>
          </w:tcPr>
          <w:p w14:paraId="0FF94728" w14:textId="77777777" w:rsidR="00764D9A" w:rsidRPr="00E546C7" w:rsidRDefault="00764D9A" w:rsidP="00B11AF1">
            <w:pPr>
              <w:pStyle w:val="TableText"/>
              <w:jc w:val="center"/>
              <w:rPr>
                <w:rFonts w:cs="Times New Roman"/>
              </w:rPr>
            </w:pPr>
            <w:r w:rsidRPr="00E546C7">
              <w:rPr>
                <w:rFonts w:eastAsia="Times New Roman" w:cs="Times New Roman"/>
                <w:sz w:val="16"/>
              </w:rPr>
              <w:t>Channel preference</w:t>
            </w:r>
          </w:p>
        </w:tc>
        <w:tc>
          <w:tcPr>
            <w:tcW w:w="1700" w:type="dxa"/>
            <w:tcMar>
              <w:top w:w="80" w:type="dxa"/>
              <w:left w:w="120" w:type="dxa"/>
              <w:bottom w:w="80" w:type="dxa"/>
              <w:right w:w="120" w:type="dxa"/>
            </w:tcMar>
            <w:vAlign w:val="center"/>
          </w:tcPr>
          <w:p w14:paraId="692B76A3" w14:textId="77777777" w:rsidR="00764D9A" w:rsidRPr="00E546C7" w:rsidRDefault="00764D9A" w:rsidP="00B11AF1">
            <w:pPr>
              <w:pStyle w:val="TableText"/>
              <w:rPr>
                <w:rFonts w:cs="Times New Roman"/>
              </w:rPr>
            </w:pPr>
            <w:r w:rsidRPr="00E546C7">
              <w:rPr>
                <w:rFonts w:eastAsia="Times New Roman" w:cs="Times New Roman"/>
                <w:sz w:val="16"/>
              </w:rPr>
              <w:t>Objectives 1 and 2 context</w:t>
            </w:r>
          </w:p>
        </w:tc>
        <w:tc>
          <w:tcPr>
            <w:tcW w:w="1840" w:type="dxa"/>
            <w:tcMar>
              <w:top w:w="80" w:type="dxa"/>
              <w:left w:w="120" w:type="dxa"/>
              <w:bottom w:w="80" w:type="dxa"/>
              <w:right w:w="120" w:type="dxa"/>
            </w:tcMar>
            <w:vAlign w:val="center"/>
          </w:tcPr>
          <w:p w14:paraId="43733264" w14:textId="77777777" w:rsidR="00764D9A" w:rsidRPr="00E546C7" w:rsidRDefault="00764D9A" w:rsidP="00B11AF1">
            <w:pPr>
              <w:pStyle w:val="TableText"/>
              <w:rPr>
                <w:rFonts w:cs="Times New Roman"/>
              </w:rPr>
            </w:pPr>
            <w:r w:rsidRPr="00E546C7">
              <w:rPr>
                <w:rFonts w:eastAsia="Times New Roman" w:cs="Times New Roman"/>
                <w:sz w:val="16"/>
              </w:rPr>
              <w:t>Schramm; Lee (2021)</w:t>
            </w:r>
          </w:p>
        </w:tc>
      </w:tr>
      <w:tr w:rsidR="00764D9A" w:rsidRPr="00E546C7" w14:paraId="60B7C5F1" w14:textId="77777777" w:rsidTr="00B11AF1">
        <w:trPr>
          <w:cantSplit/>
        </w:trPr>
        <w:tc>
          <w:tcPr>
            <w:tcW w:w="650" w:type="dxa"/>
            <w:shd w:val="clear" w:color="auto" w:fill="F2F4F7"/>
            <w:tcMar>
              <w:top w:w="80" w:type="dxa"/>
              <w:left w:w="120" w:type="dxa"/>
              <w:bottom w:w="80" w:type="dxa"/>
              <w:right w:w="120" w:type="dxa"/>
            </w:tcMar>
            <w:vAlign w:val="center"/>
          </w:tcPr>
          <w:p w14:paraId="65FF9B67" w14:textId="77777777" w:rsidR="00764D9A" w:rsidRPr="00E546C7" w:rsidRDefault="00764D9A" w:rsidP="00B11AF1">
            <w:pPr>
              <w:pStyle w:val="TableText"/>
              <w:rPr>
                <w:rFonts w:cs="Times New Roman"/>
              </w:rPr>
            </w:pPr>
            <w:r w:rsidRPr="00E546C7">
              <w:rPr>
                <w:rFonts w:eastAsia="Times New Roman" w:cs="Times New Roman"/>
                <w:sz w:val="16"/>
              </w:rPr>
              <w:t>Q8</w:t>
            </w:r>
          </w:p>
        </w:tc>
        <w:tc>
          <w:tcPr>
            <w:tcW w:w="3550" w:type="dxa"/>
            <w:shd w:val="clear" w:color="auto" w:fill="F2F4F7"/>
            <w:tcMar>
              <w:top w:w="80" w:type="dxa"/>
              <w:left w:w="120" w:type="dxa"/>
              <w:bottom w:w="80" w:type="dxa"/>
              <w:right w:w="120" w:type="dxa"/>
            </w:tcMar>
            <w:vAlign w:val="center"/>
          </w:tcPr>
          <w:p w14:paraId="19F9A8F8" w14:textId="77777777" w:rsidR="00764D9A" w:rsidRPr="00E546C7" w:rsidRDefault="00764D9A" w:rsidP="00B11AF1">
            <w:pPr>
              <w:pStyle w:val="TableText"/>
              <w:rPr>
                <w:rFonts w:cs="Times New Roman"/>
              </w:rPr>
            </w:pPr>
            <w:r w:rsidRPr="00E546C7">
              <w:rPr>
                <w:rFonts w:eastAsia="Times New Roman" w:cs="Times New Roman"/>
                <w:sz w:val="16"/>
              </w:rPr>
              <w:t>8. Which of the following promotional incentives would most encourage you to repurchase Adidas products?</w:t>
            </w:r>
          </w:p>
        </w:tc>
        <w:tc>
          <w:tcPr>
            <w:tcW w:w="1280" w:type="dxa"/>
            <w:shd w:val="clear" w:color="auto" w:fill="F2F4F7"/>
            <w:tcMar>
              <w:top w:w="80" w:type="dxa"/>
              <w:left w:w="120" w:type="dxa"/>
              <w:bottom w:w="80" w:type="dxa"/>
              <w:right w:w="120" w:type="dxa"/>
            </w:tcMar>
            <w:vAlign w:val="center"/>
          </w:tcPr>
          <w:p w14:paraId="19D3F0D0" w14:textId="77777777" w:rsidR="00764D9A" w:rsidRPr="00E546C7" w:rsidRDefault="00764D9A" w:rsidP="00B11AF1">
            <w:pPr>
              <w:pStyle w:val="TableText"/>
              <w:rPr>
                <w:rFonts w:cs="Times New Roman"/>
              </w:rPr>
            </w:pPr>
            <w:r w:rsidRPr="00E546C7">
              <w:rPr>
                <w:rFonts w:eastAsia="Times New Roman" w:cs="Times New Roman"/>
                <w:sz w:val="16"/>
              </w:rPr>
              <w:t>Repurchase incentive</w:t>
            </w:r>
          </w:p>
        </w:tc>
        <w:tc>
          <w:tcPr>
            <w:tcW w:w="1700" w:type="dxa"/>
            <w:shd w:val="clear" w:color="auto" w:fill="F2F4F7"/>
            <w:tcMar>
              <w:top w:w="80" w:type="dxa"/>
              <w:left w:w="120" w:type="dxa"/>
              <w:bottom w:w="80" w:type="dxa"/>
              <w:right w:w="120" w:type="dxa"/>
            </w:tcMar>
            <w:vAlign w:val="center"/>
          </w:tcPr>
          <w:p w14:paraId="72CA104F" w14:textId="77777777" w:rsidR="00764D9A" w:rsidRPr="00E546C7" w:rsidRDefault="00764D9A" w:rsidP="00B11AF1">
            <w:pPr>
              <w:pStyle w:val="TableText"/>
              <w:rPr>
                <w:rFonts w:cs="Times New Roman"/>
              </w:rPr>
            </w:pPr>
            <w:r w:rsidRPr="00E546C7">
              <w:rPr>
                <w:rFonts w:eastAsia="Times New Roman" w:cs="Times New Roman"/>
                <w:sz w:val="16"/>
              </w:rPr>
              <w:t>Objective 3; H2 context</w:t>
            </w:r>
          </w:p>
        </w:tc>
        <w:tc>
          <w:tcPr>
            <w:tcW w:w="1840" w:type="dxa"/>
            <w:shd w:val="clear" w:color="auto" w:fill="F2F4F7"/>
            <w:tcMar>
              <w:top w:w="80" w:type="dxa"/>
              <w:left w:w="120" w:type="dxa"/>
              <w:bottom w:w="80" w:type="dxa"/>
              <w:right w:w="120" w:type="dxa"/>
            </w:tcMar>
            <w:vAlign w:val="center"/>
          </w:tcPr>
          <w:p w14:paraId="4CE0A21B" w14:textId="77777777" w:rsidR="00764D9A" w:rsidRPr="00E546C7" w:rsidRDefault="00764D9A" w:rsidP="00B11AF1">
            <w:pPr>
              <w:pStyle w:val="TableText"/>
              <w:jc w:val="center"/>
              <w:rPr>
                <w:rFonts w:cs="Times New Roman"/>
              </w:rPr>
            </w:pPr>
            <w:r w:rsidRPr="00E546C7">
              <w:rPr>
                <w:rFonts w:eastAsia="Times New Roman" w:cs="Times New Roman"/>
                <w:sz w:val="16"/>
              </w:rPr>
              <w:t>Loyalty Ladder</w:t>
            </w:r>
          </w:p>
        </w:tc>
      </w:tr>
      <w:tr w:rsidR="00764D9A" w:rsidRPr="00E546C7" w14:paraId="2588AC6F" w14:textId="77777777" w:rsidTr="00B11AF1">
        <w:trPr>
          <w:cantSplit/>
        </w:trPr>
        <w:tc>
          <w:tcPr>
            <w:tcW w:w="650" w:type="dxa"/>
            <w:tcMar>
              <w:top w:w="80" w:type="dxa"/>
              <w:left w:w="120" w:type="dxa"/>
              <w:bottom w:w="80" w:type="dxa"/>
              <w:right w:w="120" w:type="dxa"/>
            </w:tcMar>
            <w:vAlign w:val="center"/>
          </w:tcPr>
          <w:p w14:paraId="05318A1E" w14:textId="77777777" w:rsidR="00764D9A" w:rsidRPr="00E546C7" w:rsidRDefault="00764D9A" w:rsidP="00B11AF1">
            <w:pPr>
              <w:pStyle w:val="TableText"/>
              <w:rPr>
                <w:rFonts w:cs="Times New Roman"/>
              </w:rPr>
            </w:pPr>
            <w:r w:rsidRPr="00E546C7">
              <w:rPr>
                <w:rFonts w:eastAsia="Times New Roman" w:cs="Times New Roman"/>
                <w:sz w:val="16"/>
              </w:rPr>
              <w:t>Q9</w:t>
            </w:r>
          </w:p>
        </w:tc>
        <w:tc>
          <w:tcPr>
            <w:tcW w:w="3550" w:type="dxa"/>
            <w:tcMar>
              <w:top w:w="80" w:type="dxa"/>
              <w:left w:w="120" w:type="dxa"/>
              <w:bottom w:w="80" w:type="dxa"/>
              <w:right w:w="120" w:type="dxa"/>
            </w:tcMar>
            <w:vAlign w:val="center"/>
          </w:tcPr>
          <w:p w14:paraId="588C5306" w14:textId="77777777" w:rsidR="00764D9A" w:rsidRPr="00E546C7" w:rsidRDefault="00764D9A" w:rsidP="00B11AF1">
            <w:pPr>
              <w:pStyle w:val="TableText"/>
              <w:rPr>
                <w:rFonts w:cs="Times New Roman"/>
              </w:rPr>
            </w:pPr>
            <w:r w:rsidRPr="00E546C7">
              <w:rPr>
                <w:rFonts w:eastAsia="Times New Roman" w:cs="Times New Roman"/>
                <w:sz w:val="16"/>
              </w:rPr>
              <w:t xml:space="preserve">9.  Overall, positive perceptions of Adidas's integrated marketing communications increase my </w:t>
            </w:r>
            <w:proofErr w:type="spellStart"/>
            <w:r w:rsidRPr="00E546C7">
              <w:rPr>
                <w:rFonts w:eastAsia="Times New Roman" w:cs="Times New Roman"/>
                <w:sz w:val="16"/>
              </w:rPr>
              <w:t>favourable</w:t>
            </w:r>
            <w:proofErr w:type="spellEnd"/>
            <w:r w:rsidRPr="00E546C7">
              <w:rPr>
                <w:rFonts w:eastAsia="Times New Roman" w:cs="Times New Roman"/>
                <w:sz w:val="16"/>
              </w:rPr>
              <w:t xml:space="preserve"> attitude and willingness to purchase Adidas products.</w:t>
            </w:r>
          </w:p>
        </w:tc>
        <w:tc>
          <w:tcPr>
            <w:tcW w:w="1280" w:type="dxa"/>
            <w:tcMar>
              <w:top w:w="80" w:type="dxa"/>
              <w:left w:w="120" w:type="dxa"/>
              <w:bottom w:w="80" w:type="dxa"/>
              <w:right w:w="120" w:type="dxa"/>
            </w:tcMar>
            <w:vAlign w:val="center"/>
          </w:tcPr>
          <w:p w14:paraId="1A59FAE1" w14:textId="77777777" w:rsidR="00764D9A" w:rsidRPr="00E546C7" w:rsidRDefault="00764D9A" w:rsidP="00B11AF1">
            <w:pPr>
              <w:pStyle w:val="TableText"/>
              <w:jc w:val="center"/>
              <w:rPr>
                <w:rFonts w:cs="Times New Roman"/>
              </w:rPr>
            </w:pPr>
            <w:r w:rsidRPr="00E546C7">
              <w:rPr>
                <w:rFonts w:eastAsia="Times New Roman" w:cs="Times New Roman"/>
                <w:sz w:val="16"/>
              </w:rPr>
              <w:t>Global H1 belief</w:t>
            </w:r>
          </w:p>
        </w:tc>
        <w:tc>
          <w:tcPr>
            <w:tcW w:w="1700" w:type="dxa"/>
            <w:tcMar>
              <w:top w:w="80" w:type="dxa"/>
              <w:left w:w="120" w:type="dxa"/>
              <w:bottom w:w="80" w:type="dxa"/>
              <w:right w:w="120" w:type="dxa"/>
            </w:tcMar>
            <w:vAlign w:val="center"/>
          </w:tcPr>
          <w:p w14:paraId="08FA3A38" w14:textId="77777777" w:rsidR="00764D9A" w:rsidRPr="00E546C7" w:rsidRDefault="00764D9A" w:rsidP="00B11AF1">
            <w:pPr>
              <w:pStyle w:val="TableText"/>
              <w:rPr>
                <w:rFonts w:cs="Times New Roman"/>
              </w:rPr>
            </w:pPr>
            <w:r w:rsidRPr="00E546C7">
              <w:rPr>
                <w:rFonts w:eastAsia="Times New Roman" w:cs="Times New Roman"/>
                <w:sz w:val="16"/>
              </w:rPr>
              <w:t>Objective 2; corroborative only</w:t>
            </w:r>
          </w:p>
        </w:tc>
        <w:tc>
          <w:tcPr>
            <w:tcW w:w="1840" w:type="dxa"/>
            <w:tcMar>
              <w:top w:w="80" w:type="dxa"/>
              <w:left w:w="120" w:type="dxa"/>
              <w:bottom w:w="80" w:type="dxa"/>
              <w:right w:w="120" w:type="dxa"/>
            </w:tcMar>
            <w:vAlign w:val="center"/>
          </w:tcPr>
          <w:p w14:paraId="02983DD4" w14:textId="77777777" w:rsidR="00764D9A" w:rsidRPr="00E546C7" w:rsidRDefault="00764D9A" w:rsidP="00B11AF1">
            <w:pPr>
              <w:pStyle w:val="TableText"/>
              <w:jc w:val="center"/>
              <w:rPr>
                <w:rFonts w:cs="Times New Roman"/>
              </w:rPr>
            </w:pPr>
            <w:r w:rsidRPr="00E546C7">
              <w:rPr>
                <w:rFonts w:eastAsia="Times New Roman" w:cs="Times New Roman"/>
                <w:sz w:val="16"/>
              </w:rPr>
              <w:t>Tricomponent Model</w:t>
            </w:r>
          </w:p>
        </w:tc>
      </w:tr>
      <w:tr w:rsidR="00764D9A" w:rsidRPr="00E546C7" w14:paraId="4C8F0A62" w14:textId="77777777" w:rsidTr="00B11AF1">
        <w:trPr>
          <w:cantSplit/>
        </w:trPr>
        <w:tc>
          <w:tcPr>
            <w:tcW w:w="650" w:type="dxa"/>
            <w:shd w:val="clear" w:color="auto" w:fill="F2F4F7"/>
            <w:tcMar>
              <w:top w:w="80" w:type="dxa"/>
              <w:left w:w="120" w:type="dxa"/>
              <w:bottom w:w="80" w:type="dxa"/>
              <w:right w:w="120" w:type="dxa"/>
            </w:tcMar>
            <w:vAlign w:val="center"/>
          </w:tcPr>
          <w:p w14:paraId="074BDD92" w14:textId="77777777" w:rsidR="00764D9A" w:rsidRPr="00E546C7" w:rsidRDefault="00764D9A" w:rsidP="00B11AF1">
            <w:pPr>
              <w:pStyle w:val="TableText"/>
              <w:rPr>
                <w:rFonts w:cs="Times New Roman"/>
              </w:rPr>
            </w:pPr>
            <w:r w:rsidRPr="00E546C7">
              <w:rPr>
                <w:rFonts w:eastAsia="Times New Roman" w:cs="Times New Roman"/>
                <w:sz w:val="16"/>
              </w:rPr>
              <w:t>Q10</w:t>
            </w:r>
          </w:p>
        </w:tc>
        <w:tc>
          <w:tcPr>
            <w:tcW w:w="3550" w:type="dxa"/>
            <w:shd w:val="clear" w:color="auto" w:fill="F2F4F7"/>
            <w:tcMar>
              <w:top w:w="80" w:type="dxa"/>
              <w:left w:w="120" w:type="dxa"/>
              <w:bottom w:w="80" w:type="dxa"/>
              <w:right w:w="120" w:type="dxa"/>
            </w:tcMar>
            <w:vAlign w:val="center"/>
          </w:tcPr>
          <w:p w14:paraId="047FD9D9" w14:textId="77777777" w:rsidR="00764D9A" w:rsidRPr="00E546C7" w:rsidRDefault="00764D9A" w:rsidP="00B11AF1">
            <w:pPr>
              <w:pStyle w:val="TableText"/>
              <w:rPr>
                <w:rFonts w:cs="Times New Roman"/>
              </w:rPr>
            </w:pPr>
            <w:r w:rsidRPr="00E546C7">
              <w:rPr>
                <w:rFonts w:eastAsia="Times New Roman" w:cs="Times New Roman"/>
                <w:sz w:val="16"/>
              </w:rPr>
              <w:t>10. Overall, positive perceptions of Adidas's integrated marketing communications strengthen my loyalty toward Adidas.</w:t>
            </w:r>
          </w:p>
        </w:tc>
        <w:tc>
          <w:tcPr>
            <w:tcW w:w="1280" w:type="dxa"/>
            <w:shd w:val="clear" w:color="auto" w:fill="F2F4F7"/>
            <w:tcMar>
              <w:top w:w="80" w:type="dxa"/>
              <w:left w:w="120" w:type="dxa"/>
              <w:bottom w:w="80" w:type="dxa"/>
              <w:right w:w="120" w:type="dxa"/>
            </w:tcMar>
            <w:vAlign w:val="center"/>
          </w:tcPr>
          <w:p w14:paraId="37D508F6" w14:textId="77777777" w:rsidR="00764D9A" w:rsidRPr="00E546C7" w:rsidRDefault="00764D9A" w:rsidP="00B11AF1">
            <w:pPr>
              <w:pStyle w:val="TableText"/>
              <w:jc w:val="center"/>
              <w:rPr>
                <w:rFonts w:cs="Times New Roman"/>
              </w:rPr>
            </w:pPr>
            <w:r w:rsidRPr="00E546C7">
              <w:rPr>
                <w:rFonts w:eastAsia="Times New Roman" w:cs="Times New Roman"/>
                <w:sz w:val="16"/>
              </w:rPr>
              <w:t>Global loyalty</w:t>
            </w:r>
          </w:p>
        </w:tc>
        <w:tc>
          <w:tcPr>
            <w:tcW w:w="1700" w:type="dxa"/>
            <w:shd w:val="clear" w:color="auto" w:fill="F2F4F7"/>
            <w:tcMar>
              <w:top w:w="80" w:type="dxa"/>
              <w:left w:w="120" w:type="dxa"/>
              <w:bottom w:w="80" w:type="dxa"/>
              <w:right w:w="120" w:type="dxa"/>
            </w:tcMar>
            <w:vAlign w:val="center"/>
          </w:tcPr>
          <w:p w14:paraId="02C5A8E0" w14:textId="77777777" w:rsidR="00764D9A" w:rsidRPr="00E546C7" w:rsidRDefault="00764D9A" w:rsidP="00B11AF1">
            <w:pPr>
              <w:pStyle w:val="TableText"/>
              <w:rPr>
                <w:rFonts w:cs="Times New Roman"/>
              </w:rPr>
            </w:pPr>
            <w:r w:rsidRPr="00E546C7">
              <w:rPr>
                <w:rFonts w:eastAsia="Times New Roman" w:cs="Times New Roman"/>
                <w:sz w:val="16"/>
              </w:rPr>
              <w:t>Objective 3; H2 outcome</w:t>
            </w:r>
          </w:p>
        </w:tc>
        <w:tc>
          <w:tcPr>
            <w:tcW w:w="1840" w:type="dxa"/>
            <w:shd w:val="clear" w:color="auto" w:fill="F2F4F7"/>
            <w:tcMar>
              <w:top w:w="80" w:type="dxa"/>
              <w:left w:w="120" w:type="dxa"/>
              <w:bottom w:w="80" w:type="dxa"/>
              <w:right w:w="120" w:type="dxa"/>
            </w:tcMar>
            <w:vAlign w:val="center"/>
          </w:tcPr>
          <w:p w14:paraId="73EC553D" w14:textId="77777777" w:rsidR="00764D9A" w:rsidRPr="00E546C7" w:rsidRDefault="00764D9A" w:rsidP="00B11AF1">
            <w:pPr>
              <w:pStyle w:val="TableText"/>
              <w:jc w:val="center"/>
              <w:rPr>
                <w:rFonts w:cs="Times New Roman"/>
              </w:rPr>
            </w:pPr>
            <w:r w:rsidRPr="00E546C7">
              <w:rPr>
                <w:rFonts w:eastAsia="Times New Roman" w:cs="Times New Roman"/>
                <w:sz w:val="16"/>
              </w:rPr>
              <w:t>Loyalty Ladder</w:t>
            </w:r>
          </w:p>
        </w:tc>
      </w:tr>
    </w:tbl>
    <w:p w14:paraId="268E40B9" w14:textId="77777777" w:rsidR="00764D9A" w:rsidRPr="00E546C7" w:rsidRDefault="00764D9A" w:rsidP="00764D9A">
      <w:pPr>
        <w:pStyle w:val="SourceNote"/>
        <w:rPr>
          <w:rFonts w:cs="Times New Roman"/>
        </w:rPr>
      </w:pPr>
      <w:r w:rsidRPr="00E546C7">
        <w:rPr>
          <w:rFonts w:eastAsia="Times New Roman" w:cs="Times New Roman"/>
        </w:rPr>
        <w:t>Source: Survey instrument and Chapter 2 conceptual framework.</w:t>
      </w:r>
    </w:p>
    <w:p w14:paraId="3A55BAFF" w14:textId="77777777" w:rsidR="00764D9A" w:rsidRPr="00E546C7" w:rsidRDefault="00764D9A" w:rsidP="00764D9A">
      <w:pPr>
        <w:pStyle w:val="Heading1"/>
        <w:pageBreakBefore/>
        <w:rPr>
          <w:rFonts w:cs="Times New Roman"/>
        </w:rPr>
      </w:pPr>
      <w:bookmarkStart w:id="88" w:name="_Toc239819743"/>
      <w:r w:rsidRPr="00E546C7">
        <w:rPr>
          <w:rFonts w:cs="Times New Roman"/>
        </w:rPr>
        <w:t>Appendix B: Complete Question-Level Frequency Tables</w:t>
      </w:r>
      <w:bookmarkEnd w:id="88"/>
    </w:p>
    <w:p w14:paraId="05F38E8C" w14:textId="77777777" w:rsidR="00764D9A" w:rsidRPr="00E546C7" w:rsidRDefault="00764D9A" w:rsidP="00C367A5">
      <w:pPr>
        <w:rPr>
          <w:b/>
          <w:bCs/>
        </w:rPr>
      </w:pPr>
      <w:r w:rsidRPr="00E546C7">
        <w:rPr>
          <w:b/>
          <w:bCs/>
        </w:rPr>
        <w:t>Q1: What is your age group?</w:t>
      </w:r>
    </w:p>
    <w:p w14:paraId="6BB05664" w14:textId="77777777" w:rsidR="00764D9A" w:rsidRPr="00E546C7" w:rsidRDefault="00764D9A" w:rsidP="00764D9A">
      <w:pPr>
        <w:pStyle w:val="Caption"/>
        <w:jc w:val="left"/>
        <w:rPr>
          <w:rFonts w:cs="Times New Roman"/>
        </w:rPr>
      </w:pPr>
      <w:r w:rsidRPr="00E546C7">
        <w:rPr>
          <w:rFonts w:eastAsia="Times New Roman" w:cs="Times New Roman"/>
          <w:color w:val="1F2933"/>
        </w:rPr>
        <w:t>Table B1: Complete Frequency Distribution for Q1</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682BDCBA" w14:textId="77777777" w:rsidTr="00B11AF1">
        <w:trPr>
          <w:cantSplit/>
          <w:tblHeader/>
        </w:trPr>
        <w:tc>
          <w:tcPr>
            <w:tcW w:w="5400" w:type="dxa"/>
            <w:shd w:val="clear" w:color="auto" w:fill="17365D"/>
            <w:tcMar>
              <w:top w:w="80" w:type="dxa"/>
              <w:left w:w="120" w:type="dxa"/>
              <w:bottom w:w="80" w:type="dxa"/>
              <w:right w:w="120" w:type="dxa"/>
            </w:tcMar>
            <w:vAlign w:val="center"/>
          </w:tcPr>
          <w:p w14:paraId="66EF29BF"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00216220"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1BBE2205"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713C6ABE" w14:textId="77777777" w:rsidTr="00B11AF1">
        <w:trPr>
          <w:cantSplit/>
        </w:trPr>
        <w:tc>
          <w:tcPr>
            <w:tcW w:w="5400" w:type="dxa"/>
            <w:tcMar>
              <w:top w:w="80" w:type="dxa"/>
              <w:left w:w="120" w:type="dxa"/>
              <w:bottom w:w="80" w:type="dxa"/>
              <w:right w:w="120" w:type="dxa"/>
            </w:tcMar>
            <w:vAlign w:val="center"/>
          </w:tcPr>
          <w:p w14:paraId="75BFBBA9" w14:textId="77777777" w:rsidR="00764D9A" w:rsidRPr="00E546C7" w:rsidRDefault="00764D9A" w:rsidP="00B11AF1">
            <w:pPr>
              <w:pStyle w:val="TableText"/>
              <w:keepNext/>
              <w:rPr>
                <w:rFonts w:cs="Times New Roman"/>
              </w:rPr>
            </w:pPr>
            <w:r w:rsidRPr="00E546C7">
              <w:rPr>
                <w:rFonts w:eastAsia="Times New Roman" w:cs="Times New Roman"/>
                <w:sz w:val="18"/>
              </w:rPr>
              <w:t>18-24</w:t>
            </w:r>
          </w:p>
        </w:tc>
        <w:tc>
          <w:tcPr>
            <w:tcW w:w="1700" w:type="dxa"/>
            <w:tcMar>
              <w:top w:w="80" w:type="dxa"/>
              <w:left w:w="120" w:type="dxa"/>
              <w:bottom w:w="80" w:type="dxa"/>
              <w:right w:w="120" w:type="dxa"/>
            </w:tcMar>
            <w:vAlign w:val="center"/>
          </w:tcPr>
          <w:p w14:paraId="578F3868" w14:textId="77777777" w:rsidR="00764D9A" w:rsidRPr="00E546C7" w:rsidRDefault="00764D9A" w:rsidP="00B11AF1">
            <w:pPr>
              <w:pStyle w:val="TableText"/>
              <w:keepNext/>
              <w:jc w:val="center"/>
              <w:rPr>
                <w:rFonts w:cs="Times New Roman"/>
              </w:rPr>
            </w:pPr>
            <w:r w:rsidRPr="00E546C7">
              <w:rPr>
                <w:rFonts w:eastAsia="Times New Roman" w:cs="Times New Roman"/>
                <w:sz w:val="18"/>
              </w:rPr>
              <w:t>5</w:t>
            </w:r>
          </w:p>
        </w:tc>
        <w:tc>
          <w:tcPr>
            <w:tcW w:w="1920" w:type="dxa"/>
            <w:tcMar>
              <w:top w:w="80" w:type="dxa"/>
              <w:left w:w="120" w:type="dxa"/>
              <w:bottom w:w="80" w:type="dxa"/>
              <w:right w:w="120" w:type="dxa"/>
            </w:tcMar>
            <w:vAlign w:val="center"/>
          </w:tcPr>
          <w:p w14:paraId="2C73CAEB" w14:textId="77777777" w:rsidR="00764D9A" w:rsidRPr="00E546C7" w:rsidRDefault="00764D9A" w:rsidP="00B11AF1">
            <w:pPr>
              <w:pStyle w:val="TableText"/>
              <w:keepNext/>
              <w:jc w:val="center"/>
              <w:rPr>
                <w:rFonts w:cs="Times New Roman"/>
              </w:rPr>
            </w:pPr>
            <w:r w:rsidRPr="00E546C7">
              <w:rPr>
                <w:rFonts w:eastAsia="Times New Roman" w:cs="Times New Roman"/>
                <w:sz w:val="18"/>
              </w:rPr>
              <w:t>10.0%</w:t>
            </w:r>
          </w:p>
        </w:tc>
      </w:tr>
      <w:tr w:rsidR="00764D9A" w:rsidRPr="00E546C7" w14:paraId="781070FA" w14:textId="77777777" w:rsidTr="00B11AF1">
        <w:trPr>
          <w:cantSplit/>
        </w:trPr>
        <w:tc>
          <w:tcPr>
            <w:tcW w:w="5400" w:type="dxa"/>
            <w:shd w:val="clear" w:color="auto" w:fill="F2F4F7"/>
            <w:tcMar>
              <w:top w:w="80" w:type="dxa"/>
              <w:left w:w="120" w:type="dxa"/>
              <w:bottom w:w="80" w:type="dxa"/>
              <w:right w:w="120" w:type="dxa"/>
            </w:tcMar>
            <w:vAlign w:val="center"/>
          </w:tcPr>
          <w:p w14:paraId="35D7DEE7" w14:textId="77777777" w:rsidR="00764D9A" w:rsidRPr="00E546C7" w:rsidRDefault="00764D9A" w:rsidP="00B11AF1">
            <w:pPr>
              <w:pStyle w:val="TableText"/>
              <w:keepNext/>
              <w:rPr>
                <w:rFonts w:cs="Times New Roman"/>
              </w:rPr>
            </w:pPr>
            <w:r w:rsidRPr="00E546C7">
              <w:rPr>
                <w:rFonts w:eastAsia="Times New Roman" w:cs="Times New Roman"/>
                <w:sz w:val="18"/>
              </w:rPr>
              <w:t>25-34</w:t>
            </w:r>
          </w:p>
        </w:tc>
        <w:tc>
          <w:tcPr>
            <w:tcW w:w="1700" w:type="dxa"/>
            <w:shd w:val="clear" w:color="auto" w:fill="F2F4F7"/>
            <w:tcMar>
              <w:top w:w="80" w:type="dxa"/>
              <w:left w:w="120" w:type="dxa"/>
              <w:bottom w:w="80" w:type="dxa"/>
              <w:right w:w="120" w:type="dxa"/>
            </w:tcMar>
            <w:vAlign w:val="center"/>
          </w:tcPr>
          <w:p w14:paraId="358F22B4" w14:textId="77777777" w:rsidR="00764D9A" w:rsidRPr="00E546C7" w:rsidRDefault="00764D9A" w:rsidP="00B11AF1">
            <w:pPr>
              <w:pStyle w:val="TableText"/>
              <w:keepNext/>
              <w:jc w:val="center"/>
              <w:rPr>
                <w:rFonts w:cs="Times New Roman"/>
              </w:rPr>
            </w:pPr>
            <w:r w:rsidRPr="00E546C7">
              <w:rPr>
                <w:rFonts w:eastAsia="Times New Roman" w:cs="Times New Roman"/>
                <w:sz w:val="18"/>
              </w:rPr>
              <w:t>39</w:t>
            </w:r>
          </w:p>
        </w:tc>
        <w:tc>
          <w:tcPr>
            <w:tcW w:w="1920" w:type="dxa"/>
            <w:shd w:val="clear" w:color="auto" w:fill="F2F4F7"/>
            <w:tcMar>
              <w:top w:w="80" w:type="dxa"/>
              <w:left w:w="120" w:type="dxa"/>
              <w:bottom w:w="80" w:type="dxa"/>
              <w:right w:w="120" w:type="dxa"/>
            </w:tcMar>
            <w:vAlign w:val="center"/>
          </w:tcPr>
          <w:p w14:paraId="4F33249D" w14:textId="77777777" w:rsidR="00764D9A" w:rsidRPr="00E546C7" w:rsidRDefault="00764D9A" w:rsidP="00B11AF1">
            <w:pPr>
              <w:pStyle w:val="TableText"/>
              <w:keepNext/>
              <w:jc w:val="center"/>
              <w:rPr>
                <w:rFonts w:cs="Times New Roman"/>
              </w:rPr>
            </w:pPr>
            <w:r w:rsidRPr="00E546C7">
              <w:rPr>
                <w:rFonts w:eastAsia="Times New Roman" w:cs="Times New Roman"/>
                <w:sz w:val="18"/>
              </w:rPr>
              <w:t>78.0%</w:t>
            </w:r>
          </w:p>
        </w:tc>
      </w:tr>
      <w:tr w:rsidR="00764D9A" w:rsidRPr="00E546C7" w14:paraId="781E1A62" w14:textId="77777777" w:rsidTr="00B11AF1">
        <w:trPr>
          <w:cantSplit/>
        </w:trPr>
        <w:tc>
          <w:tcPr>
            <w:tcW w:w="5400" w:type="dxa"/>
            <w:tcMar>
              <w:top w:w="80" w:type="dxa"/>
              <w:left w:w="120" w:type="dxa"/>
              <w:bottom w:w="80" w:type="dxa"/>
              <w:right w:w="120" w:type="dxa"/>
            </w:tcMar>
            <w:vAlign w:val="center"/>
          </w:tcPr>
          <w:p w14:paraId="29CB0DC6" w14:textId="77777777" w:rsidR="00764D9A" w:rsidRPr="00E546C7" w:rsidRDefault="00764D9A" w:rsidP="00B11AF1">
            <w:pPr>
              <w:pStyle w:val="TableText"/>
              <w:keepNext/>
              <w:rPr>
                <w:rFonts w:cs="Times New Roman"/>
              </w:rPr>
            </w:pPr>
            <w:r w:rsidRPr="00E546C7">
              <w:rPr>
                <w:rFonts w:eastAsia="Times New Roman" w:cs="Times New Roman"/>
                <w:sz w:val="18"/>
              </w:rPr>
              <w:t>35-44</w:t>
            </w:r>
          </w:p>
        </w:tc>
        <w:tc>
          <w:tcPr>
            <w:tcW w:w="1700" w:type="dxa"/>
            <w:tcMar>
              <w:top w:w="80" w:type="dxa"/>
              <w:left w:w="120" w:type="dxa"/>
              <w:bottom w:w="80" w:type="dxa"/>
              <w:right w:w="120" w:type="dxa"/>
            </w:tcMar>
            <w:vAlign w:val="center"/>
          </w:tcPr>
          <w:p w14:paraId="6DDC2E6F" w14:textId="77777777" w:rsidR="00764D9A" w:rsidRPr="00E546C7" w:rsidRDefault="00764D9A" w:rsidP="00B11AF1">
            <w:pPr>
              <w:pStyle w:val="TableText"/>
              <w:keepNext/>
              <w:jc w:val="center"/>
              <w:rPr>
                <w:rFonts w:cs="Times New Roman"/>
              </w:rPr>
            </w:pPr>
            <w:r w:rsidRPr="00E546C7">
              <w:rPr>
                <w:rFonts w:eastAsia="Times New Roman" w:cs="Times New Roman"/>
                <w:sz w:val="18"/>
              </w:rPr>
              <w:t>6</w:t>
            </w:r>
          </w:p>
        </w:tc>
        <w:tc>
          <w:tcPr>
            <w:tcW w:w="1920" w:type="dxa"/>
            <w:tcMar>
              <w:top w:w="80" w:type="dxa"/>
              <w:left w:w="120" w:type="dxa"/>
              <w:bottom w:w="80" w:type="dxa"/>
              <w:right w:w="120" w:type="dxa"/>
            </w:tcMar>
            <w:vAlign w:val="center"/>
          </w:tcPr>
          <w:p w14:paraId="32EE396F" w14:textId="77777777" w:rsidR="00764D9A" w:rsidRPr="00E546C7" w:rsidRDefault="00764D9A" w:rsidP="00B11AF1">
            <w:pPr>
              <w:pStyle w:val="TableText"/>
              <w:keepNext/>
              <w:jc w:val="center"/>
              <w:rPr>
                <w:rFonts w:cs="Times New Roman"/>
              </w:rPr>
            </w:pPr>
            <w:r w:rsidRPr="00E546C7">
              <w:rPr>
                <w:rFonts w:eastAsia="Times New Roman" w:cs="Times New Roman"/>
                <w:sz w:val="18"/>
              </w:rPr>
              <w:t>12.0%</w:t>
            </w:r>
          </w:p>
        </w:tc>
      </w:tr>
      <w:tr w:rsidR="00764D9A" w:rsidRPr="00E546C7" w14:paraId="220297D0" w14:textId="77777777" w:rsidTr="00B11AF1">
        <w:trPr>
          <w:cantSplit/>
        </w:trPr>
        <w:tc>
          <w:tcPr>
            <w:tcW w:w="5400" w:type="dxa"/>
            <w:shd w:val="clear" w:color="auto" w:fill="F2F4F7"/>
            <w:tcMar>
              <w:top w:w="80" w:type="dxa"/>
              <w:left w:w="120" w:type="dxa"/>
              <w:bottom w:w="80" w:type="dxa"/>
              <w:right w:w="120" w:type="dxa"/>
            </w:tcMar>
            <w:vAlign w:val="center"/>
          </w:tcPr>
          <w:p w14:paraId="35E7113F" w14:textId="77777777" w:rsidR="00764D9A" w:rsidRPr="00E546C7" w:rsidRDefault="00764D9A" w:rsidP="00B11AF1">
            <w:pPr>
              <w:pStyle w:val="TableText"/>
              <w:keepNext/>
              <w:rPr>
                <w:rFonts w:cs="Times New Roman"/>
              </w:rPr>
            </w:pPr>
            <w:r w:rsidRPr="00E546C7">
              <w:rPr>
                <w:rFonts w:eastAsia="Times New Roman" w:cs="Times New Roman"/>
                <w:sz w:val="18"/>
              </w:rPr>
              <w:t>45-54</w:t>
            </w:r>
          </w:p>
        </w:tc>
        <w:tc>
          <w:tcPr>
            <w:tcW w:w="1700" w:type="dxa"/>
            <w:shd w:val="clear" w:color="auto" w:fill="F2F4F7"/>
            <w:tcMar>
              <w:top w:w="80" w:type="dxa"/>
              <w:left w:w="120" w:type="dxa"/>
              <w:bottom w:w="80" w:type="dxa"/>
              <w:right w:w="120" w:type="dxa"/>
            </w:tcMar>
            <w:vAlign w:val="center"/>
          </w:tcPr>
          <w:p w14:paraId="7C8D6A16"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shd w:val="clear" w:color="auto" w:fill="F2F4F7"/>
            <w:tcMar>
              <w:top w:w="80" w:type="dxa"/>
              <w:left w:w="120" w:type="dxa"/>
              <w:bottom w:w="80" w:type="dxa"/>
              <w:right w:w="120" w:type="dxa"/>
            </w:tcMar>
            <w:vAlign w:val="center"/>
          </w:tcPr>
          <w:p w14:paraId="582BC3C7"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r w:rsidR="00764D9A" w:rsidRPr="00E546C7" w14:paraId="31CC3D4D" w14:textId="77777777" w:rsidTr="00B11AF1">
        <w:trPr>
          <w:cantSplit/>
        </w:trPr>
        <w:tc>
          <w:tcPr>
            <w:tcW w:w="5400" w:type="dxa"/>
            <w:tcMar>
              <w:top w:w="80" w:type="dxa"/>
              <w:left w:w="120" w:type="dxa"/>
              <w:bottom w:w="80" w:type="dxa"/>
              <w:right w:w="120" w:type="dxa"/>
            </w:tcMar>
            <w:vAlign w:val="center"/>
          </w:tcPr>
          <w:p w14:paraId="5886DD54" w14:textId="77777777" w:rsidR="00764D9A" w:rsidRPr="00E546C7" w:rsidRDefault="00764D9A" w:rsidP="00B11AF1">
            <w:pPr>
              <w:pStyle w:val="TableText"/>
              <w:keepNext/>
              <w:rPr>
                <w:rFonts w:cs="Times New Roman"/>
              </w:rPr>
            </w:pPr>
            <w:r w:rsidRPr="00E546C7">
              <w:rPr>
                <w:rFonts w:eastAsia="Times New Roman" w:cs="Times New Roman"/>
                <w:sz w:val="18"/>
              </w:rPr>
              <w:t>55+</w:t>
            </w:r>
          </w:p>
        </w:tc>
        <w:tc>
          <w:tcPr>
            <w:tcW w:w="1700" w:type="dxa"/>
            <w:tcMar>
              <w:top w:w="80" w:type="dxa"/>
              <w:left w:w="120" w:type="dxa"/>
              <w:bottom w:w="80" w:type="dxa"/>
              <w:right w:w="120" w:type="dxa"/>
            </w:tcMar>
            <w:vAlign w:val="center"/>
          </w:tcPr>
          <w:p w14:paraId="48E5C664"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tcMar>
              <w:top w:w="80" w:type="dxa"/>
              <w:left w:w="120" w:type="dxa"/>
              <w:bottom w:w="80" w:type="dxa"/>
              <w:right w:w="120" w:type="dxa"/>
            </w:tcMar>
            <w:vAlign w:val="center"/>
          </w:tcPr>
          <w:p w14:paraId="31F8D33B"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bl>
    <w:p w14:paraId="035875AA"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73A6A131" w14:textId="77777777" w:rsidR="00764D9A" w:rsidRPr="00E546C7" w:rsidRDefault="00764D9A" w:rsidP="00C367A5">
      <w:pPr>
        <w:rPr>
          <w:b/>
          <w:bCs/>
        </w:rPr>
      </w:pPr>
      <w:r w:rsidRPr="00E546C7">
        <w:rPr>
          <w:b/>
          <w:bCs/>
        </w:rPr>
        <w:t>Q2: What is your gender?</w:t>
      </w:r>
    </w:p>
    <w:p w14:paraId="5A82DBF8" w14:textId="77777777" w:rsidR="00764D9A" w:rsidRPr="00E546C7" w:rsidRDefault="00764D9A" w:rsidP="00764D9A">
      <w:pPr>
        <w:pStyle w:val="Caption"/>
        <w:jc w:val="left"/>
        <w:rPr>
          <w:rFonts w:cs="Times New Roman"/>
        </w:rPr>
      </w:pPr>
      <w:r w:rsidRPr="00E546C7">
        <w:rPr>
          <w:rFonts w:eastAsia="Times New Roman" w:cs="Times New Roman"/>
          <w:color w:val="1F2933"/>
        </w:rPr>
        <w:t>Table B2: Complete Frequency Distribution for Q2</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49E5D8E8" w14:textId="77777777" w:rsidTr="00B11AF1">
        <w:trPr>
          <w:cantSplit/>
          <w:tblHeader/>
        </w:trPr>
        <w:tc>
          <w:tcPr>
            <w:tcW w:w="5400" w:type="dxa"/>
            <w:shd w:val="clear" w:color="auto" w:fill="17365D"/>
            <w:tcMar>
              <w:top w:w="80" w:type="dxa"/>
              <w:left w:w="120" w:type="dxa"/>
              <w:bottom w:w="80" w:type="dxa"/>
              <w:right w:w="120" w:type="dxa"/>
            </w:tcMar>
            <w:vAlign w:val="center"/>
          </w:tcPr>
          <w:p w14:paraId="693DAD01"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7E22FF7D"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1FB04F7B"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4AC4E49F" w14:textId="77777777" w:rsidTr="00B11AF1">
        <w:trPr>
          <w:cantSplit/>
        </w:trPr>
        <w:tc>
          <w:tcPr>
            <w:tcW w:w="5400" w:type="dxa"/>
            <w:tcMar>
              <w:top w:w="80" w:type="dxa"/>
              <w:left w:w="120" w:type="dxa"/>
              <w:bottom w:w="80" w:type="dxa"/>
              <w:right w:w="120" w:type="dxa"/>
            </w:tcMar>
            <w:vAlign w:val="center"/>
          </w:tcPr>
          <w:p w14:paraId="11BF111A" w14:textId="77777777" w:rsidR="00764D9A" w:rsidRPr="00E546C7" w:rsidRDefault="00764D9A" w:rsidP="00B11AF1">
            <w:pPr>
              <w:pStyle w:val="TableText"/>
              <w:keepNext/>
              <w:rPr>
                <w:rFonts w:cs="Times New Roman"/>
              </w:rPr>
            </w:pPr>
            <w:r w:rsidRPr="00E546C7">
              <w:rPr>
                <w:rFonts w:eastAsia="Times New Roman" w:cs="Times New Roman"/>
                <w:sz w:val="18"/>
              </w:rPr>
              <w:t>Male</w:t>
            </w:r>
          </w:p>
        </w:tc>
        <w:tc>
          <w:tcPr>
            <w:tcW w:w="1700" w:type="dxa"/>
            <w:tcMar>
              <w:top w:w="80" w:type="dxa"/>
              <w:left w:w="120" w:type="dxa"/>
              <w:bottom w:w="80" w:type="dxa"/>
              <w:right w:w="120" w:type="dxa"/>
            </w:tcMar>
            <w:vAlign w:val="center"/>
          </w:tcPr>
          <w:p w14:paraId="69FFDD99" w14:textId="77777777" w:rsidR="00764D9A" w:rsidRPr="00E546C7" w:rsidRDefault="00764D9A" w:rsidP="00B11AF1">
            <w:pPr>
              <w:pStyle w:val="TableText"/>
              <w:keepNext/>
              <w:jc w:val="center"/>
              <w:rPr>
                <w:rFonts w:cs="Times New Roman"/>
              </w:rPr>
            </w:pPr>
            <w:r w:rsidRPr="00E546C7">
              <w:rPr>
                <w:rFonts w:eastAsia="Times New Roman" w:cs="Times New Roman"/>
                <w:sz w:val="18"/>
              </w:rPr>
              <w:t>34</w:t>
            </w:r>
          </w:p>
        </w:tc>
        <w:tc>
          <w:tcPr>
            <w:tcW w:w="1920" w:type="dxa"/>
            <w:tcMar>
              <w:top w:w="80" w:type="dxa"/>
              <w:left w:w="120" w:type="dxa"/>
              <w:bottom w:w="80" w:type="dxa"/>
              <w:right w:w="120" w:type="dxa"/>
            </w:tcMar>
            <w:vAlign w:val="center"/>
          </w:tcPr>
          <w:p w14:paraId="17E5178B" w14:textId="77777777" w:rsidR="00764D9A" w:rsidRPr="00E546C7" w:rsidRDefault="00764D9A" w:rsidP="00B11AF1">
            <w:pPr>
              <w:pStyle w:val="TableText"/>
              <w:keepNext/>
              <w:jc w:val="center"/>
              <w:rPr>
                <w:rFonts w:cs="Times New Roman"/>
              </w:rPr>
            </w:pPr>
            <w:r w:rsidRPr="00E546C7">
              <w:rPr>
                <w:rFonts w:eastAsia="Times New Roman" w:cs="Times New Roman"/>
                <w:sz w:val="18"/>
              </w:rPr>
              <w:t>68.0%</w:t>
            </w:r>
          </w:p>
        </w:tc>
      </w:tr>
      <w:tr w:rsidR="00764D9A" w:rsidRPr="00E546C7" w14:paraId="27D92CF9" w14:textId="77777777" w:rsidTr="00B11AF1">
        <w:trPr>
          <w:cantSplit/>
        </w:trPr>
        <w:tc>
          <w:tcPr>
            <w:tcW w:w="5400" w:type="dxa"/>
            <w:shd w:val="clear" w:color="auto" w:fill="F2F4F7"/>
            <w:tcMar>
              <w:top w:w="80" w:type="dxa"/>
              <w:left w:w="120" w:type="dxa"/>
              <w:bottom w:w="80" w:type="dxa"/>
              <w:right w:w="120" w:type="dxa"/>
            </w:tcMar>
            <w:vAlign w:val="center"/>
          </w:tcPr>
          <w:p w14:paraId="7E837948" w14:textId="77777777" w:rsidR="00764D9A" w:rsidRPr="00E546C7" w:rsidRDefault="00764D9A" w:rsidP="00B11AF1">
            <w:pPr>
              <w:pStyle w:val="TableText"/>
              <w:keepNext/>
              <w:rPr>
                <w:rFonts w:cs="Times New Roman"/>
              </w:rPr>
            </w:pPr>
            <w:r w:rsidRPr="00E546C7">
              <w:rPr>
                <w:rFonts w:eastAsia="Times New Roman" w:cs="Times New Roman"/>
                <w:sz w:val="18"/>
              </w:rPr>
              <w:t>Female</w:t>
            </w:r>
          </w:p>
        </w:tc>
        <w:tc>
          <w:tcPr>
            <w:tcW w:w="1700" w:type="dxa"/>
            <w:shd w:val="clear" w:color="auto" w:fill="F2F4F7"/>
            <w:tcMar>
              <w:top w:w="80" w:type="dxa"/>
              <w:left w:w="120" w:type="dxa"/>
              <w:bottom w:w="80" w:type="dxa"/>
              <w:right w:w="120" w:type="dxa"/>
            </w:tcMar>
            <w:vAlign w:val="center"/>
          </w:tcPr>
          <w:p w14:paraId="14D0B0FA" w14:textId="77777777" w:rsidR="00764D9A" w:rsidRPr="00E546C7" w:rsidRDefault="00764D9A" w:rsidP="00B11AF1">
            <w:pPr>
              <w:pStyle w:val="TableText"/>
              <w:keepNext/>
              <w:jc w:val="center"/>
              <w:rPr>
                <w:rFonts w:cs="Times New Roman"/>
              </w:rPr>
            </w:pPr>
            <w:r w:rsidRPr="00E546C7">
              <w:rPr>
                <w:rFonts w:eastAsia="Times New Roman" w:cs="Times New Roman"/>
                <w:sz w:val="18"/>
              </w:rPr>
              <w:t>16</w:t>
            </w:r>
          </w:p>
        </w:tc>
        <w:tc>
          <w:tcPr>
            <w:tcW w:w="1920" w:type="dxa"/>
            <w:shd w:val="clear" w:color="auto" w:fill="F2F4F7"/>
            <w:tcMar>
              <w:top w:w="80" w:type="dxa"/>
              <w:left w:w="120" w:type="dxa"/>
              <w:bottom w:w="80" w:type="dxa"/>
              <w:right w:w="120" w:type="dxa"/>
            </w:tcMar>
            <w:vAlign w:val="center"/>
          </w:tcPr>
          <w:p w14:paraId="25221700" w14:textId="77777777" w:rsidR="00764D9A" w:rsidRPr="00E546C7" w:rsidRDefault="00764D9A" w:rsidP="00B11AF1">
            <w:pPr>
              <w:pStyle w:val="TableText"/>
              <w:keepNext/>
              <w:jc w:val="center"/>
              <w:rPr>
                <w:rFonts w:cs="Times New Roman"/>
              </w:rPr>
            </w:pPr>
            <w:r w:rsidRPr="00E546C7">
              <w:rPr>
                <w:rFonts w:eastAsia="Times New Roman" w:cs="Times New Roman"/>
                <w:sz w:val="18"/>
              </w:rPr>
              <w:t>32.0%</w:t>
            </w:r>
          </w:p>
        </w:tc>
      </w:tr>
      <w:tr w:rsidR="00764D9A" w:rsidRPr="00E546C7" w14:paraId="03529D7C" w14:textId="77777777" w:rsidTr="00B11AF1">
        <w:trPr>
          <w:cantSplit/>
        </w:trPr>
        <w:tc>
          <w:tcPr>
            <w:tcW w:w="5400" w:type="dxa"/>
            <w:tcMar>
              <w:top w:w="80" w:type="dxa"/>
              <w:left w:w="120" w:type="dxa"/>
              <w:bottom w:w="80" w:type="dxa"/>
              <w:right w:w="120" w:type="dxa"/>
            </w:tcMar>
            <w:vAlign w:val="center"/>
          </w:tcPr>
          <w:p w14:paraId="519F1B5B" w14:textId="77777777" w:rsidR="00764D9A" w:rsidRPr="00E546C7" w:rsidRDefault="00764D9A" w:rsidP="00B11AF1">
            <w:pPr>
              <w:pStyle w:val="TableText"/>
              <w:keepNext/>
              <w:rPr>
                <w:rFonts w:cs="Times New Roman"/>
              </w:rPr>
            </w:pPr>
            <w:r w:rsidRPr="00E546C7">
              <w:rPr>
                <w:rFonts w:eastAsia="Times New Roman" w:cs="Times New Roman"/>
                <w:sz w:val="18"/>
              </w:rPr>
              <w:t>Non-binary</w:t>
            </w:r>
          </w:p>
        </w:tc>
        <w:tc>
          <w:tcPr>
            <w:tcW w:w="1700" w:type="dxa"/>
            <w:tcMar>
              <w:top w:w="80" w:type="dxa"/>
              <w:left w:w="120" w:type="dxa"/>
              <w:bottom w:w="80" w:type="dxa"/>
              <w:right w:w="120" w:type="dxa"/>
            </w:tcMar>
            <w:vAlign w:val="center"/>
          </w:tcPr>
          <w:p w14:paraId="5FE95629"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tcMar>
              <w:top w:w="80" w:type="dxa"/>
              <w:left w:w="120" w:type="dxa"/>
              <w:bottom w:w="80" w:type="dxa"/>
              <w:right w:w="120" w:type="dxa"/>
            </w:tcMar>
            <w:vAlign w:val="center"/>
          </w:tcPr>
          <w:p w14:paraId="159B5683"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r w:rsidR="00764D9A" w:rsidRPr="00E546C7" w14:paraId="2F519F2A" w14:textId="77777777" w:rsidTr="00B11AF1">
        <w:trPr>
          <w:cantSplit/>
        </w:trPr>
        <w:tc>
          <w:tcPr>
            <w:tcW w:w="5400" w:type="dxa"/>
            <w:shd w:val="clear" w:color="auto" w:fill="F2F4F7"/>
            <w:tcMar>
              <w:top w:w="80" w:type="dxa"/>
              <w:left w:w="120" w:type="dxa"/>
              <w:bottom w:w="80" w:type="dxa"/>
              <w:right w:w="120" w:type="dxa"/>
            </w:tcMar>
            <w:vAlign w:val="center"/>
          </w:tcPr>
          <w:p w14:paraId="137052E0" w14:textId="77777777" w:rsidR="00764D9A" w:rsidRPr="00E546C7" w:rsidRDefault="00764D9A" w:rsidP="00B11AF1">
            <w:pPr>
              <w:pStyle w:val="TableText"/>
              <w:keepNext/>
              <w:rPr>
                <w:rFonts w:cs="Times New Roman"/>
              </w:rPr>
            </w:pPr>
            <w:r w:rsidRPr="00E546C7">
              <w:rPr>
                <w:rFonts w:eastAsia="Times New Roman" w:cs="Times New Roman"/>
                <w:sz w:val="18"/>
              </w:rPr>
              <w:t>Prefer not to say</w:t>
            </w:r>
          </w:p>
        </w:tc>
        <w:tc>
          <w:tcPr>
            <w:tcW w:w="1700" w:type="dxa"/>
            <w:shd w:val="clear" w:color="auto" w:fill="F2F4F7"/>
            <w:tcMar>
              <w:top w:w="80" w:type="dxa"/>
              <w:left w:w="120" w:type="dxa"/>
              <w:bottom w:w="80" w:type="dxa"/>
              <w:right w:w="120" w:type="dxa"/>
            </w:tcMar>
            <w:vAlign w:val="center"/>
          </w:tcPr>
          <w:p w14:paraId="57281106"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shd w:val="clear" w:color="auto" w:fill="F2F4F7"/>
            <w:tcMar>
              <w:top w:w="80" w:type="dxa"/>
              <w:left w:w="120" w:type="dxa"/>
              <w:bottom w:w="80" w:type="dxa"/>
              <w:right w:w="120" w:type="dxa"/>
            </w:tcMar>
            <w:vAlign w:val="center"/>
          </w:tcPr>
          <w:p w14:paraId="3722061F"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bl>
    <w:p w14:paraId="6953E82B"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52FEB8A0" w14:textId="77777777" w:rsidR="00764D9A" w:rsidRPr="00E546C7" w:rsidRDefault="00764D9A" w:rsidP="00C367A5">
      <w:pPr>
        <w:rPr>
          <w:b/>
          <w:bCs/>
        </w:rPr>
      </w:pPr>
      <w:r w:rsidRPr="00E546C7">
        <w:rPr>
          <w:b/>
          <w:bCs/>
        </w:rPr>
        <w:t>Q3: Adidas communicates a consistent message across its different marketing channels.</w:t>
      </w:r>
    </w:p>
    <w:p w14:paraId="10FDA766" w14:textId="77777777" w:rsidR="00764D9A" w:rsidRPr="00E546C7" w:rsidRDefault="00764D9A" w:rsidP="00764D9A">
      <w:pPr>
        <w:pStyle w:val="Caption"/>
        <w:jc w:val="left"/>
        <w:rPr>
          <w:rFonts w:cs="Times New Roman"/>
        </w:rPr>
      </w:pPr>
      <w:r w:rsidRPr="00E546C7">
        <w:rPr>
          <w:rFonts w:eastAsia="Times New Roman" w:cs="Times New Roman"/>
          <w:color w:val="1F2933"/>
        </w:rPr>
        <w:t>Table B3: Complete Frequency Distribution for Q3</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1DAAC2D8" w14:textId="77777777" w:rsidTr="00B11AF1">
        <w:trPr>
          <w:cantSplit/>
          <w:tblHeader/>
        </w:trPr>
        <w:tc>
          <w:tcPr>
            <w:tcW w:w="5400" w:type="dxa"/>
            <w:shd w:val="clear" w:color="auto" w:fill="17365D"/>
            <w:tcMar>
              <w:top w:w="80" w:type="dxa"/>
              <w:left w:w="120" w:type="dxa"/>
              <w:bottom w:w="80" w:type="dxa"/>
              <w:right w:w="120" w:type="dxa"/>
            </w:tcMar>
            <w:vAlign w:val="center"/>
          </w:tcPr>
          <w:p w14:paraId="6E0B9C4A"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4E77B17A"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60E0730E"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0A68911A" w14:textId="77777777" w:rsidTr="00B11AF1">
        <w:trPr>
          <w:cantSplit/>
        </w:trPr>
        <w:tc>
          <w:tcPr>
            <w:tcW w:w="5400" w:type="dxa"/>
            <w:tcMar>
              <w:top w:w="80" w:type="dxa"/>
              <w:left w:w="120" w:type="dxa"/>
              <w:bottom w:w="80" w:type="dxa"/>
              <w:right w:w="120" w:type="dxa"/>
            </w:tcMar>
            <w:vAlign w:val="center"/>
          </w:tcPr>
          <w:p w14:paraId="3B019B61" w14:textId="77777777" w:rsidR="00764D9A" w:rsidRPr="00E546C7" w:rsidRDefault="00764D9A" w:rsidP="00B11AF1">
            <w:pPr>
              <w:pStyle w:val="TableText"/>
              <w:keepNext/>
              <w:rPr>
                <w:rFonts w:cs="Times New Roman"/>
              </w:rPr>
            </w:pPr>
            <w:r w:rsidRPr="00E546C7">
              <w:rPr>
                <w:rFonts w:eastAsia="Times New Roman" w:cs="Times New Roman"/>
                <w:sz w:val="18"/>
              </w:rPr>
              <w:t>Strongly disagree</w:t>
            </w:r>
          </w:p>
        </w:tc>
        <w:tc>
          <w:tcPr>
            <w:tcW w:w="1700" w:type="dxa"/>
            <w:tcMar>
              <w:top w:w="80" w:type="dxa"/>
              <w:left w:w="120" w:type="dxa"/>
              <w:bottom w:w="80" w:type="dxa"/>
              <w:right w:w="120" w:type="dxa"/>
            </w:tcMar>
            <w:vAlign w:val="center"/>
          </w:tcPr>
          <w:p w14:paraId="47B2B9F2" w14:textId="77777777" w:rsidR="00764D9A" w:rsidRPr="00E546C7" w:rsidRDefault="00764D9A" w:rsidP="00B11AF1">
            <w:pPr>
              <w:pStyle w:val="TableText"/>
              <w:keepNext/>
              <w:jc w:val="center"/>
              <w:rPr>
                <w:rFonts w:cs="Times New Roman"/>
              </w:rPr>
            </w:pPr>
            <w:r w:rsidRPr="00E546C7">
              <w:rPr>
                <w:rFonts w:eastAsia="Times New Roman" w:cs="Times New Roman"/>
                <w:sz w:val="18"/>
              </w:rPr>
              <w:t>2</w:t>
            </w:r>
          </w:p>
        </w:tc>
        <w:tc>
          <w:tcPr>
            <w:tcW w:w="1920" w:type="dxa"/>
            <w:tcMar>
              <w:top w:w="80" w:type="dxa"/>
              <w:left w:w="120" w:type="dxa"/>
              <w:bottom w:w="80" w:type="dxa"/>
              <w:right w:w="120" w:type="dxa"/>
            </w:tcMar>
            <w:vAlign w:val="center"/>
          </w:tcPr>
          <w:p w14:paraId="2E944D5C" w14:textId="77777777" w:rsidR="00764D9A" w:rsidRPr="00E546C7" w:rsidRDefault="00764D9A" w:rsidP="00B11AF1">
            <w:pPr>
              <w:pStyle w:val="TableText"/>
              <w:keepNext/>
              <w:jc w:val="center"/>
              <w:rPr>
                <w:rFonts w:cs="Times New Roman"/>
              </w:rPr>
            </w:pPr>
            <w:r w:rsidRPr="00E546C7">
              <w:rPr>
                <w:rFonts w:eastAsia="Times New Roman" w:cs="Times New Roman"/>
                <w:sz w:val="18"/>
              </w:rPr>
              <w:t>4.0%</w:t>
            </w:r>
          </w:p>
        </w:tc>
      </w:tr>
      <w:tr w:rsidR="00764D9A" w:rsidRPr="00E546C7" w14:paraId="4CDD7C7E" w14:textId="77777777" w:rsidTr="00B11AF1">
        <w:trPr>
          <w:cantSplit/>
        </w:trPr>
        <w:tc>
          <w:tcPr>
            <w:tcW w:w="5400" w:type="dxa"/>
            <w:shd w:val="clear" w:color="auto" w:fill="F2F4F7"/>
            <w:tcMar>
              <w:top w:w="80" w:type="dxa"/>
              <w:left w:w="120" w:type="dxa"/>
              <w:bottom w:w="80" w:type="dxa"/>
              <w:right w:w="120" w:type="dxa"/>
            </w:tcMar>
            <w:vAlign w:val="center"/>
          </w:tcPr>
          <w:p w14:paraId="68933B47" w14:textId="77777777" w:rsidR="00764D9A" w:rsidRPr="00E546C7" w:rsidRDefault="00764D9A" w:rsidP="00B11AF1">
            <w:pPr>
              <w:pStyle w:val="TableText"/>
              <w:keepNext/>
              <w:rPr>
                <w:rFonts w:cs="Times New Roman"/>
              </w:rPr>
            </w:pPr>
            <w:r w:rsidRPr="00E546C7">
              <w:rPr>
                <w:rFonts w:eastAsia="Times New Roman" w:cs="Times New Roman"/>
                <w:sz w:val="18"/>
              </w:rPr>
              <w:t>Disagree</w:t>
            </w:r>
          </w:p>
        </w:tc>
        <w:tc>
          <w:tcPr>
            <w:tcW w:w="1700" w:type="dxa"/>
            <w:shd w:val="clear" w:color="auto" w:fill="F2F4F7"/>
            <w:tcMar>
              <w:top w:w="80" w:type="dxa"/>
              <w:left w:w="120" w:type="dxa"/>
              <w:bottom w:w="80" w:type="dxa"/>
              <w:right w:w="120" w:type="dxa"/>
            </w:tcMar>
            <w:vAlign w:val="center"/>
          </w:tcPr>
          <w:p w14:paraId="735612C5" w14:textId="77777777" w:rsidR="00764D9A" w:rsidRPr="00E546C7" w:rsidRDefault="00764D9A" w:rsidP="00B11AF1">
            <w:pPr>
              <w:pStyle w:val="TableText"/>
              <w:keepNext/>
              <w:jc w:val="center"/>
              <w:rPr>
                <w:rFonts w:cs="Times New Roman"/>
              </w:rPr>
            </w:pPr>
            <w:r w:rsidRPr="00E546C7">
              <w:rPr>
                <w:rFonts w:eastAsia="Times New Roman" w:cs="Times New Roman"/>
                <w:sz w:val="18"/>
              </w:rPr>
              <w:t>1</w:t>
            </w:r>
          </w:p>
        </w:tc>
        <w:tc>
          <w:tcPr>
            <w:tcW w:w="1920" w:type="dxa"/>
            <w:shd w:val="clear" w:color="auto" w:fill="F2F4F7"/>
            <w:tcMar>
              <w:top w:w="80" w:type="dxa"/>
              <w:left w:w="120" w:type="dxa"/>
              <w:bottom w:w="80" w:type="dxa"/>
              <w:right w:w="120" w:type="dxa"/>
            </w:tcMar>
            <w:vAlign w:val="center"/>
          </w:tcPr>
          <w:p w14:paraId="481AF2B2" w14:textId="77777777" w:rsidR="00764D9A" w:rsidRPr="00E546C7" w:rsidRDefault="00764D9A" w:rsidP="00B11AF1">
            <w:pPr>
              <w:pStyle w:val="TableText"/>
              <w:keepNext/>
              <w:jc w:val="center"/>
              <w:rPr>
                <w:rFonts w:cs="Times New Roman"/>
              </w:rPr>
            </w:pPr>
            <w:r w:rsidRPr="00E546C7">
              <w:rPr>
                <w:rFonts w:eastAsia="Times New Roman" w:cs="Times New Roman"/>
                <w:sz w:val="18"/>
              </w:rPr>
              <w:t>2.0%</w:t>
            </w:r>
          </w:p>
        </w:tc>
      </w:tr>
      <w:tr w:rsidR="00764D9A" w:rsidRPr="00E546C7" w14:paraId="0687AA0F" w14:textId="77777777" w:rsidTr="00B11AF1">
        <w:trPr>
          <w:cantSplit/>
        </w:trPr>
        <w:tc>
          <w:tcPr>
            <w:tcW w:w="5400" w:type="dxa"/>
            <w:tcMar>
              <w:top w:w="80" w:type="dxa"/>
              <w:left w:w="120" w:type="dxa"/>
              <w:bottom w:w="80" w:type="dxa"/>
              <w:right w:w="120" w:type="dxa"/>
            </w:tcMar>
            <w:vAlign w:val="center"/>
          </w:tcPr>
          <w:p w14:paraId="67FDC1D7" w14:textId="77777777" w:rsidR="00764D9A" w:rsidRPr="00E546C7" w:rsidRDefault="00764D9A" w:rsidP="00B11AF1">
            <w:pPr>
              <w:pStyle w:val="TableText"/>
              <w:keepNext/>
              <w:rPr>
                <w:rFonts w:cs="Times New Roman"/>
              </w:rPr>
            </w:pPr>
            <w:r w:rsidRPr="00E546C7">
              <w:rPr>
                <w:rFonts w:eastAsia="Times New Roman" w:cs="Times New Roman"/>
                <w:sz w:val="18"/>
              </w:rPr>
              <w:t>Neutral</w:t>
            </w:r>
          </w:p>
        </w:tc>
        <w:tc>
          <w:tcPr>
            <w:tcW w:w="1700" w:type="dxa"/>
            <w:tcMar>
              <w:top w:w="80" w:type="dxa"/>
              <w:left w:w="120" w:type="dxa"/>
              <w:bottom w:w="80" w:type="dxa"/>
              <w:right w:w="120" w:type="dxa"/>
            </w:tcMar>
            <w:vAlign w:val="center"/>
          </w:tcPr>
          <w:p w14:paraId="0D024DAB" w14:textId="77777777" w:rsidR="00764D9A" w:rsidRPr="00E546C7" w:rsidRDefault="00764D9A" w:rsidP="00B11AF1">
            <w:pPr>
              <w:pStyle w:val="TableText"/>
              <w:keepNext/>
              <w:jc w:val="center"/>
              <w:rPr>
                <w:rFonts w:cs="Times New Roman"/>
              </w:rPr>
            </w:pPr>
            <w:r w:rsidRPr="00E546C7">
              <w:rPr>
                <w:rFonts w:eastAsia="Times New Roman" w:cs="Times New Roman"/>
                <w:sz w:val="18"/>
              </w:rPr>
              <w:t>6</w:t>
            </w:r>
          </w:p>
        </w:tc>
        <w:tc>
          <w:tcPr>
            <w:tcW w:w="1920" w:type="dxa"/>
            <w:tcMar>
              <w:top w:w="80" w:type="dxa"/>
              <w:left w:w="120" w:type="dxa"/>
              <w:bottom w:w="80" w:type="dxa"/>
              <w:right w:w="120" w:type="dxa"/>
            </w:tcMar>
            <w:vAlign w:val="center"/>
          </w:tcPr>
          <w:p w14:paraId="2C6A5690" w14:textId="77777777" w:rsidR="00764D9A" w:rsidRPr="00E546C7" w:rsidRDefault="00764D9A" w:rsidP="00B11AF1">
            <w:pPr>
              <w:pStyle w:val="TableText"/>
              <w:keepNext/>
              <w:jc w:val="center"/>
              <w:rPr>
                <w:rFonts w:cs="Times New Roman"/>
              </w:rPr>
            </w:pPr>
            <w:r w:rsidRPr="00E546C7">
              <w:rPr>
                <w:rFonts w:eastAsia="Times New Roman" w:cs="Times New Roman"/>
                <w:sz w:val="18"/>
              </w:rPr>
              <w:t>12.0%</w:t>
            </w:r>
          </w:p>
        </w:tc>
      </w:tr>
      <w:tr w:rsidR="00764D9A" w:rsidRPr="00E546C7" w14:paraId="1223FD35" w14:textId="77777777" w:rsidTr="00B11AF1">
        <w:trPr>
          <w:cantSplit/>
        </w:trPr>
        <w:tc>
          <w:tcPr>
            <w:tcW w:w="5400" w:type="dxa"/>
            <w:shd w:val="clear" w:color="auto" w:fill="F2F4F7"/>
            <w:tcMar>
              <w:top w:w="80" w:type="dxa"/>
              <w:left w:w="120" w:type="dxa"/>
              <w:bottom w:w="80" w:type="dxa"/>
              <w:right w:w="120" w:type="dxa"/>
            </w:tcMar>
            <w:vAlign w:val="center"/>
          </w:tcPr>
          <w:p w14:paraId="1D93A977" w14:textId="77777777" w:rsidR="00764D9A" w:rsidRPr="00E546C7" w:rsidRDefault="00764D9A" w:rsidP="00B11AF1">
            <w:pPr>
              <w:pStyle w:val="TableText"/>
              <w:keepNext/>
              <w:rPr>
                <w:rFonts w:cs="Times New Roman"/>
              </w:rPr>
            </w:pPr>
            <w:r w:rsidRPr="00E546C7">
              <w:rPr>
                <w:rFonts w:eastAsia="Times New Roman" w:cs="Times New Roman"/>
                <w:sz w:val="18"/>
              </w:rPr>
              <w:t>Agree</w:t>
            </w:r>
          </w:p>
        </w:tc>
        <w:tc>
          <w:tcPr>
            <w:tcW w:w="1700" w:type="dxa"/>
            <w:shd w:val="clear" w:color="auto" w:fill="F2F4F7"/>
            <w:tcMar>
              <w:top w:w="80" w:type="dxa"/>
              <w:left w:w="120" w:type="dxa"/>
              <w:bottom w:w="80" w:type="dxa"/>
              <w:right w:w="120" w:type="dxa"/>
            </w:tcMar>
            <w:vAlign w:val="center"/>
          </w:tcPr>
          <w:p w14:paraId="44D8ED8E" w14:textId="77777777" w:rsidR="00764D9A" w:rsidRPr="00E546C7" w:rsidRDefault="00764D9A" w:rsidP="00B11AF1">
            <w:pPr>
              <w:pStyle w:val="TableText"/>
              <w:keepNext/>
              <w:jc w:val="center"/>
              <w:rPr>
                <w:rFonts w:cs="Times New Roman"/>
              </w:rPr>
            </w:pPr>
            <w:r w:rsidRPr="00E546C7">
              <w:rPr>
                <w:rFonts w:eastAsia="Times New Roman" w:cs="Times New Roman"/>
                <w:sz w:val="18"/>
              </w:rPr>
              <w:t>30</w:t>
            </w:r>
          </w:p>
        </w:tc>
        <w:tc>
          <w:tcPr>
            <w:tcW w:w="1920" w:type="dxa"/>
            <w:shd w:val="clear" w:color="auto" w:fill="F2F4F7"/>
            <w:tcMar>
              <w:top w:w="80" w:type="dxa"/>
              <w:left w:w="120" w:type="dxa"/>
              <w:bottom w:w="80" w:type="dxa"/>
              <w:right w:w="120" w:type="dxa"/>
            </w:tcMar>
            <w:vAlign w:val="center"/>
          </w:tcPr>
          <w:p w14:paraId="511E4AAF" w14:textId="77777777" w:rsidR="00764D9A" w:rsidRPr="00E546C7" w:rsidRDefault="00764D9A" w:rsidP="00B11AF1">
            <w:pPr>
              <w:pStyle w:val="TableText"/>
              <w:keepNext/>
              <w:jc w:val="center"/>
              <w:rPr>
                <w:rFonts w:cs="Times New Roman"/>
              </w:rPr>
            </w:pPr>
            <w:r w:rsidRPr="00E546C7">
              <w:rPr>
                <w:rFonts w:eastAsia="Times New Roman" w:cs="Times New Roman"/>
                <w:sz w:val="18"/>
              </w:rPr>
              <w:t>60.0%</w:t>
            </w:r>
          </w:p>
        </w:tc>
      </w:tr>
      <w:tr w:rsidR="00764D9A" w:rsidRPr="00E546C7" w14:paraId="6B04CE9C" w14:textId="77777777" w:rsidTr="00B11AF1">
        <w:trPr>
          <w:cantSplit/>
        </w:trPr>
        <w:tc>
          <w:tcPr>
            <w:tcW w:w="5400" w:type="dxa"/>
            <w:tcMar>
              <w:top w:w="80" w:type="dxa"/>
              <w:left w:w="120" w:type="dxa"/>
              <w:bottom w:w="80" w:type="dxa"/>
              <w:right w:w="120" w:type="dxa"/>
            </w:tcMar>
            <w:vAlign w:val="center"/>
          </w:tcPr>
          <w:p w14:paraId="09B5A7BC" w14:textId="77777777" w:rsidR="00764D9A" w:rsidRPr="00E546C7" w:rsidRDefault="00764D9A" w:rsidP="00B11AF1">
            <w:pPr>
              <w:pStyle w:val="TableText"/>
              <w:keepNext/>
              <w:rPr>
                <w:rFonts w:cs="Times New Roman"/>
              </w:rPr>
            </w:pPr>
            <w:r w:rsidRPr="00E546C7">
              <w:rPr>
                <w:rFonts w:eastAsia="Times New Roman" w:cs="Times New Roman"/>
                <w:sz w:val="18"/>
              </w:rPr>
              <w:t>Strongly agree</w:t>
            </w:r>
          </w:p>
        </w:tc>
        <w:tc>
          <w:tcPr>
            <w:tcW w:w="1700" w:type="dxa"/>
            <w:tcMar>
              <w:top w:w="80" w:type="dxa"/>
              <w:left w:w="120" w:type="dxa"/>
              <w:bottom w:w="80" w:type="dxa"/>
              <w:right w:w="120" w:type="dxa"/>
            </w:tcMar>
            <w:vAlign w:val="center"/>
          </w:tcPr>
          <w:p w14:paraId="18F083BB" w14:textId="77777777" w:rsidR="00764D9A" w:rsidRPr="00E546C7" w:rsidRDefault="00764D9A" w:rsidP="00B11AF1">
            <w:pPr>
              <w:pStyle w:val="TableText"/>
              <w:keepNext/>
              <w:jc w:val="center"/>
              <w:rPr>
                <w:rFonts w:cs="Times New Roman"/>
              </w:rPr>
            </w:pPr>
            <w:r w:rsidRPr="00E546C7">
              <w:rPr>
                <w:rFonts w:eastAsia="Times New Roman" w:cs="Times New Roman"/>
                <w:sz w:val="18"/>
              </w:rPr>
              <w:t>11</w:t>
            </w:r>
          </w:p>
        </w:tc>
        <w:tc>
          <w:tcPr>
            <w:tcW w:w="1920" w:type="dxa"/>
            <w:tcMar>
              <w:top w:w="80" w:type="dxa"/>
              <w:left w:w="120" w:type="dxa"/>
              <w:bottom w:w="80" w:type="dxa"/>
              <w:right w:w="120" w:type="dxa"/>
            </w:tcMar>
            <w:vAlign w:val="center"/>
          </w:tcPr>
          <w:p w14:paraId="5DFA6BC2" w14:textId="77777777" w:rsidR="00764D9A" w:rsidRPr="00E546C7" w:rsidRDefault="00764D9A" w:rsidP="00B11AF1">
            <w:pPr>
              <w:pStyle w:val="TableText"/>
              <w:keepNext/>
              <w:jc w:val="center"/>
              <w:rPr>
                <w:rFonts w:cs="Times New Roman"/>
              </w:rPr>
            </w:pPr>
            <w:r w:rsidRPr="00E546C7">
              <w:rPr>
                <w:rFonts w:eastAsia="Times New Roman" w:cs="Times New Roman"/>
                <w:sz w:val="18"/>
              </w:rPr>
              <w:t>22.0%</w:t>
            </w:r>
          </w:p>
        </w:tc>
      </w:tr>
    </w:tbl>
    <w:p w14:paraId="32772E69"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213C2FAA" w14:textId="77777777" w:rsidR="00764D9A" w:rsidRPr="00E546C7" w:rsidRDefault="00764D9A" w:rsidP="00C367A5">
      <w:pPr>
        <w:rPr>
          <w:b/>
          <w:bCs/>
        </w:rPr>
      </w:pPr>
      <w:r w:rsidRPr="00E546C7">
        <w:rPr>
          <w:b/>
          <w:bCs/>
        </w:rPr>
        <w:t>Q4: I find Adidas's marketing communications credible, relevant and engaging.</w:t>
      </w:r>
    </w:p>
    <w:p w14:paraId="1CFD451B" w14:textId="77777777" w:rsidR="00764D9A" w:rsidRPr="00E546C7" w:rsidRDefault="00764D9A" w:rsidP="00764D9A">
      <w:pPr>
        <w:pStyle w:val="Caption"/>
        <w:jc w:val="left"/>
        <w:rPr>
          <w:rFonts w:cs="Times New Roman"/>
        </w:rPr>
      </w:pPr>
      <w:r w:rsidRPr="00E546C7">
        <w:rPr>
          <w:rFonts w:eastAsia="Times New Roman" w:cs="Times New Roman"/>
          <w:color w:val="1F2933"/>
        </w:rPr>
        <w:t>Table B4: Complete Frequency Distribution for Q4</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244492AB" w14:textId="77777777" w:rsidTr="00B11AF1">
        <w:trPr>
          <w:cantSplit/>
          <w:tblHeader/>
        </w:trPr>
        <w:tc>
          <w:tcPr>
            <w:tcW w:w="5400" w:type="dxa"/>
            <w:shd w:val="clear" w:color="auto" w:fill="17365D"/>
            <w:tcMar>
              <w:top w:w="80" w:type="dxa"/>
              <w:left w:w="120" w:type="dxa"/>
              <w:bottom w:w="80" w:type="dxa"/>
              <w:right w:w="120" w:type="dxa"/>
            </w:tcMar>
            <w:vAlign w:val="center"/>
          </w:tcPr>
          <w:p w14:paraId="3B50E710"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29BD2AE1"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5922B9F3"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1FF52305" w14:textId="77777777" w:rsidTr="00B11AF1">
        <w:trPr>
          <w:cantSplit/>
        </w:trPr>
        <w:tc>
          <w:tcPr>
            <w:tcW w:w="5400" w:type="dxa"/>
            <w:tcMar>
              <w:top w:w="80" w:type="dxa"/>
              <w:left w:w="120" w:type="dxa"/>
              <w:bottom w:w="80" w:type="dxa"/>
              <w:right w:w="120" w:type="dxa"/>
            </w:tcMar>
            <w:vAlign w:val="center"/>
          </w:tcPr>
          <w:p w14:paraId="75BB7978" w14:textId="77777777" w:rsidR="00764D9A" w:rsidRPr="00E546C7" w:rsidRDefault="00764D9A" w:rsidP="00B11AF1">
            <w:pPr>
              <w:pStyle w:val="TableText"/>
              <w:keepNext/>
              <w:rPr>
                <w:rFonts w:cs="Times New Roman"/>
              </w:rPr>
            </w:pPr>
            <w:r w:rsidRPr="00E546C7">
              <w:rPr>
                <w:rFonts w:eastAsia="Times New Roman" w:cs="Times New Roman"/>
                <w:sz w:val="18"/>
              </w:rPr>
              <w:t>Strongly disagree</w:t>
            </w:r>
          </w:p>
        </w:tc>
        <w:tc>
          <w:tcPr>
            <w:tcW w:w="1700" w:type="dxa"/>
            <w:tcMar>
              <w:top w:w="80" w:type="dxa"/>
              <w:left w:w="120" w:type="dxa"/>
              <w:bottom w:w="80" w:type="dxa"/>
              <w:right w:w="120" w:type="dxa"/>
            </w:tcMar>
            <w:vAlign w:val="center"/>
          </w:tcPr>
          <w:p w14:paraId="342FD825"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tcMar>
              <w:top w:w="80" w:type="dxa"/>
              <w:left w:w="120" w:type="dxa"/>
              <w:bottom w:w="80" w:type="dxa"/>
              <w:right w:w="120" w:type="dxa"/>
            </w:tcMar>
            <w:vAlign w:val="center"/>
          </w:tcPr>
          <w:p w14:paraId="2A83DE55"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r w:rsidR="00764D9A" w:rsidRPr="00E546C7" w14:paraId="3478595A" w14:textId="77777777" w:rsidTr="00B11AF1">
        <w:trPr>
          <w:cantSplit/>
        </w:trPr>
        <w:tc>
          <w:tcPr>
            <w:tcW w:w="5400" w:type="dxa"/>
            <w:shd w:val="clear" w:color="auto" w:fill="F2F4F7"/>
            <w:tcMar>
              <w:top w:w="80" w:type="dxa"/>
              <w:left w:w="120" w:type="dxa"/>
              <w:bottom w:w="80" w:type="dxa"/>
              <w:right w:w="120" w:type="dxa"/>
            </w:tcMar>
            <w:vAlign w:val="center"/>
          </w:tcPr>
          <w:p w14:paraId="1A4D3CE1" w14:textId="77777777" w:rsidR="00764D9A" w:rsidRPr="00E546C7" w:rsidRDefault="00764D9A" w:rsidP="00B11AF1">
            <w:pPr>
              <w:pStyle w:val="TableText"/>
              <w:keepNext/>
              <w:rPr>
                <w:rFonts w:cs="Times New Roman"/>
              </w:rPr>
            </w:pPr>
            <w:r w:rsidRPr="00E546C7">
              <w:rPr>
                <w:rFonts w:eastAsia="Times New Roman" w:cs="Times New Roman"/>
                <w:sz w:val="18"/>
              </w:rPr>
              <w:t>Disagree</w:t>
            </w:r>
          </w:p>
        </w:tc>
        <w:tc>
          <w:tcPr>
            <w:tcW w:w="1700" w:type="dxa"/>
            <w:shd w:val="clear" w:color="auto" w:fill="F2F4F7"/>
            <w:tcMar>
              <w:top w:w="80" w:type="dxa"/>
              <w:left w:w="120" w:type="dxa"/>
              <w:bottom w:w="80" w:type="dxa"/>
              <w:right w:w="120" w:type="dxa"/>
            </w:tcMar>
            <w:vAlign w:val="center"/>
          </w:tcPr>
          <w:p w14:paraId="202530D9" w14:textId="77777777" w:rsidR="00764D9A" w:rsidRPr="00E546C7" w:rsidRDefault="00764D9A" w:rsidP="00B11AF1">
            <w:pPr>
              <w:pStyle w:val="TableText"/>
              <w:keepNext/>
              <w:jc w:val="center"/>
              <w:rPr>
                <w:rFonts w:cs="Times New Roman"/>
              </w:rPr>
            </w:pPr>
            <w:r w:rsidRPr="00E546C7">
              <w:rPr>
                <w:rFonts w:eastAsia="Times New Roman" w:cs="Times New Roman"/>
                <w:sz w:val="18"/>
              </w:rPr>
              <w:t>2</w:t>
            </w:r>
          </w:p>
        </w:tc>
        <w:tc>
          <w:tcPr>
            <w:tcW w:w="1920" w:type="dxa"/>
            <w:shd w:val="clear" w:color="auto" w:fill="F2F4F7"/>
            <w:tcMar>
              <w:top w:w="80" w:type="dxa"/>
              <w:left w:w="120" w:type="dxa"/>
              <w:bottom w:w="80" w:type="dxa"/>
              <w:right w:w="120" w:type="dxa"/>
            </w:tcMar>
            <w:vAlign w:val="center"/>
          </w:tcPr>
          <w:p w14:paraId="4DCFB5A5" w14:textId="77777777" w:rsidR="00764D9A" w:rsidRPr="00E546C7" w:rsidRDefault="00764D9A" w:rsidP="00B11AF1">
            <w:pPr>
              <w:pStyle w:val="TableText"/>
              <w:keepNext/>
              <w:jc w:val="center"/>
              <w:rPr>
                <w:rFonts w:cs="Times New Roman"/>
              </w:rPr>
            </w:pPr>
            <w:r w:rsidRPr="00E546C7">
              <w:rPr>
                <w:rFonts w:eastAsia="Times New Roman" w:cs="Times New Roman"/>
                <w:sz w:val="18"/>
              </w:rPr>
              <w:t>4.0%</w:t>
            </w:r>
          </w:p>
        </w:tc>
      </w:tr>
      <w:tr w:rsidR="00764D9A" w:rsidRPr="00E546C7" w14:paraId="32014F7D" w14:textId="77777777" w:rsidTr="00B11AF1">
        <w:trPr>
          <w:cantSplit/>
        </w:trPr>
        <w:tc>
          <w:tcPr>
            <w:tcW w:w="5400" w:type="dxa"/>
            <w:tcMar>
              <w:top w:w="80" w:type="dxa"/>
              <w:left w:w="120" w:type="dxa"/>
              <w:bottom w:w="80" w:type="dxa"/>
              <w:right w:w="120" w:type="dxa"/>
            </w:tcMar>
            <w:vAlign w:val="center"/>
          </w:tcPr>
          <w:p w14:paraId="0808A671" w14:textId="77777777" w:rsidR="00764D9A" w:rsidRPr="00E546C7" w:rsidRDefault="00764D9A" w:rsidP="00B11AF1">
            <w:pPr>
              <w:pStyle w:val="TableText"/>
              <w:keepNext/>
              <w:rPr>
                <w:rFonts w:cs="Times New Roman"/>
              </w:rPr>
            </w:pPr>
            <w:r w:rsidRPr="00E546C7">
              <w:rPr>
                <w:rFonts w:eastAsia="Times New Roman" w:cs="Times New Roman"/>
                <w:sz w:val="18"/>
              </w:rPr>
              <w:t>Neutral</w:t>
            </w:r>
          </w:p>
        </w:tc>
        <w:tc>
          <w:tcPr>
            <w:tcW w:w="1700" w:type="dxa"/>
            <w:tcMar>
              <w:top w:w="80" w:type="dxa"/>
              <w:left w:w="120" w:type="dxa"/>
              <w:bottom w:w="80" w:type="dxa"/>
              <w:right w:w="120" w:type="dxa"/>
            </w:tcMar>
            <w:vAlign w:val="center"/>
          </w:tcPr>
          <w:p w14:paraId="4EE6013C" w14:textId="77777777" w:rsidR="00764D9A" w:rsidRPr="00E546C7" w:rsidRDefault="00764D9A" w:rsidP="00B11AF1">
            <w:pPr>
              <w:pStyle w:val="TableText"/>
              <w:keepNext/>
              <w:jc w:val="center"/>
              <w:rPr>
                <w:rFonts w:cs="Times New Roman"/>
              </w:rPr>
            </w:pPr>
            <w:r w:rsidRPr="00E546C7">
              <w:rPr>
                <w:rFonts w:eastAsia="Times New Roman" w:cs="Times New Roman"/>
                <w:sz w:val="18"/>
              </w:rPr>
              <w:t>8</w:t>
            </w:r>
          </w:p>
        </w:tc>
        <w:tc>
          <w:tcPr>
            <w:tcW w:w="1920" w:type="dxa"/>
            <w:tcMar>
              <w:top w:w="80" w:type="dxa"/>
              <w:left w:w="120" w:type="dxa"/>
              <w:bottom w:w="80" w:type="dxa"/>
              <w:right w:w="120" w:type="dxa"/>
            </w:tcMar>
            <w:vAlign w:val="center"/>
          </w:tcPr>
          <w:p w14:paraId="68CA3FDF" w14:textId="77777777" w:rsidR="00764D9A" w:rsidRPr="00E546C7" w:rsidRDefault="00764D9A" w:rsidP="00B11AF1">
            <w:pPr>
              <w:pStyle w:val="TableText"/>
              <w:keepNext/>
              <w:jc w:val="center"/>
              <w:rPr>
                <w:rFonts w:cs="Times New Roman"/>
              </w:rPr>
            </w:pPr>
            <w:r w:rsidRPr="00E546C7">
              <w:rPr>
                <w:rFonts w:eastAsia="Times New Roman" w:cs="Times New Roman"/>
                <w:sz w:val="18"/>
              </w:rPr>
              <w:t>16.0%</w:t>
            </w:r>
          </w:p>
        </w:tc>
      </w:tr>
      <w:tr w:rsidR="00764D9A" w:rsidRPr="00E546C7" w14:paraId="74EB97DF" w14:textId="77777777" w:rsidTr="00B11AF1">
        <w:trPr>
          <w:cantSplit/>
        </w:trPr>
        <w:tc>
          <w:tcPr>
            <w:tcW w:w="5400" w:type="dxa"/>
            <w:shd w:val="clear" w:color="auto" w:fill="F2F4F7"/>
            <w:tcMar>
              <w:top w:w="80" w:type="dxa"/>
              <w:left w:w="120" w:type="dxa"/>
              <w:bottom w:w="80" w:type="dxa"/>
              <w:right w:w="120" w:type="dxa"/>
            </w:tcMar>
            <w:vAlign w:val="center"/>
          </w:tcPr>
          <w:p w14:paraId="77534373" w14:textId="77777777" w:rsidR="00764D9A" w:rsidRPr="00E546C7" w:rsidRDefault="00764D9A" w:rsidP="00B11AF1">
            <w:pPr>
              <w:pStyle w:val="TableText"/>
              <w:keepNext/>
              <w:rPr>
                <w:rFonts w:cs="Times New Roman"/>
              </w:rPr>
            </w:pPr>
            <w:r w:rsidRPr="00E546C7">
              <w:rPr>
                <w:rFonts w:eastAsia="Times New Roman" w:cs="Times New Roman"/>
                <w:sz w:val="18"/>
              </w:rPr>
              <w:t>Agree</w:t>
            </w:r>
          </w:p>
        </w:tc>
        <w:tc>
          <w:tcPr>
            <w:tcW w:w="1700" w:type="dxa"/>
            <w:shd w:val="clear" w:color="auto" w:fill="F2F4F7"/>
            <w:tcMar>
              <w:top w:w="80" w:type="dxa"/>
              <w:left w:w="120" w:type="dxa"/>
              <w:bottom w:w="80" w:type="dxa"/>
              <w:right w:w="120" w:type="dxa"/>
            </w:tcMar>
            <w:vAlign w:val="center"/>
          </w:tcPr>
          <w:p w14:paraId="504F9933" w14:textId="77777777" w:rsidR="00764D9A" w:rsidRPr="00E546C7" w:rsidRDefault="00764D9A" w:rsidP="00B11AF1">
            <w:pPr>
              <w:pStyle w:val="TableText"/>
              <w:keepNext/>
              <w:jc w:val="center"/>
              <w:rPr>
                <w:rFonts w:cs="Times New Roman"/>
              </w:rPr>
            </w:pPr>
            <w:r w:rsidRPr="00E546C7">
              <w:rPr>
                <w:rFonts w:eastAsia="Times New Roman" w:cs="Times New Roman"/>
                <w:sz w:val="18"/>
              </w:rPr>
              <w:t>27</w:t>
            </w:r>
          </w:p>
        </w:tc>
        <w:tc>
          <w:tcPr>
            <w:tcW w:w="1920" w:type="dxa"/>
            <w:shd w:val="clear" w:color="auto" w:fill="F2F4F7"/>
            <w:tcMar>
              <w:top w:w="80" w:type="dxa"/>
              <w:left w:w="120" w:type="dxa"/>
              <w:bottom w:w="80" w:type="dxa"/>
              <w:right w:w="120" w:type="dxa"/>
            </w:tcMar>
            <w:vAlign w:val="center"/>
          </w:tcPr>
          <w:p w14:paraId="18B50E20" w14:textId="77777777" w:rsidR="00764D9A" w:rsidRPr="00E546C7" w:rsidRDefault="00764D9A" w:rsidP="00B11AF1">
            <w:pPr>
              <w:pStyle w:val="TableText"/>
              <w:keepNext/>
              <w:jc w:val="center"/>
              <w:rPr>
                <w:rFonts w:cs="Times New Roman"/>
              </w:rPr>
            </w:pPr>
            <w:r w:rsidRPr="00E546C7">
              <w:rPr>
                <w:rFonts w:eastAsia="Times New Roman" w:cs="Times New Roman"/>
                <w:sz w:val="18"/>
              </w:rPr>
              <w:t>54.0%</w:t>
            </w:r>
          </w:p>
        </w:tc>
      </w:tr>
      <w:tr w:rsidR="00764D9A" w:rsidRPr="00E546C7" w14:paraId="616C0977" w14:textId="77777777" w:rsidTr="00B11AF1">
        <w:trPr>
          <w:cantSplit/>
        </w:trPr>
        <w:tc>
          <w:tcPr>
            <w:tcW w:w="5400" w:type="dxa"/>
            <w:tcMar>
              <w:top w:w="80" w:type="dxa"/>
              <w:left w:w="120" w:type="dxa"/>
              <w:bottom w:w="80" w:type="dxa"/>
              <w:right w:w="120" w:type="dxa"/>
            </w:tcMar>
            <w:vAlign w:val="center"/>
          </w:tcPr>
          <w:p w14:paraId="0D2E3356" w14:textId="77777777" w:rsidR="00764D9A" w:rsidRPr="00E546C7" w:rsidRDefault="00764D9A" w:rsidP="00B11AF1">
            <w:pPr>
              <w:pStyle w:val="TableText"/>
              <w:keepNext/>
              <w:rPr>
                <w:rFonts w:cs="Times New Roman"/>
              </w:rPr>
            </w:pPr>
            <w:r w:rsidRPr="00E546C7">
              <w:rPr>
                <w:rFonts w:eastAsia="Times New Roman" w:cs="Times New Roman"/>
                <w:sz w:val="18"/>
              </w:rPr>
              <w:t>Strongly agree</w:t>
            </w:r>
          </w:p>
        </w:tc>
        <w:tc>
          <w:tcPr>
            <w:tcW w:w="1700" w:type="dxa"/>
            <w:tcMar>
              <w:top w:w="80" w:type="dxa"/>
              <w:left w:w="120" w:type="dxa"/>
              <w:bottom w:w="80" w:type="dxa"/>
              <w:right w:w="120" w:type="dxa"/>
            </w:tcMar>
            <w:vAlign w:val="center"/>
          </w:tcPr>
          <w:p w14:paraId="40741E51" w14:textId="77777777" w:rsidR="00764D9A" w:rsidRPr="00E546C7" w:rsidRDefault="00764D9A" w:rsidP="00B11AF1">
            <w:pPr>
              <w:pStyle w:val="TableText"/>
              <w:keepNext/>
              <w:jc w:val="center"/>
              <w:rPr>
                <w:rFonts w:cs="Times New Roman"/>
              </w:rPr>
            </w:pPr>
            <w:r w:rsidRPr="00E546C7">
              <w:rPr>
                <w:rFonts w:eastAsia="Times New Roman" w:cs="Times New Roman"/>
                <w:sz w:val="18"/>
              </w:rPr>
              <w:t>13</w:t>
            </w:r>
          </w:p>
        </w:tc>
        <w:tc>
          <w:tcPr>
            <w:tcW w:w="1920" w:type="dxa"/>
            <w:tcMar>
              <w:top w:w="80" w:type="dxa"/>
              <w:left w:w="120" w:type="dxa"/>
              <w:bottom w:w="80" w:type="dxa"/>
              <w:right w:w="120" w:type="dxa"/>
            </w:tcMar>
            <w:vAlign w:val="center"/>
          </w:tcPr>
          <w:p w14:paraId="41BBEC7B" w14:textId="77777777" w:rsidR="00764D9A" w:rsidRPr="00E546C7" w:rsidRDefault="00764D9A" w:rsidP="00B11AF1">
            <w:pPr>
              <w:pStyle w:val="TableText"/>
              <w:keepNext/>
              <w:jc w:val="center"/>
              <w:rPr>
                <w:rFonts w:cs="Times New Roman"/>
              </w:rPr>
            </w:pPr>
            <w:r w:rsidRPr="00E546C7">
              <w:rPr>
                <w:rFonts w:eastAsia="Times New Roman" w:cs="Times New Roman"/>
                <w:sz w:val="18"/>
              </w:rPr>
              <w:t>26.0%</w:t>
            </w:r>
          </w:p>
        </w:tc>
      </w:tr>
    </w:tbl>
    <w:p w14:paraId="08B411D2"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7F1C54DD" w14:textId="77777777" w:rsidR="00764D9A" w:rsidRPr="00E546C7" w:rsidRDefault="00764D9A" w:rsidP="00C367A5">
      <w:pPr>
        <w:rPr>
          <w:b/>
          <w:bCs/>
        </w:rPr>
      </w:pPr>
      <w:r w:rsidRPr="00E546C7">
        <w:rPr>
          <w:b/>
          <w:bCs/>
        </w:rPr>
        <w:t>Q5: Adidas's marketing communications create a positive attitude toward the brand.</w:t>
      </w:r>
    </w:p>
    <w:p w14:paraId="7CF0AF99" w14:textId="77777777" w:rsidR="00764D9A" w:rsidRPr="00E546C7" w:rsidRDefault="00764D9A" w:rsidP="00764D9A">
      <w:pPr>
        <w:pStyle w:val="Caption"/>
        <w:jc w:val="left"/>
        <w:rPr>
          <w:rFonts w:cs="Times New Roman"/>
        </w:rPr>
      </w:pPr>
      <w:r w:rsidRPr="00E546C7">
        <w:rPr>
          <w:rFonts w:eastAsia="Times New Roman" w:cs="Times New Roman"/>
          <w:color w:val="1F2933"/>
        </w:rPr>
        <w:t>Table B5: Complete Frequency Distribution for Q5</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2E82E537" w14:textId="77777777" w:rsidTr="00B11AF1">
        <w:trPr>
          <w:cantSplit/>
          <w:tblHeader/>
        </w:trPr>
        <w:tc>
          <w:tcPr>
            <w:tcW w:w="5400" w:type="dxa"/>
            <w:shd w:val="clear" w:color="auto" w:fill="17365D"/>
            <w:tcMar>
              <w:top w:w="80" w:type="dxa"/>
              <w:left w:w="120" w:type="dxa"/>
              <w:bottom w:w="80" w:type="dxa"/>
              <w:right w:w="120" w:type="dxa"/>
            </w:tcMar>
            <w:vAlign w:val="center"/>
          </w:tcPr>
          <w:p w14:paraId="388D7073"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251FCCF6"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5006C365"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4D8823AF" w14:textId="77777777" w:rsidTr="00B11AF1">
        <w:trPr>
          <w:cantSplit/>
        </w:trPr>
        <w:tc>
          <w:tcPr>
            <w:tcW w:w="5400" w:type="dxa"/>
            <w:tcMar>
              <w:top w:w="80" w:type="dxa"/>
              <w:left w:w="120" w:type="dxa"/>
              <w:bottom w:w="80" w:type="dxa"/>
              <w:right w:w="120" w:type="dxa"/>
            </w:tcMar>
            <w:vAlign w:val="center"/>
          </w:tcPr>
          <w:p w14:paraId="6EA03B8E" w14:textId="77777777" w:rsidR="00764D9A" w:rsidRPr="00E546C7" w:rsidRDefault="00764D9A" w:rsidP="00B11AF1">
            <w:pPr>
              <w:pStyle w:val="TableText"/>
              <w:keepNext/>
              <w:rPr>
                <w:rFonts w:cs="Times New Roman"/>
              </w:rPr>
            </w:pPr>
            <w:r w:rsidRPr="00E546C7">
              <w:rPr>
                <w:rFonts w:eastAsia="Times New Roman" w:cs="Times New Roman"/>
                <w:sz w:val="18"/>
              </w:rPr>
              <w:t>Strongly disagree</w:t>
            </w:r>
          </w:p>
        </w:tc>
        <w:tc>
          <w:tcPr>
            <w:tcW w:w="1700" w:type="dxa"/>
            <w:tcMar>
              <w:top w:w="80" w:type="dxa"/>
              <w:left w:w="120" w:type="dxa"/>
              <w:bottom w:w="80" w:type="dxa"/>
              <w:right w:w="120" w:type="dxa"/>
            </w:tcMar>
            <w:vAlign w:val="center"/>
          </w:tcPr>
          <w:p w14:paraId="1419A8DB"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tcMar>
              <w:top w:w="80" w:type="dxa"/>
              <w:left w:w="120" w:type="dxa"/>
              <w:bottom w:w="80" w:type="dxa"/>
              <w:right w:w="120" w:type="dxa"/>
            </w:tcMar>
            <w:vAlign w:val="center"/>
          </w:tcPr>
          <w:p w14:paraId="376F8D2F"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r w:rsidR="00764D9A" w:rsidRPr="00E546C7" w14:paraId="511EA826" w14:textId="77777777" w:rsidTr="00B11AF1">
        <w:trPr>
          <w:cantSplit/>
        </w:trPr>
        <w:tc>
          <w:tcPr>
            <w:tcW w:w="5400" w:type="dxa"/>
            <w:shd w:val="clear" w:color="auto" w:fill="F2F4F7"/>
            <w:tcMar>
              <w:top w:w="80" w:type="dxa"/>
              <w:left w:w="120" w:type="dxa"/>
              <w:bottom w:w="80" w:type="dxa"/>
              <w:right w:w="120" w:type="dxa"/>
            </w:tcMar>
            <w:vAlign w:val="center"/>
          </w:tcPr>
          <w:p w14:paraId="7ACDC1B8" w14:textId="77777777" w:rsidR="00764D9A" w:rsidRPr="00E546C7" w:rsidRDefault="00764D9A" w:rsidP="00B11AF1">
            <w:pPr>
              <w:pStyle w:val="TableText"/>
              <w:keepNext/>
              <w:rPr>
                <w:rFonts w:cs="Times New Roman"/>
              </w:rPr>
            </w:pPr>
            <w:r w:rsidRPr="00E546C7">
              <w:rPr>
                <w:rFonts w:eastAsia="Times New Roman" w:cs="Times New Roman"/>
                <w:sz w:val="18"/>
              </w:rPr>
              <w:t>Disagree</w:t>
            </w:r>
          </w:p>
        </w:tc>
        <w:tc>
          <w:tcPr>
            <w:tcW w:w="1700" w:type="dxa"/>
            <w:shd w:val="clear" w:color="auto" w:fill="F2F4F7"/>
            <w:tcMar>
              <w:top w:w="80" w:type="dxa"/>
              <w:left w:w="120" w:type="dxa"/>
              <w:bottom w:w="80" w:type="dxa"/>
              <w:right w:w="120" w:type="dxa"/>
            </w:tcMar>
            <w:vAlign w:val="center"/>
          </w:tcPr>
          <w:p w14:paraId="428DA52E" w14:textId="77777777" w:rsidR="00764D9A" w:rsidRPr="00E546C7" w:rsidRDefault="00764D9A" w:rsidP="00B11AF1">
            <w:pPr>
              <w:pStyle w:val="TableText"/>
              <w:keepNext/>
              <w:jc w:val="center"/>
              <w:rPr>
                <w:rFonts w:cs="Times New Roman"/>
              </w:rPr>
            </w:pPr>
            <w:r w:rsidRPr="00E546C7">
              <w:rPr>
                <w:rFonts w:eastAsia="Times New Roman" w:cs="Times New Roman"/>
                <w:sz w:val="18"/>
              </w:rPr>
              <w:t>1</w:t>
            </w:r>
          </w:p>
        </w:tc>
        <w:tc>
          <w:tcPr>
            <w:tcW w:w="1920" w:type="dxa"/>
            <w:shd w:val="clear" w:color="auto" w:fill="F2F4F7"/>
            <w:tcMar>
              <w:top w:w="80" w:type="dxa"/>
              <w:left w:w="120" w:type="dxa"/>
              <w:bottom w:w="80" w:type="dxa"/>
              <w:right w:w="120" w:type="dxa"/>
            </w:tcMar>
            <w:vAlign w:val="center"/>
          </w:tcPr>
          <w:p w14:paraId="4F06C0C8" w14:textId="77777777" w:rsidR="00764D9A" w:rsidRPr="00E546C7" w:rsidRDefault="00764D9A" w:rsidP="00B11AF1">
            <w:pPr>
              <w:pStyle w:val="TableText"/>
              <w:keepNext/>
              <w:jc w:val="center"/>
              <w:rPr>
                <w:rFonts w:cs="Times New Roman"/>
              </w:rPr>
            </w:pPr>
            <w:r w:rsidRPr="00E546C7">
              <w:rPr>
                <w:rFonts w:eastAsia="Times New Roman" w:cs="Times New Roman"/>
                <w:sz w:val="18"/>
              </w:rPr>
              <w:t>2.0%</w:t>
            </w:r>
          </w:p>
        </w:tc>
      </w:tr>
      <w:tr w:rsidR="00764D9A" w:rsidRPr="00E546C7" w14:paraId="1A2E2306" w14:textId="77777777" w:rsidTr="00B11AF1">
        <w:trPr>
          <w:cantSplit/>
        </w:trPr>
        <w:tc>
          <w:tcPr>
            <w:tcW w:w="5400" w:type="dxa"/>
            <w:tcMar>
              <w:top w:w="80" w:type="dxa"/>
              <w:left w:w="120" w:type="dxa"/>
              <w:bottom w:w="80" w:type="dxa"/>
              <w:right w:w="120" w:type="dxa"/>
            </w:tcMar>
            <w:vAlign w:val="center"/>
          </w:tcPr>
          <w:p w14:paraId="20259E70" w14:textId="77777777" w:rsidR="00764D9A" w:rsidRPr="00E546C7" w:rsidRDefault="00764D9A" w:rsidP="00B11AF1">
            <w:pPr>
              <w:pStyle w:val="TableText"/>
              <w:keepNext/>
              <w:rPr>
                <w:rFonts w:cs="Times New Roman"/>
              </w:rPr>
            </w:pPr>
            <w:r w:rsidRPr="00E546C7">
              <w:rPr>
                <w:rFonts w:eastAsia="Times New Roman" w:cs="Times New Roman"/>
                <w:sz w:val="18"/>
              </w:rPr>
              <w:t>Neutral</w:t>
            </w:r>
          </w:p>
        </w:tc>
        <w:tc>
          <w:tcPr>
            <w:tcW w:w="1700" w:type="dxa"/>
            <w:tcMar>
              <w:top w:w="80" w:type="dxa"/>
              <w:left w:w="120" w:type="dxa"/>
              <w:bottom w:w="80" w:type="dxa"/>
              <w:right w:w="120" w:type="dxa"/>
            </w:tcMar>
            <w:vAlign w:val="center"/>
          </w:tcPr>
          <w:p w14:paraId="5E3BDFFD" w14:textId="77777777" w:rsidR="00764D9A" w:rsidRPr="00E546C7" w:rsidRDefault="00764D9A" w:rsidP="00B11AF1">
            <w:pPr>
              <w:pStyle w:val="TableText"/>
              <w:keepNext/>
              <w:jc w:val="center"/>
              <w:rPr>
                <w:rFonts w:cs="Times New Roman"/>
              </w:rPr>
            </w:pPr>
            <w:r w:rsidRPr="00E546C7">
              <w:rPr>
                <w:rFonts w:eastAsia="Times New Roman" w:cs="Times New Roman"/>
                <w:sz w:val="18"/>
              </w:rPr>
              <w:t>9</w:t>
            </w:r>
          </w:p>
        </w:tc>
        <w:tc>
          <w:tcPr>
            <w:tcW w:w="1920" w:type="dxa"/>
            <w:tcMar>
              <w:top w:w="80" w:type="dxa"/>
              <w:left w:w="120" w:type="dxa"/>
              <w:bottom w:w="80" w:type="dxa"/>
              <w:right w:w="120" w:type="dxa"/>
            </w:tcMar>
            <w:vAlign w:val="center"/>
          </w:tcPr>
          <w:p w14:paraId="3A0CDAAE" w14:textId="77777777" w:rsidR="00764D9A" w:rsidRPr="00E546C7" w:rsidRDefault="00764D9A" w:rsidP="00B11AF1">
            <w:pPr>
              <w:pStyle w:val="TableText"/>
              <w:keepNext/>
              <w:jc w:val="center"/>
              <w:rPr>
                <w:rFonts w:cs="Times New Roman"/>
              </w:rPr>
            </w:pPr>
            <w:r w:rsidRPr="00E546C7">
              <w:rPr>
                <w:rFonts w:eastAsia="Times New Roman" w:cs="Times New Roman"/>
                <w:sz w:val="18"/>
              </w:rPr>
              <w:t>18.0%</w:t>
            </w:r>
          </w:p>
        </w:tc>
      </w:tr>
      <w:tr w:rsidR="00764D9A" w:rsidRPr="00E546C7" w14:paraId="0DE679DF" w14:textId="77777777" w:rsidTr="00B11AF1">
        <w:trPr>
          <w:cantSplit/>
        </w:trPr>
        <w:tc>
          <w:tcPr>
            <w:tcW w:w="5400" w:type="dxa"/>
            <w:shd w:val="clear" w:color="auto" w:fill="F2F4F7"/>
            <w:tcMar>
              <w:top w:w="80" w:type="dxa"/>
              <w:left w:w="120" w:type="dxa"/>
              <w:bottom w:w="80" w:type="dxa"/>
              <w:right w:w="120" w:type="dxa"/>
            </w:tcMar>
            <w:vAlign w:val="center"/>
          </w:tcPr>
          <w:p w14:paraId="7702608A" w14:textId="77777777" w:rsidR="00764D9A" w:rsidRPr="00E546C7" w:rsidRDefault="00764D9A" w:rsidP="00B11AF1">
            <w:pPr>
              <w:pStyle w:val="TableText"/>
              <w:keepNext/>
              <w:rPr>
                <w:rFonts w:cs="Times New Roman"/>
              </w:rPr>
            </w:pPr>
            <w:r w:rsidRPr="00E546C7">
              <w:rPr>
                <w:rFonts w:eastAsia="Times New Roman" w:cs="Times New Roman"/>
                <w:sz w:val="18"/>
              </w:rPr>
              <w:t>Agree</w:t>
            </w:r>
          </w:p>
        </w:tc>
        <w:tc>
          <w:tcPr>
            <w:tcW w:w="1700" w:type="dxa"/>
            <w:shd w:val="clear" w:color="auto" w:fill="F2F4F7"/>
            <w:tcMar>
              <w:top w:w="80" w:type="dxa"/>
              <w:left w:w="120" w:type="dxa"/>
              <w:bottom w:w="80" w:type="dxa"/>
              <w:right w:w="120" w:type="dxa"/>
            </w:tcMar>
            <w:vAlign w:val="center"/>
          </w:tcPr>
          <w:p w14:paraId="313E734A" w14:textId="77777777" w:rsidR="00764D9A" w:rsidRPr="00E546C7" w:rsidRDefault="00764D9A" w:rsidP="00B11AF1">
            <w:pPr>
              <w:pStyle w:val="TableText"/>
              <w:keepNext/>
              <w:jc w:val="center"/>
              <w:rPr>
                <w:rFonts w:cs="Times New Roman"/>
              </w:rPr>
            </w:pPr>
            <w:r w:rsidRPr="00E546C7">
              <w:rPr>
                <w:rFonts w:eastAsia="Times New Roman" w:cs="Times New Roman"/>
                <w:sz w:val="18"/>
              </w:rPr>
              <w:t>24</w:t>
            </w:r>
          </w:p>
        </w:tc>
        <w:tc>
          <w:tcPr>
            <w:tcW w:w="1920" w:type="dxa"/>
            <w:shd w:val="clear" w:color="auto" w:fill="F2F4F7"/>
            <w:tcMar>
              <w:top w:w="80" w:type="dxa"/>
              <w:left w:w="120" w:type="dxa"/>
              <w:bottom w:w="80" w:type="dxa"/>
              <w:right w:w="120" w:type="dxa"/>
            </w:tcMar>
            <w:vAlign w:val="center"/>
          </w:tcPr>
          <w:p w14:paraId="43D9999A" w14:textId="77777777" w:rsidR="00764D9A" w:rsidRPr="00E546C7" w:rsidRDefault="00764D9A" w:rsidP="00B11AF1">
            <w:pPr>
              <w:pStyle w:val="TableText"/>
              <w:keepNext/>
              <w:jc w:val="center"/>
              <w:rPr>
                <w:rFonts w:cs="Times New Roman"/>
              </w:rPr>
            </w:pPr>
            <w:r w:rsidRPr="00E546C7">
              <w:rPr>
                <w:rFonts w:eastAsia="Times New Roman" w:cs="Times New Roman"/>
                <w:sz w:val="18"/>
              </w:rPr>
              <w:t>48.0%</w:t>
            </w:r>
          </w:p>
        </w:tc>
      </w:tr>
      <w:tr w:rsidR="00764D9A" w:rsidRPr="00E546C7" w14:paraId="38FFD6E3" w14:textId="77777777" w:rsidTr="00B11AF1">
        <w:trPr>
          <w:cantSplit/>
        </w:trPr>
        <w:tc>
          <w:tcPr>
            <w:tcW w:w="5400" w:type="dxa"/>
            <w:tcMar>
              <w:top w:w="80" w:type="dxa"/>
              <w:left w:w="120" w:type="dxa"/>
              <w:bottom w:w="80" w:type="dxa"/>
              <w:right w:w="120" w:type="dxa"/>
            </w:tcMar>
            <w:vAlign w:val="center"/>
          </w:tcPr>
          <w:p w14:paraId="5DDE1A14" w14:textId="77777777" w:rsidR="00764D9A" w:rsidRPr="00E546C7" w:rsidRDefault="00764D9A" w:rsidP="00B11AF1">
            <w:pPr>
              <w:pStyle w:val="TableText"/>
              <w:keepNext/>
              <w:rPr>
                <w:rFonts w:cs="Times New Roman"/>
              </w:rPr>
            </w:pPr>
            <w:r w:rsidRPr="00E546C7">
              <w:rPr>
                <w:rFonts w:eastAsia="Times New Roman" w:cs="Times New Roman"/>
                <w:sz w:val="18"/>
              </w:rPr>
              <w:t>Strongly agree</w:t>
            </w:r>
          </w:p>
        </w:tc>
        <w:tc>
          <w:tcPr>
            <w:tcW w:w="1700" w:type="dxa"/>
            <w:tcMar>
              <w:top w:w="80" w:type="dxa"/>
              <w:left w:w="120" w:type="dxa"/>
              <w:bottom w:w="80" w:type="dxa"/>
              <w:right w:w="120" w:type="dxa"/>
            </w:tcMar>
            <w:vAlign w:val="center"/>
          </w:tcPr>
          <w:p w14:paraId="2C9B68B4" w14:textId="77777777" w:rsidR="00764D9A" w:rsidRPr="00E546C7" w:rsidRDefault="00764D9A" w:rsidP="00B11AF1">
            <w:pPr>
              <w:pStyle w:val="TableText"/>
              <w:keepNext/>
              <w:jc w:val="center"/>
              <w:rPr>
                <w:rFonts w:cs="Times New Roman"/>
              </w:rPr>
            </w:pPr>
            <w:r w:rsidRPr="00E546C7">
              <w:rPr>
                <w:rFonts w:eastAsia="Times New Roman" w:cs="Times New Roman"/>
                <w:sz w:val="18"/>
              </w:rPr>
              <w:t>16</w:t>
            </w:r>
          </w:p>
        </w:tc>
        <w:tc>
          <w:tcPr>
            <w:tcW w:w="1920" w:type="dxa"/>
            <w:tcMar>
              <w:top w:w="80" w:type="dxa"/>
              <w:left w:w="120" w:type="dxa"/>
              <w:bottom w:w="80" w:type="dxa"/>
              <w:right w:w="120" w:type="dxa"/>
            </w:tcMar>
            <w:vAlign w:val="center"/>
          </w:tcPr>
          <w:p w14:paraId="610C8965" w14:textId="77777777" w:rsidR="00764D9A" w:rsidRPr="00E546C7" w:rsidRDefault="00764D9A" w:rsidP="00B11AF1">
            <w:pPr>
              <w:pStyle w:val="TableText"/>
              <w:keepNext/>
              <w:jc w:val="center"/>
              <w:rPr>
                <w:rFonts w:cs="Times New Roman"/>
              </w:rPr>
            </w:pPr>
            <w:r w:rsidRPr="00E546C7">
              <w:rPr>
                <w:rFonts w:eastAsia="Times New Roman" w:cs="Times New Roman"/>
                <w:sz w:val="18"/>
              </w:rPr>
              <w:t>32.0%</w:t>
            </w:r>
          </w:p>
        </w:tc>
      </w:tr>
    </w:tbl>
    <w:p w14:paraId="49E38B38"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3960CB7F" w14:textId="77777777" w:rsidR="00764D9A" w:rsidRPr="00E546C7" w:rsidRDefault="00764D9A" w:rsidP="00C367A5">
      <w:pPr>
        <w:rPr>
          <w:b/>
          <w:bCs/>
        </w:rPr>
      </w:pPr>
      <w:r w:rsidRPr="00E546C7">
        <w:rPr>
          <w:b/>
          <w:bCs/>
        </w:rPr>
        <w:t>Q6: Adidas's marketing communications increase my intention to purchase Adidas products.</w:t>
      </w:r>
    </w:p>
    <w:p w14:paraId="516B8D0B" w14:textId="77777777" w:rsidR="00764D9A" w:rsidRPr="00E546C7" w:rsidRDefault="00764D9A" w:rsidP="00764D9A">
      <w:pPr>
        <w:pStyle w:val="Caption"/>
        <w:jc w:val="left"/>
        <w:rPr>
          <w:rFonts w:cs="Times New Roman"/>
        </w:rPr>
      </w:pPr>
      <w:r w:rsidRPr="00E546C7">
        <w:rPr>
          <w:rFonts w:eastAsia="Times New Roman" w:cs="Times New Roman"/>
          <w:color w:val="1F2933"/>
        </w:rPr>
        <w:t>Table B6: Complete Frequency Distribution for Q6</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101788A6" w14:textId="77777777" w:rsidTr="00B11AF1">
        <w:trPr>
          <w:cantSplit/>
          <w:tblHeader/>
        </w:trPr>
        <w:tc>
          <w:tcPr>
            <w:tcW w:w="5400" w:type="dxa"/>
            <w:shd w:val="clear" w:color="auto" w:fill="17365D"/>
            <w:tcMar>
              <w:top w:w="80" w:type="dxa"/>
              <w:left w:w="120" w:type="dxa"/>
              <w:bottom w:w="80" w:type="dxa"/>
              <w:right w:w="120" w:type="dxa"/>
            </w:tcMar>
            <w:vAlign w:val="center"/>
          </w:tcPr>
          <w:p w14:paraId="260ECAE5"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208A7C40"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7BCD5A8B"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623D7BA1" w14:textId="77777777" w:rsidTr="00B11AF1">
        <w:trPr>
          <w:cantSplit/>
        </w:trPr>
        <w:tc>
          <w:tcPr>
            <w:tcW w:w="5400" w:type="dxa"/>
            <w:tcMar>
              <w:top w:w="80" w:type="dxa"/>
              <w:left w:w="120" w:type="dxa"/>
              <w:bottom w:w="80" w:type="dxa"/>
              <w:right w:w="120" w:type="dxa"/>
            </w:tcMar>
            <w:vAlign w:val="center"/>
          </w:tcPr>
          <w:p w14:paraId="71E20F69" w14:textId="77777777" w:rsidR="00764D9A" w:rsidRPr="00E546C7" w:rsidRDefault="00764D9A" w:rsidP="00B11AF1">
            <w:pPr>
              <w:pStyle w:val="TableText"/>
              <w:keepNext/>
              <w:rPr>
                <w:rFonts w:cs="Times New Roman"/>
              </w:rPr>
            </w:pPr>
            <w:r w:rsidRPr="00E546C7">
              <w:rPr>
                <w:rFonts w:eastAsia="Times New Roman" w:cs="Times New Roman"/>
                <w:sz w:val="18"/>
              </w:rPr>
              <w:t>Strongly disagree</w:t>
            </w:r>
          </w:p>
        </w:tc>
        <w:tc>
          <w:tcPr>
            <w:tcW w:w="1700" w:type="dxa"/>
            <w:tcMar>
              <w:top w:w="80" w:type="dxa"/>
              <w:left w:w="120" w:type="dxa"/>
              <w:bottom w:w="80" w:type="dxa"/>
              <w:right w:w="120" w:type="dxa"/>
            </w:tcMar>
            <w:vAlign w:val="center"/>
          </w:tcPr>
          <w:p w14:paraId="08761773"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tcMar>
              <w:top w:w="80" w:type="dxa"/>
              <w:left w:w="120" w:type="dxa"/>
              <w:bottom w:w="80" w:type="dxa"/>
              <w:right w:w="120" w:type="dxa"/>
            </w:tcMar>
            <w:vAlign w:val="center"/>
          </w:tcPr>
          <w:p w14:paraId="356E4443"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r w:rsidR="00764D9A" w:rsidRPr="00E546C7" w14:paraId="2C3786AB" w14:textId="77777777" w:rsidTr="00B11AF1">
        <w:trPr>
          <w:cantSplit/>
        </w:trPr>
        <w:tc>
          <w:tcPr>
            <w:tcW w:w="5400" w:type="dxa"/>
            <w:shd w:val="clear" w:color="auto" w:fill="F2F4F7"/>
            <w:tcMar>
              <w:top w:w="80" w:type="dxa"/>
              <w:left w:w="120" w:type="dxa"/>
              <w:bottom w:w="80" w:type="dxa"/>
              <w:right w:w="120" w:type="dxa"/>
            </w:tcMar>
            <w:vAlign w:val="center"/>
          </w:tcPr>
          <w:p w14:paraId="6BBCBFA7" w14:textId="77777777" w:rsidR="00764D9A" w:rsidRPr="00E546C7" w:rsidRDefault="00764D9A" w:rsidP="00B11AF1">
            <w:pPr>
              <w:pStyle w:val="TableText"/>
              <w:keepNext/>
              <w:rPr>
                <w:rFonts w:cs="Times New Roman"/>
              </w:rPr>
            </w:pPr>
            <w:r w:rsidRPr="00E546C7">
              <w:rPr>
                <w:rFonts w:eastAsia="Times New Roman" w:cs="Times New Roman"/>
                <w:sz w:val="18"/>
              </w:rPr>
              <w:t>Disagree</w:t>
            </w:r>
          </w:p>
        </w:tc>
        <w:tc>
          <w:tcPr>
            <w:tcW w:w="1700" w:type="dxa"/>
            <w:shd w:val="clear" w:color="auto" w:fill="F2F4F7"/>
            <w:tcMar>
              <w:top w:w="80" w:type="dxa"/>
              <w:left w:w="120" w:type="dxa"/>
              <w:bottom w:w="80" w:type="dxa"/>
              <w:right w:w="120" w:type="dxa"/>
            </w:tcMar>
            <w:vAlign w:val="center"/>
          </w:tcPr>
          <w:p w14:paraId="431166A6" w14:textId="77777777" w:rsidR="00764D9A" w:rsidRPr="00E546C7" w:rsidRDefault="00764D9A" w:rsidP="00B11AF1">
            <w:pPr>
              <w:pStyle w:val="TableText"/>
              <w:keepNext/>
              <w:jc w:val="center"/>
              <w:rPr>
                <w:rFonts w:cs="Times New Roman"/>
              </w:rPr>
            </w:pPr>
            <w:r w:rsidRPr="00E546C7">
              <w:rPr>
                <w:rFonts w:eastAsia="Times New Roman" w:cs="Times New Roman"/>
                <w:sz w:val="18"/>
              </w:rPr>
              <w:t>1</w:t>
            </w:r>
          </w:p>
        </w:tc>
        <w:tc>
          <w:tcPr>
            <w:tcW w:w="1920" w:type="dxa"/>
            <w:shd w:val="clear" w:color="auto" w:fill="F2F4F7"/>
            <w:tcMar>
              <w:top w:w="80" w:type="dxa"/>
              <w:left w:w="120" w:type="dxa"/>
              <w:bottom w:w="80" w:type="dxa"/>
              <w:right w:w="120" w:type="dxa"/>
            </w:tcMar>
            <w:vAlign w:val="center"/>
          </w:tcPr>
          <w:p w14:paraId="0D9BC73F" w14:textId="77777777" w:rsidR="00764D9A" w:rsidRPr="00E546C7" w:rsidRDefault="00764D9A" w:rsidP="00B11AF1">
            <w:pPr>
              <w:pStyle w:val="TableText"/>
              <w:keepNext/>
              <w:jc w:val="center"/>
              <w:rPr>
                <w:rFonts w:cs="Times New Roman"/>
              </w:rPr>
            </w:pPr>
            <w:r w:rsidRPr="00E546C7">
              <w:rPr>
                <w:rFonts w:eastAsia="Times New Roman" w:cs="Times New Roman"/>
                <w:sz w:val="18"/>
              </w:rPr>
              <w:t>2.0%</w:t>
            </w:r>
          </w:p>
        </w:tc>
      </w:tr>
      <w:tr w:rsidR="00764D9A" w:rsidRPr="00E546C7" w14:paraId="66EA4861" w14:textId="77777777" w:rsidTr="00B11AF1">
        <w:trPr>
          <w:cantSplit/>
        </w:trPr>
        <w:tc>
          <w:tcPr>
            <w:tcW w:w="5400" w:type="dxa"/>
            <w:tcMar>
              <w:top w:w="80" w:type="dxa"/>
              <w:left w:w="120" w:type="dxa"/>
              <w:bottom w:w="80" w:type="dxa"/>
              <w:right w:w="120" w:type="dxa"/>
            </w:tcMar>
            <w:vAlign w:val="center"/>
          </w:tcPr>
          <w:p w14:paraId="69360C3C" w14:textId="77777777" w:rsidR="00764D9A" w:rsidRPr="00E546C7" w:rsidRDefault="00764D9A" w:rsidP="00B11AF1">
            <w:pPr>
              <w:pStyle w:val="TableText"/>
              <w:keepNext/>
              <w:rPr>
                <w:rFonts w:cs="Times New Roman"/>
              </w:rPr>
            </w:pPr>
            <w:r w:rsidRPr="00E546C7">
              <w:rPr>
                <w:rFonts w:eastAsia="Times New Roman" w:cs="Times New Roman"/>
                <w:sz w:val="18"/>
              </w:rPr>
              <w:t>Neutral</w:t>
            </w:r>
          </w:p>
        </w:tc>
        <w:tc>
          <w:tcPr>
            <w:tcW w:w="1700" w:type="dxa"/>
            <w:tcMar>
              <w:top w:w="80" w:type="dxa"/>
              <w:left w:w="120" w:type="dxa"/>
              <w:bottom w:w="80" w:type="dxa"/>
              <w:right w:w="120" w:type="dxa"/>
            </w:tcMar>
            <w:vAlign w:val="center"/>
          </w:tcPr>
          <w:p w14:paraId="598049E3" w14:textId="77777777" w:rsidR="00764D9A" w:rsidRPr="00E546C7" w:rsidRDefault="00764D9A" w:rsidP="00B11AF1">
            <w:pPr>
              <w:pStyle w:val="TableText"/>
              <w:keepNext/>
              <w:jc w:val="center"/>
              <w:rPr>
                <w:rFonts w:cs="Times New Roman"/>
              </w:rPr>
            </w:pPr>
            <w:r w:rsidRPr="00E546C7">
              <w:rPr>
                <w:rFonts w:eastAsia="Times New Roman" w:cs="Times New Roman"/>
                <w:sz w:val="18"/>
              </w:rPr>
              <w:t>11</w:t>
            </w:r>
          </w:p>
        </w:tc>
        <w:tc>
          <w:tcPr>
            <w:tcW w:w="1920" w:type="dxa"/>
            <w:tcMar>
              <w:top w:w="80" w:type="dxa"/>
              <w:left w:w="120" w:type="dxa"/>
              <w:bottom w:w="80" w:type="dxa"/>
              <w:right w:w="120" w:type="dxa"/>
            </w:tcMar>
            <w:vAlign w:val="center"/>
          </w:tcPr>
          <w:p w14:paraId="299F7F7B" w14:textId="77777777" w:rsidR="00764D9A" w:rsidRPr="00E546C7" w:rsidRDefault="00764D9A" w:rsidP="00B11AF1">
            <w:pPr>
              <w:pStyle w:val="TableText"/>
              <w:keepNext/>
              <w:jc w:val="center"/>
              <w:rPr>
                <w:rFonts w:cs="Times New Roman"/>
              </w:rPr>
            </w:pPr>
            <w:r w:rsidRPr="00E546C7">
              <w:rPr>
                <w:rFonts w:eastAsia="Times New Roman" w:cs="Times New Roman"/>
                <w:sz w:val="18"/>
              </w:rPr>
              <w:t>22.0%</w:t>
            </w:r>
          </w:p>
        </w:tc>
      </w:tr>
      <w:tr w:rsidR="00764D9A" w:rsidRPr="00E546C7" w14:paraId="160E710A" w14:textId="77777777" w:rsidTr="00B11AF1">
        <w:trPr>
          <w:cantSplit/>
        </w:trPr>
        <w:tc>
          <w:tcPr>
            <w:tcW w:w="5400" w:type="dxa"/>
            <w:shd w:val="clear" w:color="auto" w:fill="F2F4F7"/>
            <w:tcMar>
              <w:top w:w="80" w:type="dxa"/>
              <w:left w:w="120" w:type="dxa"/>
              <w:bottom w:w="80" w:type="dxa"/>
              <w:right w:w="120" w:type="dxa"/>
            </w:tcMar>
            <w:vAlign w:val="center"/>
          </w:tcPr>
          <w:p w14:paraId="44E7A201" w14:textId="77777777" w:rsidR="00764D9A" w:rsidRPr="00E546C7" w:rsidRDefault="00764D9A" w:rsidP="00B11AF1">
            <w:pPr>
              <w:pStyle w:val="TableText"/>
              <w:keepNext/>
              <w:rPr>
                <w:rFonts w:cs="Times New Roman"/>
              </w:rPr>
            </w:pPr>
            <w:r w:rsidRPr="00E546C7">
              <w:rPr>
                <w:rFonts w:eastAsia="Times New Roman" w:cs="Times New Roman"/>
                <w:sz w:val="18"/>
              </w:rPr>
              <w:t>Agree</w:t>
            </w:r>
          </w:p>
        </w:tc>
        <w:tc>
          <w:tcPr>
            <w:tcW w:w="1700" w:type="dxa"/>
            <w:shd w:val="clear" w:color="auto" w:fill="F2F4F7"/>
            <w:tcMar>
              <w:top w:w="80" w:type="dxa"/>
              <w:left w:w="120" w:type="dxa"/>
              <w:bottom w:w="80" w:type="dxa"/>
              <w:right w:w="120" w:type="dxa"/>
            </w:tcMar>
            <w:vAlign w:val="center"/>
          </w:tcPr>
          <w:p w14:paraId="053EE85E" w14:textId="77777777" w:rsidR="00764D9A" w:rsidRPr="00E546C7" w:rsidRDefault="00764D9A" w:rsidP="00B11AF1">
            <w:pPr>
              <w:pStyle w:val="TableText"/>
              <w:keepNext/>
              <w:jc w:val="center"/>
              <w:rPr>
                <w:rFonts w:cs="Times New Roman"/>
              </w:rPr>
            </w:pPr>
            <w:r w:rsidRPr="00E546C7">
              <w:rPr>
                <w:rFonts w:eastAsia="Times New Roman" w:cs="Times New Roman"/>
                <w:sz w:val="18"/>
              </w:rPr>
              <w:t>18</w:t>
            </w:r>
          </w:p>
        </w:tc>
        <w:tc>
          <w:tcPr>
            <w:tcW w:w="1920" w:type="dxa"/>
            <w:shd w:val="clear" w:color="auto" w:fill="F2F4F7"/>
            <w:tcMar>
              <w:top w:w="80" w:type="dxa"/>
              <w:left w:w="120" w:type="dxa"/>
              <w:bottom w:w="80" w:type="dxa"/>
              <w:right w:w="120" w:type="dxa"/>
            </w:tcMar>
            <w:vAlign w:val="center"/>
          </w:tcPr>
          <w:p w14:paraId="5965161E" w14:textId="77777777" w:rsidR="00764D9A" w:rsidRPr="00E546C7" w:rsidRDefault="00764D9A" w:rsidP="00B11AF1">
            <w:pPr>
              <w:pStyle w:val="TableText"/>
              <w:keepNext/>
              <w:jc w:val="center"/>
              <w:rPr>
                <w:rFonts w:cs="Times New Roman"/>
              </w:rPr>
            </w:pPr>
            <w:r w:rsidRPr="00E546C7">
              <w:rPr>
                <w:rFonts w:eastAsia="Times New Roman" w:cs="Times New Roman"/>
                <w:sz w:val="18"/>
              </w:rPr>
              <w:t>36.0%</w:t>
            </w:r>
          </w:p>
        </w:tc>
      </w:tr>
      <w:tr w:rsidR="00764D9A" w:rsidRPr="00E546C7" w14:paraId="6B967484" w14:textId="77777777" w:rsidTr="00B11AF1">
        <w:trPr>
          <w:cantSplit/>
        </w:trPr>
        <w:tc>
          <w:tcPr>
            <w:tcW w:w="5400" w:type="dxa"/>
            <w:tcMar>
              <w:top w:w="80" w:type="dxa"/>
              <w:left w:w="120" w:type="dxa"/>
              <w:bottom w:w="80" w:type="dxa"/>
              <w:right w:w="120" w:type="dxa"/>
            </w:tcMar>
            <w:vAlign w:val="center"/>
          </w:tcPr>
          <w:p w14:paraId="431354F0" w14:textId="77777777" w:rsidR="00764D9A" w:rsidRPr="00E546C7" w:rsidRDefault="00764D9A" w:rsidP="00B11AF1">
            <w:pPr>
              <w:pStyle w:val="TableText"/>
              <w:keepNext/>
              <w:rPr>
                <w:rFonts w:cs="Times New Roman"/>
              </w:rPr>
            </w:pPr>
            <w:r w:rsidRPr="00E546C7">
              <w:rPr>
                <w:rFonts w:eastAsia="Times New Roman" w:cs="Times New Roman"/>
                <w:sz w:val="18"/>
              </w:rPr>
              <w:t>Strongly agree</w:t>
            </w:r>
          </w:p>
        </w:tc>
        <w:tc>
          <w:tcPr>
            <w:tcW w:w="1700" w:type="dxa"/>
            <w:tcMar>
              <w:top w:w="80" w:type="dxa"/>
              <w:left w:w="120" w:type="dxa"/>
              <w:bottom w:w="80" w:type="dxa"/>
              <w:right w:w="120" w:type="dxa"/>
            </w:tcMar>
            <w:vAlign w:val="center"/>
          </w:tcPr>
          <w:p w14:paraId="57AE5FE4" w14:textId="77777777" w:rsidR="00764D9A" w:rsidRPr="00E546C7" w:rsidRDefault="00764D9A" w:rsidP="00B11AF1">
            <w:pPr>
              <w:pStyle w:val="TableText"/>
              <w:keepNext/>
              <w:jc w:val="center"/>
              <w:rPr>
                <w:rFonts w:cs="Times New Roman"/>
              </w:rPr>
            </w:pPr>
            <w:r w:rsidRPr="00E546C7">
              <w:rPr>
                <w:rFonts w:eastAsia="Times New Roman" w:cs="Times New Roman"/>
                <w:sz w:val="18"/>
              </w:rPr>
              <w:t>20</w:t>
            </w:r>
          </w:p>
        </w:tc>
        <w:tc>
          <w:tcPr>
            <w:tcW w:w="1920" w:type="dxa"/>
            <w:tcMar>
              <w:top w:w="80" w:type="dxa"/>
              <w:left w:w="120" w:type="dxa"/>
              <w:bottom w:w="80" w:type="dxa"/>
              <w:right w:w="120" w:type="dxa"/>
            </w:tcMar>
            <w:vAlign w:val="center"/>
          </w:tcPr>
          <w:p w14:paraId="57A18C76" w14:textId="77777777" w:rsidR="00764D9A" w:rsidRPr="00E546C7" w:rsidRDefault="00764D9A" w:rsidP="00B11AF1">
            <w:pPr>
              <w:pStyle w:val="TableText"/>
              <w:keepNext/>
              <w:jc w:val="center"/>
              <w:rPr>
                <w:rFonts w:cs="Times New Roman"/>
              </w:rPr>
            </w:pPr>
            <w:r w:rsidRPr="00E546C7">
              <w:rPr>
                <w:rFonts w:eastAsia="Times New Roman" w:cs="Times New Roman"/>
                <w:sz w:val="18"/>
              </w:rPr>
              <w:t>40.0%</w:t>
            </w:r>
          </w:p>
        </w:tc>
      </w:tr>
    </w:tbl>
    <w:p w14:paraId="0600CA24"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675786FD" w14:textId="77777777" w:rsidR="00764D9A" w:rsidRPr="00E546C7" w:rsidRDefault="00764D9A" w:rsidP="00C367A5">
      <w:pPr>
        <w:rPr>
          <w:b/>
          <w:bCs/>
        </w:rPr>
      </w:pPr>
      <w:r w:rsidRPr="00E546C7">
        <w:rPr>
          <w:b/>
          <w:bCs/>
        </w:rPr>
        <w:t>Q7: Which of the following Adidas promotional methods do you consider the most effective?</w:t>
      </w:r>
    </w:p>
    <w:p w14:paraId="23E295CB" w14:textId="77777777" w:rsidR="00764D9A" w:rsidRPr="00E546C7" w:rsidRDefault="00764D9A" w:rsidP="00764D9A">
      <w:pPr>
        <w:pStyle w:val="Caption"/>
        <w:jc w:val="left"/>
        <w:rPr>
          <w:rFonts w:cs="Times New Roman"/>
        </w:rPr>
      </w:pPr>
      <w:r w:rsidRPr="00E546C7">
        <w:rPr>
          <w:rFonts w:eastAsia="Times New Roman" w:cs="Times New Roman"/>
          <w:color w:val="1F2933"/>
        </w:rPr>
        <w:t>Table B7: Complete Frequency Distribution for Q7</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142C14F0" w14:textId="77777777" w:rsidTr="00B11AF1">
        <w:trPr>
          <w:cantSplit/>
          <w:tblHeader/>
        </w:trPr>
        <w:tc>
          <w:tcPr>
            <w:tcW w:w="5400" w:type="dxa"/>
            <w:shd w:val="clear" w:color="auto" w:fill="17365D"/>
            <w:tcMar>
              <w:top w:w="80" w:type="dxa"/>
              <w:left w:w="120" w:type="dxa"/>
              <w:bottom w:w="80" w:type="dxa"/>
              <w:right w:w="120" w:type="dxa"/>
            </w:tcMar>
            <w:vAlign w:val="center"/>
          </w:tcPr>
          <w:p w14:paraId="46994637"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01279209"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661A25E1"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1A58E1D4" w14:textId="77777777" w:rsidTr="00B11AF1">
        <w:trPr>
          <w:cantSplit/>
        </w:trPr>
        <w:tc>
          <w:tcPr>
            <w:tcW w:w="5400" w:type="dxa"/>
            <w:tcMar>
              <w:top w:w="80" w:type="dxa"/>
              <w:left w:w="120" w:type="dxa"/>
              <w:bottom w:w="80" w:type="dxa"/>
              <w:right w:w="120" w:type="dxa"/>
            </w:tcMar>
            <w:vAlign w:val="center"/>
          </w:tcPr>
          <w:p w14:paraId="7A2C0537" w14:textId="77777777" w:rsidR="00764D9A" w:rsidRPr="00E546C7" w:rsidRDefault="00764D9A" w:rsidP="00B11AF1">
            <w:pPr>
              <w:pStyle w:val="TableText"/>
              <w:keepNext/>
              <w:rPr>
                <w:rFonts w:cs="Times New Roman"/>
              </w:rPr>
            </w:pPr>
            <w:r w:rsidRPr="00E546C7">
              <w:rPr>
                <w:rFonts w:eastAsia="Times New Roman" w:cs="Times New Roman"/>
                <w:sz w:val="18"/>
              </w:rPr>
              <w:t>Celebrity or influencer endorsements</w:t>
            </w:r>
          </w:p>
        </w:tc>
        <w:tc>
          <w:tcPr>
            <w:tcW w:w="1700" w:type="dxa"/>
            <w:tcMar>
              <w:top w:w="80" w:type="dxa"/>
              <w:left w:w="120" w:type="dxa"/>
              <w:bottom w:w="80" w:type="dxa"/>
              <w:right w:w="120" w:type="dxa"/>
            </w:tcMar>
            <w:vAlign w:val="center"/>
          </w:tcPr>
          <w:p w14:paraId="05D0FA82" w14:textId="77777777" w:rsidR="00764D9A" w:rsidRPr="00E546C7" w:rsidRDefault="00764D9A" w:rsidP="00B11AF1">
            <w:pPr>
              <w:pStyle w:val="TableText"/>
              <w:keepNext/>
              <w:jc w:val="center"/>
              <w:rPr>
                <w:rFonts w:cs="Times New Roman"/>
              </w:rPr>
            </w:pPr>
            <w:r w:rsidRPr="00E546C7">
              <w:rPr>
                <w:rFonts w:eastAsia="Times New Roman" w:cs="Times New Roman"/>
                <w:sz w:val="18"/>
              </w:rPr>
              <w:t>20</w:t>
            </w:r>
          </w:p>
        </w:tc>
        <w:tc>
          <w:tcPr>
            <w:tcW w:w="1920" w:type="dxa"/>
            <w:tcMar>
              <w:top w:w="80" w:type="dxa"/>
              <w:left w:w="120" w:type="dxa"/>
              <w:bottom w:w="80" w:type="dxa"/>
              <w:right w:w="120" w:type="dxa"/>
            </w:tcMar>
            <w:vAlign w:val="center"/>
          </w:tcPr>
          <w:p w14:paraId="3D26F384" w14:textId="77777777" w:rsidR="00764D9A" w:rsidRPr="00E546C7" w:rsidRDefault="00764D9A" w:rsidP="00B11AF1">
            <w:pPr>
              <w:pStyle w:val="TableText"/>
              <w:keepNext/>
              <w:jc w:val="center"/>
              <w:rPr>
                <w:rFonts w:cs="Times New Roman"/>
              </w:rPr>
            </w:pPr>
            <w:r w:rsidRPr="00E546C7">
              <w:rPr>
                <w:rFonts w:eastAsia="Times New Roman" w:cs="Times New Roman"/>
                <w:sz w:val="18"/>
              </w:rPr>
              <w:t>40.0%</w:t>
            </w:r>
          </w:p>
        </w:tc>
      </w:tr>
      <w:tr w:rsidR="00764D9A" w:rsidRPr="00E546C7" w14:paraId="0705CC1E" w14:textId="77777777" w:rsidTr="00B11AF1">
        <w:trPr>
          <w:cantSplit/>
        </w:trPr>
        <w:tc>
          <w:tcPr>
            <w:tcW w:w="5400" w:type="dxa"/>
            <w:shd w:val="clear" w:color="auto" w:fill="F2F4F7"/>
            <w:tcMar>
              <w:top w:w="80" w:type="dxa"/>
              <w:left w:w="120" w:type="dxa"/>
              <w:bottom w:w="80" w:type="dxa"/>
              <w:right w:w="120" w:type="dxa"/>
            </w:tcMar>
            <w:vAlign w:val="center"/>
          </w:tcPr>
          <w:p w14:paraId="5EDC3172" w14:textId="77777777" w:rsidR="00764D9A" w:rsidRPr="00E546C7" w:rsidRDefault="00764D9A" w:rsidP="00B11AF1">
            <w:pPr>
              <w:pStyle w:val="TableText"/>
              <w:keepNext/>
              <w:rPr>
                <w:rFonts w:cs="Times New Roman"/>
              </w:rPr>
            </w:pPr>
            <w:r w:rsidRPr="00E546C7">
              <w:rPr>
                <w:rFonts w:eastAsia="Times New Roman" w:cs="Times New Roman"/>
                <w:sz w:val="18"/>
              </w:rPr>
              <w:t>Social media marketing</w:t>
            </w:r>
          </w:p>
        </w:tc>
        <w:tc>
          <w:tcPr>
            <w:tcW w:w="1700" w:type="dxa"/>
            <w:shd w:val="clear" w:color="auto" w:fill="F2F4F7"/>
            <w:tcMar>
              <w:top w:w="80" w:type="dxa"/>
              <w:left w:w="120" w:type="dxa"/>
              <w:bottom w:w="80" w:type="dxa"/>
              <w:right w:w="120" w:type="dxa"/>
            </w:tcMar>
            <w:vAlign w:val="center"/>
          </w:tcPr>
          <w:p w14:paraId="4061BB6E" w14:textId="77777777" w:rsidR="00764D9A" w:rsidRPr="00E546C7" w:rsidRDefault="00764D9A" w:rsidP="00B11AF1">
            <w:pPr>
              <w:pStyle w:val="TableText"/>
              <w:keepNext/>
              <w:jc w:val="center"/>
              <w:rPr>
                <w:rFonts w:cs="Times New Roman"/>
              </w:rPr>
            </w:pPr>
            <w:r w:rsidRPr="00E546C7">
              <w:rPr>
                <w:rFonts w:eastAsia="Times New Roman" w:cs="Times New Roman"/>
                <w:sz w:val="18"/>
              </w:rPr>
              <w:t>16</w:t>
            </w:r>
          </w:p>
        </w:tc>
        <w:tc>
          <w:tcPr>
            <w:tcW w:w="1920" w:type="dxa"/>
            <w:shd w:val="clear" w:color="auto" w:fill="F2F4F7"/>
            <w:tcMar>
              <w:top w:w="80" w:type="dxa"/>
              <w:left w:w="120" w:type="dxa"/>
              <w:bottom w:w="80" w:type="dxa"/>
              <w:right w:w="120" w:type="dxa"/>
            </w:tcMar>
            <w:vAlign w:val="center"/>
          </w:tcPr>
          <w:p w14:paraId="00603CB6" w14:textId="77777777" w:rsidR="00764D9A" w:rsidRPr="00E546C7" w:rsidRDefault="00764D9A" w:rsidP="00B11AF1">
            <w:pPr>
              <w:pStyle w:val="TableText"/>
              <w:keepNext/>
              <w:jc w:val="center"/>
              <w:rPr>
                <w:rFonts w:cs="Times New Roman"/>
              </w:rPr>
            </w:pPr>
            <w:r w:rsidRPr="00E546C7">
              <w:rPr>
                <w:rFonts w:eastAsia="Times New Roman" w:cs="Times New Roman"/>
                <w:sz w:val="18"/>
              </w:rPr>
              <w:t>32.0%</w:t>
            </w:r>
          </w:p>
        </w:tc>
      </w:tr>
      <w:tr w:rsidR="00764D9A" w:rsidRPr="00E546C7" w14:paraId="553A96AC" w14:textId="77777777" w:rsidTr="00B11AF1">
        <w:trPr>
          <w:cantSplit/>
        </w:trPr>
        <w:tc>
          <w:tcPr>
            <w:tcW w:w="5400" w:type="dxa"/>
            <w:tcMar>
              <w:top w:w="80" w:type="dxa"/>
              <w:left w:w="120" w:type="dxa"/>
              <w:bottom w:w="80" w:type="dxa"/>
              <w:right w:w="120" w:type="dxa"/>
            </w:tcMar>
            <w:vAlign w:val="center"/>
          </w:tcPr>
          <w:p w14:paraId="04743EA5" w14:textId="77777777" w:rsidR="00764D9A" w:rsidRPr="00E546C7" w:rsidRDefault="00764D9A" w:rsidP="00B11AF1">
            <w:pPr>
              <w:pStyle w:val="TableText"/>
              <w:keepNext/>
              <w:rPr>
                <w:rFonts w:cs="Times New Roman"/>
              </w:rPr>
            </w:pPr>
            <w:r w:rsidRPr="00E546C7">
              <w:rPr>
                <w:rFonts w:eastAsia="Times New Roman" w:cs="Times New Roman"/>
                <w:sz w:val="18"/>
              </w:rPr>
              <w:t>Advertising</w:t>
            </w:r>
          </w:p>
        </w:tc>
        <w:tc>
          <w:tcPr>
            <w:tcW w:w="1700" w:type="dxa"/>
            <w:tcMar>
              <w:top w:w="80" w:type="dxa"/>
              <w:left w:w="120" w:type="dxa"/>
              <w:bottom w:w="80" w:type="dxa"/>
              <w:right w:w="120" w:type="dxa"/>
            </w:tcMar>
            <w:vAlign w:val="center"/>
          </w:tcPr>
          <w:p w14:paraId="7A93F414" w14:textId="77777777" w:rsidR="00764D9A" w:rsidRPr="00E546C7" w:rsidRDefault="00764D9A" w:rsidP="00B11AF1">
            <w:pPr>
              <w:pStyle w:val="TableText"/>
              <w:keepNext/>
              <w:jc w:val="center"/>
              <w:rPr>
                <w:rFonts w:cs="Times New Roman"/>
              </w:rPr>
            </w:pPr>
            <w:r w:rsidRPr="00E546C7">
              <w:rPr>
                <w:rFonts w:eastAsia="Times New Roman" w:cs="Times New Roman"/>
                <w:sz w:val="18"/>
              </w:rPr>
              <w:t>8</w:t>
            </w:r>
          </w:p>
        </w:tc>
        <w:tc>
          <w:tcPr>
            <w:tcW w:w="1920" w:type="dxa"/>
            <w:tcMar>
              <w:top w:w="80" w:type="dxa"/>
              <w:left w:w="120" w:type="dxa"/>
              <w:bottom w:w="80" w:type="dxa"/>
              <w:right w:w="120" w:type="dxa"/>
            </w:tcMar>
            <w:vAlign w:val="center"/>
          </w:tcPr>
          <w:p w14:paraId="1907A466" w14:textId="77777777" w:rsidR="00764D9A" w:rsidRPr="00E546C7" w:rsidRDefault="00764D9A" w:rsidP="00B11AF1">
            <w:pPr>
              <w:pStyle w:val="TableText"/>
              <w:keepNext/>
              <w:jc w:val="center"/>
              <w:rPr>
                <w:rFonts w:cs="Times New Roman"/>
              </w:rPr>
            </w:pPr>
            <w:r w:rsidRPr="00E546C7">
              <w:rPr>
                <w:rFonts w:eastAsia="Times New Roman" w:cs="Times New Roman"/>
                <w:sz w:val="18"/>
              </w:rPr>
              <w:t>16.0%</w:t>
            </w:r>
          </w:p>
        </w:tc>
      </w:tr>
      <w:tr w:rsidR="00764D9A" w:rsidRPr="00E546C7" w14:paraId="79D001FC" w14:textId="77777777" w:rsidTr="00B11AF1">
        <w:trPr>
          <w:cantSplit/>
        </w:trPr>
        <w:tc>
          <w:tcPr>
            <w:tcW w:w="5400" w:type="dxa"/>
            <w:shd w:val="clear" w:color="auto" w:fill="F2F4F7"/>
            <w:tcMar>
              <w:top w:w="80" w:type="dxa"/>
              <w:left w:w="120" w:type="dxa"/>
              <w:bottom w:w="80" w:type="dxa"/>
              <w:right w:w="120" w:type="dxa"/>
            </w:tcMar>
            <w:vAlign w:val="center"/>
          </w:tcPr>
          <w:p w14:paraId="43B33879" w14:textId="77777777" w:rsidR="00764D9A" w:rsidRPr="00E546C7" w:rsidRDefault="00764D9A" w:rsidP="00B11AF1">
            <w:pPr>
              <w:pStyle w:val="TableText"/>
              <w:keepNext/>
              <w:rPr>
                <w:rFonts w:cs="Times New Roman"/>
              </w:rPr>
            </w:pPr>
            <w:r w:rsidRPr="00E546C7">
              <w:rPr>
                <w:rFonts w:eastAsia="Times New Roman" w:cs="Times New Roman"/>
                <w:sz w:val="18"/>
              </w:rPr>
              <w:t>Direct marketing (e.g., email and promotional messages)</w:t>
            </w:r>
          </w:p>
        </w:tc>
        <w:tc>
          <w:tcPr>
            <w:tcW w:w="1700" w:type="dxa"/>
            <w:shd w:val="clear" w:color="auto" w:fill="F2F4F7"/>
            <w:tcMar>
              <w:top w:w="80" w:type="dxa"/>
              <w:left w:w="120" w:type="dxa"/>
              <w:bottom w:w="80" w:type="dxa"/>
              <w:right w:w="120" w:type="dxa"/>
            </w:tcMar>
            <w:vAlign w:val="center"/>
          </w:tcPr>
          <w:p w14:paraId="4D8A5AB0" w14:textId="77777777" w:rsidR="00764D9A" w:rsidRPr="00E546C7" w:rsidRDefault="00764D9A" w:rsidP="00B11AF1">
            <w:pPr>
              <w:pStyle w:val="TableText"/>
              <w:keepNext/>
              <w:jc w:val="center"/>
              <w:rPr>
                <w:rFonts w:cs="Times New Roman"/>
              </w:rPr>
            </w:pPr>
            <w:r w:rsidRPr="00E546C7">
              <w:rPr>
                <w:rFonts w:eastAsia="Times New Roman" w:cs="Times New Roman"/>
                <w:sz w:val="18"/>
              </w:rPr>
              <w:t>6</w:t>
            </w:r>
          </w:p>
        </w:tc>
        <w:tc>
          <w:tcPr>
            <w:tcW w:w="1920" w:type="dxa"/>
            <w:shd w:val="clear" w:color="auto" w:fill="F2F4F7"/>
            <w:tcMar>
              <w:top w:w="80" w:type="dxa"/>
              <w:left w:w="120" w:type="dxa"/>
              <w:bottom w:w="80" w:type="dxa"/>
              <w:right w:w="120" w:type="dxa"/>
            </w:tcMar>
            <w:vAlign w:val="center"/>
          </w:tcPr>
          <w:p w14:paraId="4FC5FEE2" w14:textId="77777777" w:rsidR="00764D9A" w:rsidRPr="00E546C7" w:rsidRDefault="00764D9A" w:rsidP="00B11AF1">
            <w:pPr>
              <w:pStyle w:val="TableText"/>
              <w:keepNext/>
              <w:jc w:val="center"/>
              <w:rPr>
                <w:rFonts w:cs="Times New Roman"/>
              </w:rPr>
            </w:pPr>
            <w:r w:rsidRPr="00E546C7">
              <w:rPr>
                <w:rFonts w:eastAsia="Times New Roman" w:cs="Times New Roman"/>
                <w:sz w:val="18"/>
              </w:rPr>
              <w:t>12.0%</w:t>
            </w:r>
          </w:p>
        </w:tc>
      </w:tr>
    </w:tbl>
    <w:p w14:paraId="3BE9113D"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77473230" w14:textId="77777777" w:rsidR="00764D9A" w:rsidRPr="00E546C7" w:rsidRDefault="00764D9A" w:rsidP="00C367A5">
      <w:pPr>
        <w:rPr>
          <w:b/>
          <w:bCs/>
        </w:rPr>
      </w:pPr>
      <w:r w:rsidRPr="00E546C7">
        <w:rPr>
          <w:b/>
          <w:bCs/>
        </w:rPr>
        <w:t>Q8: Which of the following promotional incentives would most encourage you to repurchase Adidas products?</w:t>
      </w:r>
    </w:p>
    <w:p w14:paraId="015D6443" w14:textId="77777777" w:rsidR="00764D9A" w:rsidRPr="00E546C7" w:rsidRDefault="00764D9A" w:rsidP="00764D9A">
      <w:pPr>
        <w:pStyle w:val="Caption"/>
        <w:jc w:val="left"/>
        <w:rPr>
          <w:rFonts w:cs="Times New Roman"/>
        </w:rPr>
      </w:pPr>
      <w:r w:rsidRPr="00E546C7">
        <w:rPr>
          <w:rFonts w:eastAsia="Times New Roman" w:cs="Times New Roman"/>
          <w:color w:val="1F2933"/>
        </w:rPr>
        <w:t>Table B8: Complete Frequency Distribution for Q8</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6FE6872E" w14:textId="77777777" w:rsidTr="00B11AF1">
        <w:trPr>
          <w:cantSplit/>
          <w:tblHeader/>
        </w:trPr>
        <w:tc>
          <w:tcPr>
            <w:tcW w:w="5400" w:type="dxa"/>
            <w:shd w:val="clear" w:color="auto" w:fill="17365D"/>
            <w:tcMar>
              <w:top w:w="80" w:type="dxa"/>
              <w:left w:w="120" w:type="dxa"/>
              <w:bottom w:w="80" w:type="dxa"/>
              <w:right w:w="120" w:type="dxa"/>
            </w:tcMar>
            <w:vAlign w:val="center"/>
          </w:tcPr>
          <w:p w14:paraId="76DC0560"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71C72610"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000C38AA"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330A4040" w14:textId="77777777" w:rsidTr="00B11AF1">
        <w:trPr>
          <w:cantSplit/>
        </w:trPr>
        <w:tc>
          <w:tcPr>
            <w:tcW w:w="5400" w:type="dxa"/>
            <w:tcMar>
              <w:top w:w="80" w:type="dxa"/>
              <w:left w:w="120" w:type="dxa"/>
              <w:bottom w:w="80" w:type="dxa"/>
              <w:right w:w="120" w:type="dxa"/>
            </w:tcMar>
            <w:vAlign w:val="center"/>
          </w:tcPr>
          <w:p w14:paraId="79DCDD1B" w14:textId="77777777" w:rsidR="00764D9A" w:rsidRPr="00E546C7" w:rsidRDefault="00764D9A" w:rsidP="00B11AF1">
            <w:pPr>
              <w:pStyle w:val="TableText"/>
              <w:keepNext/>
              <w:rPr>
                <w:rFonts w:cs="Times New Roman"/>
              </w:rPr>
            </w:pPr>
            <w:r w:rsidRPr="00E546C7">
              <w:rPr>
                <w:rFonts w:eastAsia="Times New Roman" w:cs="Times New Roman"/>
                <w:sz w:val="18"/>
              </w:rPr>
              <w:t>Limited-time special offers</w:t>
            </w:r>
          </w:p>
        </w:tc>
        <w:tc>
          <w:tcPr>
            <w:tcW w:w="1700" w:type="dxa"/>
            <w:tcMar>
              <w:top w:w="80" w:type="dxa"/>
              <w:left w:w="120" w:type="dxa"/>
              <w:bottom w:w="80" w:type="dxa"/>
              <w:right w:w="120" w:type="dxa"/>
            </w:tcMar>
            <w:vAlign w:val="center"/>
          </w:tcPr>
          <w:p w14:paraId="291B43C7" w14:textId="77777777" w:rsidR="00764D9A" w:rsidRPr="00E546C7" w:rsidRDefault="00764D9A" w:rsidP="00B11AF1">
            <w:pPr>
              <w:pStyle w:val="TableText"/>
              <w:keepNext/>
              <w:jc w:val="center"/>
              <w:rPr>
                <w:rFonts w:cs="Times New Roman"/>
              </w:rPr>
            </w:pPr>
            <w:r w:rsidRPr="00E546C7">
              <w:rPr>
                <w:rFonts w:eastAsia="Times New Roman" w:cs="Times New Roman"/>
                <w:sz w:val="18"/>
              </w:rPr>
              <w:t>23</w:t>
            </w:r>
          </w:p>
        </w:tc>
        <w:tc>
          <w:tcPr>
            <w:tcW w:w="1920" w:type="dxa"/>
            <w:tcMar>
              <w:top w:w="80" w:type="dxa"/>
              <w:left w:w="120" w:type="dxa"/>
              <w:bottom w:w="80" w:type="dxa"/>
              <w:right w:w="120" w:type="dxa"/>
            </w:tcMar>
            <w:vAlign w:val="center"/>
          </w:tcPr>
          <w:p w14:paraId="16040396" w14:textId="77777777" w:rsidR="00764D9A" w:rsidRPr="00E546C7" w:rsidRDefault="00764D9A" w:rsidP="00B11AF1">
            <w:pPr>
              <w:pStyle w:val="TableText"/>
              <w:keepNext/>
              <w:jc w:val="center"/>
              <w:rPr>
                <w:rFonts w:cs="Times New Roman"/>
              </w:rPr>
            </w:pPr>
            <w:r w:rsidRPr="00E546C7">
              <w:rPr>
                <w:rFonts w:eastAsia="Times New Roman" w:cs="Times New Roman"/>
                <w:sz w:val="18"/>
              </w:rPr>
              <w:t>46.0%</w:t>
            </w:r>
          </w:p>
        </w:tc>
      </w:tr>
      <w:tr w:rsidR="00764D9A" w:rsidRPr="00E546C7" w14:paraId="26E164EC" w14:textId="77777777" w:rsidTr="00B11AF1">
        <w:trPr>
          <w:cantSplit/>
        </w:trPr>
        <w:tc>
          <w:tcPr>
            <w:tcW w:w="5400" w:type="dxa"/>
            <w:shd w:val="clear" w:color="auto" w:fill="F2F4F7"/>
            <w:tcMar>
              <w:top w:w="80" w:type="dxa"/>
              <w:left w:w="120" w:type="dxa"/>
              <w:bottom w:w="80" w:type="dxa"/>
              <w:right w:w="120" w:type="dxa"/>
            </w:tcMar>
            <w:vAlign w:val="center"/>
          </w:tcPr>
          <w:p w14:paraId="2B4F97EA" w14:textId="77777777" w:rsidR="00764D9A" w:rsidRPr="00E546C7" w:rsidRDefault="00764D9A" w:rsidP="00B11AF1">
            <w:pPr>
              <w:pStyle w:val="TableText"/>
              <w:keepNext/>
              <w:rPr>
                <w:rFonts w:cs="Times New Roman"/>
              </w:rPr>
            </w:pPr>
            <w:r w:rsidRPr="00E546C7">
              <w:rPr>
                <w:rFonts w:eastAsia="Times New Roman" w:cs="Times New Roman"/>
                <w:sz w:val="18"/>
              </w:rPr>
              <w:t>Discounts</w:t>
            </w:r>
          </w:p>
        </w:tc>
        <w:tc>
          <w:tcPr>
            <w:tcW w:w="1700" w:type="dxa"/>
            <w:shd w:val="clear" w:color="auto" w:fill="F2F4F7"/>
            <w:tcMar>
              <w:top w:w="80" w:type="dxa"/>
              <w:left w:w="120" w:type="dxa"/>
              <w:bottom w:w="80" w:type="dxa"/>
              <w:right w:w="120" w:type="dxa"/>
            </w:tcMar>
            <w:vAlign w:val="center"/>
          </w:tcPr>
          <w:p w14:paraId="2783BC7C" w14:textId="77777777" w:rsidR="00764D9A" w:rsidRPr="00E546C7" w:rsidRDefault="00764D9A" w:rsidP="00B11AF1">
            <w:pPr>
              <w:pStyle w:val="TableText"/>
              <w:keepNext/>
              <w:jc w:val="center"/>
              <w:rPr>
                <w:rFonts w:cs="Times New Roman"/>
              </w:rPr>
            </w:pPr>
            <w:r w:rsidRPr="00E546C7">
              <w:rPr>
                <w:rFonts w:eastAsia="Times New Roman" w:cs="Times New Roman"/>
                <w:sz w:val="18"/>
              </w:rPr>
              <w:t>16</w:t>
            </w:r>
          </w:p>
        </w:tc>
        <w:tc>
          <w:tcPr>
            <w:tcW w:w="1920" w:type="dxa"/>
            <w:shd w:val="clear" w:color="auto" w:fill="F2F4F7"/>
            <w:tcMar>
              <w:top w:w="80" w:type="dxa"/>
              <w:left w:w="120" w:type="dxa"/>
              <w:bottom w:w="80" w:type="dxa"/>
              <w:right w:w="120" w:type="dxa"/>
            </w:tcMar>
            <w:vAlign w:val="center"/>
          </w:tcPr>
          <w:p w14:paraId="03E297AC" w14:textId="77777777" w:rsidR="00764D9A" w:rsidRPr="00E546C7" w:rsidRDefault="00764D9A" w:rsidP="00B11AF1">
            <w:pPr>
              <w:pStyle w:val="TableText"/>
              <w:keepNext/>
              <w:jc w:val="center"/>
              <w:rPr>
                <w:rFonts w:cs="Times New Roman"/>
              </w:rPr>
            </w:pPr>
            <w:r w:rsidRPr="00E546C7">
              <w:rPr>
                <w:rFonts w:eastAsia="Times New Roman" w:cs="Times New Roman"/>
                <w:sz w:val="18"/>
              </w:rPr>
              <w:t>32.0%</w:t>
            </w:r>
          </w:p>
        </w:tc>
      </w:tr>
      <w:tr w:rsidR="00764D9A" w:rsidRPr="00E546C7" w14:paraId="350CD721" w14:textId="77777777" w:rsidTr="00B11AF1">
        <w:trPr>
          <w:cantSplit/>
        </w:trPr>
        <w:tc>
          <w:tcPr>
            <w:tcW w:w="5400" w:type="dxa"/>
            <w:tcMar>
              <w:top w:w="80" w:type="dxa"/>
              <w:left w:w="120" w:type="dxa"/>
              <w:bottom w:w="80" w:type="dxa"/>
              <w:right w:w="120" w:type="dxa"/>
            </w:tcMar>
            <w:vAlign w:val="center"/>
          </w:tcPr>
          <w:p w14:paraId="2FE9777E" w14:textId="77777777" w:rsidR="00764D9A" w:rsidRPr="00E546C7" w:rsidRDefault="00764D9A" w:rsidP="00B11AF1">
            <w:pPr>
              <w:pStyle w:val="TableText"/>
              <w:keepNext/>
              <w:rPr>
                <w:rFonts w:cs="Times New Roman"/>
              </w:rPr>
            </w:pPr>
            <w:r w:rsidRPr="00E546C7">
              <w:rPr>
                <w:rFonts w:eastAsia="Times New Roman" w:cs="Times New Roman"/>
                <w:sz w:val="18"/>
              </w:rPr>
              <w:t>Free delivery</w:t>
            </w:r>
          </w:p>
        </w:tc>
        <w:tc>
          <w:tcPr>
            <w:tcW w:w="1700" w:type="dxa"/>
            <w:tcMar>
              <w:top w:w="80" w:type="dxa"/>
              <w:left w:w="120" w:type="dxa"/>
              <w:bottom w:w="80" w:type="dxa"/>
              <w:right w:w="120" w:type="dxa"/>
            </w:tcMar>
            <w:vAlign w:val="center"/>
          </w:tcPr>
          <w:p w14:paraId="2A99FABC" w14:textId="77777777" w:rsidR="00764D9A" w:rsidRPr="00E546C7" w:rsidRDefault="00764D9A" w:rsidP="00B11AF1">
            <w:pPr>
              <w:pStyle w:val="TableText"/>
              <w:keepNext/>
              <w:jc w:val="center"/>
              <w:rPr>
                <w:rFonts w:cs="Times New Roman"/>
              </w:rPr>
            </w:pPr>
            <w:r w:rsidRPr="00E546C7">
              <w:rPr>
                <w:rFonts w:eastAsia="Times New Roman" w:cs="Times New Roman"/>
                <w:sz w:val="18"/>
              </w:rPr>
              <w:t>6</w:t>
            </w:r>
          </w:p>
        </w:tc>
        <w:tc>
          <w:tcPr>
            <w:tcW w:w="1920" w:type="dxa"/>
            <w:tcMar>
              <w:top w:w="80" w:type="dxa"/>
              <w:left w:w="120" w:type="dxa"/>
              <w:bottom w:w="80" w:type="dxa"/>
              <w:right w:w="120" w:type="dxa"/>
            </w:tcMar>
            <w:vAlign w:val="center"/>
          </w:tcPr>
          <w:p w14:paraId="7034CF97" w14:textId="77777777" w:rsidR="00764D9A" w:rsidRPr="00E546C7" w:rsidRDefault="00764D9A" w:rsidP="00B11AF1">
            <w:pPr>
              <w:pStyle w:val="TableText"/>
              <w:keepNext/>
              <w:jc w:val="center"/>
              <w:rPr>
                <w:rFonts w:cs="Times New Roman"/>
              </w:rPr>
            </w:pPr>
            <w:r w:rsidRPr="00E546C7">
              <w:rPr>
                <w:rFonts w:eastAsia="Times New Roman" w:cs="Times New Roman"/>
                <w:sz w:val="18"/>
              </w:rPr>
              <w:t>12.0%</w:t>
            </w:r>
          </w:p>
        </w:tc>
      </w:tr>
      <w:tr w:rsidR="00764D9A" w:rsidRPr="00E546C7" w14:paraId="1A41F613" w14:textId="77777777" w:rsidTr="00B11AF1">
        <w:trPr>
          <w:cantSplit/>
        </w:trPr>
        <w:tc>
          <w:tcPr>
            <w:tcW w:w="5400" w:type="dxa"/>
            <w:shd w:val="clear" w:color="auto" w:fill="F2F4F7"/>
            <w:tcMar>
              <w:top w:w="80" w:type="dxa"/>
              <w:left w:w="120" w:type="dxa"/>
              <w:bottom w:w="80" w:type="dxa"/>
              <w:right w:w="120" w:type="dxa"/>
            </w:tcMar>
            <w:vAlign w:val="center"/>
          </w:tcPr>
          <w:p w14:paraId="48A5EFD2" w14:textId="77777777" w:rsidR="00764D9A" w:rsidRPr="00E546C7" w:rsidRDefault="00764D9A" w:rsidP="00B11AF1">
            <w:pPr>
              <w:pStyle w:val="TableText"/>
              <w:keepNext/>
              <w:rPr>
                <w:rFonts w:cs="Times New Roman"/>
              </w:rPr>
            </w:pPr>
            <w:r w:rsidRPr="00E546C7">
              <w:rPr>
                <w:rFonts w:eastAsia="Times New Roman" w:cs="Times New Roman"/>
                <w:sz w:val="18"/>
              </w:rPr>
              <w:t>Loyalty points or rewards</w:t>
            </w:r>
          </w:p>
        </w:tc>
        <w:tc>
          <w:tcPr>
            <w:tcW w:w="1700" w:type="dxa"/>
            <w:shd w:val="clear" w:color="auto" w:fill="F2F4F7"/>
            <w:tcMar>
              <w:top w:w="80" w:type="dxa"/>
              <w:left w:w="120" w:type="dxa"/>
              <w:bottom w:w="80" w:type="dxa"/>
              <w:right w:w="120" w:type="dxa"/>
            </w:tcMar>
            <w:vAlign w:val="center"/>
          </w:tcPr>
          <w:p w14:paraId="20EE152C" w14:textId="77777777" w:rsidR="00764D9A" w:rsidRPr="00E546C7" w:rsidRDefault="00764D9A" w:rsidP="00B11AF1">
            <w:pPr>
              <w:pStyle w:val="TableText"/>
              <w:keepNext/>
              <w:jc w:val="center"/>
              <w:rPr>
                <w:rFonts w:cs="Times New Roman"/>
              </w:rPr>
            </w:pPr>
            <w:r w:rsidRPr="00E546C7">
              <w:rPr>
                <w:rFonts w:eastAsia="Times New Roman" w:cs="Times New Roman"/>
                <w:sz w:val="18"/>
              </w:rPr>
              <w:t>5</w:t>
            </w:r>
          </w:p>
        </w:tc>
        <w:tc>
          <w:tcPr>
            <w:tcW w:w="1920" w:type="dxa"/>
            <w:shd w:val="clear" w:color="auto" w:fill="F2F4F7"/>
            <w:tcMar>
              <w:top w:w="80" w:type="dxa"/>
              <w:left w:w="120" w:type="dxa"/>
              <w:bottom w:w="80" w:type="dxa"/>
              <w:right w:w="120" w:type="dxa"/>
            </w:tcMar>
            <w:vAlign w:val="center"/>
          </w:tcPr>
          <w:p w14:paraId="68AEF034" w14:textId="77777777" w:rsidR="00764D9A" w:rsidRPr="00E546C7" w:rsidRDefault="00764D9A" w:rsidP="00B11AF1">
            <w:pPr>
              <w:pStyle w:val="TableText"/>
              <w:keepNext/>
              <w:jc w:val="center"/>
              <w:rPr>
                <w:rFonts w:cs="Times New Roman"/>
              </w:rPr>
            </w:pPr>
            <w:r w:rsidRPr="00E546C7">
              <w:rPr>
                <w:rFonts w:eastAsia="Times New Roman" w:cs="Times New Roman"/>
                <w:sz w:val="18"/>
              </w:rPr>
              <w:t>10.0%</w:t>
            </w:r>
          </w:p>
        </w:tc>
      </w:tr>
    </w:tbl>
    <w:p w14:paraId="6F8A020E"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1C7DB40C" w14:textId="77777777" w:rsidR="00764D9A" w:rsidRPr="00E546C7" w:rsidRDefault="00764D9A" w:rsidP="00C367A5">
      <w:pPr>
        <w:rPr>
          <w:b/>
          <w:bCs/>
        </w:rPr>
      </w:pPr>
      <w:r w:rsidRPr="00E546C7">
        <w:rPr>
          <w:b/>
          <w:bCs/>
        </w:rPr>
        <w:t>Q9: Overall, positive perceptions of Adidas's integrated marketing communications increase my favourable attitude and willingness to purchase Adidas products.</w:t>
      </w:r>
    </w:p>
    <w:p w14:paraId="1D70E57C" w14:textId="77777777" w:rsidR="00764D9A" w:rsidRPr="00E546C7" w:rsidRDefault="00764D9A" w:rsidP="00764D9A">
      <w:pPr>
        <w:pStyle w:val="Caption"/>
        <w:jc w:val="left"/>
        <w:rPr>
          <w:rFonts w:cs="Times New Roman"/>
        </w:rPr>
      </w:pPr>
      <w:r w:rsidRPr="00E546C7">
        <w:rPr>
          <w:rFonts w:eastAsia="Times New Roman" w:cs="Times New Roman"/>
          <w:color w:val="1F2933"/>
        </w:rPr>
        <w:t>Table B9: Complete Frequency Distribution for Q9</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1CBBEC87" w14:textId="77777777" w:rsidTr="00B11AF1">
        <w:trPr>
          <w:cantSplit/>
          <w:tblHeader/>
        </w:trPr>
        <w:tc>
          <w:tcPr>
            <w:tcW w:w="5400" w:type="dxa"/>
            <w:shd w:val="clear" w:color="auto" w:fill="17365D"/>
            <w:tcMar>
              <w:top w:w="80" w:type="dxa"/>
              <w:left w:w="120" w:type="dxa"/>
              <w:bottom w:w="80" w:type="dxa"/>
              <w:right w:w="120" w:type="dxa"/>
            </w:tcMar>
            <w:vAlign w:val="center"/>
          </w:tcPr>
          <w:p w14:paraId="0F209792"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7063877D"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3551C33E"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69AB3D6E" w14:textId="77777777" w:rsidTr="00B11AF1">
        <w:trPr>
          <w:cantSplit/>
        </w:trPr>
        <w:tc>
          <w:tcPr>
            <w:tcW w:w="5400" w:type="dxa"/>
            <w:tcMar>
              <w:top w:w="80" w:type="dxa"/>
              <w:left w:w="120" w:type="dxa"/>
              <w:bottom w:w="80" w:type="dxa"/>
              <w:right w:w="120" w:type="dxa"/>
            </w:tcMar>
            <w:vAlign w:val="center"/>
          </w:tcPr>
          <w:p w14:paraId="706DCA10" w14:textId="77777777" w:rsidR="00764D9A" w:rsidRPr="00E546C7" w:rsidRDefault="00764D9A" w:rsidP="00B11AF1">
            <w:pPr>
              <w:pStyle w:val="TableText"/>
              <w:keepNext/>
              <w:rPr>
                <w:rFonts w:cs="Times New Roman"/>
              </w:rPr>
            </w:pPr>
            <w:r w:rsidRPr="00E546C7">
              <w:rPr>
                <w:rFonts w:eastAsia="Times New Roman" w:cs="Times New Roman"/>
                <w:sz w:val="18"/>
              </w:rPr>
              <w:t>Strongly disagree</w:t>
            </w:r>
          </w:p>
        </w:tc>
        <w:tc>
          <w:tcPr>
            <w:tcW w:w="1700" w:type="dxa"/>
            <w:tcMar>
              <w:top w:w="80" w:type="dxa"/>
              <w:left w:w="120" w:type="dxa"/>
              <w:bottom w:w="80" w:type="dxa"/>
              <w:right w:w="120" w:type="dxa"/>
            </w:tcMar>
            <w:vAlign w:val="center"/>
          </w:tcPr>
          <w:p w14:paraId="3EEDAB8B" w14:textId="77777777" w:rsidR="00764D9A" w:rsidRPr="00E546C7" w:rsidRDefault="00764D9A" w:rsidP="00B11AF1">
            <w:pPr>
              <w:pStyle w:val="TableText"/>
              <w:keepNext/>
              <w:jc w:val="center"/>
              <w:rPr>
                <w:rFonts w:cs="Times New Roman"/>
              </w:rPr>
            </w:pPr>
            <w:r w:rsidRPr="00E546C7">
              <w:rPr>
                <w:rFonts w:eastAsia="Times New Roman" w:cs="Times New Roman"/>
                <w:sz w:val="18"/>
              </w:rPr>
              <w:t>4</w:t>
            </w:r>
          </w:p>
        </w:tc>
        <w:tc>
          <w:tcPr>
            <w:tcW w:w="1920" w:type="dxa"/>
            <w:tcMar>
              <w:top w:w="80" w:type="dxa"/>
              <w:left w:w="120" w:type="dxa"/>
              <w:bottom w:w="80" w:type="dxa"/>
              <w:right w:w="120" w:type="dxa"/>
            </w:tcMar>
            <w:vAlign w:val="center"/>
          </w:tcPr>
          <w:p w14:paraId="3EDAC458" w14:textId="77777777" w:rsidR="00764D9A" w:rsidRPr="00E546C7" w:rsidRDefault="00764D9A" w:rsidP="00B11AF1">
            <w:pPr>
              <w:pStyle w:val="TableText"/>
              <w:keepNext/>
              <w:jc w:val="center"/>
              <w:rPr>
                <w:rFonts w:cs="Times New Roman"/>
              </w:rPr>
            </w:pPr>
            <w:r w:rsidRPr="00E546C7">
              <w:rPr>
                <w:rFonts w:eastAsia="Times New Roman" w:cs="Times New Roman"/>
                <w:sz w:val="18"/>
              </w:rPr>
              <w:t>8.0%</w:t>
            </w:r>
          </w:p>
        </w:tc>
      </w:tr>
      <w:tr w:rsidR="00764D9A" w:rsidRPr="00E546C7" w14:paraId="333BD8DA" w14:textId="77777777" w:rsidTr="00B11AF1">
        <w:trPr>
          <w:cantSplit/>
        </w:trPr>
        <w:tc>
          <w:tcPr>
            <w:tcW w:w="5400" w:type="dxa"/>
            <w:shd w:val="clear" w:color="auto" w:fill="F2F4F7"/>
            <w:tcMar>
              <w:top w:w="80" w:type="dxa"/>
              <w:left w:w="120" w:type="dxa"/>
              <w:bottom w:w="80" w:type="dxa"/>
              <w:right w:w="120" w:type="dxa"/>
            </w:tcMar>
            <w:vAlign w:val="center"/>
          </w:tcPr>
          <w:p w14:paraId="6960A084" w14:textId="77777777" w:rsidR="00764D9A" w:rsidRPr="00E546C7" w:rsidRDefault="00764D9A" w:rsidP="00B11AF1">
            <w:pPr>
              <w:pStyle w:val="TableText"/>
              <w:keepNext/>
              <w:rPr>
                <w:rFonts w:cs="Times New Roman"/>
              </w:rPr>
            </w:pPr>
            <w:r w:rsidRPr="00E546C7">
              <w:rPr>
                <w:rFonts w:eastAsia="Times New Roman" w:cs="Times New Roman"/>
                <w:sz w:val="18"/>
              </w:rPr>
              <w:t>Disagree</w:t>
            </w:r>
          </w:p>
        </w:tc>
        <w:tc>
          <w:tcPr>
            <w:tcW w:w="1700" w:type="dxa"/>
            <w:shd w:val="clear" w:color="auto" w:fill="F2F4F7"/>
            <w:tcMar>
              <w:top w:w="80" w:type="dxa"/>
              <w:left w:w="120" w:type="dxa"/>
              <w:bottom w:w="80" w:type="dxa"/>
              <w:right w:w="120" w:type="dxa"/>
            </w:tcMar>
            <w:vAlign w:val="center"/>
          </w:tcPr>
          <w:p w14:paraId="3AFAD5F3" w14:textId="77777777" w:rsidR="00764D9A" w:rsidRPr="00E546C7" w:rsidRDefault="00764D9A" w:rsidP="00B11AF1">
            <w:pPr>
              <w:pStyle w:val="TableText"/>
              <w:keepNext/>
              <w:jc w:val="center"/>
              <w:rPr>
                <w:rFonts w:cs="Times New Roman"/>
              </w:rPr>
            </w:pPr>
            <w:r w:rsidRPr="00E546C7">
              <w:rPr>
                <w:rFonts w:eastAsia="Times New Roman" w:cs="Times New Roman"/>
                <w:sz w:val="18"/>
              </w:rPr>
              <w:t>0</w:t>
            </w:r>
          </w:p>
        </w:tc>
        <w:tc>
          <w:tcPr>
            <w:tcW w:w="1920" w:type="dxa"/>
            <w:shd w:val="clear" w:color="auto" w:fill="F2F4F7"/>
            <w:tcMar>
              <w:top w:w="80" w:type="dxa"/>
              <w:left w:w="120" w:type="dxa"/>
              <w:bottom w:w="80" w:type="dxa"/>
              <w:right w:w="120" w:type="dxa"/>
            </w:tcMar>
            <w:vAlign w:val="center"/>
          </w:tcPr>
          <w:p w14:paraId="43EE97A1" w14:textId="77777777" w:rsidR="00764D9A" w:rsidRPr="00E546C7" w:rsidRDefault="00764D9A" w:rsidP="00B11AF1">
            <w:pPr>
              <w:pStyle w:val="TableText"/>
              <w:keepNext/>
              <w:jc w:val="center"/>
              <w:rPr>
                <w:rFonts w:cs="Times New Roman"/>
              </w:rPr>
            </w:pPr>
            <w:r w:rsidRPr="00E546C7">
              <w:rPr>
                <w:rFonts w:eastAsia="Times New Roman" w:cs="Times New Roman"/>
                <w:sz w:val="18"/>
              </w:rPr>
              <w:t>0.0%</w:t>
            </w:r>
          </w:p>
        </w:tc>
      </w:tr>
      <w:tr w:rsidR="00764D9A" w:rsidRPr="00E546C7" w14:paraId="7309CE9E" w14:textId="77777777" w:rsidTr="00B11AF1">
        <w:trPr>
          <w:cantSplit/>
        </w:trPr>
        <w:tc>
          <w:tcPr>
            <w:tcW w:w="5400" w:type="dxa"/>
            <w:tcMar>
              <w:top w:w="80" w:type="dxa"/>
              <w:left w:w="120" w:type="dxa"/>
              <w:bottom w:w="80" w:type="dxa"/>
              <w:right w:w="120" w:type="dxa"/>
            </w:tcMar>
            <w:vAlign w:val="center"/>
          </w:tcPr>
          <w:p w14:paraId="19FAE31D" w14:textId="77777777" w:rsidR="00764D9A" w:rsidRPr="00E546C7" w:rsidRDefault="00764D9A" w:rsidP="00B11AF1">
            <w:pPr>
              <w:pStyle w:val="TableText"/>
              <w:keepNext/>
              <w:rPr>
                <w:rFonts w:cs="Times New Roman"/>
              </w:rPr>
            </w:pPr>
            <w:r w:rsidRPr="00E546C7">
              <w:rPr>
                <w:rFonts w:eastAsia="Times New Roman" w:cs="Times New Roman"/>
                <w:sz w:val="18"/>
              </w:rPr>
              <w:t>Neutral</w:t>
            </w:r>
          </w:p>
        </w:tc>
        <w:tc>
          <w:tcPr>
            <w:tcW w:w="1700" w:type="dxa"/>
            <w:tcMar>
              <w:top w:w="80" w:type="dxa"/>
              <w:left w:w="120" w:type="dxa"/>
              <w:bottom w:w="80" w:type="dxa"/>
              <w:right w:w="120" w:type="dxa"/>
            </w:tcMar>
            <w:vAlign w:val="center"/>
          </w:tcPr>
          <w:p w14:paraId="48E780B0" w14:textId="77777777" w:rsidR="00764D9A" w:rsidRPr="00E546C7" w:rsidRDefault="00764D9A" w:rsidP="00B11AF1">
            <w:pPr>
              <w:pStyle w:val="TableText"/>
              <w:keepNext/>
              <w:jc w:val="center"/>
              <w:rPr>
                <w:rFonts w:cs="Times New Roman"/>
              </w:rPr>
            </w:pPr>
            <w:r w:rsidRPr="00E546C7">
              <w:rPr>
                <w:rFonts w:eastAsia="Times New Roman" w:cs="Times New Roman"/>
                <w:sz w:val="18"/>
              </w:rPr>
              <w:t>5</w:t>
            </w:r>
          </w:p>
        </w:tc>
        <w:tc>
          <w:tcPr>
            <w:tcW w:w="1920" w:type="dxa"/>
            <w:tcMar>
              <w:top w:w="80" w:type="dxa"/>
              <w:left w:w="120" w:type="dxa"/>
              <w:bottom w:w="80" w:type="dxa"/>
              <w:right w:w="120" w:type="dxa"/>
            </w:tcMar>
            <w:vAlign w:val="center"/>
          </w:tcPr>
          <w:p w14:paraId="7440BFC5" w14:textId="77777777" w:rsidR="00764D9A" w:rsidRPr="00E546C7" w:rsidRDefault="00764D9A" w:rsidP="00B11AF1">
            <w:pPr>
              <w:pStyle w:val="TableText"/>
              <w:keepNext/>
              <w:jc w:val="center"/>
              <w:rPr>
                <w:rFonts w:cs="Times New Roman"/>
              </w:rPr>
            </w:pPr>
            <w:r w:rsidRPr="00E546C7">
              <w:rPr>
                <w:rFonts w:eastAsia="Times New Roman" w:cs="Times New Roman"/>
                <w:sz w:val="18"/>
              </w:rPr>
              <w:t>10.0%</w:t>
            </w:r>
          </w:p>
        </w:tc>
      </w:tr>
      <w:tr w:rsidR="00764D9A" w:rsidRPr="00E546C7" w14:paraId="603368A4" w14:textId="77777777" w:rsidTr="00B11AF1">
        <w:trPr>
          <w:cantSplit/>
        </w:trPr>
        <w:tc>
          <w:tcPr>
            <w:tcW w:w="5400" w:type="dxa"/>
            <w:shd w:val="clear" w:color="auto" w:fill="F2F4F7"/>
            <w:tcMar>
              <w:top w:w="80" w:type="dxa"/>
              <w:left w:w="120" w:type="dxa"/>
              <w:bottom w:w="80" w:type="dxa"/>
              <w:right w:w="120" w:type="dxa"/>
            </w:tcMar>
            <w:vAlign w:val="center"/>
          </w:tcPr>
          <w:p w14:paraId="5A486C5F" w14:textId="77777777" w:rsidR="00764D9A" w:rsidRPr="00E546C7" w:rsidRDefault="00764D9A" w:rsidP="00B11AF1">
            <w:pPr>
              <w:pStyle w:val="TableText"/>
              <w:keepNext/>
              <w:rPr>
                <w:rFonts w:cs="Times New Roman"/>
              </w:rPr>
            </w:pPr>
            <w:r w:rsidRPr="00E546C7">
              <w:rPr>
                <w:rFonts w:eastAsia="Times New Roman" w:cs="Times New Roman"/>
                <w:sz w:val="18"/>
              </w:rPr>
              <w:t>Agree</w:t>
            </w:r>
          </w:p>
        </w:tc>
        <w:tc>
          <w:tcPr>
            <w:tcW w:w="1700" w:type="dxa"/>
            <w:shd w:val="clear" w:color="auto" w:fill="F2F4F7"/>
            <w:tcMar>
              <w:top w:w="80" w:type="dxa"/>
              <w:left w:w="120" w:type="dxa"/>
              <w:bottom w:w="80" w:type="dxa"/>
              <w:right w:w="120" w:type="dxa"/>
            </w:tcMar>
            <w:vAlign w:val="center"/>
          </w:tcPr>
          <w:p w14:paraId="277264C9" w14:textId="77777777" w:rsidR="00764D9A" w:rsidRPr="00E546C7" w:rsidRDefault="00764D9A" w:rsidP="00B11AF1">
            <w:pPr>
              <w:pStyle w:val="TableText"/>
              <w:keepNext/>
              <w:jc w:val="center"/>
              <w:rPr>
                <w:rFonts w:cs="Times New Roman"/>
              </w:rPr>
            </w:pPr>
            <w:r w:rsidRPr="00E546C7">
              <w:rPr>
                <w:rFonts w:eastAsia="Times New Roman" w:cs="Times New Roman"/>
                <w:sz w:val="18"/>
              </w:rPr>
              <w:t>31</w:t>
            </w:r>
          </w:p>
        </w:tc>
        <w:tc>
          <w:tcPr>
            <w:tcW w:w="1920" w:type="dxa"/>
            <w:shd w:val="clear" w:color="auto" w:fill="F2F4F7"/>
            <w:tcMar>
              <w:top w:w="80" w:type="dxa"/>
              <w:left w:w="120" w:type="dxa"/>
              <w:bottom w:w="80" w:type="dxa"/>
              <w:right w:w="120" w:type="dxa"/>
            </w:tcMar>
            <w:vAlign w:val="center"/>
          </w:tcPr>
          <w:p w14:paraId="6A91388D" w14:textId="77777777" w:rsidR="00764D9A" w:rsidRPr="00E546C7" w:rsidRDefault="00764D9A" w:rsidP="00B11AF1">
            <w:pPr>
              <w:pStyle w:val="TableText"/>
              <w:keepNext/>
              <w:jc w:val="center"/>
              <w:rPr>
                <w:rFonts w:cs="Times New Roman"/>
              </w:rPr>
            </w:pPr>
            <w:r w:rsidRPr="00E546C7">
              <w:rPr>
                <w:rFonts w:eastAsia="Times New Roman" w:cs="Times New Roman"/>
                <w:sz w:val="18"/>
              </w:rPr>
              <w:t>62.0%</w:t>
            </w:r>
          </w:p>
        </w:tc>
      </w:tr>
      <w:tr w:rsidR="00764D9A" w:rsidRPr="00E546C7" w14:paraId="2F98D908" w14:textId="77777777" w:rsidTr="00B11AF1">
        <w:trPr>
          <w:cantSplit/>
        </w:trPr>
        <w:tc>
          <w:tcPr>
            <w:tcW w:w="5400" w:type="dxa"/>
            <w:tcMar>
              <w:top w:w="80" w:type="dxa"/>
              <w:left w:w="120" w:type="dxa"/>
              <w:bottom w:w="80" w:type="dxa"/>
              <w:right w:w="120" w:type="dxa"/>
            </w:tcMar>
            <w:vAlign w:val="center"/>
          </w:tcPr>
          <w:p w14:paraId="2F42393D" w14:textId="77777777" w:rsidR="00764D9A" w:rsidRPr="00E546C7" w:rsidRDefault="00764D9A" w:rsidP="00B11AF1">
            <w:pPr>
              <w:pStyle w:val="TableText"/>
              <w:keepNext/>
              <w:rPr>
                <w:rFonts w:cs="Times New Roman"/>
              </w:rPr>
            </w:pPr>
            <w:r w:rsidRPr="00E546C7">
              <w:rPr>
                <w:rFonts w:eastAsia="Times New Roman" w:cs="Times New Roman"/>
                <w:sz w:val="18"/>
              </w:rPr>
              <w:t>Strongly agree</w:t>
            </w:r>
          </w:p>
        </w:tc>
        <w:tc>
          <w:tcPr>
            <w:tcW w:w="1700" w:type="dxa"/>
            <w:tcMar>
              <w:top w:w="80" w:type="dxa"/>
              <w:left w:w="120" w:type="dxa"/>
              <w:bottom w:w="80" w:type="dxa"/>
              <w:right w:w="120" w:type="dxa"/>
            </w:tcMar>
            <w:vAlign w:val="center"/>
          </w:tcPr>
          <w:p w14:paraId="1A9AB4F3" w14:textId="77777777" w:rsidR="00764D9A" w:rsidRPr="00E546C7" w:rsidRDefault="00764D9A" w:rsidP="00B11AF1">
            <w:pPr>
              <w:pStyle w:val="TableText"/>
              <w:keepNext/>
              <w:jc w:val="center"/>
              <w:rPr>
                <w:rFonts w:cs="Times New Roman"/>
              </w:rPr>
            </w:pPr>
            <w:r w:rsidRPr="00E546C7">
              <w:rPr>
                <w:rFonts w:eastAsia="Times New Roman" w:cs="Times New Roman"/>
                <w:sz w:val="18"/>
              </w:rPr>
              <w:t>10</w:t>
            </w:r>
          </w:p>
        </w:tc>
        <w:tc>
          <w:tcPr>
            <w:tcW w:w="1920" w:type="dxa"/>
            <w:tcMar>
              <w:top w:w="80" w:type="dxa"/>
              <w:left w:w="120" w:type="dxa"/>
              <w:bottom w:w="80" w:type="dxa"/>
              <w:right w:w="120" w:type="dxa"/>
            </w:tcMar>
            <w:vAlign w:val="center"/>
          </w:tcPr>
          <w:p w14:paraId="3C1C954F" w14:textId="77777777" w:rsidR="00764D9A" w:rsidRPr="00E546C7" w:rsidRDefault="00764D9A" w:rsidP="00B11AF1">
            <w:pPr>
              <w:pStyle w:val="TableText"/>
              <w:keepNext/>
              <w:jc w:val="center"/>
              <w:rPr>
                <w:rFonts w:cs="Times New Roman"/>
              </w:rPr>
            </w:pPr>
            <w:r w:rsidRPr="00E546C7">
              <w:rPr>
                <w:rFonts w:eastAsia="Times New Roman" w:cs="Times New Roman"/>
                <w:sz w:val="18"/>
              </w:rPr>
              <w:t>20.0%</w:t>
            </w:r>
          </w:p>
        </w:tc>
      </w:tr>
    </w:tbl>
    <w:p w14:paraId="15CADFE0"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22FB514B" w14:textId="77777777" w:rsidR="00764D9A" w:rsidRPr="00E546C7" w:rsidRDefault="00764D9A" w:rsidP="00C367A5">
      <w:pPr>
        <w:rPr>
          <w:b/>
          <w:bCs/>
        </w:rPr>
      </w:pPr>
      <w:r w:rsidRPr="00E546C7">
        <w:rPr>
          <w:b/>
          <w:bCs/>
        </w:rPr>
        <w:t>Q10: Overall, positive perceptions of Adidas's integrated marketing communications strengthen my loyalty toward Adidas.</w:t>
      </w:r>
    </w:p>
    <w:p w14:paraId="1E6A7793" w14:textId="77777777" w:rsidR="00764D9A" w:rsidRPr="00E546C7" w:rsidRDefault="00764D9A" w:rsidP="00764D9A">
      <w:pPr>
        <w:pStyle w:val="Caption"/>
        <w:jc w:val="left"/>
        <w:rPr>
          <w:rFonts w:cs="Times New Roman"/>
        </w:rPr>
      </w:pPr>
      <w:r w:rsidRPr="00E546C7">
        <w:rPr>
          <w:rFonts w:eastAsia="Times New Roman" w:cs="Times New Roman"/>
          <w:color w:val="1F2933"/>
        </w:rPr>
        <w:t>Table B10: Complete Frequency Distribution for Q10</w:t>
      </w:r>
    </w:p>
    <w:tbl>
      <w:tblPr>
        <w:tblStyle w:val="TableGrid"/>
        <w:tblW w:w="9020" w:type="dxa"/>
        <w:tblInd w:w="120" w:type="dxa"/>
        <w:tblLayout w:type="fixed"/>
        <w:tblLook w:val="04A0" w:firstRow="1" w:lastRow="0" w:firstColumn="1" w:lastColumn="0" w:noHBand="0" w:noVBand="1"/>
      </w:tblPr>
      <w:tblGrid>
        <w:gridCol w:w="5400"/>
        <w:gridCol w:w="1700"/>
        <w:gridCol w:w="1920"/>
      </w:tblGrid>
      <w:tr w:rsidR="00764D9A" w:rsidRPr="00E546C7" w14:paraId="1B42800A" w14:textId="77777777" w:rsidTr="00B11AF1">
        <w:trPr>
          <w:cantSplit/>
          <w:tblHeader/>
        </w:trPr>
        <w:tc>
          <w:tcPr>
            <w:tcW w:w="5400" w:type="dxa"/>
            <w:shd w:val="clear" w:color="auto" w:fill="17365D"/>
            <w:tcMar>
              <w:top w:w="80" w:type="dxa"/>
              <w:left w:w="120" w:type="dxa"/>
              <w:bottom w:w="80" w:type="dxa"/>
              <w:right w:w="120" w:type="dxa"/>
            </w:tcMar>
            <w:vAlign w:val="center"/>
          </w:tcPr>
          <w:p w14:paraId="757A0742" w14:textId="77777777" w:rsidR="00764D9A" w:rsidRPr="00E546C7" w:rsidRDefault="00764D9A" w:rsidP="00B11AF1">
            <w:pPr>
              <w:pStyle w:val="TableHeader"/>
              <w:keepNext/>
              <w:rPr>
                <w:rFonts w:cs="Times New Roman"/>
              </w:rPr>
            </w:pPr>
            <w:r w:rsidRPr="00E546C7">
              <w:rPr>
                <w:rFonts w:eastAsia="Times New Roman" w:cs="Times New Roman"/>
                <w:b/>
                <w:sz w:val="18"/>
              </w:rPr>
              <w:t>Response Category</w:t>
            </w:r>
          </w:p>
        </w:tc>
        <w:tc>
          <w:tcPr>
            <w:tcW w:w="1700" w:type="dxa"/>
            <w:shd w:val="clear" w:color="auto" w:fill="17365D"/>
            <w:tcMar>
              <w:top w:w="80" w:type="dxa"/>
              <w:left w:w="120" w:type="dxa"/>
              <w:bottom w:w="80" w:type="dxa"/>
              <w:right w:w="120" w:type="dxa"/>
            </w:tcMar>
            <w:vAlign w:val="center"/>
          </w:tcPr>
          <w:p w14:paraId="65756C68" w14:textId="77777777" w:rsidR="00764D9A" w:rsidRPr="00E546C7" w:rsidRDefault="00764D9A" w:rsidP="00B11AF1">
            <w:pPr>
              <w:pStyle w:val="TableHeader"/>
              <w:keepNext/>
              <w:rPr>
                <w:rFonts w:cs="Times New Roman"/>
              </w:rPr>
            </w:pPr>
            <w:r w:rsidRPr="00E546C7">
              <w:rPr>
                <w:rFonts w:eastAsia="Times New Roman" w:cs="Times New Roman"/>
                <w:b/>
                <w:sz w:val="18"/>
              </w:rPr>
              <w:t>Frequency</w:t>
            </w:r>
          </w:p>
        </w:tc>
        <w:tc>
          <w:tcPr>
            <w:tcW w:w="1920" w:type="dxa"/>
            <w:shd w:val="clear" w:color="auto" w:fill="17365D"/>
            <w:tcMar>
              <w:top w:w="80" w:type="dxa"/>
              <w:left w:w="120" w:type="dxa"/>
              <w:bottom w:w="80" w:type="dxa"/>
              <w:right w:w="120" w:type="dxa"/>
            </w:tcMar>
            <w:vAlign w:val="center"/>
          </w:tcPr>
          <w:p w14:paraId="64CCAE2A" w14:textId="77777777" w:rsidR="00764D9A" w:rsidRPr="00E546C7" w:rsidRDefault="00764D9A" w:rsidP="00B11AF1">
            <w:pPr>
              <w:pStyle w:val="TableHeader"/>
              <w:keepNext/>
              <w:rPr>
                <w:rFonts w:cs="Times New Roman"/>
              </w:rPr>
            </w:pPr>
            <w:r w:rsidRPr="00E546C7">
              <w:rPr>
                <w:rFonts w:eastAsia="Times New Roman" w:cs="Times New Roman"/>
                <w:b/>
                <w:sz w:val="18"/>
              </w:rPr>
              <w:t>Percentage</w:t>
            </w:r>
          </w:p>
        </w:tc>
      </w:tr>
      <w:tr w:rsidR="00764D9A" w:rsidRPr="00E546C7" w14:paraId="1F867E06" w14:textId="77777777" w:rsidTr="00B11AF1">
        <w:trPr>
          <w:cantSplit/>
        </w:trPr>
        <w:tc>
          <w:tcPr>
            <w:tcW w:w="5400" w:type="dxa"/>
            <w:tcMar>
              <w:top w:w="80" w:type="dxa"/>
              <w:left w:w="120" w:type="dxa"/>
              <w:bottom w:w="80" w:type="dxa"/>
              <w:right w:w="120" w:type="dxa"/>
            </w:tcMar>
            <w:vAlign w:val="center"/>
          </w:tcPr>
          <w:p w14:paraId="6136BFFF" w14:textId="77777777" w:rsidR="00764D9A" w:rsidRPr="00E546C7" w:rsidRDefault="00764D9A" w:rsidP="00B11AF1">
            <w:pPr>
              <w:pStyle w:val="TableText"/>
              <w:keepNext/>
              <w:rPr>
                <w:rFonts w:cs="Times New Roman"/>
              </w:rPr>
            </w:pPr>
            <w:r w:rsidRPr="00E546C7">
              <w:rPr>
                <w:rFonts w:eastAsia="Times New Roman" w:cs="Times New Roman"/>
                <w:sz w:val="18"/>
              </w:rPr>
              <w:t>Strongly disagree</w:t>
            </w:r>
          </w:p>
        </w:tc>
        <w:tc>
          <w:tcPr>
            <w:tcW w:w="1700" w:type="dxa"/>
            <w:tcMar>
              <w:top w:w="80" w:type="dxa"/>
              <w:left w:w="120" w:type="dxa"/>
              <w:bottom w:w="80" w:type="dxa"/>
              <w:right w:w="120" w:type="dxa"/>
            </w:tcMar>
            <w:vAlign w:val="center"/>
          </w:tcPr>
          <w:p w14:paraId="0C70749A" w14:textId="77777777" w:rsidR="00764D9A" w:rsidRPr="00E546C7" w:rsidRDefault="00764D9A" w:rsidP="00B11AF1">
            <w:pPr>
              <w:pStyle w:val="TableText"/>
              <w:keepNext/>
              <w:jc w:val="center"/>
              <w:rPr>
                <w:rFonts w:cs="Times New Roman"/>
              </w:rPr>
            </w:pPr>
            <w:r w:rsidRPr="00E546C7">
              <w:rPr>
                <w:rFonts w:eastAsia="Times New Roman" w:cs="Times New Roman"/>
                <w:sz w:val="18"/>
              </w:rPr>
              <w:t>3</w:t>
            </w:r>
          </w:p>
        </w:tc>
        <w:tc>
          <w:tcPr>
            <w:tcW w:w="1920" w:type="dxa"/>
            <w:tcMar>
              <w:top w:w="80" w:type="dxa"/>
              <w:left w:w="120" w:type="dxa"/>
              <w:bottom w:w="80" w:type="dxa"/>
              <w:right w:w="120" w:type="dxa"/>
            </w:tcMar>
            <w:vAlign w:val="center"/>
          </w:tcPr>
          <w:p w14:paraId="5135FF0D" w14:textId="77777777" w:rsidR="00764D9A" w:rsidRPr="00E546C7" w:rsidRDefault="00764D9A" w:rsidP="00B11AF1">
            <w:pPr>
              <w:pStyle w:val="TableText"/>
              <w:keepNext/>
              <w:jc w:val="center"/>
              <w:rPr>
                <w:rFonts w:cs="Times New Roman"/>
              </w:rPr>
            </w:pPr>
            <w:r w:rsidRPr="00E546C7">
              <w:rPr>
                <w:rFonts w:eastAsia="Times New Roman" w:cs="Times New Roman"/>
                <w:sz w:val="18"/>
              </w:rPr>
              <w:t>6.0%</w:t>
            </w:r>
          </w:p>
        </w:tc>
      </w:tr>
      <w:tr w:rsidR="00764D9A" w:rsidRPr="00E546C7" w14:paraId="2D3AB17A" w14:textId="77777777" w:rsidTr="00B11AF1">
        <w:trPr>
          <w:cantSplit/>
        </w:trPr>
        <w:tc>
          <w:tcPr>
            <w:tcW w:w="5400" w:type="dxa"/>
            <w:shd w:val="clear" w:color="auto" w:fill="F2F4F7"/>
            <w:tcMar>
              <w:top w:w="80" w:type="dxa"/>
              <w:left w:w="120" w:type="dxa"/>
              <w:bottom w:w="80" w:type="dxa"/>
              <w:right w:w="120" w:type="dxa"/>
            </w:tcMar>
            <w:vAlign w:val="center"/>
          </w:tcPr>
          <w:p w14:paraId="059D8007" w14:textId="77777777" w:rsidR="00764D9A" w:rsidRPr="00E546C7" w:rsidRDefault="00764D9A" w:rsidP="00B11AF1">
            <w:pPr>
              <w:pStyle w:val="TableText"/>
              <w:keepNext/>
              <w:rPr>
                <w:rFonts w:cs="Times New Roman"/>
              </w:rPr>
            </w:pPr>
            <w:r w:rsidRPr="00E546C7">
              <w:rPr>
                <w:rFonts w:eastAsia="Times New Roman" w:cs="Times New Roman"/>
                <w:sz w:val="18"/>
              </w:rPr>
              <w:t>Disagree</w:t>
            </w:r>
          </w:p>
        </w:tc>
        <w:tc>
          <w:tcPr>
            <w:tcW w:w="1700" w:type="dxa"/>
            <w:shd w:val="clear" w:color="auto" w:fill="F2F4F7"/>
            <w:tcMar>
              <w:top w:w="80" w:type="dxa"/>
              <w:left w:w="120" w:type="dxa"/>
              <w:bottom w:w="80" w:type="dxa"/>
              <w:right w:w="120" w:type="dxa"/>
            </w:tcMar>
            <w:vAlign w:val="center"/>
          </w:tcPr>
          <w:p w14:paraId="064549D7" w14:textId="77777777" w:rsidR="00764D9A" w:rsidRPr="00E546C7" w:rsidRDefault="00764D9A" w:rsidP="00B11AF1">
            <w:pPr>
              <w:pStyle w:val="TableText"/>
              <w:keepNext/>
              <w:jc w:val="center"/>
              <w:rPr>
                <w:rFonts w:cs="Times New Roman"/>
              </w:rPr>
            </w:pPr>
            <w:r w:rsidRPr="00E546C7">
              <w:rPr>
                <w:rFonts w:eastAsia="Times New Roman" w:cs="Times New Roman"/>
                <w:sz w:val="18"/>
              </w:rPr>
              <w:t>2</w:t>
            </w:r>
          </w:p>
        </w:tc>
        <w:tc>
          <w:tcPr>
            <w:tcW w:w="1920" w:type="dxa"/>
            <w:shd w:val="clear" w:color="auto" w:fill="F2F4F7"/>
            <w:tcMar>
              <w:top w:w="80" w:type="dxa"/>
              <w:left w:w="120" w:type="dxa"/>
              <w:bottom w:w="80" w:type="dxa"/>
              <w:right w:w="120" w:type="dxa"/>
            </w:tcMar>
            <w:vAlign w:val="center"/>
          </w:tcPr>
          <w:p w14:paraId="2B2E608C" w14:textId="77777777" w:rsidR="00764D9A" w:rsidRPr="00E546C7" w:rsidRDefault="00764D9A" w:rsidP="00B11AF1">
            <w:pPr>
              <w:pStyle w:val="TableText"/>
              <w:keepNext/>
              <w:jc w:val="center"/>
              <w:rPr>
                <w:rFonts w:cs="Times New Roman"/>
              </w:rPr>
            </w:pPr>
            <w:r w:rsidRPr="00E546C7">
              <w:rPr>
                <w:rFonts w:eastAsia="Times New Roman" w:cs="Times New Roman"/>
                <w:sz w:val="18"/>
              </w:rPr>
              <w:t>4.0%</w:t>
            </w:r>
          </w:p>
        </w:tc>
      </w:tr>
      <w:tr w:rsidR="00764D9A" w:rsidRPr="00E546C7" w14:paraId="46D1AD0B" w14:textId="77777777" w:rsidTr="00B11AF1">
        <w:trPr>
          <w:cantSplit/>
        </w:trPr>
        <w:tc>
          <w:tcPr>
            <w:tcW w:w="5400" w:type="dxa"/>
            <w:tcMar>
              <w:top w:w="80" w:type="dxa"/>
              <w:left w:w="120" w:type="dxa"/>
              <w:bottom w:w="80" w:type="dxa"/>
              <w:right w:w="120" w:type="dxa"/>
            </w:tcMar>
            <w:vAlign w:val="center"/>
          </w:tcPr>
          <w:p w14:paraId="3FB76E43" w14:textId="77777777" w:rsidR="00764D9A" w:rsidRPr="00E546C7" w:rsidRDefault="00764D9A" w:rsidP="00B11AF1">
            <w:pPr>
              <w:pStyle w:val="TableText"/>
              <w:keepNext/>
              <w:rPr>
                <w:rFonts w:cs="Times New Roman"/>
              </w:rPr>
            </w:pPr>
            <w:r w:rsidRPr="00E546C7">
              <w:rPr>
                <w:rFonts w:eastAsia="Times New Roman" w:cs="Times New Roman"/>
                <w:sz w:val="18"/>
              </w:rPr>
              <w:t>Neutral</w:t>
            </w:r>
          </w:p>
        </w:tc>
        <w:tc>
          <w:tcPr>
            <w:tcW w:w="1700" w:type="dxa"/>
            <w:tcMar>
              <w:top w:w="80" w:type="dxa"/>
              <w:left w:w="120" w:type="dxa"/>
              <w:bottom w:w="80" w:type="dxa"/>
              <w:right w:w="120" w:type="dxa"/>
            </w:tcMar>
            <w:vAlign w:val="center"/>
          </w:tcPr>
          <w:p w14:paraId="7B0DCB1D" w14:textId="77777777" w:rsidR="00764D9A" w:rsidRPr="00E546C7" w:rsidRDefault="00764D9A" w:rsidP="00B11AF1">
            <w:pPr>
              <w:pStyle w:val="TableText"/>
              <w:keepNext/>
              <w:jc w:val="center"/>
              <w:rPr>
                <w:rFonts w:cs="Times New Roman"/>
              </w:rPr>
            </w:pPr>
            <w:r w:rsidRPr="00E546C7">
              <w:rPr>
                <w:rFonts w:eastAsia="Times New Roman" w:cs="Times New Roman"/>
                <w:sz w:val="18"/>
              </w:rPr>
              <w:t>6</w:t>
            </w:r>
          </w:p>
        </w:tc>
        <w:tc>
          <w:tcPr>
            <w:tcW w:w="1920" w:type="dxa"/>
            <w:tcMar>
              <w:top w:w="80" w:type="dxa"/>
              <w:left w:w="120" w:type="dxa"/>
              <w:bottom w:w="80" w:type="dxa"/>
              <w:right w:w="120" w:type="dxa"/>
            </w:tcMar>
            <w:vAlign w:val="center"/>
          </w:tcPr>
          <w:p w14:paraId="5B362260" w14:textId="77777777" w:rsidR="00764D9A" w:rsidRPr="00E546C7" w:rsidRDefault="00764D9A" w:rsidP="00B11AF1">
            <w:pPr>
              <w:pStyle w:val="TableText"/>
              <w:keepNext/>
              <w:jc w:val="center"/>
              <w:rPr>
                <w:rFonts w:cs="Times New Roman"/>
              </w:rPr>
            </w:pPr>
            <w:r w:rsidRPr="00E546C7">
              <w:rPr>
                <w:rFonts w:eastAsia="Times New Roman" w:cs="Times New Roman"/>
                <w:sz w:val="18"/>
              </w:rPr>
              <w:t>12.0%</w:t>
            </w:r>
          </w:p>
        </w:tc>
      </w:tr>
      <w:tr w:rsidR="00764D9A" w:rsidRPr="00E546C7" w14:paraId="56B18EEE" w14:textId="77777777" w:rsidTr="00B11AF1">
        <w:trPr>
          <w:cantSplit/>
        </w:trPr>
        <w:tc>
          <w:tcPr>
            <w:tcW w:w="5400" w:type="dxa"/>
            <w:shd w:val="clear" w:color="auto" w:fill="F2F4F7"/>
            <w:tcMar>
              <w:top w:w="80" w:type="dxa"/>
              <w:left w:w="120" w:type="dxa"/>
              <w:bottom w:w="80" w:type="dxa"/>
              <w:right w:w="120" w:type="dxa"/>
            </w:tcMar>
            <w:vAlign w:val="center"/>
          </w:tcPr>
          <w:p w14:paraId="74E8559C" w14:textId="77777777" w:rsidR="00764D9A" w:rsidRPr="00E546C7" w:rsidRDefault="00764D9A" w:rsidP="00B11AF1">
            <w:pPr>
              <w:pStyle w:val="TableText"/>
              <w:keepNext/>
              <w:rPr>
                <w:rFonts w:cs="Times New Roman"/>
              </w:rPr>
            </w:pPr>
            <w:r w:rsidRPr="00E546C7">
              <w:rPr>
                <w:rFonts w:eastAsia="Times New Roman" w:cs="Times New Roman"/>
                <w:sz w:val="18"/>
              </w:rPr>
              <w:t>Agree</w:t>
            </w:r>
          </w:p>
        </w:tc>
        <w:tc>
          <w:tcPr>
            <w:tcW w:w="1700" w:type="dxa"/>
            <w:shd w:val="clear" w:color="auto" w:fill="F2F4F7"/>
            <w:tcMar>
              <w:top w:w="80" w:type="dxa"/>
              <w:left w:w="120" w:type="dxa"/>
              <w:bottom w:w="80" w:type="dxa"/>
              <w:right w:w="120" w:type="dxa"/>
            </w:tcMar>
            <w:vAlign w:val="center"/>
          </w:tcPr>
          <w:p w14:paraId="102940FA" w14:textId="77777777" w:rsidR="00764D9A" w:rsidRPr="00E546C7" w:rsidRDefault="00764D9A" w:rsidP="00B11AF1">
            <w:pPr>
              <w:pStyle w:val="TableText"/>
              <w:keepNext/>
              <w:jc w:val="center"/>
              <w:rPr>
                <w:rFonts w:cs="Times New Roman"/>
              </w:rPr>
            </w:pPr>
            <w:r w:rsidRPr="00E546C7">
              <w:rPr>
                <w:rFonts w:eastAsia="Times New Roman" w:cs="Times New Roman"/>
                <w:sz w:val="18"/>
              </w:rPr>
              <w:t>28</w:t>
            </w:r>
          </w:p>
        </w:tc>
        <w:tc>
          <w:tcPr>
            <w:tcW w:w="1920" w:type="dxa"/>
            <w:shd w:val="clear" w:color="auto" w:fill="F2F4F7"/>
            <w:tcMar>
              <w:top w:w="80" w:type="dxa"/>
              <w:left w:w="120" w:type="dxa"/>
              <w:bottom w:w="80" w:type="dxa"/>
              <w:right w:w="120" w:type="dxa"/>
            </w:tcMar>
            <w:vAlign w:val="center"/>
          </w:tcPr>
          <w:p w14:paraId="19AE81AD" w14:textId="77777777" w:rsidR="00764D9A" w:rsidRPr="00E546C7" w:rsidRDefault="00764D9A" w:rsidP="00B11AF1">
            <w:pPr>
              <w:pStyle w:val="TableText"/>
              <w:keepNext/>
              <w:jc w:val="center"/>
              <w:rPr>
                <w:rFonts w:cs="Times New Roman"/>
              </w:rPr>
            </w:pPr>
            <w:r w:rsidRPr="00E546C7">
              <w:rPr>
                <w:rFonts w:eastAsia="Times New Roman" w:cs="Times New Roman"/>
                <w:sz w:val="18"/>
              </w:rPr>
              <w:t>56.0%</w:t>
            </w:r>
          </w:p>
        </w:tc>
      </w:tr>
      <w:tr w:rsidR="00764D9A" w:rsidRPr="00E546C7" w14:paraId="022DB82D" w14:textId="77777777" w:rsidTr="00B11AF1">
        <w:trPr>
          <w:cantSplit/>
        </w:trPr>
        <w:tc>
          <w:tcPr>
            <w:tcW w:w="5400" w:type="dxa"/>
            <w:tcMar>
              <w:top w:w="80" w:type="dxa"/>
              <w:left w:w="120" w:type="dxa"/>
              <w:bottom w:w="80" w:type="dxa"/>
              <w:right w:w="120" w:type="dxa"/>
            </w:tcMar>
            <w:vAlign w:val="center"/>
          </w:tcPr>
          <w:p w14:paraId="74C52C6E" w14:textId="77777777" w:rsidR="00764D9A" w:rsidRPr="00E546C7" w:rsidRDefault="00764D9A" w:rsidP="00B11AF1">
            <w:pPr>
              <w:pStyle w:val="TableText"/>
              <w:keepNext/>
              <w:rPr>
                <w:rFonts w:cs="Times New Roman"/>
              </w:rPr>
            </w:pPr>
            <w:r w:rsidRPr="00E546C7">
              <w:rPr>
                <w:rFonts w:eastAsia="Times New Roman" w:cs="Times New Roman"/>
                <w:sz w:val="18"/>
              </w:rPr>
              <w:t>Strongly agree</w:t>
            </w:r>
          </w:p>
        </w:tc>
        <w:tc>
          <w:tcPr>
            <w:tcW w:w="1700" w:type="dxa"/>
            <w:tcMar>
              <w:top w:w="80" w:type="dxa"/>
              <w:left w:w="120" w:type="dxa"/>
              <w:bottom w:w="80" w:type="dxa"/>
              <w:right w:w="120" w:type="dxa"/>
            </w:tcMar>
            <w:vAlign w:val="center"/>
          </w:tcPr>
          <w:p w14:paraId="4B466E59" w14:textId="77777777" w:rsidR="00764D9A" w:rsidRPr="00E546C7" w:rsidRDefault="00764D9A" w:rsidP="00B11AF1">
            <w:pPr>
              <w:pStyle w:val="TableText"/>
              <w:keepNext/>
              <w:jc w:val="center"/>
              <w:rPr>
                <w:rFonts w:cs="Times New Roman"/>
              </w:rPr>
            </w:pPr>
            <w:r w:rsidRPr="00E546C7">
              <w:rPr>
                <w:rFonts w:eastAsia="Times New Roman" w:cs="Times New Roman"/>
                <w:sz w:val="18"/>
              </w:rPr>
              <w:t>11</w:t>
            </w:r>
          </w:p>
        </w:tc>
        <w:tc>
          <w:tcPr>
            <w:tcW w:w="1920" w:type="dxa"/>
            <w:tcMar>
              <w:top w:w="80" w:type="dxa"/>
              <w:left w:w="120" w:type="dxa"/>
              <w:bottom w:w="80" w:type="dxa"/>
              <w:right w:w="120" w:type="dxa"/>
            </w:tcMar>
            <w:vAlign w:val="center"/>
          </w:tcPr>
          <w:p w14:paraId="680425DF" w14:textId="77777777" w:rsidR="00764D9A" w:rsidRPr="00E546C7" w:rsidRDefault="00764D9A" w:rsidP="00B11AF1">
            <w:pPr>
              <w:pStyle w:val="TableText"/>
              <w:keepNext/>
              <w:jc w:val="center"/>
              <w:rPr>
                <w:rFonts w:cs="Times New Roman"/>
              </w:rPr>
            </w:pPr>
            <w:r w:rsidRPr="00E546C7">
              <w:rPr>
                <w:rFonts w:eastAsia="Times New Roman" w:cs="Times New Roman"/>
                <w:sz w:val="18"/>
              </w:rPr>
              <w:t>22.0%</w:t>
            </w:r>
          </w:p>
        </w:tc>
      </w:tr>
    </w:tbl>
    <w:p w14:paraId="2EFF59DC"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152719A7" w14:textId="77777777" w:rsidR="00764D9A" w:rsidRPr="00E546C7" w:rsidRDefault="00764D9A" w:rsidP="00764D9A">
      <w:pPr>
        <w:pStyle w:val="Heading1"/>
        <w:pageBreakBefore/>
        <w:rPr>
          <w:rFonts w:cs="Times New Roman"/>
        </w:rPr>
      </w:pPr>
      <w:bookmarkStart w:id="89" w:name="_Toc239819744"/>
      <w:r w:rsidRPr="00E546C7">
        <w:rPr>
          <w:rFonts w:cs="Times New Roman"/>
        </w:rPr>
        <w:t>Appendix C: Coding and Construct Construction</w:t>
      </w:r>
      <w:bookmarkEnd w:id="89"/>
    </w:p>
    <w:p w14:paraId="180FE626" w14:textId="77777777" w:rsidR="00764D9A" w:rsidRPr="00E546C7" w:rsidRDefault="00764D9A" w:rsidP="00764D9A">
      <w:r w:rsidRPr="00E546C7">
        <w:t>Likert responses were recoded consistently before analysis. Nominal demographic and preference responses were retained as categories and were not assigned artificial numerical order.</w:t>
      </w:r>
    </w:p>
    <w:p w14:paraId="34FD0869" w14:textId="77777777" w:rsidR="00764D9A" w:rsidRPr="00E546C7" w:rsidRDefault="00764D9A" w:rsidP="00764D9A">
      <w:pPr>
        <w:pStyle w:val="Caption"/>
        <w:jc w:val="left"/>
        <w:rPr>
          <w:rFonts w:cs="Times New Roman"/>
        </w:rPr>
      </w:pPr>
      <w:r w:rsidRPr="00E546C7">
        <w:rPr>
          <w:rFonts w:eastAsia="Times New Roman" w:cs="Times New Roman"/>
          <w:color w:val="1F2933"/>
        </w:rPr>
        <w:t>Table C1: Likert Coding Scheme</w:t>
      </w:r>
    </w:p>
    <w:tbl>
      <w:tblPr>
        <w:tblStyle w:val="TableGrid"/>
        <w:tblW w:w="9020" w:type="dxa"/>
        <w:tblInd w:w="120" w:type="dxa"/>
        <w:tblLayout w:type="fixed"/>
        <w:tblLook w:val="04A0" w:firstRow="1" w:lastRow="0" w:firstColumn="1" w:lastColumn="0" w:noHBand="0" w:noVBand="1"/>
      </w:tblPr>
      <w:tblGrid>
        <w:gridCol w:w="6200"/>
        <w:gridCol w:w="2820"/>
      </w:tblGrid>
      <w:tr w:rsidR="00764D9A" w:rsidRPr="00E546C7" w14:paraId="03969531" w14:textId="77777777" w:rsidTr="00B11AF1">
        <w:trPr>
          <w:cantSplit/>
          <w:tblHeader/>
        </w:trPr>
        <w:tc>
          <w:tcPr>
            <w:tcW w:w="6200" w:type="dxa"/>
            <w:shd w:val="clear" w:color="auto" w:fill="17365D"/>
            <w:tcMar>
              <w:top w:w="80" w:type="dxa"/>
              <w:left w:w="120" w:type="dxa"/>
              <w:bottom w:w="80" w:type="dxa"/>
              <w:right w:w="120" w:type="dxa"/>
            </w:tcMar>
            <w:vAlign w:val="center"/>
          </w:tcPr>
          <w:p w14:paraId="6A387E5B" w14:textId="77777777" w:rsidR="00764D9A" w:rsidRPr="00E546C7" w:rsidRDefault="00764D9A" w:rsidP="00B11AF1">
            <w:pPr>
              <w:pStyle w:val="TableHeader"/>
              <w:rPr>
                <w:rFonts w:cs="Times New Roman"/>
              </w:rPr>
            </w:pPr>
            <w:r w:rsidRPr="00E546C7">
              <w:rPr>
                <w:rFonts w:eastAsia="Times New Roman" w:cs="Times New Roman"/>
                <w:b/>
                <w:sz w:val="18"/>
              </w:rPr>
              <w:t>Response</w:t>
            </w:r>
          </w:p>
        </w:tc>
        <w:tc>
          <w:tcPr>
            <w:tcW w:w="2820" w:type="dxa"/>
            <w:shd w:val="clear" w:color="auto" w:fill="17365D"/>
            <w:tcMar>
              <w:top w:w="80" w:type="dxa"/>
              <w:left w:w="120" w:type="dxa"/>
              <w:bottom w:w="80" w:type="dxa"/>
              <w:right w:w="120" w:type="dxa"/>
            </w:tcMar>
            <w:vAlign w:val="center"/>
          </w:tcPr>
          <w:p w14:paraId="14545D93" w14:textId="77777777" w:rsidR="00764D9A" w:rsidRPr="00E546C7" w:rsidRDefault="00764D9A" w:rsidP="00B11AF1">
            <w:pPr>
              <w:pStyle w:val="TableHeader"/>
              <w:rPr>
                <w:rFonts w:cs="Times New Roman"/>
              </w:rPr>
            </w:pPr>
            <w:r w:rsidRPr="00E546C7">
              <w:rPr>
                <w:rFonts w:eastAsia="Times New Roman" w:cs="Times New Roman"/>
                <w:b/>
                <w:sz w:val="18"/>
              </w:rPr>
              <w:t>Numeric Code</w:t>
            </w:r>
          </w:p>
        </w:tc>
      </w:tr>
      <w:tr w:rsidR="00764D9A" w:rsidRPr="00E546C7" w14:paraId="3774F5D6" w14:textId="77777777" w:rsidTr="00B11AF1">
        <w:trPr>
          <w:cantSplit/>
        </w:trPr>
        <w:tc>
          <w:tcPr>
            <w:tcW w:w="6200" w:type="dxa"/>
            <w:tcMar>
              <w:top w:w="80" w:type="dxa"/>
              <w:left w:w="120" w:type="dxa"/>
              <w:bottom w:w="80" w:type="dxa"/>
              <w:right w:w="120" w:type="dxa"/>
            </w:tcMar>
            <w:vAlign w:val="center"/>
          </w:tcPr>
          <w:p w14:paraId="42E62289" w14:textId="77777777" w:rsidR="00764D9A" w:rsidRPr="00E546C7" w:rsidRDefault="00764D9A" w:rsidP="00B11AF1">
            <w:pPr>
              <w:pStyle w:val="TableText"/>
              <w:rPr>
                <w:rFonts w:cs="Times New Roman"/>
              </w:rPr>
            </w:pPr>
            <w:r w:rsidRPr="00E546C7">
              <w:rPr>
                <w:rFonts w:eastAsia="Times New Roman" w:cs="Times New Roman"/>
                <w:sz w:val="18"/>
              </w:rPr>
              <w:t>Strongly disagree</w:t>
            </w:r>
          </w:p>
        </w:tc>
        <w:tc>
          <w:tcPr>
            <w:tcW w:w="2820" w:type="dxa"/>
            <w:tcMar>
              <w:top w:w="80" w:type="dxa"/>
              <w:left w:w="120" w:type="dxa"/>
              <w:bottom w:w="80" w:type="dxa"/>
              <w:right w:w="120" w:type="dxa"/>
            </w:tcMar>
            <w:vAlign w:val="center"/>
          </w:tcPr>
          <w:p w14:paraId="11C7C248" w14:textId="77777777" w:rsidR="00764D9A" w:rsidRPr="00E546C7" w:rsidRDefault="00764D9A" w:rsidP="00B11AF1">
            <w:pPr>
              <w:pStyle w:val="TableText"/>
              <w:jc w:val="center"/>
              <w:rPr>
                <w:rFonts w:cs="Times New Roman"/>
              </w:rPr>
            </w:pPr>
            <w:r w:rsidRPr="00E546C7">
              <w:rPr>
                <w:rFonts w:eastAsia="Times New Roman" w:cs="Times New Roman"/>
                <w:sz w:val="18"/>
              </w:rPr>
              <w:t>1</w:t>
            </w:r>
          </w:p>
        </w:tc>
      </w:tr>
      <w:tr w:rsidR="00764D9A" w:rsidRPr="00E546C7" w14:paraId="304B1CE6" w14:textId="77777777" w:rsidTr="00B11AF1">
        <w:trPr>
          <w:cantSplit/>
        </w:trPr>
        <w:tc>
          <w:tcPr>
            <w:tcW w:w="6200" w:type="dxa"/>
            <w:shd w:val="clear" w:color="auto" w:fill="F2F4F7"/>
            <w:tcMar>
              <w:top w:w="80" w:type="dxa"/>
              <w:left w:w="120" w:type="dxa"/>
              <w:bottom w:w="80" w:type="dxa"/>
              <w:right w:w="120" w:type="dxa"/>
            </w:tcMar>
            <w:vAlign w:val="center"/>
          </w:tcPr>
          <w:p w14:paraId="1D07D6A1" w14:textId="77777777" w:rsidR="00764D9A" w:rsidRPr="00E546C7" w:rsidRDefault="00764D9A" w:rsidP="00B11AF1">
            <w:pPr>
              <w:pStyle w:val="TableText"/>
              <w:rPr>
                <w:rFonts w:cs="Times New Roman"/>
              </w:rPr>
            </w:pPr>
            <w:r w:rsidRPr="00E546C7">
              <w:rPr>
                <w:rFonts w:eastAsia="Times New Roman" w:cs="Times New Roman"/>
                <w:sz w:val="18"/>
              </w:rPr>
              <w:t>Disagree</w:t>
            </w:r>
          </w:p>
        </w:tc>
        <w:tc>
          <w:tcPr>
            <w:tcW w:w="2820" w:type="dxa"/>
            <w:shd w:val="clear" w:color="auto" w:fill="F2F4F7"/>
            <w:tcMar>
              <w:top w:w="80" w:type="dxa"/>
              <w:left w:w="120" w:type="dxa"/>
              <w:bottom w:w="80" w:type="dxa"/>
              <w:right w:w="120" w:type="dxa"/>
            </w:tcMar>
            <w:vAlign w:val="center"/>
          </w:tcPr>
          <w:p w14:paraId="50C1A7B1" w14:textId="77777777" w:rsidR="00764D9A" w:rsidRPr="00E546C7" w:rsidRDefault="00764D9A" w:rsidP="00B11AF1">
            <w:pPr>
              <w:pStyle w:val="TableText"/>
              <w:jc w:val="center"/>
              <w:rPr>
                <w:rFonts w:cs="Times New Roman"/>
              </w:rPr>
            </w:pPr>
            <w:r w:rsidRPr="00E546C7">
              <w:rPr>
                <w:rFonts w:eastAsia="Times New Roman" w:cs="Times New Roman"/>
                <w:sz w:val="18"/>
              </w:rPr>
              <w:t>2</w:t>
            </w:r>
          </w:p>
        </w:tc>
      </w:tr>
      <w:tr w:rsidR="00764D9A" w:rsidRPr="00E546C7" w14:paraId="54AAD35C" w14:textId="77777777" w:rsidTr="00B11AF1">
        <w:trPr>
          <w:cantSplit/>
        </w:trPr>
        <w:tc>
          <w:tcPr>
            <w:tcW w:w="6200" w:type="dxa"/>
            <w:tcMar>
              <w:top w:w="80" w:type="dxa"/>
              <w:left w:w="120" w:type="dxa"/>
              <w:bottom w:w="80" w:type="dxa"/>
              <w:right w:w="120" w:type="dxa"/>
            </w:tcMar>
            <w:vAlign w:val="center"/>
          </w:tcPr>
          <w:p w14:paraId="4CA07719" w14:textId="77777777" w:rsidR="00764D9A" w:rsidRPr="00E546C7" w:rsidRDefault="00764D9A" w:rsidP="00B11AF1">
            <w:pPr>
              <w:pStyle w:val="TableText"/>
              <w:rPr>
                <w:rFonts w:cs="Times New Roman"/>
              </w:rPr>
            </w:pPr>
            <w:r w:rsidRPr="00E546C7">
              <w:rPr>
                <w:rFonts w:eastAsia="Times New Roman" w:cs="Times New Roman"/>
                <w:sz w:val="18"/>
              </w:rPr>
              <w:t>Neutral</w:t>
            </w:r>
          </w:p>
        </w:tc>
        <w:tc>
          <w:tcPr>
            <w:tcW w:w="2820" w:type="dxa"/>
            <w:tcMar>
              <w:top w:w="80" w:type="dxa"/>
              <w:left w:w="120" w:type="dxa"/>
              <w:bottom w:w="80" w:type="dxa"/>
              <w:right w:w="120" w:type="dxa"/>
            </w:tcMar>
            <w:vAlign w:val="center"/>
          </w:tcPr>
          <w:p w14:paraId="4305E83A" w14:textId="77777777" w:rsidR="00764D9A" w:rsidRPr="00E546C7" w:rsidRDefault="00764D9A" w:rsidP="00B11AF1">
            <w:pPr>
              <w:pStyle w:val="TableText"/>
              <w:jc w:val="center"/>
              <w:rPr>
                <w:rFonts w:cs="Times New Roman"/>
              </w:rPr>
            </w:pPr>
            <w:r w:rsidRPr="00E546C7">
              <w:rPr>
                <w:rFonts w:eastAsia="Times New Roman" w:cs="Times New Roman"/>
                <w:sz w:val="18"/>
              </w:rPr>
              <w:t>3</w:t>
            </w:r>
          </w:p>
        </w:tc>
      </w:tr>
      <w:tr w:rsidR="00764D9A" w:rsidRPr="00E546C7" w14:paraId="481E435E" w14:textId="77777777" w:rsidTr="00B11AF1">
        <w:trPr>
          <w:cantSplit/>
        </w:trPr>
        <w:tc>
          <w:tcPr>
            <w:tcW w:w="6200" w:type="dxa"/>
            <w:shd w:val="clear" w:color="auto" w:fill="F2F4F7"/>
            <w:tcMar>
              <w:top w:w="80" w:type="dxa"/>
              <w:left w:w="120" w:type="dxa"/>
              <w:bottom w:w="80" w:type="dxa"/>
              <w:right w:w="120" w:type="dxa"/>
            </w:tcMar>
            <w:vAlign w:val="center"/>
          </w:tcPr>
          <w:p w14:paraId="387B458B" w14:textId="77777777" w:rsidR="00764D9A" w:rsidRPr="00E546C7" w:rsidRDefault="00764D9A" w:rsidP="00B11AF1">
            <w:pPr>
              <w:pStyle w:val="TableText"/>
              <w:rPr>
                <w:rFonts w:cs="Times New Roman"/>
              </w:rPr>
            </w:pPr>
            <w:r w:rsidRPr="00E546C7">
              <w:rPr>
                <w:rFonts w:eastAsia="Times New Roman" w:cs="Times New Roman"/>
                <w:sz w:val="18"/>
              </w:rPr>
              <w:t>Agree</w:t>
            </w:r>
          </w:p>
        </w:tc>
        <w:tc>
          <w:tcPr>
            <w:tcW w:w="2820" w:type="dxa"/>
            <w:shd w:val="clear" w:color="auto" w:fill="F2F4F7"/>
            <w:tcMar>
              <w:top w:w="80" w:type="dxa"/>
              <w:left w:w="120" w:type="dxa"/>
              <w:bottom w:w="80" w:type="dxa"/>
              <w:right w:w="120" w:type="dxa"/>
            </w:tcMar>
            <w:vAlign w:val="center"/>
          </w:tcPr>
          <w:p w14:paraId="6C27A628" w14:textId="77777777" w:rsidR="00764D9A" w:rsidRPr="00E546C7" w:rsidRDefault="00764D9A" w:rsidP="00B11AF1">
            <w:pPr>
              <w:pStyle w:val="TableText"/>
              <w:jc w:val="center"/>
              <w:rPr>
                <w:rFonts w:cs="Times New Roman"/>
              </w:rPr>
            </w:pPr>
            <w:r w:rsidRPr="00E546C7">
              <w:rPr>
                <w:rFonts w:eastAsia="Times New Roman" w:cs="Times New Roman"/>
                <w:sz w:val="18"/>
              </w:rPr>
              <w:t>4</w:t>
            </w:r>
          </w:p>
        </w:tc>
      </w:tr>
      <w:tr w:rsidR="00764D9A" w:rsidRPr="00E546C7" w14:paraId="5D6871ED" w14:textId="77777777" w:rsidTr="00B11AF1">
        <w:trPr>
          <w:cantSplit/>
        </w:trPr>
        <w:tc>
          <w:tcPr>
            <w:tcW w:w="6200" w:type="dxa"/>
            <w:tcMar>
              <w:top w:w="80" w:type="dxa"/>
              <w:left w:w="120" w:type="dxa"/>
              <w:bottom w:w="80" w:type="dxa"/>
              <w:right w:w="120" w:type="dxa"/>
            </w:tcMar>
            <w:vAlign w:val="center"/>
          </w:tcPr>
          <w:p w14:paraId="4C0B4A22" w14:textId="77777777" w:rsidR="00764D9A" w:rsidRPr="00E546C7" w:rsidRDefault="00764D9A" w:rsidP="00B11AF1">
            <w:pPr>
              <w:pStyle w:val="TableText"/>
              <w:rPr>
                <w:rFonts w:cs="Times New Roman"/>
              </w:rPr>
            </w:pPr>
            <w:r w:rsidRPr="00E546C7">
              <w:rPr>
                <w:rFonts w:eastAsia="Times New Roman" w:cs="Times New Roman"/>
                <w:sz w:val="18"/>
              </w:rPr>
              <w:t>Strongly agree</w:t>
            </w:r>
          </w:p>
        </w:tc>
        <w:tc>
          <w:tcPr>
            <w:tcW w:w="2820" w:type="dxa"/>
            <w:tcMar>
              <w:top w:w="80" w:type="dxa"/>
              <w:left w:w="120" w:type="dxa"/>
              <w:bottom w:w="80" w:type="dxa"/>
              <w:right w:w="120" w:type="dxa"/>
            </w:tcMar>
            <w:vAlign w:val="center"/>
          </w:tcPr>
          <w:p w14:paraId="6827E426" w14:textId="77777777" w:rsidR="00764D9A" w:rsidRPr="00E546C7" w:rsidRDefault="00764D9A" w:rsidP="00B11AF1">
            <w:pPr>
              <w:pStyle w:val="TableText"/>
              <w:jc w:val="center"/>
              <w:rPr>
                <w:rFonts w:cs="Times New Roman"/>
              </w:rPr>
            </w:pPr>
            <w:r w:rsidRPr="00E546C7">
              <w:rPr>
                <w:rFonts w:eastAsia="Times New Roman" w:cs="Times New Roman"/>
                <w:sz w:val="18"/>
              </w:rPr>
              <w:t>5</w:t>
            </w:r>
          </w:p>
        </w:tc>
      </w:tr>
    </w:tbl>
    <w:p w14:paraId="0AE76F10" w14:textId="77777777" w:rsidR="00764D9A" w:rsidRPr="00E546C7" w:rsidRDefault="00764D9A" w:rsidP="00764D9A">
      <w:pPr>
        <w:pStyle w:val="SourceNote"/>
        <w:rPr>
          <w:rFonts w:cs="Times New Roman"/>
        </w:rPr>
      </w:pPr>
      <w:r w:rsidRPr="00E546C7">
        <w:rPr>
          <w:rFonts w:eastAsia="Times New Roman" w:cs="Times New Roman"/>
        </w:rPr>
        <w:t>Source: Researcher’s coding protocol.</w:t>
      </w:r>
    </w:p>
    <w:p w14:paraId="6B9C63BE" w14:textId="77777777" w:rsidR="00764D9A" w:rsidRPr="00E546C7" w:rsidRDefault="00764D9A" w:rsidP="00764D9A">
      <w:r w:rsidRPr="00E546C7">
        <w:t>The primary composites were calculated for each respondent as follows:</w:t>
      </w:r>
    </w:p>
    <w:p w14:paraId="69AB734C" w14:textId="77777777" w:rsidR="00764D9A" w:rsidRPr="00E546C7" w:rsidRDefault="00764D9A" w:rsidP="00764D9A">
      <w:pPr>
        <w:pStyle w:val="Equation"/>
        <w:keepLines/>
        <w:rPr>
          <w:rFonts w:cs="Times New Roman"/>
        </w:rPr>
      </w:pPr>
      <w:r w:rsidRPr="00E546C7">
        <w:rPr>
          <w:rFonts w:cs="Times New Roman"/>
        </w:rPr>
        <w:t>Perceived IMCᵢ = (Q3ᵢ + Q4ᵢ) / 2</w:t>
      </w:r>
    </w:p>
    <w:p w14:paraId="71730D70" w14:textId="77777777" w:rsidR="00764D9A" w:rsidRPr="00E546C7" w:rsidRDefault="00764D9A" w:rsidP="00764D9A">
      <w:pPr>
        <w:pStyle w:val="Equation"/>
        <w:keepLines/>
        <w:rPr>
          <w:rFonts w:cs="Times New Roman"/>
        </w:rPr>
      </w:pPr>
      <w:r w:rsidRPr="00E546C7">
        <w:rPr>
          <w:rFonts w:cs="Times New Roman"/>
        </w:rPr>
        <w:t>Attitude–Purchaseᵢ = (Q5ᵢ + Q6ᵢ) / 2</w:t>
      </w:r>
    </w:p>
    <w:p w14:paraId="65D771EE" w14:textId="77777777" w:rsidR="00764D9A" w:rsidRPr="00E546C7" w:rsidRDefault="00764D9A" w:rsidP="00764D9A">
      <w:pPr>
        <w:pStyle w:val="Equation"/>
        <w:keepLines/>
        <w:rPr>
          <w:rFonts w:cs="Times New Roman"/>
        </w:rPr>
      </w:pPr>
      <w:r w:rsidRPr="00E546C7">
        <w:rPr>
          <w:rFonts w:cs="Times New Roman"/>
        </w:rPr>
        <w:t>Brand Loyaltyᵢ = Q10ᵢ</w:t>
      </w:r>
    </w:p>
    <w:p w14:paraId="153A950D" w14:textId="77777777" w:rsidR="00764D9A" w:rsidRPr="00E546C7" w:rsidRDefault="00764D9A" w:rsidP="00764D9A">
      <w:pPr>
        <w:pStyle w:val="Caption"/>
        <w:jc w:val="left"/>
        <w:rPr>
          <w:rFonts w:cs="Times New Roman"/>
        </w:rPr>
      </w:pPr>
      <w:r w:rsidRPr="00E546C7">
        <w:rPr>
          <w:rFonts w:eastAsia="Times New Roman" w:cs="Times New Roman"/>
          <w:color w:val="1F2933"/>
        </w:rPr>
        <w:t>Table C2: Construct Decision Log</w:t>
      </w:r>
    </w:p>
    <w:tbl>
      <w:tblPr>
        <w:tblStyle w:val="TableGrid"/>
        <w:tblW w:w="9020" w:type="dxa"/>
        <w:tblInd w:w="120" w:type="dxa"/>
        <w:tblLayout w:type="fixed"/>
        <w:tblLook w:val="04A0" w:firstRow="1" w:lastRow="0" w:firstColumn="1" w:lastColumn="0" w:noHBand="0" w:noVBand="1"/>
      </w:tblPr>
      <w:tblGrid>
        <w:gridCol w:w="2100"/>
        <w:gridCol w:w="2500"/>
        <w:gridCol w:w="4420"/>
      </w:tblGrid>
      <w:tr w:rsidR="00764D9A" w:rsidRPr="00E546C7" w14:paraId="5924FA02" w14:textId="77777777" w:rsidTr="00B11AF1">
        <w:trPr>
          <w:cantSplit/>
          <w:tblHeader/>
        </w:trPr>
        <w:tc>
          <w:tcPr>
            <w:tcW w:w="2100" w:type="dxa"/>
            <w:shd w:val="clear" w:color="auto" w:fill="17365D"/>
            <w:tcMar>
              <w:top w:w="80" w:type="dxa"/>
              <w:left w:w="120" w:type="dxa"/>
              <w:bottom w:w="80" w:type="dxa"/>
              <w:right w:w="120" w:type="dxa"/>
            </w:tcMar>
            <w:vAlign w:val="center"/>
          </w:tcPr>
          <w:p w14:paraId="0374C22F" w14:textId="77777777" w:rsidR="00764D9A" w:rsidRPr="00E546C7" w:rsidRDefault="00764D9A" w:rsidP="00B11AF1">
            <w:pPr>
              <w:pStyle w:val="TableHeader"/>
              <w:rPr>
                <w:rFonts w:cs="Times New Roman"/>
              </w:rPr>
            </w:pPr>
            <w:r w:rsidRPr="00E546C7">
              <w:rPr>
                <w:rFonts w:eastAsia="Times New Roman" w:cs="Times New Roman"/>
                <w:b/>
                <w:sz w:val="18"/>
              </w:rPr>
              <w:t>Construct / Item</w:t>
            </w:r>
          </w:p>
        </w:tc>
        <w:tc>
          <w:tcPr>
            <w:tcW w:w="2500" w:type="dxa"/>
            <w:shd w:val="clear" w:color="auto" w:fill="17365D"/>
            <w:tcMar>
              <w:top w:w="80" w:type="dxa"/>
              <w:left w:w="120" w:type="dxa"/>
              <w:bottom w:w="80" w:type="dxa"/>
              <w:right w:w="120" w:type="dxa"/>
            </w:tcMar>
            <w:vAlign w:val="center"/>
          </w:tcPr>
          <w:p w14:paraId="314A29DE" w14:textId="77777777" w:rsidR="00764D9A" w:rsidRPr="00E546C7" w:rsidRDefault="00764D9A" w:rsidP="00B11AF1">
            <w:pPr>
              <w:pStyle w:val="TableHeader"/>
              <w:rPr>
                <w:rFonts w:cs="Times New Roman"/>
              </w:rPr>
            </w:pPr>
            <w:proofErr w:type="spellStart"/>
            <w:r w:rsidRPr="00E546C7">
              <w:rPr>
                <w:rFonts w:eastAsia="Times New Roman" w:cs="Times New Roman"/>
                <w:b/>
                <w:sz w:val="18"/>
              </w:rPr>
              <w:t>Operationalisation</w:t>
            </w:r>
            <w:proofErr w:type="spellEnd"/>
          </w:p>
        </w:tc>
        <w:tc>
          <w:tcPr>
            <w:tcW w:w="4420" w:type="dxa"/>
            <w:shd w:val="clear" w:color="auto" w:fill="17365D"/>
            <w:tcMar>
              <w:top w:w="80" w:type="dxa"/>
              <w:left w:w="120" w:type="dxa"/>
              <w:bottom w:w="80" w:type="dxa"/>
              <w:right w:w="120" w:type="dxa"/>
            </w:tcMar>
            <w:vAlign w:val="center"/>
          </w:tcPr>
          <w:p w14:paraId="0534E43F" w14:textId="77777777" w:rsidR="00764D9A" w:rsidRPr="00E546C7" w:rsidRDefault="00764D9A" w:rsidP="00B11AF1">
            <w:pPr>
              <w:pStyle w:val="TableHeader"/>
              <w:rPr>
                <w:rFonts w:cs="Times New Roman"/>
              </w:rPr>
            </w:pPr>
            <w:r w:rsidRPr="00E546C7">
              <w:rPr>
                <w:rFonts w:eastAsia="Times New Roman" w:cs="Times New Roman"/>
                <w:b/>
                <w:sz w:val="18"/>
              </w:rPr>
              <w:t>Rationale</w:t>
            </w:r>
          </w:p>
        </w:tc>
      </w:tr>
      <w:tr w:rsidR="00764D9A" w:rsidRPr="00E546C7" w14:paraId="4B65DF9D" w14:textId="77777777" w:rsidTr="00B11AF1">
        <w:trPr>
          <w:cantSplit/>
        </w:trPr>
        <w:tc>
          <w:tcPr>
            <w:tcW w:w="2100" w:type="dxa"/>
            <w:tcMar>
              <w:top w:w="80" w:type="dxa"/>
              <w:left w:w="120" w:type="dxa"/>
              <w:bottom w:w="80" w:type="dxa"/>
              <w:right w:w="120" w:type="dxa"/>
            </w:tcMar>
            <w:vAlign w:val="center"/>
          </w:tcPr>
          <w:p w14:paraId="7A98169C" w14:textId="77777777" w:rsidR="00764D9A" w:rsidRPr="00E546C7" w:rsidRDefault="00764D9A" w:rsidP="00B11AF1">
            <w:pPr>
              <w:pStyle w:val="TableText"/>
              <w:rPr>
                <w:rFonts w:cs="Times New Roman"/>
              </w:rPr>
            </w:pPr>
            <w:r w:rsidRPr="00E546C7">
              <w:rPr>
                <w:rFonts w:eastAsia="Times New Roman" w:cs="Times New Roman"/>
                <w:sz w:val="18"/>
              </w:rPr>
              <w:t>Perceived IMC</w:t>
            </w:r>
          </w:p>
        </w:tc>
        <w:tc>
          <w:tcPr>
            <w:tcW w:w="2500" w:type="dxa"/>
            <w:tcMar>
              <w:top w:w="80" w:type="dxa"/>
              <w:left w:w="120" w:type="dxa"/>
              <w:bottom w:w="80" w:type="dxa"/>
              <w:right w:w="120" w:type="dxa"/>
            </w:tcMar>
            <w:vAlign w:val="center"/>
          </w:tcPr>
          <w:p w14:paraId="37A8507D" w14:textId="77777777" w:rsidR="00764D9A" w:rsidRPr="00E546C7" w:rsidRDefault="00764D9A" w:rsidP="00B11AF1">
            <w:pPr>
              <w:pStyle w:val="TableText"/>
              <w:jc w:val="center"/>
              <w:rPr>
                <w:rFonts w:cs="Times New Roman"/>
              </w:rPr>
            </w:pPr>
            <w:r w:rsidRPr="00E546C7">
              <w:rPr>
                <w:rFonts w:eastAsia="Times New Roman" w:cs="Times New Roman"/>
                <w:sz w:val="18"/>
              </w:rPr>
              <w:t>Q3 and Q4</w:t>
            </w:r>
          </w:p>
        </w:tc>
        <w:tc>
          <w:tcPr>
            <w:tcW w:w="4420" w:type="dxa"/>
            <w:tcMar>
              <w:top w:w="80" w:type="dxa"/>
              <w:left w:w="120" w:type="dxa"/>
              <w:bottom w:w="80" w:type="dxa"/>
              <w:right w:w="120" w:type="dxa"/>
            </w:tcMar>
            <w:vAlign w:val="center"/>
          </w:tcPr>
          <w:p w14:paraId="4F24A1F4" w14:textId="77777777" w:rsidR="00764D9A" w:rsidRPr="00E546C7" w:rsidRDefault="00764D9A" w:rsidP="00B11AF1">
            <w:pPr>
              <w:pStyle w:val="TableText"/>
              <w:rPr>
                <w:rFonts w:cs="Times New Roman"/>
              </w:rPr>
            </w:pPr>
            <w:r w:rsidRPr="00E546C7">
              <w:rPr>
                <w:rFonts w:eastAsia="Times New Roman" w:cs="Times New Roman"/>
                <w:sz w:val="18"/>
              </w:rPr>
              <w:t>Retains predictor separation from outcomes; Q4 remains a compound-item limitation.</w:t>
            </w:r>
          </w:p>
        </w:tc>
      </w:tr>
      <w:tr w:rsidR="00764D9A" w:rsidRPr="00E546C7" w14:paraId="2B90715F" w14:textId="77777777" w:rsidTr="00B11AF1">
        <w:trPr>
          <w:cantSplit/>
        </w:trPr>
        <w:tc>
          <w:tcPr>
            <w:tcW w:w="2100" w:type="dxa"/>
            <w:shd w:val="clear" w:color="auto" w:fill="F2F4F7"/>
            <w:tcMar>
              <w:top w:w="80" w:type="dxa"/>
              <w:left w:w="120" w:type="dxa"/>
              <w:bottom w:w="80" w:type="dxa"/>
              <w:right w:w="120" w:type="dxa"/>
            </w:tcMar>
            <w:vAlign w:val="center"/>
          </w:tcPr>
          <w:p w14:paraId="1E4058F0" w14:textId="77777777" w:rsidR="00764D9A" w:rsidRPr="00E546C7" w:rsidRDefault="00764D9A" w:rsidP="00B11AF1">
            <w:pPr>
              <w:pStyle w:val="TableText"/>
              <w:rPr>
                <w:rFonts w:cs="Times New Roman"/>
              </w:rPr>
            </w:pPr>
            <w:r w:rsidRPr="00E546C7">
              <w:rPr>
                <w:rFonts w:eastAsia="Times New Roman" w:cs="Times New Roman"/>
                <w:sz w:val="18"/>
              </w:rPr>
              <w:t>H1 outcome</w:t>
            </w:r>
          </w:p>
        </w:tc>
        <w:tc>
          <w:tcPr>
            <w:tcW w:w="2500" w:type="dxa"/>
            <w:shd w:val="clear" w:color="auto" w:fill="F2F4F7"/>
            <w:tcMar>
              <w:top w:w="80" w:type="dxa"/>
              <w:left w:w="120" w:type="dxa"/>
              <w:bottom w:w="80" w:type="dxa"/>
              <w:right w:w="120" w:type="dxa"/>
            </w:tcMar>
            <w:vAlign w:val="center"/>
          </w:tcPr>
          <w:p w14:paraId="25A0ACEE" w14:textId="77777777" w:rsidR="00764D9A" w:rsidRPr="00E546C7" w:rsidRDefault="00764D9A" w:rsidP="00B11AF1">
            <w:pPr>
              <w:pStyle w:val="TableText"/>
              <w:jc w:val="center"/>
              <w:rPr>
                <w:rFonts w:cs="Times New Roman"/>
              </w:rPr>
            </w:pPr>
            <w:r w:rsidRPr="00E546C7">
              <w:rPr>
                <w:rFonts w:eastAsia="Times New Roman" w:cs="Times New Roman"/>
                <w:sz w:val="18"/>
              </w:rPr>
              <w:t>Q5 and Q6</w:t>
            </w:r>
          </w:p>
        </w:tc>
        <w:tc>
          <w:tcPr>
            <w:tcW w:w="4420" w:type="dxa"/>
            <w:shd w:val="clear" w:color="auto" w:fill="F2F4F7"/>
            <w:tcMar>
              <w:top w:w="80" w:type="dxa"/>
              <w:left w:w="120" w:type="dxa"/>
              <w:bottom w:w="80" w:type="dxa"/>
              <w:right w:w="120" w:type="dxa"/>
            </w:tcMar>
            <w:vAlign w:val="center"/>
          </w:tcPr>
          <w:p w14:paraId="2016F3B7" w14:textId="77777777" w:rsidR="00764D9A" w:rsidRPr="00E546C7" w:rsidRDefault="00764D9A" w:rsidP="00B11AF1">
            <w:pPr>
              <w:pStyle w:val="TableText"/>
              <w:rPr>
                <w:rFonts w:cs="Times New Roman"/>
              </w:rPr>
            </w:pPr>
            <w:r w:rsidRPr="00E546C7">
              <w:rPr>
                <w:rFonts w:eastAsia="Times New Roman" w:cs="Times New Roman"/>
                <w:sz w:val="18"/>
              </w:rPr>
              <w:t>Captures affective attitude and conative purchase intention; reliability α = .713.</w:t>
            </w:r>
          </w:p>
        </w:tc>
      </w:tr>
      <w:tr w:rsidR="00764D9A" w:rsidRPr="00E546C7" w14:paraId="3519E002" w14:textId="77777777" w:rsidTr="00B11AF1">
        <w:trPr>
          <w:cantSplit/>
        </w:trPr>
        <w:tc>
          <w:tcPr>
            <w:tcW w:w="2100" w:type="dxa"/>
            <w:tcMar>
              <w:top w:w="80" w:type="dxa"/>
              <w:left w:w="120" w:type="dxa"/>
              <w:bottom w:w="80" w:type="dxa"/>
              <w:right w:w="120" w:type="dxa"/>
            </w:tcMar>
            <w:vAlign w:val="center"/>
          </w:tcPr>
          <w:p w14:paraId="5F5A24B3" w14:textId="77777777" w:rsidR="00764D9A" w:rsidRPr="00E546C7" w:rsidRDefault="00764D9A" w:rsidP="00B11AF1">
            <w:pPr>
              <w:pStyle w:val="TableText"/>
              <w:rPr>
                <w:rFonts w:cs="Times New Roman"/>
              </w:rPr>
            </w:pPr>
            <w:r w:rsidRPr="00E546C7">
              <w:rPr>
                <w:rFonts w:eastAsia="Times New Roman" w:cs="Times New Roman"/>
                <w:sz w:val="18"/>
              </w:rPr>
              <w:t>Q9</w:t>
            </w:r>
          </w:p>
        </w:tc>
        <w:tc>
          <w:tcPr>
            <w:tcW w:w="2500" w:type="dxa"/>
            <w:tcMar>
              <w:top w:w="80" w:type="dxa"/>
              <w:left w:w="120" w:type="dxa"/>
              <w:bottom w:w="80" w:type="dxa"/>
              <w:right w:w="120" w:type="dxa"/>
            </w:tcMar>
            <w:vAlign w:val="center"/>
          </w:tcPr>
          <w:p w14:paraId="203EC30B" w14:textId="77777777" w:rsidR="00764D9A" w:rsidRPr="00E546C7" w:rsidRDefault="00764D9A" w:rsidP="00B11AF1">
            <w:pPr>
              <w:pStyle w:val="TableText"/>
              <w:rPr>
                <w:rFonts w:cs="Times New Roman"/>
              </w:rPr>
            </w:pPr>
            <w:r w:rsidRPr="00E546C7">
              <w:rPr>
                <w:rFonts w:eastAsia="Times New Roman" w:cs="Times New Roman"/>
                <w:sz w:val="18"/>
              </w:rPr>
              <w:t>Not included in H1 composite</w:t>
            </w:r>
          </w:p>
        </w:tc>
        <w:tc>
          <w:tcPr>
            <w:tcW w:w="4420" w:type="dxa"/>
            <w:tcMar>
              <w:top w:w="80" w:type="dxa"/>
              <w:left w:w="120" w:type="dxa"/>
              <w:bottom w:w="80" w:type="dxa"/>
              <w:right w:w="120" w:type="dxa"/>
            </w:tcMar>
            <w:vAlign w:val="center"/>
          </w:tcPr>
          <w:p w14:paraId="22CD3292" w14:textId="77777777" w:rsidR="00764D9A" w:rsidRPr="00E546C7" w:rsidRDefault="00764D9A" w:rsidP="00B11AF1">
            <w:pPr>
              <w:pStyle w:val="TableText"/>
              <w:rPr>
                <w:rFonts w:cs="Times New Roman"/>
              </w:rPr>
            </w:pPr>
            <w:r w:rsidRPr="00E546C7">
              <w:rPr>
                <w:rFonts w:eastAsia="Times New Roman" w:cs="Times New Roman"/>
                <w:sz w:val="18"/>
              </w:rPr>
              <w:t>Statement embeds predictor and outcomes; used only as descriptive corroboration.</w:t>
            </w:r>
          </w:p>
        </w:tc>
      </w:tr>
      <w:tr w:rsidR="00764D9A" w:rsidRPr="00E546C7" w14:paraId="5B580267" w14:textId="77777777" w:rsidTr="00B11AF1">
        <w:trPr>
          <w:cantSplit/>
        </w:trPr>
        <w:tc>
          <w:tcPr>
            <w:tcW w:w="2100" w:type="dxa"/>
            <w:shd w:val="clear" w:color="auto" w:fill="F2F4F7"/>
            <w:tcMar>
              <w:top w:w="80" w:type="dxa"/>
              <w:left w:w="120" w:type="dxa"/>
              <w:bottom w:w="80" w:type="dxa"/>
              <w:right w:w="120" w:type="dxa"/>
            </w:tcMar>
            <w:vAlign w:val="center"/>
          </w:tcPr>
          <w:p w14:paraId="3CB385D1" w14:textId="77777777" w:rsidR="00764D9A" w:rsidRPr="00E546C7" w:rsidRDefault="00764D9A" w:rsidP="00B11AF1">
            <w:pPr>
              <w:pStyle w:val="TableText"/>
              <w:rPr>
                <w:rFonts w:cs="Times New Roman"/>
              </w:rPr>
            </w:pPr>
            <w:r w:rsidRPr="00E546C7">
              <w:rPr>
                <w:rFonts w:eastAsia="Times New Roman" w:cs="Times New Roman"/>
                <w:sz w:val="18"/>
              </w:rPr>
              <w:t>H2 outcome</w:t>
            </w:r>
          </w:p>
        </w:tc>
        <w:tc>
          <w:tcPr>
            <w:tcW w:w="2500" w:type="dxa"/>
            <w:shd w:val="clear" w:color="auto" w:fill="F2F4F7"/>
            <w:tcMar>
              <w:top w:w="80" w:type="dxa"/>
              <w:left w:w="120" w:type="dxa"/>
              <w:bottom w:w="80" w:type="dxa"/>
              <w:right w:w="120" w:type="dxa"/>
            </w:tcMar>
            <w:vAlign w:val="center"/>
          </w:tcPr>
          <w:p w14:paraId="4E217BA4" w14:textId="77777777" w:rsidR="00764D9A" w:rsidRPr="00E546C7" w:rsidRDefault="00764D9A" w:rsidP="00B11AF1">
            <w:pPr>
              <w:pStyle w:val="TableText"/>
              <w:jc w:val="center"/>
              <w:rPr>
                <w:rFonts w:cs="Times New Roman"/>
              </w:rPr>
            </w:pPr>
            <w:r w:rsidRPr="00E546C7">
              <w:rPr>
                <w:rFonts w:eastAsia="Times New Roman" w:cs="Times New Roman"/>
                <w:sz w:val="18"/>
              </w:rPr>
              <w:t>Q10</w:t>
            </w:r>
          </w:p>
        </w:tc>
        <w:tc>
          <w:tcPr>
            <w:tcW w:w="4420" w:type="dxa"/>
            <w:shd w:val="clear" w:color="auto" w:fill="F2F4F7"/>
            <w:tcMar>
              <w:top w:w="80" w:type="dxa"/>
              <w:left w:w="120" w:type="dxa"/>
              <w:bottom w:w="80" w:type="dxa"/>
              <w:right w:w="120" w:type="dxa"/>
            </w:tcMar>
            <w:vAlign w:val="center"/>
          </w:tcPr>
          <w:p w14:paraId="75911ED0" w14:textId="77777777" w:rsidR="00764D9A" w:rsidRPr="00E546C7" w:rsidRDefault="00764D9A" w:rsidP="00B11AF1">
            <w:pPr>
              <w:pStyle w:val="TableText"/>
              <w:rPr>
                <w:rFonts w:cs="Times New Roman"/>
              </w:rPr>
            </w:pPr>
            <w:r w:rsidRPr="00E546C7">
              <w:rPr>
                <w:rFonts w:eastAsia="Times New Roman" w:cs="Times New Roman"/>
                <w:sz w:val="18"/>
              </w:rPr>
              <w:t>Only available loyalty item; internal consistency cannot be estimated.</w:t>
            </w:r>
          </w:p>
        </w:tc>
      </w:tr>
      <w:tr w:rsidR="00764D9A" w:rsidRPr="00E546C7" w14:paraId="4E143512" w14:textId="77777777" w:rsidTr="00B11AF1">
        <w:trPr>
          <w:cantSplit/>
        </w:trPr>
        <w:tc>
          <w:tcPr>
            <w:tcW w:w="2100" w:type="dxa"/>
            <w:tcMar>
              <w:top w:w="80" w:type="dxa"/>
              <w:left w:w="120" w:type="dxa"/>
              <w:bottom w:w="80" w:type="dxa"/>
              <w:right w:w="120" w:type="dxa"/>
            </w:tcMar>
            <w:vAlign w:val="center"/>
          </w:tcPr>
          <w:p w14:paraId="5A611863" w14:textId="77777777" w:rsidR="00764D9A" w:rsidRPr="00E546C7" w:rsidRDefault="00764D9A" w:rsidP="00B11AF1">
            <w:pPr>
              <w:pStyle w:val="TableText"/>
              <w:rPr>
                <w:rFonts w:cs="Times New Roman"/>
              </w:rPr>
            </w:pPr>
            <w:r w:rsidRPr="00E546C7">
              <w:rPr>
                <w:rFonts w:eastAsia="Times New Roman" w:cs="Times New Roman"/>
                <w:sz w:val="18"/>
              </w:rPr>
              <w:t>Q7 and Q8</w:t>
            </w:r>
          </w:p>
        </w:tc>
        <w:tc>
          <w:tcPr>
            <w:tcW w:w="2500" w:type="dxa"/>
            <w:tcMar>
              <w:top w:w="80" w:type="dxa"/>
              <w:left w:w="120" w:type="dxa"/>
              <w:bottom w:w="80" w:type="dxa"/>
              <w:right w:w="120" w:type="dxa"/>
            </w:tcMar>
            <w:vAlign w:val="center"/>
          </w:tcPr>
          <w:p w14:paraId="59F1682D" w14:textId="77777777" w:rsidR="00764D9A" w:rsidRPr="00E546C7" w:rsidRDefault="00764D9A" w:rsidP="00B11AF1">
            <w:pPr>
              <w:pStyle w:val="TableText"/>
              <w:rPr>
                <w:rFonts w:cs="Times New Roman"/>
              </w:rPr>
            </w:pPr>
            <w:r w:rsidRPr="00E546C7">
              <w:rPr>
                <w:rFonts w:eastAsia="Times New Roman" w:cs="Times New Roman"/>
                <w:sz w:val="18"/>
              </w:rPr>
              <w:t>Nominal contextual items</w:t>
            </w:r>
          </w:p>
        </w:tc>
        <w:tc>
          <w:tcPr>
            <w:tcW w:w="4420" w:type="dxa"/>
            <w:tcMar>
              <w:top w:w="80" w:type="dxa"/>
              <w:left w:w="120" w:type="dxa"/>
              <w:bottom w:w="80" w:type="dxa"/>
              <w:right w:w="120" w:type="dxa"/>
            </w:tcMar>
            <w:vAlign w:val="center"/>
          </w:tcPr>
          <w:p w14:paraId="1D367ADD" w14:textId="77777777" w:rsidR="00764D9A" w:rsidRPr="00E546C7" w:rsidRDefault="00764D9A" w:rsidP="00B11AF1">
            <w:pPr>
              <w:pStyle w:val="TableText"/>
              <w:rPr>
                <w:rFonts w:cs="Times New Roman"/>
              </w:rPr>
            </w:pPr>
            <w:r w:rsidRPr="00E546C7">
              <w:rPr>
                <w:rFonts w:eastAsia="Times New Roman" w:cs="Times New Roman"/>
                <w:sz w:val="18"/>
              </w:rPr>
              <w:t>Used to interpret channel preference and transactional repurchase motivation; excluded from correlations.</w:t>
            </w:r>
          </w:p>
        </w:tc>
      </w:tr>
    </w:tbl>
    <w:p w14:paraId="7844C3A2" w14:textId="77777777" w:rsidR="00764D9A" w:rsidRPr="00E546C7" w:rsidRDefault="00764D9A" w:rsidP="00764D9A">
      <w:pPr>
        <w:pStyle w:val="SourceNote"/>
        <w:rPr>
          <w:rFonts w:cs="Times New Roman"/>
        </w:rPr>
      </w:pPr>
      <w:r w:rsidRPr="00E546C7">
        <w:rPr>
          <w:rFonts w:eastAsia="Times New Roman" w:cs="Times New Roman"/>
        </w:rPr>
        <w:t>Source: Researcher’s analytical protocol.</w:t>
      </w:r>
    </w:p>
    <w:p w14:paraId="011224BA" w14:textId="77777777" w:rsidR="00764D9A" w:rsidRPr="00E546C7" w:rsidRDefault="00764D9A" w:rsidP="00764D9A">
      <w:pPr>
        <w:pStyle w:val="Heading1"/>
        <w:pageBreakBefore/>
        <w:rPr>
          <w:rFonts w:cs="Times New Roman"/>
        </w:rPr>
      </w:pPr>
      <w:bookmarkStart w:id="90" w:name="_Toc239819745"/>
      <w:r w:rsidRPr="00E546C7">
        <w:rPr>
          <w:rFonts w:cs="Times New Roman"/>
        </w:rPr>
        <w:t>Appendix D: Detailed Statistical Output and Decision Rules</w:t>
      </w:r>
      <w:bookmarkEnd w:id="90"/>
    </w:p>
    <w:p w14:paraId="3017A540" w14:textId="77777777" w:rsidR="00764D9A" w:rsidRPr="00E546C7" w:rsidRDefault="00764D9A" w:rsidP="00764D9A">
      <w:r w:rsidRPr="00E546C7">
        <w:t>Spearman’s rank correlation was designated as the primary test because Likert responses are ordinal and several distributions were concentrated near agreement. Statistical significance was assessed at p &lt; .05, with 5,000 percentile bootstrap resamples used to express uncertainty. Standardised ordinary least-squares models with HC3 standard errors were retained only as robustness checks.</w:t>
      </w:r>
    </w:p>
    <w:p w14:paraId="162B4C24" w14:textId="77777777" w:rsidR="00764D9A" w:rsidRPr="00E546C7" w:rsidRDefault="00764D9A" w:rsidP="00764D9A">
      <w:pPr>
        <w:pStyle w:val="Caption"/>
        <w:jc w:val="left"/>
        <w:rPr>
          <w:rFonts w:cs="Times New Roman"/>
        </w:rPr>
      </w:pPr>
      <w:r w:rsidRPr="00E546C7">
        <w:rPr>
          <w:rFonts w:eastAsia="Times New Roman" w:cs="Times New Roman"/>
          <w:color w:val="1F2933"/>
        </w:rPr>
        <w:t>Table D1: Detailed Correlation Output</w:t>
      </w:r>
    </w:p>
    <w:tbl>
      <w:tblPr>
        <w:tblStyle w:val="TableGrid"/>
        <w:tblW w:w="9020" w:type="dxa"/>
        <w:tblInd w:w="120" w:type="dxa"/>
        <w:tblLayout w:type="fixed"/>
        <w:tblLook w:val="04A0" w:firstRow="1" w:lastRow="0" w:firstColumn="1" w:lastColumn="0" w:noHBand="0" w:noVBand="1"/>
      </w:tblPr>
      <w:tblGrid>
        <w:gridCol w:w="3300"/>
        <w:gridCol w:w="650"/>
        <w:gridCol w:w="1400"/>
        <w:gridCol w:w="1350"/>
        <w:gridCol w:w="2320"/>
      </w:tblGrid>
      <w:tr w:rsidR="00764D9A" w:rsidRPr="00E546C7" w14:paraId="6A47ED4F" w14:textId="77777777" w:rsidTr="00B11AF1">
        <w:trPr>
          <w:cantSplit/>
          <w:tblHeader/>
        </w:trPr>
        <w:tc>
          <w:tcPr>
            <w:tcW w:w="3300" w:type="dxa"/>
            <w:shd w:val="clear" w:color="auto" w:fill="17365D"/>
            <w:tcMar>
              <w:top w:w="80" w:type="dxa"/>
              <w:left w:w="120" w:type="dxa"/>
              <w:bottom w:w="80" w:type="dxa"/>
              <w:right w:w="120" w:type="dxa"/>
            </w:tcMar>
            <w:vAlign w:val="center"/>
          </w:tcPr>
          <w:p w14:paraId="1614AF6D" w14:textId="77777777" w:rsidR="00764D9A" w:rsidRPr="00E546C7" w:rsidRDefault="00764D9A" w:rsidP="00B11AF1">
            <w:pPr>
              <w:pStyle w:val="TableHeader"/>
              <w:rPr>
                <w:rFonts w:cs="Times New Roman"/>
              </w:rPr>
            </w:pPr>
            <w:r w:rsidRPr="00E546C7">
              <w:rPr>
                <w:rFonts w:eastAsia="Times New Roman" w:cs="Times New Roman"/>
                <w:b/>
                <w:sz w:val="17"/>
              </w:rPr>
              <w:t>Relationship</w:t>
            </w:r>
          </w:p>
        </w:tc>
        <w:tc>
          <w:tcPr>
            <w:tcW w:w="650" w:type="dxa"/>
            <w:shd w:val="clear" w:color="auto" w:fill="17365D"/>
            <w:tcMar>
              <w:top w:w="80" w:type="dxa"/>
              <w:left w:w="120" w:type="dxa"/>
              <w:bottom w:w="80" w:type="dxa"/>
              <w:right w:w="120" w:type="dxa"/>
            </w:tcMar>
            <w:vAlign w:val="center"/>
          </w:tcPr>
          <w:p w14:paraId="329A961E" w14:textId="77777777" w:rsidR="00764D9A" w:rsidRPr="00E546C7" w:rsidRDefault="00764D9A" w:rsidP="00B11AF1">
            <w:pPr>
              <w:pStyle w:val="TableHeader"/>
              <w:rPr>
                <w:rFonts w:cs="Times New Roman"/>
              </w:rPr>
            </w:pPr>
            <w:r w:rsidRPr="00E546C7">
              <w:rPr>
                <w:rFonts w:eastAsia="Times New Roman" w:cs="Times New Roman"/>
                <w:b/>
                <w:sz w:val="17"/>
              </w:rPr>
              <w:t>n</w:t>
            </w:r>
          </w:p>
        </w:tc>
        <w:tc>
          <w:tcPr>
            <w:tcW w:w="1400" w:type="dxa"/>
            <w:shd w:val="clear" w:color="auto" w:fill="17365D"/>
            <w:tcMar>
              <w:top w:w="80" w:type="dxa"/>
              <w:left w:w="120" w:type="dxa"/>
              <w:bottom w:w="80" w:type="dxa"/>
              <w:right w:w="120" w:type="dxa"/>
            </w:tcMar>
            <w:vAlign w:val="center"/>
          </w:tcPr>
          <w:p w14:paraId="6F7DD0DA" w14:textId="77777777" w:rsidR="00764D9A" w:rsidRPr="00E546C7" w:rsidRDefault="00764D9A" w:rsidP="00B11AF1">
            <w:pPr>
              <w:pStyle w:val="TableHeader"/>
              <w:rPr>
                <w:rFonts w:cs="Times New Roman"/>
              </w:rPr>
            </w:pPr>
            <w:r w:rsidRPr="00E546C7">
              <w:rPr>
                <w:rFonts w:eastAsia="Times New Roman" w:cs="Times New Roman"/>
                <w:b/>
                <w:sz w:val="17"/>
              </w:rPr>
              <w:t>Spearman ρ</w:t>
            </w:r>
          </w:p>
        </w:tc>
        <w:tc>
          <w:tcPr>
            <w:tcW w:w="1350" w:type="dxa"/>
            <w:shd w:val="clear" w:color="auto" w:fill="17365D"/>
            <w:tcMar>
              <w:top w:w="80" w:type="dxa"/>
              <w:left w:w="120" w:type="dxa"/>
              <w:bottom w:w="80" w:type="dxa"/>
              <w:right w:w="120" w:type="dxa"/>
            </w:tcMar>
            <w:vAlign w:val="center"/>
          </w:tcPr>
          <w:p w14:paraId="48C23C7C" w14:textId="77777777" w:rsidR="00764D9A" w:rsidRPr="00E546C7" w:rsidRDefault="00764D9A" w:rsidP="00B11AF1">
            <w:pPr>
              <w:pStyle w:val="TableHeader"/>
              <w:rPr>
                <w:rFonts w:cs="Times New Roman"/>
              </w:rPr>
            </w:pPr>
            <w:r w:rsidRPr="00E546C7">
              <w:rPr>
                <w:rFonts w:eastAsia="Times New Roman" w:cs="Times New Roman"/>
                <w:b/>
                <w:sz w:val="17"/>
              </w:rPr>
              <w:t>Exact p</w:t>
            </w:r>
          </w:p>
        </w:tc>
        <w:tc>
          <w:tcPr>
            <w:tcW w:w="2320" w:type="dxa"/>
            <w:shd w:val="clear" w:color="auto" w:fill="17365D"/>
            <w:tcMar>
              <w:top w:w="80" w:type="dxa"/>
              <w:left w:w="120" w:type="dxa"/>
              <w:bottom w:w="80" w:type="dxa"/>
              <w:right w:w="120" w:type="dxa"/>
            </w:tcMar>
            <w:vAlign w:val="center"/>
          </w:tcPr>
          <w:p w14:paraId="5E9737E3" w14:textId="77777777" w:rsidR="00764D9A" w:rsidRPr="00E546C7" w:rsidRDefault="00764D9A" w:rsidP="00B11AF1">
            <w:pPr>
              <w:pStyle w:val="TableHeader"/>
              <w:rPr>
                <w:rFonts w:cs="Times New Roman"/>
              </w:rPr>
            </w:pPr>
            <w:r w:rsidRPr="00E546C7">
              <w:rPr>
                <w:rFonts w:eastAsia="Times New Roman" w:cs="Times New Roman"/>
                <w:b/>
                <w:sz w:val="17"/>
              </w:rPr>
              <w:t>Bootstrap 95% CI</w:t>
            </w:r>
          </w:p>
        </w:tc>
      </w:tr>
      <w:tr w:rsidR="00764D9A" w:rsidRPr="00E546C7" w14:paraId="47D773FE" w14:textId="77777777" w:rsidTr="00B11AF1">
        <w:trPr>
          <w:cantSplit/>
        </w:trPr>
        <w:tc>
          <w:tcPr>
            <w:tcW w:w="3300" w:type="dxa"/>
            <w:tcMar>
              <w:top w:w="80" w:type="dxa"/>
              <w:left w:w="120" w:type="dxa"/>
              <w:bottom w:w="80" w:type="dxa"/>
              <w:right w:w="120" w:type="dxa"/>
            </w:tcMar>
            <w:vAlign w:val="center"/>
          </w:tcPr>
          <w:p w14:paraId="6467D47A" w14:textId="77777777" w:rsidR="00764D9A" w:rsidRPr="00E546C7" w:rsidRDefault="00764D9A" w:rsidP="00B11AF1">
            <w:pPr>
              <w:pStyle w:val="TableText"/>
              <w:rPr>
                <w:rFonts w:cs="Times New Roman"/>
              </w:rPr>
            </w:pPr>
            <w:r w:rsidRPr="00E546C7">
              <w:rPr>
                <w:rFonts w:eastAsia="Times New Roman" w:cs="Times New Roman"/>
                <w:sz w:val="17"/>
              </w:rPr>
              <w:t>Perceived IMC → attitude</w:t>
            </w:r>
          </w:p>
        </w:tc>
        <w:tc>
          <w:tcPr>
            <w:tcW w:w="650" w:type="dxa"/>
            <w:tcMar>
              <w:top w:w="80" w:type="dxa"/>
              <w:left w:w="120" w:type="dxa"/>
              <w:bottom w:w="80" w:type="dxa"/>
              <w:right w:w="120" w:type="dxa"/>
            </w:tcMar>
            <w:vAlign w:val="center"/>
          </w:tcPr>
          <w:p w14:paraId="7E4F31EB" w14:textId="77777777" w:rsidR="00764D9A" w:rsidRPr="00E546C7" w:rsidRDefault="00764D9A" w:rsidP="00B11AF1">
            <w:pPr>
              <w:pStyle w:val="TableText"/>
              <w:jc w:val="center"/>
              <w:rPr>
                <w:rFonts w:cs="Times New Roman"/>
              </w:rPr>
            </w:pPr>
            <w:r w:rsidRPr="00E546C7">
              <w:rPr>
                <w:rFonts w:eastAsia="Times New Roman" w:cs="Times New Roman"/>
                <w:sz w:val="17"/>
              </w:rPr>
              <w:t>50</w:t>
            </w:r>
          </w:p>
        </w:tc>
        <w:tc>
          <w:tcPr>
            <w:tcW w:w="1400" w:type="dxa"/>
            <w:tcMar>
              <w:top w:w="80" w:type="dxa"/>
              <w:left w:w="120" w:type="dxa"/>
              <w:bottom w:w="80" w:type="dxa"/>
              <w:right w:w="120" w:type="dxa"/>
            </w:tcMar>
            <w:vAlign w:val="center"/>
          </w:tcPr>
          <w:p w14:paraId="3F3B1043" w14:textId="77777777" w:rsidR="00764D9A" w:rsidRPr="00E546C7" w:rsidRDefault="00764D9A" w:rsidP="00B11AF1">
            <w:pPr>
              <w:pStyle w:val="TableText"/>
              <w:jc w:val="center"/>
              <w:rPr>
                <w:rFonts w:cs="Times New Roman"/>
              </w:rPr>
            </w:pPr>
            <w:r w:rsidRPr="00E546C7">
              <w:rPr>
                <w:rFonts w:eastAsia="Times New Roman" w:cs="Times New Roman"/>
                <w:sz w:val="17"/>
              </w:rPr>
              <w:t>0.522851</w:t>
            </w:r>
          </w:p>
        </w:tc>
        <w:tc>
          <w:tcPr>
            <w:tcW w:w="1350" w:type="dxa"/>
            <w:tcMar>
              <w:top w:w="80" w:type="dxa"/>
              <w:left w:w="120" w:type="dxa"/>
              <w:bottom w:w="80" w:type="dxa"/>
              <w:right w:w="120" w:type="dxa"/>
            </w:tcMar>
            <w:vAlign w:val="center"/>
          </w:tcPr>
          <w:p w14:paraId="57EBB8F9" w14:textId="77777777" w:rsidR="00764D9A" w:rsidRPr="00E546C7" w:rsidRDefault="00764D9A" w:rsidP="00B11AF1">
            <w:pPr>
              <w:pStyle w:val="TableText"/>
              <w:jc w:val="center"/>
              <w:rPr>
                <w:rFonts w:cs="Times New Roman"/>
              </w:rPr>
            </w:pPr>
            <w:r w:rsidRPr="00E546C7">
              <w:rPr>
                <w:rFonts w:eastAsia="Times New Roman" w:cs="Times New Roman"/>
                <w:sz w:val="17"/>
              </w:rPr>
              <w:t>0.000098</w:t>
            </w:r>
          </w:p>
        </w:tc>
        <w:tc>
          <w:tcPr>
            <w:tcW w:w="2320" w:type="dxa"/>
            <w:tcMar>
              <w:top w:w="80" w:type="dxa"/>
              <w:left w:w="120" w:type="dxa"/>
              <w:bottom w:w="80" w:type="dxa"/>
              <w:right w:w="120" w:type="dxa"/>
            </w:tcMar>
            <w:vAlign w:val="center"/>
          </w:tcPr>
          <w:p w14:paraId="0924121C" w14:textId="77777777" w:rsidR="00764D9A" w:rsidRPr="00E546C7" w:rsidRDefault="00764D9A" w:rsidP="00B11AF1">
            <w:pPr>
              <w:pStyle w:val="TableText"/>
              <w:rPr>
                <w:rFonts w:cs="Times New Roman"/>
              </w:rPr>
            </w:pPr>
            <w:r w:rsidRPr="00E546C7">
              <w:rPr>
                <w:rFonts w:eastAsia="Times New Roman" w:cs="Times New Roman"/>
                <w:sz w:val="17"/>
              </w:rPr>
              <w:t>[0.280729, 0.708714]</w:t>
            </w:r>
          </w:p>
        </w:tc>
      </w:tr>
      <w:tr w:rsidR="00764D9A" w:rsidRPr="00E546C7" w14:paraId="6685586A" w14:textId="77777777" w:rsidTr="00B11AF1">
        <w:trPr>
          <w:cantSplit/>
        </w:trPr>
        <w:tc>
          <w:tcPr>
            <w:tcW w:w="3300" w:type="dxa"/>
            <w:shd w:val="clear" w:color="auto" w:fill="F2F4F7"/>
            <w:tcMar>
              <w:top w:w="80" w:type="dxa"/>
              <w:left w:w="120" w:type="dxa"/>
              <w:bottom w:w="80" w:type="dxa"/>
              <w:right w:w="120" w:type="dxa"/>
            </w:tcMar>
            <w:vAlign w:val="center"/>
          </w:tcPr>
          <w:p w14:paraId="2F89BD7A" w14:textId="77777777" w:rsidR="00764D9A" w:rsidRPr="00E546C7" w:rsidRDefault="00764D9A" w:rsidP="00B11AF1">
            <w:pPr>
              <w:pStyle w:val="TableText"/>
              <w:rPr>
                <w:rFonts w:cs="Times New Roman"/>
              </w:rPr>
            </w:pPr>
            <w:r w:rsidRPr="00E546C7">
              <w:rPr>
                <w:rFonts w:eastAsia="Times New Roman" w:cs="Times New Roman"/>
                <w:sz w:val="17"/>
              </w:rPr>
              <w:t>Perceived IMC → purchase intention</w:t>
            </w:r>
          </w:p>
        </w:tc>
        <w:tc>
          <w:tcPr>
            <w:tcW w:w="650" w:type="dxa"/>
            <w:shd w:val="clear" w:color="auto" w:fill="F2F4F7"/>
            <w:tcMar>
              <w:top w:w="80" w:type="dxa"/>
              <w:left w:w="120" w:type="dxa"/>
              <w:bottom w:w="80" w:type="dxa"/>
              <w:right w:w="120" w:type="dxa"/>
            </w:tcMar>
            <w:vAlign w:val="center"/>
          </w:tcPr>
          <w:p w14:paraId="5236C1DE" w14:textId="77777777" w:rsidR="00764D9A" w:rsidRPr="00E546C7" w:rsidRDefault="00764D9A" w:rsidP="00B11AF1">
            <w:pPr>
              <w:pStyle w:val="TableText"/>
              <w:jc w:val="center"/>
              <w:rPr>
                <w:rFonts w:cs="Times New Roman"/>
              </w:rPr>
            </w:pPr>
            <w:r w:rsidRPr="00E546C7">
              <w:rPr>
                <w:rFonts w:eastAsia="Times New Roman" w:cs="Times New Roman"/>
                <w:sz w:val="17"/>
              </w:rPr>
              <w:t>50</w:t>
            </w:r>
          </w:p>
        </w:tc>
        <w:tc>
          <w:tcPr>
            <w:tcW w:w="1400" w:type="dxa"/>
            <w:shd w:val="clear" w:color="auto" w:fill="F2F4F7"/>
            <w:tcMar>
              <w:top w:w="80" w:type="dxa"/>
              <w:left w:w="120" w:type="dxa"/>
              <w:bottom w:w="80" w:type="dxa"/>
              <w:right w:w="120" w:type="dxa"/>
            </w:tcMar>
            <w:vAlign w:val="center"/>
          </w:tcPr>
          <w:p w14:paraId="19B8459B" w14:textId="77777777" w:rsidR="00764D9A" w:rsidRPr="00E546C7" w:rsidRDefault="00764D9A" w:rsidP="00B11AF1">
            <w:pPr>
              <w:pStyle w:val="TableText"/>
              <w:jc w:val="center"/>
              <w:rPr>
                <w:rFonts w:cs="Times New Roman"/>
              </w:rPr>
            </w:pPr>
            <w:r w:rsidRPr="00E546C7">
              <w:rPr>
                <w:rFonts w:eastAsia="Times New Roman" w:cs="Times New Roman"/>
                <w:sz w:val="17"/>
              </w:rPr>
              <w:t>0.500603</w:t>
            </w:r>
          </w:p>
        </w:tc>
        <w:tc>
          <w:tcPr>
            <w:tcW w:w="1350" w:type="dxa"/>
            <w:shd w:val="clear" w:color="auto" w:fill="F2F4F7"/>
            <w:tcMar>
              <w:top w:w="80" w:type="dxa"/>
              <w:left w:w="120" w:type="dxa"/>
              <w:bottom w:w="80" w:type="dxa"/>
              <w:right w:w="120" w:type="dxa"/>
            </w:tcMar>
            <w:vAlign w:val="center"/>
          </w:tcPr>
          <w:p w14:paraId="4D530A9F" w14:textId="77777777" w:rsidR="00764D9A" w:rsidRPr="00E546C7" w:rsidRDefault="00764D9A" w:rsidP="00B11AF1">
            <w:pPr>
              <w:pStyle w:val="TableText"/>
              <w:jc w:val="center"/>
              <w:rPr>
                <w:rFonts w:cs="Times New Roman"/>
              </w:rPr>
            </w:pPr>
            <w:r w:rsidRPr="00E546C7">
              <w:rPr>
                <w:rFonts w:eastAsia="Times New Roman" w:cs="Times New Roman"/>
                <w:sz w:val="17"/>
              </w:rPr>
              <w:t>0.000214</w:t>
            </w:r>
          </w:p>
        </w:tc>
        <w:tc>
          <w:tcPr>
            <w:tcW w:w="2320" w:type="dxa"/>
            <w:shd w:val="clear" w:color="auto" w:fill="F2F4F7"/>
            <w:tcMar>
              <w:top w:w="80" w:type="dxa"/>
              <w:left w:w="120" w:type="dxa"/>
              <w:bottom w:w="80" w:type="dxa"/>
              <w:right w:w="120" w:type="dxa"/>
            </w:tcMar>
            <w:vAlign w:val="center"/>
          </w:tcPr>
          <w:p w14:paraId="05CB6243" w14:textId="77777777" w:rsidR="00764D9A" w:rsidRPr="00E546C7" w:rsidRDefault="00764D9A" w:rsidP="00B11AF1">
            <w:pPr>
              <w:pStyle w:val="TableText"/>
              <w:rPr>
                <w:rFonts w:cs="Times New Roman"/>
              </w:rPr>
            </w:pPr>
            <w:r w:rsidRPr="00E546C7">
              <w:rPr>
                <w:rFonts w:eastAsia="Times New Roman" w:cs="Times New Roman"/>
                <w:sz w:val="17"/>
              </w:rPr>
              <w:t>[0.266324, 0.691779]</w:t>
            </w:r>
          </w:p>
        </w:tc>
      </w:tr>
      <w:tr w:rsidR="00764D9A" w:rsidRPr="00E546C7" w14:paraId="0A6D6CE5" w14:textId="77777777" w:rsidTr="00B11AF1">
        <w:trPr>
          <w:cantSplit/>
        </w:trPr>
        <w:tc>
          <w:tcPr>
            <w:tcW w:w="3300" w:type="dxa"/>
            <w:tcMar>
              <w:top w:w="80" w:type="dxa"/>
              <w:left w:w="120" w:type="dxa"/>
              <w:bottom w:w="80" w:type="dxa"/>
              <w:right w:w="120" w:type="dxa"/>
            </w:tcMar>
            <w:vAlign w:val="center"/>
          </w:tcPr>
          <w:p w14:paraId="249DBD91" w14:textId="77777777" w:rsidR="00764D9A" w:rsidRPr="00E546C7" w:rsidRDefault="00764D9A" w:rsidP="00B11AF1">
            <w:pPr>
              <w:pStyle w:val="TableText"/>
              <w:rPr>
                <w:rFonts w:cs="Times New Roman"/>
              </w:rPr>
            </w:pPr>
            <w:r w:rsidRPr="00E546C7">
              <w:rPr>
                <w:rFonts w:eastAsia="Times New Roman" w:cs="Times New Roman"/>
                <w:sz w:val="17"/>
              </w:rPr>
              <w:t>Perceived IMC → attitude–purchase</w:t>
            </w:r>
          </w:p>
        </w:tc>
        <w:tc>
          <w:tcPr>
            <w:tcW w:w="650" w:type="dxa"/>
            <w:tcMar>
              <w:top w:w="80" w:type="dxa"/>
              <w:left w:w="120" w:type="dxa"/>
              <w:bottom w:w="80" w:type="dxa"/>
              <w:right w:w="120" w:type="dxa"/>
            </w:tcMar>
            <w:vAlign w:val="center"/>
          </w:tcPr>
          <w:p w14:paraId="527E1C19" w14:textId="77777777" w:rsidR="00764D9A" w:rsidRPr="00E546C7" w:rsidRDefault="00764D9A" w:rsidP="00B11AF1">
            <w:pPr>
              <w:pStyle w:val="TableText"/>
              <w:jc w:val="center"/>
              <w:rPr>
                <w:rFonts w:cs="Times New Roman"/>
              </w:rPr>
            </w:pPr>
            <w:r w:rsidRPr="00E546C7">
              <w:rPr>
                <w:rFonts w:eastAsia="Times New Roman" w:cs="Times New Roman"/>
                <w:sz w:val="17"/>
              </w:rPr>
              <w:t>50</w:t>
            </w:r>
          </w:p>
        </w:tc>
        <w:tc>
          <w:tcPr>
            <w:tcW w:w="1400" w:type="dxa"/>
            <w:tcMar>
              <w:top w:w="80" w:type="dxa"/>
              <w:left w:w="120" w:type="dxa"/>
              <w:bottom w:w="80" w:type="dxa"/>
              <w:right w:w="120" w:type="dxa"/>
            </w:tcMar>
            <w:vAlign w:val="center"/>
          </w:tcPr>
          <w:p w14:paraId="4B08BC4E" w14:textId="77777777" w:rsidR="00764D9A" w:rsidRPr="00E546C7" w:rsidRDefault="00764D9A" w:rsidP="00B11AF1">
            <w:pPr>
              <w:pStyle w:val="TableText"/>
              <w:jc w:val="center"/>
              <w:rPr>
                <w:rFonts w:cs="Times New Roman"/>
              </w:rPr>
            </w:pPr>
            <w:r w:rsidRPr="00E546C7">
              <w:rPr>
                <w:rFonts w:eastAsia="Times New Roman" w:cs="Times New Roman"/>
                <w:sz w:val="17"/>
              </w:rPr>
              <w:t>0.575802</w:t>
            </w:r>
          </w:p>
        </w:tc>
        <w:tc>
          <w:tcPr>
            <w:tcW w:w="1350" w:type="dxa"/>
            <w:tcMar>
              <w:top w:w="80" w:type="dxa"/>
              <w:left w:w="120" w:type="dxa"/>
              <w:bottom w:w="80" w:type="dxa"/>
              <w:right w:w="120" w:type="dxa"/>
            </w:tcMar>
            <w:vAlign w:val="center"/>
          </w:tcPr>
          <w:p w14:paraId="292CD248" w14:textId="77777777" w:rsidR="00764D9A" w:rsidRPr="00E546C7" w:rsidRDefault="00764D9A" w:rsidP="00B11AF1">
            <w:pPr>
              <w:pStyle w:val="TableText"/>
              <w:jc w:val="center"/>
              <w:rPr>
                <w:rFonts w:cs="Times New Roman"/>
              </w:rPr>
            </w:pPr>
            <w:r w:rsidRPr="00E546C7">
              <w:rPr>
                <w:rFonts w:eastAsia="Times New Roman" w:cs="Times New Roman"/>
                <w:sz w:val="17"/>
              </w:rPr>
              <w:t>0.000012</w:t>
            </w:r>
          </w:p>
        </w:tc>
        <w:tc>
          <w:tcPr>
            <w:tcW w:w="2320" w:type="dxa"/>
            <w:tcMar>
              <w:top w:w="80" w:type="dxa"/>
              <w:left w:w="120" w:type="dxa"/>
              <w:bottom w:w="80" w:type="dxa"/>
              <w:right w:w="120" w:type="dxa"/>
            </w:tcMar>
            <w:vAlign w:val="center"/>
          </w:tcPr>
          <w:p w14:paraId="378BD4BF" w14:textId="77777777" w:rsidR="00764D9A" w:rsidRPr="00E546C7" w:rsidRDefault="00764D9A" w:rsidP="00B11AF1">
            <w:pPr>
              <w:pStyle w:val="TableText"/>
              <w:rPr>
                <w:rFonts w:cs="Times New Roman"/>
              </w:rPr>
            </w:pPr>
            <w:r w:rsidRPr="00E546C7">
              <w:rPr>
                <w:rFonts w:eastAsia="Times New Roman" w:cs="Times New Roman"/>
                <w:sz w:val="17"/>
              </w:rPr>
              <w:t>[0.313535, 0.771397]</w:t>
            </w:r>
          </w:p>
        </w:tc>
      </w:tr>
      <w:tr w:rsidR="00764D9A" w:rsidRPr="00E546C7" w14:paraId="1DB9C13E" w14:textId="77777777" w:rsidTr="00B11AF1">
        <w:trPr>
          <w:cantSplit/>
        </w:trPr>
        <w:tc>
          <w:tcPr>
            <w:tcW w:w="3300" w:type="dxa"/>
            <w:shd w:val="clear" w:color="auto" w:fill="F2F4F7"/>
            <w:tcMar>
              <w:top w:w="80" w:type="dxa"/>
              <w:left w:w="120" w:type="dxa"/>
              <w:bottom w:w="80" w:type="dxa"/>
              <w:right w:w="120" w:type="dxa"/>
            </w:tcMar>
            <w:vAlign w:val="center"/>
          </w:tcPr>
          <w:p w14:paraId="22F747F0" w14:textId="77777777" w:rsidR="00764D9A" w:rsidRPr="00E546C7" w:rsidRDefault="00764D9A" w:rsidP="00B11AF1">
            <w:pPr>
              <w:pStyle w:val="TableText"/>
              <w:rPr>
                <w:rFonts w:cs="Times New Roman"/>
              </w:rPr>
            </w:pPr>
            <w:r w:rsidRPr="00E546C7">
              <w:rPr>
                <w:rFonts w:eastAsia="Times New Roman" w:cs="Times New Roman"/>
                <w:sz w:val="17"/>
              </w:rPr>
              <w:t>Perceived IMC → global H1 statement</w:t>
            </w:r>
          </w:p>
        </w:tc>
        <w:tc>
          <w:tcPr>
            <w:tcW w:w="650" w:type="dxa"/>
            <w:shd w:val="clear" w:color="auto" w:fill="F2F4F7"/>
            <w:tcMar>
              <w:top w:w="80" w:type="dxa"/>
              <w:left w:w="120" w:type="dxa"/>
              <w:bottom w:w="80" w:type="dxa"/>
              <w:right w:w="120" w:type="dxa"/>
            </w:tcMar>
            <w:vAlign w:val="center"/>
          </w:tcPr>
          <w:p w14:paraId="038F8541" w14:textId="77777777" w:rsidR="00764D9A" w:rsidRPr="00E546C7" w:rsidRDefault="00764D9A" w:rsidP="00B11AF1">
            <w:pPr>
              <w:pStyle w:val="TableText"/>
              <w:jc w:val="center"/>
              <w:rPr>
                <w:rFonts w:cs="Times New Roman"/>
              </w:rPr>
            </w:pPr>
            <w:r w:rsidRPr="00E546C7">
              <w:rPr>
                <w:rFonts w:eastAsia="Times New Roman" w:cs="Times New Roman"/>
                <w:sz w:val="17"/>
              </w:rPr>
              <w:t>50</w:t>
            </w:r>
          </w:p>
        </w:tc>
        <w:tc>
          <w:tcPr>
            <w:tcW w:w="1400" w:type="dxa"/>
            <w:shd w:val="clear" w:color="auto" w:fill="F2F4F7"/>
            <w:tcMar>
              <w:top w:w="80" w:type="dxa"/>
              <w:left w:w="120" w:type="dxa"/>
              <w:bottom w:w="80" w:type="dxa"/>
              <w:right w:w="120" w:type="dxa"/>
            </w:tcMar>
            <w:vAlign w:val="center"/>
          </w:tcPr>
          <w:p w14:paraId="33F7B188" w14:textId="77777777" w:rsidR="00764D9A" w:rsidRPr="00E546C7" w:rsidRDefault="00764D9A" w:rsidP="00B11AF1">
            <w:pPr>
              <w:pStyle w:val="TableText"/>
              <w:jc w:val="center"/>
              <w:rPr>
                <w:rFonts w:cs="Times New Roman"/>
              </w:rPr>
            </w:pPr>
            <w:r w:rsidRPr="00E546C7">
              <w:rPr>
                <w:rFonts w:eastAsia="Times New Roman" w:cs="Times New Roman"/>
                <w:sz w:val="17"/>
              </w:rPr>
              <w:t>0.172002</w:t>
            </w:r>
          </w:p>
        </w:tc>
        <w:tc>
          <w:tcPr>
            <w:tcW w:w="1350" w:type="dxa"/>
            <w:shd w:val="clear" w:color="auto" w:fill="F2F4F7"/>
            <w:tcMar>
              <w:top w:w="80" w:type="dxa"/>
              <w:left w:w="120" w:type="dxa"/>
              <w:bottom w:w="80" w:type="dxa"/>
              <w:right w:w="120" w:type="dxa"/>
            </w:tcMar>
            <w:vAlign w:val="center"/>
          </w:tcPr>
          <w:p w14:paraId="40627A9C" w14:textId="77777777" w:rsidR="00764D9A" w:rsidRPr="00E546C7" w:rsidRDefault="00764D9A" w:rsidP="00B11AF1">
            <w:pPr>
              <w:pStyle w:val="TableText"/>
              <w:jc w:val="center"/>
              <w:rPr>
                <w:rFonts w:cs="Times New Roman"/>
              </w:rPr>
            </w:pPr>
            <w:r w:rsidRPr="00E546C7">
              <w:rPr>
                <w:rFonts w:eastAsia="Times New Roman" w:cs="Times New Roman"/>
                <w:sz w:val="17"/>
              </w:rPr>
              <w:t>0.232321</w:t>
            </w:r>
          </w:p>
        </w:tc>
        <w:tc>
          <w:tcPr>
            <w:tcW w:w="2320" w:type="dxa"/>
            <w:shd w:val="clear" w:color="auto" w:fill="F2F4F7"/>
            <w:tcMar>
              <w:top w:w="80" w:type="dxa"/>
              <w:left w:w="120" w:type="dxa"/>
              <w:bottom w:w="80" w:type="dxa"/>
              <w:right w:w="120" w:type="dxa"/>
            </w:tcMar>
            <w:vAlign w:val="center"/>
          </w:tcPr>
          <w:p w14:paraId="1D068219" w14:textId="77777777" w:rsidR="00764D9A" w:rsidRPr="00E546C7" w:rsidRDefault="00764D9A" w:rsidP="00B11AF1">
            <w:pPr>
              <w:pStyle w:val="TableText"/>
              <w:rPr>
                <w:rFonts w:cs="Times New Roman"/>
              </w:rPr>
            </w:pPr>
            <w:r w:rsidRPr="00E546C7">
              <w:rPr>
                <w:rFonts w:eastAsia="Times New Roman" w:cs="Times New Roman"/>
                <w:sz w:val="17"/>
              </w:rPr>
              <w:t>[-0.167547, 0.481335]</w:t>
            </w:r>
          </w:p>
        </w:tc>
      </w:tr>
      <w:tr w:rsidR="00764D9A" w:rsidRPr="00E546C7" w14:paraId="3F1F8D0C" w14:textId="77777777" w:rsidTr="00B11AF1">
        <w:trPr>
          <w:cantSplit/>
        </w:trPr>
        <w:tc>
          <w:tcPr>
            <w:tcW w:w="3300" w:type="dxa"/>
            <w:tcMar>
              <w:top w:w="80" w:type="dxa"/>
              <w:left w:w="120" w:type="dxa"/>
              <w:bottom w:w="80" w:type="dxa"/>
              <w:right w:w="120" w:type="dxa"/>
            </w:tcMar>
            <w:vAlign w:val="center"/>
          </w:tcPr>
          <w:p w14:paraId="7A3717ED" w14:textId="77777777" w:rsidR="00764D9A" w:rsidRPr="00E546C7" w:rsidRDefault="00764D9A" w:rsidP="00B11AF1">
            <w:pPr>
              <w:pStyle w:val="TableText"/>
              <w:rPr>
                <w:rFonts w:cs="Times New Roman"/>
              </w:rPr>
            </w:pPr>
            <w:r w:rsidRPr="00E546C7">
              <w:rPr>
                <w:rFonts w:eastAsia="Times New Roman" w:cs="Times New Roman"/>
                <w:sz w:val="17"/>
              </w:rPr>
              <w:t>Perceived IMC → loyalty</w:t>
            </w:r>
          </w:p>
        </w:tc>
        <w:tc>
          <w:tcPr>
            <w:tcW w:w="650" w:type="dxa"/>
            <w:tcMar>
              <w:top w:w="80" w:type="dxa"/>
              <w:left w:w="120" w:type="dxa"/>
              <w:bottom w:w="80" w:type="dxa"/>
              <w:right w:w="120" w:type="dxa"/>
            </w:tcMar>
            <w:vAlign w:val="center"/>
          </w:tcPr>
          <w:p w14:paraId="2E9DC5FA" w14:textId="77777777" w:rsidR="00764D9A" w:rsidRPr="00E546C7" w:rsidRDefault="00764D9A" w:rsidP="00B11AF1">
            <w:pPr>
              <w:pStyle w:val="TableText"/>
              <w:jc w:val="center"/>
              <w:rPr>
                <w:rFonts w:cs="Times New Roman"/>
              </w:rPr>
            </w:pPr>
            <w:r w:rsidRPr="00E546C7">
              <w:rPr>
                <w:rFonts w:eastAsia="Times New Roman" w:cs="Times New Roman"/>
                <w:sz w:val="17"/>
              </w:rPr>
              <w:t>50</w:t>
            </w:r>
          </w:p>
        </w:tc>
        <w:tc>
          <w:tcPr>
            <w:tcW w:w="1400" w:type="dxa"/>
            <w:tcMar>
              <w:top w:w="80" w:type="dxa"/>
              <w:left w:w="120" w:type="dxa"/>
              <w:bottom w:w="80" w:type="dxa"/>
              <w:right w:w="120" w:type="dxa"/>
            </w:tcMar>
            <w:vAlign w:val="center"/>
          </w:tcPr>
          <w:p w14:paraId="75C0CA6E" w14:textId="77777777" w:rsidR="00764D9A" w:rsidRPr="00E546C7" w:rsidRDefault="00764D9A" w:rsidP="00B11AF1">
            <w:pPr>
              <w:pStyle w:val="TableText"/>
              <w:jc w:val="center"/>
              <w:rPr>
                <w:rFonts w:cs="Times New Roman"/>
              </w:rPr>
            </w:pPr>
            <w:r w:rsidRPr="00E546C7">
              <w:rPr>
                <w:rFonts w:eastAsia="Times New Roman" w:cs="Times New Roman"/>
                <w:sz w:val="17"/>
              </w:rPr>
              <w:t>0.060339</w:t>
            </w:r>
          </w:p>
        </w:tc>
        <w:tc>
          <w:tcPr>
            <w:tcW w:w="1350" w:type="dxa"/>
            <w:tcMar>
              <w:top w:w="80" w:type="dxa"/>
              <w:left w:w="120" w:type="dxa"/>
              <w:bottom w:w="80" w:type="dxa"/>
              <w:right w:w="120" w:type="dxa"/>
            </w:tcMar>
            <w:vAlign w:val="center"/>
          </w:tcPr>
          <w:p w14:paraId="0022CA29" w14:textId="77777777" w:rsidR="00764D9A" w:rsidRPr="00E546C7" w:rsidRDefault="00764D9A" w:rsidP="00B11AF1">
            <w:pPr>
              <w:pStyle w:val="TableText"/>
              <w:jc w:val="center"/>
              <w:rPr>
                <w:rFonts w:cs="Times New Roman"/>
              </w:rPr>
            </w:pPr>
            <w:r w:rsidRPr="00E546C7">
              <w:rPr>
                <w:rFonts w:eastAsia="Times New Roman" w:cs="Times New Roman"/>
                <w:sz w:val="17"/>
              </w:rPr>
              <w:t>0.677227</w:t>
            </w:r>
          </w:p>
        </w:tc>
        <w:tc>
          <w:tcPr>
            <w:tcW w:w="2320" w:type="dxa"/>
            <w:tcMar>
              <w:top w:w="80" w:type="dxa"/>
              <w:left w:w="120" w:type="dxa"/>
              <w:bottom w:w="80" w:type="dxa"/>
              <w:right w:w="120" w:type="dxa"/>
            </w:tcMar>
            <w:vAlign w:val="center"/>
          </w:tcPr>
          <w:p w14:paraId="51B24575" w14:textId="77777777" w:rsidR="00764D9A" w:rsidRPr="00E546C7" w:rsidRDefault="00764D9A" w:rsidP="00B11AF1">
            <w:pPr>
              <w:pStyle w:val="TableText"/>
              <w:rPr>
                <w:rFonts w:cs="Times New Roman"/>
              </w:rPr>
            </w:pPr>
            <w:r w:rsidRPr="00E546C7">
              <w:rPr>
                <w:rFonts w:eastAsia="Times New Roman" w:cs="Times New Roman"/>
                <w:sz w:val="17"/>
              </w:rPr>
              <w:t>[-0.262208, 0.389373]</w:t>
            </w:r>
          </w:p>
        </w:tc>
      </w:tr>
    </w:tbl>
    <w:p w14:paraId="3872CAAB"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26D5DCA3" w14:textId="77777777" w:rsidR="00764D9A" w:rsidRPr="00E546C7" w:rsidRDefault="00764D9A" w:rsidP="00764D9A">
      <w:pPr>
        <w:pStyle w:val="Caption"/>
        <w:jc w:val="left"/>
        <w:rPr>
          <w:rFonts w:cs="Times New Roman"/>
        </w:rPr>
      </w:pPr>
      <w:r w:rsidRPr="00E546C7">
        <w:rPr>
          <w:rFonts w:eastAsia="Times New Roman" w:cs="Times New Roman"/>
          <w:color w:val="1F2933"/>
        </w:rPr>
        <w:t>Table D2: Detailed Regression Robustness Output</w:t>
      </w:r>
    </w:p>
    <w:tbl>
      <w:tblPr>
        <w:tblStyle w:val="TableGrid"/>
        <w:tblW w:w="9020" w:type="dxa"/>
        <w:tblInd w:w="120" w:type="dxa"/>
        <w:tblLayout w:type="fixed"/>
        <w:tblLook w:val="04A0" w:firstRow="1" w:lastRow="0" w:firstColumn="1" w:lastColumn="0" w:noHBand="0" w:noVBand="1"/>
      </w:tblPr>
      <w:tblGrid>
        <w:gridCol w:w="2150"/>
        <w:gridCol w:w="1100"/>
        <w:gridCol w:w="1200"/>
        <w:gridCol w:w="1100"/>
        <w:gridCol w:w="1100"/>
        <w:gridCol w:w="1100"/>
        <w:gridCol w:w="1270"/>
      </w:tblGrid>
      <w:tr w:rsidR="00764D9A" w:rsidRPr="00E546C7" w14:paraId="5E6FEC90" w14:textId="77777777" w:rsidTr="00B11AF1">
        <w:trPr>
          <w:cantSplit/>
          <w:tblHeader/>
        </w:trPr>
        <w:tc>
          <w:tcPr>
            <w:tcW w:w="2150" w:type="dxa"/>
            <w:shd w:val="clear" w:color="auto" w:fill="17365D"/>
            <w:tcMar>
              <w:top w:w="80" w:type="dxa"/>
              <w:left w:w="120" w:type="dxa"/>
              <w:bottom w:w="80" w:type="dxa"/>
              <w:right w:w="120" w:type="dxa"/>
            </w:tcMar>
            <w:vAlign w:val="center"/>
          </w:tcPr>
          <w:p w14:paraId="757E1CDF" w14:textId="77777777" w:rsidR="00764D9A" w:rsidRPr="00E546C7" w:rsidRDefault="00764D9A" w:rsidP="00B11AF1">
            <w:pPr>
              <w:pStyle w:val="TableHeader"/>
              <w:rPr>
                <w:rFonts w:cs="Times New Roman"/>
              </w:rPr>
            </w:pPr>
            <w:r w:rsidRPr="00E546C7">
              <w:rPr>
                <w:rFonts w:eastAsia="Times New Roman" w:cs="Times New Roman"/>
                <w:b/>
                <w:sz w:val="16"/>
              </w:rPr>
              <w:t>Model</w:t>
            </w:r>
          </w:p>
        </w:tc>
        <w:tc>
          <w:tcPr>
            <w:tcW w:w="1100" w:type="dxa"/>
            <w:shd w:val="clear" w:color="auto" w:fill="17365D"/>
            <w:tcMar>
              <w:top w:w="80" w:type="dxa"/>
              <w:left w:w="120" w:type="dxa"/>
              <w:bottom w:w="80" w:type="dxa"/>
              <w:right w:w="120" w:type="dxa"/>
            </w:tcMar>
            <w:vAlign w:val="center"/>
          </w:tcPr>
          <w:p w14:paraId="0226980B" w14:textId="77777777" w:rsidR="00764D9A" w:rsidRPr="00E546C7" w:rsidRDefault="00764D9A" w:rsidP="00B11AF1">
            <w:pPr>
              <w:pStyle w:val="TableHeader"/>
              <w:rPr>
                <w:rFonts w:cs="Times New Roman"/>
              </w:rPr>
            </w:pPr>
            <w:r w:rsidRPr="00E546C7">
              <w:rPr>
                <w:rFonts w:eastAsia="Times New Roman" w:cs="Times New Roman"/>
                <w:b/>
                <w:sz w:val="16"/>
              </w:rPr>
              <w:t>β</w:t>
            </w:r>
          </w:p>
        </w:tc>
        <w:tc>
          <w:tcPr>
            <w:tcW w:w="1200" w:type="dxa"/>
            <w:shd w:val="clear" w:color="auto" w:fill="17365D"/>
            <w:tcMar>
              <w:top w:w="80" w:type="dxa"/>
              <w:left w:w="120" w:type="dxa"/>
              <w:bottom w:w="80" w:type="dxa"/>
              <w:right w:w="120" w:type="dxa"/>
            </w:tcMar>
            <w:vAlign w:val="center"/>
          </w:tcPr>
          <w:p w14:paraId="1DA3893B" w14:textId="77777777" w:rsidR="00764D9A" w:rsidRPr="00E546C7" w:rsidRDefault="00764D9A" w:rsidP="00B11AF1">
            <w:pPr>
              <w:pStyle w:val="TableHeader"/>
              <w:rPr>
                <w:rFonts w:cs="Times New Roman"/>
              </w:rPr>
            </w:pPr>
            <w:r w:rsidRPr="00E546C7">
              <w:rPr>
                <w:rFonts w:eastAsia="Times New Roman" w:cs="Times New Roman"/>
                <w:b/>
                <w:sz w:val="16"/>
              </w:rPr>
              <w:t>HC3 SE</w:t>
            </w:r>
          </w:p>
        </w:tc>
        <w:tc>
          <w:tcPr>
            <w:tcW w:w="1100" w:type="dxa"/>
            <w:shd w:val="clear" w:color="auto" w:fill="17365D"/>
            <w:tcMar>
              <w:top w:w="80" w:type="dxa"/>
              <w:left w:w="120" w:type="dxa"/>
              <w:bottom w:w="80" w:type="dxa"/>
              <w:right w:w="120" w:type="dxa"/>
            </w:tcMar>
            <w:vAlign w:val="center"/>
          </w:tcPr>
          <w:p w14:paraId="25D46EDC" w14:textId="77777777" w:rsidR="00764D9A" w:rsidRPr="00E546C7" w:rsidRDefault="00764D9A" w:rsidP="00B11AF1">
            <w:pPr>
              <w:pStyle w:val="TableHeader"/>
              <w:rPr>
                <w:rFonts w:cs="Times New Roman"/>
              </w:rPr>
            </w:pPr>
            <w:r w:rsidRPr="00E546C7">
              <w:rPr>
                <w:rFonts w:eastAsia="Times New Roman" w:cs="Times New Roman"/>
                <w:b/>
                <w:sz w:val="16"/>
              </w:rPr>
              <w:t>t</w:t>
            </w:r>
          </w:p>
        </w:tc>
        <w:tc>
          <w:tcPr>
            <w:tcW w:w="1100" w:type="dxa"/>
            <w:shd w:val="clear" w:color="auto" w:fill="17365D"/>
            <w:tcMar>
              <w:top w:w="80" w:type="dxa"/>
              <w:left w:w="120" w:type="dxa"/>
              <w:bottom w:w="80" w:type="dxa"/>
              <w:right w:w="120" w:type="dxa"/>
            </w:tcMar>
            <w:vAlign w:val="center"/>
          </w:tcPr>
          <w:p w14:paraId="61ADB0E8" w14:textId="77777777" w:rsidR="00764D9A" w:rsidRPr="00E546C7" w:rsidRDefault="00764D9A" w:rsidP="00B11AF1">
            <w:pPr>
              <w:pStyle w:val="TableHeader"/>
              <w:rPr>
                <w:rFonts w:cs="Times New Roman"/>
              </w:rPr>
            </w:pPr>
            <w:r w:rsidRPr="00E546C7">
              <w:rPr>
                <w:rFonts w:eastAsia="Times New Roman" w:cs="Times New Roman"/>
                <w:b/>
                <w:sz w:val="16"/>
              </w:rPr>
              <w:t>p</w:t>
            </w:r>
          </w:p>
        </w:tc>
        <w:tc>
          <w:tcPr>
            <w:tcW w:w="1100" w:type="dxa"/>
            <w:shd w:val="clear" w:color="auto" w:fill="17365D"/>
            <w:tcMar>
              <w:top w:w="80" w:type="dxa"/>
              <w:left w:w="120" w:type="dxa"/>
              <w:bottom w:w="80" w:type="dxa"/>
              <w:right w:w="120" w:type="dxa"/>
            </w:tcMar>
            <w:vAlign w:val="center"/>
          </w:tcPr>
          <w:p w14:paraId="5F689CF4" w14:textId="77777777" w:rsidR="00764D9A" w:rsidRPr="00E546C7" w:rsidRDefault="00764D9A" w:rsidP="00B11AF1">
            <w:pPr>
              <w:pStyle w:val="TableHeader"/>
              <w:rPr>
                <w:rFonts w:cs="Times New Roman"/>
              </w:rPr>
            </w:pPr>
            <w:r w:rsidRPr="00E546C7">
              <w:rPr>
                <w:rFonts w:eastAsia="Times New Roman" w:cs="Times New Roman"/>
                <w:b/>
                <w:sz w:val="16"/>
              </w:rPr>
              <w:t>R²</w:t>
            </w:r>
          </w:p>
        </w:tc>
        <w:tc>
          <w:tcPr>
            <w:tcW w:w="1270" w:type="dxa"/>
            <w:shd w:val="clear" w:color="auto" w:fill="17365D"/>
            <w:tcMar>
              <w:top w:w="80" w:type="dxa"/>
              <w:left w:w="120" w:type="dxa"/>
              <w:bottom w:w="80" w:type="dxa"/>
              <w:right w:w="120" w:type="dxa"/>
            </w:tcMar>
            <w:vAlign w:val="center"/>
          </w:tcPr>
          <w:p w14:paraId="4B5A3354" w14:textId="77777777" w:rsidR="00764D9A" w:rsidRPr="00E546C7" w:rsidRDefault="00764D9A" w:rsidP="00B11AF1">
            <w:pPr>
              <w:pStyle w:val="TableHeader"/>
              <w:rPr>
                <w:rFonts w:cs="Times New Roman"/>
              </w:rPr>
            </w:pPr>
            <w:r w:rsidRPr="00E546C7">
              <w:rPr>
                <w:rFonts w:eastAsia="Times New Roman" w:cs="Times New Roman"/>
                <w:b/>
                <w:sz w:val="16"/>
              </w:rPr>
              <w:t>Adjusted R²</w:t>
            </w:r>
          </w:p>
        </w:tc>
      </w:tr>
      <w:tr w:rsidR="00764D9A" w:rsidRPr="00E546C7" w14:paraId="1DD829F9" w14:textId="77777777" w:rsidTr="00B11AF1">
        <w:trPr>
          <w:cantSplit/>
        </w:trPr>
        <w:tc>
          <w:tcPr>
            <w:tcW w:w="2150" w:type="dxa"/>
            <w:tcMar>
              <w:top w:w="80" w:type="dxa"/>
              <w:left w:w="120" w:type="dxa"/>
              <w:bottom w:w="80" w:type="dxa"/>
              <w:right w:w="120" w:type="dxa"/>
            </w:tcMar>
            <w:vAlign w:val="center"/>
          </w:tcPr>
          <w:p w14:paraId="06D3425B" w14:textId="77777777" w:rsidR="00764D9A" w:rsidRPr="00E546C7" w:rsidRDefault="00764D9A" w:rsidP="00B11AF1">
            <w:pPr>
              <w:pStyle w:val="TableText"/>
              <w:rPr>
                <w:rFonts w:cs="Times New Roman"/>
              </w:rPr>
            </w:pPr>
            <w:r w:rsidRPr="00E546C7">
              <w:rPr>
                <w:rFonts w:eastAsia="Times New Roman" w:cs="Times New Roman"/>
                <w:sz w:val="16"/>
              </w:rPr>
              <w:t>H1 attitude–purchase</w:t>
            </w:r>
          </w:p>
        </w:tc>
        <w:tc>
          <w:tcPr>
            <w:tcW w:w="1100" w:type="dxa"/>
            <w:tcMar>
              <w:top w:w="80" w:type="dxa"/>
              <w:left w:w="120" w:type="dxa"/>
              <w:bottom w:w="80" w:type="dxa"/>
              <w:right w:w="120" w:type="dxa"/>
            </w:tcMar>
            <w:vAlign w:val="center"/>
          </w:tcPr>
          <w:p w14:paraId="71A56211" w14:textId="77777777" w:rsidR="00764D9A" w:rsidRPr="00E546C7" w:rsidRDefault="00764D9A" w:rsidP="00B11AF1">
            <w:pPr>
              <w:pStyle w:val="TableText"/>
              <w:jc w:val="center"/>
              <w:rPr>
                <w:rFonts w:cs="Times New Roman"/>
              </w:rPr>
            </w:pPr>
            <w:r w:rsidRPr="00E546C7">
              <w:rPr>
                <w:rFonts w:eastAsia="Times New Roman" w:cs="Times New Roman"/>
                <w:sz w:val="16"/>
              </w:rPr>
              <w:t>0.512435</w:t>
            </w:r>
          </w:p>
        </w:tc>
        <w:tc>
          <w:tcPr>
            <w:tcW w:w="1200" w:type="dxa"/>
            <w:tcMar>
              <w:top w:w="80" w:type="dxa"/>
              <w:left w:w="120" w:type="dxa"/>
              <w:bottom w:w="80" w:type="dxa"/>
              <w:right w:w="120" w:type="dxa"/>
            </w:tcMar>
            <w:vAlign w:val="center"/>
          </w:tcPr>
          <w:p w14:paraId="70B00B2D" w14:textId="77777777" w:rsidR="00764D9A" w:rsidRPr="00E546C7" w:rsidRDefault="00764D9A" w:rsidP="00B11AF1">
            <w:pPr>
              <w:pStyle w:val="TableText"/>
              <w:jc w:val="center"/>
              <w:rPr>
                <w:rFonts w:cs="Times New Roman"/>
              </w:rPr>
            </w:pPr>
            <w:r w:rsidRPr="00E546C7">
              <w:rPr>
                <w:rFonts w:eastAsia="Times New Roman" w:cs="Times New Roman"/>
                <w:sz w:val="16"/>
              </w:rPr>
              <w:t>0.205338</w:t>
            </w:r>
          </w:p>
        </w:tc>
        <w:tc>
          <w:tcPr>
            <w:tcW w:w="1100" w:type="dxa"/>
            <w:tcMar>
              <w:top w:w="80" w:type="dxa"/>
              <w:left w:w="120" w:type="dxa"/>
              <w:bottom w:w="80" w:type="dxa"/>
              <w:right w:w="120" w:type="dxa"/>
            </w:tcMar>
            <w:vAlign w:val="center"/>
          </w:tcPr>
          <w:p w14:paraId="2CA9B7DB" w14:textId="77777777" w:rsidR="00764D9A" w:rsidRPr="00E546C7" w:rsidRDefault="00764D9A" w:rsidP="00B11AF1">
            <w:pPr>
              <w:pStyle w:val="TableText"/>
              <w:jc w:val="center"/>
              <w:rPr>
                <w:rFonts w:cs="Times New Roman"/>
              </w:rPr>
            </w:pPr>
            <w:r w:rsidRPr="00E546C7">
              <w:rPr>
                <w:rFonts w:eastAsia="Times New Roman" w:cs="Times New Roman"/>
                <w:sz w:val="16"/>
              </w:rPr>
              <w:t>2.495567</w:t>
            </w:r>
          </w:p>
        </w:tc>
        <w:tc>
          <w:tcPr>
            <w:tcW w:w="1100" w:type="dxa"/>
            <w:tcMar>
              <w:top w:w="80" w:type="dxa"/>
              <w:left w:w="120" w:type="dxa"/>
              <w:bottom w:w="80" w:type="dxa"/>
              <w:right w:w="120" w:type="dxa"/>
            </w:tcMar>
            <w:vAlign w:val="center"/>
          </w:tcPr>
          <w:p w14:paraId="05FF25CD" w14:textId="77777777" w:rsidR="00764D9A" w:rsidRPr="00E546C7" w:rsidRDefault="00764D9A" w:rsidP="00B11AF1">
            <w:pPr>
              <w:pStyle w:val="TableText"/>
              <w:jc w:val="center"/>
              <w:rPr>
                <w:rFonts w:cs="Times New Roman"/>
              </w:rPr>
            </w:pPr>
            <w:r w:rsidRPr="00E546C7">
              <w:rPr>
                <w:rFonts w:eastAsia="Times New Roman" w:cs="Times New Roman"/>
                <w:sz w:val="16"/>
              </w:rPr>
              <w:t>0.016066</w:t>
            </w:r>
          </w:p>
        </w:tc>
        <w:tc>
          <w:tcPr>
            <w:tcW w:w="1100" w:type="dxa"/>
            <w:tcMar>
              <w:top w:w="80" w:type="dxa"/>
              <w:left w:w="120" w:type="dxa"/>
              <w:bottom w:w="80" w:type="dxa"/>
              <w:right w:w="120" w:type="dxa"/>
            </w:tcMar>
            <w:vAlign w:val="center"/>
          </w:tcPr>
          <w:p w14:paraId="2859E9C3" w14:textId="77777777" w:rsidR="00764D9A" w:rsidRPr="00E546C7" w:rsidRDefault="00764D9A" w:rsidP="00B11AF1">
            <w:pPr>
              <w:pStyle w:val="TableText"/>
              <w:jc w:val="center"/>
              <w:rPr>
                <w:rFonts w:cs="Times New Roman"/>
              </w:rPr>
            </w:pPr>
            <w:r w:rsidRPr="00E546C7">
              <w:rPr>
                <w:rFonts w:eastAsia="Times New Roman" w:cs="Times New Roman"/>
                <w:sz w:val="16"/>
              </w:rPr>
              <w:t>0.262590</w:t>
            </w:r>
          </w:p>
        </w:tc>
        <w:tc>
          <w:tcPr>
            <w:tcW w:w="1270" w:type="dxa"/>
            <w:tcMar>
              <w:top w:w="80" w:type="dxa"/>
              <w:left w:w="120" w:type="dxa"/>
              <w:bottom w:w="80" w:type="dxa"/>
              <w:right w:w="120" w:type="dxa"/>
            </w:tcMar>
            <w:vAlign w:val="center"/>
          </w:tcPr>
          <w:p w14:paraId="1C69B1D6" w14:textId="77777777" w:rsidR="00764D9A" w:rsidRPr="00E546C7" w:rsidRDefault="00764D9A" w:rsidP="00B11AF1">
            <w:pPr>
              <w:pStyle w:val="TableText"/>
              <w:jc w:val="center"/>
              <w:rPr>
                <w:rFonts w:cs="Times New Roman"/>
              </w:rPr>
            </w:pPr>
            <w:r w:rsidRPr="00E546C7">
              <w:rPr>
                <w:rFonts w:eastAsia="Times New Roman" w:cs="Times New Roman"/>
                <w:sz w:val="16"/>
              </w:rPr>
              <w:t>0.247227</w:t>
            </w:r>
          </w:p>
        </w:tc>
      </w:tr>
      <w:tr w:rsidR="00764D9A" w:rsidRPr="00E546C7" w14:paraId="4ACE078E" w14:textId="77777777" w:rsidTr="00B11AF1">
        <w:trPr>
          <w:cantSplit/>
        </w:trPr>
        <w:tc>
          <w:tcPr>
            <w:tcW w:w="2150" w:type="dxa"/>
            <w:shd w:val="clear" w:color="auto" w:fill="F2F4F7"/>
            <w:tcMar>
              <w:top w:w="80" w:type="dxa"/>
              <w:left w:w="120" w:type="dxa"/>
              <w:bottom w:w="80" w:type="dxa"/>
              <w:right w:w="120" w:type="dxa"/>
            </w:tcMar>
            <w:vAlign w:val="center"/>
          </w:tcPr>
          <w:p w14:paraId="08CEF706" w14:textId="77777777" w:rsidR="00764D9A" w:rsidRPr="00E546C7" w:rsidRDefault="00764D9A" w:rsidP="00B11AF1">
            <w:pPr>
              <w:pStyle w:val="TableText"/>
              <w:rPr>
                <w:rFonts w:cs="Times New Roman"/>
              </w:rPr>
            </w:pPr>
            <w:r w:rsidRPr="00E546C7">
              <w:rPr>
                <w:rFonts w:eastAsia="Times New Roman" w:cs="Times New Roman"/>
                <w:sz w:val="16"/>
              </w:rPr>
              <w:t>Global H1 Q9</w:t>
            </w:r>
          </w:p>
        </w:tc>
        <w:tc>
          <w:tcPr>
            <w:tcW w:w="1100" w:type="dxa"/>
            <w:shd w:val="clear" w:color="auto" w:fill="F2F4F7"/>
            <w:tcMar>
              <w:top w:w="80" w:type="dxa"/>
              <w:left w:w="120" w:type="dxa"/>
              <w:bottom w:w="80" w:type="dxa"/>
              <w:right w:w="120" w:type="dxa"/>
            </w:tcMar>
            <w:vAlign w:val="center"/>
          </w:tcPr>
          <w:p w14:paraId="06E75230" w14:textId="77777777" w:rsidR="00764D9A" w:rsidRPr="00E546C7" w:rsidRDefault="00764D9A" w:rsidP="00B11AF1">
            <w:pPr>
              <w:pStyle w:val="TableText"/>
              <w:jc w:val="center"/>
              <w:rPr>
                <w:rFonts w:cs="Times New Roman"/>
              </w:rPr>
            </w:pPr>
            <w:r w:rsidRPr="00E546C7">
              <w:rPr>
                <w:rFonts w:eastAsia="Times New Roman" w:cs="Times New Roman"/>
                <w:sz w:val="16"/>
              </w:rPr>
              <w:t>-0.003961</w:t>
            </w:r>
          </w:p>
        </w:tc>
        <w:tc>
          <w:tcPr>
            <w:tcW w:w="1200" w:type="dxa"/>
            <w:shd w:val="clear" w:color="auto" w:fill="F2F4F7"/>
            <w:tcMar>
              <w:top w:w="80" w:type="dxa"/>
              <w:left w:w="120" w:type="dxa"/>
              <w:bottom w:w="80" w:type="dxa"/>
              <w:right w:w="120" w:type="dxa"/>
            </w:tcMar>
            <w:vAlign w:val="center"/>
          </w:tcPr>
          <w:p w14:paraId="7348A6F8" w14:textId="77777777" w:rsidR="00764D9A" w:rsidRPr="00E546C7" w:rsidRDefault="00764D9A" w:rsidP="00B11AF1">
            <w:pPr>
              <w:pStyle w:val="TableText"/>
              <w:jc w:val="center"/>
              <w:rPr>
                <w:rFonts w:cs="Times New Roman"/>
              </w:rPr>
            </w:pPr>
            <w:r w:rsidRPr="00E546C7">
              <w:rPr>
                <w:rFonts w:eastAsia="Times New Roman" w:cs="Times New Roman"/>
                <w:sz w:val="16"/>
              </w:rPr>
              <w:t>0.155417</w:t>
            </w:r>
          </w:p>
        </w:tc>
        <w:tc>
          <w:tcPr>
            <w:tcW w:w="1100" w:type="dxa"/>
            <w:shd w:val="clear" w:color="auto" w:fill="F2F4F7"/>
            <w:tcMar>
              <w:top w:w="80" w:type="dxa"/>
              <w:left w:w="120" w:type="dxa"/>
              <w:bottom w:w="80" w:type="dxa"/>
              <w:right w:w="120" w:type="dxa"/>
            </w:tcMar>
            <w:vAlign w:val="center"/>
          </w:tcPr>
          <w:p w14:paraId="453A6663" w14:textId="77777777" w:rsidR="00764D9A" w:rsidRPr="00E546C7" w:rsidRDefault="00764D9A" w:rsidP="00B11AF1">
            <w:pPr>
              <w:pStyle w:val="TableText"/>
              <w:jc w:val="center"/>
              <w:rPr>
                <w:rFonts w:cs="Times New Roman"/>
              </w:rPr>
            </w:pPr>
            <w:r w:rsidRPr="00E546C7">
              <w:rPr>
                <w:rFonts w:eastAsia="Times New Roman" w:cs="Times New Roman"/>
                <w:sz w:val="16"/>
              </w:rPr>
              <w:t>-0.025484</w:t>
            </w:r>
          </w:p>
        </w:tc>
        <w:tc>
          <w:tcPr>
            <w:tcW w:w="1100" w:type="dxa"/>
            <w:shd w:val="clear" w:color="auto" w:fill="F2F4F7"/>
            <w:tcMar>
              <w:top w:w="80" w:type="dxa"/>
              <w:left w:w="120" w:type="dxa"/>
              <w:bottom w:w="80" w:type="dxa"/>
              <w:right w:w="120" w:type="dxa"/>
            </w:tcMar>
            <w:vAlign w:val="center"/>
          </w:tcPr>
          <w:p w14:paraId="6C76CC30" w14:textId="77777777" w:rsidR="00764D9A" w:rsidRPr="00E546C7" w:rsidRDefault="00764D9A" w:rsidP="00B11AF1">
            <w:pPr>
              <w:pStyle w:val="TableText"/>
              <w:jc w:val="center"/>
              <w:rPr>
                <w:rFonts w:cs="Times New Roman"/>
              </w:rPr>
            </w:pPr>
            <w:r w:rsidRPr="00E546C7">
              <w:rPr>
                <w:rFonts w:eastAsia="Times New Roman" w:cs="Times New Roman"/>
                <w:sz w:val="16"/>
              </w:rPr>
              <w:t>0.979775</w:t>
            </w:r>
          </w:p>
        </w:tc>
        <w:tc>
          <w:tcPr>
            <w:tcW w:w="1100" w:type="dxa"/>
            <w:shd w:val="clear" w:color="auto" w:fill="F2F4F7"/>
            <w:tcMar>
              <w:top w:w="80" w:type="dxa"/>
              <w:left w:w="120" w:type="dxa"/>
              <w:bottom w:w="80" w:type="dxa"/>
              <w:right w:w="120" w:type="dxa"/>
            </w:tcMar>
            <w:vAlign w:val="center"/>
          </w:tcPr>
          <w:p w14:paraId="248440AE" w14:textId="77777777" w:rsidR="00764D9A" w:rsidRPr="00E546C7" w:rsidRDefault="00764D9A" w:rsidP="00B11AF1">
            <w:pPr>
              <w:pStyle w:val="TableText"/>
              <w:jc w:val="center"/>
              <w:rPr>
                <w:rFonts w:cs="Times New Roman"/>
              </w:rPr>
            </w:pPr>
            <w:r w:rsidRPr="00E546C7">
              <w:rPr>
                <w:rFonts w:eastAsia="Times New Roman" w:cs="Times New Roman"/>
                <w:sz w:val="16"/>
              </w:rPr>
              <w:t>0.000016</w:t>
            </w:r>
          </w:p>
        </w:tc>
        <w:tc>
          <w:tcPr>
            <w:tcW w:w="1270" w:type="dxa"/>
            <w:shd w:val="clear" w:color="auto" w:fill="F2F4F7"/>
            <w:tcMar>
              <w:top w:w="80" w:type="dxa"/>
              <w:left w:w="120" w:type="dxa"/>
              <w:bottom w:w="80" w:type="dxa"/>
              <w:right w:w="120" w:type="dxa"/>
            </w:tcMar>
            <w:vAlign w:val="center"/>
          </w:tcPr>
          <w:p w14:paraId="00B214A1" w14:textId="77777777" w:rsidR="00764D9A" w:rsidRPr="00E546C7" w:rsidRDefault="00764D9A" w:rsidP="00B11AF1">
            <w:pPr>
              <w:pStyle w:val="TableText"/>
              <w:jc w:val="center"/>
              <w:rPr>
                <w:rFonts w:cs="Times New Roman"/>
              </w:rPr>
            </w:pPr>
            <w:r w:rsidRPr="00E546C7">
              <w:rPr>
                <w:rFonts w:eastAsia="Times New Roman" w:cs="Times New Roman"/>
                <w:sz w:val="16"/>
              </w:rPr>
              <w:t>-0.020817</w:t>
            </w:r>
          </w:p>
        </w:tc>
      </w:tr>
      <w:tr w:rsidR="00764D9A" w:rsidRPr="00E546C7" w14:paraId="53AD97AC" w14:textId="77777777" w:rsidTr="00B11AF1">
        <w:trPr>
          <w:cantSplit/>
        </w:trPr>
        <w:tc>
          <w:tcPr>
            <w:tcW w:w="2150" w:type="dxa"/>
            <w:tcMar>
              <w:top w:w="80" w:type="dxa"/>
              <w:left w:w="120" w:type="dxa"/>
              <w:bottom w:w="80" w:type="dxa"/>
              <w:right w:w="120" w:type="dxa"/>
            </w:tcMar>
            <w:vAlign w:val="center"/>
          </w:tcPr>
          <w:p w14:paraId="5D04ACB9" w14:textId="77777777" w:rsidR="00764D9A" w:rsidRPr="00E546C7" w:rsidRDefault="00764D9A" w:rsidP="00B11AF1">
            <w:pPr>
              <w:pStyle w:val="TableText"/>
              <w:rPr>
                <w:rFonts w:cs="Times New Roman"/>
              </w:rPr>
            </w:pPr>
            <w:r w:rsidRPr="00E546C7">
              <w:rPr>
                <w:rFonts w:eastAsia="Times New Roman" w:cs="Times New Roman"/>
                <w:sz w:val="16"/>
              </w:rPr>
              <w:t>H2 loyalty</w:t>
            </w:r>
          </w:p>
        </w:tc>
        <w:tc>
          <w:tcPr>
            <w:tcW w:w="1100" w:type="dxa"/>
            <w:tcMar>
              <w:top w:w="80" w:type="dxa"/>
              <w:left w:w="120" w:type="dxa"/>
              <w:bottom w:w="80" w:type="dxa"/>
              <w:right w:w="120" w:type="dxa"/>
            </w:tcMar>
            <w:vAlign w:val="center"/>
          </w:tcPr>
          <w:p w14:paraId="17632E38" w14:textId="77777777" w:rsidR="00764D9A" w:rsidRPr="00E546C7" w:rsidRDefault="00764D9A" w:rsidP="00B11AF1">
            <w:pPr>
              <w:pStyle w:val="TableText"/>
              <w:jc w:val="center"/>
              <w:rPr>
                <w:rFonts w:cs="Times New Roman"/>
              </w:rPr>
            </w:pPr>
            <w:r w:rsidRPr="00E546C7">
              <w:rPr>
                <w:rFonts w:eastAsia="Times New Roman" w:cs="Times New Roman"/>
                <w:sz w:val="16"/>
              </w:rPr>
              <w:t>-0.060683</w:t>
            </w:r>
          </w:p>
        </w:tc>
        <w:tc>
          <w:tcPr>
            <w:tcW w:w="1200" w:type="dxa"/>
            <w:tcMar>
              <w:top w:w="80" w:type="dxa"/>
              <w:left w:w="120" w:type="dxa"/>
              <w:bottom w:w="80" w:type="dxa"/>
              <w:right w:w="120" w:type="dxa"/>
            </w:tcMar>
            <w:vAlign w:val="center"/>
          </w:tcPr>
          <w:p w14:paraId="52F0DB3B" w14:textId="77777777" w:rsidR="00764D9A" w:rsidRPr="00E546C7" w:rsidRDefault="00764D9A" w:rsidP="00B11AF1">
            <w:pPr>
              <w:pStyle w:val="TableText"/>
              <w:jc w:val="center"/>
              <w:rPr>
                <w:rFonts w:cs="Times New Roman"/>
              </w:rPr>
            </w:pPr>
            <w:r w:rsidRPr="00E546C7">
              <w:rPr>
                <w:rFonts w:eastAsia="Times New Roman" w:cs="Times New Roman"/>
                <w:sz w:val="16"/>
              </w:rPr>
              <w:t>0.166021</w:t>
            </w:r>
          </w:p>
        </w:tc>
        <w:tc>
          <w:tcPr>
            <w:tcW w:w="1100" w:type="dxa"/>
            <w:tcMar>
              <w:top w:w="80" w:type="dxa"/>
              <w:left w:w="120" w:type="dxa"/>
              <w:bottom w:w="80" w:type="dxa"/>
              <w:right w:w="120" w:type="dxa"/>
            </w:tcMar>
            <w:vAlign w:val="center"/>
          </w:tcPr>
          <w:p w14:paraId="7D174BCF" w14:textId="77777777" w:rsidR="00764D9A" w:rsidRPr="00E546C7" w:rsidRDefault="00764D9A" w:rsidP="00B11AF1">
            <w:pPr>
              <w:pStyle w:val="TableText"/>
              <w:jc w:val="center"/>
              <w:rPr>
                <w:rFonts w:cs="Times New Roman"/>
              </w:rPr>
            </w:pPr>
            <w:r w:rsidRPr="00E546C7">
              <w:rPr>
                <w:rFonts w:eastAsia="Times New Roman" w:cs="Times New Roman"/>
                <w:sz w:val="16"/>
              </w:rPr>
              <w:t>-0.365515</w:t>
            </w:r>
          </w:p>
        </w:tc>
        <w:tc>
          <w:tcPr>
            <w:tcW w:w="1100" w:type="dxa"/>
            <w:tcMar>
              <w:top w:w="80" w:type="dxa"/>
              <w:left w:w="120" w:type="dxa"/>
              <w:bottom w:w="80" w:type="dxa"/>
              <w:right w:w="120" w:type="dxa"/>
            </w:tcMar>
            <w:vAlign w:val="center"/>
          </w:tcPr>
          <w:p w14:paraId="01C43B31" w14:textId="77777777" w:rsidR="00764D9A" w:rsidRPr="00E546C7" w:rsidRDefault="00764D9A" w:rsidP="00B11AF1">
            <w:pPr>
              <w:pStyle w:val="TableText"/>
              <w:jc w:val="center"/>
              <w:rPr>
                <w:rFonts w:cs="Times New Roman"/>
              </w:rPr>
            </w:pPr>
            <w:r w:rsidRPr="00E546C7">
              <w:rPr>
                <w:rFonts w:eastAsia="Times New Roman" w:cs="Times New Roman"/>
                <w:sz w:val="16"/>
              </w:rPr>
              <w:t>0.716333</w:t>
            </w:r>
          </w:p>
        </w:tc>
        <w:tc>
          <w:tcPr>
            <w:tcW w:w="1100" w:type="dxa"/>
            <w:tcMar>
              <w:top w:w="80" w:type="dxa"/>
              <w:left w:w="120" w:type="dxa"/>
              <w:bottom w:w="80" w:type="dxa"/>
              <w:right w:w="120" w:type="dxa"/>
            </w:tcMar>
            <w:vAlign w:val="center"/>
          </w:tcPr>
          <w:p w14:paraId="601F64FF" w14:textId="77777777" w:rsidR="00764D9A" w:rsidRPr="00E546C7" w:rsidRDefault="00764D9A" w:rsidP="00B11AF1">
            <w:pPr>
              <w:pStyle w:val="TableText"/>
              <w:jc w:val="center"/>
              <w:rPr>
                <w:rFonts w:cs="Times New Roman"/>
              </w:rPr>
            </w:pPr>
            <w:r w:rsidRPr="00E546C7">
              <w:rPr>
                <w:rFonts w:eastAsia="Times New Roman" w:cs="Times New Roman"/>
                <w:sz w:val="16"/>
              </w:rPr>
              <w:t>0.003682</w:t>
            </w:r>
          </w:p>
        </w:tc>
        <w:tc>
          <w:tcPr>
            <w:tcW w:w="1270" w:type="dxa"/>
            <w:tcMar>
              <w:top w:w="80" w:type="dxa"/>
              <w:left w:w="120" w:type="dxa"/>
              <w:bottom w:w="80" w:type="dxa"/>
              <w:right w:w="120" w:type="dxa"/>
            </w:tcMar>
            <w:vAlign w:val="center"/>
          </w:tcPr>
          <w:p w14:paraId="2F726C32" w14:textId="77777777" w:rsidR="00764D9A" w:rsidRPr="00E546C7" w:rsidRDefault="00764D9A" w:rsidP="00B11AF1">
            <w:pPr>
              <w:pStyle w:val="TableText"/>
              <w:jc w:val="center"/>
              <w:rPr>
                <w:rFonts w:cs="Times New Roman"/>
              </w:rPr>
            </w:pPr>
            <w:r w:rsidRPr="00E546C7">
              <w:rPr>
                <w:rFonts w:eastAsia="Times New Roman" w:cs="Times New Roman"/>
                <w:sz w:val="16"/>
              </w:rPr>
              <w:t>-0.017074</w:t>
            </w:r>
          </w:p>
        </w:tc>
      </w:tr>
    </w:tbl>
    <w:p w14:paraId="45A095B3" w14:textId="77777777" w:rsidR="00764D9A" w:rsidRPr="00E546C7" w:rsidRDefault="00764D9A" w:rsidP="00764D9A">
      <w:pPr>
        <w:pStyle w:val="SourceNote"/>
        <w:rPr>
          <w:rFonts w:cs="Times New Roman"/>
        </w:rPr>
      </w:pPr>
      <w:r w:rsidRPr="00E546C7">
        <w:rPr>
          <w:rFonts w:eastAsia="Times New Roman" w:cs="Times New Roman"/>
        </w:rPr>
        <w:t>Source: Author’s analysis of survey data (n = 50).</w:t>
      </w:r>
    </w:p>
    <w:p w14:paraId="3C9BC34D" w14:textId="77777777" w:rsidR="00764D9A" w:rsidRPr="00E546C7" w:rsidRDefault="00764D9A" w:rsidP="00764D9A">
      <w:pPr>
        <w:pStyle w:val="Caption"/>
        <w:jc w:val="left"/>
        <w:rPr>
          <w:rFonts w:cs="Times New Roman"/>
        </w:rPr>
      </w:pPr>
      <w:r w:rsidRPr="00E546C7">
        <w:rPr>
          <w:rFonts w:eastAsia="Times New Roman" w:cs="Times New Roman"/>
          <w:color w:val="1F2933"/>
        </w:rPr>
        <w:t>Table D3: Hypothesis Decision Rules</w:t>
      </w:r>
    </w:p>
    <w:tbl>
      <w:tblPr>
        <w:tblStyle w:val="TableGrid"/>
        <w:tblW w:w="9020" w:type="dxa"/>
        <w:tblInd w:w="120" w:type="dxa"/>
        <w:tblLayout w:type="fixed"/>
        <w:tblLook w:val="04A0" w:firstRow="1" w:lastRow="0" w:firstColumn="1" w:lastColumn="0" w:noHBand="0" w:noVBand="1"/>
      </w:tblPr>
      <w:tblGrid>
        <w:gridCol w:w="1400"/>
        <w:gridCol w:w="5600"/>
        <w:gridCol w:w="2020"/>
      </w:tblGrid>
      <w:tr w:rsidR="00764D9A" w:rsidRPr="00E546C7" w14:paraId="1F8513EA" w14:textId="77777777" w:rsidTr="00B11AF1">
        <w:trPr>
          <w:cantSplit/>
          <w:tblHeader/>
        </w:trPr>
        <w:tc>
          <w:tcPr>
            <w:tcW w:w="1400" w:type="dxa"/>
            <w:shd w:val="clear" w:color="auto" w:fill="17365D"/>
            <w:tcMar>
              <w:top w:w="80" w:type="dxa"/>
              <w:left w:w="120" w:type="dxa"/>
              <w:bottom w:w="80" w:type="dxa"/>
              <w:right w:w="120" w:type="dxa"/>
            </w:tcMar>
            <w:vAlign w:val="center"/>
          </w:tcPr>
          <w:p w14:paraId="3EA0418E" w14:textId="77777777" w:rsidR="00764D9A" w:rsidRPr="00E546C7" w:rsidRDefault="00764D9A" w:rsidP="00B11AF1">
            <w:pPr>
              <w:pStyle w:val="TableHeader"/>
              <w:rPr>
                <w:rFonts w:cs="Times New Roman"/>
              </w:rPr>
            </w:pPr>
            <w:r w:rsidRPr="00E546C7">
              <w:rPr>
                <w:rFonts w:eastAsia="Times New Roman" w:cs="Times New Roman"/>
                <w:b/>
                <w:sz w:val="18"/>
              </w:rPr>
              <w:t>Decision</w:t>
            </w:r>
          </w:p>
        </w:tc>
        <w:tc>
          <w:tcPr>
            <w:tcW w:w="5600" w:type="dxa"/>
            <w:shd w:val="clear" w:color="auto" w:fill="17365D"/>
            <w:tcMar>
              <w:top w:w="80" w:type="dxa"/>
              <w:left w:w="120" w:type="dxa"/>
              <w:bottom w:w="80" w:type="dxa"/>
              <w:right w:w="120" w:type="dxa"/>
            </w:tcMar>
            <w:vAlign w:val="center"/>
          </w:tcPr>
          <w:p w14:paraId="24FFC399" w14:textId="77777777" w:rsidR="00764D9A" w:rsidRPr="00E546C7" w:rsidRDefault="00764D9A" w:rsidP="00B11AF1">
            <w:pPr>
              <w:pStyle w:val="TableHeader"/>
              <w:rPr>
                <w:rFonts w:cs="Times New Roman"/>
              </w:rPr>
            </w:pPr>
            <w:r w:rsidRPr="00E546C7">
              <w:rPr>
                <w:rFonts w:eastAsia="Times New Roman" w:cs="Times New Roman"/>
                <w:b/>
                <w:sz w:val="18"/>
              </w:rPr>
              <w:t>Rule Applied</w:t>
            </w:r>
          </w:p>
        </w:tc>
        <w:tc>
          <w:tcPr>
            <w:tcW w:w="2020" w:type="dxa"/>
            <w:shd w:val="clear" w:color="auto" w:fill="17365D"/>
            <w:tcMar>
              <w:top w:w="80" w:type="dxa"/>
              <w:left w:w="120" w:type="dxa"/>
              <w:bottom w:w="80" w:type="dxa"/>
              <w:right w:w="120" w:type="dxa"/>
            </w:tcMar>
            <w:vAlign w:val="center"/>
          </w:tcPr>
          <w:p w14:paraId="02FF845A" w14:textId="77777777" w:rsidR="00764D9A" w:rsidRPr="00E546C7" w:rsidRDefault="00764D9A" w:rsidP="00B11AF1">
            <w:pPr>
              <w:pStyle w:val="TableHeader"/>
              <w:rPr>
                <w:rFonts w:cs="Times New Roman"/>
              </w:rPr>
            </w:pPr>
            <w:r w:rsidRPr="00E546C7">
              <w:rPr>
                <w:rFonts w:eastAsia="Times New Roman" w:cs="Times New Roman"/>
                <w:b/>
                <w:sz w:val="18"/>
              </w:rPr>
              <w:t>Outcome</w:t>
            </w:r>
          </w:p>
        </w:tc>
      </w:tr>
      <w:tr w:rsidR="00764D9A" w:rsidRPr="00E546C7" w14:paraId="492EF7FB" w14:textId="77777777" w:rsidTr="00B11AF1">
        <w:trPr>
          <w:cantSplit/>
        </w:trPr>
        <w:tc>
          <w:tcPr>
            <w:tcW w:w="1400" w:type="dxa"/>
            <w:tcMar>
              <w:top w:w="80" w:type="dxa"/>
              <w:left w:w="120" w:type="dxa"/>
              <w:bottom w:w="80" w:type="dxa"/>
              <w:right w:w="120" w:type="dxa"/>
            </w:tcMar>
            <w:vAlign w:val="center"/>
          </w:tcPr>
          <w:p w14:paraId="4F59B9B9" w14:textId="77777777" w:rsidR="00764D9A" w:rsidRPr="00E546C7" w:rsidRDefault="00764D9A" w:rsidP="00B11AF1">
            <w:pPr>
              <w:pStyle w:val="TableText"/>
              <w:rPr>
                <w:rFonts w:cs="Times New Roman"/>
              </w:rPr>
            </w:pPr>
            <w:r w:rsidRPr="00E546C7">
              <w:rPr>
                <w:rFonts w:eastAsia="Times New Roman" w:cs="Times New Roman"/>
                <w:sz w:val="18"/>
              </w:rPr>
              <w:t>H1</w:t>
            </w:r>
          </w:p>
        </w:tc>
        <w:tc>
          <w:tcPr>
            <w:tcW w:w="5600" w:type="dxa"/>
            <w:tcMar>
              <w:top w:w="80" w:type="dxa"/>
              <w:left w:w="120" w:type="dxa"/>
              <w:bottom w:w="80" w:type="dxa"/>
              <w:right w:w="120" w:type="dxa"/>
            </w:tcMar>
            <w:vAlign w:val="center"/>
          </w:tcPr>
          <w:p w14:paraId="4036C426" w14:textId="77777777" w:rsidR="00764D9A" w:rsidRPr="00E546C7" w:rsidRDefault="00764D9A" w:rsidP="00B11AF1">
            <w:pPr>
              <w:pStyle w:val="TableText"/>
              <w:rPr>
                <w:rFonts w:cs="Times New Roman"/>
              </w:rPr>
            </w:pPr>
            <w:r w:rsidRPr="00E546C7">
              <w:rPr>
                <w:rFonts w:eastAsia="Times New Roman" w:cs="Times New Roman"/>
                <w:sz w:val="18"/>
              </w:rPr>
              <w:t>Separate perceived-IMC and attitude–purchase scores; positive ρ; p &lt; .05; interval above zero</w:t>
            </w:r>
          </w:p>
        </w:tc>
        <w:tc>
          <w:tcPr>
            <w:tcW w:w="2020" w:type="dxa"/>
            <w:tcMar>
              <w:top w:w="80" w:type="dxa"/>
              <w:left w:w="120" w:type="dxa"/>
              <w:bottom w:w="80" w:type="dxa"/>
              <w:right w:w="120" w:type="dxa"/>
            </w:tcMar>
            <w:vAlign w:val="center"/>
          </w:tcPr>
          <w:p w14:paraId="100FCCC2" w14:textId="77777777" w:rsidR="00764D9A" w:rsidRPr="00E546C7" w:rsidRDefault="00764D9A" w:rsidP="00B11AF1">
            <w:pPr>
              <w:pStyle w:val="TableText"/>
              <w:jc w:val="center"/>
              <w:rPr>
                <w:rFonts w:cs="Times New Roman"/>
              </w:rPr>
            </w:pPr>
            <w:r w:rsidRPr="00E546C7">
              <w:rPr>
                <w:rFonts w:eastAsia="Times New Roman" w:cs="Times New Roman"/>
                <w:sz w:val="18"/>
              </w:rPr>
              <w:t>Supported</w:t>
            </w:r>
          </w:p>
        </w:tc>
      </w:tr>
      <w:tr w:rsidR="00764D9A" w:rsidRPr="00E546C7" w14:paraId="71BB4962" w14:textId="77777777" w:rsidTr="00B11AF1">
        <w:trPr>
          <w:cantSplit/>
        </w:trPr>
        <w:tc>
          <w:tcPr>
            <w:tcW w:w="1400" w:type="dxa"/>
            <w:shd w:val="clear" w:color="auto" w:fill="F2F4F7"/>
            <w:tcMar>
              <w:top w:w="80" w:type="dxa"/>
              <w:left w:w="120" w:type="dxa"/>
              <w:bottom w:w="80" w:type="dxa"/>
              <w:right w:w="120" w:type="dxa"/>
            </w:tcMar>
            <w:vAlign w:val="center"/>
          </w:tcPr>
          <w:p w14:paraId="29EC394B" w14:textId="77777777" w:rsidR="00764D9A" w:rsidRPr="00E546C7" w:rsidRDefault="00764D9A" w:rsidP="00B11AF1">
            <w:pPr>
              <w:pStyle w:val="TableText"/>
              <w:rPr>
                <w:rFonts w:cs="Times New Roman"/>
              </w:rPr>
            </w:pPr>
            <w:r w:rsidRPr="00E546C7">
              <w:rPr>
                <w:rFonts w:eastAsia="Times New Roman" w:cs="Times New Roman"/>
                <w:sz w:val="18"/>
              </w:rPr>
              <w:t>H2</w:t>
            </w:r>
          </w:p>
        </w:tc>
        <w:tc>
          <w:tcPr>
            <w:tcW w:w="5600" w:type="dxa"/>
            <w:shd w:val="clear" w:color="auto" w:fill="F2F4F7"/>
            <w:tcMar>
              <w:top w:w="80" w:type="dxa"/>
              <w:left w:w="120" w:type="dxa"/>
              <w:bottom w:w="80" w:type="dxa"/>
              <w:right w:w="120" w:type="dxa"/>
            </w:tcMar>
            <w:vAlign w:val="center"/>
          </w:tcPr>
          <w:p w14:paraId="665EB54E" w14:textId="77777777" w:rsidR="00764D9A" w:rsidRPr="00E546C7" w:rsidRDefault="00764D9A" w:rsidP="00B11AF1">
            <w:pPr>
              <w:pStyle w:val="TableText"/>
              <w:rPr>
                <w:rFonts w:cs="Times New Roman"/>
              </w:rPr>
            </w:pPr>
            <w:r w:rsidRPr="00E546C7">
              <w:rPr>
                <w:rFonts w:eastAsia="Times New Roman" w:cs="Times New Roman"/>
                <w:sz w:val="18"/>
              </w:rPr>
              <w:t>Perceived-IMC and Q10 loyalty score; positive ρ; p &lt; .05; interval above zero</w:t>
            </w:r>
          </w:p>
        </w:tc>
        <w:tc>
          <w:tcPr>
            <w:tcW w:w="2020" w:type="dxa"/>
            <w:shd w:val="clear" w:color="auto" w:fill="F2F4F7"/>
            <w:tcMar>
              <w:top w:w="80" w:type="dxa"/>
              <w:left w:w="120" w:type="dxa"/>
              <w:bottom w:w="80" w:type="dxa"/>
              <w:right w:w="120" w:type="dxa"/>
            </w:tcMar>
            <w:vAlign w:val="center"/>
          </w:tcPr>
          <w:p w14:paraId="5A5E60FA" w14:textId="77777777" w:rsidR="00764D9A" w:rsidRPr="00E546C7" w:rsidRDefault="00764D9A" w:rsidP="00B11AF1">
            <w:pPr>
              <w:pStyle w:val="TableText"/>
              <w:jc w:val="center"/>
              <w:rPr>
                <w:rFonts w:cs="Times New Roman"/>
              </w:rPr>
            </w:pPr>
            <w:r w:rsidRPr="00E546C7">
              <w:rPr>
                <w:rFonts w:eastAsia="Times New Roman" w:cs="Times New Roman"/>
                <w:sz w:val="18"/>
              </w:rPr>
              <w:t>Not supported</w:t>
            </w:r>
          </w:p>
        </w:tc>
      </w:tr>
      <w:tr w:rsidR="00764D9A" w:rsidRPr="00E546C7" w14:paraId="17B0A771" w14:textId="77777777" w:rsidTr="00B11AF1">
        <w:trPr>
          <w:cantSplit/>
        </w:trPr>
        <w:tc>
          <w:tcPr>
            <w:tcW w:w="1400" w:type="dxa"/>
            <w:tcMar>
              <w:top w:w="80" w:type="dxa"/>
              <w:left w:w="120" w:type="dxa"/>
              <w:bottom w:w="80" w:type="dxa"/>
              <w:right w:w="120" w:type="dxa"/>
            </w:tcMar>
            <w:vAlign w:val="center"/>
          </w:tcPr>
          <w:p w14:paraId="38FB2A64" w14:textId="77777777" w:rsidR="00764D9A" w:rsidRPr="00E546C7" w:rsidRDefault="00764D9A" w:rsidP="00B11AF1">
            <w:pPr>
              <w:pStyle w:val="TableText"/>
              <w:rPr>
                <w:rFonts w:cs="Times New Roman"/>
              </w:rPr>
            </w:pPr>
            <w:r w:rsidRPr="00E546C7">
              <w:rPr>
                <w:rFonts w:eastAsia="Times New Roman" w:cs="Times New Roman"/>
                <w:sz w:val="18"/>
              </w:rPr>
              <w:t>Causality</w:t>
            </w:r>
          </w:p>
        </w:tc>
        <w:tc>
          <w:tcPr>
            <w:tcW w:w="5600" w:type="dxa"/>
            <w:tcMar>
              <w:top w:w="80" w:type="dxa"/>
              <w:left w:w="120" w:type="dxa"/>
              <w:bottom w:w="80" w:type="dxa"/>
              <w:right w:w="120" w:type="dxa"/>
            </w:tcMar>
            <w:vAlign w:val="center"/>
          </w:tcPr>
          <w:p w14:paraId="1696067D" w14:textId="77777777" w:rsidR="00764D9A" w:rsidRPr="00E546C7" w:rsidRDefault="00764D9A" w:rsidP="00B11AF1">
            <w:pPr>
              <w:pStyle w:val="TableText"/>
              <w:rPr>
                <w:rFonts w:cs="Times New Roman"/>
              </w:rPr>
            </w:pPr>
            <w:r w:rsidRPr="00E546C7">
              <w:rPr>
                <w:rFonts w:eastAsia="Times New Roman" w:cs="Times New Roman"/>
                <w:sz w:val="18"/>
              </w:rPr>
              <w:t>Cross-sectional self-report cannot establish temporal order or experimental control</w:t>
            </w:r>
          </w:p>
        </w:tc>
        <w:tc>
          <w:tcPr>
            <w:tcW w:w="2020" w:type="dxa"/>
            <w:tcMar>
              <w:top w:w="80" w:type="dxa"/>
              <w:left w:w="120" w:type="dxa"/>
              <w:bottom w:w="80" w:type="dxa"/>
              <w:right w:w="120" w:type="dxa"/>
            </w:tcMar>
            <w:vAlign w:val="center"/>
          </w:tcPr>
          <w:p w14:paraId="148399D1" w14:textId="77777777" w:rsidR="00764D9A" w:rsidRPr="00E546C7" w:rsidRDefault="00764D9A" w:rsidP="00B11AF1">
            <w:pPr>
              <w:pStyle w:val="TableText"/>
              <w:jc w:val="center"/>
              <w:rPr>
                <w:rFonts w:cs="Times New Roman"/>
              </w:rPr>
            </w:pPr>
            <w:r w:rsidRPr="00E546C7">
              <w:rPr>
                <w:rFonts w:eastAsia="Times New Roman" w:cs="Times New Roman"/>
                <w:sz w:val="18"/>
              </w:rPr>
              <w:t>No causal claim</w:t>
            </w:r>
          </w:p>
        </w:tc>
      </w:tr>
    </w:tbl>
    <w:p w14:paraId="61BE64CA" w14:textId="77777777" w:rsidR="00764D9A" w:rsidRPr="00E546C7" w:rsidRDefault="00764D9A" w:rsidP="00851BEF">
      <w:pPr>
        <w:rPr>
          <w:lang w:val="en-US" w:bidi="bn-IN"/>
        </w:rPr>
      </w:pPr>
    </w:p>
    <w:sectPr w:rsidR="00764D9A" w:rsidRPr="00E546C7" w:rsidSect="00562DF2">
      <w:footerReference w:type="default" r:id="rId7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20C53" w14:textId="77777777" w:rsidR="008A66D0" w:rsidRDefault="008A66D0" w:rsidP="00CD3D2B">
      <w:r>
        <w:separator/>
      </w:r>
    </w:p>
  </w:endnote>
  <w:endnote w:type="continuationSeparator" w:id="0">
    <w:p w14:paraId="22F84D33" w14:textId="77777777" w:rsidR="008A66D0" w:rsidRDefault="008A66D0"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7CDC6" w14:textId="77777777" w:rsidR="008A66D0" w:rsidRDefault="008A66D0" w:rsidP="00CD3D2B">
      <w:r>
        <w:separator/>
      </w:r>
    </w:p>
  </w:footnote>
  <w:footnote w:type="continuationSeparator" w:id="0">
    <w:p w14:paraId="4892BB2F" w14:textId="77777777" w:rsidR="008A66D0" w:rsidRDefault="008A66D0"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92D2AEF"/>
    <w:multiLevelType w:val="multilevel"/>
    <w:tmpl w:val="86C6D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2528C9"/>
    <w:multiLevelType w:val="multilevel"/>
    <w:tmpl w:val="AED6F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B44FFE"/>
    <w:multiLevelType w:val="multilevel"/>
    <w:tmpl w:val="3C120A6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B7624A"/>
    <w:multiLevelType w:val="hybridMultilevel"/>
    <w:tmpl w:val="E0BE7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EF2D01"/>
    <w:multiLevelType w:val="multilevel"/>
    <w:tmpl w:val="5A1E9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D30885"/>
    <w:multiLevelType w:val="hybridMultilevel"/>
    <w:tmpl w:val="F0464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303791"/>
    <w:multiLevelType w:val="hybridMultilevel"/>
    <w:tmpl w:val="77F6B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24"/>
  </w:num>
  <w:num w:numId="2" w16cid:durableId="2122604883">
    <w:abstractNumId w:val="1"/>
  </w:num>
  <w:num w:numId="3" w16cid:durableId="1286472407">
    <w:abstractNumId w:val="12"/>
  </w:num>
  <w:num w:numId="4" w16cid:durableId="331644281">
    <w:abstractNumId w:val="30"/>
  </w:num>
  <w:num w:numId="5" w16cid:durableId="980620283">
    <w:abstractNumId w:val="14"/>
  </w:num>
  <w:num w:numId="6" w16cid:durableId="1510290980">
    <w:abstractNumId w:val="25"/>
  </w:num>
  <w:num w:numId="7" w16cid:durableId="644555557">
    <w:abstractNumId w:val="5"/>
  </w:num>
  <w:num w:numId="8" w16cid:durableId="1079444970">
    <w:abstractNumId w:val="2"/>
  </w:num>
  <w:num w:numId="9" w16cid:durableId="697318361">
    <w:abstractNumId w:val="13"/>
  </w:num>
  <w:num w:numId="10" w16cid:durableId="1805997788">
    <w:abstractNumId w:val="8"/>
  </w:num>
  <w:num w:numId="11" w16cid:durableId="168755656">
    <w:abstractNumId w:val="4"/>
  </w:num>
  <w:num w:numId="12" w16cid:durableId="2027949617">
    <w:abstractNumId w:val="15"/>
  </w:num>
  <w:num w:numId="13" w16cid:durableId="49959725">
    <w:abstractNumId w:val="17"/>
  </w:num>
  <w:num w:numId="14" w16cid:durableId="1234389626">
    <w:abstractNumId w:val="28"/>
  </w:num>
  <w:num w:numId="15" w16cid:durableId="465972463">
    <w:abstractNumId w:val="3"/>
  </w:num>
  <w:num w:numId="16" w16cid:durableId="298726687">
    <w:abstractNumId w:val="20"/>
  </w:num>
  <w:num w:numId="17" w16cid:durableId="1875531569">
    <w:abstractNumId w:val="19"/>
  </w:num>
  <w:num w:numId="18" w16cid:durableId="950672849">
    <w:abstractNumId w:val="0"/>
  </w:num>
  <w:num w:numId="19" w16cid:durableId="1900554292">
    <w:abstractNumId w:val="18"/>
  </w:num>
  <w:num w:numId="20" w16cid:durableId="95445685">
    <w:abstractNumId w:val="23"/>
  </w:num>
  <w:num w:numId="21" w16cid:durableId="1028457272">
    <w:abstractNumId w:val="9"/>
  </w:num>
  <w:num w:numId="22" w16cid:durableId="1063605060">
    <w:abstractNumId w:val="16"/>
  </w:num>
  <w:num w:numId="23" w16cid:durableId="1856383850">
    <w:abstractNumId w:val="22"/>
  </w:num>
  <w:num w:numId="24" w16cid:durableId="1527869724">
    <w:abstractNumId w:val="6"/>
  </w:num>
  <w:num w:numId="25" w16cid:durableId="1139103853">
    <w:abstractNumId w:val="10"/>
  </w:num>
  <w:num w:numId="26" w16cid:durableId="406077366">
    <w:abstractNumId w:val="7"/>
  </w:num>
  <w:num w:numId="27" w16cid:durableId="1452430396">
    <w:abstractNumId w:val="26"/>
  </w:num>
  <w:num w:numId="28" w16cid:durableId="1933509506">
    <w:abstractNumId w:val="29"/>
  </w:num>
  <w:num w:numId="29" w16cid:durableId="2081437947">
    <w:abstractNumId w:val="11"/>
  </w:num>
  <w:num w:numId="30" w16cid:durableId="1883983134">
    <w:abstractNumId w:val="21"/>
  </w:num>
  <w:num w:numId="31" w16cid:durableId="850802863">
    <w:abstractNumId w:val="2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6B7E"/>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87C30"/>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4326"/>
    <w:rsid w:val="000E628B"/>
    <w:rsid w:val="000E6A7E"/>
    <w:rsid w:val="000F016C"/>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52B"/>
    <w:rsid w:val="001127DF"/>
    <w:rsid w:val="0011301C"/>
    <w:rsid w:val="00115303"/>
    <w:rsid w:val="00120D5E"/>
    <w:rsid w:val="00121E0B"/>
    <w:rsid w:val="00122133"/>
    <w:rsid w:val="00125780"/>
    <w:rsid w:val="001274E4"/>
    <w:rsid w:val="001279FD"/>
    <w:rsid w:val="00127A02"/>
    <w:rsid w:val="00130B02"/>
    <w:rsid w:val="0013127F"/>
    <w:rsid w:val="001354AC"/>
    <w:rsid w:val="00136215"/>
    <w:rsid w:val="00151090"/>
    <w:rsid w:val="001518FD"/>
    <w:rsid w:val="00152221"/>
    <w:rsid w:val="00152F46"/>
    <w:rsid w:val="001534BB"/>
    <w:rsid w:val="001547C8"/>
    <w:rsid w:val="0015619C"/>
    <w:rsid w:val="00175F11"/>
    <w:rsid w:val="0017745F"/>
    <w:rsid w:val="00181D0D"/>
    <w:rsid w:val="0018362A"/>
    <w:rsid w:val="00183BD9"/>
    <w:rsid w:val="00184365"/>
    <w:rsid w:val="001866FE"/>
    <w:rsid w:val="00190A13"/>
    <w:rsid w:val="00190D94"/>
    <w:rsid w:val="001925E6"/>
    <w:rsid w:val="001951E6"/>
    <w:rsid w:val="00195D22"/>
    <w:rsid w:val="001975B1"/>
    <w:rsid w:val="001A0D4C"/>
    <w:rsid w:val="001A174E"/>
    <w:rsid w:val="001A61B4"/>
    <w:rsid w:val="001A7080"/>
    <w:rsid w:val="001A743D"/>
    <w:rsid w:val="001B2541"/>
    <w:rsid w:val="001B5EDB"/>
    <w:rsid w:val="001C01AB"/>
    <w:rsid w:val="001C151F"/>
    <w:rsid w:val="001C1DAF"/>
    <w:rsid w:val="001C2306"/>
    <w:rsid w:val="001C3732"/>
    <w:rsid w:val="001C5ADB"/>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5EC0"/>
    <w:rsid w:val="001E66B2"/>
    <w:rsid w:val="001F13D8"/>
    <w:rsid w:val="001F1B95"/>
    <w:rsid w:val="001F4953"/>
    <w:rsid w:val="001F49A8"/>
    <w:rsid w:val="001F4EB9"/>
    <w:rsid w:val="001F6A40"/>
    <w:rsid w:val="00202B71"/>
    <w:rsid w:val="00207B08"/>
    <w:rsid w:val="00210E8D"/>
    <w:rsid w:val="00212737"/>
    <w:rsid w:val="00212E39"/>
    <w:rsid w:val="0021535A"/>
    <w:rsid w:val="002176C3"/>
    <w:rsid w:val="0022051D"/>
    <w:rsid w:val="0022082F"/>
    <w:rsid w:val="00222AC8"/>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3E72"/>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D6854"/>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5971"/>
    <w:rsid w:val="003272FE"/>
    <w:rsid w:val="0032761B"/>
    <w:rsid w:val="003278B5"/>
    <w:rsid w:val="00327CEC"/>
    <w:rsid w:val="0033254A"/>
    <w:rsid w:val="0033437C"/>
    <w:rsid w:val="003402FC"/>
    <w:rsid w:val="00342503"/>
    <w:rsid w:val="00346F1E"/>
    <w:rsid w:val="00347E5D"/>
    <w:rsid w:val="0035068C"/>
    <w:rsid w:val="00353511"/>
    <w:rsid w:val="00353E19"/>
    <w:rsid w:val="00354CC0"/>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B75BB"/>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1DF"/>
    <w:rsid w:val="003F6DED"/>
    <w:rsid w:val="004019D5"/>
    <w:rsid w:val="00401CE4"/>
    <w:rsid w:val="00401D9F"/>
    <w:rsid w:val="00402098"/>
    <w:rsid w:val="00402699"/>
    <w:rsid w:val="00402778"/>
    <w:rsid w:val="00402D8A"/>
    <w:rsid w:val="00404558"/>
    <w:rsid w:val="00404EBE"/>
    <w:rsid w:val="00405130"/>
    <w:rsid w:val="004072CC"/>
    <w:rsid w:val="004109ED"/>
    <w:rsid w:val="00411DBF"/>
    <w:rsid w:val="00412297"/>
    <w:rsid w:val="00412B32"/>
    <w:rsid w:val="00414869"/>
    <w:rsid w:val="004152B3"/>
    <w:rsid w:val="004179DE"/>
    <w:rsid w:val="00420483"/>
    <w:rsid w:val="004205AF"/>
    <w:rsid w:val="0042190D"/>
    <w:rsid w:val="00423084"/>
    <w:rsid w:val="00427FF1"/>
    <w:rsid w:val="00434D3B"/>
    <w:rsid w:val="00436054"/>
    <w:rsid w:val="004369C8"/>
    <w:rsid w:val="00437924"/>
    <w:rsid w:val="00440D09"/>
    <w:rsid w:val="00442F9A"/>
    <w:rsid w:val="00444398"/>
    <w:rsid w:val="00446AE6"/>
    <w:rsid w:val="00450200"/>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35A1"/>
    <w:rsid w:val="004D4734"/>
    <w:rsid w:val="004D53AE"/>
    <w:rsid w:val="004E2BD5"/>
    <w:rsid w:val="004E4117"/>
    <w:rsid w:val="004E6475"/>
    <w:rsid w:val="004F3288"/>
    <w:rsid w:val="004F3B1E"/>
    <w:rsid w:val="004F3C71"/>
    <w:rsid w:val="004F427A"/>
    <w:rsid w:val="004F4DA3"/>
    <w:rsid w:val="004F50C5"/>
    <w:rsid w:val="004F6A4B"/>
    <w:rsid w:val="004F7ABE"/>
    <w:rsid w:val="00504C66"/>
    <w:rsid w:val="00504F04"/>
    <w:rsid w:val="0051180E"/>
    <w:rsid w:val="00522F49"/>
    <w:rsid w:val="00524792"/>
    <w:rsid w:val="0052611A"/>
    <w:rsid w:val="00530110"/>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C0485"/>
    <w:rsid w:val="005C0E10"/>
    <w:rsid w:val="005C756A"/>
    <w:rsid w:val="005D0EFB"/>
    <w:rsid w:val="005D2E9C"/>
    <w:rsid w:val="005D3BAB"/>
    <w:rsid w:val="005D4F47"/>
    <w:rsid w:val="005D6353"/>
    <w:rsid w:val="005E1969"/>
    <w:rsid w:val="005E1F4D"/>
    <w:rsid w:val="005E22E6"/>
    <w:rsid w:val="005E36DD"/>
    <w:rsid w:val="005E3C11"/>
    <w:rsid w:val="005E3C32"/>
    <w:rsid w:val="005F3F80"/>
    <w:rsid w:val="005F4513"/>
    <w:rsid w:val="005F4FB6"/>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3727A"/>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09E8"/>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4562"/>
    <w:rsid w:val="006B58E4"/>
    <w:rsid w:val="006B6DD1"/>
    <w:rsid w:val="006B7C9A"/>
    <w:rsid w:val="006C18CD"/>
    <w:rsid w:val="006C399E"/>
    <w:rsid w:val="006C4F25"/>
    <w:rsid w:val="006C5D8C"/>
    <w:rsid w:val="006C6A4A"/>
    <w:rsid w:val="006C7E50"/>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3F22"/>
    <w:rsid w:val="006F5FEF"/>
    <w:rsid w:val="006F63D1"/>
    <w:rsid w:val="006F6F83"/>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47C9"/>
    <w:rsid w:val="00726153"/>
    <w:rsid w:val="00730A2D"/>
    <w:rsid w:val="00730BF6"/>
    <w:rsid w:val="007344FD"/>
    <w:rsid w:val="0073459C"/>
    <w:rsid w:val="0073470F"/>
    <w:rsid w:val="007351CE"/>
    <w:rsid w:val="007402C4"/>
    <w:rsid w:val="0074349C"/>
    <w:rsid w:val="00744C21"/>
    <w:rsid w:val="00745234"/>
    <w:rsid w:val="00745DDA"/>
    <w:rsid w:val="007507EB"/>
    <w:rsid w:val="00751E98"/>
    <w:rsid w:val="007571EC"/>
    <w:rsid w:val="00761CA1"/>
    <w:rsid w:val="007621EF"/>
    <w:rsid w:val="00764D9A"/>
    <w:rsid w:val="00765F3E"/>
    <w:rsid w:val="0077106E"/>
    <w:rsid w:val="00771755"/>
    <w:rsid w:val="00771766"/>
    <w:rsid w:val="00771F83"/>
    <w:rsid w:val="00772A34"/>
    <w:rsid w:val="0078081B"/>
    <w:rsid w:val="0078436B"/>
    <w:rsid w:val="00784722"/>
    <w:rsid w:val="00785215"/>
    <w:rsid w:val="00786CEA"/>
    <w:rsid w:val="00791B43"/>
    <w:rsid w:val="007927B7"/>
    <w:rsid w:val="0079425E"/>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35C6A"/>
    <w:rsid w:val="00836399"/>
    <w:rsid w:val="00841149"/>
    <w:rsid w:val="00841A43"/>
    <w:rsid w:val="00842F6F"/>
    <w:rsid w:val="008437D5"/>
    <w:rsid w:val="00846A78"/>
    <w:rsid w:val="00847280"/>
    <w:rsid w:val="00850122"/>
    <w:rsid w:val="008508A5"/>
    <w:rsid w:val="00850F09"/>
    <w:rsid w:val="00851A85"/>
    <w:rsid w:val="00851BEF"/>
    <w:rsid w:val="00852B2A"/>
    <w:rsid w:val="008556D5"/>
    <w:rsid w:val="00856D27"/>
    <w:rsid w:val="008602B8"/>
    <w:rsid w:val="00863019"/>
    <w:rsid w:val="00863F8A"/>
    <w:rsid w:val="008646CF"/>
    <w:rsid w:val="00864AFD"/>
    <w:rsid w:val="008655DE"/>
    <w:rsid w:val="00865967"/>
    <w:rsid w:val="00867BB7"/>
    <w:rsid w:val="00871161"/>
    <w:rsid w:val="00873B26"/>
    <w:rsid w:val="00876F66"/>
    <w:rsid w:val="00877970"/>
    <w:rsid w:val="008808D5"/>
    <w:rsid w:val="00880EC7"/>
    <w:rsid w:val="008865B3"/>
    <w:rsid w:val="00892242"/>
    <w:rsid w:val="008952ED"/>
    <w:rsid w:val="00896CEC"/>
    <w:rsid w:val="008A2DF7"/>
    <w:rsid w:val="008A33F7"/>
    <w:rsid w:val="008A3621"/>
    <w:rsid w:val="008A4451"/>
    <w:rsid w:val="008A66D0"/>
    <w:rsid w:val="008A7DAE"/>
    <w:rsid w:val="008B177F"/>
    <w:rsid w:val="008B184E"/>
    <w:rsid w:val="008B1DB5"/>
    <w:rsid w:val="008B20B6"/>
    <w:rsid w:val="008B271A"/>
    <w:rsid w:val="008B51D5"/>
    <w:rsid w:val="008B607E"/>
    <w:rsid w:val="008C19E4"/>
    <w:rsid w:val="008C206A"/>
    <w:rsid w:val="008C24CA"/>
    <w:rsid w:val="008C2592"/>
    <w:rsid w:val="008C26B9"/>
    <w:rsid w:val="008C281F"/>
    <w:rsid w:val="008C3790"/>
    <w:rsid w:val="008C48FB"/>
    <w:rsid w:val="008C4B68"/>
    <w:rsid w:val="008C4D88"/>
    <w:rsid w:val="008C6697"/>
    <w:rsid w:val="008D07C5"/>
    <w:rsid w:val="008D1F0B"/>
    <w:rsid w:val="008D2557"/>
    <w:rsid w:val="008D6DC9"/>
    <w:rsid w:val="008E3AFC"/>
    <w:rsid w:val="008E715C"/>
    <w:rsid w:val="008F1AFB"/>
    <w:rsid w:val="008F2B5D"/>
    <w:rsid w:val="008F56F8"/>
    <w:rsid w:val="008F5E17"/>
    <w:rsid w:val="0090403F"/>
    <w:rsid w:val="00905604"/>
    <w:rsid w:val="00911964"/>
    <w:rsid w:val="00915F23"/>
    <w:rsid w:val="00920EB4"/>
    <w:rsid w:val="009267F6"/>
    <w:rsid w:val="00926E76"/>
    <w:rsid w:val="00932226"/>
    <w:rsid w:val="00932CD0"/>
    <w:rsid w:val="00932E0A"/>
    <w:rsid w:val="0093345A"/>
    <w:rsid w:val="00937668"/>
    <w:rsid w:val="00937D83"/>
    <w:rsid w:val="00950E92"/>
    <w:rsid w:val="00951717"/>
    <w:rsid w:val="00953DFE"/>
    <w:rsid w:val="00953E47"/>
    <w:rsid w:val="00954D27"/>
    <w:rsid w:val="009551B5"/>
    <w:rsid w:val="009551CF"/>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546"/>
    <w:rsid w:val="009E3DDA"/>
    <w:rsid w:val="009E462E"/>
    <w:rsid w:val="009E754D"/>
    <w:rsid w:val="009F1364"/>
    <w:rsid w:val="009F22D6"/>
    <w:rsid w:val="009F7F2E"/>
    <w:rsid w:val="00A004D8"/>
    <w:rsid w:val="00A00FAA"/>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4B3C"/>
    <w:rsid w:val="00A452F9"/>
    <w:rsid w:val="00A45D5E"/>
    <w:rsid w:val="00A47DED"/>
    <w:rsid w:val="00A50862"/>
    <w:rsid w:val="00A51E93"/>
    <w:rsid w:val="00A53332"/>
    <w:rsid w:val="00A5448E"/>
    <w:rsid w:val="00A553B2"/>
    <w:rsid w:val="00A56785"/>
    <w:rsid w:val="00A56F08"/>
    <w:rsid w:val="00A61307"/>
    <w:rsid w:val="00A61C94"/>
    <w:rsid w:val="00A655B1"/>
    <w:rsid w:val="00A676C5"/>
    <w:rsid w:val="00A71756"/>
    <w:rsid w:val="00A71DC1"/>
    <w:rsid w:val="00A74763"/>
    <w:rsid w:val="00A8106D"/>
    <w:rsid w:val="00A81911"/>
    <w:rsid w:val="00A86AFE"/>
    <w:rsid w:val="00A924BA"/>
    <w:rsid w:val="00A9301C"/>
    <w:rsid w:val="00A9342F"/>
    <w:rsid w:val="00A96F77"/>
    <w:rsid w:val="00A975C6"/>
    <w:rsid w:val="00AA28E8"/>
    <w:rsid w:val="00AA3758"/>
    <w:rsid w:val="00AA3B8F"/>
    <w:rsid w:val="00AA5152"/>
    <w:rsid w:val="00AA5DCD"/>
    <w:rsid w:val="00AA7982"/>
    <w:rsid w:val="00AB2D81"/>
    <w:rsid w:val="00AB3526"/>
    <w:rsid w:val="00AB3EB4"/>
    <w:rsid w:val="00AB4EF9"/>
    <w:rsid w:val="00AB5056"/>
    <w:rsid w:val="00AB59A3"/>
    <w:rsid w:val="00AB602C"/>
    <w:rsid w:val="00AB69AA"/>
    <w:rsid w:val="00AB6E55"/>
    <w:rsid w:val="00AB763B"/>
    <w:rsid w:val="00AC16FD"/>
    <w:rsid w:val="00AC3C86"/>
    <w:rsid w:val="00AC6FF6"/>
    <w:rsid w:val="00AC7DA1"/>
    <w:rsid w:val="00AD0AE3"/>
    <w:rsid w:val="00AD0E98"/>
    <w:rsid w:val="00AD1988"/>
    <w:rsid w:val="00AD6F1A"/>
    <w:rsid w:val="00AE2187"/>
    <w:rsid w:val="00AE4145"/>
    <w:rsid w:val="00AE6DC5"/>
    <w:rsid w:val="00AE7C7B"/>
    <w:rsid w:val="00AF0713"/>
    <w:rsid w:val="00AF1197"/>
    <w:rsid w:val="00AF1605"/>
    <w:rsid w:val="00AF2E72"/>
    <w:rsid w:val="00AF3CC3"/>
    <w:rsid w:val="00AF44F5"/>
    <w:rsid w:val="00AF467F"/>
    <w:rsid w:val="00AF776C"/>
    <w:rsid w:val="00B00207"/>
    <w:rsid w:val="00B00255"/>
    <w:rsid w:val="00B026FE"/>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472F"/>
    <w:rsid w:val="00B555C4"/>
    <w:rsid w:val="00B55873"/>
    <w:rsid w:val="00B55AAC"/>
    <w:rsid w:val="00B57F1F"/>
    <w:rsid w:val="00B60C75"/>
    <w:rsid w:val="00B60E56"/>
    <w:rsid w:val="00B6202C"/>
    <w:rsid w:val="00B643CD"/>
    <w:rsid w:val="00B650C1"/>
    <w:rsid w:val="00B6531A"/>
    <w:rsid w:val="00B67033"/>
    <w:rsid w:val="00B71066"/>
    <w:rsid w:val="00B7573B"/>
    <w:rsid w:val="00B764E7"/>
    <w:rsid w:val="00B77682"/>
    <w:rsid w:val="00B84D5D"/>
    <w:rsid w:val="00B85488"/>
    <w:rsid w:val="00B85515"/>
    <w:rsid w:val="00B87777"/>
    <w:rsid w:val="00B877B3"/>
    <w:rsid w:val="00B926C4"/>
    <w:rsid w:val="00B93961"/>
    <w:rsid w:val="00B940C9"/>
    <w:rsid w:val="00BA08B9"/>
    <w:rsid w:val="00BA097B"/>
    <w:rsid w:val="00BA0C04"/>
    <w:rsid w:val="00BA172D"/>
    <w:rsid w:val="00BA1DE4"/>
    <w:rsid w:val="00BA289F"/>
    <w:rsid w:val="00BA3A44"/>
    <w:rsid w:val="00BA40A9"/>
    <w:rsid w:val="00BA45E3"/>
    <w:rsid w:val="00BA5D9F"/>
    <w:rsid w:val="00BB234E"/>
    <w:rsid w:val="00BB321B"/>
    <w:rsid w:val="00BB381E"/>
    <w:rsid w:val="00BB42C2"/>
    <w:rsid w:val="00BB77A3"/>
    <w:rsid w:val="00BB7DB9"/>
    <w:rsid w:val="00BC0716"/>
    <w:rsid w:val="00BC47A3"/>
    <w:rsid w:val="00BC4F35"/>
    <w:rsid w:val="00BC655F"/>
    <w:rsid w:val="00BC686C"/>
    <w:rsid w:val="00BC7246"/>
    <w:rsid w:val="00BD1A25"/>
    <w:rsid w:val="00BD2013"/>
    <w:rsid w:val="00BD221F"/>
    <w:rsid w:val="00BD3DC5"/>
    <w:rsid w:val="00BD48F4"/>
    <w:rsid w:val="00BD49B3"/>
    <w:rsid w:val="00BD4DB0"/>
    <w:rsid w:val="00BD5D06"/>
    <w:rsid w:val="00BD737D"/>
    <w:rsid w:val="00BE2943"/>
    <w:rsid w:val="00BE30F2"/>
    <w:rsid w:val="00BE3DA9"/>
    <w:rsid w:val="00BE4EB7"/>
    <w:rsid w:val="00BE5541"/>
    <w:rsid w:val="00BE5DC5"/>
    <w:rsid w:val="00BE68F8"/>
    <w:rsid w:val="00BE7F30"/>
    <w:rsid w:val="00BF0D11"/>
    <w:rsid w:val="00BF13A1"/>
    <w:rsid w:val="00BF3DEB"/>
    <w:rsid w:val="00BF5146"/>
    <w:rsid w:val="00BF5E2B"/>
    <w:rsid w:val="00BF732C"/>
    <w:rsid w:val="00C04405"/>
    <w:rsid w:val="00C05E74"/>
    <w:rsid w:val="00C0601A"/>
    <w:rsid w:val="00C12133"/>
    <w:rsid w:val="00C13FE0"/>
    <w:rsid w:val="00C14760"/>
    <w:rsid w:val="00C14A04"/>
    <w:rsid w:val="00C15DD0"/>
    <w:rsid w:val="00C17F99"/>
    <w:rsid w:val="00C20625"/>
    <w:rsid w:val="00C22FB5"/>
    <w:rsid w:val="00C248F8"/>
    <w:rsid w:val="00C257A9"/>
    <w:rsid w:val="00C262EB"/>
    <w:rsid w:val="00C27B7A"/>
    <w:rsid w:val="00C27BD1"/>
    <w:rsid w:val="00C300FE"/>
    <w:rsid w:val="00C3035D"/>
    <w:rsid w:val="00C3200B"/>
    <w:rsid w:val="00C32B60"/>
    <w:rsid w:val="00C32F67"/>
    <w:rsid w:val="00C333D1"/>
    <w:rsid w:val="00C34E2B"/>
    <w:rsid w:val="00C353E5"/>
    <w:rsid w:val="00C367A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87794"/>
    <w:rsid w:val="00C9001B"/>
    <w:rsid w:val="00C9127D"/>
    <w:rsid w:val="00C91737"/>
    <w:rsid w:val="00C972A3"/>
    <w:rsid w:val="00CA07C4"/>
    <w:rsid w:val="00CA0CC3"/>
    <w:rsid w:val="00CA16A3"/>
    <w:rsid w:val="00CA1C2A"/>
    <w:rsid w:val="00CA6CFB"/>
    <w:rsid w:val="00CB18DE"/>
    <w:rsid w:val="00CB4360"/>
    <w:rsid w:val="00CB512A"/>
    <w:rsid w:val="00CB5B25"/>
    <w:rsid w:val="00CB5D4F"/>
    <w:rsid w:val="00CB6B55"/>
    <w:rsid w:val="00CB6E55"/>
    <w:rsid w:val="00CC2D8F"/>
    <w:rsid w:val="00CC4845"/>
    <w:rsid w:val="00CC56EF"/>
    <w:rsid w:val="00CC609F"/>
    <w:rsid w:val="00CC7D6A"/>
    <w:rsid w:val="00CD0FE8"/>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40D2"/>
    <w:rsid w:val="00D267D8"/>
    <w:rsid w:val="00D2773D"/>
    <w:rsid w:val="00D2773F"/>
    <w:rsid w:val="00D30363"/>
    <w:rsid w:val="00D306D7"/>
    <w:rsid w:val="00D32A58"/>
    <w:rsid w:val="00D3500E"/>
    <w:rsid w:val="00D37A37"/>
    <w:rsid w:val="00D4096B"/>
    <w:rsid w:val="00D411EC"/>
    <w:rsid w:val="00D41663"/>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56D2"/>
    <w:rsid w:val="00D7245B"/>
    <w:rsid w:val="00D72C06"/>
    <w:rsid w:val="00D735D9"/>
    <w:rsid w:val="00D73D77"/>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C3190"/>
    <w:rsid w:val="00DD0922"/>
    <w:rsid w:val="00DD0ED6"/>
    <w:rsid w:val="00DD1F6B"/>
    <w:rsid w:val="00DD3F1F"/>
    <w:rsid w:val="00DD4713"/>
    <w:rsid w:val="00DD73F8"/>
    <w:rsid w:val="00DE5575"/>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6DEB"/>
    <w:rsid w:val="00E37361"/>
    <w:rsid w:val="00E4062C"/>
    <w:rsid w:val="00E4210D"/>
    <w:rsid w:val="00E42C54"/>
    <w:rsid w:val="00E430CF"/>
    <w:rsid w:val="00E44828"/>
    <w:rsid w:val="00E4574F"/>
    <w:rsid w:val="00E5002F"/>
    <w:rsid w:val="00E508BF"/>
    <w:rsid w:val="00E51965"/>
    <w:rsid w:val="00E51EB3"/>
    <w:rsid w:val="00E51EBE"/>
    <w:rsid w:val="00E525AD"/>
    <w:rsid w:val="00E52DB0"/>
    <w:rsid w:val="00E53E5A"/>
    <w:rsid w:val="00E546C7"/>
    <w:rsid w:val="00E55832"/>
    <w:rsid w:val="00E55D62"/>
    <w:rsid w:val="00E56429"/>
    <w:rsid w:val="00E56898"/>
    <w:rsid w:val="00E56C58"/>
    <w:rsid w:val="00E601E6"/>
    <w:rsid w:val="00E60449"/>
    <w:rsid w:val="00E60832"/>
    <w:rsid w:val="00E63212"/>
    <w:rsid w:val="00E6474C"/>
    <w:rsid w:val="00E66777"/>
    <w:rsid w:val="00E67525"/>
    <w:rsid w:val="00E70A93"/>
    <w:rsid w:val="00E717B3"/>
    <w:rsid w:val="00E72A13"/>
    <w:rsid w:val="00E72E51"/>
    <w:rsid w:val="00E75100"/>
    <w:rsid w:val="00E7566F"/>
    <w:rsid w:val="00E756E9"/>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262A"/>
    <w:rsid w:val="00EA38FA"/>
    <w:rsid w:val="00EA4244"/>
    <w:rsid w:val="00EA440C"/>
    <w:rsid w:val="00EB3B04"/>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5C"/>
    <w:rsid w:val="00EE0F8D"/>
    <w:rsid w:val="00EE270E"/>
    <w:rsid w:val="00EE5EF8"/>
    <w:rsid w:val="00EE6CBD"/>
    <w:rsid w:val="00EE7B7F"/>
    <w:rsid w:val="00EF03A1"/>
    <w:rsid w:val="00EF1036"/>
    <w:rsid w:val="00EF4094"/>
    <w:rsid w:val="00EF4802"/>
    <w:rsid w:val="00F02946"/>
    <w:rsid w:val="00F02DF8"/>
    <w:rsid w:val="00F03EE2"/>
    <w:rsid w:val="00F06B68"/>
    <w:rsid w:val="00F0796A"/>
    <w:rsid w:val="00F12722"/>
    <w:rsid w:val="00F13DD4"/>
    <w:rsid w:val="00F15718"/>
    <w:rsid w:val="00F172B1"/>
    <w:rsid w:val="00F210AA"/>
    <w:rsid w:val="00F25C06"/>
    <w:rsid w:val="00F30805"/>
    <w:rsid w:val="00F366C1"/>
    <w:rsid w:val="00F407EA"/>
    <w:rsid w:val="00F45052"/>
    <w:rsid w:val="00F51DD9"/>
    <w:rsid w:val="00F54BFA"/>
    <w:rsid w:val="00F54FB4"/>
    <w:rsid w:val="00F5662B"/>
    <w:rsid w:val="00F61925"/>
    <w:rsid w:val="00F64325"/>
    <w:rsid w:val="00F64BCD"/>
    <w:rsid w:val="00F64EA6"/>
    <w:rsid w:val="00F661A9"/>
    <w:rsid w:val="00F6783C"/>
    <w:rsid w:val="00F67FD0"/>
    <w:rsid w:val="00F71409"/>
    <w:rsid w:val="00F71E28"/>
    <w:rsid w:val="00F749C7"/>
    <w:rsid w:val="00F76646"/>
    <w:rsid w:val="00F76940"/>
    <w:rsid w:val="00F77256"/>
    <w:rsid w:val="00F816B0"/>
    <w:rsid w:val="00F820FA"/>
    <w:rsid w:val="00F82AD6"/>
    <w:rsid w:val="00F85E78"/>
    <w:rsid w:val="00F866BE"/>
    <w:rsid w:val="00F868DB"/>
    <w:rsid w:val="00F87516"/>
    <w:rsid w:val="00F8764A"/>
    <w:rsid w:val="00F91DE9"/>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36D3"/>
    <w:rsid w:val="00FF524C"/>
    <w:rsid w:val="40DC0A42"/>
    <w:rsid w:val="69A3BD5A"/>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eastAsia="en-US" w:bidi="bn-IN"/>
      <w14:ligatures w14:val="none"/>
    </w:rPr>
  </w:style>
  <w:style w:type="paragraph" w:styleId="Heading2">
    <w:name w:val="heading 2"/>
    <w:basedOn w:val="Normal"/>
    <w:next w:val="Normal"/>
    <w:link w:val="Heading2Char"/>
    <w:autoRedefine/>
    <w:uiPriority w:val="9"/>
    <w:unhideWhenUsed/>
    <w:qFormat/>
    <w:rsid w:val="001C5ADB"/>
    <w:pPr>
      <w:keepNext/>
      <w:keepLines/>
      <w:spacing w:before="40" w:after="0"/>
      <w:outlineLvl w:val="1"/>
    </w:pPr>
    <w:rPr>
      <w:rFonts w:eastAsiaTheme="majorEastAsia" w:cstheme="majorBidi"/>
      <w:b/>
      <w:color w:val="000000" w:themeColor="text1"/>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73459C"/>
    <w:pPr>
      <w:keepNext/>
      <w:keepLines/>
      <w:spacing w:before="40" w:after="0"/>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rPr>
  </w:style>
  <w:style w:type="character" w:customStyle="1" w:styleId="Heading2Char">
    <w:name w:val="Heading 2 Char"/>
    <w:basedOn w:val="DefaultParagraphFont"/>
    <w:link w:val="Heading2"/>
    <w:uiPriority w:val="9"/>
    <w:rsid w:val="001C5ADB"/>
    <w:rPr>
      <w:rFonts w:ascii="Times New Roman" w:eastAsiaTheme="majorEastAsia" w:hAnsi="Times New Roman" w:cstheme="majorBidi"/>
      <w:b/>
      <w:color w:val="000000" w:themeColor="text1"/>
      <w:sz w:val="26"/>
      <w:szCs w:val="33"/>
    </w:rPr>
  </w:style>
  <w:style w:type="character" w:customStyle="1" w:styleId="Heading3Char">
    <w:name w:val="Heading 3 Char"/>
    <w:basedOn w:val="DefaultParagraphFont"/>
    <w:link w:val="Heading3"/>
    <w:uiPriority w:val="9"/>
    <w:rsid w:val="0073459C"/>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5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PlainTable5">
    <w:name w:val="Plain Table 5"/>
    <w:basedOn w:val="TableNormal"/>
    <w:uiPriority w:val="45"/>
    <w:rsid w:val="001C5AD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73459C"/>
    <w:pPr>
      <w:keepNext/>
      <w:pBdr>
        <w:bottom w:val="single" w:sz="8" w:space="4" w:color="4472C4" w:themeColor="accent1"/>
      </w:pBdr>
      <w:spacing w:before="200" w:after="100" w:line="240" w:lineRule="auto"/>
      <w:contextualSpacing/>
    </w:pPr>
    <w:rPr>
      <w:rFonts w:asciiTheme="majorHAnsi" w:eastAsiaTheme="majorEastAsia" w:hAnsiTheme="majorHAnsi" w:cstheme="majorBidi"/>
      <w:b/>
      <w:color w:val="000000"/>
      <w:spacing w:val="5"/>
      <w:kern w:val="28"/>
      <w:sz w:val="36"/>
      <w:szCs w:val="52"/>
      <w:lang w:val="en-US" w:eastAsia="en-US"/>
      <w14:ligatures w14:val="none"/>
    </w:rPr>
  </w:style>
  <w:style w:type="character" w:customStyle="1" w:styleId="TitleChar">
    <w:name w:val="Title Char"/>
    <w:basedOn w:val="DefaultParagraphFont"/>
    <w:link w:val="Title"/>
    <w:uiPriority w:val="10"/>
    <w:rsid w:val="0073459C"/>
    <w:rPr>
      <w:rFonts w:asciiTheme="majorHAnsi" w:eastAsiaTheme="majorEastAsia" w:hAnsiTheme="majorHAnsi" w:cstheme="majorBidi"/>
      <w:b/>
      <w:color w:val="000000"/>
      <w:spacing w:val="5"/>
      <w:kern w:val="28"/>
      <w:sz w:val="36"/>
      <w:szCs w:val="52"/>
      <w:lang w:val="en-US" w:bidi="ar-SA"/>
    </w:rPr>
  </w:style>
  <w:style w:type="paragraph" w:customStyle="1" w:styleId="SurveyQuestion">
    <w:name w:val="Survey Question"/>
    <w:rsid w:val="007927B7"/>
    <w:pPr>
      <w:spacing w:before="120" w:after="120" w:line="276" w:lineRule="auto"/>
    </w:pPr>
    <w:rPr>
      <w:rFonts w:ascii="Times New Roman" w:eastAsiaTheme="minorEastAsia" w:hAnsi="Times New Roman"/>
      <w:i/>
      <w:color w:val="17365D"/>
      <w:sz w:val="23"/>
      <w:szCs w:val="22"/>
      <w:lang w:val="en-US" w:bidi="ar-SA"/>
    </w:rPr>
  </w:style>
  <w:style w:type="paragraph" w:customStyle="1" w:styleId="SourceNote">
    <w:name w:val="Source Note"/>
    <w:rsid w:val="007927B7"/>
    <w:pPr>
      <w:spacing w:after="140" w:line="240" w:lineRule="auto"/>
      <w:jc w:val="center"/>
    </w:pPr>
    <w:rPr>
      <w:rFonts w:ascii="Times New Roman" w:eastAsiaTheme="minorEastAsia" w:hAnsi="Times New Roman"/>
      <w:i/>
      <w:color w:val="555555"/>
      <w:sz w:val="18"/>
      <w:szCs w:val="22"/>
      <w:lang w:val="en-US" w:bidi="ar-SA"/>
    </w:rPr>
  </w:style>
  <w:style w:type="paragraph" w:customStyle="1" w:styleId="TableText">
    <w:name w:val="Table Text"/>
    <w:rsid w:val="007927B7"/>
    <w:pPr>
      <w:spacing w:after="0" w:line="252" w:lineRule="auto"/>
    </w:pPr>
    <w:rPr>
      <w:rFonts w:ascii="Times New Roman" w:eastAsiaTheme="minorEastAsia" w:hAnsi="Times New Roman"/>
      <w:color w:val="1F2933"/>
      <w:sz w:val="19"/>
      <w:szCs w:val="22"/>
      <w:lang w:val="en-US" w:bidi="ar-SA"/>
    </w:rPr>
  </w:style>
  <w:style w:type="paragraph" w:customStyle="1" w:styleId="TableHeader">
    <w:name w:val="Table Header"/>
    <w:rsid w:val="007927B7"/>
    <w:pPr>
      <w:spacing w:after="0" w:line="240" w:lineRule="auto"/>
      <w:jc w:val="center"/>
    </w:pPr>
    <w:rPr>
      <w:rFonts w:ascii="Times New Roman" w:eastAsiaTheme="minorEastAsia" w:hAnsi="Times New Roman"/>
      <w:color w:val="FFFFFF"/>
      <w:sz w:val="19"/>
      <w:szCs w:val="22"/>
      <w:lang w:val="en-US" w:bidi="ar-SA"/>
    </w:rPr>
  </w:style>
  <w:style w:type="paragraph" w:customStyle="1" w:styleId="Equation">
    <w:name w:val="Equation"/>
    <w:rsid w:val="00764D9A"/>
    <w:pPr>
      <w:spacing w:before="100" w:after="100" w:line="240" w:lineRule="auto"/>
      <w:jc w:val="center"/>
    </w:pPr>
    <w:rPr>
      <w:rFonts w:ascii="Times New Roman" w:eastAsiaTheme="minorEastAsia" w:hAnsi="Times New Roman"/>
      <w:color w:val="1F2933"/>
      <w:szCs w:val="22"/>
      <w:lang w:val="en-US" w:bidi="ar-SA"/>
    </w:rPr>
  </w:style>
  <w:style w:type="paragraph" w:customStyle="1" w:styleId="Reference">
    <w:name w:val="Reference"/>
    <w:rsid w:val="00C15DD0"/>
    <w:pPr>
      <w:spacing w:after="120" w:line="276" w:lineRule="auto"/>
      <w:ind w:left="357" w:hanging="357"/>
    </w:pPr>
    <w:rPr>
      <w:rFonts w:ascii="Times New Roman" w:eastAsiaTheme="minorEastAsia" w:hAnsi="Times New Roman"/>
      <w:color w:val="1F2933"/>
      <w:sz w:val="21"/>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3113368">
      <w:bodyDiv w:val="1"/>
      <w:marLeft w:val="0"/>
      <w:marRight w:val="0"/>
      <w:marTop w:val="0"/>
      <w:marBottom w:val="0"/>
      <w:divBdr>
        <w:top w:val="none" w:sz="0" w:space="0" w:color="auto"/>
        <w:left w:val="none" w:sz="0" w:space="0" w:color="auto"/>
        <w:bottom w:val="none" w:sz="0" w:space="0" w:color="auto"/>
        <w:right w:val="none" w:sz="0" w:space="0" w:color="auto"/>
      </w:divBdr>
      <w:divsChild>
        <w:div w:id="1987271396">
          <w:marLeft w:val="0"/>
          <w:marRight w:val="0"/>
          <w:marTop w:val="0"/>
          <w:marBottom w:val="0"/>
          <w:divBdr>
            <w:top w:val="none" w:sz="0" w:space="0" w:color="auto"/>
            <w:left w:val="none" w:sz="0" w:space="0" w:color="auto"/>
            <w:bottom w:val="none" w:sz="0" w:space="0" w:color="auto"/>
            <w:right w:val="none" w:sz="0" w:space="0" w:color="auto"/>
          </w:divBdr>
        </w:div>
      </w:divsChild>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0110743">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95753683">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07431891">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857692">
      <w:bodyDiv w:val="1"/>
      <w:marLeft w:val="0"/>
      <w:marRight w:val="0"/>
      <w:marTop w:val="0"/>
      <w:marBottom w:val="0"/>
      <w:divBdr>
        <w:top w:val="none" w:sz="0" w:space="0" w:color="auto"/>
        <w:left w:val="none" w:sz="0" w:space="0" w:color="auto"/>
        <w:bottom w:val="none" w:sz="0" w:space="0" w:color="auto"/>
        <w:right w:val="none" w:sz="0" w:space="0" w:color="auto"/>
      </w:divBdr>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49189385">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6866917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291016">
      <w:bodyDiv w:val="1"/>
      <w:marLeft w:val="0"/>
      <w:marRight w:val="0"/>
      <w:marTop w:val="0"/>
      <w:marBottom w:val="0"/>
      <w:divBdr>
        <w:top w:val="none" w:sz="0" w:space="0" w:color="auto"/>
        <w:left w:val="none" w:sz="0" w:space="0" w:color="auto"/>
        <w:bottom w:val="none" w:sz="0" w:space="0" w:color="auto"/>
        <w:right w:val="none" w:sz="0" w:space="0" w:color="auto"/>
      </w:divBdr>
      <w:divsChild>
        <w:div w:id="1491868845">
          <w:marLeft w:val="0"/>
          <w:marRight w:val="0"/>
          <w:marTop w:val="0"/>
          <w:marBottom w:val="0"/>
          <w:divBdr>
            <w:top w:val="none" w:sz="0" w:space="0" w:color="auto"/>
            <w:left w:val="none" w:sz="0" w:space="0" w:color="auto"/>
            <w:bottom w:val="none" w:sz="0" w:space="0" w:color="auto"/>
            <w:right w:val="none" w:sz="0" w:space="0" w:color="auto"/>
          </w:divBdr>
        </w:div>
      </w:divsChild>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05432722">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0812307">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1385019">
      <w:bodyDiv w:val="1"/>
      <w:marLeft w:val="0"/>
      <w:marRight w:val="0"/>
      <w:marTop w:val="0"/>
      <w:marBottom w:val="0"/>
      <w:divBdr>
        <w:top w:val="none" w:sz="0" w:space="0" w:color="auto"/>
        <w:left w:val="none" w:sz="0" w:space="0" w:color="auto"/>
        <w:bottom w:val="none" w:sz="0" w:space="0" w:color="auto"/>
        <w:right w:val="none" w:sz="0" w:space="0" w:color="auto"/>
      </w:divBdr>
    </w:div>
    <w:div w:id="802043484">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661764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5833631">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944470">
      <w:bodyDiv w:val="1"/>
      <w:marLeft w:val="0"/>
      <w:marRight w:val="0"/>
      <w:marTop w:val="0"/>
      <w:marBottom w:val="0"/>
      <w:divBdr>
        <w:top w:val="none" w:sz="0" w:space="0" w:color="auto"/>
        <w:left w:val="none" w:sz="0" w:space="0" w:color="auto"/>
        <w:bottom w:val="none" w:sz="0" w:space="0" w:color="auto"/>
        <w:right w:val="none" w:sz="0" w:space="0" w:color="auto"/>
      </w:divBdr>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5591156">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5196503">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28882428">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536882">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19407488">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4946841">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3727656">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734204">
      <w:bodyDiv w:val="1"/>
      <w:marLeft w:val="0"/>
      <w:marRight w:val="0"/>
      <w:marTop w:val="0"/>
      <w:marBottom w:val="0"/>
      <w:divBdr>
        <w:top w:val="none" w:sz="0" w:space="0" w:color="auto"/>
        <w:left w:val="none" w:sz="0" w:space="0" w:color="auto"/>
        <w:bottom w:val="none" w:sz="0" w:space="0" w:color="auto"/>
        <w:right w:val="none" w:sz="0" w:space="0" w:color="auto"/>
      </w:divBdr>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68851">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67769771">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1997562699">
      <w:bodyDiv w:val="1"/>
      <w:marLeft w:val="0"/>
      <w:marRight w:val="0"/>
      <w:marTop w:val="0"/>
      <w:marBottom w:val="0"/>
      <w:divBdr>
        <w:top w:val="none" w:sz="0" w:space="0" w:color="auto"/>
        <w:left w:val="none" w:sz="0" w:space="0" w:color="auto"/>
        <w:bottom w:val="none" w:sz="0" w:space="0" w:color="auto"/>
        <w:right w:val="none" w:sz="0" w:space="0" w:color="auto"/>
      </w:divBdr>
      <w:divsChild>
        <w:div w:id="1284574932">
          <w:marLeft w:val="0"/>
          <w:marRight w:val="0"/>
          <w:marTop w:val="0"/>
          <w:marBottom w:val="0"/>
          <w:divBdr>
            <w:top w:val="none" w:sz="0" w:space="0" w:color="auto"/>
            <w:left w:val="none" w:sz="0" w:space="0" w:color="auto"/>
            <w:bottom w:val="none" w:sz="0" w:space="0" w:color="auto"/>
            <w:right w:val="none" w:sz="0" w:space="0" w:color="auto"/>
          </w:divBdr>
        </w:div>
      </w:divsChild>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173138">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 w:id="214403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yperlink" Target="https://doi.org/10.1002/cb.2487" TargetMode="External" /><Relationship Id="rId39" Type="http://schemas.openxmlformats.org/officeDocument/2006/relationships/hyperlink" Target="https://doi.org/10.1080/13527266.2025.2521124" TargetMode="External" /><Relationship Id="rId21" Type="http://schemas.openxmlformats.org/officeDocument/2006/relationships/image" Target="media/image14.png" /><Relationship Id="rId34" Type="http://schemas.openxmlformats.org/officeDocument/2006/relationships/hyperlink" Target="https://doi.org/10.1108/JEFAS-09-2022-0237" TargetMode="External" /><Relationship Id="rId42" Type="http://schemas.openxmlformats.org/officeDocument/2006/relationships/hyperlink" Target="https://doi.org/10.1016/j.actpsy.2025.105695" TargetMode="External" /><Relationship Id="rId47" Type="http://schemas.openxmlformats.org/officeDocument/2006/relationships/hyperlink" Target="https://doi.org/10.1108/sbm-03-2021-0034" TargetMode="External" /><Relationship Id="rId50" Type="http://schemas.openxmlformats.org/officeDocument/2006/relationships/hyperlink" Target="https://doi.org/10.1080/23311975.2021.1957073" TargetMode="External" /><Relationship Id="rId55" Type="http://schemas.openxmlformats.org/officeDocument/2006/relationships/hyperlink" Target="https://doi.org/10.1108/gkmc-10-2018-0088" TargetMode="External" /><Relationship Id="rId63" Type="http://schemas.openxmlformats.org/officeDocument/2006/relationships/hyperlink" Target="https://doi.org/10.1108/sbm-06-2020-0062" TargetMode="External" /><Relationship Id="rId68" Type="http://schemas.openxmlformats.org/officeDocument/2006/relationships/hyperlink" Target="https://doi.org/10.1016/j.emj.2019.08.011" TargetMode="External" /><Relationship Id="rId76" Type="http://schemas.openxmlformats.org/officeDocument/2006/relationships/hyperlink" Target="https://doi.org/10.1108/ijsms-03-2025-0107" TargetMode="External" /><Relationship Id="rId7" Type="http://schemas.openxmlformats.org/officeDocument/2006/relationships/endnotes" Target="endnotes.xml" /><Relationship Id="rId71" Type="http://schemas.openxmlformats.org/officeDocument/2006/relationships/hyperlink" Target="https://doi.org/10.1080/13527266.2021.1915853" TargetMode="External" /><Relationship Id="rId2" Type="http://schemas.openxmlformats.org/officeDocument/2006/relationships/numbering" Target="numbering.xml" /><Relationship Id="rId16" Type="http://schemas.openxmlformats.org/officeDocument/2006/relationships/image" Target="media/image9.png" /><Relationship Id="rId29" Type="http://schemas.openxmlformats.org/officeDocument/2006/relationships/hyperlink" Target="https://doi.org/10.1108/SJME-12-2021-0224" TargetMode="Externa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hyperlink" Target="https://doi.org/10.1016/j.iedeen.2024.100260" TargetMode="External" /><Relationship Id="rId37" Type="http://schemas.openxmlformats.org/officeDocument/2006/relationships/hyperlink" Target="https://www.gov.uk/government/news/global-sweep-finds-40-of-firms-green-claims-could-be-misleading" TargetMode="External" /><Relationship Id="rId40" Type="http://schemas.openxmlformats.org/officeDocument/2006/relationships/hyperlink" Target="https://doi.org/10.1016/j.jretconser.2021.102688" TargetMode="External" /><Relationship Id="rId45" Type="http://schemas.openxmlformats.org/officeDocument/2006/relationships/hyperlink" Target="https://doi.org/10.3390/su12208650" TargetMode="External" /><Relationship Id="rId53" Type="http://schemas.openxmlformats.org/officeDocument/2006/relationships/hyperlink" Target="https://doi.org/10.1016/j.jbusres.2019.08.032" TargetMode="External" /><Relationship Id="rId58" Type="http://schemas.openxmlformats.org/officeDocument/2006/relationships/hyperlink" Target="https://doi.org/10.1080/13527266.2020.1759121" TargetMode="External" /><Relationship Id="rId66" Type="http://schemas.openxmlformats.org/officeDocument/2006/relationships/hyperlink" Target="https://doi.org/10.1108/jpbm-12-2023-4873" TargetMode="External" /><Relationship Id="rId74" Type="http://schemas.openxmlformats.org/officeDocument/2006/relationships/hyperlink" Target="https://doi.org/10.1080/02650487.2024.2312751" TargetMode="External" /><Relationship Id="rId79" Type="http://schemas.openxmlformats.org/officeDocument/2006/relationships/fontTable" Target="fontTable.xml" /><Relationship Id="rId5" Type="http://schemas.openxmlformats.org/officeDocument/2006/relationships/webSettings" Target="webSettings.xml" /><Relationship Id="rId61" Type="http://schemas.openxmlformats.org/officeDocument/2006/relationships/hyperlink" Target="https://doi.org/10.1108/jpbm-12-2018-2164" TargetMode="Externa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hyperlink" Target="https://doi.org/10.1080/08961530.2020.1731901" TargetMode="External" /><Relationship Id="rId44" Type="http://schemas.openxmlformats.org/officeDocument/2006/relationships/hyperlink" Target="https://doi.org/10.5281/zenodo.10434490" TargetMode="External" /><Relationship Id="rId52" Type="http://schemas.openxmlformats.org/officeDocument/2006/relationships/hyperlink" Target="https://doi.org/10.1111/beer.12095" TargetMode="External" /><Relationship Id="rId60" Type="http://schemas.openxmlformats.org/officeDocument/2006/relationships/hyperlink" Target="https://doi.org/10.1016/j.jbusres.2019.10.049" TargetMode="External" /><Relationship Id="rId65" Type="http://schemas.openxmlformats.org/officeDocument/2006/relationships/hyperlink" Target="https://doi.org/10.1177/21582440221099936" TargetMode="External" /><Relationship Id="rId73" Type="http://schemas.openxmlformats.org/officeDocument/2006/relationships/hyperlink" Target="https://doi.org/10.1080/21639159.2020.1717978" TargetMode="External" /><Relationship Id="rId78"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hyperlink" Target="https://doi.org/10.1057/s41267-022-00578-8" TargetMode="External" /><Relationship Id="rId30" Type="http://schemas.openxmlformats.org/officeDocument/2006/relationships/hyperlink" Target="https://doi.org/10.1108/JEFAS-10-2021-0207" TargetMode="External" /><Relationship Id="rId35" Type="http://schemas.openxmlformats.org/officeDocument/2006/relationships/hyperlink" Target="https://doi.org/10.1080/15252019.2021.1970422" TargetMode="External" /><Relationship Id="rId43" Type="http://schemas.openxmlformats.org/officeDocument/2006/relationships/hyperlink" Target="https://doi.org/10.1108/ijsms-12-2019-0142" TargetMode="External" /><Relationship Id="rId48" Type="http://schemas.openxmlformats.org/officeDocument/2006/relationships/hyperlink" Target="https://doi.org/10.1108/jts-01-2026-0005" TargetMode="External" /><Relationship Id="rId56" Type="http://schemas.openxmlformats.org/officeDocument/2006/relationships/hyperlink" Target="https://www.ofcom.org.uk/media-use-and-attitudes/online-habits/online-nation" TargetMode="External" /><Relationship Id="rId64" Type="http://schemas.openxmlformats.org/officeDocument/2006/relationships/hyperlink" Target="https://doi.org/https://doi.org/10.1177/21582440221099936" TargetMode="External" /><Relationship Id="rId69" Type="http://schemas.openxmlformats.org/officeDocument/2006/relationships/hyperlink" Target="https://doi.org/10.1016/j.jbusres.2019.07.039" TargetMode="External" /><Relationship Id="rId77" Type="http://schemas.openxmlformats.org/officeDocument/2006/relationships/image" Target="media/image18.png" /><Relationship Id="rId8" Type="http://schemas.openxmlformats.org/officeDocument/2006/relationships/image" Target="media/image1.png" /><Relationship Id="rId51" Type="http://schemas.openxmlformats.org/officeDocument/2006/relationships/hyperlink" Target="https://doi.org/10.1080/17543266.2020.1719435" TargetMode="External" /><Relationship Id="rId72" Type="http://schemas.openxmlformats.org/officeDocument/2006/relationships/hyperlink" Target="https://doi.org/10.1108/bij-06-2020-0332" TargetMode="External" /><Relationship Id="rId80" Type="http://schemas.openxmlformats.org/officeDocument/2006/relationships/theme" Target="theme/theme1.xml" /><Relationship Id="rId3" Type="http://schemas.openxmlformats.org/officeDocument/2006/relationships/styles" Target="styles.xml" /><Relationship Id="rId12" Type="http://schemas.openxmlformats.org/officeDocument/2006/relationships/image" Target="media/image5.jpeg" /><Relationship Id="rId17" Type="http://schemas.openxmlformats.org/officeDocument/2006/relationships/image" Target="media/image10.png" /><Relationship Id="rId25" Type="http://schemas.openxmlformats.org/officeDocument/2006/relationships/hyperlink" Target="https://report.adidas-group.com/2025/en/" TargetMode="External" /><Relationship Id="rId33" Type="http://schemas.openxmlformats.org/officeDocument/2006/relationships/hyperlink" Target="https://doi.org/10.3390/su12177159" TargetMode="External" /><Relationship Id="rId38" Type="http://schemas.openxmlformats.org/officeDocument/2006/relationships/hyperlink" Target="https://doi.org/10.1108/mip-08-2022-0357" TargetMode="External" /><Relationship Id="rId46" Type="http://schemas.openxmlformats.org/officeDocument/2006/relationships/hyperlink" Target="https://doi.org/10.3390/su12208650" TargetMode="External" /><Relationship Id="rId59" Type="http://schemas.openxmlformats.org/officeDocument/2006/relationships/hyperlink" Target="https://doi.org/10.1080/13527266.2022.2097297" TargetMode="External" /><Relationship Id="rId67" Type="http://schemas.openxmlformats.org/officeDocument/2006/relationships/hyperlink" Target="https://doi.org/10.1080/13683500.2019.1637403" TargetMode="External" /><Relationship Id="rId20" Type="http://schemas.openxmlformats.org/officeDocument/2006/relationships/image" Target="media/image13.png" /><Relationship Id="rId41" Type="http://schemas.openxmlformats.org/officeDocument/2006/relationships/hyperlink" Target="https://doi.org/10.1108/jm2-11-2020-0293" TargetMode="External" /><Relationship Id="rId54" Type="http://schemas.openxmlformats.org/officeDocument/2006/relationships/hyperlink" Target="https://doi.org/10.1016/j.jbusres.2022.02.056" TargetMode="External" /><Relationship Id="rId62" Type="http://schemas.openxmlformats.org/officeDocument/2006/relationships/hyperlink" Target="https://doi.org/10.5430/mos.v5n1p1" TargetMode="External" /><Relationship Id="rId70" Type="http://schemas.openxmlformats.org/officeDocument/2006/relationships/hyperlink" Target="https://doi.org/10.1108/CCIJ-02-2024-0021" TargetMode="External" /><Relationship Id="rId75" Type="http://schemas.openxmlformats.org/officeDocument/2006/relationships/hyperlink" Target="https://doi.org/10.1016/j.jretconser.2019.102012"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hyperlink" Target="https://doi.org/10.1108/imr-09-2022-0203" TargetMode="External" /><Relationship Id="rId36" Type="http://schemas.openxmlformats.org/officeDocument/2006/relationships/hyperlink" Target="https://doi.org/10.1080/13527266.2024.2387848" TargetMode="External" /><Relationship Id="rId49" Type="http://schemas.openxmlformats.org/officeDocument/2006/relationships/hyperlink" Target="https://doi.org/10.32731/smq.291.032020.01" TargetMode="External" /><Relationship Id="rId57" Type="http://schemas.openxmlformats.org/officeDocument/2006/relationships/hyperlink" Target="https://doi.org/10.1080/10495142.2021.195413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21256</Words>
  <Characters>121160</Characters>
  <Application>Microsoft Office Word</Application>
  <DocSecurity>0</DocSecurity>
  <Lines>1009</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2026-09-09T09:54:00Z</dcterms:created>
  <dcterms:modified xsi:type="dcterms:W3CDTF">2026-09-22T18:06:00Z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