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jc w:val="center"/>
        <w:rPr>
          <w:sz w:val="28"/>
          <w:szCs w:val="28"/>
        </w:rPr>
      </w:pPr>
      <w:r w:rsidDel="00000000" w:rsidR="00000000" w:rsidRPr="00000000">
        <w:rPr>
          <w:sz w:val="28"/>
          <w:szCs w:val="28"/>
          <w:rtl w:val="0"/>
        </w:rPr>
        <w:t xml:space="preserve">“What is inequality”</w:t>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rPr/>
      </w:pPr>
      <w:r w:rsidDel="00000000" w:rsidR="00000000" w:rsidRPr="00000000">
        <w:rPr>
          <w:rtl w:val="0"/>
        </w:rPr>
        <w:t xml:space="preserve">The inequality of wealth - The paradox of value and the equality of opportunity. As influenced by social actors.</w:t>
      </w:r>
    </w:p>
    <w:p w:rsidR="00000000" w:rsidDel="00000000" w:rsidP="00000000" w:rsidRDefault="00000000" w:rsidRPr="00000000" w14:paraId="00000003">
      <w:pPr>
        <w:spacing w:line="360" w:lineRule="auto"/>
        <w:jc w:val="both"/>
        <w:rPr/>
      </w:pPr>
      <w:r w:rsidDel="00000000" w:rsidR="00000000" w:rsidRPr="00000000">
        <w:rPr>
          <w:rtl w:val="0"/>
        </w:rPr>
        <w:t xml:space="preserve">Inequality as a concept is a general knowledge, a socially constructed definition of difference. However when applied in plethora contexts becomes increasingly complex. “Inequality—the state of not being equal, especially in status, rights, and opportunities—is a concept very much at the heart of social justice theories. However, it is prone to confusion in public debate as it tends to mean different things to different people.” (The United Nations, 2015). It is possible to consider inequality in a plethora of ways, for example, inequality of wealth, politics, ethnicity and opportunities. In attempting to eradicate inequality, problems arise regarding difference. Pablo Neruda a socialist, Chilean poet and diplomat who won the 1971 Nobel Prize in Literature, (Duran, 2019) reckoned with the complexities of unifying segregated groups, regardless of the gap which rests between them. Is it possible to value difference at the same time as combating inequality?</w:t>
      </w:r>
    </w:p>
    <w:p w:rsidR="00000000" w:rsidDel="00000000" w:rsidP="00000000" w:rsidRDefault="00000000" w:rsidRPr="00000000" w14:paraId="00000004">
      <w:pPr>
        <w:spacing w:line="360" w:lineRule="auto"/>
        <w:jc w:val="both"/>
        <w:rPr/>
      </w:pPr>
      <w:r w:rsidDel="00000000" w:rsidR="00000000" w:rsidRPr="00000000">
        <w:rPr>
          <w:rtl w:val="0"/>
        </w:rPr>
        <w:t xml:space="preserve">Stripping back the concept of equality to physical objects such as stones, water, ivory, leather, and wood, but also more abstract concepts like sleep, age, and time, Neruda describes being “encircled by a single thing, a single movement,” (Eshleman, 2005). Here he supplies an insight into the paradox between unity and fractured things, “a distant empire of confused unities reunites encircling me.”  (Eshleman, 2005). There are many ways to interpret this poem, but in the context of equality, it demonstrates an understanding of how differences can be reconciled. Neruda dismantles the concept that we are expected to melt into a single identity to be unified. When working for a more just, equal society, all parts of that society should come together; however retain their difference.</w:t>
      </w:r>
    </w:p>
    <w:p w:rsidR="00000000" w:rsidDel="00000000" w:rsidP="00000000" w:rsidRDefault="00000000" w:rsidRPr="00000000" w14:paraId="00000005">
      <w:pPr>
        <w:spacing w:line="360" w:lineRule="auto"/>
        <w:jc w:val="both"/>
        <w:rPr/>
      </w:pPr>
      <w:r w:rsidDel="00000000" w:rsidR="00000000" w:rsidRPr="00000000">
        <w:rPr>
          <w:rtl w:val="0"/>
        </w:rPr>
        <w:t xml:space="preserve">The United Nations defines equality as a political attribute, “Parties recognize that all persons are equal before and under the law and are entitled without any discrimination to the equal protection and equal benefit of the law” (The United nations, 2006). Simultaneously pinning equality as a right in comparison to the idea that equality acts a measure of sameness, where difference is highlighted through gender, economics or otherwise.</w:t>
      </w:r>
    </w:p>
    <w:p w:rsidR="00000000" w:rsidDel="00000000" w:rsidP="00000000" w:rsidRDefault="00000000" w:rsidRPr="00000000" w14:paraId="00000006">
      <w:pPr>
        <w:spacing w:line="360" w:lineRule="auto"/>
        <w:jc w:val="both"/>
        <w:rPr/>
      </w:pPr>
      <w:r w:rsidDel="00000000" w:rsidR="00000000" w:rsidRPr="00000000">
        <w:rPr>
          <w:rtl w:val="0"/>
        </w:rPr>
        <w:t xml:space="preserve">Inequality is often most visible within society when one considers wealth. However poverty does not always only relate to a person's financial resources but can include other aspects as reflected by the The multidimensional poverty measure. It is easier to measure wealth than individual circumstantial value and some abstract concepts of well-being. This raises the question of the difference of wealth and value in relation to a social actor’s circumstance.</w:t>
      </w:r>
    </w:p>
    <w:p w:rsidR="00000000" w:rsidDel="00000000" w:rsidP="00000000" w:rsidRDefault="00000000" w:rsidRPr="00000000" w14:paraId="00000007">
      <w:pPr>
        <w:spacing w:line="360" w:lineRule="auto"/>
        <w:jc w:val="both"/>
        <w:rPr/>
      </w:pPr>
      <w:r w:rsidDel="00000000" w:rsidR="00000000" w:rsidRPr="00000000">
        <w:rPr>
          <w:rtl w:val="0"/>
        </w:rPr>
      </w:r>
    </w:p>
    <w:p w:rsidR="00000000" w:rsidDel="00000000" w:rsidP="00000000" w:rsidRDefault="00000000" w:rsidRPr="00000000" w14:paraId="00000008">
      <w:pPr>
        <w:spacing w:line="360" w:lineRule="auto"/>
        <w:jc w:val="both"/>
        <w:rPr/>
      </w:pPr>
      <w:r w:rsidDel="00000000" w:rsidR="00000000" w:rsidRPr="00000000">
        <w:rPr>
          <w:rtl w:val="0"/>
        </w:rPr>
        <w:t xml:space="preserve">The term actor-network theory was coined by John Law in 1992 (Akrich, 2023) and demonstrates that a combination of interactions and external elements is needed to make a social concept successful, rather than saying it is true and the others are false, when a collective is formed the normative is set. Inequity as a label relates to the notion of lacking. To be weighed against another and to recognise the differences, which is to suggest inequality is reinforced by the mass acceptance of competitiveness and indifference. Inequality is the recognition of difference. ‘Keeping up with the Joneses’ and other media depictions that exercise the appearance of wealth imprint this principle. (Shepherds Friendly, 2020)</w:t>
      </w:r>
    </w:p>
    <w:p w:rsidR="00000000" w:rsidDel="00000000" w:rsidP="00000000" w:rsidRDefault="00000000" w:rsidRPr="00000000" w14:paraId="00000009">
      <w:pPr>
        <w:spacing w:line="360" w:lineRule="auto"/>
        <w:jc w:val="both"/>
        <w:rPr/>
      </w:pPr>
      <w:r w:rsidDel="00000000" w:rsidR="00000000" w:rsidRPr="00000000">
        <w:rPr>
          <w:rtl w:val="0"/>
        </w:rPr>
      </w:r>
    </w:p>
    <w:p w:rsidR="00000000" w:rsidDel="00000000" w:rsidP="00000000" w:rsidRDefault="00000000" w:rsidRPr="00000000" w14:paraId="0000000A">
      <w:pPr>
        <w:spacing w:line="360" w:lineRule="auto"/>
        <w:jc w:val="both"/>
        <w:rPr/>
      </w:pPr>
      <w:r w:rsidDel="00000000" w:rsidR="00000000" w:rsidRPr="00000000">
        <w:rPr>
          <w:rtl w:val="0"/>
        </w:rPr>
        <w:t xml:space="preserve">Inequality when applied to society usually refers to inequality of opportunity and access whilst being conscious of and valuing the differences that exist between individuals and groups in society. </w:t>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pPr>
      <w:r w:rsidDel="00000000" w:rsidR="00000000" w:rsidRPr="00000000">
        <w:rPr>
          <w:rtl w:val="0"/>
        </w:rPr>
        <w:t xml:space="preserve">The existence of wealth inequality becomes a factor when delivering a service within social institutions, such as education, the social justice system and health care. Wealth inequality has a bearing on a person's outcomes and needs within society. Measures to reduce inequality such as the welfare state and benefit system can often reinforce perceptions of inequality. The concept of equality reinforces inequality by standardising value within society. Social actors and institutions formulate a normative. Wealth is not solely monetary but rather value defined by individuals and the state. “Human rights are enshrined in human rights instruments.” (WHO, 2023). There are 9 core international human rights instruments, all which exercise legislation and policy as a vessel of standardised human rights. For example the United Nations Human Rights Committee, it is not a lack of institutional intervention but the consistent implementation of higher expectations of living. Simple amenities and basic groups have increased in price whilst the welfare state allocation of funds has not reflected these changes. ”the UK manufacturing price for conventional milk will increase to 47.65ppl and organic milk to 57.64ppl” (Arla Foods News, 2024). In comparison to funding bodies such as universal credit where “The number of people on Universal Credit in October 2024 was 7.2 million, the highest level it has ever been. This has been increasing since March 2022, when it was 5.5 million.” (for, 2024) Inequality is reinforced by the economic crisis surrounding food production and consumption. Inequality is the Increased reliance on social institutions to ensure the basic standard of survival is met. </w:t>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both"/>
        <w:rPr/>
      </w:pPr>
      <w:r w:rsidDel="00000000" w:rsidR="00000000" w:rsidRPr="00000000">
        <w:rPr>
          <w:rtl w:val="0"/>
        </w:rPr>
        <w:t xml:space="preserve">A prime example of inequality in practice is the Welfare State. Nicolas Crafts, reviews reforms made to the Welfare State made in the 1940s by the UK. The inter-war period saw a considerable expansion of government social welfare spending, from 4.7% of GDP in 1913 to 10.5% of GDP in 1937. From 1922 to 1938, an average of 22.1% of the population received a benefit payment at some point during the year (Crafts, 2024) .</w:t>
      </w:r>
    </w:p>
    <w:p w:rsidR="00000000" w:rsidDel="00000000" w:rsidP="00000000" w:rsidRDefault="00000000" w:rsidRPr="00000000" w14:paraId="0000000F">
      <w:pPr>
        <w:spacing w:line="360" w:lineRule="auto"/>
        <w:jc w:val="both"/>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t xml:space="preserve">The period immediately after World War II is widely seen as the beginning of the ‘golden age’ of the welfare state in western Europe (Wincott, 2012). The years around the end of World War II did see major reforms to the welfare state in the ‘Beveridge era’. These include the National Assistance Act of 1946, the National Insurance Act of 1948, the Education Act of 1944 and the National Health Service of 1948. The implication was a large increase in government social expenditure. </w:t>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t xml:space="preserve">As is well known, the Welfare State failed to meet expectations that it would abolish ‘poverty’. Between 2019/20 and 2021/22, the average person in poverty had an income 29% below the poverty line, (Joseph Rowntree Foundation, 2024). From a society shadowed by the lingering implications of war moving into the modern social climate of 2024, the previous decades have shown little progress in the eradication of poverty but rather transformed the Welfare State into a vessel of dependence. Quality of life has risen with the help of legislation and primarily the NHS, however reliance on the state is arguably at an all time high with “4.4 million people claiming either PIP or DLA under DWP policy ownership at August 2023, an increase of 370,000 during the last year.” (Gov.UK, 2024). Whilst there are arguments to be made for growing populations, tax increase and expenditure, there is an argument to be made for poverty as part of a cycle of social reproduction. </w:t>
      </w:r>
    </w:p>
    <w:p w:rsidR="00000000" w:rsidDel="00000000" w:rsidP="00000000" w:rsidRDefault="00000000" w:rsidRPr="00000000" w14:paraId="00000013">
      <w:pPr>
        <w:spacing w:line="360" w:lineRule="auto"/>
        <w:jc w:val="both"/>
        <w:rPr/>
      </w:pPr>
      <w:r w:rsidDel="00000000" w:rsidR="00000000" w:rsidRPr="00000000">
        <w:rPr>
          <w:rtl w:val="0"/>
        </w:rPr>
      </w:r>
    </w:p>
    <w:p w:rsidR="00000000" w:rsidDel="00000000" w:rsidP="00000000" w:rsidRDefault="00000000" w:rsidRPr="00000000" w14:paraId="00000014">
      <w:pPr>
        <w:spacing w:line="360" w:lineRule="auto"/>
        <w:jc w:val="both"/>
        <w:rPr/>
      </w:pPr>
      <w:r w:rsidDel="00000000" w:rsidR="00000000" w:rsidRPr="00000000">
        <w:rPr>
          <w:rtl w:val="0"/>
        </w:rPr>
        <w:t xml:space="preserve">Durkheim’s organic analogy sees society as a functioning body with individuals and institutions acting as vital organs that enable the movement towards a prosperity of humanity imposed upon an individual's existence to keep the economy stable and functioning, (Durkheim, 1982). An example of this is paying taxes, engaging with welfare and using banks. To ask what inequality is, is to underpin the system of equality; how can one form of existence exist without its counterpart? For equality and growth to occur, then inequality must remain consistent. Once one area is established another is dismantled. For example the welfare state sets out to even the scales of economic inequality, however in its entirety, sets aside and divides individuals in terms of access and re-enforces social inequalities through such things as geographical areas of deprivation and class. </w:t>
      </w:r>
    </w:p>
    <w:p w:rsidR="00000000" w:rsidDel="00000000" w:rsidP="00000000" w:rsidRDefault="00000000" w:rsidRPr="00000000" w14:paraId="00000015">
      <w:pPr>
        <w:spacing w:line="360" w:lineRule="auto"/>
        <w:jc w:val="both"/>
        <w:rPr/>
      </w:pPr>
      <w:r w:rsidDel="00000000" w:rsidR="00000000" w:rsidRPr="00000000">
        <w:rPr>
          <w:rtl w:val="0"/>
        </w:rPr>
      </w:r>
    </w:p>
    <w:p w:rsidR="00000000" w:rsidDel="00000000" w:rsidP="00000000" w:rsidRDefault="00000000" w:rsidRPr="00000000" w14:paraId="00000016">
      <w:pPr>
        <w:spacing w:line="360" w:lineRule="auto"/>
        <w:jc w:val="both"/>
        <w:rPr/>
      </w:pPr>
      <w:r w:rsidDel="00000000" w:rsidR="00000000" w:rsidRPr="00000000">
        <w:rPr>
          <w:rtl w:val="0"/>
        </w:rPr>
        <w:t xml:space="preserve">It is in inequalities best interest for society to maintain a functioning body. Which suggests inequality is its own utilitarian institution, maintaining social status and reliance on authoritarian rule such as taxes and capitalism. As one rises the other falls - inequality is the seesaw necessary to keep political leaders in a position of power. One does not vote for the party but rather the changes to legislation proposed, which practices are valued by the individual is the influence on their vote. Which suggests Inequality is the inherent selfishness, sustainment of an individual attempting to maintain or improve their predescribed lifestyle. </w:t>
      </w:r>
    </w:p>
    <w:p w:rsidR="00000000" w:rsidDel="00000000" w:rsidP="00000000" w:rsidRDefault="00000000" w:rsidRPr="00000000" w14:paraId="00000017">
      <w:pPr>
        <w:spacing w:line="360" w:lineRule="auto"/>
        <w:jc w:val="both"/>
        <w:rPr/>
      </w:pPr>
      <w:r w:rsidDel="00000000" w:rsidR="00000000" w:rsidRPr="00000000">
        <w:rPr>
          <w:rtl w:val="0"/>
        </w:rPr>
      </w:r>
    </w:p>
    <w:p w:rsidR="00000000" w:rsidDel="00000000" w:rsidP="00000000" w:rsidRDefault="00000000" w:rsidRPr="00000000" w14:paraId="00000018">
      <w:pPr>
        <w:spacing w:line="360" w:lineRule="auto"/>
        <w:jc w:val="both"/>
        <w:rPr/>
      </w:pPr>
      <w:r w:rsidDel="00000000" w:rsidR="00000000" w:rsidRPr="00000000">
        <w:rPr>
          <w:rtl w:val="0"/>
        </w:rPr>
        <w:t xml:space="preserve">The Multidimensional Poverty Measure was set to explore poverty beyond economic deprivations, a standard focal point of World Bank’s monitoring of global poverty (www.mppn.org, 2017). The Poverty and Shared Prosperity 2022 report (World bank, 2022) shows that 39% of individuals classified as multidimensionally poor are not captured by economic poverty, as they are deprived regardless of their own individual resources.  The measure takes account of other dimensions that have a bearing on their general well-being such as deprivations in social dimensions like access to education, health care and housing. This is reflective of the perpetuated cycles of inequality. Securing higher living standards for a population becomes more challenging when poverty in all its forms is considered, but it can provide policymakers with a roadmap for and a means of monitoring improvements in welfare. </w:t>
      </w:r>
    </w:p>
    <w:p w:rsidR="00000000" w:rsidDel="00000000" w:rsidP="00000000" w:rsidRDefault="00000000" w:rsidRPr="00000000" w14:paraId="00000019">
      <w:pPr>
        <w:spacing w:line="360" w:lineRule="auto"/>
        <w:jc w:val="both"/>
        <w:rPr/>
      </w:pPr>
      <w:r w:rsidDel="00000000" w:rsidR="00000000" w:rsidRPr="00000000">
        <w:rPr>
          <w:rtl w:val="0"/>
        </w:rPr>
      </w:r>
    </w:p>
    <w:p w:rsidR="00000000" w:rsidDel="00000000" w:rsidP="00000000" w:rsidRDefault="00000000" w:rsidRPr="00000000" w14:paraId="0000001A">
      <w:pPr>
        <w:spacing w:line="360" w:lineRule="auto"/>
        <w:jc w:val="both"/>
        <w:rPr/>
      </w:pPr>
      <w:r w:rsidDel="00000000" w:rsidR="00000000" w:rsidRPr="00000000">
        <w:rPr>
          <w:rtl w:val="0"/>
        </w:rPr>
        <w:t xml:space="preserve">Restrictions on access and opportunity are key elements of inequality. Oxford's department of international development has produced a multidimensional poverty index set across 112 out of the 195 globally recognised countries (Ophi.org.uk, 2024) it’s entirety it sets out to measure global poverty and wellbeing; collecting information on the nature of people’s lives. It is based on the Alkire-Foster method, a statistical method grounded in Amartya Sen’s Capability Approach. The Multidimensional Poverty Index is a theoretical framework that claims two core normatives. First, the assumption that freedom to achieve well-being is of primary moral importance, and second, that freedom to achieve well-being must be understood in terms of people’s capabilities (Centeno, 2020).</w:t>
      </w:r>
    </w:p>
    <w:p w:rsidR="00000000" w:rsidDel="00000000" w:rsidP="00000000" w:rsidRDefault="00000000" w:rsidRPr="00000000" w14:paraId="0000001B">
      <w:pPr>
        <w:spacing w:line="360" w:lineRule="auto"/>
        <w:jc w:val="both"/>
        <w:rPr/>
      </w:pPr>
      <w:r w:rsidDel="00000000" w:rsidR="00000000" w:rsidRPr="00000000">
        <w:rPr>
          <w:rtl w:val="0"/>
        </w:rPr>
        <w:t xml:space="preserve"> </w:t>
      </w:r>
    </w:p>
    <w:p w:rsidR="00000000" w:rsidDel="00000000" w:rsidP="00000000" w:rsidRDefault="00000000" w:rsidRPr="00000000" w14:paraId="0000001C">
      <w:pPr>
        <w:spacing w:line="360" w:lineRule="auto"/>
        <w:jc w:val="both"/>
        <w:rPr/>
      </w:pPr>
      <w:r w:rsidDel="00000000" w:rsidR="00000000" w:rsidRPr="00000000">
        <w:rPr>
          <w:rtl w:val="0"/>
        </w:rPr>
        <w:t xml:space="preserve">Van Leeuwen’s theory of social actors divides the representation into two major categories: Exclusion and Inclusion. Suggesting an individual who is opportunistic but has no capacity for action is not free to realise any of their life choices. Such an actor is only free relative to negative freedom, but ‘their freedom has only potential value, as they have no power-to.’ (Blommaert and Bulcaen, 2000). How is one to act in a way to achieve freedom when the value of freedom is made upon a backdrop of societal ideals? </w:t>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t xml:space="preserve">Alan Hyde referred to these forms of social assessment to the sociology of law. How society conforms to the authorisations of authority and what is deemed a socially acceptable action. Which suggests it is reasonable to assume a similar approach is taken to social narratives. The acceptance of inequality as it is a fundamental principle of society. If everyone was equal, how would differences form?  Legitimation offers an attractive way of discussing the sociological effects of law without addressing its substantive moral content, (A. Javier TreviÃ±o, 2001).</w:t>
      </w:r>
    </w:p>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spacing w:line="360" w:lineRule="auto"/>
        <w:jc w:val="both"/>
        <w:rPr/>
      </w:pPr>
      <w:r w:rsidDel="00000000" w:rsidR="00000000" w:rsidRPr="00000000">
        <w:rPr>
          <w:rtl w:val="0"/>
        </w:rPr>
        <w:t xml:space="preserve">The key categories of legitimation are designated by ‘authorization’, referencing the authority of tradition, custom and law. ‘moral evaluation’, by reference to discourses of value. ‘rationalization‘, the uses of institutionalised social action (Van Leeuwen, 2008). Reproducing  inequality maintains the concept of authority through power imbalance. Financial inequality is affected by gender inequality thus as gender is affected by cultural inequality which is reinforced by economic inequality. The cycle of inequality is interconnected in a self contained loop of social interaction.  “A social actor is a person who plays a role in social interactions and whose actions are constantly evaluated by themselves and others,” (Mallett and Lara-Bercial, 2016).</w:t>
      </w:r>
    </w:p>
    <w:p w:rsidR="00000000" w:rsidDel="00000000" w:rsidP="00000000" w:rsidRDefault="00000000" w:rsidRPr="00000000" w14:paraId="00000021">
      <w:pPr>
        <w:spacing w:line="360" w:lineRule="auto"/>
        <w:jc w:val="both"/>
        <w:rPr/>
      </w:pPr>
      <w:r w:rsidDel="00000000" w:rsidR="00000000" w:rsidRPr="00000000">
        <w:rPr>
          <w:rtl w:val="0"/>
        </w:rPr>
      </w:r>
    </w:p>
    <w:p w:rsidR="00000000" w:rsidDel="00000000" w:rsidP="00000000" w:rsidRDefault="00000000" w:rsidRPr="00000000" w14:paraId="00000022">
      <w:pPr>
        <w:spacing w:line="360" w:lineRule="auto"/>
        <w:jc w:val="both"/>
        <w:rPr/>
      </w:pPr>
      <w:r w:rsidDel="00000000" w:rsidR="00000000" w:rsidRPr="00000000">
        <w:rPr>
          <w:rtl w:val="0"/>
        </w:rPr>
        <w:t xml:space="preserve">Social actor theory is embedded in linguistic basis and aims to deconstruct the single side of the reality represented by media forums.  In an age where the media is highly consumed the concept of inequality has been idolised with shows depicting poverty as entertainment, the so called ‘poverty porn’. Such shows are becoming increasingly popular in recent years, for example, ‘You can’t pay we take it away’, ‘Benefits Britain’ and ‘rich kids go skint’. Media representation is an area in which policies of inclusion can address inequality. Social actors are influenced by their media interaction, media is driven by how it is recived by the general public. This popular tropes develop and reinforce social ideologies which in the process effects how social institutions are shaped and used. </w:t>
      </w:r>
    </w:p>
    <w:p w:rsidR="00000000" w:rsidDel="00000000" w:rsidP="00000000" w:rsidRDefault="00000000" w:rsidRPr="00000000" w14:paraId="00000023">
      <w:pPr>
        <w:spacing w:line="360" w:lineRule="auto"/>
        <w:jc w:val="both"/>
        <w:rPr/>
      </w:pPr>
      <w:r w:rsidDel="00000000" w:rsidR="00000000" w:rsidRPr="00000000">
        <w:rPr>
          <w:rtl w:val="0"/>
        </w:rPr>
      </w:r>
    </w:p>
    <w:p w:rsidR="00000000" w:rsidDel="00000000" w:rsidP="00000000" w:rsidRDefault="00000000" w:rsidRPr="00000000" w14:paraId="00000024">
      <w:pPr>
        <w:spacing w:line="360" w:lineRule="auto"/>
        <w:jc w:val="both"/>
        <w:rPr/>
      </w:pPr>
      <w:r w:rsidDel="00000000" w:rsidR="00000000" w:rsidRPr="00000000">
        <w:rPr>
          <w:rtl w:val="0"/>
        </w:rPr>
        <w:t xml:space="preserve">The Geena Davis Institute, regards television as a potent socialising agent that imparts norms and expectations to its audience, especially shaping perceptions of younger viewers. Their proclaimed mission is to diversify on-screen representation in media so that it may reflect a multitude cultures and identities as does true society. This is committed through a research-driven approach that underpins advocacy initiatives. They conduct an annual “See Jane” TV study, which analyzes TV shows for their gender, race, LGBTQIA+ identity, disability, age, and body-size representation, (Geena Davis Institute, 2024).</w:t>
      </w:r>
    </w:p>
    <w:p w:rsidR="00000000" w:rsidDel="00000000" w:rsidP="00000000" w:rsidRDefault="00000000" w:rsidRPr="00000000" w14:paraId="00000025">
      <w:pPr>
        <w:spacing w:line="360" w:lineRule="auto"/>
        <w:jc w:val="both"/>
        <w:rPr/>
      </w:pPr>
      <w:r w:rsidDel="00000000" w:rsidR="00000000" w:rsidRPr="00000000">
        <w:rPr>
          <w:rtl w:val="0"/>
        </w:rPr>
      </w:r>
    </w:p>
    <w:p w:rsidR="00000000" w:rsidDel="00000000" w:rsidP="00000000" w:rsidRDefault="00000000" w:rsidRPr="00000000" w14:paraId="00000026">
      <w:pPr>
        <w:spacing w:line="360" w:lineRule="auto"/>
        <w:jc w:val="both"/>
        <w:rPr/>
      </w:pPr>
      <w:r w:rsidDel="00000000" w:rsidR="00000000" w:rsidRPr="00000000">
        <w:rPr>
          <w:rtl w:val="0"/>
        </w:rPr>
        <w:t xml:space="preserve"> This global campaign is fighting to enhance on-screen diversity and ensure nuanced portrayals. The ‘see Jane” instinctive found Racial and Ethnic Diversity: The proportion of BIPOC supporting characters increased from 32.2% in 2016 to 40.4% in 2020. (The Geena Davis Institue, 2024). To foster a global culture that reflects the diversity of its audience, it is imperative that media representation evolves to include all societal segments. This report not only sheds light on current discrepancies but also serves as a call to action for the industry to embrace and reflect the true diversity of our global community. For the notion of inequality to be taken seriously it must be represented and distributed. To accept the need for change is to identify the problem, without media which reflects the true identity and woes of inequality it is harder to form a collective opinion and thus normalise the interaction. By engaging with media which depicts economic inequality weather this were a depiction of insane wealth or borderline poverty. Reinforces the narrative of "Keeping up with the Joneses". an idiom which depicts the comparison of oneself to another, serving as a social benchmark typically reflective of social class or the accumulation of material goods. However can be applied to the lack of material goods also. For inequality to exist it must be recognised that another has ‘more’ than another and something dissimilar. Inequality is the measure of possession. Whether that is a possession of a higher economic power due to gender  “the average median gender pay gap for full-time workers in the UK in 2024 is 7% in favour of men.” (Jones, 2024), or the difference between someone who buys name brand coffee in the supermarket in comparison. It is these discrepancies between both material and theoretical possession which embody inequality. inequality is the difference between individuals and groups within society. </w:t>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t xml:space="preserve">The overall persistent high level of poverty throughout history suggests that poverty is primarily the consequence of the way society is organised. Poverty is no longer a unifying factor of social development but rather a division of class and ethic. Inequality is defined by the consumption of state resources including media as a form of education. The conditions attributed to wealth often present solutions rather than fixing the problems as a whole. Wealth reinforces inequality. Valuing wealth diverts attention from solutions. ‘The Pursuit of Happiness’. Other avenues unexplored due to focus on wealth as a solution. If wealth is the solo focus and seen as the solution then other avenues and solutions go un explored. “Value judgements define certain conditions of human life.” (Waller, 1936).</w:t>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pPr>
      <w:r w:rsidDel="00000000" w:rsidR="00000000" w:rsidRPr="00000000">
        <w:rPr>
          <w:rtl w:val="0"/>
        </w:rPr>
        <w:t xml:space="preserve">There is a paradox wherein resolving inequality requires an acceptance of inequality.</w:t>
      </w:r>
    </w:p>
    <w:p w:rsidR="00000000" w:rsidDel="00000000" w:rsidP="00000000" w:rsidRDefault="00000000" w:rsidRPr="00000000" w14:paraId="0000002B">
      <w:pPr>
        <w:spacing w:line="360" w:lineRule="auto"/>
        <w:jc w:val="both"/>
        <w:rPr/>
      </w:pPr>
      <w:r w:rsidDel="00000000" w:rsidR="00000000" w:rsidRPr="00000000">
        <w:rPr>
          <w:rtl w:val="0"/>
        </w:rPr>
        <w:t xml:space="preserve">Becker’s theories, Value conflict arises when individuals retain differing beliefs or values. These indiscrepancies impact their interactions and decisions through misaligned assumptions stemming from the individuals own internal narratives, often set by their history and or financial background. For example two individuals of a separate class are presumed to have varied views on health care systems and their use. This stems back into Durkheim organic analogy and how functioning bodies mandate themselves within the lives of people within separate class groups and communities. </w:t>
      </w:r>
    </w:p>
    <w:p w:rsidR="00000000" w:rsidDel="00000000" w:rsidP="00000000" w:rsidRDefault="00000000" w:rsidRPr="00000000" w14:paraId="0000002C">
      <w:pPr>
        <w:spacing w:line="360" w:lineRule="auto"/>
        <w:jc w:val="both"/>
        <w:rPr/>
      </w:pPr>
      <w:r w:rsidDel="00000000" w:rsidR="00000000" w:rsidRPr="00000000">
        <w:rPr>
          <w:rtl w:val="0"/>
        </w:rPr>
      </w:r>
    </w:p>
    <w:p w:rsidR="00000000" w:rsidDel="00000000" w:rsidP="00000000" w:rsidRDefault="00000000" w:rsidRPr="00000000" w14:paraId="0000002D">
      <w:pPr>
        <w:spacing w:line="360" w:lineRule="auto"/>
        <w:jc w:val="both"/>
        <w:rPr/>
      </w:pPr>
      <w:r w:rsidDel="00000000" w:rsidR="00000000" w:rsidRPr="00000000">
        <w:rPr>
          <w:rtl w:val="0"/>
        </w:rPr>
        <w:t xml:space="preserve">The resolution of these inequalities theoretically lies within the acceptance of inequality, </w:t>
      </w:r>
    </w:p>
    <w:p w:rsidR="00000000" w:rsidDel="00000000" w:rsidP="00000000" w:rsidRDefault="00000000" w:rsidRPr="00000000" w14:paraId="0000002E">
      <w:pPr>
        <w:spacing w:line="360" w:lineRule="auto"/>
        <w:jc w:val="both"/>
        <w:rPr/>
      </w:pPr>
      <w:r w:rsidDel="00000000" w:rsidR="00000000" w:rsidRPr="00000000">
        <w:rPr>
          <w:rtl w:val="0"/>
        </w:rPr>
        <w:t xml:space="preserve">“In a value conflict, thinking about qualities you appreciate in your counterpart,” (Harinck and Druckman, 2019) suggests it is the value of another so highly stipulated but the internal value of one’s own standing. An Individual's consent to inequality is explained by their growing conviction that societal success is reflective of the process to reemburse inequality. large inequality paradoxically leads to insulate people from seeing the full extent of it. People underestimate the structural forces that make for inequality because they are increasingly unable to see it from their (isolated) position at the bottom or top of their (segregated) society. Marxists theorise that inequality and poverty are functional components of the capitalist mode of production: despite the reality of inequality there seems to be less of a value held to it. Increasingly insulted lives and silent division between classes outside of global protect and political framework makes seeming the structural root and full extent of inequality impossible. The free will of people, allowance of state finances and social addiction of technology allows the appearance of wealth over the execution. If is far easier to purchase an item that depicts wealth then to maintain a curve of progression. Access has increased alongside the decline of wealth, pictures painted in cheaper mediums are still art. </w:t>
      </w:r>
    </w:p>
    <w:p w:rsidR="00000000" w:rsidDel="00000000" w:rsidP="00000000" w:rsidRDefault="00000000" w:rsidRPr="00000000" w14:paraId="0000002F">
      <w:pPr>
        <w:spacing w:line="360" w:lineRule="auto"/>
        <w:jc w:val="both"/>
        <w:rPr/>
      </w:pPr>
      <w:r w:rsidDel="00000000" w:rsidR="00000000" w:rsidRPr="00000000">
        <w:rPr>
          <w:rtl w:val="0"/>
        </w:rPr>
      </w:r>
    </w:p>
    <w:p w:rsidR="00000000" w:rsidDel="00000000" w:rsidP="00000000" w:rsidRDefault="00000000" w:rsidRPr="00000000" w14:paraId="00000030">
      <w:pPr>
        <w:spacing w:line="360" w:lineRule="auto"/>
        <w:jc w:val="both"/>
        <w:rPr>
          <w:rFonts w:ascii="Playfair Display" w:cs="Playfair Display" w:eastAsia="Playfair Display" w:hAnsi="Playfair Display"/>
          <w:sz w:val="24"/>
          <w:szCs w:val="24"/>
        </w:rPr>
      </w:pPr>
      <w:r w:rsidDel="00000000" w:rsidR="00000000" w:rsidRPr="00000000">
        <w:rPr>
          <w:rtl w:val="0"/>
        </w:rPr>
        <w:t xml:space="preserve">In conclusion, when applied to functioning society Inequality typically refers to the inequality of opportunity and access. Such as the welfare system and health care services, however the use of these institutions in their capacity is the recognition of inequality therefore reinforces the economic difference between individuals. These differences manifest into tropes which present in media, policy makers and social interaction. Whilst being conscious of and valuing the differences that exist between individuals and groups in society, inequality is the label of discrimination held to one which is not deemed as equal by another. Inequality is a social construct formulated as a meres to eradicate itself and in doing so reinforce its existence via recognition. Social norms develop and are legitimised by reference to the authority of tradition, custom and law, and of persons in whom institutional authority is vested. Inequality is a concept that is merely an understanding of difference. To combat such a paradox as wealth/economic  inequality would be to attribute value to other inequality’s such as gender, race and class. In this essay I have used economics as an example of inequality, exploring how the manifestation of one difference is to recognise and highlight another. The critical argument for what inequality is, is that inequality is a self sufficient system of equality difference, it cannot be defined, measured nor fixed as social actors exist and cannot be compared in value judgement. Inequality exists as a direct consequence of human nature, evolution and social interaction.</w:t>
      </w:r>
      <w:r w:rsidDel="00000000" w:rsidR="00000000" w:rsidRPr="00000000">
        <w:rPr>
          <w:rtl w:val="0"/>
        </w:rPr>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rPr>
          <w:color w:val="ff0000"/>
        </w:rPr>
      </w:pPr>
      <w:r w:rsidDel="00000000" w:rsidR="00000000" w:rsidRPr="00000000">
        <w:rPr>
          <w:rtl w:val="0"/>
        </w:rPr>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rPr/>
      </w:pPr>
      <w:r w:rsidDel="00000000" w:rsidR="00000000" w:rsidRPr="00000000">
        <w:rPr>
          <w:rtl w:val="0"/>
        </w:rPr>
        <w:t xml:space="preserve">Bibliography: </w:t>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The United Nations (2015). Concepts of Inequality Development Issues No. 1. [online] United Nations.org. Available at: https://www.un.org/en/development/desa/policy/wess/wess_dev_issues/dsp_policy_01.pdf [Accessed 2024].</w:t>
      </w:r>
      <w:r w:rsidDel="00000000" w:rsidR="00000000" w:rsidRPr="00000000">
        <w:rPr>
          <w:rtl w:val="0"/>
        </w:rPr>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Duran, M. (2019). Pablo Neruda | Chilean poet | Britannica. In: Encyclopædia Britannica. [online] Available at: </w:t>
      </w:r>
      <w:hyperlink r:id="rId7">
        <w:r w:rsidDel="00000000" w:rsidR="00000000" w:rsidRPr="00000000">
          <w:rPr>
            <w:color w:val="1155cc"/>
            <w:u w:val="single"/>
            <w:rtl w:val="0"/>
          </w:rPr>
          <w:t xml:space="preserve">https://www.britannica.com/biography/Pablo-Neruda</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Eshleman, C. (2005). Conductors of the Pit. National Geographic Books.</w:t>
      </w:r>
      <w:r w:rsidDel="00000000" w:rsidR="00000000" w:rsidRPr="00000000">
        <w:rPr>
          <w:rtl w:val="0"/>
        </w:rPr>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United Nations (2006). Article 5 - Equality and non-discrimination | United Nations Enable. [online] www.un.org. Available at: </w:t>
      </w:r>
      <w:hyperlink r:id="rId8">
        <w:r w:rsidDel="00000000" w:rsidR="00000000" w:rsidRPr="00000000">
          <w:rPr>
            <w:color w:val="1155cc"/>
            <w:u w:val="single"/>
            <w:rtl w:val="0"/>
          </w:rPr>
          <w:t xml:space="preserve">https://www.un.org/development/desa/disabilities/convention-on-the-rights-of-persons-with-disabilities/article-5-equality-and-non-discrimination.html</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Akrich, M. (2023). Actor Network Theory, Bruno Latour, and the CSI. Social Studies of Science, p.030631272311581. doi:</w:t>
      </w:r>
      <w:hyperlink r:id="rId9">
        <w:r w:rsidDel="00000000" w:rsidR="00000000" w:rsidRPr="00000000">
          <w:rPr>
            <w:color w:val="1155cc"/>
            <w:u w:val="single"/>
            <w:rtl w:val="0"/>
          </w:rPr>
          <w:t xml:space="preserve">https://doi.org/10.1177/03063127231158102</w:t>
        </w:r>
      </w:hyperlink>
      <w:r w:rsidDel="00000000" w:rsidR="00000000" w:rsidRPr="00000000">
        <w:rPr>
          <w:rtl w:val="0"/>
        </w:rPr>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Shepherds Friendly. (2020). Keeping up with the Joneses: Does it make us happy? [online] Available at: </w:t>
      </w:r>
      <w:hyperlink r:id="rId10">
        <w:r w:rsidDel="00000000" w:rsidR="00000000" w:rsidRPr="00000000">
          <w:rPr>
            <w:color w:val="1155cc"/>
            <w:u w:val="single"/>
            <w:rtl w:val="0"/>
          </w:rPr>
          <w:t xml:space="preserve">https://www.shepherdsfriendly.co.uk/resources/keeping-up-with-the-joneses/</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WHO (2023). Human rights and health. [online] World Health Organisation. Available at: </w:t>
      </w:r>
      <w:hyperlink r:id="rId11">
        <w:r w:rsidDel="00000000" w:rsidR="00000000" w:rsidRPr="00000000">
          <w:rPr>
            <w:color w:val="1155cc"/>
            <w:u w:val="single"/>
            <w:rtl w:val="0"/>
          </w:rPr>
          <w:t xml:space="preserve">https://www.who.int/news-room/fact-sheets/detail/human-rights-and-health</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Arla Foods News. (2024). Milk price for November 2024 will increase for conventional and organic milk | Arla Foods News. [online] Available at: https://news.arlafoods.co.uk/news/milk-price-for-november-2024-will-increase-for-conventional-and-organic-milk [Accessed 18 Nov. 2024].</w:t>
      </w:r>
      <w:r w:rsidDel="00000000" w:rsidR="00000000" w:rsidRPr="00000000">
        <w:rPr>
          <w:rtl w:val="0"/>
        </w:rPr>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for, D. (2024). Universal Credit statistics, 29 April 2013 to 10 October 2024. [online] GOV.UK. Available at: </w:t>
      </w:r>
      <w:hyperlink r:id="rId12">
        <w:r w:rsidDel="00000000" w:rsidR="00000000" w:rsidRPr="00000000">
          <w:rPr>
            <w:color w:val="1155cc"/>
            <w:u w:val="single"/>
            <w:rtl w:val="0"/>
          </w:rPr>
          <w:t xml:space="preserve">https://www.gov.uk/government/statistics/universal-credit-statistics-29-april-2013-to-10-october-2024/universal-credit-statistics-29-april-2013-to-10-october-2024</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C">
      <w:pPr>
        <w:numPr>
          <w:ilvl w:val="0"/>
          <w:numId w:val="1"/>
        </w:numPr>
        <w:ind w:left="720" w:hanging="360"/>
        <w:rPr>
          <w:u w:val="none"/>
        </w:rPr>
      </w:pPr>
      <w:r w:rsidDel="00000000" w:rsidR="00000000" w:rsidRPr="00000000">
        <w:rPr>
          <w:rtl w:val="0"/>
        </w:rPr>
        <w:t xml:space="preserve">Crafts, N. (2024). The welfare state and inequality: were the UK reforms of the 1940s a success? Oxford Open Economics, 3(Supplement_1), pp.i1191–i1200. doi:https://doi.org/10.1093/ooec/odad054.</w:t>
      </w:r>
      <w:r w:rsidDel="00000000" w:rsidR="00000000" w:rsidRPr="00000000">
        <w:rPr>
          <w:rtl w:val="0"/>
        </w:rPr>
      </w:r>
    </w:p>
    <w:p w:rsidR="00000000" w:rsidDel="00000000" w:rsidP="00000000" w:rsidRDefault="00000000" w:rsidRPr="00000000" w14:paraId="0000003D">
      <w:pPr>
        <w:numPr>
          <w:ilvl w:val="0"/>
          <w:numId w:val="1"/>
        </w:numPr>
        <w:ind w:left="720" w:hanging="360"/>
        <w:rPr>
          <w:u w:val="none"/>
        </w:rPr>
      </w:pPr>
      <w:r w:rsidDel="00000000" w:rsidR="00000000" w:rsidRPr="00000000">
        <w:rPr>
          <w:rtl w:val="0"/>
        </w:rPr>
        <w:t xml:space="preserve">‌WINCOTT, D. (2012). THE (GOLDEN) AGE OF THE WELFARE STATE: INTERROGATING A CONVENTIONAL WISDOM. Public Administration, 91(4), pp.806–822. doi:</w:t>
      </w:r>
      <w:hyperlink r:id="rId13">
        <w:r w:rsidDel="00000000" w:rsidR="00000000" w:rsidRPr="00000000">
          <w:rPr>
            <w:color w:val="1155cc"/>
            <w:u w:val="single"/>
            <w:rtl w:val="0"/>
          </w:rPr>
          <w:t xml:space="preserve">https://doi.org/10.1111/j.1467-9299.2012.02067.x</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E">
      <w:pPr>
        <w:numPr>
          <w:ilvl w:val="0"/>
          <w:numId w:val="1"/>
        </w:numPr>
        <w:ind w:left="720" w:hanging="360"/>
        <w:rPr>
          <w:u w:val="none"/>
        </w:rPr>
      </w:pPr>
      <w:r w:rsidDel="00000000" w:rsidR="00000000" w:rsidRPr="00000000">
        <w:rPr>
          <w:rtl w:val="0"/>
        </w:rPr>
        <w:t xml:space="preserve">Joseph Rowntree Foundation (2024). UK Poverty 2024: the Essential Guide to Understanding Poverty in the UK | Joseph Rowntree Foundation. [online] www.jrf.org.uk. Available at: </w:t>
      </w:r>
      <w:hyperlink r:id="rId14">
        <w:r w:rsidDel="00000000" w:rsidR="00000000" w:rsidRPr="00000000">
          <w:rPr>
            <w:color w:val="1155cc"/>
            <w:u w:val="single"/>
            <w:rtl w:val="0"/>
          </w:rPr>
          <w:t xml:space="preserve">https://www.jrf.org.uk/uk-poverty-2024-the-essential-guide-to-understanding-poverty-in-the-uk</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F">
      <w:pPr>
        <w:numPr>
          <w:ilvl w:val="0"/>
          <w:numId w:val="1"/>
        </w:numPr>
        <w:ind w:left="720" w:hanging="360"/>
        <w:rPr>
          <w:u w:val="none"/>
        </w:rPr>
      </w:pPr>
      <w:r w:rsidDel="00000000" w:rsidR="00000000" w:rsidRPr="00000000">
        <w:rPr>
          <w:rtl w:val="0"/>
        </w:rPr>
        <w:t xml:space="preserve">GOV.UK. (n.d.). DWP benefits statistics: February 2024. [online] Available at: </w:t>
      </w:r>
      <w:hyperlink r:id="rId15">
        <w:r w:rsidDel="00000000" w:rsidR="00000000" w:rsidRPr="00000000">
          <w:rPr>
            <w:color w:val="1155cc"/>
            <w:u w:val="single"/>
            <w:rtl w:val="0"/>
          </w:rPr>
          <w:t xml:space="preserve">https://www.gov.uk/government/statistics/dwp-benefits-statistics-february-2024/dwp-benefits-statistics-february-2024</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0">
      <w:pPr>
        <w:numPr>
          <w:ilvl w:val="0"/>
          <w:numId w:val="1"/>
        </w:numPr>
        <w:ind w:left="720" w:hanging="360"/>
        <w:rPr>
          <w:u w:val="none"/>
        </w:rPr>
      </w:pPr>
      <w:r w:rsidDel="00000000" w:rsidR="00000000" w:rsidRPr="00000000">
        <w:rPr>
          <w:rtl w:val="0"/>
        </w:rPr>
        <w:t xml:space="preserve">Durkheim, E. (1982). The rules of sociologial method. New York, N.Y.: Free Press.</w:t>
      </w:r>
      <w:r w:rsidDel="00000000" w:rsidR="00000000" w:rsidRPr="00000000">
        <w:rPr>
          <w:rtl w:val="0"/>
        </w:rPr>
      </w:r>
    </w:p>
    <w:p w:rsidR="00000000" w:rsidDel="00000000" w:rsidP="00000000" w:rsidRDefault="00000000" w:rsidRPr="00000000" w14:paraId="00000041">
      <w:pPr>
        <w:numPr>
          <w:ilvl w:val="0"/>
          <w:numId w:val="1"/>
        </w:numPr>
        <w:ind w:left="720" w:hanging="360"/>
        <w:rPr>
          <w:u w:val="none"/>
        </w:rPr>
      </w:pPr>
      <w:r w:rsidDel="00000000" w:rsidR="00000000" w:rsidRPr="00000000">
        <w:rPr>
          <w:rtl w:val="0"/>
        </w:rPr>
        <w:t xml:space="preserve">World Bank (2022). Poverty and Shared Prosperity 2022. [online] World Bank. Available at: https://www.worldbank.org/en/publication/poverty-and-shared-prosperity.</w:t>
      </w:r>
      <w:r w:rsidDel="00000000" w:rsidR="00000000" w:rsidRPr="00000000">
        <w:rPr>
          <w:rtl w:val="0"/>
        </w:rPr>
      </w:r>
    </w:p>
    <w:p w:rsidR="00000000" w:rsidDel="00000000" w:rsidP="00000000" w:rsidRDefault="00000000" w:rsidRPr="00000000" w14:paraId="00000042">
      <w:pPr>
        <w:numPr>
          <w:ilvl w:val="0"/>
          <w:numId w:val="1"/>
        </w:numPr>
        <w:ind w:left="720" w:hanging="360"/>
        <w:rPr>
          <w:u w:val="none"/>
        </w:rPr>
      </w:pPr>
      <w:r w:rsidDel="00000000" w:rsidR="00000000" w:rsidRPr="00000000">
        <w:rPr>
          <w:rtl w:val="0"/>
        </w:rPr>
        <w:t xml:space="preserve">‌www.mppn.org. (2017). ‘Poverty is a multidimensional phenomenon which requires a multidimensional political response’ | MPPN. [online] Available at: </w:t>
      </w:r>
      <w:hyperlink r:id="rId16">
        <w:r w:rsidDel="00000000" w:rsidR="00000000" w:rsidRPr="00000000">
          <w:rPr>
            <w:color w:val="1155cc"/>
            <w:u w:val="single"/>
            <w:rtl w:val="0"/>
          </w:rPr>
          <w:t xml:space="preserve">https://www.mppn.org/interview-tatyana-orozco/</w:t>
        </w:r>
      </w:hyperlink>
      <w:r w:rsidDel="00000000" w:rsidR="00000000" w:rsidRPr="00000000">
        <w:rPr>
          <w:rtl w:val="0"/>
        </w:rPr>
      </w:r>
    </w:p>
    <w:p w:rsidR="00000000" w:rsidDel="00000000" w:rsidP="00000000" w:rsidRDefault="00000000" w:rsidRPr="00000000" w14:paraId="00000043">
      <w:pPr>
        <w:numPr>
          <w:ilvl w:val="0"/>
          <w:numId w:val="1"/>
        </w:numPr>
        <w:ind w:left="720" w:hanging="360"/>
        <w:rPr>
          <w:u w:val="none"/>
        </w:rPr>
      </w:pPr>
      <w:r w:rsidDel="00000000" w:rsidR="00000000" w:rsidRPr="00000000">
        <w:rPr>
          <w:rtl w:val="0"/>
        </w:rPr>
        <w:t xml:space="preserve">Ophi.org.uk. (2024). Global MPI 2024 | OPHI. [online] Available at: </w:t>
      </w:r>
      <w:hyperlink r:id="rId17">
        <w:r w:rsidDel="00000000" w:rsidR="00000000" w:rsidRPr="00000000">
          <w:rPr>
            <w:color w:val="1155cc"/>
            <w:u w:val="single"/>
            <w:rtl w:val="0"/>
          </w:rPr>
          <w:t xml:space="preserve">https://ophi.org.uk/global-mpi/2024</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4">
      <w:pPr>
        <w:numPr>
          <w:ilvl w:val="0"/>
          <w:numId w:val="1"/>
        </w:numPr>
        <w:ind w:left="720" w:hanging="360"/>
        <w:rPr>
          <w:u w:val="none"/>
        </w:rPr>
      </w:pPr>
      <w:r w:rsidDel="00000000" w:rsidR="00000000" w:rsidRPr="00000000">
        <w:rPr>
          <w:rtl w:val="0"/>
        </w:rPr>
        <w:t xml:space="preserve">Centeno, R. (2020). Amartya Sen’s capability theory approach - CMI Business School. [online] CMI Business School. Available at: </w:t>
      </w:r>
      <w:hyperlink r:id="rId18">
        <w:r w:rsidDel="00000000" w:rsidR="00000000" w:rsidRPr="00000000">
          <w:rPr>
            <w:color w:val="1155cc"/>
            <w:u w:val="single"/>
            <w:rtl w:val="0"/>
          </w:rPr>
          <w:t xml:space="preserve">https://www.cmiuniversal.com/en/amartya-sens-capability-theory-approach/.</w:t>
        </w:r>
      </w:hyperlink>
      <w:r w:rsidDel="00000000" w:rsidR="00000000" w:rsidRPr="00000000">
        <w:rPr>
          <w:rtl w:val="0"/>
        </w:rPr>
      </w:r>
    </w:p>
    <w:p w:rsidR="00000000" w:rsidDel="00000000" w:rsidP="00000000" w:rsidRDefault="00000000" w:rsidRPr="00000000" w14:paraId="00000045">
      <w:pPr>
        <w:numPr>
          <w:ilvl w:val="0"/>
          <w:numId w:val="1"/>
        </w:numPr>
        <w:ind w:left="720" w:hanging="360"/>
        <w:rPr>
          <w:u w:val="none"/>
        </w:rPr>
      </w:pPr>
      <w:r w:rsidDel="00000000" w:rsidR="00000000" w:rsidRPr="00000000">
        <w:rPr>
          <w:rtl w:val="0"/>
        </w:rPr>
        <w:t xml:space="preserve">‌Blommaert, J. and Bulcaen, C. (2000). Critical Discourse Analysis. Annual Review of Anthropology, 29(1), pp.447–466. doi:</w:t>
      </w:r>
      <w:hyperlink r:id="rId19">
        <w:r w:rsidDel="00000000" w:rsidR="00000000" w:rsidRPr="00000000">
          <w:rPr>
            <w:color w:val="1155cc"/>
            <w:u w:val="single"/>
            <w:rtl w:val="0"/>
          </w:rPr>
          <w:t xml:space="preserve">https://doi.org/10.1146/annurev.anthro.29.1.447</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6">
      <w:pPr>
        <w:numPr>
          <w:ilvl w:val="0"/>
          <w:numId w:val="1"/>
        </w:numPr>
        <w:ind w:left="720" w:hanging="360"/>
        <w:rPr>
          <w:u w:val="none"/>
        </w:rPr>
      </w:pPr>
      <w:r w:rsidDel="00000000" w:rsidR="00000000" w:rsidRPr="00000000">
        <w:rPr>
          <w:rtl w:val="0"/>
        </w:rPr>
        <w:t xml:space="preserve">‌A. Javier TreviÃ±o (2001). The Sociology of Law. Transaction Publishers. </w:t>
      </w:r>
      <w:r w:rsidDel="00000000" w:rsidR="00000000" w:rsidRPr="00000000">
        <w:rPr>
          <w:rtl w:val="0"/>
        </w:rPr>
      </w:r>
    </w:p>
    <w:p w:rsidR="00000000" w:rsidDel="00000000" w:rsidP="00000000" w:rsidRDefault="00000000" w:rsidRPr="00000000" w14:paraId="00000047">
      <w:pPr>
        <w:numPr>
          <w:ilvl w:val="0"/>
          <w:numId w:val="1"/>
        </w:numPr>
        <w:ind w:left="720" w:hanging="360"/>
        <w:rPr>
          <w:u w:val="none"/>
        </w:rPr>
      </w:pPr>
      <w:r w:rsidDel="00000000" w:rsidR="00000000" w:rsidRPr="00000000">
        <w:rPr>
          <w:rtl w:val="0"/>
        </w:rPr>
        <w:t xml:space="preserve">Van Leeuwen, T. (2008). Discourse and practice : New tools for critical discourse analysis. Oxford ; New York: Oxford University Press.</w:t>
      </w:r>
      <w:r w:rsidDel="00000000" w:rsidR="00000000" w:rsidRPr="00000000">
        <w:rPr>
          <w:rtl w:val="0"/>
        </w:rPr>
      </w:r>
    </w:p>
    <w:p w:rsidR="00000000" w:rsidDel="00000000" w:rsidP="00000000" w:rsidRDefault="00000000" w:rsidRPr="00000000" w14:paraId="00000048">
      <w:pPr>
        <w:numPr>
          <w:ilvl w:val="0"/>
          <w:numId w:val="1"/>
        </w:numPr>
        <w:ind w:left="720" w:hanging="360"/>
        <w:rPr>
          <w:u w:val="none"/>
        </w:rPr>
      </w:pPr>
      <w:r w:rsidDel="00000000" w:rsidR="00000000" w:rsidRPr="00000000">
        <w:rPr>
          <w:rtl w:val="0"/>
        </w:rPr>
        <w:t xml:space="preserve">‌Mallett, C.J. and Lara-Bercial, S. (2016). Serial Winning Coaches: People, Vision, and Environment. Sport and Exercise Psychology Research, pp.289–322. doi:</w:t>
      </w:r>
      <w:hyperlink r:id="rId20">
        <w:r w:rsidDel="00000000" w:rsidR="00000000" w:rsidRPr="00000000">
          <w:rPr>
            <w:color w:val="1155cc"/>
            <w:u w:val="single"/>
            <w:rtl w:val="0"/>
          </w:rPr>
          <w:t xml:space="preserve">https://doi.org/10.1016/b978-0-12-803634-1.00014-5</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9">
      <w:pPr>
        <w:numPr>
          <w:ilvl w:val="0"/>
          <w:numId w:val="1"/>
        </w:numPr>
        <w:ind w:left="720" w:hanging="360"/>
        <w:rPr>
          <w:u w:val="none"/>
        </w:rPr>
      </w:pPr>
      <w:r w:rsidDel="00000000" w:rsidR="00000000" w:rsidRPr="00000000">
        <w:rPr>
          <w:rtl w:val="0"/>
        </w:rPr>
        <w:t xml:space="preserve">Geena Davis Institute. (2024). See Jane 2021 TV: The State of Representation in Popular Television from 2016 to 2020. [online] Available at: </w:t>
      </w:r>
      <w:hyperlink r:id="rId21">
        <w:r w:rsidDel="00000000" w:rsidR="00000000" w:rsidRPr="00000000">
          <w:rPr>
            <w:color w:val="1155cc"/>
            <w:u w:val="single"/>
            <w:rtl w:val="0"/>
          </w:rPr>
          <w:t xml:space="preserve">https://geenadavisinstitute.org/research/see-jane-2021-tv-looking-back-and-moving-forward/</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A">
      <w:pPr>
        <w:numPr>
          <w:ilvl w:val="0"/>
          <w:numId w:val="1"/>
        </w:numPr>
        <w:ind w:left="720" w:hanging="360"/>
        <w:rPr>
          <w:u w:val="none"/>
        </w:rPr>
      </w:pPr>
      <w:r w:rsidDel="00000000" w:rsidR="00000000" w:rsidRPr="00000000">
        <w:rPr>
          <w:rtl w:val="0"/>
        </w:rPr>
        <w:t xml:space="preserve">Geena Davis Institute. (n.d.). Home. [online] Available at: </w:t>
      </w:r>
      <w:hyperlink r:id="rId22">
        <w:r w:rsidDel="00000000" w:rsidR="00000000" w:rsidRPr="00000000">
          <w:rPr>
            <w:color w:val="1155cc"/>
            <w:u w:val="single"/>
            <w:rtl w:val="0"/>
          </w:rPr>
          <w:t xml:space="preserve">https://geenadavisinstitute.org/</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B">
      <w:pPr>
        <w:numPr>
          <w:ilvl w:val="0"/>
          <w:numId w:val="1"/>
        </w:numPr>
        <w:ind w:left="720" w:hanging="360"/>
        <w:rPr>
          <w:u w:val="none"/>
        </w:rPr>
      </w:pPr>
      <w:r w:rsidDel="00000000" w:rsidR="00000000" w:rsidRPr="00000000">
        <w:rPr>
          <w:rtl w:val="0"/>
        </w:rPr>
        <w:t xml:space="preserve">‌Jones, E.-L. (2024). Gender pay gap statistics 2024. [online] Ciphr.com. Available at: </w:t>
      </w:r>
      <w:hyperlink r:id="rId23">
        <w:r w:rsidDel="00000000" w:rsidR="00000000" w:rsidRPr="00000000">
          <w:rPr>
            <w:color w:val="1155cc"/>
            <w:u w:val="single"/>
            <w:rtl w:val="0"/>
          </w:rPr>
          <w:t xml:space="preserve">https://www.ciphr.com/infographics/gender-pay-gap-statistics-2024</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C">
      <w:pPr>
        <w:numPr>
          <w:ilvl w:val="0"/>
          <w:numId w:val="1"/>
        </w:numPr>
        <w:ind w:left="720" w:hanging="360"/>
        <w:rPr>
          <w:u w:val="none"/>
        </w:rPr>
      </w:pPr>
      <w:r w:rsidDel="00000000" w:rsidR="00000000" w:rsidRPr="00000000">
        <w:rPr>
          <w:rtl w:val="0"/>
        </w:rPr>
        <w:t xml:space="preserve">‌Waller, W. (1936). Social Problems and the Mores. American Sociological Review, 1(6), p.922. doi:</w:t>
      </w:r>
      <w:hyperlink r:id="rId24">
        <w:r w:rsidDel="00000000" w:rsidR="00000000" w:rsidRPr="00000000">
          <w:rPr>
            <w:color w:val="1155cc"/>
            <w:u w:val="single"/>
            <w:rtl w:val="0"/>
          </w:rPr>
          <w:t xml:space="preserve">https://doi.org/10.2307/2084617</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D">
      <w:pPr>
        <w:numPr>
          <w:ilvl w:val="0"/>
          <w:numId w:val="1"/>
        </w:numPr>
        <w:ind w:left="720" w:hanging="360"/>
        <w:rPr>
          <w:u w:val="none"/>
        </w:rPr>
      </w:pPr>
      <w:r w:rsidDel="00000000" w:rsidR="00000000" w:rsidRPr="00000000">
        <w:rPr>
          <w:rtl w:val="0"/>
        </w:rPr>
        <w:t xml:space="preserve">Harinck, F. and Druckman, D. (2019). Values and Interests: Impacts of Affirming the Other and Mediation on Settlements. Group Decision and Negotiation, 28(3), pp.453–474. doi:https://doi.org/10.1007/s10726-019-09620-x</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rPr>
          <w:color w:val="2c3e50"/>
          <w:sz w:val="27"/>
          <w:szCs w:val="27"/>
          <w:shd w:fill="fef1c4" w:val="clear"/>
        </w:rPr>
      </w:pPr>
      <w:r w:rsidDel="00000000" w:rsidR="00000000" w:rsidRPr="00000000">
        <w:rPr>
          <w:rtl w:val="0"/>
        </w:rPr>
      </w:r>
    </w:p>
    <w:p w:rsidR="00000000" w:rsidDel="00000000" w:rsidP="00000000" w:rsidRDefault="00000000" w:rsidRPr="00000000" w14:paraId="00000063">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rPr>
          <w:color w:val="2c3e50"/>
          <w:shd w:fill="fef1c4" w:val="clear"/>
        </w:rPr>
      </w:pPr>
      <w:r w:rsidDel="00000000" w:rsidR="00000000" w:rsidRPr="00000000">
        <w:rPr>
          <w:rtl w:val="0"/>
        </w:rPr>
      </w:r>
    </w:p>
    <w:p w:rsidR="00000000" w:rsidDel="00000000" w:rsidP="00000000" w:rsidRDefault="00000000" w:rsidRPr="00000000" w14:paraId="00000064">
      <w:pPr>
        <w:pBdr>
          <w:top w:color="000000" w:space="0" w:sz="0" w:val="none"/>
          <w:left w:color="000000" w:space="0" w:sz="0" w:val="none"/>
          <w:bottom w:color="000000" w:space="0" w:sz="0" w:val="none"/>
          <w:right w:color="000000" w:space="0" w:sz="0" w:val="none"/>
          <w:between w:color="000000" w:space="0" w:sz="0" w:val="none"/>
        </w:pBdr>
        <w:shd w:fill="ffffff" w:val="clear"/>
        <w:spacing w:after="200" w:lineRule="auto"/>
        <w:rPr>
          <w:color w:val="ff000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16/b978-0-12-803634-1.00014-5" TargetMode="External"/><Relationship Id="rId11" Type="http://schemas.openxmlformats.org/officeDocument/2006/relationships/hyperlink" Target="https://www.who.int/news-room/fact-sheets/detail/human-rights-and-health" TargetMode="External"/><Relationship Id="rId22" Type="http://schemas.openxmlformats.org/officeDocument/2006/relationships/hyperlink" Target="https://geenadavisinstitute.org/" TargetMode="External"/><Relationship Id="rId10" Type="http://schemas.openxmlformats.org/officeDocument/2006/relationships/hyperlink" Target="https://www.shepherdsfriendly.co.uk/resources/keeping-up-with-the-joneses/" TargetMode="External"/><Relationship Id="rId21" Type="http://schemas.openxmlformats.org/officeDocument/2006/relationships/hyperlink" Target="https://geenadavisinstitute.org/research/see-jane-2021-tv-looking-back-and-moving-forward/" TargetMode="External"/><Relationship Id="rId13" Type="http://schemas.openxmlformats.org/officeDocument/2006/relationships/hyperlink" Target="https://doi.org/10.1111/j.1467-9299.2012.02067.x" TargetMode="External"/><Relationship Id="rId24" Type="http://schemas.openxmlformats.org/officeDocument/2006/relationships/hyperlink" Target="https://doi.org/10.2307/2084617" TargetMode="External"/><Relationship Id="rId12" Type="http://schemas.openxmlformats.org/officeDocument/2006/relationships/hyperlink" Target="https://www.gov.uk/government/statistics/universal-credit-statistics-29-april-2013-to-10-october-2024/universal-credit-statistics-29-april-2013-to-10-october-2024" TargetMode="External"/><Relationship Id="rId23" Type="http://schemas.openxmlformats.org/officeDocument/2006/relationships/hyperlink" Target="https://www.ciphr.com/infographics/gender-pay-gap-statistics-2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3063127231158102" TargetMode="External"/><Relationship Id="rId15" Type="http://schemas.openxmlformats.org/officeDocument/2006/relationships/hyperlink" Target="https://www.gov.uk/government/statistics/dwp-benefits-statistics-february-2024/dwp-benefits-statistics-february-2024" TargetMode="External"/><Relationship Id="rId14" Type="http://schemas.openxmlformats.org/officeDocument/2006/relationships/hyperlink" Target="https://www.jrf.org.uk/uk-poverty-2024-the-essential-guide-to-understanding-poverty-in-the-uk" TargetMode="External"/><Relationship Id="rId17" Type="http://schemas.openxmlformats.org/officeDocument/2006/relationships/hyperlink" Target="https://ophi.org.uk/global-mpi/2024" TargetMode="External"/><Relationship Id="rId16" Type="http://schemas.openxmlformats.org/officeDocument/2006/relationships/hyperlink" Target="https://www.mppn.org/interview-tatyana-orozco/" TargetMode="External"/><Relationship Id="rId5" Type="http://schemas.openxmlformats.org/officeDocument/2006/relationships/styles" Target="styles.xml"/><Relationship Id="rId19" Type="http://schemas.openxmlformats.org/officeDocument/2006/relationships/hyperlink" Target="https://doi.org/10.1146/annurev.anthro.29.1.447" TargetMode="External"/><Relationship Id="rId6" Type="http://schemas.openxmlformats.org/officeDocument/2006/relationships/customXml" Target="../customXML/item1.xml"/><Relationship Id="rId18" Type="http://schemas.openxmlformats.org/officeDocument/2006/relationships/hyperlink" Target="https://www.cmiuniversal.com/en/amartya-sens-capability-theory-approach/.%E2%80%94" TargetMode="External"/><Relationship Id="rId7" Type="http://schemas.openxmlformats.org/officeDocument/2006/relationships/hyperlink" Target="https://www.britannica.com/biography/Pablo-Neruda" TargetMode="External"/><Relationship Id="rId8" Type="http://schemas.openxmlformats.org/officeDocument/2006/relationships/hyperlink" Target="https://www.un.org/development/desa/disabilities/convention-on-the-rights-of-persons-with-disabilities/article-5-equality-and-non-discrimination.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VX2F5hC53XGeoOWslkWt92wmXQ==">CgMxLjA4AHIhMWRGT3BjcDVjYmNoRmZIeUVlZnc5U05PdG1vRFA2b0RB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