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C9DF26" w14:textId="19CA54DC" w:rsidR="00FB3881" w:rsidRDefault="000067C6" w:rsidP="00F53835">
      <w:pPr>
        <w:jc w:val="center"/>
        <w:rPr>
          <w:b/>
          <w:bCs/>
        </w:rPr>
      </w:pPr>
      <w:r>
        <w:rPr>
          <w:noProof/>
        </w:rPr>
        <w:drawing>
          <wp:inline distT="0" distB="0" distL="0" distR="0" wp14:anchorId="02262AD5" wp14:editId="0D45D59E">
            <wp:extent cx="2272145" cy="781414"/>
            <wp:effectExtent l="0" t="0" r="0" b="0"/>
            <wp:docPr id="3821003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9706" t="16326" r="10352" b="17850"/>
                    <a:stretch>
                      <a:fillRect/>
                    </a:stretch>
                  </pic:blipFill>
                  <pic:spPr bwMode="auto">
                    <a:xfrm>
                      <a:off x="0" y="0"/>
                      <a:ext cx="2296704" cy="789860"/>
                    </a:xfrm>
                    <a:prstGeom prst="rect">
                      <a:avLst/>
                    </a:prstGeom>
                    <a:noFill/>
                    <a:ln>
                      <a:noFill/>
                    </a:ln>
                    <a:extLst>
                      <a:ext uri="{53640926-AAD7-44D8-BBD7-CCE9431645EC}">
                        <a14:shadowObscured xmlns:a14="http://schemas.microsoft.com/office/drawing/2010/main"/>
                      </a:ext>
                    </a:extLst>
                  </pic:spPr>
                </pic:pic>
              </a:graphicData>
            </a:graphic>
          </wp:inline>
        </w:drawing>
      </w:r>
    </w:p>
    <w:p w14:paraId="1E718922" w14:textId="77777777" w:rsidR="00FB3881" w:rsidRDefault="00FB3881" w:rsidP="00F53835">
      <w:pPr>
        <w:jc w:val="center"/>
        <w:rPr>
          <w:b/>
          <w:bCs/>
        </w:rPr>
      </w:pPr>
    </w:p>
    <w:p w14:paraId="0750ACB2" w14:textId="77777777" w:rsidR="00FB3881" w:rsidRDefault="00FB3881" w:rsidP="00F53835">
      <w:pPr>
        <w:jc w:val="center"/>
        <w:rPr>
          <w:b/>
          <w:bCs/>
        </w:rPr>
      </w:pPr>
    </w:p>
    <w:p w14:paraId="0FA8B669" w14:textId="04A69FE4" w:rsidR="0093661B" w:rsidRDefault="0093661B" w:rsidP="00F53835">
      <w:pPr>
        <w:jc w:val="center"/>
        <w:rPr>
          <w:b/>
          <w:bCs/>
        </w:rPr>
      </w:pPr>
      <w:r w:rsidRPr="0093661B">
        <w:rPr>
          <w:b/>
          <w:bCs/>
        </w:rPr>
        <w:t>Programme: Master of Business Administration</w:t>
      </w:r>
    </w:p>
    <w:p w14:paraId="00353122" w14:textId="77777777" w:rsidR="009F5B28" w:rsidRDefault="009F5B28" w:rsidP="00F53835">
      <w:pPr>
        <w:jc w:val="center"/>
        <w:rPr>
          <w:b/>
          <w:bCs/>
        </w:rPr>
      </w:pPr>
      <w:r w:rsidRPr="009F5B28">
        <w:rPr>
          <w:b/>
          <w:bCs/>
        </w:rPr>
        <w:t>Module: Marketing Management</w:t>
      </w:r>
    </w:p>
    <w:p w14:paraId="4893758F" w14:textId="77777777" w:rsidR="009F5B28" w:rsidRDefault="009F5B28" w:rsidP="00F53835">
      <w:pPr>
        <w:jc w:val="center"/>
        <w:rPr>
          <w:b/>
          <w:bCs/>
        </w:rPr>
      </w:pPr>
      <w:r w:rsidRPr="009F5B28">
        <w:rPr>
          <w:b/>
          <w:bCs/>
        </w:rPr>
        <w:t>Module code: LCMB7024</w:t>
      </w:r>
    </w:p>
    <w:p w14:paraId="55BFCCD9" w14:textId="53191B03" w:rsidR="00F53835" w:rsidRDefault="009F5B28" w:rsidP="00F53835">
      <w:pPr>
        <w:jc w:val="center"/>
        <w:rPr>
          <w:b/>
          <w:bCs/>
          <w:lang w:val="en-US"/>
        </w:rPr>
      </w:pPr>
      <w:r w:rsidRPr="009F5B28">
        <w:rPr>
          <w:b/>
          <w:bCs/>
        </w:rPr>
        <w:t>Lecturer:</w:t>
      </w:r>
      <w:r>
        <w:rPr>
          <w:b/>
          <w:bCs/>
        </w:rPr>
        <w:t xml:space="preserve"> </w:t>
      </w:r>
      <w:r w:rsidR="009F5B4F">
        <w:rPr>
          <w:b/>
          <w:bCs/>
          <w:lang w:val="en-US"/>
        </w:rPr>
        <w:t>Laila Maazouz</w:t>
      </w:r>
    </w:p>
    <w:p w14:paraId="5833E5A1" w14:textId="3D743419" w:rsidR="009F5B4F" w:rsidRDefault="009F5B4F" w:rsidP="00F53835">
      <w:pPr>
        <w:jc w:val="center"/>
        <w:rPr>
          <w:b/>
          <w:bCs/>
          <w:lang w:val="en-US"/>
        </w:rPr>
      </w:pPr>
      <w:r>
        <w:rPr>
          <w:b/>
          <w:bCs/>
          <w:lang w:val="en-US"/>
        </w:rPr>
        <w:t xml:space="preserve">Taonga Kaonga </w:t>
      </w:r>
      <w:proofErr w:type="spellStart"/>
      <w:r>
        <w:rPr>
          <w:b/>
          <w:bCs/>
          <w:lang w:val="en-US"/>
        </w:rPr>
        <w:t>Sobera</w:t>
      </w:r>
      <w:proofErr w:type="spellEnd"/>
      <w:r>
        <w:rPr>
          <w:b/>
          <w:bCs/>
          <w:lang w:val="en-US"/>
        </w:rPr>
        <w:t xml:space="preserve"> </w:t>
      </w:r>
      <w:proofErr w:type="spellStart"/>
      <w:r>
        <w:rPr>
          <w:b/>
          <w:bCs/>
          <w:lang w:val="en-US"/>
        </w:rPr>
        <w:t>Snithers</w:t>
      </w:r>
      <w:proofErr w:type="spellEnd"/>
    </w:p>
    <w:p w14:paraId="4ECFFF6F" w14:textId="77777777" w:rsidR="00F53835" w:rsidRDefault="00F53835" w:rsidP="00F53835">
      <w:pPr>
        <w:jc w:val="center"/>
        <w:rPr>
          <w:b/>
          <w:bCs/>
          <w:lang w:val="en-US"/>
        </w:rPr>
      </w:pPr>
    </w:p>
    <w:p w14:paraId="0550909E" w14:textId="77777777" w:rsidR="00F53835" w:rsidRDefault="00F53835" w:rsidP="00F53835">
      <w:pPr>
        <w:jc w:val="center"/>
        <w:rPr>
          <w:b/>
          <w:bCs/>
          <w:lang w:val="en-US"/>
        </w:rPr>
      </w:pPr>
    </w:p>
    <w:p w14:paraId="19112068" w14:textId="00FB703E" w:rsidR="00F53835" w:rsidRDefault="00F53835" w:rsidP="00F53835">
      <w:pPr>
        <w:jc w:val="center"/>
        <w:rPr>
          <w:b/>
          <w:bCs/>
        </w:rPr>
      </w:pPr>
      <w:r w:rsidRPr="00F53835">
        <w:rPr>
          <w:b/>
          <w:bCs/>
          <w:lang w:val="en-US"/>
        </w:rPr>
        <w:t>Assignment Title: </w:t>
      </w:r>
      <w:r w:rsidR="00FD773C" w:rsidRPr="00FD773C">
        <w:rPr>
          <w:b/>
          <w:bCs/>
        </w:rPr>
        <w:t>Marketing Environment Analysis</w:t>
      </w:r>
    </w:p>
    <w:p w14:paraId="00E741B4" w14:textId="77777777" w:rsidR="00FD773C" w:rsidRDefault="00FD773C" w:rsidP="00FD773C">
      <w:pPr>
        <w:jc w:val="center"/>
        <w:rPr>
          <w:b/>
          <w:bCs/>
        </w:rPr>
      </w:pPr>
    </w:p>
    <w:p w14:paraId="48BD7D34" w14:textId="77777777" w:rsidR="00FD773C" w:rsidRDefault="00FD773C" w:rsidP="00FD773C">
      <w:pPr>
        <w:jc w:val="center"/>
        <w:rPr>
          <w:b/>
          <w:bCs/>
        </w:rPr>
      </w:pPr>
    </w:p>
    <w:p w14:paraId="498BD406" w14:textId="77777777" w:rsidR="00FD773C" w:rsidRDefault="00FD773C" w:rsidP="00FD773C">
      <w:pPr>
        <w:jc w:val="center"/>
        <w:rPr>
          <w:b/>
          <w:bCs/>
        </w:rPr>
      </w:pPr>
    </w:p>
    <w:p w14:paraId="754961F0" w14:textId="00D99042" w:rsidR="00FD773C" w:rsidRDefault="00FD773C" w:rsidP="00FD773C">
      <w:pPr>
        <w:jc w:val="center"/>
        <w:rPr>
          <w:b/>
          <w:bCs/>
        </w:rPr>
      </w:pPr>
      <w:r>
        <w:rPr>
          <w:b/>
          <w:bCs/>
        </w:rPr>
        <w:t>Student Name:</w:t>
      </w:r>
      <w:r w:rsidR="009F5B4F">
        <w:rPr>
          <w:b/>
          <w:bCs/>
        </w:rPr>
        <w:t xml:space="preserve"> Lutfiya Imtiyaz Ghanchi </w:t>
      </w:r>
    </w:p>
    <w:p w14:paraId="2146D511" w14:textId="77777777" w:rsidR="00FD773C" w:rsidRDefault="00FD773C" w:rsidP="00FD773C">
      <w:pPr>
        <w:jc w:val="center"/>
        <w:rPr>
          <w:b/>
          <w:bCs/>
        </w:rPr>
      </w:pPr>
    </w:p>
    <w:p w14:paraId="2B50EBB8" w14:textId="463833AC" w:rsidR="00FD773C" w:rsidRDefault="00FD773C" w:rsidP="00FD773C">
      <w:pPr>
        <w:jc w:val="center"/>
        <w:rPr>
          <w:b/>
          <w:bCs/>
        </w:rPr>
      </w:pPr>
      <w:r>
        <w:rPr>
          <w:b/>
          <w:bCs/>
        </w:rPr>
        <w:t>Student ID:</w:t>
      </w:r>
      <w:r w:rsidR="009F5B4F">
        <w:rPr>
          <w:b/>
          <w:bCs/>
        </w:rPr>
        <w:t>2536172</w:t>
      </w:r>
    </w:p>
    <w:p w14:paraId="0BE4C174" w14:textId="77777777" w:rsidR="00FD773C" w:rsidRDefault="00FD773C" w:rsidP="00FD773C">
      <w:pPr>
        <w:jc w:val="center"/>
        <w:rPr>
          <w:b/>
          <w:bCs/>
        </w:rPr>
      </w:pPr>
    </w:p>
    <w:p w14:paraId="24234AC1" w14:textId="77777777" w:rsidR="00FD773C" w:rsidRDefault="00FD773C" w:rsidP="00FD773C">
      <w:pPr>
        <w:jc w:val="center"/>
        <w:rPr>
          <w:b/>
          <w:bCs/>
        </w:rPr>
      </w:pPr>
    </w:p>
    <w:p w14:paraId="4C69960D" w14:textId="6CBF7ACA" w:rsidR="00FD773C" w:rsidRPr="00F53835" w:rsidRDefault="00FD773C" w:rsidP="00FD773C">
      <w:pPr>
        <w:jc w:val="center"/>
        <w:rPr>
          <w:b/>
          <w:bCs/>
          <w:lang w:val="en-US"/>
        </w:rPr>
      </w:pPr>
      <w:r>
        <w:rPr>
          <w:b/>
          <w:bCs/>
        </w:rPr>
        <w:t>Words</w:t>
      </w:r>
      <w:r w:rsidR="00FB3881">
        <w:rPr>
          <w:b/>
          <w:bCs/>
        </w:rPr>
        <w:t>: 2</w:t>
      </w:r>
      <w:r w:rsidR="00F57515">
        <w:rPr>
          <w:b/>
          <w:bCs/>
        </w:rPr>
        <w:t>694</w:t>
      </w:r>
    </w:p>
    <w:p w14:paraId="73533D43" w14:textId="77777777" w:rsidR="00F53835" w:rsidRPr="00F53835" w:rsidRDefault="00F53835" w:rsidP="00F53835">
      <w:pPr>
        <w:jc w:val="center"/>
        <w:rPr>
          <w:b/>
          <w:bCs/>
          <w:lang w:val="en-US"/>
        </w:rPr>
      </w:pPr>
    </w:p>
    <w:p w14:paraId="3E820B46" w14:textId="3A227667" w:rsidR="00DE1099" w:rsidRDefault="00DE1099" w:rsidP="0093661B">
      <w:r>
        <w:br w:type="page"/>
      </w:r>
    </w:p>
    <w:sdt>
      <w:sdtPr>
        <w:rPr>
          <w:rFonts w:ascii="Arial" w:eastAsiaTheme="minorHAnsi" w:hAnsi="Arial" w:cs="Arial"/>
          <w:color w:val="000000" w:themeColor="text1"/>
          <w:sz w:val="24"/>
          <w:szCs w:val="24"/>
          <w:lang w:val="en-GB"/>
        </w:rPr>
        <w:id w:val="1527911203"/>
        <w:docPartObj>
          <w:docPartGallery w:val="Table of Contents"/>
          <w:docPartUnique/>
        </w:docPartObj>
      </w:sdtPr>
      <w:sdtEndPr>
        <w:rPr>
          <w:b/>
          <w:bCs/>
          <w:noProof/>
        </w:rPr>
      </w:sdtEndPr>
      <w:sdtContent>
        <w:p w14:paraId="5AC6EF74" w14:textId="27597279" w:rsidR="00AA1AF7" w:rsidRPr="00AA1AF7" w:rsidRDefault="00AA1AF7" w:rsidP="00C62D17">
          <w:pPr>
            <w:pStyle w:val="TOCHeading"/>
            <w:spacing w:line="360" w:lineRule="auto"/>
            <w:jc w:val="center"/>
            <w:rPr>
              <w:rFonts w:ascii="Arial" w:hAnsi="Arial" w:cs="Arial"/>
              <w:b/>
              <w:bCs/>
              <w:color w:val="000000" w:themeColor="text1"/>
              <w:sz w:val="24"/>
              <w:szCs w:val="24"/>
            </w:rPr>
          </w:pPr>
          <w:r w:rsidRPr="00AA1AF7">
            <w:rPr>
              <w:rFonts w:ascii="Arial" w:hAnsi="Arial" w:cs="Arial"/>
              <w:b/>
              <w:bCs/>
              <w:color w:val="000000" w:themeColor="text1"/>
              <w:sz w:val="24"/>
              <w:szCs w:val="24"/>
            </w:rPr>
            <w:t>Table of Contents</w:t>
          </w:r>
        </w:p>
        <w:p w14:paraId="027D2690" w14:textId="21264137" w:rsidR="00F57515" w:rsidRDefault="00AA1AF7" w:rsidP="00C62D17">
          <w:pPr>
            <w:pStyle w:val="TOC1"/>
            <w:tabs>
              <w:tab w:val="right" w:leader="dot" w:pos="9016"/>
            </w:tabs>
            <w:spacing w:line="360" w:lineRule="auto"/>
            <w:rPr>
              <w:rFonts w:asciiTheme="minorHAnsi" w:eastAsiaTheme="minorEastAsia" w:hAnsiTheme="minorHAnsi"/>
              <w:noProof/>
              <w:color w:val="auto"/>
              <w:kern w:val="2"/>
              <w:szCs w:val="24"/>
              <w:lang w:val="en-US"/>
              <w14:ligatures w14:val="standardContextual"/>
            </w:rPr>
          </w:pPr>
          <w:r w:rsidRPr="00AA1AF7">
            <w:rPr>
              <w:rFonts w:cs="Arial"/>
              <w:szCs w:val="24"/>
            </w:rPr>
            <w:fldChar w:fldCharType="begin"/>
          </w:r>
          <w:r w:rsidRPr="00AA1AF7">
            <w:rPr>
              <w:rFonts w:cs="Arial"/>
              <w:szCs w:val="24"/>
            </w:rPr>
            <w:instrText xml:space="preserve"> TOC \o "1-3" \h \z \u </w:instrText>
          </w:r>
          <w:r w:rsidRPr="00AA1AF7">
            <w:rPr>
              <w:rFonts w:cs="Arial"/>
              <w:szCs w:val="24"/>
            </w:rPr>
            <w:fldChar w:fldCharType="separate"/>
          </w:r>
          <w:hyperlink w:anchor="_Toc235719151" w:history="1">
            <w:r w:rsidR="00F57515" w:rsidRPr="006058B9">
              <w:rPr>
                <w:rStyle w:val="Hyperlink"/>
                <w:noProof/>
              </w:rPr>
              <w:t>1.0 Task 1 Critical Analysis of the Marketing Environment</w:t>
            </w:r>
            <w:r w:rsidR="00F57515">
              <w:rPr>
                <w:noProof/>
                <w:webHidden/>
              </w:rPr>
              <w:tab/>
            </w:r>
            <w:r w:rsidR="00F57515">
              <w:rPr>
                <w:noProof/>
                <w:webHidden/>
              </w:rPr>
              <w:fldChar w:fldCharType="begin"/>
            </w:r>
            <w:r w:rsidR="00F57515">
              <w:rPr>
                <w:noProof/>
                <w:webHidden/>
              </w:rPr>
              <w:instrText xml:space="preserve"> PAGEREF _Toc235719151 \h </w:instrText>
            </w:r>
            <w:r w:rsidR="00F57515">
              <w:rPr>
                <w:noProof/>
                <w:webHidden/>
              </w:rPr>
            </w:r>
            <w:r w:rsidR="00F57515">
              <w:rPr>
                <w:noProof/>
                <w:webHidden/>
              </w:rPr>
              <w:fldChar w:fldCharType="separate"/>
            </w:r>
            <w:r w:rsidR="00C62D17">
              <w:rPr>
                <w:noProof/>
                <w:webHidden/>
              </w:rPr>
              <w:t>3</w:t>
            </w:r>
            <w:r w:rsidR="00F57515">
              <w:rPr>
                <w:noProof/>
                <w:webHidden/>
              </w:rPr>
              <w:fldChar w:fldCharType="end"/>
            </w:r>
          </w:hyperlink>
        </w:p>
        <w:p w14:paraId="163D2201" w14:textId="55BEBF8C" w:rsidR="00F57515" w:rsidRDefault="00F57515" w:rsidP="00C62D1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719152" w:history="1">
            <w:r w:rsidRPr="006058B9">
              <w:rPr>
                <w:rStyle w:val="Hyperlink"/>
                <w:noProof/>
              </w:rPr>
              <w:t>1.1 Organisational Overview of Codelco</w:t>
            </w:r>
            <w:r>
              <w:rPr>
                <w:noProof/>
                <w:webHidden/>
              </w:rPr>
              <w:tab/>
            </w:r>
            <w:r>
              <w:rPr>
                <w:noProof/>
                <w:webHidden/>
              </w:rPr>
              <w:fldChar w:fldCharType="begin"/>
            </w:r>
            <w:r>
              <w:rPr>
                <w:noProof/>
                <w:webHidden/>
              </w:rPr>
              <w:instrText xml:space="preserve"> PAGEREF _Toc235719152 \h </w:instrText>
            </w:r>
            <w:r>
              <w:rPr>
                <w:noProof/>
                <w:webHidden/>
              </w:rPr>
            </w:r>
            <w:r>
              <w:rPr>
                <w:noProof/>
                <w:webHidden/>
              </w:rPr>
              <w:fldChar w:fldCharType="separate"/>
            </w:r>
            <w:r w:rsidR="00C62D17">
              <w:rPr>
                <w:noProof/>
                <w:webHidden/>
              </w:rPr>
              <w:t>3</w:t>
            </w:r>
            <w:r>
              <w:rPr>
                <w:noProof/>
                <w:webHidden/>
              </w:rPr>
              <w:fldChar w:fldCharType="end"/>
            </w:r>
          </w:hyperlink>
        </w:p>
        <w:p w14:paraId="424E42FA" w14:textId="26203821" w:rsidR="00F57515" w:rsidRDefault="00F57515" w:rsidP="00C62D1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719153" w:history="1">
            <w:r w:rsidRPr="006058B9">
              <w:rPr>
                <w:rStyle w:val="Hyperlink"/>
                <w:noProof/>
              </w:rPr>
              <w:t>1.2 External Marketin</w:t>
            </w:r>
            <w:r w:rsidRPr="006058B9">
              <w:rPr>
                <w:rStyle w:val="Hyperlink"/>
                <w:noProof/>
              </w:rPr>
              <w:t>g</w:t>
            </w:r>
            <w:r w:rsidRPr="006058B9">
              <w:rPr>
                <w:rStyle w:val="Hyperlink"/>
                <w:noProof/>
              </w:rPr>
              <w:t xml:space="preserve"> Environment Actor 1: The natural Environment</w:t>
            </w:r>
            <w:r>
              <w:rPr>
                <w:noProof/>
                <w:webHidden/>
              </w:rPr>
              <w:tab/>
            </w:r>
            <w:r>
              <w:rPr>
                <w:noProof/>
                <w:webHidden/>
              </w:rPr>
              <w:fldChar w:fldCharType="begin"/>
            </w:r>
            <w:r>
              <w:rPr>
                <w:noProof/>
                <w:webHidden/>
              </w:rPr>
              <w:instrText xml:space="preserve"> PAGEREF _Toc235719153 \h </w:instrText>
            </w:r>
            <w:r>
              <w:rPr>
                <w:noProof/>
                <w:webHidden/>
              </w:rPr>
            </w:r>
            <w:r>
              <w:rPr>
                <w:noProof/>
                <w:webHidden/>
              </w:rPr>
              <w:fldChar w:fldCharType="separate"/>
            </w:r>
            <w:r w:rsidR="00C62D17">
              <w:rPr>
                <w:noProof/>
                <w:webHidden/>
              </w:rPr>
              <w:t>3</w:t>
            </w:r>
            <w:r>
              <w:rPr>
                <w:noProof/>
                <w:webHidden/>
              </w:rPr>
              <w:fldChar w:fldCharType="end"/>
            </w:r>
          </w:hyperlink>
        </w:p>
        <w:p w14:paraId="4F6C4DA8" w14:textId="10560825" w:rsidR="00F57515" w:rsidRDefault="00F57515" w:rsidP="00C62D1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719154" w:history="1">
            <w:r w:rsidRPr="006058B9">
              <w:rPr>
                <w:rStyle w:val="Hyperlink"/>
                <w:noProof/>
              </w:rPr>
              <w:t>1.3 External Marketing Environment Actor 2: Government and Regulatory Institutions</w:t>
            </w:r>
            <w:r>
              <w:rPr>
                <w:noProof/>
                <w:webHidden/>
              </w:rPr>
              <w:tab/>
            </w:r>
            <w:r>
              <w:rPr>
                <w:noProof/>
                <w:webHidden/>
              </w:rPr>
              <w:fldChar w:fldCharType="begin"/>
            </w:r>
            <w:r>
              <w:rPr>
                <w:noProof/>
                <w:webHidden/>
              </w:rPr>
              <w:instrText xml:space="preserve"> PAGEREF _Toc235719154 \h </w:instrText>
            </w:r>
            <w:r>
              <w:rPr>
                <w:noProof/>
                <w:webHidden/>
              </w:rPr>
            </w:r>
            <w:r>
              <w:rPr>
                <w:noProof/>
                <w:webHidden/>
              </w:rPr>
              <w:fldChar w:fldCharType="separate"/>
            </w:r>
            <w:r w:rsidR="00C62D17">
              <w:rPr>
                <w:noProof/>
                <w:webHidden/>
              </w:rPr>
              <w:t>5</w:t>
            </w:r>
            <w:r>
              <w:rPr>
                <w:noProof/>
                <w:webHidden/>
              </w:rPr>
              <w:fldChar w:fldCharType="end"/>
            </w:r>
          </w:hyperlink>
        </w:p>
        <w:p w14:paraId="08EC01E6" w14:textId="7897F316" w:rsidR="00F57515" w:rsidRDefault="00F57515" w:rsidP="00C62D17">
          <w:pPr>
            <w:pStyle w:val="TOC1"/>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719155" w:history="1">
            <w:r w:rsidRPr="006058B9">
              <w:rPr>
                <w:rStyle w:val="Hyperlink"/>
                <w:noProof/>
              </w:rPr>
              <w:t>2.0 Task 2 Strategic Growth and Competitive Positioning</w:t>
            </w:r>
            <w:r>
              <w:rPr>
                <w:noProof/>
                <w:webHidden/>
              </w:rPr>
              <w:tab/>
            </w:r>
            <w:r>
              <w:rPr>
                <w:noProof/>
                <w:webHidden/>
              </w:rPr>
              <w:fldChar w:fldCharType="begin"/>
            </w:r>
            <w:r>
              <w:rPr>
                <w:noProof/>
                <w:webHidden/>
              </w:rPr>
              <w:instrText xml:space="preserve"> PAGEREF _Toc235719155 \h </w:instrText>
            </w:r>
            <w:r>
              <w:rPr>
                <w:noProof/>
                <w:webHidden/>
              </w:rPr>
            </w:r>
            <w:r>
              <w:rPr>
                <w:noProof/>
                <w:webHidden/>
              </w:rPr>
              <w:fldChar w:fldCharType="separate"/>
            </w:r>
            <w:r w:rsidR="00C62D17">
              <w:rPr>
                <w:noProof/>
                <w:webHidden/>
              </w:rPr>
              <w:t>8</w:t>
            </w:r>
            <w:r>
              <w:rPr>
                <w:noProof/>
                <w:webHidden/>
              </w:rPr>
              <w:fldChar w:fldCharType="end"/>
            </w:r>
          </w:hyperlink>
        </w:p>
        <w:p w14:paraId="61117C31" w14:textId="06B4AEA3" w:rsidR="00F57515" w:rsidRDefault="00F57515" w:rsidP="00C62D1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719156" w:history="1">
            <w:r w:rsidRPr="006058B9">
              <w:rPr>
                <w:rStyle w:val="Hyperlink"/>
                <w:noProof/>
              </w:rPr>
              <w:t>2.1 Strategic Growth Recommendation Using the Ansoff Matrix</w:t>
            </w:r>
            <w:r>
              <w:rPr>
                <w:noProof/>
                <w:webHidden/>
              </w:rPr>
              <w:tab/>
            </w:r>
            <w:r>
              <w:rPr>
                <w:noProof/>
                <w:webHidden/>
              </w:rPr>
              <w:fldChar w:fldCharType="begin"/>
            </w:r>
            <w:r>
              <w:rPr>
                <w:noProof/>
                <w:webHidden/>
              </w:rPr>
              <w:instrText xml:space="preserve"> PAGEREF _Toc235719156 \h </w:instrText>
            </w:r>
            <w:r>
              <w:rPr>
                <w:noProof/>
                <w:webHidden/>
              </w:rPr>
            </w:r>
            <w:r>
              <w:rPr>
                <w:noProof/>
                <w:webHidden/>
              </w:rPr>
              <w:fldChar w:fldCharType="separate"/>
            </w:r>
            <w:r w:rsidR="00C62D17">
              <w:rPr>
                <w:noProof/>
                <w:webHidden/>
              </w:rPr>
              <w:t>8</w:t>
            </w:r>
            <w:r>
              <w:rPr>
                <w:noProof/>
                <w:webHidden/>
              </w:rPr>
              <w:fldChar w:fldCharType="end"/>
            </w:r>
          </w:hyperlink>
        </w:p>
        <w:p w14:paraId="76D64102" w14:textId="766B8250" w:rsidR="00F57515" w:rsidRDefault="00F57515" w:rsidP="00C62D1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719157" w:history="1">
            <w:r w:rsidRPr="006058B9">
              <w:rPr>
                <w:rStyle w:val="Hyperlink"/>
                <w:noProof/>
              </w:rPr>
              <w:t>2.2 Building Competitive Advantage Through a Lower-Carbon Business Model</w:t>
            </w:r>
            <w:r>
              <w:rPr>
                <w:noProof/>
                <w:webHidden/>
              </w:rPr>
              <w:tab/>
            </w:r>
            <w:r>
              <w:rPr>
                <w:noProof/>
                <w:webHidden/>
              </w:rPr>
              <w:fldChar w:fldCharType="begin"/>
            </w:r>
            <w:r>
              <w:rPr>
                <w:noProof/>
                <w:webHidden/>
              </w:rPr>
              <w:instrText xml:space="preserve"> PAGEREF _Toc235719157 \h </w:instrText>
            </w:r>
            <w:r>
              <w:rPr>
                <w:noProof/>
                <w:webHidden/>
              </w:rPr>
            </w:r>
            <w:r>
              <w:rPr>
                <w:noProof/>
                <w:webHidden/>
              </w:rPr>
              <w:fldChar w:fldCharType="separate"/>
            </w:r>
            <w:r w:rsidR="00C62D17">
              <w:rPr>
                <w:noProof/>
                <w:webHidden/>
              </w:rPr>
              <w:t>11</w:t>
            </w:r>
            <w:r>
              <w:rPr>
                <w:noProof/>
                <w:webHidden/>
              </w:rPr>
              <w:fldChar w:fldCharType="end"/>
            </w:r>
          </w:hyperlink>
        </w:p>
        <w:p w14:paraId="1488E86F" w14:textId="7E27D3F3" w:rsidR="00F57515" w:rsidRDefault="00F57515" w:rsidP="00C62D17">
          <w:pPr>
            <w:pStyle w:val="TOC1"/>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719158" w:history="1">
            <w:r w:rsidRPr="006058B9">
              <w:rPr>
                <w:rStyle w:val="Hyperlink"/>
                <w:noProof/>
              </w:rPr>
              <w:t>3.0 Task 3 Critical Reflection on the Use of Artificial Intelligence</w:t>
            </w:r>
            <w:r>
              <w:rPr>
                <w:noProof/>
                <w:webHidden/>
              </w:rPr>
              <w:tab/>
            </w:r>
            <w:r>
              <w:rPr>
                <w:noProof/>
                <w:webHidden/>
              </w:rPr>
              <w:fldChar w:fldCharType="begin"/>
            </w:r>
            <w:r>
              <w:rPr>
                <w:noProof/>
                <w:webHidden/>
              </w:rPr>
              <w:instrText xml:space="preserve"> PAGEREF _Toc235719158 \h </w:instrText>
            </w:r>
            <w:r>
              <w:rPr>
                <w:noProof/>
                <w:webHidden/>
              </w:rPr>
            </w:r>
            <w:r>
              <w:rPr>
                <w:noProof/>
                <w:webHidden/>
              </w:rPr>
              <w:fldChar w:fldCharType="separate"/>
            </w:r>
            <w:r w:rsidR="00C62D17">
              <w:rPr>
                <w:noProof/>
                <w:webHidden/>
              </w:rPr>
              <w:t>13</w:t>
            </w:r>
            <w:r>
              <w:rPr>
                <w:noProof/>
                <w:webHidden/>
              </w:rPr>
              <w:fldChar w:fldCharType="end"/>
            </w:r>
          </w:hyperlink>
        </w:p>
        <w:p w14:paraId="6349A3CB" w14:textId="320E568A" w:rsidR="00F57515" w:rsidRDefault="00F57515" w:rsidP="00C62D1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719159" w:history="1">
            <w:r w:rsidRPr="006058B9">
              <w:rPr>
                <w:rStyle w:val="Hyperlink"/>
                <w:noProof/>
              </w:rPr>
              <w:t>3.1 Disclosure of AI Tools Used</w:t>
            </w:r>
            <w:r>
              <w:rPr>
                <w:noProof/>
                <w:webHidden/>
              </w:rPr>
              <w:tab/>
            </w:r>
            <w:r>
              <w:rPr>
                <w:noProof/>
                <w:webHidden/>
              </w:rPr>
              <w:fldChar w:fldCharType="begin"/>
            </w:r>
            <w:r>
              <w:rPr>
                <w:noProof/>
                <w:webHidden/>
              </w:rPr>
              <w:instrText xml:space="preserve"> PAGEREF _Toc235719159 \h </w:instrText>
            </w:r>
            <w:r>
              <w:rPr>
                <w:noProof/>
                <w:webHidden/>
              </w:rPr>
            </w:r>
            <w:r>
              <w:rPr>
                <w:noProof/>
                <w:webHidden/>
              </w:rPr>
              <w:fldChar w:fldCharType="separate"/>
            </w:r>
            <w:r w:rsidR="00C62D17">
              <w:rPr>
                <w:noProof/>
                <w:webHidden/>
              </w:rPr>
              <w:t>13</w:t>
            </w:r>
            <w:r>
              <w:rPr>
                <w:noProof/>
                <w:webHidden/>
              </w:rPr>
              <w:fldChar w:fldCharType="end"/>
            </w:r>
          </w:hyperlink>
        </w:p>
        <w:p w14:paraId="1B1D88CD" w14:textId="7AF36C9A" w:rsidR="00F57515" w:rsidRDefault="00F57515" w:rsidP="00C62D1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719160" w:history="1">
            <w:r w:rsidRPr="006058B9">
              <w:rPr>
                <w:rStyle w:val="Hyperlink"/>
                <w:noProof/>
              </w:rPr>
              <w:t>3.2 Critical Assessment of AI-Generated Outputs</w:t>
            </w:r>
            <w:r>
              <w:rPr>
                <w:noProof/>
                <w:webHidden/>
              </w:rPr>
              <w:tab/>
            </w:r>
            <w:r>
              <w:rPr>
                <w:noProof/>
                <w:webHidden/>
              </w:rPr>
              <w:fldChar w:fldCharType="begin"/>
            </w:r>
            <w:r>
              <w:rPr>
                <w:noProof/>
                <w:webHidden/>
              </w:rPr>
              <w:instrText xml:space="preserve"> PAGEREF _Toc235719160 \h </w:instrText>
            </w:r>
            <w:r>
              <w:rPr>
                <w:noProof/>
                <w:webHidden/>
              </w:rPr>
            </w:r>
            <w:r>
              <w:rPr>
                <w:noProof/>
                <w:webHidden/>
              </w:rPr>
              <w:fldChar w:fldCharType="separate"/>
            </w:r>
            <w:r w:rsidR="00C62D17">
              <w:rPr>
                <w:noProof/>
                <w:webHidden/>
              </w:rPr>
              <w:t>13</w:t>
            </w:r>
            <w:r>
              <w:rPr>
                <w:noProof/>
                <w:webHidden/>
              </w:rPr>
              <w:fldChar w:fldCharType="end"/>
            </w:r>
          </w:hyperlink>
        </w:p>
        <w:p w14:paraId="5715E315" w14:textId="26E1C977" w:rsidR="00F57515" w:rsidRDefault="00F57515" w:rsidP="00C62D1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719161" w:history="1">
            <w:r w:rsidRPr="006058B9">
              <w:rPr>
                <w:rStyle w:val="Hyperlink"/>
                <w:noProof/>
              </w:rPr>
              <w:t>3.3 Analysis of AI and Personal Contributions</w:t>
            </w:r>
            <w:r>
              <w:rPr>
                <w:noProof/>
                <w:webHidden/>
              </w:rPr>
              <w:tab/>
            </w:r>
            <w:r>
              <w:rPr>
                <w:noProof/>
                <w:webHidden/>
              </w:rPr>
              <w:fldChar w:fldCharType="begin"/>
            </w:r>
            <w:r>
              <w:rPr>
                <w:noProof/>
                <w:webHidden/>
              </w:rPr>
              <w:instrText xml:space="preserve"> PAGEREF _Toc235719161 \h </w:instrText>
            </w:r>
            <w:r>
              <w:rPr>
                <w:noProof/>
                <w:webHidden/>
              </w:rPr>
            </w:r>
            <w:r>
              <w:rPr>
                <w:noProof/>
                <w:webHidden/>
              </w:rPr>
              <w:fldChar w:fldCharType="separate"/>
            </w:r>
            <w:r w:rsidR="00C62D17">
              <w:rPr>
                <w:noProof/>
                <w:webHidden/>
              </w:rPr>
              <w:t>13</w:t>
            </w:r>
            <w:r>
              <w:rPr>
                <w:noProof/>
                <w:webHidden/>
              </w:rPr>
              <w:fldChar w:fldCharType="end"/>
            </w:r>
          </w:hyperlink>
        </w:p>
        <w:p w14:paraId="7DB588D2" w14:textId="31A7560D" w:rsidR="00F57515" w:rsidRDefault="00F57515" w:rsidP="00C62D17">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719162" w:history="1">
            <w:r w:rsidRPr="006058B9">
              <w:rPr>
                <w:rStyle w:val="Hyperlink"/>
                <w:noProof/>
              </w:rPr>
              <w:t>3.4 Ethical and Professional Considerations of AI Use</w:t>
            </w:r>
            <w:r>
              <w:rPr>
                <w:noProof/>
                <w:webHidden/>
              </w:rPr>
              <w:tab/>
            </w:r>
            <w:r>
              <w:rPr>
                <w:noProof/>
                <w:webHidden/>
              </w:rPr>
              <w:fldChar w:fldCharType="begin"/>
            </w:r>
            <w:r>
              <w:rPr>
                <w:noProof/>
                <w:webHidden/>
              </w:rPr>
              <w:instrText xml:space="preserve"> PAGEREF _Toc235719162 \h </w:instrText>
            </w:r>
            <w:r>
              <w:rPr>
                <w:noProof/>
                <w:webHidden/>
              </w:rPr>
            </w:r>
            <w:r>
              <w:rPr>
                <w:noProof/>
                <w:webHidden/>
              </w:rPr>
              <w:fldChar w:fldCharType="separate"/>
            </w:r>
            <w:r w:rsidR="00C62D17">
              <w:rPr>
                <w:noProof/>
                <w:webHidden/>
              </w:rPr>
              <w:t>14</w:t>
            </w:r>
            <w:r>
              <w:rPr>
                <w:noProof/>
                <w:webHidden/>
              </w:rPr>
              <w:fldChar w:fldCharType="end"/>
            </w:r>
          </w:hyperlink>
        </w:p>
        <w:p w14:paraId="384EEB95" w14:textId="4FB14A41" w:rsidR="00F57515" w:rsidRDefault="00F57515" w:rsidP="00C62D17">
          <w:pPr>
            <w:pStyle w:val="TOC1"/>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719163" w:history="1">
            <w:r w:rsidRPr="006058B9">
              <w:rPr>
                <w:rStyle w:val="Hyperlink"/>
                <w:noProof/>
              </w:rPr>
              <w:t>References</w:t>
            </w:r>
            <w:r>
              <w:rPr>
                <w:noProof/>
                <w:webHidden/>
              </w:rPr>
              <w:tab/>
            </w:r>
            <w:r>
              <w:rPr>
                <w:noProof/>
                <w:webHidden/>
              </w:rPr>
              <w:fldChar w:fldCharType="begin"/>
            </w:r>
            <w:r>
              <w:rPr>
                <w:noProof/>
                <w:webHidden/>
              </w:rPr>
              <w:instrText xml:space="preserve"> PAGEREF _Toc235719163 \h </w:instrText>
            </w:r>
            <w:r>
              <w:rPr>
                <w:noProof/>
                <w:webHidden/>
              </w:rPr>
            </w:r>
            <w:r>
              <w:rPr>
                <w:noProof/>
                <w:webHidden/>
              </w:rPr>
              <w:fldChar w:fldCharType="separate"/>
            </w:r>
            <w:r w:rsidR="00C62D17">
              <w:rPr>
                <w:noProof/>
                <w:webHidden/>
              </w:rPr>
              <w:t>15</w:t>
            </w:r>
            <w:r>
              <w:rPr>
                <w:noProof/>
                <w:webHidden/>
              </w:rPr>
              <w:fldChar w:fldCharType="end"/>
            </w:r>
          </w:hyperlink>
        </w:p>
        <w:p w14:paraId="1CDD211D" w14:textId="46B08061" w:rsidR="00AA1AF7" w:rsidRDefault="00AA1AF7" w:rsidP="00C62D17">
          <w:pPr>
            <w:spacing w:line="360" w:lineRule="auto"/>
          </w:pPr>
          <w:r w:rsidRPr="00AA1AF7">
            <w:rPr>
              <w:rFonts w:cs="Arial"/>
              <w:b/>
              <w:bCs/>
              <w:noProof/>
              <w:szCs w:val="24"/>
            </w:rPr>
            <w:fldChar w:fldCharType="end"/>
          </w:r>
        </w:p>
      </w:sdtContent>
    </w:sdt>
    <w:p w14:paraId="5493A4D3" w14:textId="1A535306" w:rsidR="003217CD" w:rsidRPr="003217CD" w:rsidRDefault="00DE1099" w:rsidP="000067C6">
      <w:pPr>
        <w:pStyle w:val="Heading1"/>
      </w:pPr>
      <w:r>
        <w:br w:type="page"/>
      </w:r>
      <w:bookmarkStart w:id="0" w:name="_Toc235719151"/>
      <w:r w:rsidR="003217CD" w:rsidRPr="003217CD">
        <w:lastRenderedPageBreak/>
        <w:t>1.0 Task 1 Critical Analysis of the Marketing Environment</w:t>
      </w:r>
      <w:bookmarkEnd w:id="0"/>
    </w:p>
    <w:p w14:paraId="3F270812" w14:textId="46A5A656" w:rsidR="003217CD" w:rsidRDefault="003217CD" w:rsidP="00E11D80">
      <w:pPr>
        <w:pStyle w:val="Heading2"/>
      </w:pPr>
      <w:bookmarkStart w:id="1" w:name="_Toc235719152"/>
      <w:r w:rsidRPr="003217CD">
        <w:t xml:space="preserve">1.1 </w:t>
      </w:r>
      <w:bookmarkEnd w:id="1"/>
      <w:r w:rsidR="00F57515" w:rsidRPr="00F57515">
        <w:t>Company Selection and Context</w:t>
      </w:r>
    </w:p>
    <w:p w14:paraId="346A7272" w14:textId="5B384B4A" w:rsidR="00F57515" w:rsidRPr="00F57515" w:rsidRDefault="00F57515" w:rsidP="00F57515">
      <w:pPr>
        <w:spacing w:line="360" w:lineRule="auto"/>
      </w:pPr>
      <w:r w:rsidRPr="00F57515">
        <w:t xml:space="preserve">Codelco is a government-owned Chilean mining company and among the largest copper miners in the world. It runs large mining operations, such as Chuquicamata, El Teniente, Andina and Radomiro Tomic, and provides refined copper, concentrates and mining by-products to foreign markets. In 2025, it recorded a 15.4 </w:t>
      </w:r>
      <w:r w:rsidR="00A368FF">
        <w:t>%</w:t>
      </w:r>
      <w:r w:rsidRPr="00F57515">
        <w:t xml:space="preserve"> growth in its revenue to US$19.608 billion with attributable copper production of about 1.44 million tonnes (Codelco, 2025a). These values show that Codelco is a large and strategically important company in the world of copper. The present sustainability path it is following is centered on the adoption of renewable-energy, decarbonisation of its operations, better water management and the creation of lower-carbon copper products. Nonetheless, production costs and speeding up this shift may be slowed by falling ore grades, project delays, and operational disruption. As a result, sustainability, reliability of supply and legitimacy of the stakeholders are also gaining significance on the future marketing stance of Codelco and its global competitiveness.</w:t>
      </w:r>
    </w:p>
    <w:p w14:paraId="29CF0B59" w14:textId="6E569F73" w:rsidR="001C0F64" w:rsidRPr="00C75716" w:rsidRDefault="001C0F64" w:rsidP="000B2315">
      <w:pPr>
        <w:spacing w:line="360" w:lineRule="auto"/>
        <w:jc w:val="center"/>
        <w:rPr>
          <w:rFonts w:cs="Arial"/>
          <w:szCs w:val="24"/>
        </w:rPr>
      </w:pPr>
      <w:r w:rsidRPr="00C75716">
        <w:rPr>
          <w:rFonts w:cs="Arial"/>
          <w:noProof/>
          <w:szCs w:val="24"/>
        </w:rPr>
        <w:drawing>
          <wp:inline distT="0" distB="0" distL="0" distR="0" wp14:anchorId="04F56336" wp14:editId="6ADFEDB9">
            <wp:extent cx="4648718" cy="2844421"/>
            <wp:effectExtent l="76200" t="76200" r="133350" b="127635"/>
            <wp:docPr id="1779703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703811" name=""/>
                    <pic:cNvPicPr/>
                  </pic:nvPicPr>
                  <pic:blipFill>
                    <a:blip r:embed="rId9"/>
                    <a:stretch>
                      <a:fillRect/>
                    </a:stretch>
                  </pic:blipFill>
                  <pic:spPr>
                    <a:xfrm>
                      <a:off x="0" y="0"/>
                      <a:ext cx="4652495" cy="28467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06BB1E" w14:textId="5A71EA37" w:rsidR="001C0F64" w:rsidRPr="00C75716" w:rsidRDefault="001C0F64" w:rsidP="001C0F64">
      <w:pPr>
        <w:spacing w:line="360" w:lineRule="auto"/>
        <w:jc w:val="center"/>
        <w:rPr>
          <w:rFonts w:cs="Arial"/>
          <w:b/>
          <w:bCs/>
          <w:szCs w:val="24"/>
        </w:rPr>
      </w:pPr>
      <w:r w:rsidRPr="00C75716">
        <w:rPr>
          <w:rFonts w:cs="Arial"/>
          <w:b/>
          <w:bCs/>
          <w:szCs w:val="24"/>
        </w:rPr>
        <w:t>Fig</w:t>
      </w:r>
      <w:r w:rsidR="00295717" w:rsidRPr="00C75716">
        <w:rPr>
          <w:rFonts w:cs="Arial"/>
          <w:b/>
          <w:bCs/>
          <w:szCs w:val="24"/>
        </w:rPr>
        <w:t>ure</w:t>
      </w:r>
      <w:r w:rsidR="00101467" w:rsidRPr="00C75716">
        <w:rPr>
          <w:rFonts w:cs="Arial"/>
          <w:b/>
          <w:bCs/>
          <w:szCs w:val="24"/>
        </w:rPr>
        <w:t xml:space="preserve"> 01</w:t>
      </w:r>
      <w:r w:rsidRPr="00C75716">
        <w:rPr>
          <w:rFonts w:cs="Arial"/>
          <w:b/>
          <w:bCs/>
          <w:szCs w:val="24"/>
        </w:rPr>
        <w:t>:</w:t>
      </w:r>
      <w:r w:rsidR="002B697D" w:rsidRPr="00C75716">
        <w:rPr>
          <w:rFonts w:cs="Arial"/>
          <w:b/>
          <w:bCs/>
          <w:szCs w:val="24"/>
        </w:rPr>
        <w:t xml:space="preserve"> </w:t>
      </w:r>
      <w:r w:rsidR="002B697D" w:rsidRPr="00C75716">
        <w:rPr>
          <w:rFonts w:cs="Arial"/>
          <w:szCs w:val="24"/>
        </w:rPr>
        <w:t xml:space="preserve">Codelco Financial and Operational Performance </w:t>
      </w:r>
    </w:p>
    <w:p w14:paraId="1EDE93D8" w14:textId="300C4B87" w:rsidR="001C0F64" w:rsidRPr="00085264" w:rsidRDefault="001C0F64" w:rsidP="00472548">
      <w:pPr>
        <w:spacing w:line="360" w:lineRule="auto"/>
        <w:jc w:val="center"/>
        <w:rPr>
          <w:rFonts w:cs="Arial"/>
          <w:szCs w:val="24"/>
        </w:rPr>
      </w:pPr>
      <w:r w:rsidRPr="00C75716">
        <w:rPr>
          <w:rFonts w:cs="Arial"/>
          <w:b/>
          <w:bCs/>
          <w:szCs w:val="24"/>
        </w:rPr>
        <w:t>Source:</w:t>
      </w:r>
      <w:r w:rsidR="00472548" w:rsidRPr="00C75716">
        <w:rPr>
          <w:rFonts w:cs="Arial"/>
          <w:b/>
          <w:bCs/>
          <w:szCs w:val="24"/>
        </w:rPr>
        <w:t xml:space="preserve"> </w:t>
      </w:r>
      <w:r w:rsidR="00472548" w:rsidRPr="00DE1099">
        <w:rPr>
          <w:rFonts w:cs="Arial"/>
          <w:szCs w:val="24"/>
        </w:rPr>
        <w:t>(Codelco, 2025</w:t>
      </w:r>
      <w:r w:rsidR="00DE1099" w:rsidRPr="00DE1099">
        <w:rPr>
          <w:rFonts w:cs="Arial"/>
          <w:szCs w:val="24"/>
        </w:rPr>
        <w:t>a</w:t>
      </w:r>
      <w:r w:rsidR="00472548" w:rsidRPr="00DE1099">
        <w:rPr>
          <w:rFonts w:cs="Arial"/>
          <w:szCs w:val="24"/>
        </w:rPr>
        <w:t>)</w:t>
      </w:r>
    </w:p>
    <w:p w14:paraId="576D7713" w14:textId="2E86FDB1" w:rsidR="003217CD" w:rsidRPr="003217CD" w:rsidRDefault="003217CD" w:rsidP="00E11D80">
      <w:pPr>
        <w:pStyle w:val="Heading2"/>
      </w:pPr>
      <w:bookmarkStart w:id="2" w:name="_Toc235719153"/>
      <w:r w:rsidRPr="003217CD">
        <w:t xml:space="preserve">1.2 </w:t>
      </w:r>
      <w:r w:rsidR="00F57515">
        <w:t>External Marketing Environment Actor 1: The natural Environment</w:t>
      </w:r>
      <w:bookmarkEnd w:id="2"/>
    </w:p>
    <w:p w14:paraId="11D00B64" w14:textId="7D7B62D1" w:rsidR="007850BD" w:rsidRPr="00C75716" w:rsidRDefault="000B2315" w:rsidP="007850BD">
      <w:pPr>
        <w:spacing w:line="360" w:lineRule="auto"/>
        <w:rPr>
          <w:rFonts w:cs="Arial"/>
          <w:szCs w:val="24"/>
        </w:rPr>
      </w:pPr>
      <w:r w:rsidRPr="00C75716">
        <w:rPr>
          <w:rFonts w:cs="Arial"/>
          <w:szCs w:val="24"/>
        </w:rPr>
        <w:t>It is the natural environment that is redefining what Codelco is going to sell and not how it operates. Copper is a key to electrification, but mining generates about 4</w:t>
      </w:r>
      <w:r w:rsidR="005F7A53">
        <w:rPr>
          <w:rFonts w:cs="Arial"/>
          <w:szCs w:val="24"/>
        </w:rPr>
        <w:t>-</w:t>
      </w:r>
      <w:r w:rsidRPr="00C75716">
        <w:rPr>
          <w:rFonts w:cs="Arial"/>
          <w:szCs w:val="24"/>
        </w:rPr>
        <w:t xml:space="preserve">7% of </w:t>
      </w:r>
      <w:r w:rsidRPr="00C75716">
        <w:rPr>
          <w:rFonts w:cs="Arial"/>
          <w:szCs w:val="24"/>
        </w:rPr>
        <w:lastRenderedPageBreak/>
        <w:t>the world emissions, and the ore grade is getting lower, which means that more energy is consumed to extract each tonne mined (Payton, 2025). In July 2026, Reuters had reported that Codelco was facing a lack of output growth due to geological constraints, project delays and increased costs (Cambero, 2026). The assumption of copper being inherently green since it can support renewable technologies may be rejected by the customers, however. Codelco needs to show that the metal itself is experiencing a decreasing embodied footprint.</w:t>
      </w:r>
    </w:p>
    <w:p w14:paraId="5A4DBE13" w14:textId="7F6CDF64" w:rsidR="0019450D" w:rsidRPr="00C75716" w:rsidRDefault="0019450D" w:rsidP="0019450D">
      <w:pPr>
        <w:spacing w:line="360" w:lineRule="auto"/>
        <w:jc w:val="center"/>
        <w:rPr>
          <w:rFonts w:cs="Arial"/>
          <w:szCs w:val="24"/>
        </w:rPr>
      </w:pPr>
      <w:r w:rsidRPr="00C75716">
        <w:rPr>
          <w:rFonts w:cs="Arial"/>
          <w:noProof/>
          <w:szCs w:val="24"/>
        </w:rPr>
        <w:drawing>
          <wp:inline distT="0" distB="0" distL="0" distR="0" wp14:anchorId="0EC30B4C" wp14:editId="7FEBC08E">
            <wp:extent cx="3641917" cy="4473907"/>
            <wp:effectExtent l="0" t="0" r="0" b="3175"/>
            <wp:docPr id="1206918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918717" name=""/>
                    <pic:cNvPicPr/>
                  </pic:nvPicPr>
                  <pic:blipFill>
                    <a:blip r:embed="rId10"/>
                    <a:stretch>
                      <a:fillRect/>
                    </a:stretch>
                  </pic:blipFill>
                  <pic:spPr>
                    <a:xfrm>
                      <a:off x="0" y="0"/>
                      <a:ext cx="3644299" cy="4476833"/>
                    </a:xfrm>
                    <a:prstGeom prst="rect">
                      <a:avLst/>
                    </a:prstGeom>
                  </pic:spPr>
                </pic:pic>
              </a:graphicData>
            </a:graphic>
          </wp:inline>
        </w:drawing>
      </w:r>
    </w:p>
    <w:p w14:paraId="48E60EDC" w14:textId="5BEBB8AE" w:rsidR="0019450D" w:rsidRPr="00C75716" w:rsidRDefault="0019450D" w:rsidP="0019450D">
      <w:pPr>
        <w:spacing w:line="360" w:lineRule="auto"/>
        <w:jc w:val="center"/>
        <w:rPr>
          <w:rFonts w:cs="Arial"/>
          <w:b/>
          <w:bCs/>
          <w:szCs w:val="24"/>
        </w:rPr>
      </w:pPr>
      <w:r w:rsidRPr="00C75716">
        <w:rPr>
          <w:rFonts w:cs="Arial"/>
          <w:b/>
          <w:bCs/>
          <w:szCs w:val="24"/>
        </w:rPr>
        <w:t>Fig</w:t>
      </w:r>
      <w:r w:rsidR="00295717" w:rsidRPr="00C75716">
        <w:rPr>
          <w:rFonts w:cs="Arial"/>
          <w:b/>
          <w:bCs/>
          <w:szCs w:val="24"/>
        </w:rPr>
        <w:t>ure</w:t>
      </w:r>
      <w:r w:rsidR="006F7110" w:rsidRPr="00C75716">
        <w:rPr>
          <w:rFonts w:cs="Arial"/>
          <w:b/>
          <w:bCs/>
          <w:szCs w:val="24"/>
        </w:rPr>
        <w:t xml:space="preserve"> 02</w:t>
      </w:r>
      <w:r w:rsidRPr="00C75716">
        <w:rPr>
          <w:rFonts w:cs="Arial"/>
          <w:b/>
          <w:bCs/>
          <w:szCs w:val="24"/>
        </w:rPr>
        <w:t>:</w:t>
      </w:r>
      <w:r w:rsidR="00B42052" w:rsidRPr="00C75716">
        <w:rPr>
          <w:rFonts w:cs="Arial"/>
          <w:b/>
          <w:bCs/>
          <w:szCs w:val="24"/>
        </w:rPr>
        <w:t xml:space="preserve"> </w:t>
      </w:r>
      <w:r w:rsidR="00B42052" w:rsidRPr="00C75716">
        <w:rPr>
          <w:rFonts w:cs="Arial"/>
          <w:szCs w:val="24"/>
        </w:rPr>
        <w:t>Reuters Analysis of the Mining Industry’s Transition Towards Decarbonisation</w:t>
      </w:r>
    </w:p>
    <w:p w14:paraId="7D1B4796" w14:textId="14352796" w:rsidR="0019450D" w:rsidRPr="007850BD" w:rsidRDefault="0019450D" w:rsidP="00B220A3">
      <w:pPr>
        <w:spacing w:line="360" w:lineRule="auto"/>
        <w:jc w:val="center"/>
        <w:rPr>
          <w:rFonts w:cs="Arial"/>
          <w:szCs w:val="24"/>
        </w:rPr>
      </w:pPr>
      <w:r w:rsidRPr="00C75716">
        <w:rPr>
          <w:rFonts w:cs="Arial"/>
          <w:b/>
          <w:bCs/>
          <w:szCs w:val="24"/>
        </w:rPr>
        <w:t>Source:</w:t>
      </w:r>
      <w:r w:rsidR="00B220A3" w:rsidRPr="00C75716">
        <w:rPr>
          <w:rFonts w:cs="Arial"/>
          <w:szCs w:val="24"/>
        </w:rPr>
        <w:t xml:space="preserve"> (Reuters, 2025</w:t>
      </w:r>
      <w:r w:rsidR="00BA39EE" w:rsidRPr="00C75716">
        <w:rPr>
          <w:rFonts w:cs="Arial"/>
          <w:szCs w:val="24"/>
        </w:rPr>
        <w:t>a</w:t>
      </w:r>
      <w:r w:rsidR="00B220A3" w:rsidRPr="00C75716">
        <w:rPr>
          <w:rFonts w:cs="Arial"/>
          <w:szCs w:val="24"/>
        </w:rPr>
        <w:t>)</w:t>
      </w:r>
    </w:p>
    <w:p w14:paraId="5598FBD4" w14:textId="77777777" w:rsidR="00240342" w:rsidRPr="00C75716" w:rsidRDefault="00240342" w:rsidP="007850BD">
      <w:pPr>
        <w:spacing w:line="360" w:lineRule="auto"/>
        <w:rPr>
          <w:rFonts w:cs="Arial"/>
          <w:szCs w:val="24"/>
        </w:rPr>
      </w:pPr>
      <w:r w:rsidRPr="00C75716">
        <w:rPr>
          <w:rFonts w:cs="Arial"/>
          <w:szCs w:val="24"/>
        </w:rPr>
        <w:t xml:space="preserve">This pressure helps in moving undifferentiated cathodes and concentrating them to the proven lower-carbon products. Product-carbon-footprint quantification seals on copper cathodes made at Gabriela Mistral and sulphuric acid at El Teniente were obtained by Codelco. In addition, the May 2026 approach of the International Copper Association demands regular product-level information to the customers, producers, </w:t>
      </w:r>
      <w:r w:rsidRPr="00C75716">
        <w:rPr>
          <w:rFonts w:cs="Arial"/>
          <w:szCs w:val="24"/>
        </w:rPr>
        <w:lastRenderedPageBreak/>
        <w:t xml:space="preserve">LMEpassport and new regulations (ICA, 2026). This offers grounds to mine-specific lower-carbon copper, however, the credibility relies on clear boundaries, attributing electricity and providing independent verification. </w:t>
      </w:r>
    </w:p>
    <w:p w14:paraId="198786B2" w14:textId="54BA7E38" w:rsidR="00240342" w:rsidRPr="00C75716" w:rsidRDefault="00240342" w:rsidP="007850BD">
      <w:pPr>
        <w:spacing w:line="360" w:lineRule="auto"/>
        <w:rPr>
          <w:rFonts w:cs="Arial"/>
          <w:szCs w:val="24"/>
        </w:rPr>
      </w:pPr>
      <w:r w:rsidRPr="00C75716">
        <w:rPr>
          <w:rFonts w:cs="Arial"/>
          <w:szCs w:val="24"/>
        </w:rPr>
        <w:t>This product offering can be enhanced by operational decarbonisation. Codelco has signed a renewable electricity contract of 1.5 T</w:t>
      </w:r>
      <w:r w:rsidR="004B5182" w:rsidRPr="00C75716">
        <w:rPr>
          <w:rFonts w:cs="Arial"/>
          <w:szCs w:val="24"/>
        </w:rPr>
        <w:t>WH</w:t>
      </w:r>
      <w:r w:rsidRPr="00C75716">
        <w:rPr>
          <w:rFonts w:cs="Arial"/>
          <w:szCs w:val="24"/>
        </w:rPr>
        <w:t xml:space="preserve"> in 2026-2040 (CODELCO, 2025). Its climate programme also experimented with explosives which had a 40 </w:t>
      </w:r>
      <w:r w:rsidR="006A319E">
        <w:rPr>
          <w:rFonts w:cs="Arial"/>
          <w:szCs w:val="24"/>
        </w:rPr>
        <w:t>%</w:t>
      </w:r>
      <w:r w:rsidRPr="00C75716">
        <w:rPr>
          <w:rFonts w:cs="Arial"/>
          <w:szCs w:val="24"/>
        </w:rPr>
        <w:t xml:space="preserve"> smaller carbon footprint and recycled grinding media at El Teniente is projected to prevent 40,000 tonnes of CO2 a year (Codelco, 2025</w:t>
      </w:r>
      <w:r w:rsidR="005B4E37" w:rsidRPr="00C75716">
        <w:rPr>
          <w:rFonts w:cs="Arial"/>
          <w:szCs w:val="24"/>
        </w:rPr>
        <w:t>c</w:t>
      </w:r>
      <w:r w:rsidRPr="00C75716">
        <w:rPr>
          <w:rFonts w:cs="Arial"/>
          <w:szCs w:val="24"/>
        </w:rPr>
        <w:t xml:space="preserve">). Nevertheless, these programs only generate marketing value by adding reductions to independently validated product footprints and traceable custody systems. Otherwise, it may be claimed that corporate enhancements are being provided as product benefits, without showing which customers get lower-carbon copper. </w:t>
      </w:r>
    </w:p>
    <w:p w14:paraId="5F677FCE" w14:textId="0D0D231B" w:rsidR="00F51CEC" w:rsidRPr="00C75716" w:rsidRDefault="00F51CEC" w:rsidP="003217CD">
      <w:pPr>
        <w:spacing w:line="360" w:lineRule="auto"/>
        <w:rPr>
          <w:rFonts w:cs="Arial"/>
          <w:szCs w:val="24"/>
        </w:rPr>
      </w:pPr>
      <w:r w:rsidRPr="00C75716">
        <w:rPr>
          <w:rFonts w:cs="Arial"/>
          <w:szCs w:val="24"/>
        </w:rPr>
        <w:t xml:space="preserve">The lack of water and the ecological stress also add to the problems of product positioning. Codelco was the first mining company to calculate the blue-water footprint per tonne of copper in Chile, which will be certified in 2026. Evidence indicates that peer-reviewed research found water source to be a more effective indicator of copper-differentiation as compared to many broader sustainability indicators (Recabarren et al., 2024). Thus, any carbon cuts, which are realized because of energy-consuming desalination, may be still criticized by customers, as there is no understanding of marine and water effects. </w:t>
      </w:r>
    </w:p>
    <w:p w14:paraId="50BB8DC8" w14:textId="4F20F75E" w:rsidR="00B055ED" w:rsidRPr="003217CD" w:rsidRDefault="00F51CEC" w:rsidP="003217CD">
      <w:pPr>
        <w:spacing w:line="360" w:lineRule="auto"/>
        <w:rPr>
          <w:rFonts w:cs="Arial"/>
          <w:szCs w:val="24"/>
        </w:rPr>
      </w:pPr>
      <w:r w:rsidRPr="00C75716">
        <w:rPr>
          <w:rFonts w:cs="Arial"/>
          <w:szCs w:val="24"/>
        </w:rPr>
        <w:t>Codelco must then provide separately verified copper grades with carbon intensity, water source, recycled inputs and chain-of-custody test. These attributes might be transformed into reduced Scope 3 risk and supply assurance by creating long-term agreements with automotive, grid and electronics clients. Redesign of products and market positioning is therefore driven by the natural environment but verification costs, falling grades and uncertain premiums require evidence to benefit as opposed to environmental branding.</w:t>
      </w:r>
    </w:p>
    <w:p w14:paraId="5BA78183" w14:textId="442068B0" w:rsidR="00F57515" w:rsidRPr="00F57515" w:rsidRDefault="00101467" w:rsidP="00F57515">
      <w:pPr>
        <w:pStyle w:val="Heading2"/>
        <w:spacing w:line="360" w:lineRule="auto"/>
      </w:pPr>
      <w:bookmarkStart w:id="3" w:name="_Toc235719154"/>
      <w:r w:rsidRPr="00C75716">
        <w:t>1.</w:t>
      </w:r>
      <w:r w:rsidR="00F57515">
        <w:t>3</w:t>
      </w:r>
      <w:r w:rsidRPr="00C75716">
        <w:t xml:space="preserve"> </w:t>
      </w:r>
      <w:r w:rsidR="00F57515">
        <w:t xml:space="preserve">External Marketing Environment Actor 2: </w:t>
      </w:r>
      <w:r w:rsidRPr="00C75716">
        <w:t>Government and Regulatory Institutions</w:t>
      </w:r>
      <w:bookmarkEnd w:id="3"/>
    </w:p>
    <w:p w14:paraId="4057032F" w14:textId="1EE0663F" w:rsidR="005F7A53" w:rsidRDefault="005F7A53" w:rsidP="00D33AF9">
      <w:pPr>
        <w:spacing w:line="360" w:lineRule="auto"/>
      </w:pPr>
      <w:r w:rsidRPr="005F7A53">
        <w:t xml:space="preserve">The second external actor chosen </w:t>
      </w:r>
      <w:r w:rsidR="00D33AF9">
        <w:t>is</w:t>
      </w:r>
      <w:r w:rsidRPr="005F7A53">
        <w:t xml:space="preserve"> government and regulatory institutions due to Codelco being a state-owned company and having international operations. The Chilean policy thus impacts its investment priorities, financial responsibilities and </w:t>
      </w:r>
      <w:r w:rsidRPr="005F7A53">
        <w:lastRenderedPageBreak/>
        <w:t xml:space="preserve">ecological commitments whereas foreign regulation impacts accessibility to markets, customer expectations and disclosure on sustainability. </w:t>
      </w:r>
    </w:p>
    <w:p w14:paraId="623D6386" w14:textId="77777777" w:rsidR="005F7A53" w:rsidRDefault="005F7A53" w:rsidP="00D33AF9">
      <w:pPr>
        <w:spacing w:line="360" w:lineRule="auto"/>
      </w:pPr>
      <w:r w:rsidRPr="005F7A53">
        <w:t xml:space="preserve">These organizations define the urgency, orientation and legitimacy of a shift by Codelco to lower-carbon copper. The Framework Law on Climate Change in Chile stipulates carbon neutrality and climate resilience as national goals in 2050 and that state-owned enterprises should align investment and reporting to their national carbon budgets (Government of Chile, 2024). The 2025 Mining Sector Mitigation and Adaptation Plan supports this trend, encouraging the electrification of mines, green hydrogen, energy efficiency and renewable-energy contracting (CPD, 2025). Operational emissions reductions, therefore, have to be transformed into verifiable carbon information at the product level that can be verified by buyers at Codelco. </w:t>
      </w:r>
    </w:p>
    <w:p w14:paraId="2F60BB31" w14:textId="77777777" w:rsidR="005F7A53" w:rsidRDefault="005F7A53" w:rsidP="00D33AF9">
      <w:pPr>
        <w:spacing w:line="360" w:lineRule="auto"/>
      </w:pPr>
      <w:r w:rsidRPr="005F7A53">
        <w:t xml:space="preserve">Chile however has a carbon tax of about US$5 per tonne against the estimated government social cost of carbon of US63.40 with only about a third of the national emissions being covered (OECD, 2025). Regulation offers strategic guidance but might not be cost effective to decarbonise products. Independent tested differentiation and customer demand is thus a necessity. </w:t>
      </w:r>
    </w:p>
    <w:p w14:paraId="0EBDF38D" w14:textId="77777777" w:rsidR="005F7A53" w:rsidRDefault="005F7A53" w:rsidP="00D33AF9">
      <w:pPr>
        <w:spacing w:line="360" w:lineRule="auto"/>
      </w:pPr>
      <w:r w:rsidRPr="005F7A53">
        <w:t xml:space="preserve">This weak signal on carbon-price is partially compensated by institutional finance. Codelco received US$600 million of climate financing insured by MIGA of the World Bank Group in December 2025, after receiving US$532 million in 2024 (Codelco, 2025b). This can decrease the costs of cleaner production and help in reducing-carbon cathodes of copper. However, state ownership poses a conflicting mandate. According to the board of Codelco in June 2026, the company would give priority to the state surpluses, debt management and financial discipline [insert citation]. The environmental investment should hence show customer commitments, access to the market or higher margins. </w:t>
      </w:r>
    </w:p>
    <w:p w14:paraId="325483FA" w14:textId="77777777" w:rsidR="00D33AF9" w:rsidRDefault="005F7A53" w:rsidP="00D33AF9">
      <w:pPr>
        <w:spacing w:line="360" w:lineRule="auto"/>
      </w:pPr>
      <w:r w:rsidRPr="005F7A53">
        <w:t xml:space="preserve">Buyer expectations are also influenced by foreign regulation. The 2026 EU reforms restricted the requirements of sustainability due-diligence to larger companies and only came into effect in 2029, alleviating short-term regulatory stress (Abnett, 2026). This regulatory relaxation, as presented in Figure 3, dilutes urgency without eliminating the reporting expectation of international buyers. Nevertheless, the key automotive, electronics and infrastructure consumers will probably still demand auditable upstream environmental data. Copper is also listed under the EU Critical Raw Materials Act, and </w:t>
      </w:r>
      <w:r w:rsidRPr="005F7A53">
        <w:lastRenderedPageBreak/>
        <w:t xml:space="preserve">this opens up possibilities to fund, enter into a long-term purchasing contract and gain market access (EU, 2025). </w:t>
      </w:r>
    </w:p>
    <w:p w14:paraId="5822600C" w14:textId="77777777" w:rsidR="00D33AF9" w:rsidRPr="00C75716" w:rsidRDefault="00D33AF9" w:rsidP="00D33AF9">
      <w:pPr>
        <w:spacing w:line="360" w:lineRule="auto"/>
        <w:jc w:val="center"/>
        <w:rPr>
          <w:rFonts w:cs="Arial"/>
          <w:szCs w:val="24"/>
        </w:rPr>
      </w:pPr>
      <w:r w:rsidRPr="00C75716">
        <w:rPr>
          <w:rFonts w:cs="Arial"/>
          <w:noProof/>
          <w:szCs w:val="24"/>
        </w:rPr>
        <w:drawing>
          <wp:inline distT="0" distB="0" distL="0" distR="0" wp14:anchorId="68497BC7" wp14:editId="661E791A">
            <wp:extent cx="4044353" cy="3725062"/>
            <wp:effectExtent l="0" t="0" r="0" b="8890"/>
            <wp:docPr id="1585349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349599" name=""/>
                    <pic:cNvPicPr/>
                  </pic:nvPicPr>
                  <pic:blipFill>
                    <a:blip r:embed="rId11"/>
                    <a:stretch>
                      <a:fillRect/>
                    </a:stretch>
                  </pic:blipFill>
                  <pic:spPr>
                    <a:xfrm>
                      <a:off x="0" y="0"/>
                      <a:ext cx="4052928" cy="3732960"/>
                    </a:xfrm>
                    <a:prstGeom prst="rect">
                      <a:avLst/>
                    </a:prstGeom>
                  </pic:spPr>
                </pic:pic>
              </a:graphicData>
            </a:graphic>
          </wp:inline>
        </w:drawing>
      </w:r>
    </w:p>
    <w:p w14:paraId="39CB8E84" w14:textId="77777777" w:rsidR="00D33AF9" w:rsidRPr="00C75716" w:rsidRDefault="00D33AF9" w:rsidP="00D33AF9">
      <w:pPr>
        <w:spacing w:line="360" w:lineRule="auto"/>
        <w:jc w:val="center"/>
        <w:rPr>
          <w:rFonts w:cs="Arial"/>
          <w:b/>
          <w:bCs/>
          <w:szCs w:val="24"/>
        </w:rPr>
      </w:pPr>
      <w:r w:rsidRPr="00C75716">
        <w:rPr>
          <w:rFonts w:cs="Arial"/>
          <w:b/>
          <w:bCs/>
          <w:szCs w:val="24"/>
        </w:rPr>
        <w:t xml:space="preserve">Figure 03: </w:t>
      </w:r>
      <w:r w:rsidRPr="00C75716">
        <w:rPr>
          <w:rFonts w:cs="Arial"/>
          <w:szCs w:val="24"/>
        </w:rPr>
        <w:t>Reuters Report on the EU’s Relaxation of Corporate Sustainability Regulations</w:t>
      </w:r>
    </w:p>
    <w:p w14:paraId="66153F18" w14:textId="3A18C54B" w:rsidR="00D33AF9" w:rsidRPr="00D33AF9" w:rsidRDefault="00D33AF9" w:rsidP="00D33AF9">
      <w:pPr>
        <w:spacing w:line="360" w:lineRule="auto"/>
        <w:jc w:val="center"/>
        <w:rPr>
          <w:rFonts w:cs="Arial"/>
          <w:b/>
          <w:bCs/>
          <w:szCs w:val="24"/>
        </w:rPr>
      </w:pPr>
      <w:r w:rsidRPr="00C75716">
        <w:rPr>
          <w:rFonts w:cs="Arial"/>
          <w:b/>
          <w:bCs/>
          <w:szCs w:val="24"/>
        </w:rPr>
        <w:t xml:space="preserve">Source: </w:t>
      </w:r>
      <w:r w:rsidRPr="00C75716">
        <w:rPr>
          <w:rFonts w:cs="Arial"/>
          <w:szCs w:val="24"/>
        </w:rPr>
        <w:t>(Reuters, 2026)</w:t>
      </w:r>
    </w:p>
    <w:p w14:paraId="785C109D" w14:textId="302C6612" w:rsidR="005F7A53" w:rsidRPr="005F7A53" w:rsidRDefault="005F7A53" w:rsidP="00D33AF9">
      <w:pPr>
        <w:spacing w:line="360" w:lineRule="auto"/>
      </w:pPr>
      <w:r w:rsidRPr="005F7A53">
        <w:t>The key opportunity is to leverage climate finance and European demand to commercialise verified lower-carbon copper. The major threats include low pricing of carbon, procrastinating regulation, verification expenses and the urge to maximise state income. Codelco must thus come up with self-authenticated copper products backed by mine-level carbon emission data, electronic chain-of-custody documents and contract carbon-intensity caps. This might enhance differentiation and customer confidence, but traceability might ultimately be a commodity in the marketplace, as opposed to a sustainable competitive edge.</w:t>
      </w:r>
    </w:p>
    <w:p w14:paraId="7969B0EA" w14:textId="09F200B4" w:rsidR="009A7466" w:rsidRPr="009A7466" w:rsidRDefault="009A7466" w:rsidP="009A7466">
      <w:pPr>
        <w:spacing w:line="360" w:lineRule="auto"/>
        <w:rPr>
          <w:rFonts w:cs="Arial"/>
          <w:szCs w:val="24"/>
        </w:rPr>
      </w:pPr>
    </w:p>
    <w:p w14:paraId="7A761051" w14:textId="77777777" w:rsidR="00101467" w:rsidRPr="00C75716" w:rsidRDefault="00101467">
      <w:pPr>
        <w:jc w:val="left"/>
        <w:rPr>
          <w:rFonts w:cs="Arial"/>
          <w:b/>
          <w:bCs/>
          <w:szCs w:val="24"/>
        </w:rPr>
      </w:pPr>
      <w:r w:rsidRPr="00C75716">
        <w:rPr>
          <w:rFonts w:cs="Arial"/>
          <w:b/>
          <w:bCs/>
          <w:szCs w:val="24"/>
        </w:rPr>
        <w:br w:type="page"/>
      </w:r>
    </w:p>
    <w:p w14:paraId="4DC1A22C" w14:textId="77777777" w:rsidR="003217CD" w:rsidRPr="003217CD" w:rsidRDefault="003217CD" w:rsidP="00FC26ED">
      <w:pPr>
        <w:pStyle w:val="Heading1"/>
      </w:pPr>
      <w:bookmarkStart w:id="4" w:name="_Toc235719155"/>
      <w:r w:rsidRPr="003217CD">
        <w:lastRenderedPageBreak/>
        <w:t>2.0 Task 2 Strategic Growth and Competitive Positioning</w:t>
      </w:r>
      <w:bookmarkEnd w:id="4"/>
    </w:p>
    <w:p w14:paraId="18775784" w14:textId="605FABBC" w:rsidR="003217CD" w:rsidRDefault="003217CD" w:rsidP="00FC26ED">
      <w:pPr>
        <w:pStyle w:val="Heading2"/>
      </w:pPr>
      <w:bookmarkStart w:id="5" w:name="_Toc235719156"/>
      <w:r w:rsidRPr="003217CD">
        <w:t xml:space="preserve">2.1 </w:t>
      </w:r>
      <w:r w:rsidR="002C7BC1" w:rsidRPr="002C7BC1">
        <w:t>Strategic Growth Recommendation Using the Ansoff Matrix</w:t>
      </w:r>
      <w:bookmarkEnd w:id="5"/>
    </w:p>
    <w:p w14:paraId="708647A7" w14:textId="41CCE7C5" w:rsidR="002C7BC1" w:rsidRPr="00D33AF9" w:rsidRDefault="002C7BC1" w:rsidP="00D33AF9">
      <w:pPr>
        <w:rPr>
          <w:b/>
          <w:bCs/>
        </w:rPr>
      </w:pPr>
      <w:r w:rsidRPr="00D33AF9">
        <w:rPr>
          <w:b/>
          <w:bCs/>
        </w:rPr>
        <w:t>Application of Ansoff Matrix</w:t>
      </w:r>
    </w:p>
    <w:p w14:paraId="02CF637D" w14:textId="77777777" w:rsidR="003217CD" w:rsidRPr="00C75716" w:rsidRDefault="003217CD" w:rsidP="003217CD">
      <w:pPr>
        <w:spacing w:line="360" w:lineRule="auto"/>
        <w:rPr>
          <w:rFonts w:cs="Arial"/>
          <w:b/>
          <w:bCs/>
          <w:szCs w:val="24"/>
        </w:rPr>
      </w:pPr>
      <w:r w:rsidRPr="003217CD">
        <w:rPr>
          <w:rFonts w:cs="Arial"/>
          <w:b/>
          <w:bCs/>
          <w:szCs w:val="24"/>
        </w:rPr>
        <w:t>Market Penetration</w:t>
      </w:r>
    </w:p>
    <w:p w14:paraId="68525ED3" w14:textId="2D8D50FF" w:rsidR="00AB6585" w:rsidRPr="00C75716" w:rsidRDefault="00AB6585" w:rsidP="003217CD">
      <w:pPr>
        <w:spacing w:line="360" w:lineRule="auto"/>
        <w:rPr>
          <w:rFonts w:cs="Arial"/>
          <w:szCs w:val="24"/>
        </w:rPr>
      </w:pPr>
      <w:r w:rsidRPr="00C75716">
        <w:rPr>
          <w:rFonts w:cs="Arial"/>
          <w:szCs w:val="24"/>
        </w:rPr>
        <w:t xml:space="preserve">According to the market-penetration alternative of Ansoff, Codelco ought to market more of its available refined copper to the existing industrial consumers in Europe by instilling the certified attributes of lower-carbon contents into annual supply contracts. Codelco delivered 2026 at a record high of US </w:t>
      </w:r>
      <w:r w:rsidR="00D33AF9" w:rsidRPr="00D33AF9">
        <w:rPr>
          <w:rFonts w:cs="Arial"/>
          <w:szCs w:val="24"/>
        </w:rPr>
        <w:t>$</w:t>
      </w:r>
      <w:r w:rsidRPr="00C75716">
        <w:rPr>
          <w:rFonts w:cs="Arial"/>
          <w:szCs w:val="24"/>
        </w:rPr>
        <w:t xml:space="preserve">325 per tonne premium over 2025, 39 </w:t>
      </w:r>
      <w:r w:rsidR="006A319E">
        <w:rPr>
          <w:rFonts w:cs="Arial"/>
          <w:szCs w:val="24"/>
        </w:rPr>
        <w:t>%</w:t>
      </w:r>
      <w:r w:rsidRPr="00C75716">
        <w:rPr>
          <w:rFonts w:cs="Arial"/>
          <w:szCs w:val="24"/>
        </w:rPr>
        <w:t xml:space="preserve"> higher than 2025, showing pricing power in the established accounts, yet the rise was primarily due to the disruption of supply, rather than environmental worth (KITCO News, 2026). The London Metal Exchange has asserted that sustainable-metal premium pricing will commence in the future in 2026 and this will establish a system by which certified copper emissions performance could be separately priced (The London Metal Exchange, 2025). It may become easier to keep current cathode contracts at low cost by embedding committed reduction commitments and verified emissions data into the existing cathode contracts. But with carbon disclosure becoming a standard procurement requirement, market penetration can provide early pay-off but less differentiation over the long term without any quantifiable customer pay-off.</w:t>
      </w:r>
    </w:p>
    <w:p w14:paraId="69286E5A" w14:textId="730D8273" w:rsidR="003217CD" w:rsidRPr="00C75716" w:rsidRDefault="003217CD" w:rsidP="003217CD">
      <w:pPr>
        <w:spacing w:line="360" w:lineRule="auto"/>
        <w:rPr>
          <w:rFonts w:cs="Arial"/>
          <w:b/>
          <w:bCs/>
          <w:szCs w:val="24"/>
        </w:rPr>
      </w:pPr>
      <w:r w:rsidRPr="003217CD">
        <w:rPr>
          <w:rFonts w:cs="Arial"/>
          <w:b/>
          <w:bCs/>
          <w:szCs w:val="24"/>
        </w:rPr>
        <w:t>Market Development</w:t>
      </w:r>
    </w:p>
    <w:p w14:paraId="0A29C215" w14:textId="52F913A6" w:rsidR="00AB6585" w:rsidRPr="00C75716" w:rsidRDefault="00AB6585" w:rsidP="003217CD">
      <w:pPr>
        <w:spacing w:line="360" w:lineRule="auto"/>
        <w:rPr>
          <w:rFonts w:cs="Arial"/>
          <w:szCs w:val="24"/>
        </w:rPr>
      </w:pPr>
      <w:r w:rsidRPr="00C75716">
        <w:rPr>
          <w:rFonts w:cs="Arial"/>
          <w:szCs w:val="24"/>
        </w:rPr>
        <w:t xml:space="preserve">Following the market-development plan developed by Ansoff, Codelco ought to expand its current copper concentrates and cathodes into new segments in India, especially grid equipment, electric cars and cable production and differentiate supply with proven carbon and water data. Today, India has a high dependence on external supply of copper-concentrate with over 90 </w:t>
      </w:r>
      <w:r w:rsidR="006A319E">
        <w:rPr>
          <w:rFonts w:cs="Arial"/>
          <w:szCs w:val="24"/>
        </w:rPr>
        <w:t>%</w:t>
      </w:r>
      <w:r w:rsidRPr="00C75716">
        <w:rPr>
          <w:rFonts w:cs="Arial"/>
          <w:szCs w:val="24"/>
        </w:rPr>
        <w:t xml:space="preserve"> of its demands being evidenced, indicating high demand (Arora, 2025).</w:t>
      </w:r>
    </w:p>
    <w:p w14:paraId="22CCFE28" w14:textId="77C812A2" w:rsidR="00C66754" w:rsidRPr="00C75716" w:rsidRDefault="00C66754" w:rsidP="00C66754">
      <w:pPr>
        <w:spacing w:line="360" w:lineRule="auto"/>
        <w:jc w:val="center"/>
        <w:rPr>
          <w:rFonts w:cs="Arial"/>
          <w:szCs w:val="24"/>
        </w:rPr>
      </w:pPr>
      <w:r w:rsidRPr="00C75716">
        <w:rPr>
          <w:rFonts w:cs="Arial"/>
          <w:noProof/>
          <w:szCs w:val="24"/>
        </w:rPr>
        <w:lastRenderedPageBreak/>
        <w:drawing>
          <wp:inline distT="0" distB="0" distL="0" distR="0" wp14:anchorId="517FBE65" wp14:editId="738082C9">
            <wp:extent cx="4050047" cy="3574473"/>
            <wp:effectExtent l="0" t="0" r="7620" b="6985"/>
            <wp:docPr id="1721672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672226" name=""/>
                    <pic:cNvPicPr/>
                  </pic:nvPicPr>
                  <pic:blipFill>
                    <a:blip r:embed="rId12"/>
                    <a:stretch>
                      <a:fillRect/>
                    </a:stretch>
                  </pic:blipFill>
                  <pic:spPr>
                    <a:xfrm>
                      <a:off x="0" y="0"/>
                      <a:ext cx="4068108" cy="3590413"/>
                    </a:xfrm>
                    <a:prstGeom prst="rect">
                      <a:avLst/>
                    </a:prstGeom>
                  </pic:spPr>
                </pic:pic>
              </a:graphicData>
            </a:graphic>
          </wp:inline>
        </w:drawing>
      </w:r>
    </w:p>
    <w:p w14:paraId="1407F01F" w14:textId="56CD372D" w:rsidR="00C66754" w:rsidRPr="00C75716" w:rsidRDefault="00C66754" w:rsidP="00C66754">
      <w:pPr>
        <w:spacing w:line="360" w:lineRule="auto"/>
        <w:jc w:val="center"/>
        <w:rPr>
          <w:rFonts w:cs="Arial"/>
          <w:szCs w:val="24"/>
        </w:rPr>
      </w:pPr>
      <w:r w:rsidRPr="00C75716">
        <w:rPr>
          <w:rFonts w:cs="Arial"/>
          <w:szCs w:val="24"/>
        </w:rPr>
        <w:t>Figure</w:t>
      </w:r>
      <w:r w:rsidR="00295717" w:rsidRPr="00C75716">
        <w:rPr>
          <w:rFonts w:cs="Arial"/>
          <w:szCs w:val="24"/>
        </w:rPr>
        <w:t xml:space="preserve"> 04</w:t>
      </w:r>
      <w:r w:rsidRPr="00C75716">
        <w:rPr>
          <w:rFonts w:cs="Arial"/>
          <w:szCs w:val="24"/>
        </w:rPr>
        <w:t>:</w:t>
      </w:r>
      <w:r w:rsidR="00396EE9" w:rsidRPr="00C75716">
        <w:rPr>
          <w:rFonts w:cs="Arial"/>
          <w:szCs w:val="24"/>
        </w:rPr>
        <w:t xml:space="preserve"> Reuters Report on India’s Increasing Copper Supply Risks</w:t>
      </w:r>
      <w:r w:rsidRPr="00C75716">
        <w:rPr>
          <w:rFonts w:cs="Arial"/>
          <w:szCs w:val="24"/>
        </w:rPr>
        <w:t xml:space="preserve"> </w:t>
      </w:r>
      <w:r w:rsidR="00396EE9" w:rsidRPr="00C75716">
        <w:rPr>
          <w:rFonts w:cs="Arial"/>
          <w:szCs w:val="24"/>
        </w:rPr>
        <w:t xml:space="preserve"> </w:t>
      </w:r>
    </w:p>
    <w:p w14:paraId="1447ADF6" w14:textId="2571A78A" w:rsidR="00BA39EE" w:rsidRPr="00C75716" w:rsidRDefault="00BA39EE" w:rsidP="00BA39EE">
      <w:pPr>
        <w:spacing w:line="360" w:lineRule="auto"/>
        <w:jc w:val="center"/>
        <w:rPr>
          <w:rFonts w:cs="Arial"/>
          <w:szCs w:val="24"/>
        </w:rPr>
      </w:pPr>
      <w:r w:rsidRPr="00C75716">
        <w:rPr>
          <w:rFonts w:cs="Arial"/>
          <w:szCs w:val="24"/>
        </w:rPr>
        <w:t>Source: (Reuters, 2025b)</w:t>
      </w:r>
    </w:p>
    <w:p w14:paraId="7749A461" w14:textId="77777777" w:rsidR="0094006C" w:rsidRPr="00C75716" w:rsidRDefault="0094006C" w:rsidP="003217CD">
      <w:pPr>
        <w:spacing w:line="360" w:lineRule="auto"/>
        <w:rPr>
          <w:rFonts w:cs="Arial"/>
          <w:szCs w:val="24"/>
        </w:rPr>
      </w:pPr>
      <w:r w:rsidRPr="00C75716">
        <w:rPr>
          <w:rFonts w:cs="Arial"/>
          <w:szCs w:val="24"/>
        </w:rPr>
        <w:t>The deal that Codelco agreed to supply the 500,000-tonne Kutch smelter of Adani is an existing commercial bridge, although the international trading of the refined metal is enhanced by the LME approval that Codelco received in July 2025 (Investing, 2025). Local-smelting emissions, concentration of customers and uncertain premiums can however undermine environmental differentiation. Market development is thus appealing to increase in volume but not very defensible unless traceability of a product is credible after processing.</w:t>
      </w:r>
    </w:p>
    <w:p w14:paraId="4F1E5886" w14:textId="65793DED" w:rsidR="003217CD" w:rsidRPr="00C75716" w:rsidRDefault="003217CD" w:rsidP="003217CD">
      <w:pPr>
        <w:spacing w:line="360" w:lineRule="auto"/>
        <w:rPr>
          <w:rFonts w:cs="Arial"/>
          <w:b/>
          <w:bCs/>
          <w:szCs w:val="24"/>
        </w:rPr>
      </w:pPr>
      <w:r w:rsidRPr="003217CD">
        <w:rPr>
          <w:rFonts w:cs="Arial"/>
          <w:b/>
          <w:bCs/>
          <w:szCs w:val="24"/>
        </w:rPr>
        <w:t>Product Development</w:t>
      </w:r>
    </w:p>
    <w:p w14:paraId="052737C4" w14:textId="13FAA157" w:rsidR="003457CC" w:rsidRPr="00C75716" w:rsidRDefault="0094006C" w:rsidP="00047B49">
      <w:pPr>
        <w:spacing w:line="360" w:lineRule="auto"/>
        <w:rPr>
          <w:rFonts w:cs="Arial"/>
          <w:szCs w:val="24"/>
        </w:rPr>
      </w:pPr>
      <w:r w:rsidRPr="00C75716">
        <w:rPr>
          <w:rFonts w:cs="Arial"/>
          <w:szCs w:val="24"/>
        </w:rPr>
        <w:t>Codelco, as part of the product-development path set by Ansoff, might develop a traceable product passport of a product called a circular copper cathode to European automotive and battery buyers consisting of verified emissions, recycled content of inputs and water data. The April 2026 circular-economy roadmap of Codelco aims to give a full 70% valorisation of non-hazardous waste by 2030, which can be used to claim auditable circularity (Codelco Press, 2026).</w:t>
      </w:r>
    </w:p>
    <w:p w14:paraId="151E70F0" w14:textId="2AFF169F" w:rsidR="008250BD" w:rsidRPr="00C75716" w:rsidRDefault="008250BD" w:rsidP="008250BD">
      <w:pPr>
        <w:spacing w:line="360" w:lineRule="auto"/>
        <w:jc w:val="center"/>
        <w:rPr>
          <w:rFonts w:cs="Arial"/>
          <w:szCs w:val="24"/>
        </w:rPr>
      </w:pPr>
      <w:r w:rsidRPr="00C75716">
        <w:rPr>
          <w:rFonts w:cs="Arial"/>
          <w:noProof/>
          <w:szCs w:val="24"/>
        </w:rPr>
        <w:lastRenderedPageBreak/>
        <w:drawing>
          <wp:inline distT="0" distB="0" distL="0" distR="0" wp14:anchorId="17138983" wp14:editId="23FCD9BD">
            <wp:extent cx="3676934" cy="3871923"/>
            <wp:effectExtent l="76200" t="76200" r="133350" b="128905"/>
            <wp:docPr id="1896002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002916" name=""/>
                    <pic:cNvPicPr/>
                  </pic:nvPicPr>
                  <pic:blipFill>
                    <a:blip r:embed="rId13"/>
                    <a:stretch>
                      <a:fillRect/>
                    </a:stretch>
                  </pic:blipFill>
                  <pic:spPr>
                    <a:xfrm>
                      <a:off x="0" y="0"/>
                      <a:ext cx="3683754" cy="38791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4FE911" w14:textId="188DFE1F" w:rsidR="008250BD" w:rsidRPr="00C75716" w:rsidRDefault="008250BD" w:rsidP="008250BD">
      <w:pPr>
        <w:spacing w:line="360" w:lineRule="auto"/>
        <w:jc w:val="center"/>
        <w:rPr>
          <w:rFonts w:cs="Arial"/>
          <w:b/>
          <w:bCs/>
          <w:szCs w:val="24"/>
        </w:rPr>
      </w:pPr>
      <w:r w:rsidRPr="00C75716">
        <w:rPr>
          <w:rFonts w:cs="Arial"/>
          <w:b/>
          <w:bCs/>
          <w:szCs w:val="24"/>
        </w:rPr>
        <w:t>Figure</w:t>
      </w:r>
      <w:r w:rsidR="00295717" w:rsidRPr="00C75716">
        <w:rPr>
          <w:rFonts w:cs="Arial"/>
          <w:b/>
          <w:bCs/>
          <w:szCs w:val="24"/>
        </w:rPr>
        <w:t xml:space="preserve"> 05</w:t>
      </w:r>
      <w:r w:rsidRPr="00C75716">
        <w:rPr>
          <w:rFonts w:cs="Arial"/>
          <w:b/>
          <w:bCs/>
          <w:szCs w:val="24"/>
        </w:rPr>
        <w:t>:</w:t>
      </w:r>
      <w:r w:rsidR="00E2598B" w:rsidRPr="00C75716">
        <w:rPr>
          <w:rFonts w:cs="Arial"/>
          <w:b/>
          <w:bCs/>
          <w:szCs w:val="24"/>
        </w:rPr>
        <w:t xml:space="preserve"> </w:t>
      </w:r>
      <w:r w:rsidR="00E2598B" w:rsidRPr="00C75716">
        <w:rPr>
          <w:rFonts w:cs="Arial"/>
          <w:szCs w:val="24"/>
        </w:rPr>
        <w:t>Codelco Circular Economy Roadmap for Non-Hazardous Waste Recovery</w:t>
      </w:r>
      <w:r w:rsidR="00D87176" w:rsidRPr="00C75716">
        <w:rPr>
          <w:rFonts w:cs="Arial"/>
          <w:b/>
          <w:bCs/>
          <w:szCs w:val="24"/>
        </w:rPr>
        <w:t xml:space="preserve"> </w:t>
      </w:r>
      <w:r w:rsidR="00E2598B" w:rsidRPr="00C75716">
        <w:rPr>
          <w:rFonts w:cs="Arial"/>
          <w:b/>
          <w:bCs/>
          <w:szCs w:val="24"/>
        </w:rPr>
        <w:t xml:space="preserve"> </w:t>
      </w:r>
    </w:p>
    <w:p w14:paraId="77694BA4" w14:textId="4802109E" w:rsidR="008250BD" w:rsidRPr="00C75716" w:rsidRDefault="008250BD" w:rsidP="008250BD">
      <w:pPr>
        <w:spacing w:line="360" w:lineRule="auto"/>
        <w:jc w:val="center"/>
        <w:rPr>
          <w:rFonts w:cs="Arial"/>
          <w:szCs w:val="24"/>
        </w:rPr>
      </w:pPr>
      <w:r w:rsidRPr="00C75716">
        <w:rPr>
          <w:rFonts w:cs="Arial"/>
          <w:b/>
          <w:bCs/>
          <w:szCs w:val="24"/>
        </w:rPr>
        <w:t>Source:</w:t>
      </w:r>
      <w:r w:rsidR="00D87176" w:rsidRPr="00C75716">
        <w:rPr>
          <w:rFonts w:cs="Arial"/>
          <w:b/>
          <w:bCs/>
          <w:szCs w:val="24"/>
        </w:rPr>
        <w:t xml:space="preserve"> </w:t>
      </w:r>
      <w:r w:rsidR="00D87176" w:rsidRPr="00C75716">
        <w:rPr>
          <w:rFonts w:cs="Arial"/>
          <w:szCs w:val="24"/>
        </w:rPr>
        <w:t>(Codelco Press, 2026)</w:t>
      </w:r>
    </w:p>
    <w:p w14:paraId="652A3259" w14:textId="77777777" w:rsidR="0094006C" w:rsidRPr="00C75716" w:rsidRDefault="0094006C" w:rsidP="003217CD">
      <w:pPr>
        <w:spacing w:line="360" w:lineRule="auto"/>
        <w:rPr>
          <w:rFonts w:cs="Arial"/>
          <w:szCs w:val="24"/>
        </w:rPr>
      </w:pPr>
      <w:r w:rsidRPr="00C75716">
        <w:rPr>
          <w:rFonts w:cs="Arial"/>
          <w:szCs w:val="24"/>
        </w:rPr>
        <w:t>An electric-vehicle battery and industrial battery with a capacity over 2 kWh become mandatory with EU battery passports on 18 February 2027, which in turn increases the need in interoperable lifecycle information (EU, 2026). This offering may decrease the burden of reporting in customers and distinguish copper of the same grade without any change in the technical performance. Non-standardized data, though, irregular distribution of feedstock, and recycled feedstock could increase verification fees or encourage greenwashing. Product development is more differentiating than penetration, and has assurance, technology and adoption risk.</w:t>
      </w:r>
    </w:p>
    <w:p w14:paraId="5A36F7C0" w14:textId="378ADC17" w:rsidR="003217CD" w:rsidRPr="00C75716" w:rsidRDefault="003217CD" w:rsidP="003217CD">
      <w:pPr>
        <w:spacing w:line="360" w:lineRule="auto"/>
        <w:rPr>
          <w:rFonts w:cs="Arial"/>
          <w:b/>
          <w:bCs/>
          <w:szCs w:val="24"/>
        </w:rPr>
      </w:pPr>
      <w:r w:rsidRPr="003217CD">
        <w:rPr>
          <w:rFonts w:cs="Arial"/>
          <w:b/>
          <w:bCs/>
          <w:szCs w:val="24"/>
        </w:rPr>
        <w:t>Diversification</w:t>
      </w:r>
    </w:p>
    <w:p w14:paraId="127976BF" w14:textId="030AC798" w:rsidR="005C721C" w:rsidRPr="003217CD" w:rsidRDefault="000531A0" w:rsidP="003217CD">
      <w:pPr>
        <w:spacing w:line="360" w:lineRule="auto"/>
        <w:rPr>
          <w:rFonts w:cs="Arial"/>
          <w:szCs w:val="24"/>
        </w:rPr>
      </w:pPr>
      <w:r w:rsidRPr="00C75716">
        <w:rPr>
          <w:rFonts w:cs="Arial"/>
          <w:szCs w:val="24"/>
        </w:rPr>
        <w:t xml:space="preserve">Within the diversification strategy by Ansoff, Codelco might venture into the battery-materials market with a new lithium product with lower impact of Maricunga using direct-lithium-extraction technology and with renewable power. Rio Tinto would contribute up to US$900 million (49.99) and Codelco would contribute 50.01 giving </w:t>
      </w:r>
      <w:r w:rsidRPr="00C75716">
        <w:rPr>
          <w:rFonts w:cs="Arial"/>
          <w:szCs w:val="24"/>
        </w:rPr>
        <w:lastRenderedPageBreak/>
        <w:t>them technical capacity and risk sharing (Codelco, 2025</w:t>
      </w:r>
      <w:r w:rsidR="009515A9">
        <w:rPr>
          <w:rFonts w:cs="Arial"/>
          <w:szCs w:val="24"/>
        </w:rPr>
        <w:t>c</w:t>
      </w:r>
      <w:r w:rsidRPr="00C75716">
        <w:rPr>
          <w:rFonts w:cs="Arial"/>
          <w:szCs w:val="24"/>
        </w:rPr>
        <w:t>). This will make Codelco transition out of copper into a new product and customer base, such as battery-cell and electric-vehicle producers. Nonetheless, the greatest risk of the Matrix is diversification since the direct extraction is not yet commercially feasible in Chile, lithium prices are highly unpredictable, and Indigenous peoples would like to have a more powerful influence on the water management (Solomon and Denina, 2025). The chance expands the revenue of transition, yet the environmental legitimacy, reliance on partners, complexity of execution and unpredictable market circumstances constrain its overall strategic sustainability.</w:t>
      </w:r>
    </w:p>
    <w:p w14:paraId="09CB703F" w14:textId="662DE655" w:rsidR="003217CD" w:rsidRPr="00D33AF9" w:rsidRDefault="003217CD" w:rsidP="00D33AF9">
      <w:pPr>
        <w:rPr>
          <w:b/>
          <w:bCs/>
        </w:rPr>
      </w:pPr>
      <w:r w:rsidRPr="00D33AF9">
        <w:rPr>
          <w:b/>
          <w:bCs/>
        </w:rPr>
        <w:t>Recommended Strategic Growth Approach</w:t>
      </w:r>
    </w:p>
    <w:p w14:paraId="44466B4B" w14:textId="77777777" w:rsidR="00A20C00" w:rsidRPr="00C75716" w:rsidRDefault="00A20C00" w:rsidP="003217CD">
      <w:pPr>
        <w:spacing w:line="360" w:lineRule="auto"/>
        <w:rPr>
          <w:rFonts w:cs="Arial"/>
          <w:szCs w:val="24"/>
        </w:rPr>
      </w:pPr>
      <w:r w:rsidRPr="00C75716">
        <w:rPr>
          <w:rFonts w:cs="Arial"/>
          <w:szCs w:val="24"/>
        </w:rPr>
        <w:t>The key Ansoff growth strategy that Codelco should adopt is product development that should be complemented by selective market penetration. It is the best way to translate the environmental capabilities being determined in Task 1 into differentiated value to current customers, and not to take the market risk of market development and the technological risk of diversification. Codelco ought to co-design traceable circular-copper cathodes with automotive and battery purchasers, incorporating autonomously verified evidence of carbon, water and recycled evidence using interoperable product passports. Otto et al. (2023) demonstrate that awareness of the interdependent stakeholder needs enhances the green-product innovation and performance in the market. Heeck et al. (2024) discover that plausible digital passports decrease information asymmetry and help low-carbon products to sell at fair prices. They should be implemented through stage-gated pilots, lifecycle verification and binding offtake commitment, broader investment subject to customer acceptance, robust data management and proven margins.</w:t>
      </w:r>
    </w:p>
    <w:p w14:paraId="5C9DDF27" w14:textId="4976E00E" w:rsidR="008A1D20" w:rsidRPr="00C75716" w:rsidRDefault="003217CD" w:rsidP="00FC26ED">
      <w:pPr>
        <w:pStyle w:val="Heading2"/>
      </w:pPr>
      <w:bookmarkStart w:id="6" w:name="_Toc235719157"/>
      <w:r w:rsidRPr="003217CD">
        <w:t>2.</w:t>
      </w:r>
      <w:r w:rsidR="002C7BC1">
        <w:t>2</w:t>
      </w:r>
      <w:r w:rsidRPr="003217CD">
        <w:t xml:space="preserve"> Building Competitive Advantage Through a Lower-Carbon Business Model</w:t>
      </w:r>
      <w:bookmarkEnd w:id="6"/>
    </w:p>
    <w:p w14:paraId="70C2DF2C" w14:textId="3E6E1A68" w:rsidR="00D33AF9" w:rsidRPr="00D33AF9" w:rsidRDefault="00D33AF9" w:rsidP="00D33AF9">
      <w:pPr>
        <w:spacing w:line="360" w:lineRule="auto"/>
        <w:rPr>
          <w:rFonts w:cs="Arial"/>
          <w:szCs w:val="24"/>
        </w:rPr>
      </w:pPr>
      <w:r w:rsidRPr="00D33AF9">
        <w:rPr>
          <w:rFonts w:cs="Arial"/>
          <w:szCs w:val="24"/>
        </w:rPr>
        <w:t xml:space="preserve">Through the translation of the production-level carbon reductions to independently verifiable information that can be utilized by its customers, Codelco will be able to differentiate and minimize the operation and compliance risks. In accordance with the Porters Generic Strategies, the company is expected to focus on differentiation, which involves lower-carbon copper that is backed by plausible environmental records, and efficiency enhancements that will aid in containment of costs. Its 2025 partnership with Hexagon is aimed at automation, efficiency and sustainability, which can help to minimize waste, energy consumption and operational risk (Codelco Press, 2025). </w:t>
      </w:r>
      <w:r w:rsidRPr="00D33AF9">
        <w:rPr>
          <w:rFonts w:cs="Arial"/>
          <w:szCs w:val="24"/>
        </w:rPr>
        <w:lastRenderedPageBreak/>
        <w:t>Codelco needs to transform mine level carbon and water performance into digitally guaranteed multi-year offtake agreements and embed them in digital product passports. These passports have the potential to enhance traceability, transparency, circularity and supply-chain governance (Zhang and Seuring, 2024). Such a combined ability is difficult to replicate than a single technology due to their synergistic functioning, proven data and customer relations and may enhance retention, pricing power, compliance performance and defendable margins in international markets over time.</w:t>
      </w:r>
    </w:p>
    <w:p w14:paraId="7A9EBCD8" w14:textId="0E9B5C49" w:rsidR="008A1D20" w:rsidRPr="00C75716" w:rsidRDefault="008A1D20" w:rsidP="00A20C00">
      <w:pPr>
        <w:spacing w:line="360" w:lineRule="auto"/>
        <w:rPr>
          <w:rFonts w:cs="Arial"/>
          <w:b/>
          <w:bCs/>
          <w:szCs w:val="24"/>
        </w:rPr>
      </w:pPr>
      <w:r w:rsidRPr="00C75716">
        <w:rPr>
          <w:rFonts w:cs="Arial"/>
          <w:b/>
          <w:bCs/>
          <w:szCs w:val="24"/>
        </w:rPr>
        <w:br w:type="page"/>
      </w:r>
    </w:p>
    <w:p w14:paraId="5D878326" w14:textId="77777777" w:rsidR="003217CD" w:rsidRPr="003217CD" w:rsidRDefault="003217CD" w:rsidP="00FC26ED">
      <w:pPr>
        <w:pStyle w:val="Heading1"/>
      </w:pPr>
      <w:bookmarkStart w:id="7" w:name="_Toc235719158"/>
      <w:r w:rsidRPr="003217CD">
        <w:lastRenderedPageBreak/>
        <w:t>3.0 Task 3 Critical Reflection on the Use of Artificial Intelligence</w:t>
      </w:r>
      <w:bookmarkEnd w:id="7"/>
    </w:p>
    <w:p w14:paraId="3BA6295F" w14:textId="77777777" w:rsidR="00C75716" w:rsidRPr="00C75716" w:rsidRDefault="00C75716" w:rsidP="00FC26ED">
      <w:pPr>
        <w:pStyle w:val="Heading2"/>
      </w:pPr>
      <w:bookmarkStart w:id="8" w:name="_Toc235719159"/>
      <w:r w:rsidRPr="00C75716">
        <w:t>3.1 Disclosure of AI Tools Used</w:t>
      </w:r>
      <w:bookmarkEnd w:id="8"/>
    </w:p>
    <w:p w14:paraId="372A127B" w14:textId="5CC84358" w:rsidR="00B43F02" w:rsidRDefault="00D33AF9" w:rsidP="00B43F02">
      <w:pPr>
        <w:spacing w:line="360" w:lineRule="auto"/>
        <w:rPr>
          <w:rFonts w:cs="Arial"/>
          <w:szCs w:val="24"/>
        </w:rPr>
      </w:pPr>
      <w:r w:rsidRPr="00D33AF9">
        <w:rPr>
          <w:rFonts w:cs="Arial"/>
          <w:szCs w:val="24"/>
        </w:rPr>
        <w:t>ChatGPT is a tool that I relied on as a research-support and proofreading tool in this report. It assisted in creating search keywords, locating corporate, governmental, journal and news articles, summarising documents to comprehend, and defining new ideas. It was also helpful in checking grammar and clarity of the sentences in previously written text. Nevertheless, it failed to identify the structure, arguments or recommendations. I revealed this application since there must be transparency whenever AI is involved in research. It is the argument of Buijsman (2024) that the system applied should be named and clarified in terms of its purpose in the broader decision-making.</w:t>
      </w:r>
    </w:p>
    <w:p w14:paraId="119A4140" w14:textId="21077BEE" w:rsidR="00C75716" w:rsidRPr="00C75716" w:rsidRDefault="00C75716" w:rsidP="00FC26ED">
      <w:pPr>
        <w:pStyle w:val="Heading2"/>
      </w:pPr>
      <w:bookmarkStart w:id="9" w:name="_Toc235719160"/>
      <w:r w:rsidRPr="00C75716">
        <w:t>3.2 Critical Assessment of AI-Generated Outputs</w:t>
      </w:r>
      <w:bookmarkEnd w:id="9"/>
    </w:p>
    <w:p w14:paraId="26F61DC7" w14:textId="449C2A3E" w:rsidR="00B43F02" w:rsidRDefault="00D33AF9" w:rsidP="00B43F02">
      <w:pPr>
        <w:spacing w:line="360" w:lineRule="auto"/>
        <w:rPr>
          <w:rFonts w:cs="Arial"/>
          <w:szCs w:val="24"/>
        </w:rPr>
      </w:pPr>
      <w:r w:rsidRPr="00D33AF9">
        <w:rPr>
          <w:rFonts w:cs="Arial"/>
          <w:szCs w:val="24"/>
        </w:rPr>
        <w:t>The first constraint is that ChatGPT would occasionally give the data with certainty when the source of the information was not justifying the argument completely. I thus went through every source, verified dates of publication, authors, numbers and organisational setting and followed statistics to the original source. Reporting and peer-reviewed evidence were compared with the company claims and broken links, repeated statistics and promotional statements were eliminated. Mistakes such as conflicting dates, wrong prices of copper premiums and misrepresented activities that were proposed and those that were completed were made. Day (2023) demonstrates that ChatGPT is capable of creating convincing yet fake academic sources, and I checked journal articles using publisher websites and DOI records. I also ensured that all the conclusions were logical based on the evidence and not to take the AI explanations as valid.</w:t>
      </w:r>
    </w:p>
    <w:p w14:paraId="758E0E46" w14:textId="246A8ED4" w:rsidR="00C75716" w:rsidRPr="00C75716" w:rsidRDefault="00C75716" w:rsidP="00FC26ED">
      <w:pPr>
        <w:pStyle w:val="Heading2"/>
      </w:pPr>
      <w:bookmarkStart w:id="10" w:name="_Toc235719161"/>
      <w:r w:rsidRPr="00C75716">
        <w:t>3.3 Analysis of AI and Personal Contributions</w:t>
      </w:r>
      <w:bookmarkEnd w:id="10"/>
    </w:p>
    <w:p w14:paraId="34BA7E68" w14:textId="5468F2F2" w:rsidR="00B43F02" w:rsidRDefault="00D33AF9" w:rsidP="00B43F02">
      <w:pPr>
        <w:spacing w:line="360" w:lineRule="auto"/>
        <w:rPr>
          <w:rFonts w:cs="Arial"/>
          <w:szCs w:val="24"/>
        </w:rPr>
      </w:pPr>
      <w:r w:rsidRPr="00D33AF9">
        <w:rPr>
          <w:rFonts w:cs="Arial"/>
          <w:szCs w:val="24"/>
        </w:rPr>
        <w:t xml:space="preserve">The intellectual decisions were mine, and AI has hastened the process of finding the sources and generated initial summaries to use in the research. I have chosen Codelco, picked the natural-environment and regulatory actors, used the Ansoff Matrix, evaluated strategic risks and came up with final recommendation. I criticized the evidence, deleted descriptive or unproven arguments and determined how the arguments relate within the report. Otmar et al. (2024) caution the use of generative-AI editing can lead to generic content, which does not consider contextual judgement. Islam and Greenwood (2024) also contend that a lack of transparency regarding the </w:t>
      </w:r>
      <w:r w:rsidRPr="00D33AF9">
        <w:rPr>
          <w:rFonts w:cs="Arial"/>
          <w:szCs w:val="24"/>
        </w:rPr>
        <w:lastRenderedPageBreak/>
        <w:t>role of AI can undermine authorship and sense of morality. I thus was left to choose the sources, critically interpret, develop arguments and write final draft.</w:t>
      </w:r>
    </w:p>
    <w:p w14:paraId="0A93E836" w14:textId="3591C836" w:rsidR="00C75716" w:rsidRPr="00C75716" w:rsidRDefault="00C75716" w:rsidP="00FC26ED">
      <w:pPr>
        <w:pStyle w:val="Heading2"/>
      </w:pPr>
      <w:bookmarkStart w:id="11" w:name="_Toc235719162"/>
      <w:r w:rsidRPr="00C75716">
        <w:t>3.4 Ethical and Professional Considerations of AI Use</w:t>
      </w:r>
      <w:bookmarkEnd w:id="11"/>
    </w:p>
    <w:p w14:paraId="588B3BD8" w14:textId="40CAC8C3" w:rsidR="00914F7B" w:rsidRPr="00C75716" w:rsidRDefault="00D33AF9" w:rsidP="00B43F02">
      <w:pPr>
        <w:spacing w:line="360" w:lineRule="auto"/>
        <w:rPr>
          <w:rFonts w:cs="Arial"/>
          <w:b/>
          <w:bCs/>
          <w:szCs w:val="24"/>
        </w:rPr>
      </w:pPr>
      <w:r w:rsidRPr="00D33AF9">
        <w:rPr>
          <w:rFonts w:cs="Arial"/>
          <w:szCs w:val="24"/>
        </w:rPr>
        <w:t>AI has the potential to enhance the effectiveness of research, yet when utilized irresponsibly in marketing analysis, it can strengthen prejudice, create false evidence, misrepresent stakeholders or back up false sustainability statements. I never inserted any confidential data or deemed AI output as an indicator of customer or community opinion. Cluley and Green (2024) emphasise privacy, informed consent and truthful research practice in market research. On a professional level, the analysts are supposed to reveal AI support, keep the data safe, scrutinize the claims and maintain human responsibility. The primary point is that AI has the potential to expand the research, yet credibility should be provided by independent verification, judgement in the context and open authorship.</w:t>
      </w:r>
      <w:r w:rsidR="00914F7B" w:rsidRPr="00C75716">
        <w:rPr>
          <w:rFonts w:cs="Arial"/>
          <w:b/>
          <w:bCs/>
          <w:szCs w:val="24"/>
        </w:rPr>
        <w:br w:type="page"/>
      </w:r>
    </w:p>
    <w:p w14:paraId="588DB645" w14:textId="70AE86CB" w:rsidR="003217CD" w:rsidRPr="00C75716" w:rsidRDefault="00914F7B" w:rsidP="00FC26ED">
      <w:pPr>
        <w:pStyle w:val="Heading1"/>
      </w:pPr>
      <w:bookmarkStart w:id="12" w:name="_Toc235719163"/>
      <w:r w:rsidRPr="00C75716">
        <w:lastRenderedPageBreak/>
        <w:t>References</w:t>
      </w:r>
      <w:bookmarkEnd w:id="12"/>
    </w:p>
    <w:p w14:paraId="4273D2B9" w14:textId="2EC14DA0" w:rsidR="00400457" w:rsidRPr="00D03E3C" w:rsidRDefault="00400457" w:rsidP="00D03E3C">
      <w:pPr>
        <w:spacing w:line="360" w:lineRule="auto"/>
        <w:rPr>
          <w:lang w:val="en-US"/>
        </w:rPr>
      </w:pPr>
      <w:r w:rsidRPr="00D03E3C">
        <w:rPr>
          <w:lang w:val="en-US"/>
        </w:rPr>
        <w:t xml:space="preserve">Abnett, K. (2026). EU countries give final approval to weaken company sustainability laws. </w:t>
      </w:r>
      <w:r w:rsidRPr="00D03E3C">
        <w:rPr>
          <w:i/>
          <w:iCs/>
          <w:lang w:val="en-US"/>
        </w:rPr>
        <w:t>Reuters</w:t>
      </w:r>
      <w:r w:rsidRPr="00D03E3C">
        <w:rPr>
          <w:lang w:val="en-US"/>
        </w:rPr>
        <w:t xml:space="preserve">. [online] 24 Feb. Available at: </w:t>
      </w:r>
      <w:hyperlink r:id="rId14" w:history="1">
        <w:r w:rsidR="00483FB6" w:rsidRPr="00075707">
          <w:rPr>
            <w:rStyle w:val="Hyperlink"/>
            <w:lang w:val="en-US"/>
          </w:rPr>
          <w:t>https://www.reuters.com/sustainability/boards-policy-regulation/eu-countries-give-final-approval-weaken-company-sustainability-laws-2026-02-24</w:t>
        </w:r>
      </w:hyperlink>
      <w:r w:rsidR="00483FB6">
        <w:rPr>
          <w:lang w:val="en-US"/>
        </w:rPr>
        <w:t xml:space="preserve"> </w:t>
      </w:r>
      <w:r w:rsidRPr="00D03E3C">
        <w:rPr>
          <w:lang w:val="en-US"/>
        </w:rPr>
        <w:t>/ [Accessed 2 July 2026].</w:t>
      </w:r>
    </w:p>
    <w:p w14:paraId="7067EBA4" w14:textId="47736E92" w:rsidR="00400457" w:rsidRPr="00D03E3C" w:rsidRDefault="00400457" w:rsidP="00D03E3C">
      <w:pPr>
        <w:spacing w:line="360" w:lineRule="auto"/>
        <w:rPr>
          <w:lang w:val="en-US"/>
        </w:rPr>
      </w:pPr>
      <w:r w:rsidRPr="00D03E3C">
        <w:rPr>
          <w:lang w:val="en-US"/>
        </w:rPr>
        <w:t xml:space="preserve">Arora, N. (2025). </w:t>
      </w:r>
      <w:r w:rsidRPr="00D03E3C">
        <w:rPr>
          <w:i/>
          <w:iCs/>
          <w:lang w:val="en-US"/>
        </w:rPr>
        <w:t>India plans steps to counter rising copper supply risks</w:t>
      </w:r>
      <w:r w:rsidRPr="00D03E3C">
        <w:rPr>
          <w:lang w:val="en-US"/>
        </w:rPr>
        <w:t xml:space="preserve">. [online] Reuters. Available at: </w:t>
      </w:r>
      <w:hyperlink r:id="rId15" w:history="1">
        <w:r w:rsidR="00483FB6" w:rsidRPr="00075707">
          <w:rPr>
            <w:rStyle w:val="Hyperlink"/>
            <w:lang w:val="en-US"/>
          </w:rPr>
          <w:t>https://www.reuters.com/world/china/india-plans-steps-counter-rising-copper-supply-risks - 2025-06-25</w:t>
        </w:r>
      </w:hyperlink>
      <w:r w:rsidR="00483FB6">
        <w:rPr>
          <w:lang w:val="en-US"/>
        </w:rPr>
        <w:t xml:space="preserve"> </w:t>
      </w:r>
      <w:r w:rsidRPr="00D03E3C">
        <w:rPr>
          <w:lang w:val="en-US"/>
        </w:rPr>
        <w:t xml:space="preserve"> [Accessed 22 July 2026].</w:t>
      </w:r>
    </w:p>
    <w:p w14:paraId="5DC7EF55" w14:textId="77777777" w:rsidR="00400457" w:rsidRPr="00D03E3C" w:rsidRDefault="00400457" w:rsidP="00D03E3C">
      <w:pPr>
        <w:spacing w:line="360" w:lineRule="auto"/>
        <w:rPr>
          <w:lang w:val="en-US"/>
        </w:rPr>
      </w:pPr>
      <w:r w:rsidRPr="00D03E3C">
        <w:rPr>
          <w:lang w:val="en-US"/>
        </w:rPr>
        <w:t xml:space="preserve">Buijsman, S. (2024). Transparency for AI systems: A value-based approach. </w:t>
      </w:r>
      <w:r w:rsidRPr="00D03E3C">
        <w:rPr>
          <w:i/>
          <w:iCs/>
          <w:lang w:val="en-US"/>
        </w:rPr>
        <w:t>Ethics and information technology</w:t>
      </w:r>
      <w:r w:rsidRPr="00D03E3C">
        <w:rPr>
          <w:lang w:val="en-US"/>
        </w:rPr>
        <w:t>, 26(2). doi:10.1007/s10676-024-09770-w.</w:t>
      </w:r>
    </w:p>
    <w:p w14:paraId="5A357A5A" w14:textId="19D8D9B8" w:rsidR="00400457" w:rsidRPr="00D03E3C" w:rsidRDefault="00400457" w:rsidP="00D03E3C">
      <w:pPr>
        <w:spacing w:line="360" w:lineRule="auto"/>
        <w:rPr>
          <w:lang w:val="en-US"/>
        </w:rPr>
      </w:pPr>
      <w:r w:rsidRPr="00D03E3C">
        <w:rPr>
          <w:lang w:val="en-US"/>
        </w:rPr>
        <w:t xml:space="preserve">Cambero, F. (2026). Chile’s </w:t>
      </w:r>
      <w:proofErr w:type="spellStart"/>
      <w:r w:rsidRPr="00D03E3C">
        <w:rPr>
          <w:lang w:val="en-US"/>
        </w:rPr>
        <w:t>codelco</w:t>
      </w:r>
      <w:proofErr w:type="spellEnd"/>
      <w:r w:rsidRPr="00D03E3C">
        <w:rPr>
          <w:lang w:val="en-US"/>
        </w:rPr>
        <w:t xml:space="preserve"> expects flat copper output in coming years, chairman says. </w:t>
      </w:r>
      <w:r w:rsidRPr="00D03E3C">
        <w:rPr>
          <w:i/>
          <w:iCs/>
          <w:lang w:val="en-US"/>
        </w:rPr>
        <w:t>Reuters</w:t>
      </w:r>
      <w:r w:rsidRPr="00D03E3C">
        <w:rPr>
          <w:lang w:val="en-US"/>
        </w:rPr>
        <w:t xml:space="preserve">. [online] 15 July. Available at: </w:t>
      </w:r>
      <w:hyperlink r:id="rId16" w:history="1">
        <w:r w:rsidR="00AC2098" w:rsidRPr="00075707">
          <w:rPr>
            <w:rStyle w:val="Hyperlink"/>
            <w:lang w:val="en-US"/>
          </w:rPr>
          <w:t>https://www.reuters.com/business/energy/chiles-codelco-expects-flat-copper-output-coming-years-chairman-says-2026-07-15/</w:t>
        </w:r>
      </w:hyperlink>
      <w:r w:rsidR="00AC2098">
        <w:rPr>
          <w:lang w:val="en-US"/>
        </w:rPr>
        <w:t xml:space="preserve">  </w:t>
      </w:r>
      <w:r w:rsidRPr="00D03E3C">
        <w:rPr>
          <w:lang w:val="en-US"/>
        </w:rPr>
        <w:t>2026-07-15/ [Accessed 22 July 2026].</w:t>
      </w:r>
    </w:p>
    <w:p w14:paraId="50A3ACCE" w14:textId="77777777" w:rsidR="00400457" w:rsidRPr="00D03E3C" w:rsidRDefault="00400457" w:rsidP="00D03E3C">
      <w:pPr>
        <w:spacing w:line="360" w:lineRule="auto"/>
        <w:rPr>
          <w:lang w:val="en-US"/>
        </w:rPr>
      </w:pPr>
      <w:r w:rsidRPr="00D03E3C">
        <w:rPr>
          <w:lang w:val="en-US"/>
        </w:rPr>
        <w:t xml:space="preserve">Cluley, R. and Green, W. (2024). Market research ethics: New practices but no new ideas. </w:t>
      </w:r>
      <w:r w:rsidRPr="00D03E3C">
        <w:rPr>
          <w:i/>
          <w:iCs/>
          <w:lang w:val="en-US"/>
        </w:rPr>
        <w:t>AMS review</w:t>
      </w:r>
      <w:r w:rsidRPr="00D03E3C">
        <w:rPr>
          <w:lang w:val="en-US"/>
        </w:rPr>
        <w:t>, 14. doi:10.1007/s13162-024-00276-8.</w:t>
      </w:r>
    </w:p>
    <w:p w14:paraId="72A59935" w14:textId="6FD95998" w:rsidR="00400457" w:rsidRPr="00D03E3C" w:rsidRDefault="00400457" w:rsidP="00D03E3C">
      <w:pPr>
        <w:spacing w:line="360" w:lineRule="auto"/>
        <w:rPr>
          <w:lang w:val="en-US"/>
        </w:rPr>
      </w:pPr>
      <w:r w:rsidRPr="00D03E3C">
        <w:rPr>
          <w:lang w:val="en-US"/>
        </w:rPr>
        <w:t xml:space="preserve">CODELCO (2025). </w:t>
      </w:r>
      <w:r w:rsidRPr="00D03E3C">
        <w:rPr>
          <w:i/>
          <w:iCs/>
          <w:lang w:val="en-US"/>
        </w:rPr>
        <w:t>Codelco signed two electricity supply contracts with renewable energy sources that ensure a 100% clean energy matrix by 2030.</w:t>
      </w:r>
      <w:r w:rsidRPr="00D03E3C">
        <w:rPr>
          <w:lang w:val="en-US"/>
        </w:rPr>
        <w:t xml:space="preserve"> [online] Available at: </w:t>
      </w:r>
      <w:hyperlink r:id="rId17" w:history="1">
        <w:r w:rsidR="008B7B9D" w:rsidRPr="00075707">
          <w:rPr>
            <w:rStyle w:val="Hyperlink"/>
            <w:lang w:val="en-US"/>
          </w:rPr>
          <w:t>https://www.codelco.com/en/codelco-suscribio-dos-contratos-de-suministro-electrico-con-energias</w:t>
        </w:r>
      </w:hyperlink>
      <w:r w:rsidR="008B7B9D">
        <w:rPr>
          <w:lang w:val="en-US"/>
        </w:rPr>
        <w:t xml:space="preserve"> </w:t>
      </w:r>
      <w:r w:rsidRPr="00D03E3C">
        <w:rPr>
          <w:lang w:val="en-US"/>
        </w:rPr>
        <w:t xml:space="preserve"> [Accessed 22 July 2026].</w:t>
      </w:r>
    </w:p>
    <w:p w14:paraId="3BF7D63D" w14:textId="1A0FE8D8" w:rsidR="009515A9" w:rsidRPr="00D03E3C" w:rsidRDefault="009515A9" w:rsidP="00D03E3C">
      <w:pPr>
        <w:spacing w:line="360" w:lineRule="auto"/>
        <w:rPr>
          <w:rFonts w:cs="Arial"/>
          <w:szCs w:val="24"/>
        </w:rPr>
      </w:pPr>
      <w:r w:rsidRPr="00D03E3C">
        <w:rPr>
          <w:rFonts w:cs="Arial"/>
          <w:szCs w:val="24"/>
        </w:rPr>
        <w:t xml:space="preserve">Codelco (2025a) </w:t>
      </w:r>
      <w:r w:rsidRPr="00D03E3C">
        <w:rPr>
          <w:rFonts w:cs="Arial"/>
          <w:i/>
          <w:iCs/>
          <w:szCs w:val="24"/>
        </w:rPr>
        <w:t>Codelco at a Glance, December 31, 2025</w:t>
      </w:r>
      <w:r w:rsidRPr="00D03E3C">
        <w:rPr>
          <w:rFonts w:cs="Arial"/>
          <w:szCs w:val="24"/>
        </w:rPr>
        <w:t xml:space="preserve">. Available at: </w:t>
      </w:r>
      <w:r w:rsidR="008B7B9D" w:rsidRPr="008B7B9D">
        <w:rPr>
          <w:rFonts w:cs="Arial"/>
          <w:szCs w:val="24"/>
        </w:rPr>
        <w:t>https://www.codelco.com/codelco-at-a-glance/codelco-at-a-glance-2025</w:t>
      </w:r>
      <w:r w:rsidRPr="00D03E3C">
        <w:rPr>
          <w:rFonts w:cs="Arial"/>
          <w:szCs w:val="24"/>
        </w:rPr>
        <w:t xml:space="preserve"> (Accessed: 12 July 2026).</w:t>
      </w:r>
    </w:p>
    <w:p w14:paraId="55F369D5" w14:textId="707C2974" w:rsidR="00400457" w:rsidRPr="00D03E3C" w:rsidRDefault="00400457" w:rsidP="00D03E3C">
      <w:pPr>
        <w:spacing w:line="360" w:lineRule="auto"/>
        <w:rPr>
          <w:lang w:val="en-US"/>
        </w:rPr>
      </w:pPr>
      <w:r w:rsidRPr="00D03E3C">
        <w:rPr>
          <w:lang w:val="en-US"/>
        </w:rPr>
        <w:t>Codelco (2025</w:t>
      </w:r>
      <w:r w:rsidR="00DE1099" w:rsidRPr="00D03E3C">
        <w:rPr>
          <w:lang w:val="en-US"/>
        </w:rPr>
        <w:t>b</w:t>
      </w:r>
      <w:r w:rsidRPr="00D03E3C">
        <w:rPr>
          <w:lang w:val="en-US"/>
        </w:rPr>
        <w:t xml:space="preserve">). </w:t>
      </w:r>
      <w:r w:rsidRPr="00D03E3C">
        <w:rPr>
          <w:i/>
          <w:iCs/>
          <w:lang w:val="en-US"/>
        </w:rPr>
        <w:t>Codelco completes its climate financing program, securing new credit for US$600 million</w:t>
      </w:r>
      <w:r w:rsidRPr="00D03E3C">
        <w:rPr>
          <w:lang w:val="en-US"/>
        </w:rPr>
        <w:t xml:space="preserve">. [online] Available at: </w:t>
      </w:r>
      <w:hyperlink r:id="rId18" w:history="1">
        <w:r w:rsidR="008B7B9D" w:rsidRPr="00075707">
          <w:rPr>
            <w:rStyle w:val="Hyperlink"/>
            <w:lang w:val="en-US"/>
          </w:rPr>
          <w:t>https://www.codelco.com/en/codelco-completa-su-programa-de-financiamiento-climatico-asegurando</w:t>
        </w:r>
      </w:hyperlink>
      <w:r w:rsidR="008B7B9D">
        <w:rPr>
          <w:lang w:val="en-US"/>
        </w:rPr>
        <w:t xml:space="preserve"> </w:t>
      </w:r>
      <w:r w:rsidRPr="00D03E3C">
        <w:rPr>
          <w:lang w:val="en-US"/>
        </w:rPr>
        <w:t xml:space="preserve"> [Accessed 22 July 2026].</w:t>
      </w:r>
    </w:p>
    <w:p w14:paraId="762FF9A6" w14:textId="436284A0" w:rsidR="00400457" w:rsidRPr="00D03E3C" w:rsidRDefault="00400457" w:rsidP="00D03E3C">
      <w:pPr>
        <w:spacing w:line="360" w:lineRule="auto"/>
        <w:rPr>
          <w:lang w:val="en-US"/>
        </w:rPr>
      </w:pPr>
      <w:r w:rsidRPr="00D03E3C">
        <w:rPr>
          <w:lang w:val="en-US"/>
        </w:rPr>
        <w:t>Codelco (2025</w:t>
      </w:r>
      <w:r w:rsidR="00DE1099" w:rsidRPr="00D03E3C">
        <w:rPr>
          <w:lang w:val="en-US"/>
        </w:rPr>
        <w:t>c</w:t>
      </w:r>
      <w:r w:rsidRPr="00D03E3C">
        <w:rPr>
          <w:lang w:val="en-US"/>
        </w:rPr>
        <w:t xml:space="preserve">). </w:t>
      </w:r>
      <w:r w:rsidRPr="00D03E3C">
        <w:rPr>
          <w:i/>
          <w:iCs/>
          <w:lang w:val="en-US"/>
        </w:rPr>
        <w:t>Codelco launches its first climate change report and consolidates its strategy toward more resilient and low-emission mining</w:t>
      </w:r>
      <w:r w:rsidRPr="00D03E3C">
        <w:rPr>
          <w:lang w:val="en-US"/>
        </w:rPr>
        <w:t xml:space="preserve">. [online] </w:t>
      </w:r>
      <w:r w:rsidRPr="00D03E3C">
        <w:rPr>
          <w:i/>
          <w:iCs/>
          <w:lang w:val="en-US"/>
        </w:rPr>
        <w:t>Codelco.com</w:t>
      </w:r>
      <w:r w:rsidRPr="00D03E3C">
        <w:rPr>
          <w:lang w:val="en-US"/>
        </w:rPr>
        <w:t xml:space="preserve">. CODELCO - Corporación Nacional del Cobre, Chile. Available at: </w:t>
      </w:r>
      <w:hyperlink r:id="rId19" w:history="1">
        <w:r w:rsidR="008B7B9D" w:rsidRPr="00075707">
          <w:rPr>
            <w:rStyle w:val="Hyperlink"/>
            <w:lang w:val="en-US"/>
          </w:rPr>
          <w:t>https://www.codelco.com/en/prensa/2025/codelco-lanza-su-primer-reporte-de-cambio-climatico-y-consolida-su</w:t>
        </w:r>
      </w:hyperlink>
      <w:r w:rsidR="008B7B9D">
        <w:rPr>
          <w:lang w:val="en-US"/>
        </w:rPr>
        <w:t xml:space="preserve"> </w:t>
      </w:r>
      <w:r w:rsidRPr="00D03E3C">
        <w:rPr>
          <w:lang w:val="en-US"/>
        </w:rPr>
        <w:t xml:space="preserve"> [Accessed 22 July 2026].</w:t>
      </w:r>
    </w:p>
    <w:p w14:paraId="29895D60" w14:textId="01FB7D3C" w:rsidR="00400457" w:rsidRPr="00D03E3C" w:rsidRDefault="00400457" w:rsidP="00D03E3C">
      <w:pPr>
        <w:spacing w:line="360" w:lineRule="auto"/>
        <w:rPr>
          <w:lang w:val="en-US"/>
        </w:rPr>
      </w:pPr>
      <w:r w:rsidRPr="00D03E3C">
        <w:rPr>
          <w:lang w:val="en-US"/>
        </w:rPr>
        <w:t xml:space="preserve">Codelco (2025c). </w:t>
      </w:r>
      <w:r w:rsidRPr="00D03E3C">
        <w:rPr>
          <w:i/>
          <w:iCs/>
          <w:lang w:val="en-US"/>
        </w:rPr>
        <w:t xml:space="preserve">Codelco selects </w:t>
      </w:r>
      <w:proofErr w:type="spellStart"/>
      <w:r w:rsidRPr="00D03E3C">
        <w:rPr>
          <w:i/>
          <w:iCs/>
          <w:lang w:val="en-US"/>
        </w:rPr>
        <w:t>rio</w:t>
      </w:r>
      <w:proofErr w:type="spellEnd"/>
      <w:r w:rsidRPr="00D03E3C">
        <w:rPr>
          <w:i/>
          <w:iCs/>
          <w:lang w:val="en-US"/>
        </w:rPr>
        <w:t xml:space="preserve"> </w:t>
      </w:r>
      <w:proofErr w:type="spellStart"/>
      <w:r w:rsidRPr="00D03E3C">
        <w:rPr>
          <w:i/>
          <w:iCs/>
          <w:lang w:val="en-US"/>
        </w:rPr>
        <w:t>tinto</w:t>
      </w:r>
      <w:proofErr w:type="spellEnd"/>
      <w:r w:rsidRPr="00D03E3C">
        <w:rPr>
          <w:i/>
          <w:iCs/>
          <w:lang w:val="en-US"/>
        </w:rPr>
        <w:t xml:space="preserve"> as a partner for the development of a lithium project in the </w:t>
      </w:r>
      <w:proofErr w:type="spellStart"/>
      <w:r w:rsidRPr="00D03E3C">
        <w:rPr>
          <w:i/>
          <w:iCs/>
          <w:lang w:val="en-US"/>
        </w:rPr>
        <w:t>maricunga</w:t>
      </w:r>
      <w:proofErr w:type="spellEnd"/>
      <w:r w:rsidRPr="00D03E3C">
        <w:rPr>
          <w:i/>
          <w:iCs/>
          <w:lang w:val="en-US"/>
        </w:rPr>
        <w:t xml:space="preserve"> salt flats.</w:t>
      </w:r>
      <w:r w:rsidRPr="00D03E3C">
        <w:rPr>
          <w:lang w:val="en-US"/>
        </w:rPr>
        <w:t xml:space="preserve"> [online] </w:t>
      </w:r>
      <w:r w:rsidRPr="00D03E3C">
        <w:rPr>
          <w:i/>
          <w:iCs/>
          <w:lang w:val="en-US"/>
        </w:rPr>
        <w:t>Codelco.com</w:t>
      </w:r>
      <w:r w:rsidRPr="00D03E3C">
        <w:rPr>
          <w:lang w:val="en-US"/>
        </w:rPr>
        <w:t xml:space="preserve">. CODELCO - Corporación Nacional del Cobre, Chile. Available at: </w:t>
      </w:r>
      <w:hyperlink r:id="rId20" w:history="1">
        <w:r w:rsidR="008B7B9D" w:rsidRPr="00075707">
          <w:rPr>
            <w:rStyle w:val="Hyperlink"/>
            <w:lang w:val="en-US"/>
          </w:rPr>
          <w:t>https://www.codelco.com/en/prensa/2025/codelco-elige-a-rio-tinto-como-socio-para-el-desarrollo-de-proyecto-de</w:t>
        </w:r>
      </w:hyperlink>
      <w:r w:rsidR="008B7B9D">
        <w:rPr>
          <w:lang w:val="en-US"/>
        </w:rPr>
        <w:t xml:space="preserve"> </w:t>
      </w:r>
      <w:r w:rsidRPr="00D03E3C">
        <w:rPr>
          <w:lang w:val="en-US"/>
        </w:rPr>
        <w:t xml:space="preserve"> [Accessed 22 July 2026].</w:t>
      </w:r>
    </w:p>
    <w:p w14:paraId="15D00052" w14:textId="7F6BD6E9" w:rsidR="00400457" w:rsidRPr="00D03E3C" w:rsidRDefault="00400457" w:rsidP="00D03E3C">
      <w:pPr>
        <w:spacing w:line="360" w:lineRule="auto"/>
        <w:rPr>
          <w:lang w:val="en-US"/>
        </w:rPr>
      </w:pPr>
      <w:r w:rsidRPr="00D03E3C">
        <w:rPr>
          <w:lang w:val="en-US"/>
        </w:rPr>
        <w:t xml:space="preserve">Codelco Press (2025). </w:t>
      </w:r>
      <w:r w:rsidRPr="00D03E3C">
        <w:rPr>
          <w:i/>
          <w:iCs/>
          <w:lang w:val="en-US"/>
        </w:rPr>
        <w:t>Codelco and hexagon sign agreement to develop and implement advanced technological solutions in mining</w:t>
      </w:r>
      <w:r w:rsidRPr="00D03E3C">
        <w:rPr>
          <w:lang w:val="en-US"/>
        </w:rPr>
        <w:t xml:space="preserve">. [online] Available at: </w:t>
      </w:r>
      <w:hyperlink r:id="rId21" w:history="1">
        <w:r w:rsidR="008B7B9D" w:rsidRPr="00075707">
          <w:rPr>
            <w:rStyle w:val="Hyperlink"/>
            <w:lang w:val="en-US"/>
          </w:rPr>
          <w:t>https://www.codelco.com/en/codelco-y-hexagon-firman-acuerdo-para-desarrollar-e-implementar</w:t>
        </w:r>
      </w:hyperlink>
      <w:r w:rsidR="008B7B9D">
        <w:rPr>
          <w:lang w:val="en-US"/>
        </w:rPr>
        <w:t xml:space="preserve"> </w:t>
      </w:r>
      <w:r w:rsidRPr="00D03E3C">
        <w:rPr>
          <w:lang w:val="en-US"/>
        </w:rPr>
        <w:t xml:space="preserve"> [Accessed 22 July 2026].</w:t>
      </w:r>
    </w:p>
    <w:p w14:paraId="67A91876" w14:textId="0B232CA6" w:rsidR="00400457" w:rsidRPr="00D03E3C" w:rsidRDefault="00400457" w:rsidP="00D03E3C">
      <w:pPr>
        <w:spacing w:line="360" w:lineRule="auto"/>
        <w:rPr>
          <w:lang w:val="en-US"/>
        </w:rPr>
      </w:pPr>
      <w:r w:rsidRPr="00D03E3C">
        <w:rPr>
          <w:lang w:val="en-US"/>
        </w:rPr>
        <w:t xml:space="preserve">Codelco Press (2026). </w:t>
      </w:r>
      <w:r w:rsidRPr="00D03E3C">
        <w:rPr>
          <w:i/>
          <w:iCs/>
          <w:lang w:val="en-US"/>
        </w:rPr>
        <w:t>Codelco launches circular economy roadmap with the goal of recovering 70% of its non-hazardous waste by 2030</w:t>
      </w:r>
      <w:r w:rsidRPr="00D03E3C">
        <w:rPr>
          <w:lang w:val="en-US"/>
        </w:rPr>
        <w:t xml:space="preserve">. [online] Available at: </w:t>
      </w:r>
      <w:hyperlink r:id="rId22" w:history="1">
        <w:r w:rsidR="008B7B9D" w:rsidRPr="00075707">
          <w:rPr>
            <w:rStyle w:val="Hyperlink"/>
            <w:lang w:val="en-US"/>
          </w:rPr>
          <w:t>https://www.codelco.com/en/prensa/2026/codelco-lanza-hoja-de-ruta-de-economia-circular-con-meta-de-valorizar-el</w:t>
        </w:r>
      </w:hyperlink>
      <w:r w:rsidR="008B7B9D">
        <w:rPr>
          <w:lang w:val="en-US"/>
        </w:rPr>
        <w:t xml:space="preserve"> </w:t>
      </w:r>
      <w:r w:rsidRPr="00D03E3C">
        <w:rPr>
          <w:lang w:val="en-US"/>
        </w:rPr>
        <w:t xml:space="preserve"> [Accessed 22 July 2026].</w:t>
      </w:r>
    </w:p>
    <w:p w14:paraId="5D1C5C6E" w14:textId="3043E0EF" w:rsidR="00400457" w:rsidRPr="00D03E3C" w:rsidRDefault="00400457" w:rsidP="00D03E3C">
      <w:pPr>
        <w:spacing w:line="360" w:lineRule="auto"/>
        <w:rPr>
          <w:lang w:val="en-US"/>
        </w:rPr>
      </w:pPr>
      <w:r w:rsidRPr="00D03E3C">
        <w:rPr>
          <w:lang w:val="en-US"/>
        </w:rPr>
        <w:t xml:space="preserve">CPD (2025). </w:t>
      </w:r>
      <w:r w:rsidRPr="00D03E3C">
        <w:rPr>
          <w:i/>
          <w:iCs/>
          <w:lang w:val="en-US"/>
        </w:rPr>
        <w:t>Mining sector mitigation and adaptation plan | climate policy database</w:t>
      </w:r>
      <w:r w:rsidRPr="00D03E3C">
        <w:rPr>
          <w:lang w:val="en-US"/>
        </w:rPr>
        <w:t xml:space="preserve">. [online] Climatepolicydatabase.org. Available at: </w:t>
      </w:r>
      <w:hyperlink r:id="rId23" w:history="1">
        <w:r w:rsidR="00F24A99" w:rsidRPr="00075707">
          <w:rPr>
            <w:rStyle w:val="Hyperlink"/>
            <w:lang w:val="en-US"/>
          </w:rPr>
          <w:t>https://climatepolicydatabase.org/policies/mining-sector-mitigation-and-adaptation-plan</w:t>
        </w:r>
      </w:hyperlink>
      <w:r w:rsidR="00F24A99">
        <w:rPr>
          <w:lang w:val="en-US"/>
        </w:rPr>
        <w:t xml:space="preserve"> </w:t>
      </w:r>
      <w:r w:rsidRPr="00D03E3C">
        <w:rPr>
          <w:lang w:val="en-US"/>
        </w:rPr>
        <w:t xml:space="preserve"> [Accessed 22 July 2026].</w:t>
      </w:r>
    </w:p>
    <w:p w14:paraId="2412C194" w14:textId="77777777" w:rsidR="00400457" w:rsidRPr="00D03E3C" w:rsidRDefault="00400457" w:rsidP="00D03E3C">
      <w:pPr>
        <w:spacing w:line="360" w:lineRule="auto"/>
        <w:rPr>
          <w:lang w:val="en-US"/>
        </w:rPr>
      </w:pPr>
      <w:r w:rsidRPr="00D03E3C">
        <w:rPr>
          <w:lang w:val="en-US"/>
        </w:rPr>
        <w:t xml:space="preserve">Day, T. (2023). A preliminary investigation of fake peer-reviewed citations and references generated by ChatGPT. </w:t>
      </w:r>
      <w:r w:rsidRPr="00D03E3C">
        <w:rPr>
          <w:i/>
          <w:iCs/>
          <w:lang w:val="en-US"/>
        </w:rPr>
        <w:t>The professional geographer</w:t>
      </w:r>
      <w:r w:rsidRPr="00D03E3C">
        <w:rPr>
          <w:lang w:val="en-US"/>
        </w:rPr>
        <w:t>, 75(6), pp.1024–1027. doi:10.1080/00330124.2023.2190373.</w:t>
      </w:r>
    </w:p>
    <w:p w14:paraId="7E990787" w14:textId="0A83FDB2" w:rsidR="00400457" w:rsidRPr="00D03E3C" w:rsidRDefault="00400457" w:rsidP="00D03E3C">
      <w:pPr>
        <w:spacing w:line="360" w:lineRule="auto"/>
        <w:rPr>
          <w:lang w:val="en-US"/>
        </w:rPr>
      </w:pPr>
      <w:r w:rsidRPr="00D03E3C">
        <w:rPr>
          <w:lang w:val="en-US"/>
        </w:rPr>
        <w:t xml:space="preserve">EU (2025). </w:t>
      </w:r>
      <w:r w:rsidRPr="00D03E3C">
        <w:rPr>
          <w:i/>
          <w:iCs/>
          <w:lang w:val="en-US"/>
        </w:rPr>
        <w:t>Selected projects</w:t>
      </w:r>
      <w:r w:rsidRPr="00D03E3C">
        <w:rPr>
          <w:lang w:val="en-US"/>
        </w:rPr>
        <w:t xml:space="preserve">. [online] </w:t>
      </w:r>
      <w:r w:rsidRPr="00D03E3C">
        <w:rPr>
          <w:i/>
          <w:iCs/>
          <w:lang w:val="en-US"/>
        </w:rPr>
        <w:t>Internal Market, Industry, Entrepreneurship and SMEs</w:t>
      </w:r>
      <w:r w:rsidRPr="00D03E3C">
        <w:rPr>
          <w:lang w:val="en-US"/>
        </w:rPr>
        <w:t xml:space="preserve">. Available at: </w:t>
      </w:r>
      <w:hyperlink r:id="rId24" w:history="1">
        <w:r w:rsidR="0065597F" w:rsidRPr="00075707">
          <w:rPr>
            <w:rStyle w:val="Hyperlink"/>
            <w:lang w:val="en-US"/>
          </w:rPr>
          <w:t>https://single-market-economy.ec.europa.eu/sectors/raw-materials/areas-specific-interest/critical-raw-materials/strategic-projects-under-crma/selected-projects_en</w:t>
        </w:r>
      </w:hyperlink>
      <w:r w:rsidR="0065597F">
        <w:rPr>
          <w:lang w:val="en-US"/>
        </w:rPr>
        <w:t xml:space="preserve"> </w:t>
      </w:r>
      <w:r w:rsidRPr="00D03E3C">
        <w:rPr>
          <w:lang w:val="en-US"/>
        </w:rPr>
        <w:t xml:space="preserve"> [Accessed 2 July 2026].</w:t>
      </w:r>
    </w:p>
    <w:p w14:paraId="4FC2D229" w14:textId="299AFABA" w:rsidR="00400457" w:rsidRPr="00D03E3C" w:rsidRDefault="00400457" w:rsidP="00D03E3C">
      <w:pPr>
        <w:spacing w:line="360" w:lineRule="auto"/>
        <w:rPr>
          <w:lang w:val="en-US"/>
        </w:rPr>
      </w:pPr>
      <w:r w:rsidRPr="00D03E3C">
        <w:rPr>
          <w:lang w:val="en-US"/>
        </w:rPr>
        <w:t xml:space="preserve">EU (2026). </w:t>
      </w:r>
      <w:r w:rsidRPr="00D03E3C">
        <w:rPr>
          <w:i/>
          <w:iCs/>
          <w:lang w:val="en-US"/>
        </w:rPr>
        <w:t>Batteries</w:t>
      </w:r>
      <w:r w:rsidRPr="00D03E3C">
        <w:rPr>
          <w:lang w:val="en-US"/>
        </w:rPr>
        <w:t xml:space="preserve">. [online] Internal market, industry, entrepreneurship and SMEs. Available at: </w:t>
      </w:r>
      <w:hyperlink r:id="rId25" w:history="1">
        <w:r w:rsidR="006C0806" w:rsidRPr="00075707">
          <w:rPr>
            <w:rStyle w:val="Hyperlink"/>
            <w:lang w:val="en-US"/>
          </w:rPr>
          <w:t>https://single-market-economy.ec.europa.eu/single-market/digital-product-passport/batteries_en</w:t>
        </w:r>
      </w:hyperlink>
      <w:r w:rsidR="006C0806">
        <w:rPr>
          <w:lang w:val="en-US"/>
        </w:rPr>
        <w:t xml:space="preserve"> </w:t>
      </w:r>
      <w:r w:rsidRPr="00D03E3C">
        <w:rPr>
          <w:lang w:val="en-US"/>
        </w:rPr>
        <w:t xml:space="preserve"> [Accessed 12 July 2026].</w:t>
      </w:r>
    </w:p>
    <w:p w14:paraId="00053C26" w14:textId="77777777" w:rsidR="00400457" w:rsidRPr="00C75716" w:rsidRDefault="00400457" w:rsidP="00D03E3C">
      <w:pPr>
        <w:spacing w:line="360" w:lineRule="auto"/>
      </w:pPr>
      <w:r w:rsidRPr="00C75716">
        <w:lastRenderedPageBreak/>
        <w:t xml:space="preserve">Government of Chile (2024) ‘A milestone in Chile’s environmental history: From today, we have our first Framework Law on Climate Change’, </w:t>
      </w:r>
      <w:r w:rsidRPr="00D03E3C">
        <w:rPr>
          <w:i/>
          <w:iCs/>
        </w:rPr>
        <w:t>Gob.cl</w:t>
      </w:r>
      <w:r w:rsidRPr="00C75716">
        <w:t xml:space="preserve">, 13 June. Available at: </w:t>
      </w:r>
      <w:hyperlink r:id="rId26" w:tgtFrame="_new" w:history="1">
        <w:r w:rsidRPr="00C75716">
          <w:rPr>
            <w:rStyle w:val="Hyperlink"/>
          </w:rPr>
          <w:t>https://www.gob.cl/en/news/a-milestone-in-chiles-environmental-history-from-today-we-have-our-first-framework-law-on-climate-change/</w:t>
        </w:r>
      </w:hyperlink>
      <w:r w:rsidRPr="00C75716">
        <w:t xml:space="preserve"> (Accessed: 5 July 2026).</w:t>
      </w:r>
    </w:p>
    <w:p w14:paraId="63E13BB2" w14:textId="77777777" w:rsidR="00400457" w:rsidRPr="00D03E3C" w:rsidRDefault="00400457" w:rsidP="00D03E3C">
      <w:pPr>
        <w:spacing w:line="360" w:lineRule="auto"/>
        <w:rPr>
          <w:lang w:val="en-US"/>
        </w:rPr>
      </w:pPr>
      <w:r w:rsidRPr="00D03E3C">
        <w:rPr>
          <w:lang w:val="en-US"/>
        </w:rPr>
        <w:t xml:space="preserve">Heeß, P., Jakob Rockstuhl, Marc-Fabian Körner and Jens Strüker (2024). Enhancing trust in global supply chains: Conceptualizing digital product passports for a low-carbon hydrogen market. </w:t>
      </w:r>
      <w:r w:rsidRPr="00D03E3C">
        <w:rPr>
          <w:i/>
          <w:iCs/>
          <w:lang w:val="en-US"/>
        </w:rPr>
        <w:t>Em</w:t>
      </w:r>
      <w:r w:rsidRPr="00D03E3C">
        <w:rPr>
          <w:lang w:val="en-US"/>
        </w:rPr>
        <w:t>, 34(1). doi:10.1007/s12525-024-00690-7.</w:t>
      </w:r>
    </w:p>
    <w:p w14:paraId="52BBF6DA" w14:textId="77777777" w:rsidR="00400457" w:rsidRPr="00C75716" w:rsidRDefault="00400457" w:rsidP="00D03E3C">
      <w:pPr>
        <w:spacing w:line="360" w:lineRule="auto"/>
      </w:pPr>
      <w:r w:rsidRPr="00C75716">
        <w:t xml:space="preserve">ICA (2026) </w:t>
      </w:r>
      <w:r w:rsidRPr="00D03E3C">
        <w:rPr>
          <w:i/>
          <w:iCs/>
        </w:rPr>
        <w:t>ICA carbon footprint of copper production</w:t>
      </w:r>
      <w:r w:rsidRPr="00C75716">
        <w:t xml:space="preserve">. 2nd </w:t>
      </w:r>
      <w:proofErr w:type="spellStart"/>
      <w:r w:rsidRPr="00C75716">
        <w:t>edn</w:t>
      </w:r>
      <w:proofErr w:type="spellEnd"/>
      <w:r w:rsidRPr="00C75716">
        <w:t xml:space="preserve">. Available at: </w:t>
      </w:r>
      <w:hyperlink r:id="rId27" w:tgtFrame="_new" w:history="1">
        <w:r w:rsidRPr="00C75716">
          <w:rPr>
            <w:rStyle w:val="Hyperlink"/>
          </w:rPr>
          <w:t>https://internationalcopper.org/resource/ica-carbon-footprint-of-copper-production-2nd-edition/</w:t>
        </w:r>
      </w:hyperlink>
      <w:r w:rsidRPr="00C75716">
        <w:t xml:space="preserve"> (Accessed: 2 July 2026).</w:t>
      </w:r>
    </w:p>
    <w:p w14:paraId="0FF9F312" w14:textId="090EDEEE" w:rsidR="00400457" w:rsidRPr="00D03E3C" w:rsidRDefault="00400457" w:rsidP="00D03E3C">
      <w:pPr>
        <w:spacing w:line="360" w:lineRule="auto"/>
        <w:rPr>
          <w:lang w:val="en-US"/>
        </w:rPr>
      </w:pPr>
      <w:r w:rsidRPr="00D03E3C">
        <w:rPr>
          <w:lang w:val="en-US"/>
        </w:rPr>
        <w:t xml:space="preserve">Investing (2025). </w:t>
      </w:r>
      <w:r w:rsidRPr="00D03E3C">
        <w:rPr>
          <w:i/>
          <w:iCs/>
          <w:lang w:val="en-US"/>
        </w:rPr>
        <w:t xml:space="preserve">Chile’s </w:t>
      </w:r>
      <w:proofErr w:type="spellStart"/>
      <w:r w:rsidRPr="00D03E3C">
        <w:rPr>
          <w:i/>
          <w:iCs/>
          <w:lang w:val="en-US"/>
        </w:rPr>
        <w:t>codelco</w:t>
      </w:r>
      <w:proofErr w:type="spellEnd"/>
      <w:r w:rsidRPr="00D03E3C">
        <w:rPr>
          <w:i/>
          <w:iCs/>
          <w:lang w:val="en-US"/>
        </w:rPr>
        <w:t xml:space="preserve"> to supply copper concentrate to India’s </w:t>
      </w:r>
      <w:proofErr w:type="spellStart"/>
      <w:r w:rsidRPr="00D03E3C">
        <w:rPr>
          <w:i/>
          <w:iCs/>
          <w:lang w:val="en-US"/>
        </w:rPr>
        <w:t>adani</w:t>
      </w:r>
      <w:proofErr w:type="spellEnd"/>
      <w:r w:rsidRPr="00D03E3C">
        <w:rPr>
          <w:i/>
          <w:iCs/>
          <w:lang w:val="en-US"/>
        </w:rPr>
        <w:t xml:space="preserve"> group-owned smelter</w:t>
      </w:r>
      <w:r w:rsidRPr="00D03E3C">
        <w:rPr>
          <w:lang w:val="en-US"/>
        </w:rPr>
        <w:t xml:space="preserve">. [online] Investing.com. Available at: </w:t>
      </w:r>
      <w:hyperlink r:id="rId28" w:history="1">
        <w:r w:rsidR="00E821FB" w:rsidRPr="00075707">
          <w:rPr>
            <w:rStyle w:val="Hyperlink"/>
            <w:lang w:val="en-US"/>
          </w:rPr>
          <w:t>https://www.investing.com/news/stock-market-news/chiles-codelco-to-supply-copper-concentrate-to-indias-adani-groupowned-smelter-3961754</w:t>
        </w:r>
      </w:hyperlink>
      <w:r w:rsidR="00E821FB">
        <w:rPr>
          <w:lang w:val="en-US"/>
        </w:rPr>
        <w:t xml:space="preserve"> </w:t>
      </w:r>
      <w:r w:rsidRPr="00D03E3C">
        <w:rPr>
          <w:lang w:val="en-US"/>
        </w:rPr>
        <w:t xml:space="preserve"> [Accessed 9 July 2026].</w:t>
      </w:r>
    </w:p>
    <w:p w14:paraId="02EEC645" w14:textId="4D5736A5" w:rsidR="00400457" w:rsidRPr="00D03E3C" w:rsidRDefault="00400457" w:rsidP="00D03E3C">
      <w:pPr>
        <w:spacing w:line="360" w:lineRule="auto"/>
        <w:rPr>
          <w:lang w:val="en-US"/>
        </w:rPr>
      </w:pPr>
      <w:r w:rsidRPr="00D03E3C">
        <w:rPr>
          <w:lang w:val="en-US"/>
        </w:rPr>
        <w:t xml:space="preserve">KITCO News (2026). </w:t>
      </w:r>
      <w:r w:rsidRPr="00D03E3C">
        <w:rPr>
          <w:i/>
          <w:iCs/>
          <w:lang w:val="en-US"/>
        </w:rPr>
        <w:t xml:space="preserve">Codelco hikes 2026 </w:t>
      </w:r>
      <w:proofErr w:type="spellStart"/>
      <w:r w:rsidRPr="00D03E3C">
        <w:rPr>
          <w:i/>
          <w:iCs/>
          <w:lang w:val="en-US"/>
        </w:rPr>
        <w:t>european</w:t>
      </w:r>
      <w:proofErr w:type="spellEnd"/>
      <w:r w:rsidRPr="00D03E3C">
        <w:rPr>
          <w:i/>
          <w:iCs/>
          <w:lang w:val="en-US"/>
        </w:rPr>
        <w:t xml:space="preserve"> copper premium to record $345 a </w:t>
      </w:r>
      <w:proofErr w:type="spellStart"/>
      <w:r w:rsidRPr="00D03E3C">
        <w:rPr>
          <w:i/>
          <w:iCs/>
          <w:lang w:val="en-US"/>
        </w:rPr>
        <w:t>tonne</w:t>
      </w:r>
      <w:proofErr w:type="spellEnd"/>
      <w:r w:rsidRPr="00D03E3C">
        <w:rPr>
          <w:lang w:val="en-US"/>
        </w:rPr>
        <w:t xml:space="preserve">. [online] </w:t>
      </w:r>
      <w:proofErr w:type="spellStart"/>
      <w:r w:rsidRPr="00D03E3C">
        <w:rPr>
          <w:lang w:val="en-US"/>
        </w:rPr>
        <w:t>KitcoNewsNOW</w:t>
      </w:r>
      <w:proofErr w:type="spellEnd"/>
      <w:r w:rsidRPr="00D03E3C">
        <w:rPr>
          <w:lang w:val="en-US"/>
        </w:rPr>
        <w:t xml:space="preserve">. Available at: </w:t>
      </w:r>
      <w:hyperlink r:id="rId29" w:history="1">
        <w:r w:rsidR="00E821FB" w:rsidRPr="00075707">
          <w:rPr>
            <w:rStyle w:val="Hyperlink"/>
            <w:lang w:val="en-US"/>
          </w:rPr>
          <w:t>https://www.kitco.com/news/off-the-wire/2025-10-16/codelco-hikes-2026-european-copper-premium-record-345-tonne</w:t>
        </w:r>
      </w:hyperlink>
      <w:r w:rsidR="00E821FB">
        <w:rPr>
          <w:lang w:val="en-US"/>
        </w:rPr>
        <w:t xml:space="preserve"> </w:t>
      </w:r>
      <w:r w:rsidRPr="00D03E3C">
        <w:rPr>
          <w:lang w:val="en-US"/>
        </w:rPr>
        <w:t xml:space="preserve"> [Accessed 6 July 2026].</w:t>
      </w:r>
    </w:p>
    <w:p w14:paraId="1D38F88B" w14:textId="7B7B898E" w:rsidR="00400457" w:rsidRPr="00D03E3C" w:rsidRDefault="00400457" w:rsidP="00D03E3C">
      <w:pPr>
        <w:spacing w:line="360" w:lineRule="auto"/>
        <w:rPr>
          <w:lang w:val="en-US"/>
        </w:rPr>
      </w:pPr>
      <w:r w:rsidRPr="00D03E3C">
        <w:rPr>
          <w:lang w:val="en-US"/>
        </w:rPr>
        <w:t xml:space="preserve">OECD (2025). </w:t>
      </w:r>
      <w:r w:rsidRPr="00D03E3C">
        <w:rPr>
          <w:i/>
          <w:iCs/>
          <w:lang w:val="en-US"/>
        </w:rPr>
        <w:t xml:space="preserve">Achieving a green transition for a more prosperous </w:t>
      </w:r>
      <w:proofErr w:type="spellStart"/>
      <w:r w:rsidRPr="00D03E3C">
        <w:rPr>
          <w:i/>
          <w:iCs/>
          <w:lang w:val="en-US"/>
        </w:rPr>
        <w:t>chile</w:t>
      </w:r>
      <w:proofErr w:type="spellEnd"/>
      <w:r w:rsidRPr="00D03E3C">
        <w:rPr>
          <w:i/>
          <w:iCs/>
          <w:lang w:val="en-US"/>
        </w:rPr>
        <w:t>: OECD economic surveys: Chile 2025</w:t>
      </w:r>
      <w:r w:rsidRPr="00D03E3C">
        <w:rPr>
          <w:lang w:val="en-US"/>
        </w:rPr>
        <w:t xml:space="preserve">. [online] </w:t>
      </w:r>
      <w:r w:rsidRPr="00D03E3C">
        <w:rPr>
          <w:i/>
          <w:iCs/>
          <w:lang w:val="en-US"/>
        </w:rPr>
        <w:t>OECD</w:t>
      </w:r>
      <w:r w:rsidRPr="00D03E3C">
        <w:rPr>
          <w:lang w:val="en-US"/>
        </w:rPr>
        <w:t xml:space="preserve">. Available at: </w:t>
      </w:r>
      <w:hyperlink r:id="rId30" w:history="1">
        <w:r w:rsidR="00E821FB" w:rsidRPr="00075707">
          <w:rPr>
            <w:rStyle w:val="Hyperlink"/>
            <w:lang w:val="en-US"/>
          </w:rPr>
          <w:t>https://www.oecd.org/en/publications/oecd-economic-surveys-chile-2025_efad96ce-en/full-report/achieving-a-green-transition-for-a-more-prosperous-chile_8d16ca39.html</w:t>
        </w:r>
      </w:hyperlink>
      <w:r w:rsidR="00E821FB">
        <w:rPr>
          <w:lang w:val="en-US"/>
        </w:rPr>
        <w:t xml:space="preserve"> </w:t>
      </w:r>
      <w:r w:rsidRPr="00D03E3C">
        <w:rPr>
          <w:lang w:val="en-US"/>
        </w:rPr>
        <w:t xml:space="preserve"> [Accessed 3 July 2026].</w:t>
      </w:r>
    </w:p>
    <w:p w14:paraId="2DA3BE2C" w14:textId="77777777" w:rsidR="00400457" w:rsidRPr="00D03E3C" w:rsidRDefault="00400457" w:rsidP="00D03E3C">
      <w:pPr>
        <w:spacing w:line="360" w:lineRule="auto"/>
        <w:rPr>
          <w:lang w:val="en-US"/>
        </w:rPr>
      </w:pPr>
      <w:r w:rsidRPr="00D03E3C">
        <w:rPr>
          <w:lang w:val="en-US"/>
        </w:rPr>
        <w:t xml:space="preserve">Otto, G.H., Driessen, P.H., Hillebrand, B. and Prasad, R.R. (2023). Antecedents and performance implications of stakeholder understanding in green product innovation. </w:t>
      </w:r>
      <w:r w:rsidRPr="00D03E3C">
        <w:rPr>
          <w:i/>
          <w:iCs/>
          <w:lang w:val="en-US"/>
        </w:rPr>
        <w:t>Journal of Cleaner production</w:t>
      </w:r>
      <w:r w:rsidRPr="00D03E3C">
        <w:rPr>
          <w:lang w:val="en-US"/>
        </w:rPr>
        <w:t xml:space="preserve">, 420, pp.138174–138174. </w:t>
      </w:r>
      <w:proofErr w:type="gramStart"/>
      <w:r w:rsidRPr="00D03E3C">
        <w:rPr>
          <w:lang w:val="en-US"/>
        </w:rPr>
        <w:t>doi:10.1016/j.jclepro</w:t>
      </w:r>
      <w:proofErr w:type="gramEnd"/>
      <w:r w:rsidRPr="00D03E3C">
        <w:rPr>
          <w:lang w:val="en-US"/>
        </w:rPr>
        <w:t>.2023.138174.</w:t>
      </w:r>
    </w:p>
    <w:p w14:paraId="7DC36803" w14:textId="49CD662A" w:rsidR="00400457" w:rsidRPr="00D03E3C" w:rsidRDefault="00400457" w:rsidP="00D03E3C">
      <w:pPr>
        <w:spacing w:line="360" w:lineRule="auto"/>
        <w:rPr>
          <w:lang w:val="en-US"/>
        </w:rPr>
      </w:pPr>
      <w:r w:rsidRPr="00D03E3C">
        <w:rPr>
          <w:lang w:val="en-US"/>
        </w:rPr>
        <w:t xml:space="preserve">Payton, B. (2025). Digging to zero? Inside the race to </w:t>
      </w:r>
      <w:proofErr w:type="spellStart"/>
      <w:r w:rsidRPr="00D03E3C">
        <w:rPr>
          <w:lang w:val="en-US"/>
        </w:rPr>
        <w:t>decarbonise</w:t>
      </w:r>
      <w:proofErr w:type="spellEnd"/>
      <w:r w:rsidRPr="00D03E3C">
        <w:rPr>
          <w:lang w:val="en-US"/>
        </w:rPr>
        <w:t xml:space="preserve"> mining. </w:t>
      </w:r>
      <w:r w:rsidRPr="00D03E3C">
        <w:rPr>
          <w:i/>
          <w:iCs/>
          <w:lang w:val="en-US"/>
        </w:rPr>
        <w:t>Reuters</w:t>
      </w:r>
      <w:r w:rsidRPr="00D03E3C">
        <w:rPr>
          <w:lang w:val="en-US"/>
        </w:rPr>
        <w:t xml:space="preserve">. [online] 7 May. Available at: </w:t>
      </w:r>
      <w:hyperlink r:id="rId31" w:history="1">
        <w:r w:rsidR="001911A0" w:rsidRPr="00075707">
          <w:rPr>
            <w:rStyle w:val="Hyperlink"/>
            <w:lang w:val="en-US"/>
          </w:rPr>
          <w:t>https://www.reuters.com/sustainability/decarbonizing-industries/digging-zero-inside-race-decarbonise-mining-2025-05-07/</w:t>
        </w:r>
      </w:hyperlink>
      <w:r w:rsidR="001911A0">
        <w:rPr>
          <w:lang w:val="en-US"/>
        </w:rPr>
        <w:t xml:space="preserve"> </w:t>
      </w:r>
      <w:r w:rsidRPr="00D03E3C">
        <w:rPr>
          <w:lang w:val="en-US"/>
        </w:rPr>
        <w:t xml:space="preserve"> [Accessed 19 July 2026].</w:t>
      </w:r>
    </w:p>
    <w:p w14:paraId="4C7A269D" w14:textId="77777777" w:rsidR="00400457" w:rsidRPr="00D03E3C" w:rsidRDefault="00400457" w:rsidP="00D03E3C">
      <w:pPr>
        <w:spacing w:line="360" w:lineRule="auto"/>
        <w:rPr>
          <w:lang w:val="en-US"/>
        </w:rPr>
      </w:pPr>
      <w:r w:rsidRPr="00D03E3C">
        <w:rPr>
          <w:lang w:val="en-US"/>
        </w:rPr>
        <w:lastRenderedPageBreak/>
        <w:t xml:space="preserve">Recabarren, J.I., Castillo, E., Andreína García and </w:t>
      </w:r>
      <w:proofErr w:type="spellStart"/>
      <w:r w:rsidRPr="00D03E3C">
        <w:rPr>
          <w:lang w:val="en-US"/>
        </w:rPr>
        <w:t>Cantallopts</w:t>
      </w:r>
      <w:proofErr w:type="spellEnd"/>
      <w:r w:rsidRPr="00D03E3C">
        <w:rPr>
          <w:lang w:val="en-US"/>
        </w:rPr>
        <w:t xml:space="preserve">, J. (2024). Product differentiation in Mineral commodities based on sustainability indicators: The case of </w:t>
      </w:r>
      <w:proofErr w:type="gramStart"/>
      <w:r w:rsidRPr="00D03E3C">
        <w:rPr>
          <w:lang w:val="en-US"/>
        </w:rPr>
        <w:t>Copper</w:t>
      </w:r>
      <w:proofErr w:type="gramEnd"/>
      <w:r w:rsidRPr="00D03E3C">
        <w:rPr>
          <w:lang w:val="en-US"/>
        </w:rPr>
        <w:t xml:space="preserve"> mining. </w:t>
      </w:r>
      <w:r w:rsidRPr="00D03E3C">
        <w:rPr>
          <w:i/>
          <w:iCs/>
          <w:lang w:val="en-US"/>
        </w:rPr>
        <w:t>Journal of Cleaner production</w:t>
      </w:r>
      <w:r w:rsidRPr="00D03E3C">
        <w:rPr>
          <w:lang w:val="en-US"/>
        </w:rPr>
        <w:t xml:space="preserve">, pp.143786–143786. </w:t>
      </w:r>
      <w:proofErr w:type="gramStart"/>
      <w:r w:rsidRPr="00D03E3C">
        <w:rPr>
          <w:lang w:val="en-US"/>
        </w:rPr>
        <w:t>doi:10.1016/j.jclepro</w:t>
      </w:r>
      <w:proofErr w:type="gramEnd"/>
      <w:r w:rsidRPr="00D03E3C">
        <w:rPr>
          <w:lang w:val="en-US"/>
        </w:rPr>
        <w:t>.2024.143786.</w:t>
      </w:r>
    </w:p>
    <w:p w14:paraId="052821B1" w14:textId="77777777" w:rsidR="00400457" w:rsidRPr="00D03E3C" w:rsidRDefault="00400457" w:rsidP="00D03E3C">
      <w:pPr>
        <w:spacing w:line="360" w:lineRule="auto"/>
        <w:rPr>
          <w:lang w:val="en-US"/>
        </w:rPr>
      </w:pPr>
      <w:r w:rsidRPr="00D03E3C">
        <w:rPr>
          <w:lang w:val="en-US"/>
        </w:rPr>
        <w:t xml:space="preserve">Renée Otmar, Michael, R., Mullins, S. and Day, K. (2024). Ethics and the use of generative AI in professional editing. </w:t>
      </w:r>
      <w:r w:rsidRPr="00D03E3C">
        <w:rPr>
          <w:i/>
          <w:iCs/>
          <w:lang w:val="en-US"/>
        </w:rPr>
        <w:t>AI and ethics</w:t>
      </w:r>
      <w:r w:rsidRPr="00D03E3C">
        <w:rPr>
          <w:lang w:val="en-US"/>
        </w:rPr>
        <w:t>. doi:10.1007/s43681-024-00521-7.</w:t>
      </w:r>
    </w:p>
    <w:p w14:paraId="6FA12FCE" w14:textId="1BEC3BDF" w:rsidR="00400457" w:rsidRPr="00D03E3C" w:rsidRDefault="00400457" w:rsidP="00D03E3C">
      <w:pPr>
        <w:spacing w:line="360" w:lineRule="auto"/>
        <w:rPr>
          <w:lang w:val="en-US"/>
        </w:rPr>
      </w:pPr>
      <w:r w:rsidRPr="00D03E3C">
        <w:rPr>
          <w:lang w:val="en-US"/>
        </w:rPr>
        <w:t xml:space="preserve">Reuters (2025a). Digging to zero? Inside the race to </w:t>
      </w:r>
      <w:proofErr w:type="spellStart"/>
      <w:r w:rsidRPr="00D03E3C">
        <w:rPr>
          <w:lang w:val="en-US"/>
        </w:rPr>
        <w:t>decarbonise</w:t>
      </w:r>
      <w:proofErr w:type="spellEnd"/>
      <w:r w:rsidRPr="00D03E3C">
        <w:rPr>
          <w:lang w:val="en-US"/>
        </w:rPr>
        <w:t xml:space="preserve"> mining. </w:t>
      </w:r>
      <w:r w:rsidRPr="00D03E3C">
        <w:rPr>
          <w:i/>
          <w:iCs/>
          <w:lang w:val="en-US"/>
        </w:rPr>
        <w:t>Reuters</w:t>
      </w:r>
      <w:r w:rsidRPr="00D03E3C">
        <w:rPr>
          <w:lang w:val="en-US"/>
        </w:rPr>
        <w:t xml:space="preserve">. [online] 7 Maya. Available at: </w:t>
      </w:r>
      <w:hyperlink r:id="rId32" w:history="1">
        <w:r w:rsidR="00B056D6" w:rsidRPr="00075707">
          <w:rPr>
            <w:rStyle w:val="Hyperlink"/>
            <w:lang w:val="en-US"/>
          </w:rPr>
          <w:t>https://www.reuters.com/sustainability/decarbonizing-industries/digging-zero-inside-race-decarbonise-mining-2025-05-07/</w:t>
        </w:r>
      </w:hyperlink>
      <w:r w:rsidR="00B056D6">
        <w:rPr>
          <w:lang w:val="en-US"/>
        </w:rPr>
        <w:t xml:space="preserve"> </w:t>
      </w:r>
      <w:r w:rsidRPr="00D03E3C">
        <w:rPr>
          <w:lang w:val="en-US"/>
        </w:rPr>
        <w:t xml:space="preserve"> [Accessed 10 July 2026].</w:t>
      </w:r>
    </w:p>
    <w:p w14:paraId="15B3EDFF" w14:textId="25ADF456" w:rsidR="00400457" w:rsidRPr="00D03E3C" w:rsidRDefault="00400457" w:rsidP="00D03E3C">
      <w:pPr>
        <w:spacing w:line="360" w:lineRule="auto"/>
        <w:rPr>
          <w:lang w:val="en-US"/>
        </w:rPr>
      </w:pPr>
      <w:r w:rsidRPr="00D03E3C">
        <w:rPr>
          <w:lang w:val="en-US"/>
        </w:rPr>
        <w:t xml:space="preserve">Reuters (2025b). </w:t>
      </w:r>
      <w:r w:rsidRPr="00D03E3C">
        <w:rPr>
          <w:i/>
          <w:iCs/>
          <w:lang w:val="en-US"/>
        </w:rPr>
        <w:t>India plans steps to counter rising copper supply risks</w:t>
      </w:r>
      <w:r w:rsidRPr="00D03E3C">
        <w:rPr>
          <w:lang w:val="en-US"/>
        </w:rPr>
        <w:t xml:space="preserve">. [online] Reuters. Available at: </w:t>
      </w:r>
      <w:hyperlink r:id="rId33" w:history="1">
        <w:r w:rsidR="00454CCE" w:rsidRPr="00075707">
          <w:rPr>
            <w:rStyle w:val="Hyperlink"/>
            <w:lang w:val="en-US"/>
          </w:rPr>
          <w:t>https://www.reuters.com/world/china/india-plans-steps-counter-rising-copper-supply-risks-2025-06-25</w:t>
        </w:r>
      </w:hyperlink>
      <w:r w:rsidR="00454CCE">
        <w:rPr>
          <w:lang w:val="en-US"/>
        </w:rPr>
        <w:t xml:space="preserve"> </w:t>
      </w:r>
      <w:r w:rsidRPr="00D03E3C">
        <w:rPr>
          <w:lang w:val="en-US"/>
        </w:rPr>
        <w:t xml:space="preserve"> [Accessed 22 July 2026].</w:t>
      </w:r>
    </w:p>
    <w:p w14:paraId="32BE025D" w14:textId="7D658109" w:rsidR="00400457" w:rsidRPr="00D03E3C" w:rsidRDefault="00400457" w:rsidP="00D03E3C">
      <w:pPr>
        <w:spacing w:line="360" w:lineRule="auto"/>
        <w:rPr>
          <w:lang w:val="en-US"/>
        </w:rPr>
      </w:pPr>
      <w:r w:rsidRPr="00D03E3C">
        <w:rPr>
          <w:lang w:val="en-US"/>
        </w:rPr>
        <w:t xml:space="preserve">Reuters (2026). EU countries give final approval to weaken company sustainability laws. </w:t>
      </w:r>
      <w:r w:rsidRPr="00D03E3C">
        <w:rPr>
          <w:i/>
          <w:iCs/>
          <w:lang w:val="en-US"/>
        </w:rPr>
        <w:t>Reuters</w:t>
      </w:r>
      <w:r w:rsidRPr="00D03E3C">
        <w:rPr>
          <w:lang w:val="en-US"/>
        </w:rPr>
        <w:t xml:space="preserve">. [online] 24 Feb. Available at: </w:t>
      </w:r>
      <w:hyperlink r:id="rId34" w:history="1">
        <w:r w:rsidR="006B61C1" w:rsidRPr="00075707">
          <w:rPr>
            <w:rStyle w:val="Hyperlink"/>
            <w:lang w:val="en-US"/>
          </w:rPr>
          <w:t>https://www.reuters.com/sustainability/boards-policy-regulation/eu-countries-give-final-approval-weaken-company-sustainability-laws-2026-02-24/</w:t>
        </w:r>
      </w:hyperlink>
      <w:r w:rsidR="006B61C1">
        <w:rPr>
          <w:lang w:val="en-US"/>
        </w:rPr>
        <w:t xml:space="preserve"> </w:t>
      </w:r>
      <w:r w:rsidRPr="00D03E3C">
        <w:rPr>
          <w:lang w:val="en-US"/>
        </w:rPr>
        <w:t xml:space="preserve"> [Accessed 15 July 2026].</w:t>
      </w:r>
    </w:p>
    <w:p w14:paraId="3E6D8280" w14:textId="180A30BF" w:rsidR="00400457" w:rsidRPr="00D03E3C" w:rsidRDefault="00400457" w:rsidP="00D03E3C">
      <w:pPr>
        <w:spacing w:line="360" w:lineRule="auto"/>
        <w:rPr>
          <w:lang w:val="en-US"/>
        </w:rPr>
      </w:pPr>
      <w:r w:rsidRPr="00D03E3C">
        <w:rPr>
          <w:lang w:val="en-US"/>
        </w:rPr>
        <w:t xml:space="preserve">Solomon, D.B. and Denina, C. (2025). Rio </w:t>
      </w:r>
      <w:proofErr w:type="spellStart"/>
      <w:r w:rsidRPr="00D03E3C">
        <w:rPr>
          <w:lang w:val="en-US"/>
        </w:rPr>
        <w:t>tinto’s</w:t>
      </w:r>
      <w:proofErr w:type="spellEnd"/>
      <w:r w:rsidRPr="00D03E3C">
        <w:rPr>
          <w:lang w:val="en-US"/>
        </w:rPr>
        <w:t xml:space="preserve"> </w:t>
      </w:r>
      <w:proofErr w:type="spellStart"/>
      <w:r w:rsidRPr="00D03E3C">
        <w:rPr>
          <w:lang w:val="en-US"/>
        </w:rPr>
        <w:t>chile</w:t>
      </w:r>
      <w:proofErr w:type="spellEnd"/>
      <w:r w:rsidRPr="00D03E3C">
        <w:rPr>
          <w:lang w:val="en-US"/>
        </w:rPr>
        <w:t xml:space="preserve"> deals bet on unproven technology and lithium price bounce. </w:t>
      </w:r>
      <w:r w:rsidRPr="00D03E3C">
        <w:rPr>
          <w:i/>
          <w:iCs/>
          <w:lang w:val="en-US"/>
        </w:rPr>
        <w:t>Reuters</w:t>
      </w:r>
      <w:r w:rsidRPr="00D03E3C">
        <w:rPr>
          <w:lang w:val="en-US"/>
        </w:rPr>
        <w:t xml:space="preserve">. [online] 22 May. Available at: </w:t>
      </w:r>
      <w:hyperlink r:id="rId35" w:history="1">
        <w:r w:rsidR="008B3A32" w:rsidRPr="00075707">
          <w:rPr>
            <w:rStyle w:val="Hyperlink"/>
            <w:lang w:val="en-US"/>
          </w:rPr>
          <w:t>https://www.reuters.com/world/americas/rio-tintos-chile-deal-is-bet-unproven-tech-lithium-price-bounce-2025-05-21/</w:t>
        </w:r>
      </w:hyperlink>
      <w:r w:rsidR="008B3A32">
        <w:rPr>
          <w:lang w:val="en-US"/>
        </w:rPr>
        <w:t xml:space="preserve"> </w:t>
      </w:r>
      <w:r w:rsidRPr="00D03E3C">
        <w:rPr>
          <w:lang w:val="en-US"/>
        </w:rPr>
        <w:t xml:space="preserve"> [Accessed 7 July 2026].</w:t>
      </w:r>
    </w:p>
    <w:p w14:paraId="0A3444BE" w14:textId="235B5C16" w:rsidR="00400457" w:rsidRPr="00D03E3C" w:rsidRDefault="00400457" w:rsidP="00D03E3C">
      <w:pPr>
        <w:spacing w:line="360" w:lineRule="auto"/>
        <w:rPr>
          <w:lang w:val="en-US"/>
        </w:rPr>
      </w:pPr>
      <w:r w:rsidRPr="00D03E3C">
        <w:rPr>
          <w:lang w:val="en-US"/>
        </w:rPr>
        <w:t xml:space="preserve">The London Metal Exchange (2025). </w:t>
      </w:r>
      <w:r w:rsidRPr="00D03E3C">
        <w:rPr>
          <w:i/>
          <w:iCs/>
          <w:lang w:val="en-US"/>
        </w:rPr>
        <w:t xml:space="preserve">LME insight </w:t>
      </w:r>
      <w:proofErr w:type="gramStart"/>
      <w:r w:rsidRPr="00D03E3C">
        <w:rPr>
          <w:i/>
          <w:iCs/>
          <w:lang w:val="en-US"/>
        </w:rPr>
        <w:t>launch</w:t>
      </w:r>
      <w:proofErr w:type="gramEnd"/>
      <w:r w:rsidRPr="00D03E3C">
        <w:rPr>
          <w:i/>
          <w:iCs/>
          <w:lang w:val="en-US"/>
        </w:rPr>
        <w:t xml:space="preserve"> paves way for establishment of sustainable metal premium pricing | </w:t>
      </w:r>
      <w:proofErr w:type="spellStart"/>
      <w:r w:rsidRPr="00D03E3C">
        <w:rPr>
          <w:i/>
          <w:iCs/>
          <w:lang w:val="en-US"/>
        </w:rPr>
        <w:t>london</w:t>
      </w:r>
      <w:proofErr w:type="spellEnd"/>
      <w:r w:rsidRPr="00D03E3C">
        <w:rPr>
          <w:i/>
          <w:iCs/>
          <w:lang w:val="en-US"/>
        </w:rPr>
        <w:t xml:space="preserve"> metal exchange</w:t>
      </w:r>
      <w:r w:rsidRPr="00D03E3C">
        <w:rPr>
          <w:lang w:val="en-US"/>
        </w:rPr>
        <w:t xml:space="preserve">. [online] </w:t>
      </w:r>
      <w:proofErr w:type="spellStart"/>
      <w:r w:rsidRPr="00D03E3C">
        <w:rPr>
          <w:lang w:val="en-US"/>
        </w:rPr>
        <w:t>Lme</w:t>
      </w:r>
      <w:proofErr w:type="spellEnd"/>
      <w:r w:rsidRPr="00D03E3C">
        <w:rPr>
          <w:lang w:val="en-US"/>
        </w:rPr>
        <w:t xml:space="preserve">. Available at: </w:t>
      </w:r>
      <w:hyperlink r:id="rId36" w:history="1">
        <w:r w:rsidR="008B3A32" w:rsidRPr="00075707">
          <w:rPr>
            <w:rStyle w:val="Hyperlink"/>
            <w:lang w:val="en-US"/>
          </w:rPr>
          <w:t>https://www.lme.com/news/press-releases/2026/lme-insight-launch-paves-way-for-establishment-of-sustainable-metal-premium-pricing</w:t>
        </w:r>
      </w:hyperlink>
      <w:r w:rsidR="008B3A32">
        <w:rPr>
          <w:lang w:val="en-US"/>
        </w:rPr>
        <w:t xml:space="preserve"> </w:t>
      </w:r>
      <w:r w:rsidRPr="00D03E3C">
        <w:rPr>
          <w:lang w:val="en-US"/>
        </w:rPr>
        <w:t xml:space="preserve"> [Accessed 8 July 2026].</w:t>
      </w:r>
    </w:p>
    <w:p w14:paraId="123DD124" w14:textId="22973F2B" w:rsidR="00400457" w:rsidRPr="00D03E3C" w:rsidRDefault="00400457" w:rsidP="00D03E3C">
      <w:pPr>
        <w:spacing w:line="360" w:lineRule="auto"/>
        <w:rPr>
          <w:lang w:val="en-US"/>
        </w:rPr>
      </w:pPr>
      <w:r w:rsidRPr="00D03E3C">
        <w:rPr>
          <w:lang w:val="en-US"/>
        </w:rPr>
        <w:t xml:space="preserve">UNFCC (2026). [online] </w:t>
      </w:r>
      <w:r w:rsidRPr="00D03E3C">
        <w:rPr>
          <w:i/>
          <w:iCs/>
          <w:lang w:val="en-US"/>
        </w:rPr>
        <w:t>Unfccc.int</w:t>
      </w:r>
      <w:r w:rsidRPr="00D03E3C">
        <w:rPr>
          <w:lang w:val="en-US"/>
        </w:rPr>
        <w:t xml:space="preserve">. Available at: </w:t>
      </w:r>
      <w:hyperlink r:id="rId37" w:history="1">
        <w:r w:rsidR="008B3A32" w:rsidRPr="00075707">
          <w:rPr>
            <w:rStyle w:val="Hyperlink"/>
            <w:lang w:val="en-US"/>
          </w:rPr>
          <w:t>https://unfccc.int/node/649954</w:t>
        </w:r>
      </w:hyperlink>
      <w:r w:rsidR="008B3A32">
        <w:rPr>
          <w:lang w:val="en-US"/>
        </w:rPr>
        <w:t xml:space="preserve"> </w:t>
      </w:r>
      <w:r w:rsidRPr="00D03E3C">
        <w:rPr>
          <w:lang w:val="en-US"/>
        </w:rPr>
        <w:t xml:space="preserve"> [Accessed 12 July 2026].</w:t>
      </w:r>
    </w:p>
    <w:p w14:paraId="688D1AAE" w14:textId="77777777" w:rsidR="00400457" w:rsidRPr="00D03E3C" w:rsidRDefault="00400457" w:rsidP="00D03E3C">
      <w:pPr>
        <w:spacing w:line="360" w:lineRule="auto"/>
        <w:rPr>
          <w:lang w:val="en-US"/>
        </w:rPr>
      </w:pPr>
      <w:r w:rsidRPr="00D03E3C">
        <w:rPr>
          <w:lang w:val="en-US"/>
        </w:rPr>
        <w:t xml:space="preserve">Zhang, A. and Seuring, S. (2024). Digital product passport for sustainable and circular supply chain management: A structured review of use cases. </w:t>
      </w:r>
      <w:r w:rsidRPr="00D03E3C">
        <w:rPr>
          <w:i/>
          <w:iCs/>
          <w:lang w:val="en-US"/>
        </w:rPr>
        <w:t xml:space="preserve">International journal of </w:t>
      </w:r>
      <w:r w:rsidRPr="00D03E3C">
        <w:rPr>
          <w:i/>
          <w:iCs/>
          <w:lang w:val="en-US"/>
        </w:rPr>
        <w:lastRenderedPageBreak/>
        <w:t>Logistics research and applications</w:t>
      </w:r>
      <w:r w:rsidRPr="00D03E3C">
        <w:rPr>
          <w:lang w:val="en-US"/>
        </w:rPr>
        <w:t>, 27(12), pp.1–28. doi:10.1080/13675567.2024.2374256.</w:t>
      </w:r>
    </w:p>
    <w:p w14:paraId="2235BB5E" w14:textId="77777777" w:rsidR="00D73B1E" w:rsidRDefault="00D73B1E"/>
    <w:sectPr w:rsidR="00D73B1E" w:rsidSect="00ED3AAC">
      <w:footerReference w:type="default" r:id="rId3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E33A46" w14:textId="77777777" w:rsidR="00E22957" w:rsidRDefault="00E22957" w:rsidP="00AA1AF7">
      <w:pPr>
        <w:spacing w:after="0" w:line="240" w:lineRule="auto"/>
      </w:pPr>
      <w:r>
        <w:separator/>
      </w:r>
    </w:p>
  </w:endnote>
  <w:endnote w:type="continuationSeparator" w:id="0">
    <w:p w14:paraId="772BFCEC" w14:textId="77777777" w:rsidR="00E22957" w:rsidRDefault="00E22957" w:rsidP="00AA1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cs="Arial"/>
        <w:szCs w:val="24"/>
      </w:rPr>
      <w:id w:val="-1548059656"/>
      <w:docPartObj>
        <w:docPartGallery w:val="Page Numbers (Bottom of Page)"/>
        <w:docPartUnique/>
      </w:docPartObj>
    </w:sdtPr>
    <w:sdtEndPr/>
    <w:sdtContent>
      <w:p w14:paraId="517CA66D" w14:textId="27FDE241" w:rsidR="00ED3AAC" w:rsidRPr="00ED3AAC" w:rsidRDefault="00ED3AAC">
        <w:pPr>
          <w:pStyle w:val="Footer"/>
          <w:jc w:val="right"/>
          <w:rPr>
            <w:rFonts w:cs="Arial"/>
            <w:szCs w:val="24"/>
          </w:rPr>
        </w:pPr>
        <w:r w:rsidRPr="00ED3AAC">
          <w:rPr>
            <w:rFonts w:cs="Arial"/>
            <w:szCs w:val="24"/>
          </w:rPr>
          <w:t xml:space="preserve">Page | </w:t>
        </w:r>
        <w:r w:rsidRPr="00ED3AAC">
          <w:rPr>
            <w:rFonts w:cs="Arial"/>
            <w:szCs w:val="24"/>
          </w:rPr>
          <w:fldChar w:fldCharType="begin"/>
        </w:r>
        <w:r w:rsidRPr="00ED3AAC">
          <w:rPr>
            <w:rFonts w:cs="Arial"/>
            <w:szCs w:val="24"/>
          </w:rPr>
          <w:instrText xml:space="preserve"> PAGE   \* MERGEFORMAT </w:instrText>
        </w:r>
        <w:r w:rsidRPr="00ED3AAC">
          <w:rPr>
            <w:rFonts w:cs="Arial"/>
            <w:szCs w:val="24"/>
          </w:rPr>
          <w:fldChar w:fldCharType="separate"/>
        </w:r>
        <w:r w:rsidRPr="00ED3AAC">
          <w:rPr>
            <w:rFonts w:cs="Arial"/>
            <w:noProof/>
            <w:szCs w:val="24"/>
          </w:rPr>
          <w:t>2</w:t>
        </w:r>
        <w:r w:rsidRPr="00ED3AAC">
          <w:rPr>
            <w:rFonts w:cs="Arial"/>
            <w:noProof/>
            <w:szCs w:val="24"/>
          </w:rPr>
          <w:fldChar w:fldCharType="end"/>
        </w:r>
        <w:r w:rsidRPr="00ED3AAC">
          <w:rPr>
            <w:rFonts w:cs="Arial"/>
            <w:szCs w:val="24"/>
          </w:rPr>
          <w:t xml:space="preserve"> </w:t>
        </w:r>
      </w:p>
    </w:sdtContent>
  </w:sdt>
  <w:p w14:paraId="05E6BE2A" w14:textId="77777777" w:rsidR="00ED3AAC" w:rsidRDefault="00ED3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BD2497" w14:textId="77777777" w:rsidR="00E22957" w:rsidRDefault="00E22957" w:rsidP="00AA1AF7">
      <w:pPr>
        <w:spacing w:after="0" w:line="240" w:lineRule="auto"/>
      </w:pPr>
      <w:r>
        <w:separator/>
      </w:r>
    </w:p>
  </w:footnote>
  <w:footnote w:type="continuationSeparator" w:id="0">
    <w:p w14:paraId="20FA79D8" w14:textId="77777777" w:rsidR="00E22957" w:rsidRDefault="00E22957" w:rsidP="00AA1A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925062"/>
    <w:multiLevelType w:val="hybridMultilevel"/>
    <w:tmpl w:val="02966F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58512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7CD"/>
    <w:rsid w:val="000067C6"/>
    <w:rsid w:val="00025AF9"/>
    <w:rsid w:val="00044516"/>
    <w:rsid w:val="00047B49"/>
    <w:rsid w:val="000531A0"/>
    <w:rsid w:val="000619CB"/>
    <w:rsid w:val="00082A49"/>
    <w:rsid w:val="00085264"/>
    <w:rsid w:val="0008660E"/>
    <w:rsid w:val="000B1721"/>
    <w:rsid w:val="000B2315"/>
    <w:rsid w:val="000D03F9"/>
    <w:rsid w:val="00101467"/>
    <w:rsid w:val="001065F6"/>
    <w:rsid w:val="0011384E"/>
    <w:rsid w:val="0016232A"/>
    <w:rsid w:val="001911A0"/>
    <w:rsid w:val="0019450D"/>
    <w:rsid w:val="001A448B"/>
    <w:rsid w:val="001C0F64"/>
    <w:rsid w:val="002348E3"/>
    <w:rsid w:val="00240342"/>
    <w:rsid w:val="0024568E"/>
    <w:rsid w:val="00253B54"/>
    <w:rsid w:val="00262C0D"/>
    <w:rsid w:val="002667A0"/>
    <w:rsid w:val="002717EC"/>
    <w:rsid w:val="00295717"/>
    <w:rsid w:val="002B697D"/>
    <w:rsid w:val="002C7BC1"/>
    <w:rsid w:val="002F03C6"/>
    <w:rsid w:val="003217CD"/>
    <w:rsid w:val="003457CC"/>
    <w:rsid w:val="0038020E"/>
    <w:rsid w:val="003802F7"/>
    <w:rsid w:val="00396EE9"/>
    <w:rsid w:val="003C0B1B"/>
    <w:rsid w:val="003E3EA1"/>
    <w:rsid w:val="003E50C7"/>
    <w:rsid w:val="00400457"/>
    <w:rsid w:val="00433476"/>
    <w:rsid w:val="00441396"/>
    <w:rsid w:val="00445CFD"/>
    <w:rsid w:val="00454CCE"/>
    <w:rsid w:val="00472548"/>
    <w:rsid w:val="00483FB6"/>
    <w:rsid w:val="004B5182"/>
    <w:rsid w:val="005053CA"/>
    <w:rsid w:val="00575AFC"/>
    <w:rsid w:val="005B4E37"/>
    <w:rsid w:val="005C721C"/>
    <w:rsid w:val="005F7A53"/>
    <w:rsid w:val="0065597F"/>
    <w:rsid w:val="006827B2"/>
    <w:rsid w:val="0068456C"/>
    <w:rsid w:val="00692BF7"/>
    <w:rsid w:val="006A319E"/>
    <w:rsid w:val="006B61C1"/>
    <w:rsid w:val="006C0806"/>
    <w:rsid w:val="006F7110"/>
    <w:rsid w:val="00710F98"/>
    <w:rsid w:val="00733CF4"/>
    <w:rsid w:val="00783929"/>
    <w:rsid w:val="007850BD"/>
    <w:rsid w:val="007C2D04"/>
    <w:rsid w:val="007F0654"/>
    <w:rsid w:val="007F26C5"/>
    <w:rsid w:val="008250BD"/>
    <w:rsid w:val="00847901"/>
    <w:rsid w:val="0088210B"/>
    <w:rsid w:val="008A1D20"/>
    <w:rsid w:val="008B3A32"/>
    <w:rsid w:val="008B7B9D"/>
    <w:rsid w:val="008E5435"/>
    <w:rsid w:val="00914F7B"/>
    <w:rsid w:val="0091536C"/>
    <w:rsid w:val="0093661B"/>
    <w:rsid w:val="0094006C"/>
    <w:rsid w:val="009515A9"/>
    <w:rsid w:val="009607DA"/>
    <w:rsid w:val="009A7466"/>
    <w:rsid w:val="009F5B28"/>
    <w:rsid w:val="009F5B4F"/>
    <w:rsid w:val="00A178BC"/>
    <w:rsid w:val="00A20C00"/>
    <w:rsid w:val="00A3432B"/>
    <w:rsid w:val="00A368FF"/>
    <w:rsid w:val="00A51672"/>
    <w:rsid w:val="00A63BA2"/>
    <w:rsid w:val="00AA1AF7"/>
    <w:rsid w:val="00AA59A8"/>
    <w:rsid w:val="00AB6585"/>
    <w:rsid w:val="00AC2098"/>
    <w:rsid w:val="00AD01B0"/>
    <w:rsid w:val="00AE059C"/>
    <w:rsid w:val="00B055ED"/>
    <w:rsid w:val="00B056D6"/>
    <w:rsid w:val="00B220A3"/>
    <w:rsid w:val="00B23F55"/>
    <w:rsid w:val="00B33765"/>
    <w:rsid w:val="00B34255"/>
    <w:rsid w:val="00B376DC"/>
    <w:rsid w:val="00B42052"/>
    <w:rsid w:val="00B43F02"/>
    <w:rsid w:val="00BA39EE"/>
    <w:rsid w:val="00C23A77"/>
    <w:rsid w:val="00C342DF"/>
    <w:rsid w:val="00C45176"/>
    <w:rsid w:val="00C53120"/>
    <w:rsid w:val="00C56130"/>
    <w:rsid w:val="00C62259"/>
    <w:rsid w:val="00C62D17"/>
    <w:rsid w:val="00C66754"/>
    <w:rsid w:val="00C75716"/>
    <w:rsid w:val="00D03E3C"/>
    <w:rsid w:val="00D33AF9"/>
    <w:rsid w:val="00D73B1E"/>
    <w:rsid w:val="00D7578D"/>
    <w:rsid w:val="00D87176"/>
    <w:rsid w:val="00DA33C4"/>
    <w:rsid w:val="00DA3AD3"/>
    <w:rsid w:val="00DA7CB9"/>
    <w:rsid w:val="00DE1099"/>
    <w:rsid w:val="00E11D80"/>
    <w:rsid w:val="00E22957"/>
    <w:rsid w:val="00E2598B"/>
    <w:rsid w:val="00E821FB"/>
    <w:rsid w:val="00EA3A8B"/>
    <w:rsid w:val="00ED3AAC"/>
    <w:rsid w:val="00ED3EF0"/>
    <w:rsid w:val="00EF4A9E"/>
    <w:rsid w:val="00F0433A"/>
    <w:rsid w:val="00F239E0"/>
    <w:rsid w:val="00F24A99"/>
    <w:rsid w:val="00F35308"/>
    <w:rsid w:val="00F51929"/>
    <w:rsid w:val="00F51CEC"/>
    <w:rsid w:val="00F53835"/>
    <w:rsid w:val="00F57515"/>
    <w:rsid w:val="00F81EAA"/>
    <w:rsid w:val="00FA59A7"/>
    <w:rsid w:val="00FB1A87"/>
    <w:rsid w:val="00FB3881"/>
    <w:rsid w:val="00FC26ED"/>
    <w:rsid w:val="00FC532A"/>
    <w:rsid w:val="00FD773C"/>
    <w:rsid w:val="00FE49B5"/>
    <w:rsid w:val="00FF7ED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8B68B"/>
  <w15:chartTrackingRefBased/>
  <w15:docId w15:val="{396448CC-467E-4AC3-AE68-C335BE380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F7B"/>
    <w:pPr>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914F7B"/>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914F7B"/>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E11D80"/>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3217CD"/>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3217CD"/>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3217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17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17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17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4F7B"/>
    <w:rPr>
      <w:rFonts w:ascii="Arial" w:eastAsiaTheme="majorEastAsia" w:hAnsi="Arial" w:cstheme="majorBidi"/>
      <w:b/>
      <w:color w:val="000000" w:themeColor="text1"/>
      <w:sz w:val="24"/>
      <w:szCs w:val="40"/>
    </w:rPr>
  </w:style>
  <w:style w:type="character" w:customStyle="1" w:styleId="Heading2Char">
    <w:name w:val="Heading 2 Char"/>
    <w:basedOn w:val="DefaultParagraphFont"/>
    <w:link w:val="Heading2"/>
    <w:uiPriority w:val="9"/>
    <w:rsid w:val="00914F7B"/>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rsid w:val="00E11D80"/>
    <w:rPr>
      <w:rFonts w:ascii="Arial" w:eastAsiaTheme="majorEastAsia" w:hAnsi="Arial" w:cstheme="majorBidi"/>
      <w:b/>
      <w:color w:val="000000" w:themeColor="text1"/>
      <w:sz w:val="24"/>
      <w:szCs w:val="28"/>
      <w:lang w:val="en-GB"/>
    </w:rPr>
  </w:style>
  <w:style w:type="character" w:customStyle="1" w:styleId="Heading4Char">
    <w:name w:val="Heading 4 Char"/>
    <w:basedOn w:val="DefaultParagraphFont"/>
    <w:link w:val="Heading4"/>
    <w:uiPriority w:val="9"/>
    <w:semiHidden/>
    <w:rsid w:val="003217CD"/>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3217CD"/>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3217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17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17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17CD"/>
    <w:rPr>
      <w:rFonts w:eastAsiaTheme="majorEastAsia" w:cstheme="majorBidi"/>
      <w:color w:val="272727" w:themeColor="text1" w:themeTint="D8"/>
    </w:rPr>
  </w:style>
  <w:style w:type="paragraph" w:styleId="Title">
    <w:name w:val="Title"/>
    <w:basedOn w:val="Normal"/>
    <w:next w:val="Normal"/>
    <w:link w:val="TitleChar"/>
    <w:uiPriority w:val="10"/>
    <w:qFormat/>
    <w:rsid w:val="003217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17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17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17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17CD"/>
    <w:pPr>
      <w:spacing w:before="160"/>
      <w:jc w:val="center"/>
    </w:pPr>
    <w:rPr>
      <w:i/>
      <w:iCs/>
      <w:color w:val="404040" w:themeColor="text1" w:themeTint="BF"/>
    </w:rPr>
  </w:style>
  <w:style w:type="character" w:customStyle="1" w:styleId="QuoteChar">
    <w:name w:val="Quote Char"/>
    <w:basedOn w:val="DefaultParagraphFont"/>
    <w:link w:val="Quote"/>
    <w:uiPriority w:val="29"/>
    <w:rsid w:val="003217CD"/>
    <w:rPr>
      <w:i/>
      <w:iCs/>
      <w:color w:val="404040" w:themeColor="text1" w:themeTint="BF"/>
    </w:rPr>
  </w:style>
  <w:style w:type="paragraph" w:styleId="ListParagraph">
    <w:name w:val="List Paragraph"/>
    <w:basedOn w:val="Normal"/>
    <w:uiPriority w:val="34"/>
    <w:qFormat/>
    <w:rsid w:val="003217CD"/>
    <w:pPr>
      <w:ind w:left="720"/>
      <w:contextualSpacing/>
    </w:pPr>
  </w:style>
  <w:style w:type="character" w:styleId="IntenseEmphasis">
    <w:name w:val="Intense Emphasis"/>
    <w:basedOn w:val="DefaultParagraphFont"/>
    <w:uiPriority w:val="21"/>
    <w:qFormat/>
    <w:rsid w:val="003217CD"/>
    <w:rPr>
      <w:i/>
      <w:iCs/>
      <w:color w:val="2E74B5" w:themeColor="accent1" w:themeShade="BF"/>
    </w:rPr>
  </w:style>
  <w:style w:type="paragraph" w:styleId="IntenseQuote">
    <w:name w:val="Intense Quote"/>
    <w:basedOn w:val="Normal"/>
    <w:next w:val="Normal"/>
    <w:link w:val="IntenseQuoteChar"/>
    <w:uiPriority w:val="30"/>
    <w:qFormat/>
    <w:rsid w:val="003217CD"/>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217CD"/>
    <w:rPr>
      <w:i/>
      <w:iCs/>
      <w:color w:val="2E74B5" w:themeColor="accent1" w:themeShade="BF"/>
    </w:rPr>
  </w:style>
  <w:style w:type="character" w:styleId="IntenseReference">
    <w:name w:val="Intense Reference"/>
    <w:basedOn w:val="DefaultParagraphFont"/>
    <w:uiPriority w:val="32"/>
    <w:qFormat/>
    <w:rsid w:val="003217CD"/>
    <w:rPr>
      <w:b/>
      <w:bCs/>
      <w:smallCaps/>
      <w:color w:val="2E74B5" w:themeColor="accent1" w:themeShade="BF"/>
      <w:spacing w:val="5"/>
    </w:rPr>
  </w:style>
  <w:style w:type="character" w:styleId="Hyperlink">
    <w:name w:val="Hyperlink"/>
    <w:basedOn w:val="DefaultParagraphFont"/>
    <w:uiPriority w:val="99"/>
    <w:unhideWhenUsed/>
    <w:rsid w:val="00085264"/>
    <w:rPr>
      <w:color w:val="0563C1" w:themeColor="hyperlink"/>
      <w:u w:val="single"/>
    </w:rPr>
  </w:style>
  <w:style w:type="character" w:styleId="UnresolvedMention">
    <w:name w:val="Unresolved Mention"/>
    <w:basedOn w:val="DefaultParagraphFont"/>
    <w:uiPriority w:val="99"/>
    <w:semiHidden/>
    <w:unhideWhenUsed/>
    <w:rsid w:val="00085264"/>
    <w:rPr>
      <w:color w:val="605E5C"/>
      <w:shd w:val="clear" w:color="auto" w:fill="E1DFDD"/>
    </w:rPr>
  </w:style>
  <w:style w:type="paragraph" w:styleId="TOCHeading">
    <w:name w:val="TOC Heading"/>
    <w:basedOn w:val="Heading1"/>
    <w:next w:val="Normal"/>
    <w:uiPriority w:val="39"/>
    <w:unhideWhenUsed/>
    <w:qFormat/>
    <w:rsid w:val="00AA1AF7"/>
    <w:pPr>
      <w:spacing w:before="240" w:after="0"/>
      <w:jc w:val="left"/>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AA1AF7"/>
    <w:pPr>
      <w:spacing w:after="100"/>
    </w:pPr>
  </w:style>
  <w:style w:type="paragraph" w:styleId="TOC2">
    <w:name w:val="toc 2"/>
    <w:basedOn w:val="Normal"/>
    <w:next w:val="Normal"/>
    <w:autoRedefine/>
    <w:uiPriority w:val="39"/>
    <w:unhideWhenUsed/>
    <w:rsid w:val="00AA1AF7"/>
    <w:pPr>
      <w:spacing w:after="100"/>
      <w:ind w:left="240"/>
    </w:pPr>
  </w:style>
  <w:style w:type="paragraph" w:styleId="TOC3">
    <w:name w:val="toc 3"/>
    <w:basedOn w:val="Normal"/>
    <w:next w:val="Normal"/>
    <w:autoRedefine/>
    <w:uiPriority w:val="39"/>
    <w:unhideWhenUsed/>
    <w:rsid w:val="00AA1AF7"/>
    <w:pPr>
      <w:spacing w:after="100"/>
      <w:ind w:left="480"/>
    </w:pPr>
  </w:style>
  <w:style w:type="paragraph" w:styleId="Header">
    <w:name w:val="header"/>
    <w:basedOn w:val="Normal"/>
    <w:link w:val="HeaderChar"/>
    <w:uiPriority w:val="99"/>
    <w:unhideWhenUsed/>
    <w:rsid w:val="00AA1A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1AF7"/>
    <w:rPr>
      <w:rFonts w:ascii="Arial" w:hAnsi="Arial"/>
      <w:color w:val="000000" w:themeColor="text1"/>
      <w:sz w:val="24"/>
      <w:lang w:val="en-GB"/>
    </w:rPr>
  </w:style>
  <w:style w:type="paragraph" w:styleId="Footer">
    <w:name w:val="footer"/>
    <w:basedOn w:val="Normal"/>
    <w:link w:val="FooterChar"/>
    <w:uiPriority w:val="99"/>
    <w:unhideWhenUsed/>
    <w:rsid w:val="00AA1A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AF7"/>
    <w:rPr>
      <w:rFonts w:ascii="Arial" w:hAnsi="Arial"/>
      <w:color w:val="000000" w:themeColor="text1"/>
      <w:sz w:val="24"/>
      <w:lang w:val="en-GB"/>
    </w:rPr>
  </w:style>
  <w:style w:type="paragraph" w:styleId="NormalWeb">
    <w:name w:val="Normal (Web)"/>
    <w:basedOn w:val="Normal"/>
    <w:uiPriority w:val="99"/>
    <w:semiHidden/>
    <w:unhideWhenUsed/>
    <w:rsid w:val="00F53835"/>
    <w:rPr>
      <w:rFonts w:ascii="Times New Roman" w:hAnsi="Times New Roman" w:cs="Times New Roman"/>
      <w:szCs w:val="24"/>
    </w:rPr>
  </w:style>
  <w:style w:type="character" w:styleId="FollowedHyperlink">
    <w:name w:val="FollowedHyperlink"/>
    <w:basedOn w:val="DefaultParagraphFont"/>
    <w:uiPriority w:val="99"/>
    <w:semiHidden/>
    <w:unhideWhenUsed/>
    <w:rsid w:val="00483FB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codelco.com/en/codelco-completa-su-programa-de-financiamiento-climatico-asegurando" TargetMode="External"/><Relationship Id="rId26" Type="http://schemas.openxmlformats.org/officeDocument/2006/relationships/hyperlink" Target="https://www.gob.cl/en/news/a-milestone-in-chiles-environmental-history-from-today-we-have-our-first-framework-law-on-climate-change/?utm_source=chatgpt.com" TargetMode="External"/><Relationship Id="rId39" Type="http://schemas.openxmlformats.org/officeDocument/2006/relationships/fontTable" Target="fontTable.xml"/><Relationship Id="rId21" Type="http://schemas.openxmlformats.org/officeDocument/2006/relationships/hyperlink" Target="https://www.codelco.com/en/codelco-y-hexagon-firman-acuerdo-para-desarrollar-e-implementar" TargetMode="External"/><Relationship Id="rId34" Type="http://schemas.openxmlformats.org/officeDocument/2006/relationships/hyperlink" Target="https://www.reuters.com/sustainability/boards-policy-regulation/eu-countries-give-final-approval-weaken-company-sustainability-laws-2026-02-24/"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odelco.com/en/codelco-suscribio-dos-contratos-de-suministro-electrico-con-energias" TargetMode="External"/><Relationship Id="rId25" Type="http://schemas.openxmlformats.org/officeDocument/2006/relationships/hyperlink" Target="https://single-market-economy.ec.europa.eu/single-market/digital-product-passport/batteries_en" TargetMode="External"/><Relationship Id="rId33" Type="http://schemas.openxmlformats.org/officeDocument/2006/relationships/hyperlink" Target="https://www.reuters.com/world/china/india-plans-steps-counter-rising-copper-supply-risks-2025-06-25"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reuters.com/business/energy/chiles-codelco-expects-flat-copper-output-coming-years-chairman-says-2026-07-15/" TargetMode="External"/><Relationship Id="rId20" Type="http://schemas.openxmlformats.org/officeDocument/2006/relationships/hyperlink" Target="https://www.codelco.com/en/prensa/2025/codelco-elige-a-rio-tinto-como-socio-para-el-desarrollo-de-proyecto-de" TargetMode="External"/><Relationship Id="rId29" Type="http://schemas.openxmlformats.org/officeDocument/2006/relationships/hyperlink" Target="https://www.kitco.com/news/off-the-wire/2025-10-16/codelco-hikes-2026-european-copper-premium-record-345-tonn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ingle-market-economy.ec.europa.eu/sectors/raw-materials/areas-specific-interest/critical-raw-materials/strategic-projects-under-crma/selected-projects_en" TargetMode="External"/><Relationship Id="rId32" Type="http://schemas.openxmlformats.org/officeDocument/2006/relationships/hyperlink" Target="https://www.reuters.com/sustainability/decarbonizing-industries/digging-zero-inside-race-decarbonise-mining-2025-05-07/" TargetMode="External"/><Relationship Id="rId37" Type="http://schemas.openxmlformats.org/officeDocument/2006/relationships/hyperlink" Target="https://unfccc.int/node/649954"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euters.com/world/china/india-plans-steps-counter-rising-copper-supply-risks%20-%202025-06-25" TargetMode="External"/><Relationship Id="rId23" Type="http://schemas.openxmlformats.org/officeDocument/2006/relationships/hyperlink" Target="https://climatepolicydatabase.org/policies/mining-sector-mitigation-and-adaptation-plan" TargetMode="External"/><Relationship Id="rId28" Type="http://schemas.openxmlformats.org/officeDocument/2006/relationships/hyperlink" Target="https://www.investing.com/news/stock-market-news/chiles-codelco-to-supply-copper-concentrate-to-indias-adani-groupowned-smelter-3961754" TargetMode="External"/><Relationship Id="rId36" Type="http://schemas.openxmlformats.org/officeDocument/2006/relationships/hyperlink" Target="https://www.lme.com/news/press-releases/2026/lme-insight-launch-paves-way-for-establishment-of-sustainable-metal-premium-pricing" TargetMode="External"/><Relationship Id="rId10" Type="http://schemas.openxmlformats.org/officeDocument/2006/relationships/image" Target="media/image3.png"/><Relationship Id="rId19" Type="http://schemas.openxmlformats.org/officeDocument/2006/relationships/hyperlink" Target="https://www.codelco.com/en/prensa/2025/codelco-lanza-su-primer-reporte-de-cambio-climatico-y-consolida-su" TargetMode="External"/><Relationship Id="rId31" Type="http://schemas.openxmlformats.org/officeDocument/2006/relationships/hyperlink" Target="https://www.reuters.com/sustainability/decarbonizing-industries/digging-zero-inside-race-decarbonise-mining-2025-05-0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uters.com/sustainability/boards-policy-regulation/eu-countries-give-final-approval-weaken-company-sustainability-laws-2026-02-24" TargetMode="External"/><Relationship Id="rId22" Type="http://schemas.openxmlformats.org/officeDocument/2006/relationships/hyperlink" Target="https://www.codelco.com/en/prensa/2026/codelco-lanza-hoja-de-ruta-de-economia-circular-con-meta-de-valorizar-el" TargetMode="External"/><Relationship Id="rId27" Type="http://schemas.openxmlformats.org/officeDocument/2006/relationships/hyperlink" Target="https://internationalcopper.org/resource/ica-carbon-footprint-of-copper-production-2nd-edition/?utm_source=chatgpt.com" TargetMode="External"/><Relationship Id="rId30" Type="http://schemas.openxmlformats.org/officeDocument/2006/relationships/hyperlink" Target="https://www.oecd.org/en/publications/oecd-economic-surveys-chile-2025_efad96ce-en/full-report/achieving-a-green-transition-for-a-more-prosperous-chile_8d16ca39.html" TargetMode="External"/><Relationship Id="rId35" Type="http://schemas.openxmlformats.org/officeDocument/2006/relationships/hyperlink" Target="https://www.reuters.com/world/americas/rio-tintos-chile-deal-is-bet-unproven-tech-lithium-price-bounce-2025-05-21/"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6E6CE3-266A-4785-B0B4-A4465942CC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19</Pages>
  <Words>4836</Words>
  <Characters>27571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mt360daysservice@gmail.com</dc:creator>
  <cp:keywords/>
  <dc:description/>
  <cp:lastModifiedBy>Nauman Khatri</cp:lastModifiedBy>
  <cp:revision>2</cp:revision>
  <dcterms:created xsi:type="dcterms:W3CDTF">2026-07-24T11:36:00Z</dcterms:created>
  <dcterms:modified xsi:type="dcterms:W3CDTF">2026-07-24T11:36:00Z</dcterms:modified>
</cp:coreProperties>
</file>