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AD819" w14:textId="77777777" w:rsidR="0039369E" w:rsidRPr="0039369E" w:rsidRDefault="0039369E" w:rsidP="0039369E">
      <w:pPr>
        <w:jc w:val="center"/>
        <w:rPr>
          <w:b/>
          <w:sz w:val="48"/>
        </w:rPr>
      </w:pPr>
      <w:r w:rsidRPr="0039369E">
        <w:rPr>
          <w:b/>
          <w:sz w:val="48"/>
        </w:rPr>
        <w:t>BA Business Management (BABM)</w:t>
      </w:r>
    </w:p>
    <w:p w14:paraId="1450F13B" w14:textId="77777777" w:rsidR="0039369E" w:rsidRPr="0039369E" w:rsidRDefault="0039369E" w:rsidP="0039369E">
      <w:pPr>
        <w:jc w:val="center"/>
        <w:rPr>
          <w:b/>
          <w:sz w:val="40"/>
        </w:rPr>
      </w:pPr>
      <w:r w:rsidRPr="0039369E">
        <w:rPr>
          <w:b/>
          <w:sz w:val="40"/>
        </w:rPr>
        <w:t>Accounting Fundamentals</w:t>
      </w:r>
    </w:p>
    <w:p w14:paraId="0043161E" w14:textId="77777777" w:rsidR="0039369E" w:rsidRPr="0039369E" w:rsidRDefault="0039369E" w:rsidP="0039369E">
      <w:pPr>
        <w:jc w:val="center"/>
        <w:rPr>
          <w:i/>
          <w:sz w:val="40"/>
        </w:rPr>
      </w:pPr>
      <w:r>
        <w:rPr>
          <w:i/>
          <w:sz w:val="40"/>
        </w:rPr>
        <w:t>(</w:t>
      </w:r>
      <w:r w:rsidRPr="0039369E">
        <w:rPr>
          <w:i/>
          <w:sz w:val="40"/>
        </w:rPr>
        <w:t>LCBB4001</w:t>
      </w:r>
      <w:r>
        <w:rPr>
          <w:i/>
          <w:sz w:val="40"/>
        </w:rPr>
        <w:t>)</w:t>
      </w:r>
    </w:p>
    <w:p w14:paraId="28B41A6C" w14:textId="77777777" w:rsidR="0039369E" w:rsidRDefault="0039369E" w:rsidP="0039369E">
      <w:pPr>
        <w:jc w:val="center"/>
        <w:rPr>
          <w:sz w:val="40"/>
        </w:rPr>
      </w:pPr>
    </w:p>
    <w:p w14:paraId="20666A71" w14:textId="77777777" w:rsidR="0039369E" w:rsidRDefault="0039369E" w:rsidP="0039369E">
      <w:pPr>
        <w:jc w:val="center"/>
        <w:rPr>
          <w:sz w:val="40"/>
        </w:rPr>
      </w:pPr>
    </w:p>
    <w:p w14:paraId="140E44AC" w14:textId="77777777" w:rsidR="0039369E" w:rsidRPr="0039369E" w:rsidRDefault="0039369E" w:rsidP="0039369E">
      <w:pPr>
        <w:jc w:val="center"/>
        <w:rPr>
          <w:sz w:val="40"/>
        </w:rPr>
      </w:pPr>
    </w:p>
    <w:p w14:paraId="026D493D" w14:textId="77777777" w:rsidR="0039369E" w:rsidRDefault="0039369E" w:rsidP="0039369E">
      <w:pPr>
        <w:jc w:val="center"/>
        <w:rPr>
          <w:b/>
          <w:sz w:val="72"/>
        </w:rPr>
      </w:pPr>
      <w:r w:rsidRPr="0039369E">
        <w:rPr>
          <w:b/>
          <w:sz w:val="72"/>
        </w:rPr>
        <w:t>Assignment-A1</w:t>
      </w:r>
    </w:p>
    <w:p w14:paraId="359F58F7" w14:textId="77777777" w:rsidR="0039369E" w:rsidRDefault="0039369E" w:rsidP="0039369E">
      <w:pPr>
        <w:jc w:val="center"/>
        <w:rPr>
          <w:b/>
          <w:sz w:val="72"/>
        </w:rPr>
      </w:pPr>
    </w:p>
    <w:p w14:paraId="3D24D13A" w14:textId="77777777" w:rsidR="0039369E" w:rsidRDefault="0039369E" w:rsidP="0039369E">
      <w:pPr>
        <w:jc w:val="center"/>
        <w:rPr>
          <w:b/>
          <w:sz w:val="72"/>
        </w:rPr>
      </w:pPr>
    </w:p>
    <w:p w14:paraId="487B7237" w14:textId="77777777" w:rsidR="0039369E" w:rsidRDefault="0039369E" w:rsidP="0039369E">
      <w:pPr>
        <w:jc w:val="center"/>
        <w:rPr>
          <w:b/>
          <w:sz w:val="72"/>
        </w:rPr>
      </w:pPr>
    </w:p>
    <w:p w14:paraId="42D98125" w14:textId="77777777" w:rsidR="0039369E" w:rsidRDefault="0039369E" w:rsidP="0039369E"/>
    <w:p w14:paraId="2D3C4820" w14:textId="20EB5DEC" w:rsidR="0039369E" w:rsidRDefault="0039369E" w:rsidP="0039369E">
      <w:r>
        <w:t xml:space="preserve">Student Name: </w:t>
      </w:r>
      <w:r w:rsidR="001070F6">
        <w:t>Alexandru Baractaru</w:t>
      </w:r>
    </w:p>
    <w:p w14:paraId="7CA7CBBD" w14:textId="6238F4C5" w:rsidR="0039369E" w:rsidRDefault="0039369E" w:rsidP="0039369E">
      <w:r>
        <w:t xml:space="preserve">Student ID: </w:t>
      </w:r>
      <w:r w:rsidR="001070F6">
        <w:t>21229397</w:t>
      </w:r>
    </w:p>
    <w:p w14:paraId="7ADB19EC" w14:textId="2160F2A1" w:rsidR="001070F6" w:rsidRDefault="001070F6" w:rsidP="0039369E">
      <w:r>
        <w:t>Lecturer:</w:t>
      </w:r>
      <w:r w:rsidRPr="001070F6">
        <w:t xml:space="preserve"> </w:t>
      </w:r>
      <w:r>
        <w:t>Thomas Adeyemi</w:t>
      </w:r>
    </w:p>
    <w:p w14:paraId="4C4002E0" w14:textId="686DC6F9" w:rsidR="00721B61" w:rsidRDefault="00721B61">
      <w:pPr>
        <w:spacing w:line="259" w:lineRule="auto"/>
        <w:jc w:val="left"/>
      </w:pPr>
    </w:p>
    <w:sdt>
      <w:sdtPr>
        <w:rPr>
          <w:rFonts w:ascii="Times New Roman" w:eastAsiaTheme="minorHAnsi" w:hAnsi="Times New Roman" w:cstheme="minorBidi"/>
          <w:color w:val="auto"/>
          <w:sz w:val="24"/>
          <w:szCs w:val="22"/>
          <w:lang w:val="en-GB"/>
        </w:rPr>
        <w:id w:val="2106998458"/>
        <w:docPartObj>
          <w:docPartGallery w:val="Table of Contents"/>
          <w:docPartUnique/>
        </w:docPartObj>
      </w:sdtPr>
      <w:sdtEndPr>
        <w:rPr>
          <w:b/>
          <w:bCs/>
          <w:noProof/>
        </w:rPr>
      </w:sdtEndPr>
      <w:sdtContent>
        <w:p w14:paraId="4EBB36E6" w14:textId="77777777" w:rsidR="00721B61" w:rsidRDefault="00721B61">
          <w:pPr>
            <w:pStyle w:val="TOCHeading"/>
          </w:pPr>
          <w:r>
            <w:t>Table of Contents</w:t>
          </w:r>
        </w:p>
        <w:p w14:paraId="7F35E221" w14:textId="77777777" w:rsidR="00721B61" w:rsidRDefault="00721B61">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33687979" w:history="1">
            <w:r w:rsidRPr="007B3FE8">
              <w:rPr>
                <w:rStyle w:val="Hyperlink"/>
                <w:noProof/>
              </w:rPr>
              <w:t>Answer to the Question No. 1 (a)</w:t>
            </w:r>
            <w:r>
              <w:rPr>
                <w:noProof/>
                <w:webHidden/>
              </w:rPr>
              <w:tab/>
            </w:r>
            <w:r>
              <w:rPr>
                <w:noProof/>
                <w:webHidden/>
              </w:rPr>
              <w:fldChar w:fldCharType="begin"/>
            </w:r>
            <w:r>
              <w:rPr>
                <w:noProof/>
                <w:webHidden/>
              </w:rPr>
              <w:instrText xml:space="preserve"> PAGEREF _Toc133687979 \h </w:instrText>
            </w:r>
            <w:r>
              <w:rPr>
                <w:noProof/>
                <w:webHidden/>
              </w:rPr>
            </w:r>
            <w:r>
              <w:rPr>
                <w:noProof/>
                <w:webHidden/>
              </w:rPr>
              <w:fldChar w:fldCharType="separate"/>
            </w:r>
            <w:r>
              <w:rPr>
                <w:noProof/>
                <w:webHidden/>
              </w:rPr>
              <w:t>3</w:t>
            </w:r>
            <w:r>
              <w:rPr>
                <w:noProof/>
                <w:webHidden/>
              </w:rPr>
              <w:fldChar w:fldCharType="end"/>
            </w:r>
          </w:hyperlink>
        </w:p>
        <w:p w14:paraId="5130FE41" w14:textId="77777777" w:rsidR="00721B61" w:rsidRDefault="00000000">
          <w:pPr>
            <w:pStyle w:val="TOC1"/>
            <w:tabs>
              <w:tab w:val="right" w:leader="dot" w:pos="9350"/>
            </w:tabs>
            <w:rPr>
              <w:noProof/>
            </w:rPr>
          </w:pPr>
          <w:hyperlink w:anchor="_Toc133687980" w:history="1">
            <w:r w:rsidR="00721B61" w:rsidRPr="007B3FE8">
              <w:rPr>
                <w:rStyle w:val="Hyperlink"/>
                <w:noProof/>
              </w:rPr>
              <w:t>Answer to the Question No. 1 (b)</w:t>
            </w:r>
            <w:r w:rsidR="00721B61">
              <w:rPr>
                <w:noProof/>
                <w:webHidden/>
              </w:rPr>
              <w:tab/>
            </w:r>
            <w:r w:rsidR="00721B61">
              <w:rPr>
                <w:noProof/>
                <w:webHidden/>
              </w:rPr>
              <w:fldChar w:fldCharType="begin"/>
            </w:r>
            <w:r w:rsidR="00721B61">
              <w:rPr>
                <w:noProof/>
                <w:webHidden/>
              </w:rPr>
              <w:instrText xml:space="preserve"> PAGEREF _Toc133687980 \h </w:instrText>
            </w:r>
            <w:r w:rsidR="00721B61">
              <w:rPr>
                <w:noProof/>
                <w:webHidden/>
              </w:rPr>
            </w:r>
            <w:r w:rsidR="00721B61">
              <w:rPr>
                <w:noProof/>
                <w:webHidden/>
              </w:rPr>
              <w:fldChar w:fldCharType="separate"/>
            </w:r>
            <w:r w:rsidR="00721B61">
              <w:rPr>
                <w:noProof/>
                <w:webHidden/>
              </w:rPr>
              <w:t>5</w:t>
            </w:r>
            <w:r w:rsidR="00721B61">
              <w:rPr>
                <w:noProof/>
                <w:webHidden/>
              </w:rPr>
              <w:fldChar w:fldCharType="end"/>
            </w:r>
          </w:hyperlink>
        </w:p>
        <w:p w14:paraId="5F96DD9A" w14:textId="77777777" w:rsidR="00721B61" w:rsidRDefault="00000000">
          <w:pPr>
            <w:pStyle w:val="TOC1"/>
            <w:tabs>
              <w:tab w:val="right" w:leader="dot" w:pos="9350"/>
            </w:tabs>
            <w:rPr>
              <w:noProof/>
            </w:rPr>
          </w:pPr>
          <w:hyperlink w:anchor="_Toc133687981" w:history="1">
            <w:r w:rsidR="00721B61" w:rsidRPr="007B3FE8">
              <w:rPr>
                <w:rStyle w:val="Hyperlink"/>
                <w:noProof/>
              </w:rPr>
              <w:t>Answer to the Question No. 2 (a)</w:t>
            </w:r>
            <w:r w:rsidR="00721B61">
              <w:rPr>
                <w:noProof/>
                <w:webHidden/>
              </w:rPr>
              <w:tab/>
            </w:r>
            <w:r w:rsidR="00721B61">
              <w:rPr>
                <w:noProof/>
                <w:webHidden/>
              </w:rPr>
              <w:fldChar w:fldCharType="begin"/>
            </w:r>
            <w:r w:rsidR="00721B61">
              <w:rPr>
                <w:noProof/>
                <w:webHidden/>
              </w:rPr>
              <w:instrText xml:space="preserve"> PAGEREF _Toc133687981 \h </w:instrText>
            </w:r>
            <w:r w:rsidR="00721B61">
              <w:rPr>
                <w:noProof/>
                <w:webHidden/>
              </w:rPr>
            </w:r>
            <w:r w:rsidR="00721B61">
              <w:rPr>
                <w:noProof/>
                <w:webHidden/>
              </w:rPr>
              <w:fldChar w:fldCharType="separate"/>
            </w:r>
            <w:r w:rsidR="00721B61">
              <w:rPr>
                <w:noProof/>
                <w:webHidden/>
              </w:rPr>
              <w:t>6</w:t>
            </w:r>
            <w:r w:rsidR="00721B61">
              <w:rPr>
                <w:noProof/>
                <w:webHidden/>
              </w:rPr>
              <w:fldChar w:fldCharType="end"/>
            </w:r>
          </w:hyperlink>
        </w:p>
        <w:p w14:paraId="39C03C8E" w14:textId="77777777" w:rsidR="00721B61" w:rsidRDefault="00000000">
          <w:pPr>
            <w:pStyle w:val="TOC1"/>
            <w:tabs>
              <w:tab w:val="right" w:leader="dot" w:pos="9350"/>
            </w:tabs>
            <w:rPr>
              <w:noProof/>
            </w:rPr>
          </w:pPr>
          <w:hyperlink w:anchor="_Toc133687982" w:history="1">
            <w:r w:rsidR="00721B61" w:rsidRPr="007B3FE8">
              <w:rPr>
                <w:rStyle w:val="Hyperlink"/>
                <w:noProof/>
              </w:rPr>
              <w:t>Answer to the Question No. 2 (b)</w:t>
            </w:r>
            <w:r w:rsidR="00721B61">
              <w:rPr>
                <w:noProof/>
                <w:webHidden/>
              </w:rPr>
              <w:tab/>
            </w:r>
            <w:r w:rsidR="00721B61">
              <w:rPr>
                <w:noProof/>
                <w:webHidden/>
              </w:rPr>
              <w:fldChar w:fldCharType="begin"/>
            </w:r>
            <w:r w:rsidR="00721B61">
              <w:rPr>
                <w:noProof/>
                <w:webHidden/>
              </w:rPr>
              <w:instrText xml:space="preserve"> PAGEREF _Toc133687982 \h </w:instrText>
            </w:r>
            <w:r w:rsidR="00721B61">
              <w:rPr>
                <w:noProof/>
                <w:webHidden/>
              </w:rPr>
            </w:r>
            <w:r w:rsidR="00721B61">
              <w:rPr>
                <w:noProof/>
                <w:webHidden/>
              </w:rPr>
              <w:fldChar w:fldCharType="separate"/>
            </w:r>
            <w:r w:rsidR="00721B61">
              <w:rPr>
                <w:noProof/>
                <w:webHidden/>
              </w:rPr>
              <w:t>10</w:t>
            </w:r>
            <w:r w:rsidR="00721B61">
              <w:rPr>
                <w:noProof/>
                <w:webHidden/>
              </w:rPr>
              <w:fldChar w:fldCharType="end"/>
            </w:r>
          </w:hyperlink>
        </w:p>
        <w:p w14:paraId="1EDFE4BC" w14:textId="77777777" w:rsidR="00721B61" w:rsidRDefault="00000000">
          <w:pPr>
            <w:pStyle w:val="TOC1"/>
            <w:tabs>
              <w:tab w:val="right" w:leader="dot" w:pos="9350"/>
            </w:tabs>
            <w:rPr>
              <w:noProof/>
            </w:rPr>
          </w:pPr>
          <w:hyperlink w:anchor="_Toc133687983" w:history="1">
            <w:r w:rsidR="00721B61" w:rsidRPr="007B3FE8">
              <w:rPr>
                <w:rStyle w:val="Hyperlink"/>
                <w:noProof/>
              </w:rPr>
              <w:t>Reference:</w:t>
            </w:r>
            <w:r w:rsidR="00721B61">
              <w:rPr>
                <w:noProof/>
                <w:webHidden/>
              </w:rPr>
              <w:tab/>
            </w:r>
            <w:r w:rsidR="00721B61">
              <w:rPr>
                <w:noProof/>
                <w:webHidden/>
              </w:rPr>
              <w:fldChar w:fldCharType="begin"/>
            </w:r>
            <w:r w:rsidR="00721B61">
              <w:rPr>
                <w:noProof/>
                <w:webHidden/>
              </w:rPr>
              <w:instrText xml:space="preserve"> PAGEREF _Toc133687983 \h </w:instrText>
            </w:r>
            <w:r w:rsidR="00721B61">
              <w:rPr>
                <w:noProof/>
                <w:webHidden/>
              </w:rPr>
            </w:r>
            <w:r w:rsidR="00721B61">
              <w:rPr>
                <w:noProof/>
                <w:webHidden/>
              </w:rPr>
              <w:fldChar w:fldCharType="separate"/>
            </w:r>
            <w:r w:rsidR="00721B61">
              <w:rPr>
                <w:noProof/>
                <w:webHidden/>
              </w:rPr>
              <w:t>11</w:t>
            </w:r>
            <w:r w:rsidR="00721B61">
              <w:rPr>
                <w:noProof/>
                <w:webHidden/>
              </w:rPr>
              <w:fldChar w:fldCharType="end"/>
            </w:r>
          </w:hyperlink>
        </w:p>
        <w:p w14:paraId="0E56CF46" w14:textId="77777777" w:rsidR="00721B61" w:rsidRDefault="00721B61" w:rsidP="00721B61">
          <w:pPr>
            <w:rPr>
              <w:b/>
              <w:bCs/>
              <w:noProof/>
            </w:rPr>
          </w:pPr>
          <w:r>
            <w:rPr>
              <w:b/>
              <w:bCs/>
              <w:noProof/>
            </w:rPr>
            <w:fldChar w:fldCharType="end"/>
          </w:r>
        </w:p>
      </w:sdtContent>
    </w:sdt>
    <w:p w14:paraId="335A7524" w14:textId="77777777" w:rsidR="00721B61" w:rsidRDefault="00721B61" w:rsidP="00721B61"/>
    <w:p w14:paraId="304CAF36" w14:textId="77777777" w:rsidR="00721B61" w:rsidRDefault="00721B61">
      <w:pPr>
        <w:spacing w:line="259" w:lineRule="auto"/>
        <w:jc w:val="left"/>
      </w:pPr>
      <w:r>
        <w:br w:type="page"/>
      </w:r>
    </w:p>
    <w:p w14:paraId="08EA68E3" w14:textId="77777777" w:rsidR="00721B61" w:rsidRDefault="00721B61" w:rsidP="00721B61"/>
    <w:p w14:paraId="23C67DC5" w14:textId="77777777" w:rsidR="00721B61" w:rsidRDefault="00721B61" w:rsidP="00721B61"/>
    <w:p w14:paraId="10D3B5FA" w14:textId="77777777" w:rsidR="0039369E" w:rsidRDefault="0039369E" w:rsidP="0039369E"/>
    <w:p w14:paraId="24F8EF45" w14:textId="77777777" w:rsidR="0039369E" w:rsidRDefault="0039369E" w:rsidP="0039369E">
      <w:pPr>
        <w:pStyle w:val="Heading1"/>
      </w:pPr>
      <w:bookmarkStart w:id="0" w:name="_Toc133687979"/>
      <w:r>
        <w:t>Answer to the Question No. 1 (a)</w:t>
      </w:r>
      <w:bookmarkEnd w:id="0"/>
    </w:p>
    <w:p w14:paraId="7CFFED6C" w14:textId="77777777" w:rsidR="0039369E" w:rsidRDefault="0039369E" w:rsidP="0039369E"/>
    <w:p w14:paraId="014453C1" w14:textId="77777777" w:rsidR="0039369E" w:rsidRPr="0039369E" w:rsidRDefault="0039369E" w:rsidP="0039369E">
      <w:pPr>
        <w:jc w:val="center"/>
      </w:pPr>
      <w:r w:rsidRPr="0039369E">
        <w:t>Wales Plc</w:t>
      </w:r>
      <w:r w:rsidRPr="0039369E">
        <w:cr/>
      </w:r>
      <w:r w:rsidRPr="0039369E">
        <w:tab/>
        <w:t>Income Statements</w:t>
      </w:r>
      <w:r w:rsidRPr="0039369E">
        <w:tab/>
      </w:r>
      <w:r w:rsidRPr="0039369E">
        <w:cr/>
        <w:t>The Year Ended 31st December</w:t>
      </w:r>
      <w:r>
        <w:t xml:space="preserve"> 2022</w:t>
      </w:r>
    </w:p>
    <w:tbl>
      <w:tblPr>
        <w:tblpPr w:leftFromText="180" w:rightFromText="180" w:vertAnchor="text" w:horzAnchor="margin" w:tblpXSpec="center" w:tblpY="408"/>
        <w:tblOverlap w:val="never"/>
        <w:tblW w:w="7775" w:type="dxa"/>
        <w:tblLook w:val="04A0" w:firstRow="1" w:lastRow="0" w:firstColumn="1" w:lastColumn="0" w:noHBand="0" w:noVBand="1"/>
      </w:tblPr>
      <w:tblGrid>
        <w:gridCol w:w="3695"/>
        <w:gridCol w:w="1360"/>
        <w:gridCol w:w="1360"/>
        <w:gridCol w:w="1360"/>
      </w:tblGrid>
      <w:tr w:rsidR="0039369E" w:rsidRPr="008C3194" w14:paraId="3BB0E88F" w14:textId="77777777" w:rsidTr="0039369E">
        <w:trPr>
          <w:trHeight w:val="288"/>
        </w:trPr>
        <w:tc>
          <w:tcPr>
            <w:tcW w:w="36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4DCEFB" w14:textId="77777777" w:rsidR="0039369E" w:rsidRPr="008C3194" w:rsidRDefault="0039369E" w:rsidP="0039369E">
            <w:pPr>
              <w:spacing w:after="0" w:line="240" w:lineRule="auto"/>
              <w:jc w:val="left"/>
              <w:rPr>
                <w:rFonts w:ascii="Calibri" w:eastAsia="Times New Roman" w:hAnsi="Calibri" w:cs="Calibri"/>
                <w:b/>
                <w:color w:val="000000"/>
                <w:sz w:val="22"/>
                <w:lang w:eastAsia="en-GB"/>
              </w:rPr>
            </w:pPr>
            <w:r w:rsidRPr="008C3194">
              <w:rPr>
                <w:rFonts w:ascii="Calibri" w:eastAsia="Times New Roman" w:hAnsi="Calibri" w:cs="Calibri"/>
                <w:b/>
                <w:color w:val="000000"/>
                <w:sz w:val="22"/>
                <w:lang w:eastAsia="en-GB"/>
              </w:rPr>
              <w:t>Particulars</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14:paraId="050A520C" w14:textId="77777777" w:rsidR="0039369E" w:rsidRPr="008C3194" w:rsidRDefault="0039369E" w:rsidP="0039369E">
            <w:pPr>
              <w:spacing w:after="0" w:line="240" w:lineRule="auto"/>
              <w:jc w:val="left"/>
              <w:rPr>
                <w:rFonts w:ascii="Calibri" w:eastAsia="Times New Roman" w:hAnsi="Calibri" w:cs="Calibri"/>
                <w:b/>
                <w:color w:val="000000"/>
                <w:sz w:val="22"/>
                <w:lang w:eastAsia="en-GB"/>
              </w:rPr>
            </w:pPr>
            <w:r w:rsidRPr="008C3194">
              <w:rPr>
                <w:rFonts w:ascii="Calibri" w:eastAsia="Times New Roman" w:hAnsi="Calibri" w:cs="Calibri"/>
                <w:b/>
                <w:color w:val="000000"/>
                <w:sz w:val="22"/>
                <w:lang w:eastAsia="en-GB"/>
              </w:rPr>
              <w:t xml:space="preserve">Amount </w:t>
            </w:r>
            <w:r w:rsidRPr="00AC2AF8">
              <w:rPr>
                <w:rFonts w:ascii="Calibri" w:eastAsia="Times New Roman" w:hAnsi="Calibri" w:cs="Calibri"/>
                <w:b/>
                <w:color w:val="000000"/>
                <w:sz w:val="22"/>
                <w:lang w:eastAsia="en-GB"/>
              </w:rPr>
              <w:t>(</w:t>
            </w:r>
            <w:r w:rsidRPr="008C3194">
              <w:rPr>
                <w:rFonts w:ascii="Calibri" w:eastAsia="Times New Roman" w:hAnsi="Calibri" w:cs="Calibri"/>
                <w:b/>
                <w:color w:val="000000"/>
                <w:sz w:val="22"/>
                <w:lang w:eastAsia="en-GB"/>
              </w:rPr>
              <w:t>£</w:t>
            </w:r>
            <w:r w:rsidRPr="00AC2AF8">
              <w:rPr>
                <w:rFonts w:ascii="Calibri" w:eastAsia="Times New Roman" w:hAnsi="Calibri" w:cs="Calibri"/>
                <w:b/>
                <w:color w:val="000000"/>
                <w:sz w:val="22"/>
                <w:lang w:eastAsia="en-GB"/>
              </w:rPr>
              <w:t>)</w:t>
            </w:r>
          </w:p>
        </w:tc>
        <w:tc>
          <w:tcPr>
            <w:tcW w:w="1360" w:type="dxa"/>
            <w:tcBorders>
              <w:top w:val="single" w:sz="4" w:space="0" w:color="auto"/>
              <w:left w:val="nil"/>
              <w:bottom w:val="single" w:sz="4" w:space="0" w:color="auto"/>
              <w:right w:val="single" w:sz="4" w:space="0" w:color="auto"/>
            </w:tcBorders>
          </w:tcPr>
          <w:p w14:paraId="77FA53AF" w14:textId="77777777" w:rsidR="0039369E" w:rsidRPr="00AC2AF8" w:rsidRDefault="0039369E" w:rsidP="0039369E">
            <w:pPr>
              <w:spacing w:after="0" w:line="240" w:lineRule="auto"/>
              <w:jc w:val="left"/>
              <w:rPr>
                <w:rFonts w:ascii="Calibri" w:eastAsia="Times New Roman" w:hAnsi="Calibri" w:cs="Calibri"/>
                <w:b/>
                <w:color w:val="000000"/>
                <w:sz w:val="22"/>
                <w:lang w:eastAsia="en-GB"/>
              </w:rPr>
            </w:pPr>
            <w:r w:rsidRPr="008C3194">
              <w:rPr>
                <w:rFonts w:ascii="Calibri" w:eastAsia="Times New Roman" w:hAnsi="Calibri" w:cs="Calibri"/>
                <w:b/>
                <w:color w:val="000000"/>
                <w:sz w:val="22"/>
                <w:lang w:eastAsia="en-GB"/>
              </w:rPr>
              <w:t xml:space="preserve">Amount </w:t>
            </w:r>
            <w:r w:rsidRPr="00AC2AF8">
              <w:rPr>
                <w:rFonts w:ascii="Calibri" w:eastAsia="Times New Roman" w:hAnsi="Calibri" w:cs="Calibri"/>
                <w:b/>
                <w:color w:val="000000"/>
                <w:sz w:val="22"/>
                <w:lang w:eastAsia="en-GB"/>
              </w:rPr>
              <w:t>(</w:t>
            </w:r>
            <w:r w:rsidRPr="008C3194">
              <w:rPr>
                <w:rFonts w:ascii="Calibri" w:eastAsia="Times New Roman" w:hAnsi="Calibri" w:cs="Calibri"/>
                <w:b/>
                <w:color w:val="000000"/>
                <w:sz w:val="22"/>
                <w:lang w:eastAsia="en-GB"/>
              </w:rPr>
              <w:t>£</w:t>
            </w:r>
            <w:r w:rsidRPr="00AC2AF8">
              <w:rPr>
                <w:rFonts w:ascii="Calibri" w:eastAsia="Times New Roman" w:hAnsi="Calibri" w:cs="Calibri"/>
                <w:b/>
                <w:color w:val="000000"/>
                <w:sz w:val="22"/>
                <w:lang w:eastAsia="en-GB"/>
              </w:rPr>
              <w:t>)</w:t>
            </w:r>
          </w:p>
        </w:tc>
        <w:tc>
          <w:tcPr>
            <w:tcW w:w="1360" w:type="dxa"/>
            <w:tcBorders>
              <w:top w:val="single" w:sz="4" w:space="0" w:color="auto"/>
              <w:left w:val="single" w:sz="4" w:space="0" w:color="auto"/>
              <w:bottom w:val="single" w:sz="4" w:space="0" w:color="auto"/>
              <w:right w:val="single" w:sz="4" w:space="0" w:color="auto"/>
            </w:tcBorders>
          </w:tcPr>
          <w:p w14:paraId="59696768" w14:textId="77777777" w:rsidR="0039369E" w:rsidRPr="00AC2AF8" w:rsidRDefault="0039369E" w:rsidP="0039369E">
            <w:pPr>
              <w:spacing w:after="0" w:line="240" w:lineRule="auto"/>
              <w:jc w:val="left"/>
              <w:rPr>
                <w:rFonts w:ascii="Calibri" w:eastAsia="Times New Roman" w:hAnsi="Calibri" w:cs="Calibri"/>
                <w:b/>
                <w:color w:val="000000"/>
                <w:sz w:val="22"/>
                <w:lang w:eastAsia="en-GB"/>
              </w:rPr>
            </w:pPr>
            <w:r w:rsidRPr="008C3194">
              <w:rPr>
                <w:rFonts w:ascii="Calibri" w:eastAsia="Times New Roman" w:hAnsi="Calibri" w:cs="Calibri"/>
                <w:b/>
                <w:color w:val="000000"/>
                <w:sz w:val="22"/>
                <w:lang w:eastAsia="en-GB"/>
              </w:rPr>
              <w:t xml:space="preserve">Amount </w:t>
            </w:r>
            <w:r w:rsidRPr="00AC2AF8">
              <w:rPr>
                <w:rFonts w:ascii="Calibri" w:eastAsia="Times New Roman" w:hAnsi="Calibri" w:cs="Calibri"/>
                <w:b/>
                <w:color w:val="000000"/>
                <w:sz w:val="22"/>
                <w:lang w:eastAsia="en-GB"/>
              </w:rPr>
              <w:t>(</w:t>
            </w:r>
            <w:r w:rsidRPr="008C3194">
              <w:rPr>
                <w:rFonts w:ascii="Calibri" w:eastAsia="Times New Roman" w:hAnsi="Calibri" w:cs="Calibri"/>
                <w:b/>
                <w:color w:val="000000"/>
                <w:sz w:val="22"/>
                <w:lang w:eastAsia="en-GB"/>
              </w:rPr>
              <w:t>£</w:t>
            </w:r>
            <w:r w:rsidRPr="00AC2AF8">
              <w:rPr>
                <w:rFonts w:ascii="Calibri" w:eastAsia="Times New Roman" w:hAnsi="Calibri" w:cs="Calibri"/>
                <w:b/>
                <w:color w:val="000000"/>
                <w:sz w:val="22"/>
                <w:lang w:eastAsia="en-GB"/>
              </w:rPr>
              <w:t>)</w:t>
            </w:r>
          </w:p>
        </w:tc>
      </w:tr>
      <w:tr w:rsidR="0039369E" w:rsidRPr="008C3194" w14:paraId="1201BACE" w14:textId="77777777" w:rsidTr="0039369E">
        <w:trPr>
          <w:trHeight w:val="288"/>
        </w:trPr>
        <w:tc>
          <w:tcPr>
            <w:tcW w:w="3695" w:type="dxa"/>
            <w:tcBorders>
              <w:top w:val="nil"/>
              <w:left w:val="single" w:sz="4" w:space="0" w:color="auto"/>
              <w:bottom w:val="single" w:sz="4" w:space="0" w:color="auto"/>
              <w:right w:val="single" w:sz="4" w:space="0" w:color="auto"/>
            </w:tcBorders>
            <w:shd w:val="clear" w:color="auto" w:fill="auto"/>
            <w:noWrap/>
            <w:vAlign w:val="bottom"/>
            <w:hideMark/>
          </w:tcPr>
          <w:p w14:paraId="0CD67F62" w14:textId="77777777" w:rsidR="0039369E" w:rsidRPr="008C3194" w:rsidRDefault="0039369E" w:rsidP="0039369E">
            <w:pPr>
              <w:spacing w:after="0" w:line="240" w:lineRule="auto"/>
              <w:jc w:val="lef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Sales</w:t>
            </w:r>
          </w:p>
        </w:tc>
        <w:tc>
          <w:tcPr>
            <w:tcW w:w="1360" w:type="dxa"/>
            <w:tcBorders>
              <w:top w:val="nil"/>
              <w:left w:val="nil"/>
              <w:bottom w:val="single" w:sz="4" w:space="0" w:color="auto"/>
              <w:right w:val="single" w:sz="4" w:space="0" w:color="auto"/>
            </w:tcBorders>
            <w:shd w:val="clear" w:color="auto" w:fill="auto"/>
            <w:noWrap/>
            <w:vAlign w:val="bottom"/>
            <w:hideMark/>
          </w:tcPr>
          <w:p w14:paraId="1BE18661"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r>
              <w:rPr>
                <w:rFonts w:ascii="Calibri" w:eastAsia="Times New Roman" w:hAnsi="Calibri" w:cs="Calibri"/>
                <w:color w:val="000000"/>
                <w:sz w:val="22"/>
                <w:lang w:eastAsia="en-GB"/>
              </w:rPr>
              <w:t xml:space="preserve"> </w:t>
            </w:r>
            <w:r w:rsidRPr="008C3194">
              <w:rPr>
                <w:rFonts w:ascii="Calibri" w:eastAsia="Times New Roman" w:hAnsi="Calibri" w:cs="Calibri"/>
                <w:color w:val="000000"/>
                <w:sz w:val="22"/>
                <w:lang w:eastAsia="en-GB"/>
              </w:rPr>
              <w:t>£</w:t>
            </w:r>
            <w:r>
              <w:rPr>
                <w:rFonts w:ascii="Calibri" w:eastAsia="Times New Roman" w:hAnsi="Calibri" w:cs="Calibri"/>
                <w:color w:val="000000"/>
                <w:sz w:val="22"/>
                <w:lang w:eastAsia="en-GB"/>
              </w:rPr>
              <w:t xml:space="preserve"> </w:t>
            </w:r>
            <w:r w:rsidRPr="008C3194">
              <w:rPr>
                <w:rFonts w:ascii="Calibri" w:eastAsia="Times New Roman" w:hAnsi="Calibri" w:cs="Calibri"/>
                <w:color w:val="000000"/>
                <w:sz w:val="22"/>
                <w:lang w:eastAsia="en-GB"/>
              </w:rPr>
              <w:t>8</w:t>
            </w:r>
            <w:r>
              <w:rPr>
                <w:rFonts w:ascii="Calibri" w:eastAsia="Times New Roman" w:hAnsi="Calibri" w:cs="Calibri"/>
                <w:color w:val="000000"/>
                <w:sz w:val="22"/>
                <w:lang w:eastAsia="en-GB"/>
              </w:rPr>
              <w:t>,</w:t>
            </w:r>
            <w:r w:rsidRPr="008C3194">
              <w:rPr>
                <w:rFonts w:ascii="Calibri" w:eastAsia="Times New Roman" w:hAnsi="Calibri" w:cs="Calibri"/>
                <w:color w:val="000000"/>
                <w:sz w:val="22"/>
                <w:lang w:eastAsia="en-GB"/>
              </w:rPr>
              <w:t>00</w:t>
            </w:r>
            <w:r>
              <w:rPr>
                <w:rFonts w:ascii="Calibri" w:eastAsia="Times New Roman" w:hAnsi="Calibri" w:cs="Calibri"/>
                <w:color w:val="000000"/>
                <w:sz w:val="22"/>
                <w:lang w:eastAsia="en-GB"/>
              </w:rPr>
              <w:t>,</w:t>
            </w:r>
            <w:r w:rsidRPr="008C3194">
              <w:rPr>
                <w:rFonts w:ascii="Calibri" w:eastAsia="Times New Roman" w:hAnsi="Calibri" w:cs="Calibri"/>
                <w:color w:val="000000"/>
                <w:sz w:val="22"/>
                <w:lang w:eastAsia="en-GB"/>
              </w:rPr>
              <w:t>000</w:t>
            </w:r>
          </w:p>
        </w:tc>
        <w:tc>
          <w:tcPr>
            <w:tcW w:w="1360" w:type="dxa"/>
            <w:tcBorders>
              <w:top w:val="single" w:sz="4" w:space="0" w:color="auto"/>
              <w:left w:val="nil"/>
              <w:bottom w:val="single" w:sz="4" w:space="0" w:color="auto"/>
              <w:right w:val="single" w:sz="4" w:space="0" w:color="auto"/>
            </w:tcBorders>
          </w:tcPr>
          <w:p w14:paraId="35ECFE6C" w14:textId="77777777" w:rsidR="0039369E" w:rsidRDefault="0039369E" w:rsidP="0039369E">
            <w:pPr>
              <w:spacing w:after="0" w:line="240" w:lineRule="auto"/>
              <w:jc w:val="right"/>
              <w:rPr>
                <w:rFonts w:ascii="Calibri" w:eastAsia="Times New Roman" w:hAnsi="Calibri" w:cs="Calibri"/>
                <w:color w:val="000000"/>
                <w:sz w:val="22"/>
                <w:lang w:eastAsia="en-GB"/>
              </w:rPr>
            </w:pPr>
          </w:p>
        </w:tc>
        <w:tc>
          <w:tcPr>
            <w:tcW w:w="1360" w:type="dxa"/>
            <w:tcBorders>
              <w:top w:val="nil"/>
              <w:left w:val="single" w:sz="4" w:space="0" w:color="auto"/>
              <w:bottom w:val="single" w:sz="4" w:space="0" w:color="auto"/>
              <w:right w:val="single" w:sz="4" w:space="0" w:color="auto"/>
            </w:tcBorders>
          </w:tcPr>
          <w:p w14:paraId="5FE93E23" w14:textId="77777777" w:rsidR="0039369E" w:rsidRDefault="0039369E" w:rsidP="0039369E">
            <w:pPr>
              <w:spacing w:after="0" w:line="240" w:lineRule="auto"/>
              <w:jc w:val="right"/>
              <w:rPr>
                <w:rFonts w:ascii="Calibri" w:eastAsia="Times New Roman" w:hAnsi="Calibri" w:cs="Calibri"/>
                <w:color w:val="000000"/>
                <w:sz w:val="22"/>
                <w:lang w:eastAsia="en-GB"/>
              </w:rPr>
            </w:pPr>
          </w:p>
        </w:tc>
      </w:tr>
      <w:tr w:rsidR="0039369E" w:rsidRPr="008C3194" w14:paraId="2A688E32" w14:textId="77777777" w:rsidTr="0039369E">
        <w:trPr>
          <w:trHeight w:val="288"/>
        </w:trPr>
        <w:tc>
          <w:tcPr>
            <w:tcW w:w="3695" w:type="dxa"/>
            <w:tcBorders>
              <w:top w:val="nil"/>
              <w:left w:val="single" w:sz="4" w:space="0" w:color="auto"/>
              <w:bottom w:val="single" w:sz="4" w:space="0" w:color="auto"/>
              <w:right w:val="single" w:sz="4" w:space="0" w:color="auto"/>
            </w:tcBorders>
            <w:shd w:val="clear" w:color="auto" w:fill="auto"/>
            <w:noWrap/>
            <w:vAlign w:val="bottom"/>
            <w:hideMark/>
          </w:tcPr>
          <w:p w14:paraId="67682E80" w14:textId="77777777" w:rsidR="0039369E" w:rsidRPr="008C3194" w:rsidRDefault="0039369E" w:rsidP="0039369E">
            <w:pPr>
              <w:spacing w:after="0" w:line="240" w:lineRule="auto"/>
              <w:jc w:val="lef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Cost of Sales</w:t>
            </w:r>
          </w:p>
        </w:tc>
        <w:tc>
          <w:tcPr>
            <w:tcW w:w="1360" w:type="dxa"/>
            <w:tcBorders>
              <w:top w:val="nil"/>
              <w:left w:val="nil"/>
              <w:bottom w:val="single" w:sz="4" w:space="0" w:color="auto"/>
              <w:right w:val="single" w:sz="4" w:space="0" w:color="auto"/>
            </w:tcBorders>
            <w:shd w:val="clear" w:color="auto" w:fill="auto"/>
            <w:noWrap/>
            <w:vAlign w:val="bottom"/>
            <w:hideMark/>
          </w:tcPr>
          <w:p w14:paraId="22CCD126"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5</w:t>
            </w:r>
            <w:r>
              <w:rPr>
                <w:rFonts w:ascii="Calibri" w:eastAsia="Times New Roman" w:hAnsi="Calibri" w:cs="Calibri"/>
                <w:color w:val="000000"/>
                <w:sz w:val="22"/>
                <w:lang w:eastAsia="en-GB"/>
              </w:rPr>
              <w:t>,</w:t>
            </w:r>
            <w:r w:rsidRPr="008C3194">
              <w:rPr>
                <w:rFonts w:ascii="Calibri" w:eastAsia="Times New Roman" w:hAnsi="Calibri" w:cs="Calibri"/>
                <w:color w:val="000000"/>
                <w:sz w:val="22"/>
                <w:lang w:eastAsia="en-GB"/>
              </w:rPr>
              <w:t>78</w:t>
            </w:r>
            <w:r>
              <w:rPr>
                <w:rFonts w:ascii="Calibri" w:eastAsia="Times New Roman" w:hAnsi="Calibri" w:cs="Calibri"/>
                <w:color w:val="000000"/>
                <w:sz w:val="22"/>
                <w:lang w:eastAsia="en-GB"/>
              </w:rPr>
              <w:t>,</w:t>
            </w:r>
            <w:r w:rsidRPr="008C3194">
              <w:rPr>
                <w:rFonts w:ascii="Calibri" w:eastAsia="Times New Roman" w:hAnsi="Calibri" w:cs="Calibri"/>
                <w:color w:val="000000"/>
                <w:sz w:val="22"/>
                <w:lang w:eastAsia="en-GB"/>
              </w:rPr>
              <w:t>650</w:t>
            </w:r>
          </w:p>
        </w:tc>
        <w:tc>
          <w:tcPr>
            <w:tcW w:w="1360" w:type="dxa"/>
            <w:tcBorders>
              <w:top w:val="single" w:sz="4" w:space="0" w:color="auto"/>
              <w:left w:val="nil"/>
              <w:bottom w:val="single" w:sz="4" w:space="0" w:color="auto"/>
              <w:right w:val="single" w:sz="4" w:space="0" w:color="auto"/>
            </w:tcBorders>
          </w:tcPr>
          <w:p w14:paraId="268060D2"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c>
          <w:tcPr>
            <w:tcW w:w="1360" w:type="dxa"/>
            <w:tcBorders>
              <w:top w:val="nil"/>
              <w:left w:val="single" w:sz="4" w:space="0" w:color="auto"/>
              <w:bottom w:val="single" w:sz="4" w:space="0" w:color="auto"/>
              <w:right w:val="single" w:sz="4" w:space="0" w:color="auto"/>
            </w:tcBorders>
          </w:tcPr>
          <w:p w14:paraId="260F0CBE"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r>
      <w:tr w:rsidR="0039369E" w:rsidRPr="008C3194" w14:paraId="29BC3065" w14:textId="77777777" w:rsidTr="0039369E">
        <w:trPr>
          <w:trHeight w:val="288"/>
        </w:trPr>
        <w:tc>
          <w:tcPr>
            <w:tcW w:w="3695" w:type="dxa"/>
            <w:tcBorders>
              <w:top w:val="nil"/>
              <w:left w:val="single" w:sz="4" w:space="0" w:color="auto"/>
              <w:bottom w:val="single" w:sz="4" w:space="0" w:color="auto"/>
              <w:right w:val="single" w:sz="4" w:space="0" w:color="auto"/>
            </w:tcBorders>
            <w:shd w:val="clear" w:color="auto" w:fill="auto"/>
            <w:noWrap/>
            <w:vAlign w:val="bottom"/>
            <w:hideMark/>
          </w:tcPr>
          <w:p w14:paraId="0823DE59" w14:textId="77777777" w:rsidR="0039369E" w:rsidRPr="008C3194" w:rsidRDefault="0039369E" w:rsidP="0039369E">
            <w:pPr>
              <w:spacing w:after="0" w:line="240" w:lineRule="auto"/>
              <w:jc w:val="right"/>
              <w:rPr>
                <w:rFonts w:ascii="Calibri" w:eastAsia="Times New Roman" w:hAnsi="Calibri" w:cs="Calibri"/>
                <w:b/>
                <w:bCs/>
                <w:color w:val="000000"/>
                <w:sz w:val="22"/>
                <w:lang w:eastAsia="en-GB"/>
              </w:rPr>
            </w:pPr>
            <w:r w:rsidRPr="008C3194">
              <w:rPr>
                <w:rFonts w:ascii="Calibri" w:eastAsia="Times New Roman" w:hAnsi="Calibri" w:cs="Calibri"/>
                <w:b/>
                <w:bCs/>
                <w:color w:val="000000"/>
                <w:sz w:val="22"/>
                <w:lang w:eastAsia="en-GB"/>
              </w:rPr>
              <w:t>Gross Profit</w:t>
            </w:r>
          </w:p>
        </w:tc>
        <w:tc>
          <w:tcPr>
            <w:tcW w:w="1360" w:type="dxa"/>
            <w:tcBorders>
              <w:top w:val="nil"/>
              <w:left w:val="nil"/>
              <w:bottom w:val="single" w:sz="4" w:space="0" w:color="auto"/>
              <w:right w:val="single" w:sz="4" w:space="0" w:color="auto"/>
            </w:tcBorders>
            <w:shd w:val="clear" w:color="auto" w:fill="auto"/>
            <w:noWrap/>
            <w:vAlign w:val="bottom"/>
            <w:hideMark/>
          </w:tcPr>
          <w:p w14:paraId="6315A910"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c>
          <w:tcPr>
            <w:tcW w:w="1360" w:type="dxa"/>
            <w:tcBorders>
              <w:top w:val="single" w:sz="4" w:space="0" w:color="auto"/>
              <w:left w:val="nil"/>
              <w:bottom w:val="single" w:sz="4" w:space="0" w:color="auto"/>
              <w:right w:val="single" w:sz="4" w:space="0" w:color="auto"/>
            </w:tcBorders>
          </w:tcPr>
          <w:p w14:paraId="5103B582"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c>
          <w:tcPr>
            <w:tcW w:w="1360" w:type="dxa"/>
            <w:tcBorders>
              <w:top w:val="nil"/>
              <w:left w:val="single" w:sz="4" w:space="0" w:color="auto"/>
              <w:bottom w:val="single" w:sz="4" w:space="0" w:color="auto"/>
              <w:right w:val="single" w:sz="4" w:space="0" w:color="auto"/>
            </w:tcBorders>
          </w:tcPr>
          <w:p w14:paraId="16572F3F"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w:t>
            </w:r>
            <w:r>
              <w:rPr>
                <w:rFonts w:ascii="Calibri" w:eastAsia="Times New Roman" w:hAnsi="Calibri" w:cs="Calibri"/>
                <w:color w:val="000000"/>
                <w:sz w:val="22"/>
                <w:lang w:eastAsia="en-GB"/>
              </w:rPr>
              <w:t xml:space="preserve"> </w:t>
            </w:r>
            <w:r w:rsidRPr="008C3194">
              <w:rPr>
                <w:rFonts w:ascii="Calibri" w:eastAsia="Times New Roman" w:hAnsi="Calibri" w:cs="Calibri"/>
                <w:color w:val="000000"/>
                <w:sz w:val="22"/>
                <w:lang w:eastAsia="en-GB"/>
              </w:rPr>
              <w:t>2</w:t>
            </w:r>
            <w:r>
              <w:rPr>
                <w:rFonts w:ascii="Calibri" w:eastAsia="Times New Roman" w:hAnsi="Calibri" w:cs="Calibri"/>
                <w:color w:val="000000"/>
                <w:sz w:val="22"/>
                <w:lang w:eastAsia="en-GB"/>
              </w:rPr>
              <w:t>,</w:t>
            </w:r>
            <w:r w:rsidRPr="008C3194">
              <w:rPr>
                <w:rFonts w:ascii="Calibri" w:eastAsia="Times New Roman" w:hAnsi="Calibri" w:cs="Calibri"/>
                <w:color w:val="000000"/>
                <w:sz w:val="22"/>
                <w:lang w:eastAsia="en-GB"/>
              </w:rPr>
              <w:t>21</w:t>
            </w:r>
            <w:r>
              <w:rPr>
                <w:rFonts w:ascii="Calibri" w:eastAsia="Times New Roman" w:hAnsi="Calibri" w:cs="Calibri"/>
                <w:color w:val="000000"/>
                <w:sz w:val="22"/>
                <w:lang w:eastAsia="en-GB"/>
              </w:rPr>
              <w:t>,</w:t>
            </w:r>
            <w:r w:rsidRPr="008C3194">
              <w:rPr>
                <w:rFonts w:ascii="Calibri" w:eastAsia="Times New Roman" w:hAnsi="Calibri" w:cs="Calibri"/>
                <w:color w:val="000000"/>
                <w:sz w:val="22"/>
                <w:lang w:eastAsia="en-GB"/>
              </w:rPr>
              <w:t>350</w:t>
            </w:r>
          </w:p>
        </w:tc>
      </w:tr>
      <w:tr w:rsidR="0039369E" w:rsidRPr="008C3194" w14:paraId="2A5333F4" w14:textId="77777777" w:rsidTr="0039369E">
        <w:trPr>
          <w:trHeight w:val="288"/>
        </w:trPr>
        <w:tc>
          <w:tcPr>
            <w:tcW w:w="3695" w:type="dxa"/>
            <w:tcBorders>
              <w:top w:val="nil"/>
              <w:left w:val="single" w:sz="4" w:space="0" w:color="auto"/>
              <w:bottom w:val="single" w:sz="4" w:space="0" w:color="auto"/>
              <w:right w:val="single" w:sz="4" w:space="0" w:color="auto"/>
            </w:tcBorders>
            <w:shd w:val="clear" w:color="auto" w:fill="auto"/>
            <w:noWrap/>
            <w:vAlign w:val="bottom"/>
            <w:hideMark/>
          </w:tcPr>
          <w:p w14:paraId="3399687C" w14:textId="77777777" w:rsidR="0039369E" w:rsidRPr="008C3194" w:rsidRDefault="0039369E" w:rsidP="0039369E">
            <w:pPr>
              <w:spacing w:after="0" w:line="240" w:lineRule="auto"/>
              <w:jc w:val="lef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Administration Expenses</w:t>
            </w:r>
          </w:p>
        </w:tc>
        <w:tc>
          <w:tcPr>
            <w:tcW w:w="1360" w:type="dxa"/>
            <w:tcBorders>
              <w:top w:val="nil"/>
              <w:left w:val="nil"/>
              <w:bottom w:val="single" w:sz="4" w:space="0" w:color="auto"/>
              <w:right w:val="single" w:sz="4" w:space="0" w:color="auto"/>
            </w:tcBorders>
            <w:shd w:val="clear" w:color="auto" w:fill="auto"/>
            <w:noWrap/>
            <w:vAlign w:val="bottom"/>
            <w:hideMark/>
          </w:tcPr>
          <w:p w14:paraId="1F4A3610"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30</w:t>
            </w:r>
            <w:r>
              <w:rPr>
                <w:rFonts w:ascii="Calibri" w:eastAsia="Times New Roman" w:hAnsi="Calibri" w:cs="Calibri"/>
                <w:color w:val="000000"/>
                <w:sz w:val="22"/>
                <w:lang w:eastAsia="en-GB"/>
              </w:rPr>
              <w:t>,</w:t>
            </w:r>
            <w:r w:rsidRPr="008C3194">
              <w:rPr>
                <w:rFonts w:ascii="Calibri" w:eastAsia="Times New Roman" w:hAnsi="Calibri" w:cs="Calibri"/>
                <w:color w:val="000000"/>
                <w:sz w:val="22"/>
                <w:lang w:eastAsia="en-GB"/>
              </w:rPr>
              <w:t>000</w:t>
            </w:r>
          </w:p>
        </w:tc>
        <w:tc>
          <w:tcPr>
            <w:tcW w:w="1360" w:type="dxa"/>
            <w:tcBorders>
              <w:top w:val="single" w:sz="4" w:space="0" w:color="auto"/>
              <w:left w:val="nil"/>
              <w:bottom w:val="single" w:sz="4" w:space="0" w:color="auto"/>
              <w:right w:val="single" w:sz="4" w:space="0" w:color="auto"/>
            </w:tcBorders>
          </w:tcPr>
          <w:p w14:paraId="7D08D58E"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c>
          <w:tcPr>
            <w:tcW w:w="1360" w:type="dxa"/>
            <w:tcBorders>
              <w:top w:val="nil"/>
              <w:left w:val="single" w:sz="4" w:space="0" w:color="auto"/>
              <w:bottom w:val="single" w:sz="4" w:space="0" w:color="auto"/>
              <w:right w:val="single" w:sz="4" w:space="0" w:color="auto"/>
            </w:tcBorders>
          </w:tcPr>
          <w:p w14:paraId="56F5AF4E"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r>
      <w:tr w:rsidR="0039369E" w:rsidRPr="008C3194" w14:paraId="50C07739" w14:textId="77777777" w:rsidTr="0039369E">
        <w:trPr>
          <w:trHeight w:val="288"/>
        </w:trPr>
        <w:tc>
          <w:tcPr>
            <w:tcW w:w="3695" w:type="dxa"/>
            <w:tcBorders>
              <w:top w:val="nil"/>
              <w:left w:val="single" w:sz="4" w:space="0" w:color="auto"/>
              <w:bottom w:val="single" w:sz="4" w:space="0" w:color="auto"/>
              <w:right w:val="single" w:sz="4" w:space="0" w:color="auto"/>
            </w:tcBorders>
            <w:shd w:val="clear" w:color="auto" w:fill="auto"/>
            <w:noWrap/>
            <w:vAlign w:val="bottom"/>
            <w:hideMark/>
          </w:tcPr>
          <w:p w14:paraId="54FCF1B4" w14:textId="77777777" w:rsidR="0039369E" w:rsidRPr="008C3194" w:rsidRDefault="0039369E" w:rsidP="0039369E">
            <w:pPr>
              <w:spacing w:after="0" w:line="240" w:lineRule="auto"/>
              <w:jc w:val="lef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Distribution Costs</w:t>
            </w:r>
          </w:p>
        </w:tc>
        <w:tc>
          <w:tcPr>
            <w:tcW w:w="1360" w:type="dxa"/>
            <w:tcBorders>
              <w:top w:val="nil"/>
              <w:left w:val="nil"/>
              <w:bottom w:val="single" w:sz="4" w:space="0" w:color="auto"/>
              <w:right w:val="single" w:sz="4" w:space="0" w:color="auto"/>
            </w:tcBorders>
            <w:shd w:val="clear" w:color="auto" w:fill="auto"/>
            <w:noWrap/>
            <w:vAlign w:val="bottom"/>
            <w:hideMark/>
          </w:tcPr>
          <w:p w14:paraId="06D16CF9"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28</w:t>
            </w:r>
            <w:r>
              <w:rPr>
                <w:rFonts w:ascii="Calibri" w:eastAsia="Times New Roman" w:hAnsi="Calibri" w:cs="Calibri"/>
                <w:color w:val="000000"/>
                <w:sz w:val="22"/>
                <w:lang w:eastAsia="en-GB"/>
              </w:rPr>
              <w:t>,</w:t>
            </w:r>
            <w:r w:rsidRPr="008C3194">
              <w:rPr>
                <w:rFonts w:ascii="Calibri" w:eastAsia="Times New Roman" w:hAnsi="Calibri" w:cs="Calibri"/>
                <w:color w:val="000000"/>
                <w:sz w:val="22"/>
                <w:lang w:eastAsia="en-GB"/>
              </w:rPr>
              <w:t>000</w:t>
            </w:r>
          </w:p>
        </w:tc>
        <w:tc>
          <w:tcPr>
            <w:tcW w:w="1360" w:type="dxa"/>
            <w:tcBorders>
              <w:top w:val="single" w:sz="4" w:space="0" w:color="auto"/>
              <w:left w:val="nil"/>
              <w:bottom w:val="single" w:sz="4" w:space="0" w:color="auto"/>
              <w:right w:val="single" w:sz="4" w:space="0" w:color="auto"/>
            </w:tcBorders>
          </w:tcPr>
          <w:p w14:paraId="2B4E331F"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c>
          <w:tcPr>
            <w:tcW w:w="1360" w:type="dxa"/>
            <w:tcBorders>
              <w:top w:val="nil"/>
              <w:left w:val="single" w:sz="4" w:space="0" w:color="auto"/>
              <w:bottom w:val="single" w:sz="4" w:space="0" w:color="auto"/>
              <w:right w:val="single" w:sz="4" w:space="0" w:color="auto"/>
            </w:tcBorders>
          </w:tcPr>
          <w:p w14:paraId="720BFB9C"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r>
      <w:tr w:rsidR="0039369E" w:rsidRPr="008C3194" w14:paraId="38D1D232" w14:textId="77777777" w:rsidTr="0039369E">
        <w:trPr>
          <w:trHeight w:val="288"/>
        </w:trPr>
        <w:tc>
          <w:tcPr>
            <w:tcW w:w="3695" w:type="dxa"/>
            <w:tcBorders>
              <w:top w:val="nil"/>
              <w:left w:val="single" w:sz="4" w:space="0" w:color="auto"/>
              <w:bottom w:val="single" w:sz="4" w:space="0" w:color="auto"/>
              <w:right w:val="single" w:sz="4" w:space="0" w:color="auto"/>
            </w:tcBorders>
            <w:shd w:val="clear" w:color="auto" w:fill="auto"/>
            <w:noWrap/>
            <w:vAlign w:val="bottom"/>
            <w:hideMark/>
          </w:tcPr>
          <w:p w14:paraId="02AAA0C0" w14:textId="77777777" w:rsidR="0039369E" w:rsidRPr="008C3194" w:rsidRDefault="0039369E" w:rsidP="0039369E">
            <w:pPr>
              <w:spacing w:after="0" w:line="240" w:lineRule="auto"/>
              <w:jc w:val="lef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Directors Remuneration</w:t>
            </w:r>
          </w:p>
        </w:tc>
        <w:tc>
          <w:tcPr>
            <w:tcW w:w="1360" w:type="dxa"/>
            <w:tcBorders>
              <w:top w:val="nil"/>
              <w:left w:val="nil"/>
              <w:bottom w:val="single" w:sz="4" w:space="0" w:color="auto"/>
              <w:right w:val="single" w:sz="4" w:space="0" w:color="auto"/>
            </w:tcBorders>
            <w:shd w:val="clear" w:color="auto" w:fill="auto"/>
            <w:noWrap/>
            <w:vAlign w:val="bottom"/>
            <w:hideMark/>
          </w:tcPr>
          <w:p w14:paraId="66E58D76"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5</w:t>
            </w:r>
            <w:r>
              <w:rPr>
                <w:rFonts w:ascii="Calibri" w:eastAsia="Times New Roman" w:hAnsi="Calibri" w:cs="Calibri"/>
                <w:color w:val="000000"/>
                <w:sz w:val="22"/>
                <w:lang w:eastAsia="en-GB"/>
              </w:rPr>
              <w:t>,</w:t>
            </w:r>
            <w:r w:rsidRPr="008C3194">
              <w:rPr>
                <w:rFonts w:ascii="Calibri" w:eastAsia="Times New Roman" w:hAnsi="Calibri" w:cs="Calibri"/>
                <w:color w:val="000000"/>
                <w:sz w:val="22"/>
                <w:lang w:eastAsia="en-GB"/>
              </w:rPr>
              <w:t>000</w:t>
            </w:r>
          </w:p>
        </w:tc>
        <w:tc>
          <w:tcPr>
            <w:tcW w:w="1360" w:type="dxa"/>
            <w:tcBorders>
              <w:top w:val="single" w:sz="4" w:space="0" w:color="auto"/>
              <w:left w:val="nil"/>
              <w:bottom w:val="single" w:sz="4" w:space="0" w:color="auto"/>
              <w:right w:val="single" w:sz="4" w:space="0" w:color="auto"/>
            </w:tcBorders>
          </w:tcPr>
          <w:p w14:paraId="0F70CC0D"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c>
          <w:tcPr>
            <w:tcW w:w="1360" w:type="dxa"/>
            <w:tcBorders>
              <w:top w:val="nil"/>
              <w:left w:val="single" w:sz="4" w:space="0" w:color="auto"/>
              <w:bottom w:val="single" w:sz="4" w:space="0" w:color="auto"/>
              <w:right w:val="single" w:sz="4" w:space="0" w:color="auto"/>
            </w:tcBorders>
          </w:tcPr>
          <w:p w14:paraId="7550D394"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r>
      <w:tr w:rsidR="0039369E" w:rsidRPr="008C3194" w14:paraId="5F0E41CC" w14:textId="77777777" w:rsidTr="0039369E">
        <w:trPr>
          <w:trHeight w:val="288"/>
        </w:trPr>
        <w:tc>
          <w:tcPr>
            <w:tcW w:w="3695" w:type="dxa"/>
            <w:tcBorders>
              <w:top w:val="nil"/>
              <w:left w:val="single" w:sz="4" w:space="0" w:color="auto"/>
              <w:bottom w:val="single" w:sz="4" w:space="0" w:color="auto"/>
              <w:right w:val="single" w:sz="4" w:space="0" w:color="auto"/>
            </w:tcBorders>
            <w:shd w:val="clear" w:color="auto" w:fill="auto"/>
            <w:noWrap/>
            <w:vAlign w:val="bottom"/>
            <w:hideMark/>
          </w:tcPr>
          <w:p w14:paraId="6479A4B3" w14:textId="77777777" w:rsidR="0039369E" w:rsidRPr="008C3194" w:rsidRDefault="0039369E" w:rsidP="0039369E">
            <w:pPr>
              <w:spacing w:after="0" w:line="240" w:lineRule="auto"/>
              <w:jc w:val="lef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Interest Paid</w:t>
            </w:r>
          </w:p>
        </w:tc>
        <w:tc>
          <w:tcPr>
            <w:tcW w:w="1360" w:type="dxa"/>
            <w:tcBorders>
              <w:top w:val="nil"/>
              <w:left w:val="nil"/>
              <w:bottom w:val="single" w:sz="4" w:space="0" w:color="auto"/>
              <w:right w:val="single" w:sz="4" w:space="0" w:color="auto"/>
            </w:tcBorders>
            <w:shd w:val="clear" w:color="auto" w:fill="auto"/>
            <w:noWrap/>
            <w:vAlign w:val="bottom"/>
            <w:hideMark/>
          </w:tcPr>
          <w:p w14:paraId="29B04D62"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2</w:t>
            </w:r>
            <w:r>
              <w:rPr>
                <w:rFonts w:ascii="Calibri" w:eastAsia="Times New Roman" w:hAnsi="Calibri" w:cs="Calibri"/>
                <w:color w:val="000000"/>
                <w:sz w:val="22"/>
                <w:lang w:eastAsia="en-GB"/>
              </w:rPr>
              <w:t>,</w:t>
            </w:r>
            <w:r w:rsidRPr="008C3194">
              <w:rPr>
                <w:rFonts w:ascii="Calibri" w:eastAsia="Times New Roman" w:hAnsi="Calibri" w:cs="Calibri"/>
                <w:color w:val="000000"/>
                <w:sz w:val="22"/>
                <w:lang w:eastAsia="en-GB"/>
              </w:rPr>
              <w:t>000</w:t>
            </w:r>
          </w:p>
        </w:tc>
        <w:tc>
          <w:tcPr>
            <w:tcW w:w="1360" w:type="dxa"/>
            <w:tcBorders>
              <w:top w:val="single" w:sz="4" w:space="0" w:color="auto"/>
              <w:left w:val="nil"/>
              <w:bottom w:val="single" w:sz="4" w:space="0" w:color="auto"/>
              <w:right w:val="single" w:sz="4" w:space="0" w:color="auto"/>
            </w:tcBorders>
          </w:tcPr>
          <w:p w14:paraId="6B9560B8"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c>
          <w:tcPr>
            <w:tcW w:w="1360" w:type="dxa"/>
            <w:tcBorders>
              <w:top w:val="nil"/>
              <w:left w:val="single" w:sz="4" w:space="0" w:color="auto"/>
              <w:bottom w:val="single" w:sz="4" w:space="0" w:color="auto"/>
              <w:right w:val="single" w:sz="4" w:space="0" w:color="auto"/>
            </w:tcBorders>
          </w:tcPr>
          <w:p w14:paraId="5CAC74EB"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r>
      <w:tr w:rsidR="0039369E" w:rsidRPr="008C3194" w14:paraId="3066C848" w14:textId="77777777" w:rsidTr="0039369E">
        <w:trPr>
          <w:trHeight w:val="288"/>
        </w:trPr>
        <w:tc>
          <w:tcPr>
            <w:tcW w:w="3695" w:type="dxa"/>
            <w:tcBorders>
              <w:top w:val="nil"/>
              <w:left w:val="single" w:sz="4" w:space="0" w:color="auto"/>
              <w:bottom w:val="single" w:sz="4" w:space="0" w:color="auto"/>
              <w:right w:val="single" w:sz="4" w:space="0" w:color="auto"/>
            </w:tcBorders>
            <w:shd w:val="clear" w:color="auto" w:fill="auto"/>
            <w:noWrap/>
            <w:vAlign w:val="bottom"/>
            <w:hideMark/>
          </w:tcPr>
          <w:p w14:paraId="40FF1490" w14:textId="77777777" w:rsidR="0039369E" w:rsidRPr="008C3194" w:rsidRDefault="0039369E" w:rsidP="0039369E">
            <w:pPr>
              <w:spacing w:after="0" w:line="240" w:lineRule="auto"/>
              <w:jc w:val="lef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Salesman Commission</w:t>
            </w:r>
          </w:p>
        </w:tc>
        <w:tc>
          <w:tcPr>
            <w:tcW w:w="1360" w:type="dxa"/>
            <w:tcBorders>
              <w:top w:val="nil"/>
              <w:left w:val="nil"/>
              <w:bottom w:val="single" w:sz="4" w:space="0" w:color="auto"/>
              <w:right w:val="single" w:sz="4" w:space="0" w:color="auto"/>
            </w:tcBorders>
            <w:shd w:val="clear" w:color="auto" w:fill="auto"/>
            <w:noWrap/>
            <w:vAlign w:val="bottom"/>
            <w:hideMark/>
          </w:tcPr>
          <w:p w14:paraId="14C4AFE8"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3</w:t>
            </w:r>
            <w:r>
              <w:rPr>
                <w:rFonts w:ascii="Calibri" w:eastAsia="Times New Roman" w:hAnsi="Calibri" w:cs="Calibri"/>
                <w:color w:val="000000"/>
                <w:sz w:val="22"/>
                <w:lang w:eastAsia="en-GB"/>
              </w:rPr>
              <w:t>,</w:t>
            </w:r>
            <w:r w:rsidRPr="008C3194">
              <w:rPr>
                <w:rFonts w:ascii="Calibri" w:eastAsia="Times New Roman" w:hAnsi="Calibri" w:cs="Calibri"/>
                <w:color w:val="000000"/>
                <w:sz w:val="22"/>
                <w:lang w:eastAsia="en-GB"/>
              </w:rPr>
              <w:t>000</w:t>
            </w:r>
          </w:p>
        </w:tc>
        <w:tc>
          <w:tcPr>
            <w:tcW w:w="1360" w:type="dxa"/>
            <w:tcBorders>
              <w:top w:val="single" w:sz="4" w:space="0" w:color="auto"/>
              <w:left w:val="nil"/>
              <w:bottom w:val="single" w:sz="4" w:space="0" w:color="auto"/>
              <w:right w:val="single" w:sz="4" w:space="0" w:color="auto"/>
            </w:tcBorders>
          </w:tcPr>
          <w:p w14:paraId="589D17B8"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w:t>
            </w:r>
            <w:r>
              <w:rPr>
                <w:rFonts w:ascii="Calibri" w:eastAsia="Times New Roman" w:hAnsi="Calibri" w:cs="Calibri"/>
                <w:color w:val="000000"/>
                <w:sz w:val="22"/>
                <w:lang w:eastAsia="en-GB"/>
              </w:rPr>
              <w:t xml:space="preserve"> 68,000</w:t>
            </w:r>
          </w:p>
        </w:tc>
        <w:tc>
          <w:tcPr>
            <w:tcW w:w="1360" w:type="dxa"/>
            <w:tcBorders>
              <w:top w:val="nil"/>
              <w:left w:val="single" w:sz="4" w:space="0" w:color="auto"/>
              <w:bottom w:val="single" w:sz="4" w:space="0" w:color="auto"/>
              <w:right w:val="single" w:sz="4" w:space="0" w:color="auto"/>
            </w:tcBorders>
          </w:tcPr>
          <w:p w14:paraId="1DA3CFC7"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r>
      <w:tr w:rsidR="0039369E" w:rsidRPr="008C3194" w14:paraId="41BBC904" w14:textId="77777777" w:rsidTr="0039369E">
        <w:trPr>
          <w:trHeight w:val="288"/>
        </w:trPr>
        <w:tc>
          <w:tcPr>
            <w:tcW w:w="3695" w:type="dxa"/>
            <w:tcBorders>
              <w:top w:val="nil"/>
              <w:left w:val="single" w:sz="4" w:space="0" w:color="auto"/>
              <w:bottom w:val="single" w:sz="4" w:space="0" w:color="auto"/>
              <w:right w:val="single" w:sz="4" w:space="0" w:color="auto"/>
            </w:tcBorders>
            <w:shd w:val="clear" w:color="auto" w:fill="auto"/>
            <w:noWrap/>
            <w:vAlign w:val="bottom"/>
            <w:hideMark/>
          </w:tcPr>
          <w:p w14:paraId="721E3477" w14:textId="77777777" w:rsidR="0039369E" w:rsidRPr="008C3194" w:rsidRDefault="0039369E" w:rsidP="0039369E">
            <w:pPr>
              <w:spacing w:after="0" w:line="240" w:lineRule="auto"/>
              <w:jc w:val="right"/>
              <w:rPr>
                <w:rFonts w:ascii="Calibri" w:eastAsia="Times New Roman" w:hAnsi="Calibri" w:cs="Calibri"/>
                <w:b/>
                <w:bCs/>
                <w:color w:val="000000"/>
                <w:sz w:val="22"/>
                <w:lang w:eastAsia="en-GB"/>
              </w:rPr>
            </w:pPr>
            <w:r w:rsidRPr="008C3194">
              <w:rPr>
                <w:rFonts w:ascii="Calibri" w:eastAsia="Times New Roman" w:hAnsi="Calibri" w:cs="Calibri"/>
                <w:b/>
                <w:bCs/>
                <w:color w:val="000000"/>
                <w:sz w:val="22"/>
                <w:lang w:eastAsia="en-GB"/>
              </w:rPr>
              <w:t>Profit Before Tax</w:t>
            </w:r>
          </w:p>
        </w:tc>
        <w:tc>
          <w:tcPr>
            <w:tcW w:w="1360" w:type="dxa"/>
            <w:tcBorders>
              <w:top w:val="nil"/>
              <w:left w:val="nil"/>
              <w:bottom w:val="single" w:sz="4" w:space="0" w:color="auto"/>
              <w:right w:val="single" w:sz="4" w:space="0" w:color="auto"/>
            </w:tcBorders>
            <w:shd w:val="clear" w:color="auto" w:fill="auto"/>
            <w:noWrap/>
            <w:vAlign w:val="bottom"/>
            <w:hideMark/>
          </w:tcPr>
          <w:p w14:paraId="0BCFAFEC"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c>
          <w:tcPr>
            <w:tcW w:w="1360" w:type="dxa"/>
            <w:tcBorders>
              <w:top w:val="single" w:sz="4" w:space="0" w:color="auto"/>
              <w:left w:val="nil"/>
              <w:bottom w:val="single" w:sz="4" w:space="0" w:color="auto"/>
              <w:right w:val="single" w:sz="4" w:space="0" w:color="auto"/>
            </w:tcBorders>
          </w:tcPr>
          <w:p w14:paraId="399C996C"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c>
          <w:tcPr>
            <w:tcW w:w="1360" w:type="dxa"/>
            <w:tcBorders>
              <w:top w:val="nil"/>
              <w:left w:val="single" w:sz="4" w:space="0" w:color="auto"/>
              <w:bottom w:val="single" w:sz="4" w:space="0" w:color="auto"/>
              <w:right w:val="single" w:sz="4" w:space="0" w:color="auto"/>
            </w:tcBorders>
          </w:tcPr>
          <w:p w14:paraId="47B68FE9"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1</w:t>
            </w:r>
            <w:r>
              <w:rPr>
                <w:rFonts w:ascii="Calibri" w:eastAsia="Times New Roman" w:hAnsi="Calibri" w:cs="Calibri"/>
                <w:color w:val="000000"/>
                <w:sz w:val="22"/>
                <w:lang w:eastAsia="en-GB"/>
              </w:rPr>
              <w:t>,</w:t>
            </w:r>
            <w:r w:rsidRPr="008C3194">
              <w:rPr>
                <w:rFonts w:ascii="Calibri" w:eastAsia="Times New Roman" w:hAnsi="Calibri" w:cs="Calibri"/>
                <w:color w:val="000000"/>
                <w:sz w:val="22"/>
                <w:lang w:eastAsia="en-GB"/>
              </w:rPr>
              <w:t>53</w:t>
            </w:r>
            <w:r>
              <w:rPr>
                <w:rFonts w:ascii="Calibri" w:eastAsia="Times New Roman" w:hAnsi="Calibri" w:cs="Calibri"/>
                <w:color w:val="000000"/>
                <w:sz w:val="22"/>
                <w:lang w:eastAsia="en-GB"/>
              </w:rPr>
              <w:t>,</w:t>
            </w:r>
            <w:r w:rsidRPr="008C3194">
              <w:rPr>
                <w:rFonts w:ascii="Calibri" w:eastAsia="Times New Roman" w:hAnsi="Calibri" w:cs="Calibri"/>
                <w:color w:val="000000"/>
                <w:sz w:val="22"/>
                <w:lang w:eastAsia="en-GB"/>
              </w:rPr>
              <w:t>350</w:t>
            </w:r>
          </w:p>
        </w:tc>
      </w:tr>
      <w:tr w:rsidR="0039369E" w:rsidRPr="008C3194" w14:paraId="72A50AE8" w14:textId="77777777" w:rsidTr="0039369E">
        <w:trPr>
          <w:trHeight w:val="288"/>
        </w:trPr>
        <w:tc>
          <w:tcPr>
            <w:tcW w:w="3695" w:type="dxa"/>
            <w:tcBorders>
              <w:top w:val="nil"/>
              <w:left w:val="single" w:sz="4" w:space="0" w:color="auto"/>
              <w:bottom w:val="single" w:sz="4" w:space="0" w:color="auto"/>
              <w:right w:val="single" w:sz="4" w:space="0" w:color="auto"/>
            </w:tcBorders>
            <w:shd w:val="clear" w:color="auto" w:fill="auto"/>
            <w:noWrap/>
            <w:vAlign w:val="bottom"/>
            <w:hideMark/>
          </w:tcPr>
          <w:p w14:paraId="5C1B8374" w14:textId="77777777" w:rsidR="0039369E" w:rsidRPr="008C3194" w:rsidRDefault="0039369E" w:rsidP="0039369E">
            <w:pPr>
              <w:spacing w:after="0" w:line="240" w:lineRule="auto"/>
              <w:jc w:val="lef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Corporation Tax</w:t>
            </w:r>
          </w:p>
        </w:tc>
        <w:tc>
          <w:tcPr>
            <w:tcW w:w="1360" w:type="dxa"/>
            <w:tcBorders>
              <w:top w:val="nil"/>
              <w:left w:val="nil"/>
              <w:bottom w:val="single" w:sz="4" w:space="0" w:color="auto"/>
              <w:right w:val="single" w:sz="4" w:space="0" w:color="auto"/>
            </w:tcBorders>
            <w:shd w:val="clear" w:color="auto" w:fill="auto"/>
            <w:noWrap/>
            <w:vAlign w:val="bottom"/>
            <w:hideMark/>
          </w:tcPr>
          <w:p w14:paraId="268EF3A6"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c>
          <w:tcPr>
            <w:tcW w:w="1360" w:type="dxa"/>
            <w:tcBorders>
              <w:top w:val="single" w:sz="4" w:space="0" w:color="auto"/>
              <w:left w:val="nil"/>
              <w:bottom w:val="single" w:sz="4" w:space="0" w:color="auto"/>
              <w:right w:val="single" w:sz="4" w:space="0" w:color="auto"/>
            </w:tcBorders>
          </w:tcPr>
          <w:p w14:paraId="55260078"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c>
          <w:tcPr>
            <w:tcW w:w="1360" w:type="dxa"/>
            <w:tcBorders>
              <w:top w:val="nil"/>
              <w:left w:val="single" w:sz="4" w:space="0" w:color="auto"/>
              <w:bottom w:val="single" w:sz="4" w:space="0" w:color="auto"/>
              <w:right w:val="single" w:sz="4" w:space="0" w:color="auto"/>
            </w:tcBorders>
          </w:tcPr>
          <w:p w14:paraId="2DECDB47"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1</w:t>
            </w:r>
            <w:r>
              <w:rPr>
                <w:rFonts w:ascii="Calibri" w:eastAsia="Times New Roman" w:hAnsi="Calibri" w:cs="Calibri"/>
                <w:color w:val="000000"/>
                <w:sz w:val="22"/>
                <w:lang w:eastAsia="en-GB"/>
              </w:rPr>
              <w:t>,</w:t>
            </w:r>
            <w:r w:rsidRPr="008C3194">
              <w:rPr>
                <w:rFonts w:ascii="Calibri" w:eastAsia="Times New Roman" w:hAnsi="Calibri" w:cs="Calibri"/>
                <w:color w:val="000000"/>
                <w:sz w:val="22"/>
                <w:lang w:eastAsia="en-GB"/>
              </w:rPr>
              <w:t>00</w:t>
            </w:r>
            <w:r>
              <w:rPr>
                <w:rFonts w:ascii="Calibri" w:eastAsia="Times New Roman" w:hAnsi="Calibri" w:cs="Calibri"/>
                <w:color w:val="000000"/>
                <w:sz w:val="22"/>
                <w:lang w:eastAsia="en-GB"/>
              </w:rPr>
              <w:t>,</w:t>
            </w:r>
            <w:r w:rsidRPr="008C3194">
              <w:rPr>
                <w:rFonts w:ascii="Calibri" w:eastAsia="Times New Roman" w:hAnsi="Calibri" w:cs="Calibri"/>
                <w:color w:val="000000"/>
                <w:sz w:val="22"/>
                <w:lang w:eastAsia="en-GB"/>
              </w:rPr>
              <w:t>000</w:t>
            </w:r>
          </w:p>
        </w:tc>
      </w:tr>
      <w:tr w:rsidR="0039369E" w:rsidRPr="008C3194" w14:paraId="6FA7EC55" w14:textId="77777777" w:rsidTr="0039369E">
        <w:trPr>
          <w:trHeight w:val="288"/>
        </w:trPr>
        <w:tc>
          <w:tcPr>
            <w:tcW w:w="3695" w:type="dxa"/>
            <w:tcBorders>
              <w:top w:val="nil"/>
              <w:left w:val="single" w:sz="4" w:space="0" w:color="auto"/>
              <w:bottom w:val="single" w:sz="4" w:space="0" w:color="auto"/>
              <w:right w:val="single" w:sz="4" w:space="0" w:color="auto"/>
            </w:tcBorders>
            <w:shd w:val="clear" w:color="auto" w:fill="auto"/>
            <w:noWrap/>
            <w:vAlign w:val="bottom"/>
            <w:hideMark/>
          </w:tcPr>
          <w:p w14:paraId="40A05780" w14:textId="77777777" w:rsidR="0039369E" w:rsidRPr="008C3194" w:rsidRDefault="0039369E" w:rsidP="0039369E">
            <w:pPr>
              <w:spacing w:after="0" w:line="240" w:lineRule="auto"/>
              <w:jc w:val="right"/>
              <w:rPr>
                <w:rFonts w:ascii="Calibri" w:eastAsia="Times New Roman" w:hAnsi="Calibri" w:cs="Calibri"/>
                <w:b/>
                <w:bCs/>
                <w:color w:val="000000"/>
                <w:sz w:val="22"/>
                <w:lang w:eastAsia="en-GB"/>
              </w:rPr>
            </w:pPr>
            <w:r w:rsidRPr="008C3194">
              <w:rPr>
                <w:rFonts w:ascii="Calibri" w:eastAsia="Times New Roman" w:hAnsi="Calibri" w:cs="Calibri"/>
                <w:b/>
                <w:bCs/>
                <w:color w:val="000000"/>
                <w:sz w:val="22"/>
                <w:lang w:eastAsia="en-GB"/>
              </w:rPr>
              <w:t>Profit After Tax</w:t>
            </w:r>
          </w:p>
        </w:tc>
        <w:tc>
          <w:tcPr>
            <w:tcW w:w="1360" w:type="dxa"/>
            <w:tcBorders>
              <w:top w:val="nil"/>
              <w:left w:val="nil"/>
              <w:bottom w:val="single" w:sz="4" w:space="0" w:color="auto"/>
              <w:right w:val="single" w:sz="4" w:space="0" w:color="auto"/>
            </w:tcBorders>
            <w:shd w:val="clear" w:color="auto" w:fill="auto"/>
            <w:noWrap/>
            <w:vAlign w:val="bottom"/>
            <w:hideMark/>
          </w:tcPr>
          <w:p w14:paraId="62498EA8"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c>
          <w:tcPr>
            <w:tcW w:w="1360" w:type="dxa"/>
            <w:tcBorders>
              <w:top w:val="single" w:sz="4" w:space="0" w:color="auto"/>
              <w:left w:val="nil"/>
              <w:bottom w:val="single" w:sz="4" w:space="0" w:color="auto"/>
              <w:right w:val="single" w:sz="4" w:space="0" w:color="auto"/>
            </w:tcBorders>
          </w:tcPr>
          <w:p w14:paraId="3AF2B5F9"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c>
          <w:tcPr>
            <w:tcW w:w="1360" w:type="dxa"/>
            <w:tcBorders>
              <w:top w:val="nil"/>
              <w:left w:val="single" w:sz="4" w:space="0" w:color="auto"/>
              <w:bottom w:val="single" w:sz="4" w:space="0" w:color="auto"/>
              <w:right w:val="single" w:sz="4" w:space="0" w:color="auto"/>
            </w:tcBorders>
          </w:tcPr>
          <w:p w14:paraId="0C3BDD5D"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53</w:t>
            </w:r>
            <w:r>
              <w:rPr>
                <w:rFonts w:ascii="Calibri" w:eastAsia="Times New Roman" w:hAnsi="Calibri" w:cs="Calibri"/>
                <w:color w:val="000000"/>
                <w:sz w:val="22"/>
                <w:lang w:eastAsia="en-GB"/>
              </w:rPr>
              <w:t>,</w:t>
            </w:r>
            <w:r w:rsidRPr="008C3194">
              <w:rPr>
                <w:rFonts w:ascii="Calibri" w:eastAsia="Times New Roman" w:hAnsi="Calibri" w:cs="Calibri"/>
                <w:color w:val="000000"/>
                <w:sz w:val="22"/>
                <w:lang w:eastAsia="en-GB"/>
              </w:rPr>
              <w:t>350</w:t>
            </w:r>
          </w:p>
        </w:tc>
      </w:tr>
      <w:tr w:rsidR="0039369E" w:rsidRPr="008C3194" w14:paraId="719535E1" w14:textId="77777777" w:rsidTr="0039369E">
        <w:trPr>
          <w:trHeight w:val="288"/>
        </w:trPr>
        <w:tc>
          <w:tcPr>
            <w:tcW w:w="3695" w:type="dxa"/>
            <w:tcBorders>
              <w:top w:val="nil"/>
              <w:left w:val="single" w:sz="4" w:space="0" w:color="auto"/>
              <w:bottom w:val="single" w:sz="4" w:space="0" w:color="auto"/>
              <w:right w:val="single" w:sz="4" w:space="0" w:color="auto"/>
            </w:tcBorders>
            <w:shd w:val="clear" w:color="auto" w:fill="auto"/>
            <w:noWrap/>
            <w:vAlign w:val="bottom"/>
            <w:hideMark/>
          </w:tcPr>
          <w:p w14:paraId="182277E3" w14:textId="77777777" w:rsidR="0039369E" w:rsidRPr="008C3194" w:rsidRDefault="0039369E" w:rsidP="0039369E">
            <w:pPr>
              <w:spacing w:after="0" w:line="240" w:lineRule="auto"/>
              <w:jc w:val="lef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Ordinary Dividend Paid</w:t>
            </w:r>
          </w:p>
        </w:tc>
        <w:tc>
          <w:tcPr>
            <w:tcW w:w="1360" w:type="dxa"/>
            <w:tcBorders>
              <w:top w:val="nil"/>
              <w:left w:val="nil"/>
              <w:bottom w:val="single" w:sz="4" w:space="0" w:color="auto"/>
              <w:right w:val="single" w:sz="4" w:space="0" w:color="auto"/>
            </w:tcBorders>
            <w:shd w:val="clear" w:color="auto" w:fill="auto"/>
            <w:noWrap/>
            <w:vAlign w:val="bottom"/>
          </w:tcPr>
          <w:p w14:paraId="7D5DEE71"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c>
          <w:tcPr>
            <w:tcW w:w="1360" w:type="dxa"/>
            <w:tcBorders>
              <w:top w:val="single" w:sz="4" w:space="0" w:color="auto"/>
              <w:left w:val="nil"/>
              <w:bottom w:val="single" w:sz="4" w:space="0" w:color="auto"/>
              <w:right w:val="single" w:sz="4" w:space="0" w:color="auto"/>
            </w:tcBorders>
            <w:vAlign w:val="bottom"/>
          </w:tcPr>
          <w:p w14:paraId="179160FC"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20</w:t>
            </w:r>
            <w:r>
              <w:rPr>
                <w:rFonts w:ascii="Calibri" w:eastAsia="Times New Roman" w:hAnsi="Calibri" w:cs="Calibri"/>
                <w:color w:val="000000"/>
                <w:sz w:val="22"/>
                <w:lang w:eastAsia="en-GB"/>
              </w:rPr>
              <w:t>,</w:t>
            </w:r>
            <w:r w:rsidRPr="008C3194">
              <w:rPr>
                <w:rFonts w:ascii="Calibri" w:eastAsia="Times New Roman" w:hAnsi="Calibri" w:cs="Calibri"/>
                <w:color w:val="000000"/>
                <w:sz w:val="22"/>
                <w:lang w:eastAsia="en-GB"/>
              </w:rPr>
              <w:t>000</w:t>
            </w:r>
          </w:p>
        </w:tc>
        <w:tc>
          <w:tcPr>
            <w:tcW w:w="1360" w:type="dxa"/>
            <w:tcBorders>
              <w:top w:val="nil"/>
              <w:left w:val="single" w:sz="4" w:space="0" w:color="auto"/>
              <w:bottom w:val="single" w:sz="4" w:space="0" w:color="auto"/>
              <w:right w:val="single" w:sz="4" w:space="0" w:color="auto"/>
            </w:tcBorders>
          </w:tcPr>
          <w:p w14:paraId="3F4267CF"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r>
      <w:tr w:rsidR="0039369E" w:rsidRPr="008C3194" w14:paraId="7394DAA1" w14:textId="77777777" w:rsidTr="0039369E">
        <w:trPr>
          <w:trHeight w:val="288"/>
        </w:trPr>
        <w:tc>
          <w:tcPr>
            <w:tcW w:w="3695" w:type="dxa"/>
            <w:tcBorders>
              <w:top w:val="nil"/>
              <w:left w:val="single" w:sz="4" w:space="0" w:color="auto"/>
              <w:bottom w:val="single" w:sz="4" w:space="0" w:color="auto"/>
              <w:right w:val="single" w:sz="4" w:space="0" w:color="auto"/>
            </w:tcBorders>
            <w:shd w:val="clear" w:color="auto" w:fill="auto"/>
            <w:noWrap/>
            <w:vAlign w:val="bottom"/>
            <w:hideMark/>
          </w:tcPr>
          <w:p w14:paraId="0440F619" w14:textId="77777777" w:rsidR="0039369E" w:rsidRPr="008C3194" w:rsidRDefault="0039369E" w:rsidP="0039369E">
            <w:pPr>
              <w:spacing w:after="0" w:line="240" w:lineRule="auto"/>
              <w:jc w:val="lef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Preference Dividend Paid</w:t>
            </w:r>
          </w:p>
        </w:tc>
        <w:tc>
          <w:tcPr>
            <w:tcW w:w="1360" w:type="dxa"/>
            <w:tcBorders>
              <w:top w:val="nil"/>
              <w:left w:val="nil"/>
              <w:bottom w:val="single" w:sz="4" w:space="0" w:color="auto"/>
              <w:right w:val="single" w:sz="4" w:space="0" w:color="auto"/>
            </w:tcBorders>
            <w:shd w:val="clear" w:color="auto" w:fill="auto"/>
            <w:noWrap/>
            <w:vAlign w:val="bottom"/>
          </w:tcPr>
          <w:p w14:paraId="4B2DCC36"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c>
          <w:tcPr>
            <w:tcW w:w="1360" w:type="dxa"/>
            <w:tcBorders>
              <w:top w:val="single" w:sz="4" w:space="0" w:color="auto"/>
              <w:left w:val="nil"/>
              <w:bottom w:val="single" w:sz="4" w:space="0" w:color="auto"/>
              <w:right w:val="single" w:sz="4" w:space="0" w:color="auto"/>
            </w:tcBorders>
            <w:vAlign w:val="bottom"/>
          </w:tcPr>
          <w:p w14:paraId="3700171F"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30000</w:t>
            </w:r>
          </w:p>
        </w:tc>
        <w:tc>
          <w:tcPr>
            <w:tcW w:w="1360" w:type="dxa"/>
            <w:tcBorders>
              <w:top w:val="nil"/>
              <w:left w:val="single" w:sz="4" w:space="0" w:color="auto"/>
              <w:bottom w:val="single" w:sz="4" w:space="0" w:color="auto"/>
              <w:right w:val="single" w:sz="4" w:space="0" w:color="auto"/>
            </w:tcBorders>
          </w:tcPr>
          <w:p w14:paraId="1983E27F"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r>
      <w:tr w:rsidR="0039369E" w:rsidRPr="008C3194" w14:paraId="2ECAD64A" w14:textId="77777777" w:rsidTr="0039369E">
        <w:trPr>
          <w:trHeight w:val="288"/>
        </w:trPr>
        <w:tc>
          <w:tcPr>
            <w:tcW w:w="3695" w:type="dxa"/>
            <w:tcBorders>
              <w:top w:val="nil"/>
              <w:left w:val="single" w:sz="4" w:space="0" w:color="auto"/>
              <w:bottom w:val="single" w:sz="4" w:space="0" w:color="auto"/>
              <w:right w:val="single" w:sz="4" w:space="0" w:color="auto"/>
            </w:tcBorders>
            <w:shd w:val="clear" w:color="auto" w:fill="auto"/>
            <w:noWrap/>
            <w:vAlign w:val="bottom"/>
            <w:hideMark/>
          </w:tcPr>
          <w:p w14:paraId="3094510B" w14:textId="77777777" w:rsidR="0039369E" w:rsidRPr="008C3194" w:rsidRDefault="0039369E" w:rsidP="0039369E">
            <w:pPr>
              <w:spacing w:after="0" w:line="240" w:lineRule="auto"/>
              <w:jc w:val="right"/>
              <w:rPr>
                <w:rFonts w:ascii="Calibri" w:eastAsia="Times New Roman" w:hAnsi="Calibri" w:cs="Calibri"/>
                <w:b/>
                <w:color w:val="000000"/>
                <w:sz w:val="22"/>
                <w:lang w:eastAsia="en-GB"/>
              </w:rPr>
            </w:pPr>
            <w:r w:rsidRPr="008C3194">
              <w:rPr>
                <w:rFonts w:ascii="Calibri" w:eastAsia="Times New Roman" w:hAnsi="Calibri" w:cs="Calibri"/>
                <w:b/>
                <w:color w:val="000000"/>
                <w:sz w:val="22"/>
                <w:lang w:eastAsia="en-GB"/>
              </w:rPr>
              <w:t>Retained Profit for the Year</w:t>
            </w:r>
          </w:p>
        </w:tc>
        <w:tc>
          <w:tcPr>
            <w:tcW w:w="1360" w:type="dxa"/>
            <w:tcBorders>
              <w:top w:val="nil"/>
              <w:left w:val="nil"/>
              <w:bottom w:val="single" w:sz="4" w:space="0" w:color="auto"/>
              <w:right w:val="single" w:sz="4" w:space="0" w:color="auto"/>
            </w:tcBorders>
            <w:shd w:val="clear" w:color="auto" w:fill="auto"/>
            <w:noWrap/>
            <w:vAlign w:val="bottom"/>
            <w:hideMark/>
          </w:tcPr>
          <w:p w14:paraId="44F5E4E5"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c>
          <w:tcPr>
            <w:tcW w:w="1360" w:type="dxa"/>
            <w:tcBorders>
              <w:top w:val="single" w:sz="4" w:space="0" w:color="auto"/>
              <w:left w:val="nil"/>
              <w:bottom w:val="single" w:sz="4" w:space="0" w:color="auto"/>
              <w:right w:val="single" w:sz="4" w:space="0" w:color="auto"/>
            </w:tcBorders>
          </w:tcPr>
          <w:p w14:paraId="285AED20"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p>
        </w:tc>
        <w:tc>
          <w:tcPr>
            <w:tcW w:w="1360" w:type="dxa"/>
            <w:tcBorders>
              <w:top w:val="nil"/>
              <w:left w:val="single" w:sz="4" w:space="0" w:color="auto"/>
              <w:bottom w:val="single" w:sz="4" w:space="0" w:color="auto"/>
              <w:right w:val="single" w:sz="4" w:space="0" w:color="auto"/>
            </w:tcBorders>
          </w:tcPr>
          <w:p w14:paraId="4347A67D" w14:textId="77777777" w:rsidR="0039369E" w:rsidRPr="008C3194" w:rsidRDefault="0039369E" w:rsidP="0039369E">
            <w:pPr>
              <w:spacing w:after="0" w:line="240" w:lineRule="auto"/>
              <w:jc w:val="right"/>
              <w:rPr>
                <w:rFonts w:ascii="Calibri" w:eastAsia="Times New Roman" w:hAnsi="Calibri" w:cs="Calibri"/>
                <w:color w:val="000000"/>
                <w:sz w:val="22"/>
                <w:lang w:eastAsia="en-GB"/>
              </w:rPr>
            </w:pPr>
            <w:r w:rsidRPr="008C3194">
              <w:rPr>
                <w:rFonts w:ascii="Calibri" w:eastAsia="Times New Roman" w:hAnsi="Calibri" w:cs="Calibri"/>
                <w:color w:val="000000"/>
                <w:sz w:val="22"/>
                <w:lang w:eastAsia="en-GB"/>
              </w:rPr>
              <w:t>£</w:t>
            </w:r>
            <w:r>
              <w:rPr>
                <w:rFonts w:ascii="Calibri" w:eastAsia="Times New Roman" w:hAnsi="Calibri" w:cs="Calibri"/>
                <w:color w:val="000000"/>
                <w:sz w:val="22"/>
                <w:lang w:eastAsia="en-GB"/>
              </w:rPr>
              <w:t xml:space="preserve"> </w:t>
            </w:r>
            <w:r w:rsidRPr="008C3194">
              <w:rPr>
                <w:rFonts w:ascii="Calibri" w:eastAsia="Times New Roman" w:hAnsi="Calibri" w:cs="Calibri"/>
                <w:color w:val="000000"/>
                <w:sz w:val="22"/>
                <w:lang w:eastAsia="en-GB"/>
              </w:rPr>
              <w:t>3</w:t>
            </w:r>
            <w:r>
              <w:rPr>
                <w:rFonts w:ascii="Calibri" w:eastAsia="Times New Roman" w:hAnsi="Calibri" w:cs="Calibri"/>
                <w:color w:val="000000"/>
                <w:sz w:val="22"/>
                <w:lang w:eastAsia="en-GB"/>
              </w:rPr>
              <w:t>,</w:t>
            </w:r>
            <w:r w:rsidRPr="008C3194">
              <w:rPr>
                <w:rFonts w:ascii="Calibri" w:eastAsia="Times New Roman" w:hAnsi="Calibri" w:cs="Calibri"/>
                <w:color w:val="000000"/>
                <w:sz w:val="22"/>
                <w:lang w:eastAsia="en-GB"/>
              </w:rPr>
              <w:t>350</w:t>
            </w:r>
          </w:p>
        </w:tc>
      </w:tr>
    </w:tbl>
    <w:p w14:paraId="368B964C" w14:textId="77777777" w:rsidR="0039369E" w:rsidRDefault="0039369E" w:rsidP="0039369E"/>
    <w:p w14:paraId="2411AB0B" w14:textId="77777777" w:rsidR="0039369E" w:rsidRPr="0039369E" w:rsidRDefault="0039369E" w:rsidP="0039369E"/>
    <w:p w14:paraId="54DB78C5" w14:textId="77777777" w:rsidR="0039369E" w:rsidRPr="0039369E" w:rsidRDefault="0039369E" w:rsidP="0039369E"/>
    <w:p w14:paraId="02B50B1E" w14:textId="77777777" w:rsidR="0039369E" w:rsidRPr="0039369E" w:rsidRDefault="0039369E" w:rsidP="0039369E"/>
    <w:p w14:paraId="76782070" w14:textId="77777777" w:rsidR="0039369E" w:rsidRPr="0039369E" w:rsidRDefault="0039369E" w:rsidP="0039369E"/>
    <w:p w14:paraId="79815EC6" w14:textId="77777777" w:rsidR="0039369E" w:rsidRPr="0039369E" w:rsidRDefault="0039369E" w:rsidP="0039369E"/>
    <w:p w14:paraId="731DCD09" w14:textId="77777777" w:rsidR="0039369E" w:rsidRPr="0039369E" w:rsidRDefault="0039369E" w:rsidP="0039369E"/>
    <w:p w14:paraId="594FBCE4" w14:textId="77777777" w:rsidR="0039369E" w:rsidRDefault="0039369E" w:rsidP="0039369E"/>
    <w:p w14:paraId="630E62F3" w14:textId="77777777" w:rsidR="0039369E" w:rsidRDefault="0039369E" w:rsidP="0039369E"/>
    <w:p w14:paraId="39F6E23D" w14:textId="77777777" w:rsidR="0039369E" w:rsidRDefault="0039369E" w:rsidP="0039369E"/>
    <w:p w14:paraId="4F520F75" w14:textId="77777777" w:rsidR="0039369E" w:rsidRDefault="0039369E">
      <w:pPr>
        <w:spacing w:line="259" w:lineRule="auto"/>
        <w:jc w:val="left"/>
      </w:pPr>
      <w:r>
        <w:br w:type="page"/>
      </w:r>
    </w:p>
    <w:p w14:paraId="1A27D86B" w14:textId="77777777" w:rsidR="0039369E" w:rsidRPr="0039369E" w:rsidRDefault="0039369E" w:rsidP="0039369E">
      <w:pPr>
        <w:jc w:val="center"/>
      </w:pPr>
      <w:r w:rsidRPr="0039369E">
        <w:lastRenderedPageBreak/>
        <w:t>Wales Plc</w:t>
      </w:r>
      <w:r w:rsidRPr="0039369E">
        <w:cr/>
        <w:t>Statement of Financial Position</w:t>
      </w:r>
      <w:r w:rsidRPr="0039369E">
        <w:cr/>
        <w:t>The Year Ended 31st December</w:t>
      </w:r>
      <w:r>
        <w:t xml:space="preserve"> 2022</w:t>
      </w:r>
    </w:p>
    <w:tbl>
      <w:tblPr>
        <w:tblpPr w:leftFromText="180" w:rightFromText="180" w:vertAnchor="text" w:horzAnchor="page" w:tblpXSpec="center" w:tblpY="149"/>
        <w:tblOverlap w:val="never"/>
        <w:tblW w:w="7650" w:type="dxa"/>
        <w:tblLook w:val="04A0" w:firstRow="1" w:lastRow="0" w:firstColumn="1" w:lastColumn="0" w:noHBand="0" w:noVBand="1"/>
      </w:tblPr>
      <w:tblGrid>
        <w:gridCol w:w="2910"/>
        <w:gridCol w:w="1180"/>
        <w:gridCol w:w="1360"/>
        <w:gridCol w:w="2200"/>
      </w:tblGrid>
      <w:tr w:rsidR="0039369E" w:rsidRPr="002B06C6" w14:paraId="4719CEA3" w14:textId="77777777" w:rsidTr="0039369E">
        <w:trPr>
          <w:trHeight w:val="288"/>
        </w:trPr>
        <w:tc>
          <w:tcPr>
            <w:tcW w:w="2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A63D58"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Particulars</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14:paraId="558BFC7C"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Amount £</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14:paraId="7661FEA1"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Amount £</w:t>
            </w:r>
          </w:p>
        </w:tc>
        <w:tc>
          <w:tcPr>
            <w:tcW w:w="2200" w:type="dxa"/>
            <w:tcBorders>
              <w:top w:val="single" w:sz="4" w:space="0" w:color="auto"/>
              <w:left w:val="nil"/>
              <w:bottom w:val="single" w:sz="4" w:space="0" w:color="auto"/>
              <w:right w:val="single" w:sz="4" w:space="0" w:color="auto"/>
            </w:tcBorders>
            <w:shd w:val="clear" w:color="auto" w:fill="auto"/>
            <w:noWrap/>
            <w:vAlign w:val="bottom"/>
            <w:hideMark/>
          </w:tcPr>
          <w:p w14:paraId="287261AC"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Amount £</w:t>
            </w:r>
          </w:p>
        </w:tc>
      </w:tr>
      <w:tr w:rsidR="0039369E" w:rsidRPr="002B06C6" w14:paraId="41F5952F"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4419242C" w14:textId="77777777" w:rsidR="0039369E" w:rsidRPr="002B06C6" w:rsidRDefault="0039369E" w:rsidP="0039369E">
            <w:pPr>
              <w:spacing w:after="0" w:line="240" w:lineRule="auto"/>
              <w:jc w:val="left"/>
              <w:rPr>
                <w:rFonts w:ascii="Calibri" w:eastAsia="Times New Roman" w:hAnsi="Calibri" w:cs="Calibri"/>
                <w:b/>
                <w:bCs/>
                <w:color w:val="000000"/>
                <w:sz w:val="22"/>
                <w:lang w:eastAsia="en-GB"/>
              </w:rPr>
            </w:pPr>
            <w:r w:rsidRPr="002B06C6">
              <w:rPr>
                <w:rFonts w:ascii="Calibri" w:eastAsia="Times New Roman" w:hAnsi="Calibri" w:cs="Calibri"/>
                <w:b/>
                <w:bCs/>
                <w:color w:val="000000"/>
                <w:sz w:val="22"/>
                <w:lang w:eastAsia="en-GB"/>
              </w:rPr>
              <w:t>Current Assets</w:t>
            </w:r>
          </w:p>
        </w:tc>
        <w:tc>
          <w:tcPr>
            <w:tcW w:w="1180" w:type="dxa"/>
            <w:tcBorders>
              <w:top w:val="nil"/>
              <w:left w:val="nil"/>
              <w:bottom w:val="single" w:sz="4" w:space="0" w:color="auto"/>
              <w:right w:val="single" w:sz="4" w:space="0" w:color="auto"/>
            </w:tcBorders>
            <w:shd w:val="clear" w:color="auto" w:fill="auto"/>
            <w:noWrap/>
            <w:vAlign w:val="bottom"/>
            <w:hideMark/>
          </w:tcPr>
          <w:p w14:paraId="138D877A"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3792FE7B"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2200" w:type="dxa"/>
            <w:tcBorders>
              <w:top w:val="nil"/>
              <w:left w:val="nil"/>
              <w:bottom w:val="single" w:sz="4" w:space="0" w:color="auto"/>
              <w:right w:val="single" w:sz="4" w:space="0" w:color="auto"/>
            </w:tcBorders>
            <w:shd w:val="clear" w:color="auto" w:fill="auto"/>
            <w:noWrap/>
            <w:vAlign w:val="bottom"/>
            <w:hideMark/>
          </w:tcPr>
          <w:p w14:paraId="1D398024"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4E4CB5AD"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0568F715"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Cash and Bank</w:t>
            </w:r>
          </w:p>
        </w:tc>
        <w:tc>
          <w:tcPr>
            <w:tcW w:w="1180" w:type="dxa"/>
            <w:tcBorders>
              <w:top w:val="nil"/>
              <w:left w:val="nil"/>
              <w:bottom w:val="single" w:sz="4" w:space="0" w:color="auto"/>
              <w:right w:val="single" w:sz="4" w:space="0" w:color="auto"/>
            </w:tcBorders>
            <w:shd w:val="clear" w:color="auto" w:fill="auto"/>
            <w:noWrap/>
            <w:vAlign w:val="bottom"/>
            <w:hideMark/>
          </w:tcPr>
          <w:p w14:paraId="26DB8D4A"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4FC80D40"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£ 96000</w:t>
            </w:r>
          </w:p>
        </w:tc>
        <w:tc>
          <w:tcPr>
            <w:tcW w:w="2200" w:type="dxa"/>
            <w:tcBorders>
              <w:top w:val="nil"/>
              <w:left w:val="nil"/>
              <w:bottom w:val="single" w:sz="4" w:space="0" w:color="auto"/>
              <w:right w:val="single" w:sz="4" w:space="0" w:color="auto"/>
            </w:tcBorders>
            <w:shd w:val="clear" w:color="auto" w:fill="auto"/>
            <w:noWrap/>
            <w:vAlign w:val="bottom"/>
            <w:hideMark/>
          </w:tcPr>
          <w:p w14:paraId="48B12106"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2ABD6BB2"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6FE28729"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Stock</w:t>
            </w:r>
          </w:p>
        </w:tc>
        <w:tc>
          <w:tcPr>
            <w:tcW w:w="1180" w:type="dxa"/>
            <w:tcBorders>
              <w:top w:val="nil"/>
              <w:left w:val="nil"/>
              <w:bottom w:val="single" w:sz="4" w:space="0" w:color="auto"/>
              <w:right w:val="single" w:sz="4" w:space="0" w:color="auto"/>
            </w:tcBorders>
            <w:shd w:val="clear" w:color="auto" w:fill="auto"/>
            <w:noWrap/>
            <w:vAlign w:val="bottom"/>
            <w:hideMark/>
          </w:tcPr>
          <w:p w14:paraId="60681D83"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154120E8"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5,10,850</w:t>
            </w:r>
          </w:p>
        </w:tc>
        <w:tc>
          <w:tcPr>
            <w:tcW w:w="2200" w:type="dxa"/>
            <w:tcBorders>
              <w:top w:val="nil"/>
              <w:left w:val="nil"/>
              <w:bottom w:val="single" w:sz="4" w:space="0" w:color="auto"/>
              <w:right w:val="single" w:sz="4" w:space="0" w:color="auto"/>
            </w:tcBorders>
            <w:shd w:val="clear" w:color="auto" w:fill="auto"/>
            <w:noWrap/>
            <w:vAlign w:val="bottom"/>
            <w:hideMark/>
          </w:tcPr>
          <w:p w14:paraId="7E98107C"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6F890293"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3FD94EE0"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Trade Receivables</w:t>
            </w:r>
          </w:p>
        </w:tc>
        <w:tc>
          <w:tcPr>
            <w:tcW w:w="1180" w:type="dxa"/>
            <w:tcBorders>
              <w:top w:val="nil"/>
              <w:left w:val="nil"/>
              <w:bottom w:val="single" w:sz="4" w:space="0" w:color="auto"/>
              <w:right w:val="single" w:sz="4" w:space="0" w:color="auto"/>
            </w:tcBorders>
            <w:shd w:val="clear" w:color="auto" w:fill="auto"/>
            <w:noWrap/>
            <w:vAlign w:val="bottom"/>
            <w:hideMark/>
          </w:tcPr>
          <w:p w14:paraId="0EB3BE98"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w:t>
            </w:r>
            <w:r>
              <w:rPr>
                <w:rFonts w:ascii="Calibri" w:eastAsia="Times New Roman" w:hAnsi="Calibri" w:cs="Calibri"/>
                <w:color w:val="000000"/>
                <w:sz w:val="22"/>
                <w:lang w:eastAsia="en-GB"/>
              </w:rPr>
              <w:t xml:space="preserve"> </w:t>
            </w:r>
            <w:r w:rsidRPr="002B06C6">
              <w:rPr>
                <w:rFonts w:ascii="Calibri" w:eastAsia="Times New Roman" w:hAnsi="Calibri" w:cs="Calibri"/>
                <w:color w:val="000000"/>
                <w:sz w:val="22"/>
                <w:lang w:eastAsia="en-GB"/>
              </w:rPr>
              <w:t>1,70,125</w:t>
            </w:r>
          </w:p>
        </w:tc>
        <w:tc>
          <w:tcPr>
            <w:tcW w:w="1360" w:type="dxa"/>
            <w:tcBorders>
              <w:top w:val="nil"/>
              <w:left w:val="nil"/>
              <w:bottom w:val="single" w:sz="4" w:space="0" w:color="auto"/>
              <w:right w:val="single" w:sz="4" w:space="0" w:color="auto"/>
            </w:tcBorders>
            <w:shd w:val="clear" w:color="auto" w:fill="auto"/>
            <w:noWrap/>
            <w:vAlign w:val="bottom"/>
            <w:hideMark/>
          </w:tcPr>
          <w:p w14:paraId="20A3912E"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2200" w:type="dxa"/>
            <w:tcBorders>
              <w:top w:val="nil"/>
              <w:left w:val="nil"/>
              <w:bottom w:val="single" w:sz="4" w:space="0" w:color="auto"/>
              <w:right w:val="single" w:sz="4" w:space="0" w:color="auto"/>
            </w:tcBorders>
            <w:shd w:val="clear" w:color="auto" w:fill="auto"/>
            <w:noWrap/>
            <w:vAlign w:val="bottom"/>
            <w:hideMark/>
          </w:tcPr>
          <w:p w14:paraId="3E0561E2"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46CFAEFB"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7634BBAF"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Goods sent to customers</w:t>
            </w:r>
          </w:p>
        </w:tc>
        <w:tc>
          <w:tcPr>
            <w:tcW w:w="1180" w:type="dxa"/>
            <w:tcBorders>
              <w:top w:val="nil"/>
              <w:left w:val="nil"/>
              <w:bottom w:val="single" w:sz="4" w:space="0" w:color="auto"/>
              <w:right w:val="single" w:sz="4" w:space="0" w:color="auto"/>
            </w:tcBorders>
            <w:shd w:val="clear" w:color="auto" w:fill="auto"/>
            <w:noWrap/>
            <w:vAlign w:val="bottom"/>
            <w:hideMark/>
          </w:tcPr>
          <w:p w14:paraId="60111332"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980</w:t>
            </w:r>
          </w:p>
        </w:tc>
        <w:tc>
          <w:tcPr>
            <w:tcW w:w="1360" w:type="dxa"/>
            <w:tcBorders>
              <w:top w:val="nil"/>
              <w:left w:val="nil"/>
              <w:bottom w:val="single" w:sz="4" w:space="0" w:color="auto"/>
              <w:right w:val="single" w:sz="4" w:space="0" w:color="auto"/>
            </w:tcBorders>
            <w:shd w:val="clear" w:color="auto" w:fill="auto"/>
            <w:noWrap/>
            <w:vAlign w:val="bottom"/>
            <w:hideMark/>
          </w:tcPr>
          <w:p w14:paraId="0A1A514A"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1,71,105</w:t>
            </w:r>
          </w:p>
        </w:tc>
        <w:tc>
          <w:tcPr>
            <w:tcW w:w="2200" w:type="dxa"/>
            <w:tcBorders>
              <w:top w:val="nil"/>
              <w:left w:val="nil"/>
              <w:bottom w:val="single" w:sz="4" w:space="0" w:color="auto"/>
              <w:right w:val="single" w:sz="4" w:space="0" w:color="auto"/>
            </w:tcBorders>
            <w:shd w:val="clear" w:color="auto" w:fill="auto"/>
            <w:noWrap/>
            <w:vAlign w:val="bottom"/>
            <w:hideMark/>
          </w:tcPr>
          <w:p w14:paraId="2EAD3B7B"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7BF978B9"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2878B019" w14:textId="77777777" w:rsidR="0039369E" w:rsidRPr="002B06C6" w:rsidRDefault="0039369E" w:rsidP="0039369E">
            <w:pPr>
              <w:spacing w:after="0" w:line="240" w:lineRule="auto"/>
              <w:jc w:val="right"/>
              <w:rPr>
                <w:rFonts w:ascii="Calibri" w:eastAsia="Times New Roman" w:hAnsi="Calibri" w:cs="Calibri"/>
                <w:b/>
                <w:bCs/>
                <w:color w:val="000000"/>
                <w:sz w:val="22"/>
                <w:lang w:eastAsia="en-GB"/>
              </w:rPr>
            </w:pPr>
            <w:r w:rsidRPr="002B06C6">
              <w:rPr>
                <w:rFonts w:ascii="Calibri" w:eastAsia="Times New Roman" w:hAnsi="Calibri" w:cs="Calibri"/>
                <w:b/>
                <w:bCs/>
                <w:color w:val="000000"/>
                <w:sz w:val="22"/>
                <w:lang w:eastAsia="en-GB"/>
              </w:rPr>
              <w:t>Total Current Assets</w:t>
            </w:r>
          </w:p>
        </w:tc>
        <w:tc>
          <w:tcPr>
            <w:tcW w:w="1180" w:type="dxa"/>
            <w:tcBorders>
              <w:top w:val="nil"/>
              <w:left w:val="nil"/>
              <w:bottom w:val="single" w:sz="4" w:space="0" w:color="auto"/>
              <w:right w:val="single" w:sz="4" w:space="0" w:color="auto"/>
            </w:tcBorders>
            <w:shd w:val="clear" w:color="auto" w:fill="auto"/>
            <w:noWrap/>
            <w:vAlign w:val="bottom"/>
            <w:hideMark/>
          </w:tcPr>
          <w:p w14:paraId="39086B8D"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1312CA1B"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2200" w:type="dxa"/>
            <w:tcBorders>
              <w:top w:val="nil"/>
              <w:left w:val="nil"/>
              <w:bottom w:val="single" w:sz="4" w:space="0" w:color="auto"/>
              <w:right w:val="single" w:sz="4" w:space="0" w:color="auto"/>
            </w:tcBorders>
            <w:shd w:val="clear" w:color="auto" w:fill="auto"/>
            <w:noWrap/>
            <w:vAlign w:val="bottom"/>
            <w:hideMark/>
          </w:tcPr>
          <w:p w14:paraId="52E02508"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w:t>
            </w:r>
            <w:r>
              <w:rPr>
                <w:rFonts w:ascii="Calibri" w:eastAsia="Times New Roman" w:hAnsi="Calibri" w:cs="Calibri"/>
                <w:color w:val="000000"/>
                <w:sz w:val="22"/>
                <w:lang w:eastAsia="en-GB"/>
              </w:rPr>
              <w:t xml:space="preserve"> </w:t>
            </w:r>
            <w:r w:rsidRPr="002B06C6">
              <w:rPr>
                <w:rFonts w:ascii="Calibri" w:eastAsia="Times New Roman" w:hAnsi="Calibri" w:cs="Calibri"/>
                <w:color w:val="000000"/>
                <w:sz w:val="22"/>
                <w:lang w:eastAsia="en-GB"/>
              </w:rPr>
              <w:t>7,77,955</w:t>
            </w:r>
          </w:p>
        </w:tc>
      </w:tr>
      <w:tr w:rsidR="0039369E" w:rsidRPr="002B06C6" w14:paraId="6308704C"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2C9942BA" w14:textId="77777777" w:rsidR="0039369E" w:rsidRPr="002B06C6" w:rsidRDefault="0039369E" w:rsidP="0039369E">
            <w:pPr>
              <w:spacing w:after="0" w:line="240" w:lineRule="auto"/>
              <w:jc w:val="left"/>
              <w:rPr>
                <w:rFonts w:ascii="Calibri" w:eastAsia="Times New Roman" w:hAnsi="Calibri" w:cs="Calibri"/>
                <w:b/>
                <w:bCs/>
                <w:color w:val="000000"/>
                <w:sz w:val="22"/>
                <w:lang w:eastAsia="en-GB"/>
              </w:rPr>
            </w:pPr>
            <w:r w:rsidRPr="002B06C6">
              <w:rPr>
                <w:rFonts w:ascii="Calibri" w:eastAsia="Times New Roman" w:hAnsi="Calibri" w:cs="Calibri"/>
                <w:b/>
                <w:bCs/>
                <w:color w:val="000000"/>
                <w:sz w:val="22"/>
                <w:lang w:eastAsia="en-GB"/>
              </w:rPr>
              <w:t>Non-Current Assets</w:t>
            </w:r>
          </w:p>
        </w:tc>
        <w:tc>
          <w:tcPr>
            <w:tcW w:w="1180" w:type="dxa"/>
            <w:tcBorders>
              <w:top w:val="nil"/>
              <w:left w:val="nil"/>
              <w:bottom w:val="single" w:sz="4" w:space="0" w:color="auto"/>
              <w:right w:val="single" w:sz="4" w:space="0" w:color="auto"/>
            </w:tcBorders>
            <w:shd w:val="clear" w:color="auto" w:fill="auto"/>
            <w:noWrap/>
            <w:vAlign w:val="bottom"/>
            <w:hideMark/>
          </w:tcPr>
          <w:p w14:paraId="0EA1943E"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67C0CA9D"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2200" w:type="dxa"/>
            <w:tcBorders>
              <w:top w:val="nil"/>
              <w:left w:val="nil"/>
              <w:bottom w:val="single" w:sz="4" w:space="0" w:color="auto"/>
              <w:right w:val="single" w:sz="4" w:space="0" w:color="auto"/>
            </w:tcBorders>
            <w:shd w:val="clear" w:color="auto" w:fill="auto"/>
            <w:noWrap/>
            <w:vAlign w:val="bottom"/>
            <w:hideMark/>
          </w:tcPr>
          <w:p w14:paraId="6A29DCCC"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10A8C591"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55C90CEB"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Plant and Equipment</w:t>
            </w:r>
          </w:p>
        </w:tc>
        <w:tc>
          <w:tcPr>
            <w:tcW w:w="1180" w:type="dxa"/>
            <w:tcBorders>
              <w:top w:val="nil"/>
              <w:left w:val="nil"/>
              <w:bottom w:val="single" w:sz="4" w:space="0" w:color="auto"/>
              <w:right w:val="single" w:sz="4" w:space="0" w:color="auto"/>
            </w:tcBorders>
            <w:shd w:val="clear" w:color="auto" w:fill="auto"/>
            <w:noWrap/>
            <w:vAlign w:val="bottom"/>
            <w:hideMark/>
          </w:tcPr>
          <w:p w14:paraId="1D017023"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5B379D3E"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2200" w:type="dxa"/>
            <w:tcBorders>
              <w:top w:val="nil"/>
              <w:left w:val="nil"/>
              <w:bottom w:val="single" w:sz="4" w:space="0" w:color="auto"/>
              <w:right w:val="single" w:sz="4" w:space="0" w:color="auto"/>
            </w:tcBorders>
            <w:shd w:val="clear" w:color="auto" w:fill="auto"/>
            <w:noWrap/>
            <w:vAlign w:val="bottom"/>
            <w:hideMark/>
          </w:tcPr>
          <w:p w14:paraId="7F984C01"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12,50,000</w:t>
            </w:r>
          </w:p>
        </w:tc>
      </w:tr>
      <w:tr w:rsidR="0039369E" w:rsidRPr="002B06C6" w14:paraId="1EA3DCDF"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35B00140"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 </w:t>
            </w:r>
          </w:p>
        </w:tc>
        <w:tc>
          <w:tcPr>
            <w:tcW w:w="1180" w:type="dxa"/>
            <w:tcBorders>
              <w:top w:val="nil"/>
              <w:left w:val="nil"/>
              <w:bottom w:val="single" w:sz="4" w:space="0" w:color="auto"/>
              <w:right w:val="single" w:sz="4" w:space="0" w:color="auto"/>
            </w:tcBorders>
            <w:shd w:val="clear" w:color="auto" w:fill="auto"/>
            <w:noWrap/>
            <w:vAlign w:val="bottom"/>
            <w:hideMark/>
          </w:tcPr>
          <w:p w14:paraId="3C2CC938"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1D304270"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2200" w:type="dxa"/>
            <w:tcBorders>
              <w:top w:val="nil"/>
              <w:left w:val="nil"/>
              <w:bottom w:val="single" w:sz="4" w:space="0" w:color="auto"/>
              <w:right w:val="single" w:sz="4" w:space="0" w:color="auto"/>
            </w:tcBorders>
            <w:shd w:val="clear" w:color="auto" w:fill="auto"/>
            <w:noWrap/>
            <w:vAlign w:val="bottom"/>
            <w:hideMark/>
          </w:tcPr>
          <w:p w14:paraId="5F71750A"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53848708" w14:textId="77777777" w:rsidTr="0039369E">
        <w:trPr>
          <w:trHeight w:val="300"/>
        </w:trPr>
        <w:tc>
          <w:tcPr>
            <w:tcW w:w="2910" w:type="dxa"/>
            <w:tcBorders>
              <w:top w:val="nil"/>
              <w:left w:val="single" w:sz="4" w:space="0" w:color="auto"/>
              <w:bottom w:val="nil"/>
              <w:right w:val="single" w:sz="4" w:space="0" w:color="auto"/>
            </w:tcBorders>
            <w:shd w:val="clear" w:color="auto" w:fill="auto"/>
            <w:noWrap/>
            <w:vAlign w:val="bottom"/>
            <w:hideMark/>
          </w:tcPr>
          <w:p w14:paraId="0F5D217E" w14:textId="77777777" w:rsidR="0039369E" w:rsidRPr="002B06C6" w:rsidRDefault="0039369E" w:rsidP="0039369E">
            <w:pPr>
              <w:spacing w:after="0" w:line="240" w:lineRule="auto"/>
              <w:jc w:val="left"/>
              <w:rPr>
                <w:rFonts w:ascii="Calibri" w:eastAsia="Times New Roman" w:hAnsi="Calibri" w:cs="Calibri"/>
                <w:b/>
                <w:bCs/>
                <w:color w:val="000000"/>
                <w:sz w:val="22"/>
                <w:lang w:eastAsia="en-GB"/>
              </w:rPr>
            </w:pPr>
            <w:r w:rsidRPr="002B06C6">
              <w:rPr>
                <w:rFonts w:ascii="Calibri" w:eastAsia="Times New Roman" w:hAnsi="Calibri" w:cs="Calibri"/>
                <w:b/>
                <w:bCs/>
                <w:color w:val="000000"/>
                <w:sz w:val="22"/>
                <w:lang w:eastAsia="en-GB"/>
              </w:rPr>
              <w:t>Total Assets</w:t>
            </w:r>
          </w:p>
        </w:tc>
        <w:tc>
          <w:tcPr>
            <w:tcW w:w="1180" w:type="dxa"/>
            <w:tcBorders>
              <w:top w:val="nil"/>
              <w:left w:val="nil"/>
              <w:bottom w:val="nil"/>
              <w:right w:val="single" w:sz="4" w:space="0" w:color="auto"/>
            </w:tcBorders>
            <w:shd w:val="clear" w:color="auto" w:fill="auto"/>
            <w:noWrap/>
            <w:vAlign w:val="bottom"/>
            <w:hideMark/>
          </w:tcPr>
          <w:p w14:paraId="02DAA762"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nil"/>
              <w:right w:val="single" w:sz="4" w:space="0" w:color="auto"/>
            </w:tcBorders>
            <w:shd w:val="clear" w:color="auto" w:fill="auto"/>
            <w:noWrap/>
            <w:vAlign w:val="bottom"/>
            <w:hideMark/>
          </w:tcPr>
          <w:p w14:paraId="19540E74"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2200" w:type="dxa"/>
            <w:tcBorders>
              <w:top w:val="nil"/>
              <w:left w:val="nil"/>
              <w:bottom w:val="nil"/>
              <w:right w:val="single" w:sz="4" w:space="0" w:color="auto"/>
            </w:tcBorders>
            <w:shd w:val="clear" w:color="auto" w:fill="auto"/>
            <w:noWrap/>
            <w:vAlign w:val="bottom"/>
            <w:hideMark/>
          </w:tcPr>
          <w:p w14:paraId="48BB464B" w14:textId="77777777" w:rsidR="0039369E" w:rsidRPr="002B06C6" w:rsidRDefault="0039369E" w:rsidP="0039369E">
            <w:pPr>
              <w:spacing w:after="0" w:line="240" w:lineRule="auto"/>
              <w:jc w:val="center"/>
              <w:rPr>
                <w:rFonts w:ascii="Calibri" w:eastAsia="Times New Roman" w:hAnsi="Calibri" w:cs="Calibri"/>
                <w:b/>
                <w:color w:val="000000"/>
                <w:sz w:val="22"/>
                <w:lang w:eastAsia="en-GB"/>
              </w:rPr>
            </w:pPr>
            <w:r w:rsidRPr="002B06C6">
              <w:rPr>
                <w:rFonts w:ascii="Calibri" w:eastAsia="Times New Roman" w:hAnsi="Calibri" w:cs="Calibri"/>
                <w:color w:val="000000"/>
                <w:sz w:val="22"/>
                <w:lang w:eastAsia="en-GB"/>
              </w:rPr>
              <w:t>£</w:t>
            </w:r>
            <w:r>
              <w:rPr>
                <w:rFonts w:ascii="Calibri" w:eastAsia="Times New Roman" w:hAnsi="Calibri" w:cs="Calibri"/>
                <w:color w:val="000000"/>
                <w:sz w:val="22"/>
                <w:lang w:eastAsia="en-GB"/>
              </w:rPr>
              <w:t xml:space="preserve"> </w:t>
            </w:r>
            <w:r w:rsidRPr="002B06C6">
              <w:rPr>
                <w:rFonts w:ascii="Calibri" w:eastAsia="Times New Roman" w:hAnsi="Calibri" w:cs="Calibri"/>
                <w:b/>
                <w:color w:val="000000"/>
                <w:sz w:val="22"/>
                <w:lang w:eastAsia="en-GB"/>
              </w:rPr>
              <w:t>20,27,955</w:t>
            </w:r>
          </w:p>
        </w:tc>
      </w:tr>
      <w:tr w:rsidR="0039369E" w:rsidRPr="002B06C6" w14:paraId="661E1DF0" w14:textId="77777777" w:rsidTr="0039369E">
        <w:trPr>
          <w:trHeight w:val="288"/>
        </w:trPr>
        <w:tc>
          <w:tcPr>
            <w:tcW w:w="2910" w:type="dxa"/>
            <w:tcBorders>
              <w:top w:val="single" w:sz="8" w:space="0" w:color="auto"/>
              <w:left w:val="single" w:sz="8" w:space="0" w:color="auto"/>
              <w:bottom w:val="nil"/>
              <w:right w:val="nil"/>
            </w:tcBorders>
            <w:shd w:val="clear" w:color="auto" w:fill="auto"/>
            <w:noWrap/>
            <w:vAlign w:val="bottom"/>
            <w:hideMark/>
          </w:tcPr>
          <w:p w14:paraId="1E3D2B4E" w14:textId="77777777" w:rsidR="0039369E" w:rsidRPr="002B06C6" w:rsidRDefault="0039369E" w:rsidP="0039369E">
            <w:pPr>
              <w:spacing w:after="0" w:line="240" w:lineRule="auto"/>
              <w:jc w:val="left"/>
              <w:rPr>
                <w:rFonts w:ascii="Calibri" w:eastAsia="Times New Roman" w:hAnsi="Calibri" w:cs="Calibri"/>
                <w:b/>
                <w:bCs/>
                <w:color w:val="000000"/>
                <w:sz w:val="22"/>
                <w:lang w:eastAsia="en-GB"/>
              </w:rPr>
            </w:pPr>
            <w:r w:rsidRPr="002B06C6">
              <w:rPr>
                <w:rFonts w:ascii="Calibri" w:eastAsia="Times New Roman" w:hAnsi="Calibri" w:cs="Calibri"/>
                <w:b/>
                <w:bCs/>
                <w:color w:val="000000"/>
                <w:sz w:val="22"/>
                <w:lang w:eastAsia="en-GB"/>
              </w:rPr>
              <w:t> </w:t>
            </w:r>
          </w:p>
        </w:tc>
        <w:tc>
          <w:tcPr>
            <w:tcW w:w="1180" w:type="dxa"/>
            <w:tcBorders>
              <w:top w:val="single" w:sz="8" w:space="0" w:color="auto"/>
              <w:left w:val="nil"/>
              <w:bottom w:val="nil"/>
              <w:right w:val="nil"/>
            </w:tcBorders>
            <w:shd w:val="clear" w:color="auto" w:fill="auto"/>
            <w:noWrap/>
            <w:vAlign w:val="bottom"/>
            <w:hideMark/>
          </w:tcPr>
          <w:p w14:paraId="2BB30A4E"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single" w:sz="8" w:space="0" w:color="auto"/>
              <w:left w:val="nil"/>
              <w:bottom w:val="nil"/>
              <w:right w:val="nil"/>
            </w:tcBorders>
            <w:shd w:val="clear" w:color="auto" w:fill="auto"/>
            <w:noWrap/>
            <w:vAlign w:val="bottom"/>
            <w:hideMark/>
          </w:tcPr>
          <w:p w14:paraId="0E9F2A4E"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2200" w:type="dxa"/>
            <w:tcBorders>
              <w:top w:val="single" w:sz="8" w:space="0" w:color="auto"/>
              <w:left w:val="nil"/>
              <w:bottom w:val="nil"/>
              <w:right w:val="single" w:sz="8" w:space="0" w:color="auto"/>
            </w:tcBorders>
            <w:shd w:val="clear" w:color="auto" w:fill="auto"/>
            <w:noWrap/>
            <w:vAlign w:val="bottom"/>
            <w:hideMark/>
          </w:tcPr>
          <w:p w14:paraId="0B26AF42"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2298CD06" w14:textId="77777777" w:rsidTr="0039369E">
        <w:trPr>
          <w:trHeight w:val="300"/>
        </w:trPr>
        <w:tc>
          <w:tcPr>
            <w:tcW w:w="2910" w:type="dxa"/>
            <w:tcBorders>
              <w:top w:val="nil"/>
              <w:left w:val="single" w:sz="8" w:space="0" w:color="auto"/>
              <w:bottom w:val="single" w:sz="8" w:space="0" w:color="auto"/>
              <w:right w:val="nil"/>
            </w:tcBorders>
            <w:shd w:val="clear" w:color="auto" w:fill="auto"/>
            <w:noWrap/>
            <w:vAlign w:val="bottom"/>
            <w:hideMark/>
          </w:tcPr>
          <w:p w14:paraId="2C6F6B69"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 </w:t>
            </w:r>
          </w:p>
        </w:tc>
        <w:tc>
          <w:tcPr>
            <w:tcW w:w="1180" w:type="dxa"/>
            <w:tcBorders>
              <w:top w:val="nil"/>
              <w:left w:val="nil"/>
              <w:bottom w:val="single" w:sz="8" w:space="0" w:color="auto"/>
              <w:right w:val="nil"/>
            </w:tcBorders>
            <w:shd w:val="clear" w:color="auto" w:fill="auto"/>
            <w:noWrap/>
            <w:vAlign w:val="bottom"/>
            <w:hideMark/>
          </w:tcPr>
          <w:p w14:paraId="49787236"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8" w:space="0" w:color="auto"/>
              <w:right w:val="nil"/>
            </w:tcBorders>
            <w:shd w:val="clear" w:color="auto" w:fill="auto"/>
            <w:noWrap/>
            <w:vAlign w:val="bottom"/>
            <w:hideMark/>
          </w:tcPr>
          <w:p w14:paraId="2CC25E01"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2200" w:type="dxa"/>
            <w:tcBorders>
              <w:top w:val="nil"/>
              <w:left w:val="nil"/>
              <w:bottom w:val="single" w:sz="8" w:space="0" w:color="auto"/>
              <w:right w:val="single" w:sz="8" w:space="0" w:color="auto"/>
            </w:tcBorders>
            <w:shd w:val="clear" w:color="auto" w:fill="auto"/>
            <w:noWrap/>
            <w:vAlign w:val="bottom"/>
            <w:hideMark/>
          </w:tcPr>
          <w:p w14:paraId="379D24C8"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6FAFC063"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5AFE13C7" w14:textId="77777777" w:rsidR="0039369E" w:rsidRPr="002B06C6" w:rsidRDefault="0039369E" w:rsidP="0039369E">
            <w:pPr>
              <w:spacing w:after="0" w:line="240" w:lineRule="auto"/>
              <w:jc w:val="left"/>
              <w:rPr>
                <w:rFonts w:ascii="Calibri" w:eastAsia="Times New Roman" w:hAnsi="Calibri" w:cs="Calibri"/>
                <w:b/>
                <w:bCs/>
                <w:color w:val="000000"/>
                <w:sz w:val="22"/>
                <w:lang w:eastAsia="en-GB"/>
              </w:rPr>
            </w:pPr>
            <w:r w:rsidRPr="002B06C6">
              <w:rPr>
                <w:rFonts w:ascii="Calibri" w:eastAsia="Times New Roman" w:hAnsi="Calibri" w:cs="Calibri"/>
                <w:b/>
                <w:bCs/>
                <w:color w:val="000000"/>
                <w:sz w:val="22"/>
                <w:lang w:eastAsia="en-GB"/>
              </w:rPr>
              <w:t>Current Liabilities</w:t>
            </w:r>
          </w:p>
        </w:tc>
        <w:tc>
          <w:tcPr>
            <w:tcW w:w="1180" w:type="dxa"/>
            <w:tcBorders>
              <w:top w:val="nil"/>
              <w:left w:val="nil"/>
              <w:bottom w:val="single" w:sz="4" w:space="0" w:color="auto"/>
              <w:right w:val="single" w:sz="4" w:space="0" w:color="auto"/>
            </w:tcBorders>
            <w:shd w:val="clear" w:color="auto" w:fill="auto"/>
            <w:noWrap/>
            <w:vAlign w:val="bottom"/>
            <w:hideMark/>
          </w:tcPr>
          <w:p w14:paraId="6049A6C3"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048F6F25"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2200" w:type="dxa"/>
            <w:tcBorders>
              <w:top w:val="nil"/>
              <w:left w:val="nil"/>
              <w:bottom w:val="single" w:sz="4" w:space="0" w:color="auto"/>
              <w:right w:val="single" w:sz="4" w:space="0" w:color="auto"/>
            </w:tcBorders>
            <w:shd w:val="clear" w:color="auto" w:fill="auto"/>
            <w:noWrap/>
            <w:vAlign w:val="bottom"/>
            <w:hideMark/>
          </w:tcPr>
          <w:p w14:paraId="0DA78BED"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47A67C0A"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44748622"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Trade Payables</w:t>
            </w:r>
          </w:p>
        </w:tc>
        <w:tc>
          <w:tcPr>
            <w:tcW w:w="1180" w:type="dxa"/>
            <w:tcBorders>
              <w:top w:val="nil"/>
              <w:left w:val="nil"/>
              <w:bottom w:val="single" w:sz="4" w:space="0" w:color="auto"/>
              <w:right w:val="single" w:sz="4" w:space="0" w:color="auto"/>
            </w:tcBorders>
            <w:shd w:val="clear" w:color="auto" w:fill="auto"/>
            <w:noWrap/>
            <w:vAlign w:val="bottom"/>
            <w:hideMark/>
          </w:tcPr>
          <w:p w14:paraId="454A9D0B"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5A778EE7"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1,88,625</w:t>
            </w:r>
          </w:p>
        </w:tc>
        <w:tc>
          <w:tcPr>
            <w:tcW w:w="2200" w:type="dxa"/>
            <w:tcBorders>
              <w:top w:val="nil"/>
              <w:left w:val="nil"/>
              <w:bottom w:val="single" w:sz="4" w:space="0" w:color="auto"/>
              <w:right w:val="single" w:sz="4" w:space="0" w:color="auto"/>
            </w:tcBorders>
            <w:shd w:val="clear" w:color="auto" w:fill="auto"/>
            <w:noWrap/>
            <w:vAlign w:val="bottom"/>
            <w:hideMark/>
          </w:tcPr>
          <w:p w14:paraId="37B220F1"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19EE27BC"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58F17834"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Salesmen Commission Payable</w:t>
            </w:r>
          </w:p>
        </w:tc>
        <w:tc>
          <w:tcPr>
            <w:tcW w:w="1180" w:type="dxa"/>
            <w:tcBorders>
              <w:top w:val="nil"/>
              <w:left w:val="nil"/>
              <w:bottom w:val="single" w:sz="4" w:space="0" w:color="auto"/>
              <w:right w:val="single" w:sz="4" w:space="0" w:color="auto"/>
            </w:tcBorders>
            <w:shd w:val="clear" w:color="auto" w:fill="auto"/>
            <w:noWrap/>
            <w:vAlign w:val="bottom"/>
            <w:hideMark/>
          </w:tcPr>
          <w:p w14:paraId="429D444C"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2651F68C"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3,000</w:t>
            </w:r>
          </w:p>
        </w:tc>
        <w:tc>
          <w:tcPr>
            <w:tcW w:w="2200" w:type="dxa"/>
            <w:tcBorders>
              <w:top w:val="nil"/>
              <w:left w:val="nil"/>
              <w:bottom w:val="single" w:sz="4" w:space="0" w:color="auto"/>
              <w:right w:val="single" w:sz="4" w:space="0" w:color="auto"/>
            </w:tcBorders>
            <w:shd w:val="clear" w:color="auto" w:fill="auto"/>
            <w:noWrap/>
            <w:vAlign w:val="bottom"/>
            <w:hideMark/>
          </w:tcPr>
          <w:p w14:paraId="316C11A8"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5CD5679C"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607718A2"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Corporation Tax Payable</w:t>
            </w:r>
          </w:p>
        </w:tc>
        <w:tc>
          <w:tcPr>
            <w:tcW w:w="1180" w:type="dxa"/>
            <w:tcBorders>
              <w:top w:val="nil"/>
              <w:left w:val="nil"/>
              <w:bottom w:val="single" w:sz="4" w:space="0" w:color="auto"/>
              <w:right w:val="single" w:sz="4" w:space="0" w:color="auto"/>
            </w:tcBorders>
            <w:shd w:val="clear" w:color="auto" w:fill="auto"/>
            <w:noWrap/>
            <w:vAlign w:val="bottom"/>
            <w:hideMark/>
          </w:tcPr>
          <w:p w14:paraId="53F8E7AD"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0EDCB61C"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1,00,000</w:t>
            </w:r>
          </w:p>
        </w:tc>
        <w:tc>
          <w:tcPr>
            <w:tcW w:w="2200" w:type="dxa"/>
            <w:tcBorders>
              <w:top w:val="nil"/>
              <w:left w:val="nil"/>
              <w:bottom w:val="single" w:sz="4" w:space="0" w:color="auto"/>
              <w:right w:val="single" w:sz="4" w:space="0" w:color="auto"/>
            </w:tcBorders>
            <w:shd w:val="clear" w:color="auto" w:fill="auto"/>
            <w:noWrap/>
            <w:vAlign w:val="bottom"/>
            <w:hideMark/>
          </w:tcPr>
          <w:p w14:paraId="444316FB"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04EF639B"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01F4B001" w14:textId="77777777" w:rsidR="0039369E" w:rsidRPr="002B06C6" w:rsidRDefault="0039369E" w:rsidP="0039369E">
            <w:pPr>
              <w:spacing w:after="0" w:line="240" w:lineRule="auto"/>
              <w:jc w:val="right"/>
              <w:rPr>
                <w:rFonts w:ascii="Calibri" w:eastAsia="Times New Roman" w:hAnsi="Calibri" w:cs="Calibri"/>
                <w:b/>
                <w:bCs/>
                <w:color w:val="000000"/>
                <w:sz w:val="22"/>
                <w:lang w:eastAsia="en-GB"/>
              </w:rPr>
            </w:pPr>
            <w:r w:rsidRPr="002B06C6">
              <w:rPr>
                <w:rFonts w:ascii="Calibri" w:eastAsia="Times New Roman" w:hAnsi="Calibri" w:cs="Calibri"/>
                <w:b/>
                <w:bCs/>
                <w:color w:val="000000"/>
                <w:sz w:val="22"/>
                <w:lang w:eastAsia="en-GB"/>
              </w:rPr>
              <w:t>Total Current Liabilities</w:t>
            </w:r>
          </w:p>
        </w:tc>
        <w:tc>
          <w:tcPr>
            <w:tcW w:w="1180" w:type="dxa"/>
            <w:tcBorders>
              <w:top w:val="nil"/>
              <w:left w:val="nil"/>
              <w:bottom w:val="single" w:sz="4" w:space="0" w:color="auto"/>
              <w:right w:val="single" w:sz="4" w:space="0" w:color="auto"/>
            </w:tcBorders>
            <w:shd w:val="clear" w:color="auto" w:fill="auto"/>
            <w:noWrap/>
            <w:vAlign w:val="bottom"/>
            <w:hideMark/>
          </w:tcPr>
          <w:p w14:paraId="2310D228"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575B206C"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2200" w:type="dxa"/>
            <w:tcBorders>
              <w:top w:val="nil"/>
              <w:left w:val="nil"/>
              <w:bottom w:val="single" w:sz="4" w:space="0" w:color="auto"/>
              <w:right w:val="single" w:sz="4" w:space="0" w:color="auto"/>
            </w:tcBorders>
            <w:shd w:val="clear" w:color="auto" w:fill="auto"/>
            <w:noWrap/>
            <w:vAlign w:val="bottom"/>
            <w:hideMark/>
          </w:tcPr>
          <w:p w14:paraId="5DF7C28C"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2,91,625</w:t>
            </w:r>
          </w:p>
        </w:tc>
      </w:tr>
      <w:tr w:rsidR="0039369E" w:rsidRPr="002B06C6" w14:paraId="04D02F9F"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6ECCF69D" w14:textId="77777777" w:rsidR="0039369E" w:rsidRPr="002B06C6" w:rsidRDefault="0039369E" w:rsidP="0039369E">
            <w:pPr>
              <w:spacing w:after="0" w:line="240" w:lineRule="auto"/>
              <w:jc w:val="left"/>
              <w:rPr>
                <w:rFonts w:ascii="Calibri" w:eastAsia="Times New Roman" w:hAnsi="Calibri" w:cs="Calibri"/>
                <w:b/>
                <w:bCs/>
                <w:color w:val="000000"/>
                <w:sz w:val="22"/>
                <w:lang w:eastAsia="en-GB"/>
              </w:rPr>
            </w:pPr>
            <w:r w:rsidRPr="002B06C6">
              <w:rPr>
                <w:rFonts w:ascii="Calibri" w:eastAsia="Times New Roman" w:hAnsi="Calibri" w:cs="Calibri"/>
                <w:b/>
                <w:bCs/>
                <w:color w:val="000000"/>
                <w:sz w:val="22"/>
                <w:lang w:eastAsia="en-GB"/>
              </w:rPr>
              <w:t>Non-current Liabilities</w:t>
            </w:r>
          </w:p>
        </w:tc>
        <w:tc>
          <w:tcPr>
            <w:tcW w:w="1180" w:type="dxa"/>
            <w:tcBorders>
              <w:top w:val="nil"/>
              <w:left w:val="nil"/>
              <w:bottom w:val="single" w:sz="4" w:space="0" w:color="auto"/>
              <w:right w:val="single" w:sz="4" w:space="0" w:color="auto"/>
            </w:tcBorders>
            <w:shd w:val="clear" w:color="auto" w:fill="auto"/>
            <w:noWrap/>
            <w:vAlign w:val="bottom"/>
            <w:hideMark/>
          </w:tcPr>
          <w:p w14:paraId="481DE5E9"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3E0A05AB"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2200" w:type="dxa"/>
            <w:tcBorders>
              <w:top w:val="nil"/>
              <w:left w:val="nil"/>
              <w:bottom w:val="single" w:sz="4" w:space="0" w:color="auto"/>
              <w:right w:val="single" w:sz="4" w:space="0" w:color="auto"/>
            </w:tcBorders>
            <w:shd w:val="clear" w:color="auto" w:fill="auto"/>
            <w:noWrap/>
            <w:vAlign w:val="bottom"/>
            <w:hideMark/>
          </w:tcPr>
          <w:p w14:paraId="21884BC9"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72C23BB5"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41BF92D2"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2% Debentures</w:t>
            </w:r>
          </w:p>
        </w:tc>
        <w:tc>
          <w:tcPr>
            <w:tcW w:w="1180" w:type="dxa"/>
            <w:tcBorders>
              <w:top w:val="nil"/>
              <w:left w:val="nil"/>
              <w:bottom w:val="single" w:sz="4" w:space="0" w:color="auto"/>
              <w:right w:val="single" w:sz="4" w:space="0" w:color="auto"/>
            </w:tcBorders>
            <w:shd w:val="clear" w:color="auto" w:fill="auto"/>
            <w:noWrap/>
            <w:vAlign w:val="bottom"/>
            <w:hideMark/>
          </w:tcPr>
          <w:p w14:paraId="6D7054A2"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096BBC99"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2200" w:type="dxa"/>
            <w:tcBorders>
              <w:top w:val="nil"/>
              <w:left w:val="nil"/>
              <w:bottom w:val="single" w:sz="4" w:space="0" w:color="auto"/>
              <w:right w:val="single" w:sz="4" w:space="0" w:color="auto"/>
            </w:tcBorders>
            <w:shd w:val="clear" w:color="auto" w:fill="auto"/>
            <w:noWrap/>
            <w:vAlign w:val="bottom"/>
            <w:hideMark/>
          </w:tcPr>
          <w:p w14:paraId="052EE2DF"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2,00,000</w:t>
            </w:r>
          </w:p>
        </w:tc>
      </w:tr>
      <w:tr w:rsidR="0039369E" w:rsidRPr="002B06C6" w14:paraId="0B1599E9"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20797F86"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 </w:t>
            </w:r>
          </w:p>
        </w:tc>
        <w:tc>
          <w:tcPr>
            <w:tcW w:w="1180" w:type="dxa"/>
            <w:tcBorders>
              <w:top w:val="nil"/>
              <w:left w:val="nil"/>
              <w:bottom w:val="single" w:sz="4" w:space="0" w:color="auto"/>
              <w:right w:val="single" w:sz="4" w:space="0" w:color="auto"/>
            </w:tcBorders>
            <w:shd w:val="clear" w:color="auto" w:fill="auto"/>
            <w:noWrap/>
            <w:vAlign w:val="bottom"/>
            <w:hideMark/>
          </w:tcPr>
          <w:p w14:paraId="701DF964"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48F556A2"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2200" w:type="dxa"/>
            <w:tcBorders>
              <w:top w:val="nil"/>
              <w:left w:val="nil"/>
              <w:bottom w:val="single" w:sz="4" w:space="0" w:color="auto"/>
              <w:right w:val="single" w:sz="4" w:space="0" w:color="auto"/>
            </w:tcBorders>
            <w:shd w:val="clear" w:color="auto" w:fill="auto"/>
            <w:noWrap/>
            <w:vAlign w:val="bottom"/>
            <w:hideMark/>
          </w:tcPr>
          <w:p w14:paraId="07094E83"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5D1FF62B"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56BE3A76" w14:textId="77777777" w:rsidR="0039369E" w:rsidRPr="002B06C6" w:rsidRDefault="0039369E" w:rsidP="0039369E">
            <w:pPr>
              <w:spacing w:after="0" w:line="240" w:lineRule="auto"/>
              <w:jc w:val="left"/>
              <w:rPr>
                <w:rFonts w:ascii="Calibri" w:eastAsia="Times New Roman" w:hAnsi="Calibri" w:cs="Calibri"/>
                <w:b/>
                <w:bCs/>
                <w:color w:val="000000"/>
                <w:sz w:val="22"/>
                <w:lang w:eastAsia="en-GB"/>
              </w:rPr>
            </w:pPr>
            <w:r w:rsidRPr="002B06C6">
              <w:rPr>
                <w:rFonts w:ascii="Calibri" w:eastAsia="Times New Roman" w:hAnsi="Calibri" w:cs="Calibri"/>
                <w:b/>
                <w:bCs/>
                <w:color w:val="000000"/>
                <w:sz w:val="22"/>
                <w:lang w:eastAsia="en-GB"/>
              </w:rPr>
              <w:t>Total Liabilities</w:t>
            </w:r>
          </w:p>
        </w:tc>
        <w:tc>
          <w:tcPr>
            <w:tcW w:w="1180" w:type="dxa"/>
            <w:tcBorders>
              <w:top w:val="nil"/>
              <w:left w:val="nil"/>
              <w:bottom w:val="single" w:sz="4" w:space="0" w:color="auto"/>
              <w:right w:val="single" w:sz="4" w:space="0" w:color="auto"/>
            </w:tcBorders>
            <w:shd w:val="clear" w:color="auto" w:fill="auto"/>
            <w:noWrap/>
            <w:vAlign w:val="bottom"/>
            <w:hideMark/>
          </w:tcPr>
          <w:p w14:paraId="5AD5B142"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52FE1C7F"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2200" w:type="dxa"/>
            <w:tcBorders>
              <w:top w:val="nil"/>
              <w:left w:val="nil"/>
              <w:bottom w:val="single" w:sz="4" w:space="0" w:color="auto"/>
              <w:right w:val="single" w:sz="4" w:space="0" w:color="auto"/>
            </w:tcBorders>
            <w:shd w:val="clear" w:color="auto" w:fill="auto"/>
            <w:noWrap/>
            <w:vAlign w:val="bottom"/>
            <w:hideMark/>
          </w:tcPr>
          <w:p w14:paraId="79982713"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4,91,625</w:t>
            </w:r>
          </w:p>
        </w:tc>
      </w:tr>
      <w:tr w:rsidR="0039369E" w:rsidRPr="002B06C6" w14:paraId="28B1D0C6"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2E33A99D"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 </w:t>
            </w:r>
          </w:p>
        </w:tc>
        <w:tc>
          <w:tcPr>
            <w:tcW w:w="1180" w:type="dxa"/>
            <w:tcBorders>
              <w:top w:val="nil"/>
              <w:left w:val="nil"/>
              <w:bottom w:val="single" w:sz="4" w:space="0" w:color="auto"/>
              <w:right w:val="single" w:sz="4" w:space="0" w:color="auto"/>
            </w:tcBorders>
            <w:shd w:val="clear" w:color="auto" w:fill="auto"/>
            <w:noWrap/>
            <w:vAlign w:val="bottom"/>
            <w:hideMark/>
          </w:tcPr>
          <w:p w14:paraId="0EFEA549"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5A178C4D"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2200" w:type="dxa"/>
            <w:tcBorders>
              <w:top w:val="nil"/>
              <w:left w:val="nil"/>
              <w:bottom w:val="single" w:sz="4" w:space="0" w:color="auto"/>
              <w:right w:val="single" w:sz="4" w:space="0" w:color="auto"/>
            </w:tcBorders>
            <w:shd w:val="clear" w:color="auto" w:fill="auto"/>
            <w:noWrap/>
            <w:vAlign w:val="bottom"/>
            <w:hideMark/>
          </w:tcPr>
          <w:p w14:paraId="546E5B4F"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583FBC3E"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48A3050F" w14:textId="77777777" w:rsidR="0039369E" w:rsidRPr="002B06C6" w:rsidRDefault="0039369E" w:rsidP="0039369E">
            <w:pPr>
              <w:spacing w:after="0" w:line="240" w:lineRule="auto"/>
              <w:jc w:val="left"/>
              <w:rPr>
                <w:rFonts w:ascii="Calibri" w:eastAsia="Times New Roman" w:hAnsi="Calibri" w:cs="Calibri"/>
                <w:b/>
                <w:bCs/>
                <w:color w:val="000000"/>
                <w:sz w:val="22"/>
                <w:lang w:eastAsia="en-GB"/>
              </w:rPr>
            </w:pPr>
            <w:r w:rsidRPr="002B06C6">
              <w:rPr>
                <w:rFonts w:ascii="Calibri" w:eastAsia="Times New Roman" w:hAnsi="Calibri" w:cs="Calibri"/>
                <w:b/>
                <w:bCs/>
                <w:color w:val="000000"/>
                <w:sz w:val="22"/>
                <w:lang w:eastAsia="en-GB"/>
              </w:rPr>
              <w:t>Owners’ Equity</w:t>
            </w:r>
          </w:p>
        </w:tc>
        <w:tc>
          <w:tcPr>
            <w:tcW w:w="1180" w:type="dxa"/>
            <w:tcBorders>
              <w:top w:val="nil"/>
              <w:left w:val="nil"/>
              <w:bottom w:val="single" w:sz="4" w:space="0" w:color="auto"/>
              <w:right w:val="single" w:sz="4" w:space="0" w:color="auto"/>
            </w:tcBorders>
            <w:shd w:val="clear" w:color="auto" w:fill="auto"/>
            <w:noWrap/>
            <w:vAlign w:val="bottom"/>
            <w:hideMark/>
          </w:tcPr>
          <w:p w14:paraId="3105F514"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4C97D7EE"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2200" w:type="dxa"/>
            <w:tcBorders>
              <w:top w:val="nil"/>
              <w:left w:val="nil"/>
              <w:bottom w:val="single" w:sz="4" w:space="0" w:color="auto"/>
              <w:right w:val="single" w:sz="4" w:space="0" w:color="auto"/>
            </w:tcBorders>
            <w:shd w:val="clear" w:color="auto" w:fill="auto"/>
            <w:noWrap/>
            <w:vAlign w:val="bottom"/>
            <w:hideMark/>
          </w:tcPr>
          <w:p w14:paraId="7843B33A"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5E6CCFD9"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20258040"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 xml:space="preserve">£1 Ordinary Shares </w:t>
            </w:r>
          </w:p>
        </w:tc>
        <w:tc>
          <w:tcPr>
            <w:tcW w:w="1180" w:type="dxa"/>
            <w:tcBorders>
              <w:top w:val="nil"/>
              <w:left w:val="nil"/>
              <w:bottom w:val="single" w:sz="4" w:space="0" w:color="auto"/>
              <w:right w:val="single" w:sz="4" w:space="0" w:color="auto"/>
            </w:tcBorders>
            <w:shd w:val="clear" w:color="auto" w:fill="auto"/>
            <w:noWrap/>
            <w:vAlign w:val="bottom"/>
            <w:hideMark/>
          </w:tcPr>
          <w:p w14:paraId="59B5D60A"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2FE11FB7"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9,00,000</w:t>
            </w:r>
          </w:p>
        </w:tc>
        <w:tc>
          <w:tcPr>
            <w:tcW w:w="2200" w:type="dxa"/>
            <w:tcBorders>
              <w:top w:val="nil"/>
              <w:left w:val="nil"/>
              <w:bottom w:val="single" w:sz="4" w:space="0" w:color="auto"/>
              <w:right w:val="single" w:sz="4" w:space="0" w:color="auto"/>
            </w:tcBorders>
            <w:shd w:val="clear" w:color="auto" w:fill="auto"/>
            <w:noWrap/>
            <w:vAlign w:val="bottom"/>
            <w:hideMark/>
          </w:tcPr>
          <w:p w14:paraId="6A8A8067"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1BE1BEE0"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0F6EAF45"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10% £1 Preference  Shares</w:t>
            </w:r>
          </w:p>
        </w:tc>
        <w:tc>
          <w:tcPr>
            <w:tcW w:w="1180" w:type="dxa"/>
            <w:tcBorders>
              <w:top w:val="nil"/>
              <w:left w:val="nil"/>
              <w:bottom w:val="single" w:sz="4" w:space="0" w:color="auto"/>
              <w:right w:val="single" w:sz="4" w:space="0" w:color="auto"/>
            </w:tcBorders>
            <w:shd w:val="clear" w:color="auto" w:fill="auto"/>
            <w:noWrap/>
            <w:vAlign w:val="bottom"/>
            <w:hideMark/>
          </w:tcPr>
          <w:p w14:paraId="2446B213"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472A4BBC"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5,00,000</w:t>
            </w:r>
          </w:p>
        </w:tc>
        <w:tc>
          <w:tcPr>
            <w:tcW w:w="2200" w:type="dxa"/>
            <w:tcBorders>
              <w:top w:val="nil"/>
              <w:left w:val="nil"/>
              <w:bottom w:val="single" w:sz="4" w:space="0" w:color="auto"/>
              <w:right w:val="single" w:sz="4" w:space="0" w:color="auto"/>
            </w:tcBorders>
            <w:shd w:val="clear" w:color="auto" w:fill="auto"/>
            <w:noWrap/>
            <w:vAlign w:val="bottom"/>
            <w:hideMark/>
          </w:tcPr>
          <w:p w14:paraId="3CA8340E"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0122159A"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3E645D49"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Retained Profit</w:t>
            </w:r>
          </w:p>
        </w:tc>
        <w:tc>
          <w:tcPr>
            <w:tcW w:w="1180" w:type="dxa"/>
            <w:tcBorders>
              <w:top w:val="nil"/>
              <w:left w:val="nil"/>
              <w:bottom w:val="single" w:sz="4" w:space="0" w:color="auto"/>
              <w:right w:val="single" w:sz="4" w:space="0" w:color="auto"/>
            </w:tcBorders>
            <w:shd w:val="clear" w:color="auto" w:fill="auto"/>
            <w:noWrap/>
            <w:vAlign w:val="bottom"/>
            <w:hideMark/>
          </w:tcPr>
          <w:p w14:paraId="2B5B7F0E"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70260523"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2200" w:type="dxa"/>
            <w:tcBorders>
              <w:top w:val="nil"/>
              <w:left w:val="nil"/>
              <w:bottom w:val="single" w:sz="4" w:space="0" w:color="auto"/>
              <w:right w:val="single" w:sz="4" w:space="0" w:color="auto"/>
            </w:tcBorders>
            <w:shd w:val="clear" w:color="auto" w:fill="auto"/>
            <w:noWrap/>
            <w:vAlign w:val="bottom"/>
            <w:hideMark/>
          </w:tcPr>
          <w:p w14:paraId="7DA013BC"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4246F947"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13A363A1" w14:textId="77777777" w:rsidR="0039369E" w:rsidRPr="002B06C6" w:rsidRDefault="0039369E" w:rsidP="0039369E">
            <w:pPr>
              <w:spacing w:after="0" w:line="240" w:lineRule="auto"/>
              <w:jc w:val="righ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Beginning</w:t>
            </w:r>
          </w:p>
        </w:tc>
        <w:tc>
          <w:tcPr>
            <w:tcW w:w="1180" w:type="dxa"/>
            <w:tcBorders>
              <w:top w:val="nil"/>
              <w:left w:val="nil"/>
              <w:bottom w:val="single" w:sz="4" w:space="0" w:color="auto"/>
              <w:right w:val="single" w:sz="4" w:space="0" w:color="auto"/>
            </w:tcBorders>
            <w:shd w:val="clear" w:color="auto" w:fill="auto"/>
            <w:noWrap/>
            <w:vAlign w:val="bottom"/>
            <w:hideMark/>
          </w:tcPr>
          <w:p w14:paraId="7E31D12E"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1,32,000</w:t>
            </w:r>
          </w:p>
        </w:tc>
        <w:tc>
          <w:tcPr>
            <w:tcW w:w="1360" w:type="dxa"/>
            <w:tcBorders>
              <w:top w:val="nil"/>
              <w:left w:val="nil"/>
              <w:bottom w:val="single" w:sz="4" w:space="0" w:color="auto"/>
              <w:right w:val="single" w:sz="4" w:space="0" w:color="auto"/>
            </w:tcBorders>
            <w:shd w:val="clear" w:color="auto" w:fill="auto"/>
            <w:noWrap/>
            <w:vAlign w:val="bottom"/>
            <w:hideMark/>
          </w:tcPr>
          <w:p w14:paraId="5832D82B"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2200" w:type="dxa"/>
            <w:tcBorders>
              <w:top w:val="nil"/>
              <w:left w:val="nil"/>
              <w:bottom w:val="single" w:sz="4" w:space="0" w:color="auto"/>
              <w:right w:val="single" w:sz="4" w:space="0" w:color="auto"/>
            </w:tcBorders>
            <w:shd w:val="clear" w:color="auto" w:fill="auto"/>
            <w:noWrap/>
            <w:vAlign w:val="bottom"/>
            <w:hideMark/>
          </w:tcPr>
          <w:p w14:paraId="319BD4FF"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281EA2EA"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37D5ECF0" w14:textId="77777777" w:rsidR="0039369E" w:rsidRPr="002B06C6" w:rsidRDefault="0039369E" w:rsidP="0039369E">
            <w:pPr>
              <w:spacing w:after="0" w:line="240" w:lineRule="auto"/>
              <w:jc w:val="righ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Current Year</w:t>
            </w:r>
          </w:p>
        </w:tc>
        <w:tc>
          <w:tcPr>
            <w:tcW w:w="1180" w:type="dxa"/>
            <w:tcBorders>
              <w:top w:val="nil"/>
              <w:left w:val="nil"/>
              <w:bottom w:val="single" w:sz="4" w:space="0" w:color="auto"/>
              <w:right w:val="single" w:sz="4" w:space="0" w:color="auto"/>
            </w:tcBorders>
            <w:shd w:val="clear" w:color="auto" w:fill="auto"/>
            <w:noWrap/>
            <w:vAlign w:val="bottom"/>
            <w:hideMark/>
          </w:tcPr>
          <w:p w14:paraId="24EF8C5B"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3,350</w:t>
            </w:r>
          </w:p>
        </w:tc>
        <w:tc>
          <w:tcPr>
            <w:tcW w:w="1360" w:type="dxa"/>
            <w:tcBorders>
              <w:top w:val="nil"/>
              <w:left w:val="nil"/>
              <w:bottom w:val="single" w:sz="4" w:space="0" w:color="auto"/>
              <w:right w:val="single" w:sz="4" w:space="0" w:color="auto"/>
            </w:tcBorders>
            <w:shd w:val="clear" w:color="auto" w:fill="auto"/>
            <w:noWrap/>
            <w:vAlign w:val="bottom"/>
            <w:hideMark/>
          </w:tcPr>
          <w:p w14:paraId="14E83862"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1,35,350</w:t>
            </w:r>
          </w:p>
        </w:tc>
        <w:tc>
          <w:tcPr>
            <w:tcW w:w="2200" w:type="dxa"/>
            <w:tcBorders>
              <w:top w:val="nil"/>
              <w:left w:val="nil"/>
              <w:bottom w:val="single" w:sz="4" w:space="0" w:color="auto"/>
              <w:right w:val="single" w:sz="4" w:space="0" w:color="auto"/>
            </w:tcBorders>
            <w:shd w:val="clear" w:color="auto" w:fill="auto"/>
            <w:noWrap/>
            <w:vAlign w:val="bottom"/>
            <w:hideMark/>
          </w:tcPr>
          <w:p w14:paraId="2BC7B95B"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4CDB49B8"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3A5CB018" w14:textId="77777777" w:rsidR="0039369E" w:rsidRPr="002B06C6" w:rsidRDefault="0039369E" w:rsidP="0039369E">
            <w:pPr>
              <w:spacing w:after="0" w:line="240" w:lineRule="auto"/>
              <w:jc w:val="left"/>
              <w:rPr>
                <w:rFonts w:ascii="Calibri" w:eastAsia="Times New Roman" w:hAnsi="Calibri" w:cs="Calibri"/>
                <w:b/>
                <w:bCs/>
                <w:color w:val="000000"/>
                <w:sz w:val="22"/>
                <w:lang w:eastAsia="en-GB"/>
              </w:rPr>
            </w:pPr>
            <w:r w:rsidRPr="002B06C6">
              <w:rPr>
                <w:rFonts w:ascii="Calibri" w:eastAsia="Times New Roman" w:hAnsi="Calibri" w:cs="Calibri"/>
                <w:b/>
                <w:bCs/>
                <w:color w:val="000000"/>
                <w:sz w:val="22"/>
                <w:lang w:eastAsia="en-GB"/>
              </w:rPr>
              <w:t>Total Equity</w:t>
            </w:r>
          </w:p>
        </w:tc>
        <w:tc>
          <w:tcPr>
            <w:tcW w:w="1180" w:type="dxa"/>
            <w:tcBorders>
              <w:top w:val="nil"/>
              <w:left w:val="nil"/>
              <w:bottom w:val="single" w:sz="4" w:space="0" w:color="auto"/>
              <w:right w:val="single" w:sz="4" w:space="0" w:color="auto"/>
            </w:tcBorders>
            <w:shd w:val="clear" w:color="auto" w:fill="auto"/>
            <w:noWrap/>
            <w:vAlign w:val="bottom"/>
            <w:hideMark/>
          </w:tcPr>
          <w:p w14:paraId="10DC4E55"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6EB5BC89"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2200" w:type="dxa"/>
            <w:tcBorders>
              <w:top w:val="nil"/>
              <w:left w:val="nil"/>
              <w:bottom w:val="single" w:sz="4" w:space="0" w:color="auto"/>
              <w:right w:val="single" w:sz="4" w:space="0" w:color="auto"/>
            </w:tcBorders>
            <w:shd w:val="clear" w:color="auto" w:fill="auto"/>
            <w:noWrap/>
            <w:vAlign w:val="bottom"/>
            <w:hideMark/>
          </w:tcPr>
          <w:p w14:paraId="4D0ED3AC"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15,36,330</w:t>
            </w:r>
          </w:p>
        </w:tc>
      </w:tr>
      <w:tr w:rsidR="0039369E" w:rsidRPr="002B06C6" w14:paraId="26F04DDA"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13A808B0"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 </w:t>
            </w:r>
          </w:p>
        </w:tc>
        <w:tc>
          <w:tcPr>
            <w:tcW w:w="1180" w:type="dxa"/>
            <w:tcBorders>
              <w:top w:val="nil"/>
              <w:left w:val="nil"/>
              <w:bottom w:val="single" w:sz="4" w:space="0" w:color="auto"/>
              <w:right w:val="single" w:sz="4" w:space="0" w:color="auto"/>
            </w:tcBorders>
            <w:shd w:val="clear" w:color="auto" w:fill="auto"/>
            <w:noWrap/>
            <w:vAlign w:val="bottom"/>
            <w:hideMark/>
          </w:tcPr>
          <w:p w14:paraId="3062108B"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1360" w:type="dxa"/>
            <w:tcBorders>
              <w:top w:val="nil"/>
              <w:left w:val="nil"/>
              <w:bottom w:val="single" w:sz="4" w:space="0" w:color="auto"/>
              <w:right w:val="single" w:sz="4" w:space="0" w:color="auto"/>
            </w:tcBorders>
            <w:shd w:val="clear" w:color="auto" w:fill="auto"/>
            <w:noWrap/>
            <w:vAlign w:val="bottom"/>
            <w:hideMark/>
          </w:tcPr>
          <w:p w14:paraId="3D217EB6"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c>
          <w:tcPr>
            <w:tcW w:w="2200" w:type="dxa"/>
            <w:tcBorders>
              <w:top w:val="nil"/>
              <w:left w:val="nil"/>
              <w:bottom w:val="single" w:sz="4" w:space="0" w:color="auto"/>
              <w:right w:val="single" w:sz="4" w:space="0" w:color="auto"/>
            </w:tcBorders>
            <w:shd w:val="clear" w:color="auto" w:fill="auto"/>
            <w:noWrap/>
            <w:vAlign w:val="bottom"/>
            <w:hideMark/>
          </w:tcPr>
          <w:p w14:paraId="4906DA44" w14:textId="77777777" w:rsidR="0039369E" w:rsidRPr="002B06C6" w:rsidRDefault="0039369E" w:rsidP="0039369E">
            <w:pPr>
              <w:spacing w:after="0" w:line="240" w:lineRule="auto"/>
              <w:jc w:val="center"/>
              <w:rPr>
                <w:rFonts w:ascii="Calibri" w:eastAsia="Times New Roman" w:hAnsi="Calibri" w:cs="Calibri"/>
                <w:color w:val="000000"/>
                <w:sz w:val="22"/>
                <w:lang w:eastAsia="en-GB"/>
              </w:rPr>
            </w:pPr>
          </w:p>
        </w:tc>
      </w:tr>
      <w:tr w:rsidR="0039369E" w:rsidRPr="002B06C6" w14:paraId="1BFA7514" w14:textId="77777777" w:rsidTr="0039369E">
        <w:trPr>
          <w:trHeight w:val="288"/>
        </w:trPr>
        <w:tc>
          <w:tcPr>
            <w:tcW w:w="2910" w:type="dxa"/>
            <w:tcBorders>
              <w:top w:val="nil"/>
              <w:left w:val="single" w:sz="4" w:space="0" w:color="auto"/>
              <w:bottom w:val="single" w:sz="4" w:space="0" w:color="auto"/>
              <w:right w:val="single" w:sz="4" w:space="0" w:color="auto"/>
            </w:tcBorders>
            <w:shd w:val="clear" w:color="auto" w:fill="auto"/>
            <w:noWrap/>
            <w:vAlign w:val="bottom"/>
            <w:hideMark/>
          </w:tcPr>
          <w:p w14:paraId="6BE7744B" w14:textId="77777777" w:rsidR="0039369E" w:rsidRPr="002B06C6" w:rsidRDefault="0039369E" w:rsidP="0039369E">
            <w:pPr>
              <w:spacing w:after="0" w:line="240" w:lineRule="auto"/>
              <w:jc w:val="left"/>
              <w:rPr>
                <w:rFonts w:ascii="Calibri" w:eastAsia="Times New Roman" w:hAnsi="Calibri" w:cs="Calibri"/>
                <w:b/>
                <w:bCs/>
                <w:color w:val="000000"/>
                <w:sz w:val="22"/>
                <w:lang w:eastAsia="en-GB"/>
              </w:rPr>
            </w:pPr>
            <w:r w:rsidRPr="002B06C6">
              <w:rPr>
                <w:rFonts w:ascii="Calibri" w:eastAsia="Times New Roman" w:hAnsi="Calibri" w:cs="Calibri"/>
                <w:b/>
                <w:bCs/>
                <w:color w:val="000000"/>
                <w:sz w:val="22"/>
                <w:lang w:eastAsia="en-GB"/>
              </w:rPr>
              <w:t>Total Equity and Total Liability</w:t>
            </w:r>
          </w:p>
        </w:tc>
        <w:tc>
          <w:tcPr>
            <w:tcW w:w="1180" w:type="dxa"/>
            <w:tcBorders>
              <w:top w:val="nil"/>
              <w:left w:val="nil"/>
              <w:bottom w:val="single" w:sz="4" w:space="0" w:color="auto"/>
              <w:right w:val="single" w:sz="4" w:space="0" w:color="auto"/>
            </w:tcBorders>
            <w:shd w:val="clear" w:color="auto" w:fill="auto"/>
            <w:noWrap/>
            <w:vAlign w:val="bottom"/>
            <w:hideMark/>
          </w:tcPr>
          <w:p w14:paraId="296541C1"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 </w:t>
            </w:r>
          </w:p>
        </w:tc>
        <w:tc>
          <w:tcPr>
            <w:tcW w:w="1360" w:type="dxa"/>
            <w:tcBorders>
              <w:top w:val="nil"/>
              <w:left w:val="nil"/>
              <w:bottom w:val="single" w:sz="4" w:space="0" w:color="auto"/>
              <w:right w:val="single" w:sz="4" w:space="0" w:color="auto"/>
            </w:tcBorders>
            <w:shd w:val="clear" w:color="auto" w:fill="auto"/>
            <w:noWrap/>
            <w:vAlign w:val="bottom"/>
            <w:hideMark/>
          </w:tcPr>
          <w:p w14:paraId="2C986128" w14:textId="77777777" w:rsidR="0039369E" w:rsidRPr="002B06C6" w:rsidRDefault="0039369E" w:rsidP="0039369E">
            <w:pPr>
              <w:spacing w:after="0" w:line="240" w:lineRule="auto"/>
              <w:jc w:val="left"/>
              <w:rPr>
                <w:rFonts w:ascii="Calibri" w:eastAsia="Times New Roman" w:hAnsi="Calibri" w:cs="Calibri"/>
                <w:color w:val="000000"/>
                <w:sz w:val="22"/>
                <w:lang w:eastAsia="en-GB"/>
              </w:rPr>
            </w:pPr>
            <w:r w:rsidRPr="002B06C6">
              <w:rPr>
                <w:rFonts w:ascii="Calibri" w:eastAsia="Times New Roman" w:hAnsi="Calibri" w:cs="Calibri"/>
                <w:color w:val="000000"/>
                <w:sz w:val="22"/>
                <w:lang w:eastAsia="en-GB"/>
              </w:rPr>
              <w:t> </w:t>
            </w:r>
          </w:p>
        </w:tc>
        <w:tc>
          <w:tcPr>
            <w:tcW w:w="2200" w:type="dxa"/>
            <w:tcBorders>
              <w:top w:val="nil"/>
              <w:left w:val="nil"/>
              <w:bottom w:val="single" w:sz="4" w:space="0" w:color="auto"/>
              <w:right w:val="single" w:sz="4" w:space="0" w:color="auto"/>
            </w:tcBorders>
            <w:shd w:val="clear" w:color="auto" w:fill="auto"/>
            <w:noWrap/>
            <w:vAlign w:val="bottom"/>
            <w:hideMark/>
          </w:tcPr>
          <w:p w14:paraId="6CD3FF6A" w14:textId="77777777" w:rsidR="0039369E" w:rsidRPr="002B06C6" w:rsidRDefault="0039369E" w:rsidP="0039369E">
            <w:pPr>
              <w:spacing w:after="0" w:line="240" w:lineRule="auto"/>
              <w:jc w:val="center"/>
              <w:rPr>
                <w:rFonts w:ascii="Calibri" w:eastAsia="Times New Roman" w:hAnsi="Calibri" w:cs="Calibri"/>
                <w:b/>
                <w:color w:val="000000"/>
                <w:sz w:val="22"/>
                <w:lang w:eastAsia="en-GB"/>
              </w:rPr>
            </w:pPr>
            <w:r w:rsidRPr="002B06C6">
              <w:rPr>
                <w:rFonts w:ascii="Calibri" w:eastAsia="Times New Roman" w:hAnsi="Calibri" w:cs="Calibri"/>
                <w:color w:val="000000"/>
                <w:sz w:val="22"/>
                <w:lang w:eastAsia="en-GB"/>
              </w:rPr>
              <w:t>£</w:t>
            </w:r>
            <w:r>
              <w:rPr>
                <w:rFonts w:ascii="Calibri" w:eastAsia="Times New Roman" w:hAnsi="Calibri" w:cs="Calibri"/>
                <w:color w:val="000000"/>
                <w:sz w:val="22"/>
                <w:lang w:eastAsia="en-GB"/>
              </w:rPr>
              <w:t xml:space="preserve"> </w:t>
            </w:r>
            <w:r w:rsidRPr="002B06C6">
              <w:rPr>
                <w:rFonts w:ascii="Calibri" w:eastAsia="Times New Roman" w:hAnsi="Calibri" w:cs="Calibri"/>
                <w:b/>
                <w:color w:val="000000"/>
                <w:sz w:val="22"/>
                <w:lang w:eastAsia="en-GB"/>
              </w:rPr>
              <w:t>20,27,955</w:t>
            </w:r>
          </w:p>
        </w:tc>
      </w:tr>
    </w:tbl>
    <w:p w14:paraId="726A4592" w14:textId="77777777" w:rsidR="0039369E" w:rsidRDefault="0039369E" w:rsidP="0039369E">
      <w:pPr>
        <w:jc w:val="center"/>
      </w:pPr>
    </w:p>
    <w:p w14:paraId="71FBF2EA" w14:textId="77777777" w:rsidR="0039369E" w:rsidRPr="0039369E" w:rsidRDefault="0039369E" w:rsidP="0039369E"/>
    <w:p w14:paraId="69A2E507" w14:textId="77777777" w:rsidR="0039369E" w:rsidRPr="0039369E" w:rsidRDefault="0039369E" w:rsidP="0039369E"/>
    <w:p w14:paraId="29393EA5" w14:textId="77777777" w:rsidR="0039369E" w:rsidRPr="0039369E" w:rsidRDefault="0039369E" w:rsidP="0039369E"/>
    <w:p w14:paraId="14251882" w14:textId="77777777" w:rsidR="0039369E" w:rsidRPr="0039369E" w:rsidRDefault="0039369E" w:rsidP="0039369E"/>
    <w:p w14:paraId="6E2A0186" w14:textId="77777777" w:rsidR="0039369E" w:rsidRPr="0039369E" w:rsidRDefault="0039369E" w:rsidP="0039369E"/>
    <w:p w14:paraId="5C896AC3" w14:textId="77777777" w:rsidR="0039369E" w:rsidRPr="0039369E" w:rsidRDefault="0039369E" w:rsidP="0039369E"/>
    <w:p w14:paraId="1ED1A910" w14:textId="77777777" w:rsidR="0039369E" w:rsidRPr="0039369E" w:rsidRDefault="0039369E" w:rsidP="0039369E"/>
    <w:p w14:paraId="6C4F85B4" w14:textId="77777777" w:rsidR="0039369E" w:rsidRPr="0039369E" w:rsidRDefault="0039369E" w:rsidP="0039369E"/>
    <w:p w14:paraId="41C941C0" w14:textId="77777777" w:rsidR="0039369E" w:rsidRPr="0039369E" w:rsidRDefault="0039369E" w:rsidP="0039369E"/>
    <w:p w14:paraId="60EC4A39" w14:textId="77777777" w:rsidR="0039369E" w:rsidRPr="0039369E" w:rsidRDefault="0039369E" w:rsidP="0039369E"/>
    <w:p w14:paraId="63E866FD" w14:textId="77777777" w:rsidR="0039369E" w:rsidRPr="0039369E" w:rsidRDefault="0039369E" w:rsidP="0039369E"/>
    <w:p w14:paraId="65C3E288" w14:textId="77777777" w:rsidR="0039369E" w:rsidRPr="0039369E" w:rsidRDefault="0039369E" w:rsidP="0039369E"/>
    <w:p w14:paraId="26D66774" w14:textId="77777777" w:rsidR="0039369E" w:rsidRPr="0039369E" w:rsidRDefault="0039369E" w:rsidP="0039369E"/>
    <w:p w14:paraId="0A4BA423" w14:textId="77777777" w:rsidR="0039369E" w:rsidRPr="0039369E" w:rsidRDefault="0039369E" w:rsidP="0039369E"/>
    <w:p w14:paraId="12E481C6" w14:textId="77777777" w:rsidR="0039369E" w:rsidRPr="0039369E" w:rsidRDefault="0039369E" w:rsidP="0039369E"/>
    <w:p w14:paraId="63533F1A" w14:textId="77777777" w:rsidR="0039369E" w:rsidRDefault="0039369E" w:rsidP="0039369E"/>
    <w:p w14:paraId="0BA8AECD" w14:textId="77777777" w:rsidR="0039369E" w:rsidRDefault="0039369E" w:rsidP="0039369E"/>
    <w:p w14:paraId="6146A698" w14:textId="77777777" w:rsidR="0039369E" w:rsidRDefault="0039369E" w:rsidP="0039369E"/>
    <w:p w14:paraId="6E71F0EE" w14:textId="77777777" w:rsidR="0039369E" w:rsidRDefault="0039369E">
      <w:pPr>
        <w:spacing w:line="259" w:lineRule="auto"/>
        <w:jc w:val="left"/>
      </w:pPr>
      <w:r>
        <w:br w:type="page"/>
      </w:r>
    </w:p>
    <w:p w14:paraId="2434C0E4" w14:textId="77777777" w:rsidR="0039369E" w:rsidRDefault="0039369E" w:rsidP="0039369E">
      <w:pPr>
        <w:pStyle w:val="Heading1"/>
      </w:pPr>
      <w:bookmarkStart w:id="1" w:name="_Toc133687980"/>
      <w:r>
        <w:lastRenderedPageBreak/>
        <w:t>Answer to the Question No. 1 (b)</w:t>
      </w:r>
      <w:bookmarkEnd w:id="1"/>
    </w:p>
    <w:p w14:paraId="16D8A9FF" w14:textId="77777777" w:rsidR="0039369E" w:rsidRPr="00B40496" w:rsidRDefault="0039369E" w:rsidP="0039369E">
      <w:pPr>
        <w:rPr>
          <w:color w:val="000000" w:themeColor="text1"/>
          <w:lang w:eastAsia="en-GB"/>
        </w:rPr>
      </w:pPr>
      <w:r w:rsidRPr="00B40496">
        <w:rPr>
          <w:color w:val="000000" w:themeColor="text1"/>
          <w:lang w:eastAsia="en-GB"/>
        </w:rPr>
        <w:t>The balance sheet, formerly referred to as the statement describing the financial position, balances because it depicts the basic accounting formula that underpins the whole accounting system</w:t>
      </w:r>
      <w:r w:rsidR="00721B61">
        <w:rPr>
          <w:color w:val="000000" w:themeColor="text1"/>
          <w:lang w:eastAsia="en-GB"/>
        </w:rPr>
        <w:t xml:space="preserve"> </w:t>
      </w:r>
      <w:r w:rsidR="00721B61">
        <w:t>(</w:t>
      </w:r>
      <w:proofErr w:type="spellStart"/>
      <w:r w:rsidR="00721B61">
        <w:t>Limmack</w:t>
      </w:r>
      <w:proofErr w:type="spellEnd"/>
      <w:r w:rsidR="00721B61">
        <w:t>, 2019)</w:t>
      </w:r>
      <w:r w:rsidRPr="00B40496">
        <w:rPr>
          <w:color w:val="000000" w:themeColor="text1"/>
          <w:lang w:eastAsia="en-GB"/>
        </w:rPr>
        <w:t>. This equation depicts the link between a company's assets and the claims on those assets made by its unsecured creditors (liabilities) along with owners (equity).  The calculation for accounting is written as follows:</w:t>
      </w:r>
    </w:p>
    <w:p w14:paraId="10FE53D6" w14:textId="77777777" w:rsidR="0039369E" w:rsidRPr="00B40496" w:rsidRDefault="0039369E" w:rsidP="0039369E">
      <w:pPr>
        <w:jc w:val="center"/>
        <w:rPr>
          <w:b/>
          <w:color w:val="000000" w:themeColor="text1"/>
          <w:lang w:eastAsia="en-GB"/>
        </w:rPr>
      </w:pPr>
      <w:r w:rsidRPr="00B40496">
        <w:rPr>
          <w:b/>
          <w:color w:val="000000" w:themeColor="text1"/>
          <w:lang w:eastAsia="en-GB"/>
        </w:rPr>
        <w:t>Liabilities + Equity = Assets</w:t>
      </w:r>
    </w:p>
    <w:p w14:paraId="07E2F510" w14:textId="77777777" w:rsidR="0039369E" w:rsidRDefault="0039369E" w:rsidP="0039369E">
      <w:pPr>
        <w:rPr>
          <w:color w:val="000000" w:themeColor="text1"/>
          <w:lang w:eastAsia="en-GB"/>
        </w:rPr>
      </w:pPr>
      <w:r w:rsidRPr="00B40496">
        <w:rPr>
          <w:color w:val="000000" w:themeColor="text1"/>
          <w:lang w:eastAsia="en-GB"/>
        </w:rPr>
        <w:t>The financial position statement is merely an overview of this calculation at a certain point in time, highlighting the organization's financial standing</w:t>
      </w:r>
      <w:r w:rsidR="00721B61">
        <w:rPr>
          <w:color w:val="000000" w:themeColor="text1"/>
          <w:lang w:eastAsia="en-GB"/>
        </w:rPr>
        <w:t xml:space="preserve"> </w:t>
      </w:r>
      <w:r w:rsidR="00721B61">
        <w:t>(</w:t>
      </w:r>
      <w:proofErr w:type="spellStart"/>
      <w:r w:rsidR="00721B61">
        <w:t>Whisenant</w:t>
      </w:r>
      <w:proofErr w:type="spellEnd"/>
      <w:r w:rsidR="00721B61">
        <w:t>, 2019)</w:t>
      </w:r>
      <w:r w:rsidRPr="00B40496">
        <w:rPr>
          <w:color w:val="000000" w:themeColor="text1"/>
          <w:lang w:eastAsia="en-GB"/>
        </w:rPr>
        <w:t xml:space="preserve">. The report of financial condition balances in the case of Wales plc because the entire value of assets, </w:t>
      </w:r>
      <w:r>
        <w:rPr>
          <w:color w:val="000000" w:themeColor="text1"/>
          <w:lang w:eastAsia="en-GB"/>
        </w:rPr>
        <w:t>which</w:t>
      </w:r>
      <w:r w:rsidRPr="00B40496">
        <w:rPr>
          <w:color w:val="000000" w:themeColor="text1"/>
          <w:lang w:eastAsia="en-GB"/>
        </w:rPr>
        <w:t xml:space="preserve"> encompasses both non-current assets such as plant and equipment and current assets including stock, receivables from trade, alongside cash, equals the sum of liabilities and equity. The term "equity" refers to the £1 ordinary shares, 10% £1 preference shares, including retained earnings. Current liabilities include trade payables, salesperson’s commission payables, and business taxes payable. Non-current liabilities include all other obligations</w:t>
      </w:r>
      <w:r w:rsidR="00721B61">
        <w:rPr>
          <w:color w:val="000000" w:themeColor="text1"/>
          <w:lang w:eastAsia="en-GB"/>
        </w:rPr>
        <w:t xml:space="preserve"> </w:t>
      </w:r>
      <w:r w:rsidR="00721B61">
        <w:t>(</w:t>
      </w:r>
      <w:proofErr w:type="spellStart"/>
      <w:r w:rsidR="00721B61">
        <w:t>Basioudis</w:t>
      </w:r>
      <w:proofErr w:type="spellEnd"/>
      <w:r w:rsidR="00721B61">
        <w:t>, 2019)</w:t>
      </w:r>
      <w:r w:rsidRPr="00B40496">
        <w:rPr>
          <w:color w:val="000000" w:themeColor="text1"/>
          <w:lang w:eastAsia="en-GB"/>
        </w:rPr>
        <w:t>. Non-current liabilities are made up of 2% debentures. We ensure the balance sheet's accuracy and proper alignment with the rules of accounting by meticulously keeping track of every element in the report of assets and liabilities and making the appropriate modifications based on the extra details provided.</w:t>
      </w:r>
    </w:p>
    <w:p w14:paraId="28E022C2" w14:textId="77777777" w:rsidR="0039369E" w:rsidRDefault="0039369E">
      <w:pPr>
        <w:spacing w:line="259" w:lineRule="auto"/>
        <w:jc w:val="left"/>
        <w:rPr>
          <w:color w:val="000000" w:themeColor="text1"/>
          <w:lang w:eastAsia="en-GB"/>
        </w:rPr>
      </w:pPr>
      <w:r>
        <w:rPr>
          <w:color w:val="000000" w:themeColor="text1"/>
          <w:lang w:eastAsia="en-GB"/>
        </w:rPr>
        <w:br w:type="page"/>
      </w:r>
    </w:p>
    <w:p w14:paraId="39A22BF1" w14:textId="77777777" w:rsidR="0039369E" w:rsidRDefault="0039369E" w:rsidP="0039369E">
      <w:pPr>
        <w:pStyle w:val="Heading1"/>
      </w:pPr>
      <w:bookmarkStart w:id="2" w:name="_Toc133687981"/>
      <w:r>
        <w:lastRenderedPageBreak/>
        <w:t>Answer to the Question No. 2 (a)</w:t>
      </w:r>
      <w:bookmarkEnd w:id="2"/>
    </w:p>
    <w:p w14:paraId="1D7C909F" w14:textId="77777777" w:rsidR="0039369E" w:rsidRDefault="0039369E" w:rsidP="0039369E">
      <w:pPr>
        <w:pStyle w:val="ListParagraph"/>
        <w:numPr>
          <w:ilvl w:val="0"/>
          <w:numId w:val="1"/>
        </w:numPr>
        <w:rPr>
          <w:lang w:eastAsia="en-GB"/>
        </w:rPr>
      </w:pPr>
      <w:r w:rsidRPr="004D3202">
        <w:rPr>
          <w:lang w:eastAsia="en-GB"/>
        </w:rPr>
        <w:t>ROCE</w:t>
      </w:r>
      <w:r>
        <w:rPr>
          <w:lang w:eastAsia="en-GB"/>
        </w:rPr>
        <w:t xml:space="preserve"> or </w:t>
      </w:r>
      <w:r w:rsidRPr="00DF48DB">
        <w:rPr>
          <w:lang w:eastAsia="en-GB"/>
        </w:rPr>
        <w:t>Return on Capital Employ</w:t>
      </w:r>
      <w:r>
        <w:rPr>
          <w:lang w:eastAsia="en-GB"/>
        </w:rPr>
        <w:t>ed:</w:t>
      </w:r>
      <w:r>
        <w:rPr>
          <w:lang w:eastAsia="en-GB"/>
        </w:rPr>
        <w:cr/>
      </w:r>
      <w:r w:rsidRPr="00DF48DB">
        <w:rPr>
          <w:lang w:eastAsia="en-GB"/>
        </w:rPr>
        <w:t>= (Operating Profit / Capital Employed) * 100</w:t>
      </w:r>
      <w:r w:rsidRPr="00DF48DB">
        <w:rPr>
          <w:lang w:eastAsia="en-GB"/>
        </w:rPr>
        <w:cr/>
      </w:r>
      <w:r>
        <w:rPr>
          <w:lang w:eastAsia="en-GB"/>
        </w:rPr>
        <w:t xml:space="preserve">Here, </w:t>
      </w:r>
      <w:r w:rsidRPr="00DF48DB">
        <w:rPr>
          <w:lang w:eastAsia="en-GB"/>
        </w:rPr>
        <w:t>Capital Employed = Total Assets - Current Liabilities</w:t>
      </w:r>
      <w:r w:rsidRPr="00DF48DB">
        <w:rPr>
          <w:lang w:eastAsia="en-GB"/>
        </w:rPr>
        <w:cr/>
      </w:r>
      <w:r w:rsidRPr="00DF48DB">
        <w:rPr>
          <w:lang w:eastAsia="en-GB"/>
        </w:rPr>
        <w:cr/>
      </w:r>
      <w:r>
        <w:rPr>
          <w:lang w:eastAsia="en-GB"/>
        </w:rPr>
        <w:t>In 2021, ROCE</w:t>
      </w:r>
    </w:p>
    <w:p w14:paraId="4EC4F5F5" w14:textId="77777777" w:rsidR="0039369E" w:rsidRDefault="0039369E" w:rsidP="0039369E">
      <w:pPr>
        <w:pStyle w:val="ListParagraph"/>
        <w:rPr>
          <w:lang w:eastAsia="en-GB"/>
        </w:rPr>
      </w:pPr>
      <w:r w:rsidRPr="00DF48DB">
        <w:rPr>
          <w:lang w:eastAsia="en-GB"/>
        </w:rPr>
        <w:t>= (Operating Profit / Capital Employed) * 100</w:t>
      </w:r>
    </w:p>
    <w:p w14:paraId="751C9BCE" w14:textId="77777777" w:rsidR="0039369E" w:rsidRDefault="0039369E" w:rsidP="0039369E">
      <w:pPr>
        <w:pStyle w:val="ListParagraph"/>
        <w:rPr>
          <w:lang w:eastAsia="en-GB"/>
        </w:rPr>
      </w:pPr>
      <w:r>
        <w:rPr>
          <w:lang w:eastAsia="en-GB"/>
        </w:rPr>
        <w:t xml:space="preserve">= </w:t>
      </w:r>
      <w:r w:rsidRPr="00DF48DB">
        <w:rPr>
          <w:lang w:eastAsia="en-GB"/>
        </w:rPr>
        <w:t xml:space="preserve">(805 / (9,736 - 2,511)) * 100 </w:t>
      </w:r>
      <w:r w:rsidRPr="00DF48DB">
        <w:rPr>
          <w:sz w:val="20"/>
          <w:lang w:eastAsia="en-GB"/>
        </w:rPr>
        <w:t>(Capital Employed = Total Assets - Current Liabilities)</w:t>
      </w:r>
    </w:p>
    <w:p w14:paraId="65922BF0" w14:textId="77777777" w:rsidR="0039369E" w:rsidRDefault="0039369E" w:rsidP="0039369E">
      <w:pPr>
        <w:pStyle w:val="ListParagraph"/>
        <w:rPr>
          <w:lang w:eastAsia="en-GB"/>
        </w:rPr>
      </w:pPr>
      <w:r w:rsidRPr="00DF48DB">
        <w:rPr>
          <w:lang w:eastAsia="en-GB"/>
        </w:rPr>
        <w:t>= 11.61%</w:t>
      </w:r>
      <w:r w:rsidRPr="00DF48DB">
        <w:rPr>
          <w:lang w:eastAsia="en-GB"/>
        </w:rPr>
        <w:cr/>
      </w:r>
    </w:p>
    <w:p w14:paraId="33AC8B00" w14:textId="77777777" w:rsidR="0039369E" w:rsidRDefault="0039369E" w:rsidP="0039369E">
      <w:pPr>
        <w:pStyle w:val="ListParagraph"/>
        <w:rPr>
          <w:lang w:eastAsia="en-GB"/>
        </w:rPr>
      </w:pPr>
      <w:r>
        <w:rPr>
          <w:lang w:eastAsia="en-GB"/>
        </w:rPr>
        <w:t>In 2020, ROCE</w:t>
      </w:r>
    </w:p>
    <w:p w14:paraId="7D5D5FA7" w14:textId="77777777" w:rsidR="0039369E" w:rsidRDefault="0039369E" w:rsidP="0039369E">
      <w:pPr>
        <w:pStyle w:val="ListParagraph"/>
        <w:rPr>
          <w:lang w:eastAsia="en-GB"/>
        </w:rPr>
      </w:pPr>
      <w:r w:rsidRPr="00DF48DB">
        <w:rPr>
          <w:lang w:eastAsia="en-GB"/>
        </w:rPr>
        <w:t>= (Operating Profit / Capital Employed) * 100</w:t>
      </w:r>
    </w:p>
    <w:p w14:paraId="022B9603" w14:textId="77777777" w:rsidR="0039369E" w:rsidRDefault="0039369E" w:rsidP="0039369E">
      <w:pPr>
        <w:pStyle w:val="ListParagraph"/>
        <w:rPr>
          <w:lang w:eastAsia="en-GB"/>
        </w:rPr>
      </w:pPr>
      <w:r>
        <w:rPr>
          <w:lang w:eastAsia="en-GB"/>
        </w:rPr>
        <w:t>=</w:t>
      </w:r>
      <w:r w:rsidRPr="00DF48DB">
        <w:rPr>
          <w:lang w:eastAsia="en-GB"/>
        </w:rPr>
        <w:t xml:space="preserve"> (699 / (10,087 - 3,046)) * </w:t>
      </w:r>
      <w:proofErr w:type="gramStart"/>
      <w:r w:rsidRPr="00DF48DB">
        <w:rPr>
          <w:lang w:eastAsia="en-GB"/>
        </w:rPr>
        <w:t xml:space="preserve">100 </w:t>
      </w:r>
      <w:r>
        <w:rPr>
          <w:lang w:eastAsia="en-GB"/>
        </w:rPr>
        <w:t xml:space="preserve"> </w:t>
      </w:r>
      <w:r w:rsidRPr="00DF48DB">
        <w:rPr>
          <w:sz w:val="20"/>
          <w:lang w:eastAsia="en-GB"/>
        </w:rPr>
        <w:t>(</w:t>
      </w:r>
      <w:proofErr w:type="gramEnd"/>
      <w:r w:rsidRPr="00DF48DB">
        <w:rPr>
          <w:sz w:val="20"/>
          <w:lang w:eastAsia="en-GB"/>
        </w:rPr>
        <w:t>Capital Employed = Total Assets - Current Liabilities)</w:t>
      </w:r>
    </w:p>
    <w:p w14:paraId="5D26ACCE" w14:textId="77777777" w:rsidR="0039369E" w:rsidRDefault="0039369E" w:rsidP="0039369E">
      <w:pPr>
        <w:pStyle w:val="ListParagraph"/>
        <w:pBdr>
          <w:bottom w:val="single" w:sz="6" w:space="1" w:color="auto"/>
        </w:pBdr>
        <w:rPr>
          <w:lang w:eastAsia="en-GB"/>
        </w:rPr>
      </w:pPr>
      <w:r w:rsidRPr="00DF48DB">
        <w:rPr>
          <w:lang w:eastAsia="en-GB"/>
        </w:rPr>
        <w:t>= 9.94%</w:t>
      </w:r>
    </w:p>
    <w:p w14:paraId="2FC05220" w14:textId="77777777" w:rsidR="0039369E" w:rsidRPr="004D3202" w:rsidRDefault="0039369E" w:rsidP="0039369E">
      <w:pPr>
        <w:pStyle w:val="ListParagraph"/>
        <w:rPr>
          <w:lang w:eastAsia="en-GB"/>
        </w:rPr>
      </w:pPr>
    </w:p>
    <w:p w14:paraId="001B66B4" w14:textId="77777777" w:rsidR="0039369E" w:rsidRDefault="0039369E" w:rsidP="0039369E">
      <w:pPr>
        <w:pStyle w:val="ListParagraph"/>
        <w:numPr>
          <w:ilvl w:val="0"/>
          <w:numId w:val="1"/>
        </w:numPr>
        <w:rPr>
          <w:lang w:eastAsia="en-GB"/>
        </w:rPr>
      </w:pPr>
      <w:r w:rsidRPr="004D3202">
        <w:rPr>
          <w:lang w:eastAsia="en-GB"/>
        </w:rPr>
        <w:t>ROE</w:t>
      </w:r>
      <w:r>
        <w:rPr>
          <w:lang w:eastAsia="en-GB"/>
        </w:rPr>
        <w:t xml:space="preserve"> or Return on Equity:</w:t>
      </w:r>
      <w:r>
        <w:rPr>
          <w:lang w:eastAsia="en-GB"/>
        </w:rPr>
        <w:cr/>
      </w:r>
      <w:r w:rsidRPr="00DF48DB">
        <w:rPr>
          <w:lang w:eastAsia="en-GB"/>
        </w:rPr>
        <w:t>= (Net Income / Shareholders' Equity) * 100</w:t>
      </w:r>
      <w:r w:rsidRPr="00DF48DB">
        <w:rPr>
          <w:lang w:eastAsia="en-GB"/>
        </w:rPr>
        <w:cr/>
      </w:r>
      <w:r w:rsidRPr="00DF48DB">
        <w:rPr>
          <w:lang w:eastAsia="en-GB"/>
        </w:rPr>
        <w:cr/>
      </w:r>
      <w:r>
        <w:rPr>
          <w:lang w:eastAsia="en-GB"/>
        </w:rPr>
        <w:t xml:space="preserve">In 2021, </w:t>
      </w:r>
      <w:r w:rsidRPr="004D3202">
        <w:rPr>
          <w:lang w:eastAsia="en-GB"/>
        </w:rPr>
        <w:t>ROE</w:t>
      </w:r>
    </w:p>
    <w:p w14:paraId="363FA909" w14:textId="77777777" w:rsidR="0039369E" w:rsidRDefault="0039369E" w:rsidP="0039369E">
      <w:pPr>
        <w:pStyle w:val="ListParagraph"/>
        <w:rPr>
          <w:lang w:eastAsia="en-GB"/>
        </w:rPr>
      </w:pPr>
      <w:r w:rsidRPr="00DF48DB">
        <w:rPr>
          <w:lang w:eastAsia="en-GB"/>
        </w:rPr>
        <w:t>= (Net Income / Shareholders' Equity) * 100</w:t>
      </w:r>
    </w:p>
    <w:p w14:paraId="4344871A" w14:textId="77777777" w:rsidR="0039369E" w:rsidRDefault="0039369E" w:rsidP="0039369E">
      <w:pPr>
        <w:pStyle w:val="ListParagraph"/>
        <w:rPr>
          <w:lang w:eastAsia="en-GB"/>
        </w:rPr>
      </w:pPr>
      <w:r>
        <w:rPr>
          <w:lang w:eastAsia="en-GB"/>
        </w:rPr>
        <w:t xml:space="preserve">= </w:t>
      </w:r>
      <w:r w:rsidRPr="00DF48DB">
        <w:rPr>
          <w:lang w:eastAsia="en-GB"/>
        </w:rPr>
        <w:t xml:space="preserve">(431 / 3,088) * 100 </w:t>
      </w:r>
    </w:p>
    <w:p w14:paraId="36FFC796" w14:textId="77777777" w:rsidR="0039369E" w:rsidRDefault="0039369E" w:rsidP="0039369E">
      <w:pPr>
        <w:pStyle w:val="ListParagraph"/>
        <w:rPr>
          <w:lang w:eastAsia="en-GB"/>
        </w:rPr>
      </w:pPr>
      <w:r w:rsidRPr="00DF48DB">
        <w:rPr>
          <w:lang w:eastAsia="en-GB"/>
        </w:rPr>
        <w:t>= 13.95%</w:t>
      </w:r>
      <w:r w:rsidRPr="00DF48DB">
        <w:rPr>
          <w:lang w:eastAsia="en-GB"/>
        </w:rPr>
        <w:cr/>
      </w:r>
    </w:p>
    <w:p w14:paraId="0D98A8DA" w14:textId="77777777" w:rsidR="0039369E" w:rsidRDefault="0039369E" w:rsidP="0039369E">
      <w:pPr>
        <w:pStyle w:val="ListParagraph"/>
        <w:rPr>
          <w:lang w:eastAsia="en-GB"/>
        </w:rPr>
      </w:pPr>
      <w:r>
        <w:rPr>
          <w:lang w:eastAsia="en-GB"/>
        </w:rPr>
        <w:t xml:space="preserve">In 2020, </w:t>
      </w:r>
      <w:r w:rsidRPr="004D3202">
        <w:rPr>
          <w:lang w:eastAsia="en-GB"/>
        </w:rPr>
        <w:t>ROE</w:t>
      </w:r>
    </w:p>
    <w:p w14:paraId="34926121" w14:textId="77777777" w:rsidR="0039369E" w:rsidRDefault="0039369E" w:rsidP="0039369E">
      <w:pPr>
        <w:pStyle w:val="ListParagraph"/>
        <w:rPr>
          <w:lang w:eastAsia="en-GB"/>
        </w:rPr>
      </w:pPr>
      <w:r w:rsidRPr="00DF48DB">
        <w:rPr>
          <w:lang w:eastAsia="en-GB"/>
        </w:rPr>
        <w:t>= (Net Income / Shareholders' Equity) * 100</w:t>
      </w:r>
    </w:p>
    <w:p w14:paraId="6EA4EFB9" w14:textId="77777777" w:rsidR="0039369E" w:rsidRDefault="0039369E" w:rsidP="0039369E">
      <w:pPr>
        <w:pStyle w:val="ListParagraph"/>
        <w:rPr>
          <w:lang w:eastAsia="en-GB"/>
        </w:rPr>
      </w:pPr>
      <w:r>
        <w:rPr>
          <w:lang w:eastAsia="en-GB"/>
        </w:rPr>
        <w:t xml:space="preserve">= </w:t>
      </w:r>
      <w:r w:rsidRPr="00DF48DB">
        <w:rPr>
          <w:lang w:eastAsia="en-GB"/>
        </w:rPr>
        <w:t xml:space="preserve">(366 / 2,912) * 100 </w:t>
      </w:r>
    </w:p>
    <w:p w14:paraId="488D8A03" w14:textId="77777777" w:rsidR="0039369E" w:rsidRDefault="0039369E" w:rsidP="0039369E">
      <w:pPr>
        <w:pStyle w:val="ListParagraph"/>
        <w:pBdr>
          <w:bottom w:val="single" w:sz="6" w:space="1" w:color="auto"/>
        </w:pBdr>
        <w:rPr>
          <w:lang w:eastAsia="en-GB"/>
        </w:rPr>
      </w:pPr>
      <w:r w:rsidRPr="00DF48DB">
        <w:rPr>
          <w:lang w:eastAsia="en-GB"/>
        </w:rPr>
        <w:t>= 12.57%</w:t>
      </w:r>
    </w:p>
    <w:p w14:paraId="78F46E07" w14:textId="77777777" w:rsidR="0039369E" w:rsidRPr="004D3202" w:rsidRDefault="0039369E" w:rsidP="0039369E">
      <w:pPr>
        <w:pStyle w:val="ListParagraph"/>
        <w:rPr>
          <w:lang w:eastAsia="en-GB"/>
        </w:rPr>
      </w:pPr>
    </w:p>
    <w:p w14:paraId="542DF3AF" w14:textId="77777777" w:rsidR="0039369E" w:rsidRDefault="0039369E" w:rsidP="0039369E">
      <w:pPr>
        <w:pStyle w:val="ListParagraph"/>
        <w:numPr>
          <w:ilvl w:val="0"/>
          <w:numId w:val="1"/>
        </w:numPr>
        <w:rPr>
          <w:lang w:eastAsia="en-GB"/>
        </w:rPr>
      </w:pPr>
      <w:r w:rsidRPr="004D3202">
        <w:rPr>
          <w:lang w:eastAsia="en-GB"/>
        </w:rPr>
        <w:t>Earnings per share</w:t>
      </w:r>
      <w:r>
        <w:rPr>
          <w:lang w:eastAsia="en-GB"/>
        </w:rPr>
        <w:t xml:space="preserve"> or </w:t>
      </w:r>
      <w:r w:rsidRPr="00DF48DB">
        <w:rPr>
          <w:lang w:eastAsia="en-GB"/>
        </w:rPr>
        <w:t xml:space="preserve">EPS </w:t>
      </w:r>
    </w:p>
    <w:p w14:paraId="01EA6535" w14:textId="77777777" w:rsidR="0039369E" w:rsidRDefault="0039369E" w:rsidP="0039369E">
      <w:pPr>
        <w:pStyle w:val="ListParagraph"/>
        <w:rPr>
          <w:lang w:eastAsia="en-GB"/>
        </w:rPr>
      </w:pPr>
      <w:r w:rsidRPr="00DF48DB">
        <w:rPr>
          <w:lang w:eastAsia="en-GB"/>
        </w:rPr>
        <w:lastRenderedPageBreak/>
        <w:t>= Net Income / Number of Outstanding Shares</w:t>
      </w:r>
      <w:r w:rsidRPr="00DF48DB">
        <w:rPr>
          <w:lang w:eastAsia="en-GB"/>
        </w:rPr>
        <w:cr/>
      </w:r>
      <w:r>
        <w:rPr>
          <w:lang w:eastAsia="en-GB"/>
        </w:rPr>
        <w:t xml:space="preserve">Here, </w:t>
      </w:r>
      <w:r w:rsidRPr="00DF48DB">
        <w:rPr>
          <w:lang w:eastAsia="en-GB"/>
        </w:rPr>
        <w:t>Number of Outstanding Shares = Ordinary Share Capital / Par Value per Share</w:t>
      </w:r>
      <w:r>
        <w:rPr>
          <w:lang w:eastAsia="en-GB"/>
        </w:rPr>
        <w:t>.</w:t>
      </w:r>
    </w:p>
    <w:p w14:paraId="1839538F" w14:textId="77777777" w:rsidR="0039369E" w:rsidRDefault="0039369E" w:rsidP="0039369E">
      <w:pPr>
        <w:pStyle w:val="ListParagraph"/>
        <w:rPr>
          <w:lang w:eastAsia="en-GB"/>
        </w:rPr>
      </w:pPr>
      <w:r>
        <w:rPr>
          <w:lang w:eastAsia="en-GB"/>
        </w:rPr>
        <w:t xml:space="preserve">In 2021, </w:t>
      </w:r>
      <w:r w:rsidRPr="00DF48DB">
        <w:rPr>
          <w:lang w:eastAsia="en-GB"/>
        </w:rPr>
        <w:t xml:space="preserve">EPS </w:t>
      </w:r>
    </w:p>
    <w:p w14:paraId="6A475C5B" w14:textId="77777777" w:rsidR="0039369E" w:rsidRDefault="0039369E" w:rsidP="0039369E">
      <w:pPr>
        <w:pStyle w:val="ListParagraph"/>
        <w:rPr>
          <w:lang w:eastAsia="en-GB"/>
        </w:rPr>
      </w:pPr>
      <w:r w:rsidRPr="00DF48DB">
        <w:rPr>
          <w:lang w:eastAsia="en-GB"/>
        </w:rPr>
        <w:t>= Net Income / Number of Outstanding Shares</w:t>
      </w:r>
    </w:p>
    <w:p w14:paraId="4EAF03DF" w14:textId="77777777" w:rsidR="0039369E" w:rsidRDefault="0039369E" w:rsidP="0039369E">
      <w:pPr>
        <w:pStyle w:val="ListParagraph"/>
        <w:rPr>
          <w:lang w:eastAsia="en-GB"/>
        </w:rPr>
      </w:pPr>
      <w:r>
        <w:rPr>
          <w:lang w:eastAsia="en-GB"/>
        </w:rPr>
        <w:t>=</w:t>
      </w:r>
      <w:r w:rsidRPr="00DF48DB">
        <w:rPr>
          <w:lang w:eastAsia="en-GB"/>
        </w:rPr>
        <w:t>431 / (300 / 0.5</w:t>
      </w:r>
      <w:proofErr w:type="gramStart"/>
      <w:r w:rsidRPr="00DF48DB">
        <w:rPr>
          <w:lang w:eastAsia="en-GB"/>
        </w:rPr>
        <w:t xml:space="preserve">) </w:t>
      </w:r>
      <w:r>
        <w:rPr>
          <w:lang w:eastAsia="en-GB"/>
        </w:rPr>
        <w:t xml:space="preserve"> </w:t>
      </w:r>
      <w:r w:rsidRPr="00165F8C">
        <w:rPr>
          <w:sz w:val="18"/>
          <w:lang w:eastAsia="en-GB"/>
        </w:rPr>
        <w:t>(</w:t>
      </w:r>
      <w:proofErr w:type="gramEnd"/>
      <w:r w:rsidRPr="00165F8C">
        <w:rPr>
          <w:sz w:val="18"/>
          <w:lang w:eastAsia="en-GB"/>
        </w:rPr>
        <w:t>Number of Outstanding Shares = Ordinary Share Capital / Par Value per Share)</w:t>
      </w:r>
    </w:p>
    <w:p w14:paraId="2B3462AC" w14:textId="77777777" w:rsidR="0039369E" w:rsidRDefault="0039369E" w:rsidP="0039369E">
      <w:pPr>
        <w:pStyle w:val="ListParagraph"/>
        <w:rPr>
          <w:lang w:eastAsia="en-GB"/>
        </w:rPr>
      </w:pPr>
      <w:r>
        <w:rPr>
          <w:lang w:eastAsia="en-GB"/>
        </w:rPr>
        <w:t>= 0.718</w:t>
      </w:r>
    </w:p>
    <w:p w14:paraId="13BA201A" w14:textId="77777777" w:rsidR="0039369E" w:rsidRDefault="0039369E" w:rsidP="0039369E">
      <w:pPr>
        <w:pStyle w:val="ListParagraph"/>
        <w:rPr>
          <w:lang w:eastAsia="en-GB"/>
        </w:rPr>
      </w:pPr>
      <w:r>
        <w:rPr>
          <w:lang w:eastAsia="en-GB"/>
        </w:rPr>
        <w:t xml:space="preserve">In 2020, </w:t>
      </w:r>
      <w:r w:rsidRPr="00DF48DB">
        <w:rPr>
          <w:lang w:eastAsia="en-GB"/>
        </w:rPr>
        <w:t>EPS</w:t>
      </w:r>
    </w:p>
    <w:p w14:paraId="666E4116" w14:textId="77777777" w:rsidR="0039369E" w:rsidRDefault="0039369E" w:rsidP="0039369E">
      <w:pPr>
        <w:pStyle w:val="ListParagraph"/>
        <w:rPr>
          <w:lang w:eastAsia="en-GB"/>
        </w:rPr>
      </w:pPr>
      <w:r w:rsidRPr="00DF48DB">
        <w:rPr>
          <w:lang w:eastAsia="en-GB"/>
        </w:rPr>
        <w:t>= Net Income / Number of Outstanding Shares</w:t>
      </w:r>
    </w:p>
    <w:p w14:paraId="2EC3D950" w14:textId="77777777" w:rsidR="0039369E" w:rsidRDefault="0039369E" w:rsidP="0039369E">
      <w:pPr>
        <w:pStyle w:val="ListParagraph"/>
        <w:rPr>
          <w:lang w:eastAsia="en-GB"/>
        </w:rPr>
      </w:pPr>
      <w:r w:rsidRPr="00DF48DB">
        <w:rPr>
          <w:lang w:eastAsia="en-GB"/>
        </w:rPr>
        <w:t xml:space="preserve">366 / (300 / 0.5) </w:t>
      </w:r>
      <w:r w:rsidRPr="00165F8C">
        <w:rPr>
          <w:sz w:val="18"/>
          <w:lang w:eastAsia="en-GB"/>
        </w:rPr>
        <w:t>(Number of Outstanding Shares = Ordinary Share Capital / Par Value per Share)</w:t>
      </w:r>
    </w:p>
    <w:p w14:paraId="2A749041" w14:textId="77777777" w:rsidR="0039369E" w:rsidRDefault="0039369E" w:rsidP="0039369E">
      <w:pPr>
        <w:pStyle w:val="ListParagraph"/>
        <w:pBdr>
          <w:bottom w:val="single" w:sz="6" w:space="1" w:color="auto"/>
        </w:pBdr>
        <w:rPr>
          <w:lang w:eastAsia="en-GB"/>
        </w:rPr>
      </w:pPr>
      <w:r>
        <w:rPr>
          <w:lang w:eastAsia="en-GB"/>
        </w:rPr>
        <w:t>= 0.610</w:t>
      </w:r>
    </w:p>
    <w:p w14:paraId="54CEDE4F" w14:textId="77777777" w:rsidR="0039369E" w:rsidRPr="004D3202" w:rsidRDefault="0039369E" w:rsidP="0039369E">
      <w:pPr>
        <w:pStyle w:val="ListParagraph"/>
        <w:rPr>
          <w:lang w:eastAsia="en-GB"/>
        </w:rPr>
      </w:pPr>
    </w:p>
    <w:p w14:paraId="1F336E98" w14:textId="77777777" w:rsidR="0039369E" w:rsidRDefault="0039369E" w:rsidP="0039369E">
      <w:pPr>
        <w:pStyle w:val="ListParagraph"/>
        <w:numPr>
          <w:ilvl w:val="0"/>
          <w:numId w:val="1"/>
        </w:numPr>
        <w:rPr>
          <w:lang w:eastAsia="en-GB"/>
        </w:rPr>
      </w:pPr>
      <w:r w:rsidRPr="004D3202">
        <w:rPr>
          <w:lang w:eastAsia="en-GB"/>
        </w:rPr>
        <w:t>Net profit margin</w:t>
      </w:r>
    </w:p>
    <w:p w14:paraId="1326744B" w14:textId="77777777" w:rsidR="0039369E" w:rsidRDefault="0039369E" w:rsidP="0039369E">
      <w:pPr>
        <w:pStyle w:val="ListParagraph"/>
        <w:rPr>
          <w:lang w:eastAsia="en-GB"/>
        </w:rPr>
      </w:pPr>
      <w:r>
        <w:rPr>
          <w:lang w:eastAsia="en-GB"/>
        </w:rPr>
        <w:t>Net Profit Margin = (</w:t>
      </w:r>
      <w:r w:rsidRPr="00165F8C">
        <w:rPr>
          <w:lang w:eastAsia="en-GB"/>
        </w:rPr>
        <w:t>Profit for the year / Revenue</w:t>
      </w:r>
      <w:r>
        <w:rPr>
          <w:lang w:eastAsia="en-GB"/>
        </w:rPr>
        <w:t>)</w:t>
      </w:r>
      <w:r w:rsidRPr="00165F8C">
        <w:rPr>
          <w:lang w:eastAsia="en-GB"/>
        </w:rPr>
        <w:t xml:space="preserve"> * 100</w:t>
      </w:r>
    </w:p>
    <w:p w14:paraId="45482821" w14:textId="77777777" w:rsidR="0039369E" w:rsidRDefault="0039369E" w:rsidP="0039369E">
      <w:pPr>
        <w:pStyle w:val="ListParagraph"/>
        <w:rPr>
          <w:lang w:eastAsia="en-GB"/>
        </w:rPr>
      </w:pPr>
    </w:p>
    <w:p w14:paraId="7C384D61" w14:textId="77777777" w:rsidR="0039369E" w:rsidRDefault="0039369E" w:rsidP="0039369E">
      <w:pPr>
        <w:pStyle w:val="ListParagraph"/>
        <w:rPr>
          <w:lang w:eastAsia="en-GB"/>
        </w:rPr>
      </w:pPr>
      <w:r>
        <w:rPr>
          <w:lang w:eastAsia="en-GB"/>
        </w:rPr>
        <w:t xml:space="preserve">In 2021, Net Profit Margin </w:t>
      </w:r>
    </w:p>
    <w:p w14:paraId="16FD88D0" w14:textId="77777777" w:rsidR="0039369E" w:rsidRDefault="0039369E" w:rsidP="0039369E">
      <w:pPr>
        <w:pStyle w:val="ListParagraph"/>
        <w:rPr>
          <w:lang w:eastAsia="en-GB"/>
        </w:rPr>
      </w:pPr>
      <w:r>
        <w:rPr>
          <w:lang w:eastAsia="en-GB"/>
        </w:rPr>
        <w:t>= (</w:t>
      </w:r>
      <w:r w:rsidRPr="00165F8C">
        <w:rPr>
          <w:lang w:eastAsia="en-GB"/>
        </w:rPr>
        <w:t>Profit for the year / Revenue)</w:t>
      </w:r>
      <w:r>
        <w:rPr>
          <w:lang w:eastAsia="en-GB"/>
        </w:rPr>
        <w:t xml:space="preserve"> </w:t>
      </w:r>
      <w:r w:rsidRPr="00165F8C">
        <w:rPr>
          <w:lang w:eastAsia="en-GB"/>
        </w:rPr>
        <w:t xml:space="preserve">* 100 </w:t>
      </w:r>
    </w:p>
    <w:p w14:paraId="17764FBC" w14:textId="77777777" w:rsidR="0039369E" w:rsidRDefault="0039369E" w:rsidP="0039369E">
      <w:pPr>
        <w:pStyle w:val="ListParagraph"/>
        <w:rPr>
          <w:lang w:eastAsia="en-GB"/>
        </w:rPr>
      </w:pPr>
      <w:r w:rsidRPr="00165F8C">
        <w:rPr>
          <w:lang w:eastAsia="en-GB"/>
        </w:rPr>
        <w:t xml:space="preserve">= (431 / 6,738) * 100 </w:t>
      </w:r>
    </w:p>
    <w:p w14:paraId="30DD8D4E" w14:textId="77777777" w:rsidR="0039369E" w:rsidRDefault="0039369E" w:rsidP="0039369E">
      <w:pPr>
        <w:pStyle w:val="ListParagraph"/>
        <w:rPr>
          <w:lang w:eastAsia="en-GB"/>
        </w:rPr>
      </w:pPr>
      <w:r w:rsidRPr="00165F8C">
        <w:rPr>
          <w:lang w:eastAsia="en-GB"/>
        </w:rPr>
        <w:t>= 6.40%</w:t>
      </w:r>
      <w:r w:rsidRPr="00165F8C">
        <w:rPr>
          <w:lang w:eastAsia="en-GB"/>
        </w:rPr>
        <w:cr/>
      </w:r>
    </w:p>
    <w:p w14:paraId="3E82B10B" w14:textId="77777777" w:rsidR="0039369E" w:rsidRDefault="0039369E" w:rsidP="0039369E">
      <w:pPr>
        <w:pStyle w:val="ListParagraph"/>
        <w:rPr>
          <w:lang w:eastAsia="en-GB"/>
        </w:rPr>
      </w:pPr>
      <w:r>
        <w:rPr>
          <w:lang w:eastAsia="en-GB"/>
        </w:rPr>
        <w:t>In 2020, Net Profit Margin</w:t>
      </w:r>
    </w:p>
    <w:p w14:paraId="36CEC651" w14:textId="77777777" w:rsidR="0039369E" w:rsidRDefault="0039369E" w:rsidP="0039369E">
      <w:pPr>
        <w:pStyle w:val="ListParagraph"/>
        <w:rPr>
          <w:lang w:eastAsia="en-GB"/>
        </w:rPr>
      </w:pPr>
      <w:r>
        <w:rPr>
          <w:lang w:eastAsia="en-GB"/>
        </w:rPr>
        <w:t>= (</w:t>
      </w:r>
      <w:r w:rsidRPr="00165F8C">
        <w:rPr>
          <w:lang w:eastAsia="en-GB"/>
        </w:rPr>
        <w:t>Profit for the year / Revenue)</w:t>
      </w:r>
      <w:r>
        <w:rPr>
          <w:lang w:eastAsia="en-GB"/>
        </w:rPr>
        <w:t xml:space="preserve"> </w:t>
      </w:r>
      <w:r w:rsidRPr="00165F8C">
        <w:rPr>
          <w:lang w:eastAsia="en-GB"/>
        </w:rPr>
        <w:t>* 100</w:t>
      </w:r>
    </w:p>
    <w:p w14:paraId="359AEAAB" w14:textId="77777777" w:rsidR="0039369E" w:rsidRDefault="0039369E" w:rsidP="0039369E">
      <w:pPr>
        <w:pStyle w:val="ListParagraph"/>
        <w:rPr>
          <w:lang w:eastAsia="en-GB"/>
        </w:rPr>
      </w:pPr>
      <w:r>
        <w:rPr>
          <w:lang w:eastAsia="en-GB"/>
        </w:rPr>
        <w:t xml:space="preserve">= </w:t>
      </w:r>
      <w:r w:rsidRPr="00165F8C">
        <w:rPr>
          <w:lang w:eastAsia="en-GB"/>
        </w:rPr>
        <w:t xml:space="preserve">(366 / 6,441) * 100 </w:t>
      </w:r>
    </w:p>
    <w:p w14:paraId="1329626A" w14:textId="77777777" w:rsidR="0039369E" w:rsidRDefault="0039369E" w:rsidP="0039369E">
      <w:pPr>
        <w:pStyle w:val="ListParagraph"/>
        <w:pBdr>
          <w:bottom w:val="single" w:sz="6" w:space="1" w:color="auto"/>
        </w:pBdr>
        <w:rPr>
          <w:lang w:eastAsia="en-GB"/>
        </w:rPr>
      </w:pPr>
      <w:r w:rsidRPr="00165F8C">
        <w:rPr>
          <w:lang w:eastAsia="en-GB"/>
        </w:rPr>
        <w:t>= 5.68%</w:t>
      </w:r>
    </w:p>
    <w:p w14:paraId="35B12A24" w14:textId="77777777" w:rsidR="0039369E" w:rsidRPr="004D3202" w:rsidRDefault="0039369E" w:rsidP="0039369E">
      <w:pPr>
        <w:pStyle w:val="ListParagraph"/>
        <w:rPr>
          <w:lang w:eastAsia="en-GB"/>
        </w:rPr>
      </w:pPr>
    </w:p>
    <w:p w14:paraId="68AA724E" w14:textId="77777777" w:rsidR="0039369E" w:rsidRDefault="0039369E" w:rsidP="0039369E">
      <w:pPr>
        <w:pStyle w:val="ListParagraph"/>
        <w:numPr>
          <w:ilvl w:val="0"/>
          <w:numId w:val="1"/>
        </w:numPr>
        <w:rPr>
          <w:lang w:eastAsia="en-GB"/>
        </w:rPr>
      </w:pPr>
      <w:r w:rsidRPr="004D3202">
        <w:rPr>
          <w:lang w:eastAsia="en-GB"/>
        </w:rPr>
        <w:t>Asset turnover</w:t>
      </w:r>
    </w:p>
    <w:p w14:paraId="6DF00242" w14:textId="77777777" w:rsidR="0039369E" w:rsidRDefault="0039369E" w:rsidP="0039369E">
      <w:pPr>
        <w:pStyle w:val="ListParagraph"/>
        <w:rPr>
          <w:lang w:eastAsia="en-GB"/>
        </w:rPr>
      </w:pPr>
      <w:r w:rsidRPr="00924F61">
        <w:rPr>
          <w:lang w:eastAsia="en-GB"/>
        </w:rPr>
        <w:t>Asset Turnover = Revenue / Total Assets</w:t>
      </w:r>
      <w:r w:rsidRPr="00924F61">
        <w:rPr>
          <w:lang w:eastAsia="en-GB"/>
        </w:rPr>
        <w:cr/>
      </w:r>
      <w:r w:rsidRPr="00924F61">
        <w:rPr>
          <w:lang w:eastAsia="en-GB"/>
        </w:rPr>
        <w:cr/>
      </w:r>
      <w:r>
        <w:rPr>
          <w:lang w:eastAsia="en-GB"/>
        </w:rPr>
        <w:t xml:space="preserve">In 2021, </w:t>
      </w:r>
      <w:r w:rsidRPr="00924F61">
        <w:rPr>
          <w:lang w:eastAsia="en-GB"/>
        </w:rPr>
        <w:t xml:space="preserve">Asset Turnover </w:t>
      </w:r>
    </w:p>
    <w:p w14:paraId="2B939BB5" w14:textId="77777777" w:rsidR="0039369E" w:rsidRDefault="0039369E" w:rsidP="0039369E">
      <w:pPr>
        <w:pStyle w:val="ListParagraph"/>
        <w:rPr>
          <w:lang w:eastAsia="en-GB"/>
        </w:rPr>
      </w:pPr>
      <w:r w:rsidRPr="00924F61">
        <w:rPr>
          <w:lang w:eastAsia="en-GB"/>
        </w:rPr>
        <w:t>= Revenue / Total Assets</w:t>
      </w:r>
    </w:p>
    <w:p w14:paraId="58C940CD" w14:textId="77777777" w:rsidR="0039369E" w:rsidRDefault="0039369E" w:rsidP="0039369E">
      <w:pPr>
        <w:pStyle w:val="ListParagraph"/>
        <w:rPr>
          <w:lang w:eastAsia="en-GB"/>
        </w:rPr>
      </w:pPr>
      <w:r>
        <w:rPr>
          <w:lang w:eastAsia="en-GB"/>
        </w:rPr>
        <w:t xml:space="preserve">= </w:t>
      </w:r>
      <w:r w:rsidRPr="00924F61">
        <w:rPr>
          <w:lang w:eastAsia="en-GB"/>
        </w:rPr>
        <w:t xml:space="preserve">6,738 / 9,736 </w:t>
      </w:r>
    </w:p>
    <w:p w14:paraId="3BC7CE57" w14:textId="77777777" w:rsidR="0039369E" w:rsidRDefault="0039369E" w:rsidP="0039369E">
      <w:pPr>
        <w:pStyle w:val="ListParagraph"/>
        <w:rPr>
          <w:lang w:eastAsia="en-GB"/>
        </w:rPr>
      </w:pPr>
      <w:r w:rsidRPr="00924F61">
        <w:rPr>
          <w:lang w:eastAsia="en-GB"/>
        </w:rPr>
        <w:lastRenderedPageBreak/>
        <w:t>= 0.69</w:t>
      </w:r>
      <w:r w:rsidRPr="00924F61">
        <w:rPr>
          <w:lang w:eastAsia="en-GB"/>
        </w:rPr>
        <w:cr/>
      </w:r>
    </w:p>
    <w:p w14:paraId="7B43BF96" w14:textId="77777777" w:rsidR="0039369E" w:rsidRDefault="0039369E" w:rsidP="0039369E">
      <w:pPr>
        <w:pStyle w:val="ListParagraph"/>
        <w:rPr>
          <w:lang w:eastAsia="en-GB"/>
        </w:rPr>
      </w:pPr>
      <w:r>
        <w:rPr>
          <w:lang w:eastAsia="en-GB"/>
        </w:rPr>
        <w:t xml:space="preserve">In 2020, </w:t>
      </w:r>
      <w:r w:rsidRPr="00924F61">
        <w:rPr>
          <w:lang w:eastAsia="en-GB"/>
        </w:rPr>
        <w:t xml:space="preserve">Asset Turnover </w:t>
      </w:r>
    </w:p>
    <w:p w14:paraId="7119D17A" w14:textId="77777777" w:rsidR="0039369E" w:rsidRDefault="0039369E" w:rsidP="0039369E">
      <w:pPr>
        <w:pStyle w:val="ListParagraph"/>
        <w:rPr>
          <w:lang w:eastAsia="en-GB"/>
        </w:rPr>
      </w:pPr>
      <w:r w:rsidRPr="00924F61">
        <w:rPr>
          <w:lang w:eastAsia="en-GB"/>
        </w:rPr>
        <w:t xml:space="preserve">= Revenue / Total Assets </w:t>
      </w:r>
    </w:p>
    <w:p w14:paraId="06863C6B" w14:textId="77777777" w:rsidR="0039369E" w:rsidRDefault="0039369E" w:rsidP="0039369E">
      <w:pPr>
        <w:pStyle w:val="ListParagraph"/>
        <w:rPr>
          <w:lang w:eastAsia="en-GB"/>
        </w:rPr>
      </w:pPr>
      <w:r>
        <w:rPr>
          <w:lang w:eastAsia="en-GB"/>
        </w:rPr>
        <w:t>=</w:t>
      </w:r>
      <w:r w:rsidRPr="00924F61">
        <w:rPr>
          <w:lang w:eastAsia="en-GB"/>
        </w:rPr>
        <w:t xml:space="preserve">6,441 / 10,087 </w:t>
      </w:r>
    </w:p>
    <w:p w14:paraId="66C89B87" w14:textId="77777777" w:rsidR="0039369E" w:rsidRDefault="0039369E" w:rsidP="0039369E">
      <w:pPr>
        <w:pStyle w:val="ListParagraph"/>
        <w:pBdr>
          <w:bottom w:val="single" w:sz="6" w:space="1" w:color="auto"/>
        </w:pBdr>
        <w:rPr>
          <w:lang w:eastAsia="en-GB"/>
        </w:rPr>
      </w:pPr>
      <w:r w:rsidRPr="00924F61">
        <w:rPr>
          <w:lang w:eastAsia="en-GB"/>
        </w:rPr>
        <w:t>= 0.64</w:t>
      </w:r>
    </w:p>
    <w:p w14:paraId="39036EE6" w14:textId="77777777" w:rsidR="0039369E" w:rsidRPr="004D3202" w:rsidRDefault="0039369E" w:rsidP="0039369E">
      <w:pPr>
        <w:pStyle w:val="ListParagraph"/>
        <w:rPr>
          <w:lang w:eastAsia="en-GB"/>
        </w:rPr>
      </w:pPr>
    </w:p>
    <w:p w14:paraId="53C233C3" w14:textId="77777777" w:rsidR="0039369E" w:rsidRDefault="0039369E" w:rsidP="0039369E">
      <w:pPr>
        <w:pStyle w:val="ListParagraph"/>
        <w:numPr>
          <w:ilvl w:val="0"/>
          <w:numId w:val="1"/>
        </w:numPr>
        <w:rPr>
          <w:lang w:eastAsia="en-GB"/>
        </w:rPr>
      </w:pPr>
      <w:r w:rsidRPr="004D3202">
        <w:rPr>
          <w:lang w:eastAsia="en-GB"/>
        </w:rPr>
        <w:t>Stock holding days</w:t>
      </w:r>
    </w:p>
    <w:p w14:paraId="5C48A13F" w14:textId="77777777" w:rsidR="0039369E" w:rsidRDefault="0039369E" w:rsidP="0039369E">
      <w:pPr>
        <w:pStyle w:val="ListParagraph"/>
        <w:rPr>
          <w:lang w:eastAsia="en-GB"/>
        </w:rPr>
      </w:pPr>
      <w:r w:rsidRPr="00924F61">
        <w:rPr>
          <w:lang w:eastAsia="en-GB"/>
        </w:rPr>
        <w:t>Stock Holding Days = (Inventory / Cost of Sales) * 365</w:t>
      </w:r>
      <w:r w:rsidRPr="00924F61">
        <w:rPr>
          <w:lang w:eastAsia="en-GB"/>
        </w:rPr>
        <w:cr/>
      </w:r>
      <w:r w:rsidRPr="00924F61">
        <w:rPr>
          <w:lang w:eastAsia="en-GB"/>
        </w:rPr>
        <w:cr/>
      </w:r>
      <w:r>
        <w:rPr>
          <w:lang w:eastAsia="en-GB"/>
        </w:rPr>
        <w:t xml:space="preserve">In 2021, </w:t>
      </w:r>
      <w:r w:rsidRPr="00924F61">
        <w:rPr>
          <w:lang w:eastAsia="en-GB"/>
        </w:rPr>
        <w:t xml:space="preserve">Stock Holding Days </w:t>
      </w:r>
    </w:p>
    <w:p w14:paraId="695ECCD2" w14:textId="77777777" w:rsidR="0039369E" w:rsidRDefault="0039369E" w:rsidP="0039369E">
      <w:pPr>
        <w:pStyle w:val="ListParagraph"/>
        <w:rPr>
          <w:lang w:eastAsia="en-GB"/>
        </w:rPr>
      </w:pPr>
      <w:r w:rsidRPr="00924F61">
        <w:rPr>
          <w:lang w:eastAsia="en-GB"/>
        </w:rPr>
        <w:t xml:space="preserve">= (Inventory / Cost of Sales) * 365 </w:t>
      </w:r>
    </w:p>
    <w:p w14:paraId="74E47372" w14:textId="77777777" w:rsidR="0039369E" w:rsidRDefault="0039369E" w:rsidP="0039369E">
      <w:pPr>
        <w:pStyle w:val="ListParagraph"/>
        <w:rPr>
          <w:lang w:eastAsia="en-GB"/>
        </w:rPr>
      </w:pPr>
      <w:r>
        <w:rPr>
          <w:lang w:eastAsia="en-GB"/>
        </w:rPr>
        <w:t xml:space="preserve">= </w:t>
      </w:r>
      <w:r w:rsidRPr="00924F61">
        <w:rPr>
          <w:lang w:eastAsia="en-GB"/>
        </w:rPr>
        <w:t xml:space="preserve">(708 / 3,235) * 365 </w:t>
      </w:r>
    </w:p>
    <w:p w14:paraId="7B2DD07A" w14:textId="77777777" w:rsidR="0039369E" w:rsidRDefault="0039369E" w:rsidP="0039369E">
      <w:pPr>
        <w:pStyle w:val="ListParagraph"/>
        <w:rPr>
          <w:lang w:eastAsia="en-GB"/>
        </w:rPr>
      </w:pPr>
      <w:r>
        <w:rPr>
          <w:lang w:eastAsia="en-GB"/>
        </w:rPr>
        <w:t>= 80</w:t>
      </w:r>
      <w:r w:rsidRPr="00924F61">
        <w:rPr>
          <w:lang w:eastAsia="en-GB"/>
        </w:rPr>
        <w:t xml:space="preserve"> days</w:t>
      </w:r>
      <w:r w:rsidRPr="00924F61">
        <w:rPr>
          <w:lang w:eastAsia="en-GB"/>
        </w:rPr>
        <w:cr/>
      </w:r>
    </w:p>
    <w:p w14:paraId="27A3C019" w14:textId="77777777" w:rsidR="0039369E" w:rsidRDefault="0039369E" w:rsidP="0039369E">
      <w:pPr>
        <w:pStyle w:val="ListParagraph"/>
        <w:rPr>
          <w:lang w:eastAsia="en-GB"/>
        </w:rPr>
      </w:pPr>
      <w:r>
        <w:rPr>
          <w:lang w:eastAsia="en-GB"/>
        </w:rPr>
        <w:t xml:space="preserve">In 2020, </w:t>
      </w:r>
      <w:r w:rsidRPr="00924F61">
        <w:rPr>
          <w:lang w:eastAsia="en-GB"/>
        </w:rPr>
        <w:t xml:space="preserve">Stock Holding Days </w:t>
      </w:r>
    </w:p>
    <w:p w14:paraId="500D4896" w14:textId="77777777" w:rsidR="0039369E" w:rsidRDefault="0039369E" w:rsidP="0039369E">
      <w:pPr>
        <w:pStyle w:val="ListParagraph"/>
        <w:rPr>
          <w:lang w:eastAsia="en-GB"/>
        </w:rPr>
      </w:pPr>
      <w:r w:rsidRPr="00924F61">
        <w:rPr>
          <w:lang w:eastAsia="en-GB"/>
        </w:rPr>
        <w:t xml:space="preserve">= (Inventory / Cost of Sales) * 365 </w:t>
      </w:r>
    </w:p>
    <w:p w14:paraId="28A6839A" w14:textId="77777777" w:rsidR="0039369E" w:rsidRDefault="0039369E" w:rsidP="0039369E">
      <w:pPr>
        <w:pStyle w:val="ListParagraph"/>
        <w:rPr>
          <w:lang w:eastAsia="en-GB"/>
        </w:rPr>
      </w:pPr>
      <w:r>
        <w:rPr>
          <w:lang w:eastAsia="en-GB"/>
        </w:rPr>
        <w:t xml:space="preserve">= </w:t>
      </w:r>
      <w:r w:rsidRPr="00924F61">
        <w:rPr>
          <w:lang w:eastAsia="en-GB"/>
        </w:rPr>
        <w:t xml:space="preserve">(659 / 3,096) * 365 </w:t>
      </w:r>
    </w:p>
    <w:p w14:paraId="17136E02" w14:textId="77777777" w:rsidR="0039369E" w:rsidRDefault="0039369E" w:rsidP="0039369E">
      <w:pPr>
        <w:pStyle w:val="ListParagraph"/>
        <w:pBdr>
          <w:bottom w:val="single" w:sz="6" w:space="1" w:color="auto"/>
        </w:pBdr>
        <w:rPr>
          <w:lang w:eastAsia="en-GB"/>
        </w:rPr>
      </w:pPr>
      <w:r>
        <w:rPr>
          <w:lang w:eastAsia="en-GB"/>
        </w:rPr>
        <w:t>= 77</w:t>
      </w:r>
      <w:r w:rsidRPr="00924F61">
        <w:rPr>
          <w:lang w:eastAsia="en-GB"/>
        </w:rPr>
        <w:t xml:space="preserve"> days</w:t>
      </w:r>
    </w:p>
    <w:p w14:paraId="5F700C01" w14:textId="77777777" w:rsidR="0039369E" w:rsidRPr="004D3202" w:rsidRDefault="0039369E" w:rsidP="0039369E">
      <w:pPr>
        <w:pStyle w:val="ListParagraph"/>
        <w:rPr>
          <w:lang w:eastAsia="en-GB"/>
        </w:rPr>
      </w:pPr>
    </w:p>
    <w:p w14:paraId="688974ED" w14:textId="77777777" w:rsidR="0039369E" w:rsidRDefault="0039369E" w:rsidP="0039369E">
      <w:pPr>
        <w:pStyle w:val="ListParagraph"/>
        <w:numPr>
          <w:ilvl w:val="0"/>
          <w:numId w:val="1"/>
        </w:numPr>
        <w:rPr>
          <w:lang w:eastAsia="en-GB"/>
        </w:rPr>
      </w:pPr>
      <w:r w:rsidRPr="004D3202">
        <w:rPr>
          <w:lang w:eastAsia="en-GB"/>
        </w:rPr>
        <w:t>Debtors collection period</w:t>
      </w:r>
    </w:p>
    <w:p w14:paraId="7C579DE2" w14:textId="77777777" w:rsidR="0039369E" w:rsidRDefault="0039369E" w:rsidP="0039369E">
      <w:pPr>
        <w:pStyle w:val="ListParagraph"/>
        <w:rPr>
          <w:lang w:eastAsia="en-GB"/>
        </w:rPr>
      </w:pPr>
      <w:r w:rsidRPr="0072449C">
        <w:rPr>
          <w:lang w:eastAsia="en-GB"/>
        </w:rPr>
        <w:t>Debtors Collection Period = (Trade Receivables / Revenue) * 365</w:t>
      </w:r>
      <w:r w:rsidRPr="0072449C">
        <w:rPr>
          <w:lang w:eastAsia="en-GB"/>
        </w:rPr>
        <w:cr/>
      </w:r>
      <w:r w:rsidRPr="0072449C">
        <w:rPr>
          <w:lang w:eastAsia="en-GB"/>
        </w:rPr>
        <w:cr/>
      </w:r>
      <w:r>
        <w:rPr>
          <w:lang w:eastAsia="en-GB"/>
        </w:rPr>
        <w:t xml:space="preserve">In 2021, </w:t>
      </w:r>
      <w:r w:rsidRPr="0072449C">
        <w:rPr>
          <w:lang w:eastAsia="en-GB"/>
        </w:rPr>
        <w:t>Debtor</w:t>
      </w:r>
      <w:r>
        <w:rPr>
          <w:lang w:eastAsia="en-GB"/>
        </w:rPr>
        <w:t>'</w:t>
      </w:r>
      <w:r w:rsidRPr="0072449C">
        <w:rPr>
          <w:lang w:eastAsia="en-GB"/>
        </w:rPr>
        <w:t xml:space="preserve">s Collection Period </w:t>
      </w:r>
    </w:p>
    <w:p w14:paraId="4850D59F" w14:textId="77777777" w:rsidR="0039369E" w:rsidRDefault="0039369E" w:rsidP="0039369E">
      <w:pPr>
        <w:pStyle w:val="ListParagraph"/>
        <w:rPr>
          <w:lang w:eastAsia="en-GB"/>
        </w:rPr>
      </w:pPr>
      <w:r w:rsidRPr="0072449C">
        <w:rPr>
          <w:lang w:eastAsia="en-GB"/>
        </w:rPr>
        <w:t>= (Trade Receivables / Revenue) * 365</w:t>
      </w:r>
    </w:p>
    <w:p w14:paraId="60200B9A" w14:textId="77777777" w:rsidR="0039369E" w:rsidRDefault="0039369E" w:rsidP="0039369E">
      <w:pPr>
        <w:pStyle w:val="ListParagraph"/>
        <w:rPr>
          <w:lang w:eastAsia="en-GB"/>
        </w:rPr>
      </w:pPr>
      <w:proofErr w:type="gramStart"/>
      <w:r>
        <w:rPr>
          <w:lang w:eastAsia="en-GB"/>
        </w:rPr>
        <w:t xml:space="preserve">= </w:t>
      </w:r>
      <w:r w:rsidRPr="0072449C">
        <w:rPr>
          <w:lang w:eastAsia="en-GB"/>
        </w:rPr>
        <w:t xml:space="preserve"> (</w:t>
      </w:r>
      <w:proofErr w:type="gramEnd"/>
      <w:r w:rsidRPr="0072449C">
        <w:rPr>
          <w:lang w:eastAsia="en-GB"/>
        </w:rPr>
        <w:t xml:space="preserve">1,249 / 6,738) * 365 </w:t>
      </w:r>
    </w:p>
    <w:p w14:paraId="486A00CA" w14:textId="77777777" w:rsidR="0039369E" w:rsidRDefault="0039369E" w:rsidP="0039369E">
      <w:pPr>
        <w:pStyle w:val="ListParagraph"/>
        <w:rPr>
          <w:lang w:eastAsia="en-GB"/>
        </w:rPr>
      </w:pPr>
      <w:r>
        <w:rPr>
          <w:lang w:eastAsia="en-GB"/>
        </w:rPr>
        <w:t>= 68</w:t>
      </w:r>
      <w:r w:rsidRPr="0072449C">
        <w:rPr>
          <w:lang w:eastAsia="en-GB"/>
        </w:rPr>
        <w:t xml:space="preserve"> days</w:t>
      </w:r>
      <w:r w:rsidRPr="0072449C">
        <w:rPr>
          <w:lang w:eastAsia="en-GB"/>
        </w:rPr>
        <w:cr/>
      </w:r>
    </w:p>
    <w:p w14:paraId="25AD2A2A" w14:textId="77777777" w:rsidR="0039369E" w:rsidRDefault="0039369E" w:rsidP="0039369E">
      <w:pPr>
        <w:pStyle w:val="ListParagraph"/>
        <w:rPr>
          <w:lang w:eastAsia="en-GB"/>
        </w:rPr>
      </w:pPr>
      <w:r>
        <w:rPr>
          <w:lang w:eastAsia="en-GB"/>
        </w:rPr>
        <w:t xml:space="preserve">In 2020, </w:t>
      </w:r>
      <w:r w:rsidRPr="0072449C">
        <w:rPr>
          <w:lang w:eastAsia="en-GB"/>
        </w:rPr>
        <w:t>Debtor</w:t>
      </w:r>
      <w:r>
        <w:rPr>
          <w:lang w:eastAsia="en-GB"/>
        </w:rPr>
        <w:t>'</w:t>
      </w:r>
      <w:r w:rsidRPr="0072449C">
        <w:rPr>
          <w:lang w:eastAsia="en-GB"/>
        </w:rPr>
        <w:t xml:space="preserve">s Collection Period </w:t>
      </w:r>
    </w:p>
    <w:p w14:paraId="7F374C7E" w14:textId="77777777" w:rsidR="0039369E" w:rsidRDefault="0039369E" w:rsidP="0039369E">
      <w:pPr>
        <w:pStyle w:val="ListParagraph"/>
        <w:rPr>
          <w:lang w:eastAsia="en-GB"/>
        </w:rPr>
      </w:pPr>
      <w:r w:rsidRPr="0072449C">
        <w:rPr>
          <w:lang w:eastAsia="en-GB"/>
        </w:rPr>
        <w:t>= (Trade Receivables / Revenue) * 365</w:t>
      </w:r>
    </w:p>
    <w:p w14:paraId="077E89AB" w14:textId="77777777" w:rsidR="0039369E" w:rsidRDefault="0039369E" w:rsidP="0039369E">
      <w:pPr>
        <w:pStyle w:val="ListParagraph"/>
        <w:rPr>
          <w:lang w:eastAsia="en-GB"/>
        </w:rPr>
      </w:pPr>
      <w:r>
        <w:rPr>
          <w:lang w:eastAsia="en-GB"/>
        </w:rPr>
        <w:t>=</w:t>
      </w:r>
      <w:r w:rsidRPr="0072449C">
        <w:rPr>
          <w:lang w:eastAsia="en-GB"/>
        </w:rPr>
        <w:t xml:space="preserve"> (1,287 / 6,441) * 365 </w:t>
      </w:r>
    </w:p>
    <w:p w14:paraId="1C741D65" w14:textId="77777777" w:rsidR="0039369E" w:rsidRDefault="0039369E" w:rsidP="0039369E">
      <w:pPr>
        <w:pStyle w:val="ListParagraph"/>
        <w:pBdr>
          <w:bottom w:val="single" w:sz="6" w:space="1" w:color="auto"/>
        </w:pBdr>
        <w:rPr>
          <w:lang w:eastAsia="en-GB"/>
        </w:rPr>
      </w:pPr>
      <w:r>
        <w:rPr>
          <w:lang w:eastAsia="en-GB"/>
        </w:rPr>
        <w:lastRenderedPageBreak/>
        <w:t>= 73</w:t>
      </w:r>
      <w:r w:rsidRPr="0072449C">
        <w:rPr>
          <w:lang w:eastAsia="en-GB"/>
        </w:rPr>
        <w:t xml:space="preserve"> days</w:t>
      </w:r>
    </w:p>
    <w:p w14:paraId="2D986EFA" w14:textId="77777777" w:rsidR="0039369E" w:rsidRPr="004D3202" w:rsidRDefault="0039369E" w:rsidP="0039369E">
      <w:pPr>
        <w:pStyle w:val="ListParagraph"/>
        <w:rPr>
          <w:lang w:eastAsia="en-GB"/>
        </w:rPr>
      </w:pPr>
    </w:p>
    <w:p w14:paraId="4BE64B01" w14:textId="77777777" w:rsidR="0039369E" w:rsidRDefault="0039369E" w:rsidP="0039369E">
      <w:pPr>
        <w:pStyle w:val="ListParagraph"/>
        <w:numPr>
          <w:ilvl w:val="0"/>
          <w:numId w:val="1"/>
        </w:numPr>
        <w:rPr>
          <w:lang w:eastAsia="en-GB"/>
        </w:rPr>
      </w:pPr>
      <w:r w:rsidRPr="004D3202">
        <w:rPr>
          <w:lang w:eastAsia="en-GB"/>
        </w:rPr>
        <w:t>Current ratio</w:t>
      </w:r>
    </w:p>
    <w:p w14:paraId="5CD84B90" w14:textId="77777777" w:rsidR="0039369E" w:rsidRDefault="0039369E" w:rsidP="0039369E">
      <w:pPr>
        <w:pStyle w:val="ListParagraph"/>
        <w:rPr>
          <w:lang w:eastAsia="en-GB"/>
        </w:rPr>
      </w:pPr>
      <w:r w:rsidRPr="004D3202">
        <w:rPr>
          <w:lang w:eastAsia="en-GB"/>
        </w:rPr>
        <w:t>Current ratio</w:t>
      </w:r>
      <w:r>
        <w:rPr>
          <w:lang w:eastAsia="en-GB"/>
        </w:rPr>
        <w:t xml:space="preserve"> = </w:t>
      </w:r>
      <w:r w:rsidRPr="0072449C">
        <w:rPr>
          <w:lang w:eastAsia="en-GB"/>
        </w:rPr>
        <w:t>(Current Assets / Current Liabilities)</w:t>
      </w:r>
    </w:p>
    <w:p w14:paraId="70D7CA39" w14:textId="77777777" w:rsidR="0039369E" w:rsidRDefault="0039369E" w:rsidP="0039369E">
      <w:pPr>
        <w:pStyle w:val="ListParagraph"/>
        <w:rPr>
          <w:lang w:eastAsia="en-GB"/>
        </w:rPr>
      </w:pPr>
      <w:r w:rsidRPr="0072449C">
        <w:rPr>
          <w:lang w:eastAsia="en-GB"/>
        </w:rPr>
        <w:cr/>
      </w:r>
      <w:r>
        <w:rPr>
          <w:lang w:eastAsia="en-GB"/>
        </w:rPr>
        <w:t xml:space="preserve">In 2021, the </w:t>
      </w:r>
      <w:r w:rsidRPr="004D3202">
        <w:rPr>
          <w:lang w:eastAsia="en-GB"/>
        </w:rPr>
        <w:t>Current ratio</w:t>
      </w:r>
    </w:p>
    <w:p w14:paraId="2175D0AA" w14:textId="77777777" w:rsidR="0039369E" w:rsidRDefault="0039369E" w:rsidP="0039369E">
      <w:pPr>
        <w:pStyle w:val="ListParagraph"/>
        <w:rPr>
          <w:lang w:eastAsia="en-GB"/>
        </w:rPr>
      </w:pPr>
      <w:r>
        <w:rPr>
          <w:lang w:eastAsia="en-GB"/>
        </w:rPr>
        <w:t xml:space="preserve">= </w:t>
      </w:r>
      <w:r w:rsidRPr="0072449C">
        <w:rPr>
          <w:lang w:eastAsia="en-GB"/>
        </w:rPr>
        <w:t>(Current Assets / Current Liabilities)</w:t>
      </w:r>
    </w:p>
    <w:p w14:paraId="3FD2C939" w14:textId="77777777" w:rsidR="0039369E" w:rsidRDefault="0039369E" w:rsidP="0039369E">
      <w:pPr>
        <w:pStyle w:val="ListParagraph"/>
        <w:rPr>
          <w:lang w:eastAsia="en-GB"/>
        </w:rPr>
      </w:pPr>
      <w:r w:rsidRPr="0072449C">
        <w:rPr>
          <w:lang w:eastAsia="en-GB"/>
        </w:rPr>
        <w:t xml:space="preserve">= (2,303 / 2,511) </w:t>
      </w:r>
    </w:p>
    <w:p w14:paraId="147E63C8" w14:textId="77777777" w:rsidR="0039369E" w:rsidRDefault="0039369E" w:rsidP="0039369E">
      <w:pPr>
        <w:pStyle w:val="ListParagraph"/>
        <w:rPr>
          <w:lang w:eastAsia="en-GB"/>
        </w:rPr>
      </w:pPr>
      <w:r w:rsidRPr="0072449C">
        <w:rPr>
          <w:lang w:eastAsia="en-GB"/>
        </w:rPr>
        <w:t>= 0.92</w:t>
      </w:r>
      <w:r w:rsidRPr="0072449C">
        <w:rPr>
          <w:lang w:eastAsia="en-GB"/>
        </w:rPr>
        <w:cr/>
      </w:r>
    </w:p>
    <w:p w14:paraId="4FC69B7D" w14:textId="77777777" w:rsidR="0039369E" w:rsidRDefault="0039369E" w:rsidP="0039369E">
      <w:pPr>
        <w:pStyle w:val="ListParagraph"/>
        <w:rPr>
          <w:lang w:eastAsia="en-GB"/>
        </w:rPr>
      </w:pPr>
      <w:r>
        <w:rPr>
          <w:lang w:eastAsia="en-GB"/>
        </w:rPr>
        <w:t xml:space="preserve">In 2020, the </w:t>
      </w:r>
      <w:r w:rsidRPr="004D3202">
        <w:rPr>
          <w:lang w:eastAsia="en-GB"/>
        </w:rPr>
        <w:t>Current ratio</w:t>
      </w:r>
    </w:p>
    <w:p w14:paraId="1147EE38" w14:textId="77777777" w:rsidR="0039369E" w:rsidRDefault="0039369E" w:rsidP="0039369E">
      <w:pPr>
        <w:pStyle w:val="ListParagraph"/>
        <w:rPr>
          <w:lang w:eastAsia="en-GB"/>
        </w:rPr>
      </w:pPr>
      <w:r>
        <w:rPr>
          <w:lang w:eastAsia="en-GB"/>
        </w:rPr>
        <w:t xml:space="preserve">= </w:t>
      </w:r>
      <w:r w:rsidRPr="0072449C">
        <w:rPr>
          <w:lang w:eastAsia="en-GB"/>
        </w:rPr>
        <w:t>(Current Assets / Current Liabilities)</w:t>
      </w:r>
    </w:p>
    <w:p w14:paraId="0F8A8BBA" w14:textId="77777777" w:rsidR="0039369E" w:rsidRDefault="0039369E" w:rsidP="0039369E">
      <w:pPr>
        <w:pStyle w:val="ListParagraph"/>
        <w:rPr>
          <w:lang w:eastAsia="en-GB"/>
        </w:rPr>
      </w:pPr>
      <w:r>
        <w:rPr>
          <w:lang w:eastAsia="en-GB"/>
        </w:rPr>
        <w:t>=</w:t>
      </w:r>
      <w:r w:rsidRPr="0072449C">
        <w:rPr>
          <w:lang w:eastAsia="en-GB"/>
        </w:rPr>
        <w:t xml:space="preserve"> (2,355 / 3,046) </w:t>
      </w:r>
    </w:p>
    <w:p w14:paraId="511F0695" w14:textId="77777777" w:rsidR="0039369E" w:rsidRDefault="0039369E" w:rsidP="0039369E">
      <w:pPr>
        <w:pStyle w:val="ListParagraph"/>
        <w:pBdr>
          <w:bottom w:val="single" w:sz="6" w:space="1" w:color="auto"/>
        </w:pBdr>
        <w:rPr>
          <w:lang w:eastAsia="en-GB"/>
        </w:rPr>
      </w:pPr>
      <w:r w:rsidRPr="0072449C">
        <w:rPr>
          <w:lang w:eastAsia="en-GB"/>
        </w:rPr>
        <w:t>= 0.77</w:t>
      </w:r>
    </w:p>
    <w:p w14:paraId="2E4C5BD2" w14:textId="77777777" w:rsidR="0039369E" w:rsidRPr="004D3202" w:rsidRDefault="0039369E" w:rsidP="0039369E">
      <w:pPr>
        <w:pStyle w:val="ListParagraph"/>
        <w:rPr>
          <w:lang w:eastAsia="en-GB"/>
        </w:rPr>
      </w:pPr>
    </w:p>
    <w:p w14:paraId="426B4B06" w14:textId="77777777" w:rsidR="0039369E" w:rsidRDefault="0039369E" w:rsidP="0039369E">
      <w:pPr>
        <w:pStyle w:val="ListParagraph"/>
        <w:numPr>
          <w:ilvl w:val="0"/>
          <w:numId w:val="1"/>
        </w:numPr>
        <w:rPr>
          <w:lang w:eastAsia="en-GB"/>
        </w:rPr>
      </w:pPr>
      <w:r w:rsidRPr="004D3202">
        <w:rPr>
          <w:lang w:eastAsia="en-GB"/>
        </w:rPr>
        <w:t>Gearing ratio</w:t>
      </w:r>
    </w:p>
    <w:p w14:paraId="292A06D0" w14:textId="77777777" w:rsidR="0039369E" w:rsidRDefault="0039369E" w:rsidP="0039369E">
      <w:pPr>
        <w:pStyle w:val="ListParagraph"/>
        <w:rPr>
          <w:lang w:eastAsia="en-GB"/>
        </w:rPr>
      </w:pPr>
      <w:r w:rsidRPr="00CF03FC">
        <w:rPr>
          <w:lang w:eastAsia="en-GB"/>
        </w:rPr>
        <w:t>Gearing Ratio = (Total Debt / Shareholders' Equity) * 100</w:t>
      </w:r>
      <w:r w:rsidRPr="00CF03FC">
        <w:rPr>
          <w:lang w:eastAsia="en-GB"/>
        </w:rPr>
        <w:cr/>
      </w:r>
      <w:r>
        <w:rPr>
          <w:lang w:eastAsia="en-GB"/>
        </w:rPr>
        <w:t xml:space="preserve">Here, </w:t>
      </w:r>
      <w:r w:rsidRPr="00CF03FC">
        <w:rPr>
          <w:lang w:eastAsia="en-GB"/>
        </w:rPr>
        <w:t>Total Debt = Current Liabilities + Noncurrent Liabilities</w:t>
      </w:r>
      <w:r w:rsidRPr="00CF03FC">
        <w:rPr>
          <w:lang w:eastAsia="en-GB"/>
        </w:rPr>
        <w:cr/>
      </w:r>
      <w:r w:rsidRPr="00CF03FC">
        <w:rPr>
          <w:lang w:eastAsia="en-GB"/>
        </w:rPr>
        <w:cr/>
      </w:r>
      <w:r>
        <w:rPr>
          <w:lang w:eastAsia="en-GB"/>
        </w:rPr>
        <w:t xml:space="preserve">In 2021, </w:t>
      </w:r>
      <w:r w:rsidRPr="00CF03FC">
        <w:rPr>
          <w:lang w:eastAsia="en-GB"/>
        </w:rPr>
        <w:t xml:space="preserve">Gearing Ratio </w:t>
      </w:r>
    </w:p>
    <w:p w14:paraId="4C54270A" w14:textId="77777777" w:rsidR="0039369E" w:rsidRDefault="0039369E" w:rsidP="0039369E">
      <w:pPr>
        <w:pStyle w:val="ListParagraph"/>
        <w:rPr>
          <w:lang w:eastAsia="en-GB"/>
        </w:rPr>
      </w:pPr>
      <w:r w:rsidRPr="00CF03FC">
        <w:rPr>
          <w:lang w:eastAsia="en-GB"/>
        </w:rPr>
        <w:t xml:space="preserve">= (Total Debt / Shareholders' Equity) * 100 </w:t>
      </w:r>
    </w:p>
    <w:p w14:paraId="536A7D6D" w14:textId="77777777" w:rsidR="0039369E" w:rsidRDefault="0039369E" w:rsidP="0039369E">
      <w:pPr>
        <w:pStyle w:val="ListParagraph"/>
        <w:rPr>
          <w:lang w:eastAsia="en-GB"/>
        </w:rPr>
      </w:pPr>
      <w:proofErr w:type="gramStart"/>
      <w:r>
        <w:rPr>
          <w:lang w:eastAsia="en-GB"/>
        </w:rPr>
        <w:t>={</w:t>
      </w:r>
      <w:proofErr w:type="gramEnd"/>
      <w:r w:rsidRPr="00CF03FC">
        <w:rPr>
          <w:lang w:eastAsia="en-GB"/>
        </w:rPr>
        <w:t>(2,511</w:t>
      </w:r>
      <w:r>
        <w:rPr>
          <w:lang w:eastAsia="en-GB"/>
        </w:rPr>
        <w:t xml:space="preserve"> + 4,137) / 3,088} * 100 </w:t>
      </w:r>
    </w:p>
    <w:p w14:paraId="375AB3C9" w14:textId="77777777" w:rsidR="0039369E" w:rsidRDefault="0039369E" w:rsidP="0039369E">
      <w:pPr>
        <w:pStyle w:val="ListParagraph"/>
        <w:rPr>
          <w:lang w:eastAsia="en-GB"/>
        </w:rPr>
      </w:pPr>
      <w:r>
        <w:rPr>
          <w:lang w:eastAsia="en-GB"/>
        </w:rPr>
        <w:t>= 215.2</w:t>
      </w:r>
      <w:r w:rsidRPr="00CF03FC">
        <w:rPr>
          <w:lang w:eastAsia="en-GB"/>
        </w:rPr>
        <w:t>8%</w:t>
      </w:r>
      <w:r w:rsidRPr="00CF03FC">
        <w:rPr>
          <w:lang w:eastAsia="en-GB"/>
        </w:rPr>
        <w:cr/>
      </w:r>
    </w:p>
    <w:p w14:paraId="2DB00328" w14:textId="77777777" w:rsidR="0039369E" w:rsidRDefault="0039369E" w:rsidP="0039369E">
      <w:pPr>
        <w:pStyle w:val="ListParagraph"/>
        <w:rPr>
          <w:lang w:eastAsia="en-GB"/>
        </w:rPr>
      </w:pPr>
      <w:r>
        <w:rPr>
          <w:lang w:eastAsia="en-GB"/>
        </w:rPr>
        <w:t xml:space="preserve">In 2020, </w:t>
      </w:r>
      <w:r w:rsidRPr="00CF03FC">
        <w:rPr>
          <w:lang w:eastAsia="en-GB"/>
        </w:rPr>
        <w:t xml:space="preserve">Gearing Ratio </w:t>
      </w:r>
    </w:p>
    <w:p w14:paraId="5475E6E7" w14:textId="77777777" w:rsidR="0039369E" w:rsidRDefault="0039369E" w:rsidP="0039369E">
      <w:pPr>
        <w:pStyle w:val="ListParagraph"/>
        <w:rPr>
          <w:lang w:eastAsia="en-GB"/>
        </w:rPr>
      </w:pPr>
      <w:r w:rsidRPr="00CF03FC">
        <w:rPr>
          <w:lang w:eastAsia="en-GB"/>
        </w:rPr>
        <w:t xml:space="preserve">= (Total Debt / Shareholders' Equity) * 100 </w:t>
      </w:r>
    </w:p>
    <w:p w14:paraId="4A280FCC" w14:textId="77777777" w:rsidR="0039369E" w:rsidRDefault="0039369E" w:rsidP="0039369E">
      <w:pPr>
        <w:pStyle w:val="ListParagraph"/>
        <w:rPr>
          <w:lang w:eastAsia="en-GB"/>
        </w:rPr>
      </w:pPr>
      <w:r>
        <w:rPr>
          <w:lang w:eastAsia="en-GB"/>
        </w:rPr>
        <w:t>= {</w:t>
      </w:r>
      <w:r w:rsidRPr="00CF03FC">
        <w:rPr>
          <w:lang w:eastAsia="en-GB"/>
        </w:rPr>
        <w:t>(3,0</w:t>
      </w:r>
      <w:r>
        <w:rPr>
          <w:lang w:eastAsia="en-GB"/>
        </w:rPr>
        <w:t xml:space="preserve">46 + 4,129) / 2,912} * 100 </w:t>
      </w:r>
    </w:p>
    <w:p w14:paraId="7DF2E3D1" w14:textId="77777777" w:rsidR="0039369E" w:rsidRDefault="0039369E" w:rsidP="0039369E">
      <w:pPr>
        <w:pStyle w:val="ListParagraph"/>
        <w:pBdr>
          <w:bottom w:val="single" w:sz="6" w:space="1" w:color="auto"/>
        </w:pBdr>
        <w:rPr>
          <w:lang w:eastAsia="en-GB"/>
        </w:rPr>
      </w:pPr>
      <w:r>
        <w:rPr>
          <w:lang w:eastAsia="en-GB"/>
        </w:rPr>
        <w:t>= 246</w:t>
      </w:r>
      <w:r w:rsidRPr="00CF03FC">
        <w:rPr>
          <w:lang w:eastAsia="en-GB"/>
        </w:rPr>
        <w:t>.</w:t>
      </w:r>
      <w:r>
        <w:rPr>
          <w:lang w:eastAsia="en-GB"/>
        </w:rPr>
        <w:t>39</w:t>
      </w:r>
      <w:r w:rsidRPr="00CF03FC">
        <w:rPr>
          <w:lang w:eastAsia="en-GB"/>
        </w:rPr>
        <w:t>%</w:t>
      </w:r>
    </w:p>
    <w:p w14:paraId="6A1AB98A" w14:textId="77777777" w:rsidR="0039369E" w:rsidRPr="004D3202" w:rsidRDefault="0039369E" w:rsidP="0039369E">
      <w:pPr>
        <w:pStyle w:val="ListParagraph"/>
        <w:rPr>
          <w:lang w:eastAsia="en-GB"/>
        </w:rPr>
      </w:pPr>
    </w:p>
    <w:p w14:paraId="1E4CE3A3" w14:textId="77777777" w:rsidR="0039369E" w:rsidRDefault="0039369E" w:rsidP="0039369E">
      <w:pPr>
        <w:pStyle w:val="ListParagraph"/>
        <w:numPr>
          <w:ilvl w:val="0"/>
          <w:numId w:val="1"/>
        </w:numPr>
        <w:rPr>
          <w:lang w:eastAsia="en-GB"/>
        </w:rPr>
      </w:pPr>
      <w:r w:rsidRPr="004D3202">
        <w:rPr>
          <w:lang w:eastAsia="en-GB"/>
        </w:rPr>
        <w:t>Interest cover</w:t>
      </w:r>
    </w:p>
    <w:p w14:paraId="06C5AB67" w14:textId="77777777" w:rsidR="0039369E" w:rsidRDefault="0039369E" w:rsidP="0039369E">
      <w:pPr>
        <w:ind w:left="360"/>
        <w:rPr>
          <w:lang w:eastAsia="en-GB"/>
        </w:rPr>
      </w:pPr>
    </w:p>
    <w:p w14:paraId="684D30F5" w14:textId="77777777" w:rsidR="0039369E" w:rsidRDefault="0039369E" w:rsidP="0039369E">
      <w:pPr>
        <w:pStyle w:val="ListParagraph"/>
        <w:rPr>
          <w:lang w:eastAsia="en-GB"/>
        </w:rPr>
      </w:pPr>
      <w:r w:rsidRPr="00CF03FC">
        <w:rPr>
          <w:lang w:eastAsia="en-GB"/>
        </w:rPr>
        <w:lastRenderedPageBreak/>
        <w:t>Interest Cover = Operating Profit / Interest Payable</w:t>
      </w:r>
      <w:r w:rsidRPr="00CF03FC">
        <w:rPr>
          <w:lang w:eastAsia="en-GB"/>
        </w:rPr>
        <w:cr/>
      </w:r>
      <w:r w:rsidRPr="00CF03FC">
        <w:rPr>
          <w:lang w:eastAsia="en-GB"/>
        </w:rPr>
        <w:cr/>
      </w:r>
      <w:r>
        <w:rPr>
          <w:lang w:eastAsia="en-GB"/>
        </w:rPr>
        <w:t xml:space="preserve">In 2021, </w:t>
      </w:r>
      <w:r w:rsidRPr="00CF03FC">
        <w:rPr>
          <w:lang w:eastAsia="en-GB"/>
        </w:rPr>
        <w:t xml:space="preserve">Interest Cover </w:t>
      </w:r>
    </w:p>
    <w:p w14:paraId="745C1D17" w14:textId="77777777" w:rsidR="0039369E" w:rsidRDefault="0039369E" w:rsidP="0039369E">
      <w:pPr>
        <w:pStyle w:val="ListParagraph"/>
        <w:rPr>
          <w:lang w:eastAsia="en-GB"/>
        </w:rPr>
      </w:pPr>
      <w:r w:rsidRPr="00CF03FC">
        <w:rPr>
          <w:lang w:eastAsia="en-GB"/>
        </w:rPr>
        <w:t>= Operating Profit / Interest Payable</w:t>
      </w:r>
    </w:p>
    <w:p w14:paraId="0CD4DF63" w14:textId="77777777" w:rsidR="0039369E" w:rsidRDefault="0039369E" w:rsidP="0039369E">
      <w:pPr>
        <w:pStyle w:val="ListParagraph"/>
        <w:rPr>
          <w:lang w:eastAsia="en-GB"/>
        </w:rPr>
      </w:pPr>
      <w:r>
        <w:rPr>
          <w:lang w:eastAsia="en-GB"/>
        </w:rPr>
        <w:t>=</w:t>
      </w:r>
      <w:r w:rsidRPr="00CF03FC">
        <w:rPr>
          <w:lang w:eastAsia="en-GB"/>
        </w:rPr>
        <w:t xml:space="preserve"> 805 / 226 </w:t>
      </w:r>
    </w:p>
    <w:p w14:paraId="5D8A9F52" w14:textId="77777777" w:rsidR="0039369E" w:rsidRDefault="0039369E" w:rsidP="0039369E">
      <w:pPr>
        <w:pStyle w:val="ListParagraph"/>
        <w:rPr>
          <w:lang w:eastAsia="en-GB"/>
        </w:rPr>
      </w:pPr>
      <w:r w:rsidRPr="00CF03FC">
        <w:rPr>
          <w:lang w:eastAsia="en-GB"/>
        </w:rPr>
        <w:t>= 3.56</w:t>
      </w:r>
      <w:r w:rsidRPr="00CF03FC">
        <w:rPr>
          <w:lang w:eastAsia="en-GB"/>
        </w:rPr>
        <w:cr/>
      </w:r>
    </w:p>
    <w:p w14:paraId="2A0EFC22" w14:textId="77777777" w:rsidR="0039369E" w:rsidRDefault="0039369E" w:rsidP="0039369E">
      <w:pPr>
        <w:pStyle w:val="ListParagraph"/>
        <w:rPr>
          <w:lang w:eastAsia="en-GB"/>
        </w:rPr>
      </w:pPr>
      <w:r>
        <w:rPr>
          <w:lang w:eastAsia="en-GB"/>
        </w:rPr>
        <w:t xml:space="preserve">In 2020, </w:t>
      </w:r>
      <w:r w:rsidRPr="00CF03FC">
        <w:rPr>
          <w:lang w:eastAsia="en-GB"/>
        </w:rPr>
        <w:t xml:space="preserve">Interest Cover </w:t>
      </w:r>
    </w:p>
    <w:p w14:paraId="1BEB7B0C" w14:textId="77777777" w:rsidR="0039369E" w:rsidRDefault="0039369E" w:rsidP="0039369E">
      <w:pPr>
        <w:pStyle w:val="ListParagraph"/>
        <w:rPr>
          <w:lang w:eastAsia="en-GB"/>
        </w:rPr>
      </w:pPr>
      <w:r w:rsidRPr="00CF03FC">
        <w:rPr>
          <w:lang w:eastAsia="en-GB"/>
        </w:rPr>
        <w:t>= Operating Profit / Interest Payable</w:t>
      </w:r>
    </w:p>
    <w:p w14:paraId="33DC34E8" w14:textId="77777777" w:rsidR="0039369E" w:rsidRDefault="0039369E" w:rsidP="0039369E">
      <w:pPr>
        <w:pStyle w:val="ListParagraph"/>
        <w:rPr>
          <w:lang w:eastAsia="en-GB"/>
        </w:rPr>
      </w:pPr>
      <w:r>
        <w:rPr>
          <w:lang w:eastAsia="en-GB"/>
        </w:rPr>
        <w:t>=</w:t>
      </w:r>
      <w:r w:rsidRPr="00CF03FC">
        <w:rPr>
          <w:lang w:eastAsia="en-GB"/>
        </w:rPr>
        <w:t xml:space="preserve"> 699 / 181 </w:t>
      </w:r>
    </w:p>
    <w:p w14:paraId="21E66EF1" w14:textId="77777777" w:rsidR="0039369E" w:rsidRDefault="0039369E" w:rsidP="0039369E">
      <w:pPr>
        <w:pStyle w:val="ListParagraph"/>
        <w:rPr>
          <w:lang w:eastAsia="en-GB"/>
        </w:rPr>
      </w:pPr>
      <w:r w:rsidRPr="00CF03FC">
        <w:rPr>
          <w:lang w:eastAsia="en-GB"/>
        </w:rPr>
        <w:t>= 3.86</w:t>
      </w:r>
    </w:p>
    <w:p w14:paraId="203AD20B" w14:textId="77777777" w:rsidR="0039369E" w:rsidRDefault="0039369E" w:rsidP="0039369E">
      <w:pPr>
        <w:pStyle w:val="Heading1"/>
      </w:pPr>
      <w:bookmarkStart w:id="3" w:name="_Toc133687982"/>
      <w:r>
        <w:t>Answer to the Question No. 2 (b)</w:t>
      </w:r>
      <w:bookmarkEnd w:id="3"/>
    </w:p>
    <w:p w14:paraId="0B98B635" w14:textId="77777777" w:rsidR="0039369E" w:rsidRDefault="0039369E" w:rsidP="0039369E">
      <w:pPr>
        <w:rPr>
          <w:lang w:eastAsia="en-GB"/>
        </w:rPr>
      </w:pPr>
      <w:r w:rsidRPr="00F01578">
        <w:rPr>
          <w:lang w:eastAsia="en-GB"/>
        </w:rPr>
        <w:t xml:space="preserve">ROCE has grown in 2021, showing that the firm is making better use of </w:t>
      </w:r>
      <w:r>
        <w:rPr>
          <w:lang w:eastAsia="en-GB"/>
        </w:rPr>
        <w:t>its capital to produce profits</w:t>
      </w:r>
      <w:r w:rsidR="00721B61">
        <w:rPr>
          <w:lang w:eastAsia="en-GB"/>
        </w:rPr>
        <w:t xml:space="preserve"> </w:t>
      </w:r>
      <w:r w:rsidR="00721B61">
        <w:t>(</w:t>
      </w:r>
      <w:proofErr w:type="spellStart"/>
      <w:r w:rsidR="00721B61">
        <w:t>Lessambo</w:t>
      </w:r>
      <w:proofErr w:type="spellEnd"/>
      <w:r w:rsidR="00721B61">
        <w:t>, 2022)</w:t>
      </w:r>
      <w:r>
        <w:rPr>
          <w:lang w:eastAsia="en-GB"/>
        </w:rPr>
        <w:t xml:space="preserve">. </w:t>
      </w:r>
      <w:r w:rsidRPr="00F01578">
        <w:rPr>
          <w:lang w:eastAsia="en-GB"/>
        </w:rPr>
        <w:t xml:space="preserve">Stock retention days have increased marginally, indicating that the firm is selling </w:t>
      </w:r>
      <w:r>
        <w:rPr>
          <w:lang w:eastAsia="en-GB"/>
        </w:rPr>
        <w:t xml:space="preserve">its inventory at a slower pace. </w:t>
      </w:r>
      <w:r w:rsidRPr="00F01578">
        <w:rPr>
          <w:lang w:eastAsia="en-GB"/>
        </w:rPr>
        <w:t>EPS has risen, implying that the firm is producing higher pro</w:t>
      </w:r>
      <w:r>
        <w:rPr>
          <w:lang w:eastAsia="en-GB"/>
        </w:rPr>
        <w:t xml:space="preserve">fits per share for its owners. </w:t>
      </w:r>
      <w:r w:rsidRPr="00F01578">
        <w:rPr>
          <w:lang w:eastAsia="en-GB"/>
        </w:rPr>
        <w:t xml:space="preserve">ROE has also grown, indicating that the company's potential to create returns for shareholders </w:t>
      </w:r>
      <w:r>
        <w:rPr>
          <w:lang w:eastAsia="en-GB"/>
        </w:rPr>
        <w:t xml:space="preserve">has improved. </w:t>
      </w:r>
      <w:r w:rsidRPr="00F01578">
        <w:rPr>
          <w:lang w:eastAsia="en-GB"/>
        </w:rPr>
        <w:t>Asset turnover has risen, which indicates that the organisation is making better use o</w:t>
      </w:r>
      <w:r>
        <w:rPr>
          <w:lang w:eastAsia="en-GB"/>
        </w:rPr>
        <w:t xml:space="preserve">f its assets to produce income. </w:t>
      </w:r>
      <w:r w:rsidRPr="00F01578">
        <w:rPr>
          <w:lang w:eastAsia="en-GB"/>
        </w:rPr>
        <w:t>The margin of net profit is increasing, indicating stronger cost cont</w:t>
      </w:r>
      <w:r>
        <w:rPr>
          <w:lang w:eastAsia="en-GB"/>
        </w:rPr>
        <w:t xml:space="preserve">rol or higher sales efficiency. </w:t>
      </w:r>
      <w:r w:rsidRPr="00F01578">
        <w:rPr>
          <w:lang w:eastAsia="en-GB"/>
        </w:rPr>
        <w:t>The collecting term for debtors has been reduced.</w:t>
      </w:r>
      <w:r>
        <w:rPr>
          <w:lang w:eastAsia="en-GB"/>
        </w:rPr>
        <w:t xml:space="preserve"> </w:t>
      </w:r>
    </w:p>
    <w:p w14:paraId="7C92CA4B" w14:textId="77777777" w:rsidR="00721B61" w:rsidRDefault="0039369E" w:rsidP="00721B61">
      <w:pPr>
        <w:rPr>
          <w:lang w:eastAsia="en-GB"/>
        </w:rPr>
      </w:pPr>
      <w:r w:rsidRPr="00F01578">
        <w:rPr>
          <w:lang w:eastAsia="en-GB"/>
        </w:rPr>
        <w:t>Overall, Sweets plc's profitability has improved, with greater ROCE, ROE, EPS, as well as net profit percentage in 2021 as opposed to 2020. The current ratio indicates that the company's liquidity has increased, lowering the danger of short-term financial concerns</w:t>
      </w:r>
      <w:r w:rsidR="00721B61">
        <w:rPr>
          <w:lang w:eastAsia="en-GB"/>
        </w:rPr>
        <w:t xml:space="preserve"> </w:t>
      </w:r>
      <w:r w:rsidR="00721B61">
        <w:t>(</w:t>
      </w:r>
      <w:proofErr w:type="spellStart"/>
      <w:r w:rsidR="00721B61">
        <w:t>Berkau</w:t>
      </w:r>
      <w:proofErr w:type="spellEnd"/>
      <w:r w:rsidR="00721B61">
        <w:t>, 2020)</w:t>
      </w:r>
      <w:r w:rsidRPr="00F01578">
        <w:rPr>
          <w:lang w:eastAsia="en-GB"/>
        </w:rPr>
        <w:t>.  The rate of asset turnover has risen as well, showing that assets are being used more</w:t>
      </w:r>
      <w:r>
        <w:rPr>
          <w:lang w:eastAsia="en-GB"/>
        </w:rPr>
        <w:t xml:space="preserve"> effectively to create income. </w:t>
      </w:r>
      <w:r w:rsidRPr="00F01578">
        <w:rPr>
          <w:lang w:eastAsia="en-GB"/>
        </w:rPr>
        <w:t>However, the number of stock</w:t>
      </w:r>
      <w:r>
        <w:rPr>
          <w:lang w:eastAsia="en-GB"/>
        </w:rPr>
        <w:t>-</w:t>
      </w:r>
      <w:r w:rsidRPr="00F01578">
        <w:rPr>
          <w:lang w:eastAsia="en-GB"/>
        </w:rPr>
        <w:t>holding days has increased, implying that the company is taking a bit more time to sell its stock. The gearing ratio additionally has fallen, indicating that the company's financial risk has diminished since it depends less on borrowed capital. The collection duration for debtors has decreased, indicating that the firm is collecting money</w:t>
      </w:r>
      <w:r w:rsidR="00721B61">
        <w:rPr>
          <w:lang w:eastAsia="en-GB"/>
        </w:rPr>
        <w:t xml:space="preserve"> from its clients more promptly.</w:t>
      </w:r>
    </w:p>
    <w:p w14:paraId="2667A48C" w14:textId="77777777" w:rsidR="0039369E" w:rsidRDefault="0039369E" w:rsidP="00721B61">
      <w:pPr>
        <w:spacing w:line="259" w:lineRule="auto"/>
        <w:jc w:val="left"/>
        <w:rPr>
          <w:lang w:eastAsia="en-GB"/>
        </w:rPr>
      </w:pPr>
    </w:p>
    <w:p w14:paraId="712047BA" w14:textId="77777777" w:rsidR="0039369E" w:rsidRDefault="0039369E" w:rsidP="00721B61">
      <w:pPr>
        <w:pStyle w:val="Heading1"/>
      </w:pPr>
      <w:bookmarkStart w:id="4" w:name="_Toc133687983"/>
      <w:r>
        <w:t>Reference:</w:t>
      </w:r>
      <w:bookmarkEnd w:id="4"/>
      <w:r>
        <w:t xml:space="preserve"> </w:t>
      </w:r>
    </w:p>
    <w:p w14:paraId="7E6CA599" w14:textId="77777777" w:rsidR="00721B61" w:rsidRDefault="00721B61" w:rsidP="00721B61">
      <w:proofErr w:type="spellStart"/>
      <w:r>
        <w:t>Basioudis</w:t>
      </w:r>
      <w:proofErr w:type="spellEnd"/>
      <w:r>
        <w:t xml:space="preserve">, I.G. (2019) “Cash flow statements and analysis,” </w:t>
      </w:r>
      <w:r>
        <w:rPr>
          <w:i/>
          <w:iCs/>
        </w:rPr>
        <w:t>Financial Accounting</w:t>
      </w:r>
      <w:r>
        <w:t xml:space="preserve">, pp. 257–273. Available at: https://doi.org/10.4324/9780429468063-8. </w:t>
      </w:r>
    </w:p>
    <w:p w14:paraId="2919E8AD" w14:textId="77777777" w:rsidR="00721B61" w:rsidRDefault="00721B61" w:rsidP="00721B61">
      <w:proofErr w:type="spellStart"/>
      <w:r>
        <w:t>Berkau</w:t>
      </w:r>
      <w:proofErr w:type="spellEnd"/>
      <w:r>
        <w:t xml:space="preserve">, C. (2020) “5. basics of financial statement analysis,” </w:t>
      </w:r>
      <w:r>
        <w:rPr>
          <w:i/>
          <w:iCs/>
        </w:rPr>
        <w:t>Financial Statements</w:t>
      </w:r>
      <w:r>
        <w:t xml:space="preserve">, pp. 80–98. Available at: https://doi.org/10.24053/9783739880938-80. </w:t>
      </w:r>
    </w:p>
    <w:p w14:paraId="620005B2" w14:textId="77777777" w:rsidR="00721B61" w:rsidRDefault="00721B61" w:rsidP="00721B61">
      <w:proofErr w:type="spellStart"/>
      <w:r>
        <w:t>Lessambo</w:t>
      </w:r>
      <w:proofErr w:type="spellEnd"/>
      <w:r>
        <w:t xml:space="preserve">, F.I. (2022) “Foreign Currency Accounting,” </w:t>
      </w:r>
      <w:r>
        <w:rPr>
          <w:i/>
          <w:iCs/>
        </w:rPr>
        <w:t>Financial Statements</w:t>
      </w:r>
      <w:r>
        <w:t xml:space="preserve">, pp. 291–299. Available at: https://doi.org/10.1007/978-3-031-15663-2_19. </w:t>
      </w:r>
    </w:p>
    <w:p w14:paraId="35E75721" w14:textId="77777777" w:rsidR="00721B61" w:rsidRDefault="00721B61" w:rsidP="00721B61">
      <w:proofErr w:type="spellStart"/>
      <w:r>
        <w:t>Limmack</w:t>
      </w:r>
      <w:proofErr w:type="spellEnd"/>
      <w:r>
        <w:t xml:space="preserve">, R.J. (2019) “Analysis of accounting statements,” </w:t>
      </w:r>
      <w:r>
        <w:rPr>
          <w:i/>
          <w:iCs/>
        </w:rPr>
        <w:t>Financial Accounting and Reporting</w:t>
      </w:r>
      <w:r>
        <w:t xml:space="preserve">, pp. 299–332. Available at: https://doi.org/10.1007/978-1-349-17898-8_14. </w:t>
      </w:r>
    </w:p>
    <w:p w14:paraId="07066230" w14:textId="77777777" w:rsidR="00721B61" w:rsidRDefault="00721B61" w:rsidP="00721B61">
      <w:proofErr w:type="spellStart"/>
      <w:r>
        <w:t>Whisenant</w:t>
      </w:r>
      <w:proofErr w:type="spellEnd"/>
      <w:r>
        <w:t xml:space="preserve">, S. (2019) “An analysis of accounting quality using reformulated financial statements,” </w:t>
      </w:r>
      <w:r>
        <w:rPr>
          <w:i/>
          <w:iCs/>
        </w:rPr>
        <w:t>Strategies in Accounting and Management</w:t>
      </w:r>
      <w:r>
        <w:t xml:space="preserve">, 1(2), pp. 169–221. Available at: https://doi.org/10.31031/siam.2019.01.000506. </w:t>
      </w:r>
    </w:p>
    <w:p w14:paraId="1AF16CB5" w14:textId="77777777" w:rsidR="0039369E" w:rsidRPr="0039369E" w:rsidRDefault="0039369E" w:rsidP="0039369E"/>
    <w:sectPr w:rsidR="0039369E" w:rsidRPr="003936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9C2676"/>
    <w:multiLevelType w:val="hybridMultilevel"/>
    <w:tmpl w:val="0D68B84A"/>
    <w:lvl w:ilvl="0" w:tplc="C24C5BB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6C690F"/>
    <w:multiLevelType w:val="hybridMultilevel"/>
    <w:tmpl w:val="71E25AC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3367610">
    <w:abstractNumId w:val="1"/>
  </w:num>
  <w:num w:numId="2" w16cid:durableId="454298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cyMTUyNrQwMbE0MDdT0lEKTi0uzszPAykwrAUAaG6kDCwAAAA="/>
  </w:docVars>
  <w:rsids>
    <w:rsidRoot w:val="004429E1"/>
    <w:rsid w:val="001070F6"/>
    <w:rsid w:val="0039369E"/>
    <w:rsid w:val="004429E1"/>
    <w:rsid w:val="006D7A65"/>
    <w:rsid w:val="00700B9E"/>
    <w:rsid w:val="00721B61"/>
    <w:rsid w:val="00E21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3712B"/>
  <w15:chartTrackingRefBased/>
  <w15:docId w15:val="{8E176D2E-12A3-42D9-A751-ED728F439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69E"/>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9369E"/>
    <w:pPr>
      <w:keepNext/>
      <w:keepLines/>
      <w:spacing w:before="240" w:after="0" w:line="480" w:lineRule="auto"/>
      <w:jc w:val="center"/>
      <w:outlineLvl w:val="0"/>
    </w:pPr>
    <w:rPr>
      <w:rFonts w:asciiTheme="majorHAnsi" w:eastAsiaTheme="majorEastAsia" w:hAnsiTheme="majorHAnsi" w:cstheme="majorBidi"/>
      <w:b/>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369E"/>
    <w:rPr>
      <w:rFonts w:asciiTheme="majorHAnsi" w:eastAsiaTheme="majorEastAsia" w:hAnsiTheme="majorHAnsi" w:cstheme="majorBidi"/>
      <w:b/>
      <w:color w:val="2E74B5" w:themeColor="accent1" w:themeShade="BF"/>
      <w:sz w:val="32"/>
      <w:szCs w:val="32"/>
      <w:lang w:val="en-GB"/>
    </w:rPr>
  </w:style>
  <w:style w:type="paragraph" w:styleId="ListParagraph">
    <w:name w:val="List Paragraph"/>
    <w:basedOn w:val="Normal"/>
    <w:uiPriority w:val="34"/>
    <w:qFormat/>
    <w:rsid w:val="0039369E"/>
    <w:pPr>
      <w:ind w:left="720"/>
      <w:contextualSpacing/>
    </w:pPr>
  </w:style>
  <w:style w:type="paragraph" w:styleId="NormalWeb">
    <w:name w:val="Normal (Web)"/>
    <w:basedOn w:val="Normal"/>
    <w:uiPriority w:val="99"/>
    <w:semiHidden/>
    <w:unhideWhenUsed/>
    <w:rsid w:val="00721B61"/>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721B61"/>
    <w:pPr>
      <w:spacing w:line="259" w:lineRule="auto"/>
      <w:jc w:val="left"/>
      <w:outlineLvl w:val="9"/>
    </w:pPr>
    <w:rPr>
      <w:b w:val="0"/>
      <w:lang w:val="en-US"/>
    </w:rPr>
  </w:style>
  <w:style w:type="paragraph" w:styleId="TOC1">
    <w:name w:val="toc 1"/>
    <w:basedOn w:val="Normal"/>
    <w:next w:val="Normal"/>
    <w:autoRedefine/>
    <w:uiPriority w:val="39"/>
    <w:unhideWhenUsed/>
    <w:rsid w:val="00721B61"/>
    <w:pPr>
      <w:spacing w:after="100"/>
    </w:pPr>
  </w:style>
  <w:style w:type="character" w:styleId="Hyperlink">
    <w:name w:val="Hyperlink"/>
    <w:basedOn w:val="DefaultParagraphFont"/>
    <w:uiPriority w:val="99"/>
    <w:unhideWhenUsed/>
    <w:rsid w:val="00721B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027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5374E0-D8AC-462B-B044-EE228FC6C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1384</Words>
  <Characters>7891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Alexandru Baractaru</cp:lastModifiedBy>
  <cp:revision>6</cp:revision>
  <dcterms:created xsi:type="dcterms:W3CDTF">2023-04-29T12:33:00Z</dcterms:created>
  <dcterms:modified xsi:type="dcterms:W3CDTF">2023-05-05T04:53:00Z</dcterms:modified>
</cp:coreProperties>
</file>