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FE12A" w14:textId="77777777" w:rsidR="002B0DF1" w:rsidRPr="002B0DF1" w:rsidRDefault="002B0DF1" w:rsidP="00C92429">
      <w:r w:rsidRPr="002B0DF1">
        <w:rPr>
          <w:noProof/>
        </w:rPr>
        <w:drawing>
          <wp:inline distT="0" distB="0" distL="0" distR="0" wp14:anchorId="5F02D6F0" wp14:editId="64560E1E">
            <wp:extent cx="2466753" cy="1052623"/>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2523234" cy="1076725"/>
                    </a:xfrm>
                    <a:prstGeom prst="rect">
                      <a:avLst/>
                    </a:prstGeom>
                    <a:noFill/>
                    <a:ln>
                      <a:noFill/>
                    </a:ln>
                  </pic:spPr>
                </pic:pic>
              </a:graphicData>
            </a:graphic>
          </wp:inline>
        </w:drawing>
      </w:r>
    </w:p>
    <w:p w14:paraId="5631D00E" w14:textId="77777777" w:rsidR="002B0DF1" w:rsidRDefault="002B0DF1" w:rsidP="002B0DF1">
      <w:pPr>
        <w:spacing w:line="360" w:lineRule="auto"/>
        <w:jc w:val="both"/>
        <w:rPr>
          <w:rFonts w:ascii="Arial" w:hAnsi="Arial" w:cs="Arial"/>
          <w:b/>
          <w:bCs/>
          <w:sz w:val="22"/>
          <w:szCs w:val="22"/>
        </w:rPr>
      </w:pPr>
    </w:p>
    <w:p w14:paraId="485B5894" w14:textId="77777777" w:rsidR="0020558A" w:rsidRDefault="0020558A" w:rsidP="002B0DF1">
      <w:pPr>
        <w:spacing w:line="360" w:lineRule="auto"/>
        <w:jc w:val="both"/>
        <w:rPr>
          <w:rFonts w:ascii="Arial" w:hAnsi="Arial" w:cs="Arial"/>
          <w:b/>
          <w:bCs/>
          <w:sz w:val="22"/>
          <w:szCs w:val="22"/>
        </w:rPr>
      </w:pPr>
    </w:p>
    <w:p w14:paraId="114FD237" w14:textId="77777777" w:rsidR="0020558A" w:rsidRPr="002B0DF1" w:rsidRDefault="0020558A" w:rsidP="002B0DF1">
      <w:pPr>
        <w:spacing w:line="360" w:lineRule="auto"/>
        <w:jc w:val="both"/>
        <w:rPr>
          <w:rFonts w:ascii="Arial" w:hAnsi="Arial" w:cs="Arial"/>
          <w:b/>
          <w:bCs/>
          <w:sz w:val="22"/>
          <w:szCs w:val="22"/>
        </w:rPr>
      </w:pPr>
    </w:p>
    <w:p w14:paraId="4356E293" w14:textId="51E9D92D" w:rsidR="002B0DF1" w:rsidRPr="0020558A" w:rsidRDefault="0020558A" w:rsidP="0020558A">
      <w:pPr>
        <w:spacing w:after="0" w:line="276" w:lineRule="auto"/>
        <w:rPr>
          <w:rFonts w:ascii="Arial Rounded MT Bold" w:hAnsi="Arial Rounded MT Bold" w:cs="Arial"/>
          <w:b/>
          <w:bCs/>
          <w:sz w:val="52"/>
          <w:szCs w:val="52"/>
        </w:rPr>
      </w:pPr>
      <w:r w:rsidRPr="0020558A">
        <w:rPr>
          <w:rFonts w:ascii="Arial Rounded MT Bold" w:hAnsi="Arial Rounded MT Bold" w:cs="Arial"/>
          <w:b/>
          <w:bCs/>
          <w:sz w:val="52"/>
          <w:szCs w:val="52"/>
        </w:rPr>
        <w:t>BMHP5016</w:t>
      </w:r>
    </w:p>
    <w:p w14:paraId="516291B9" w14:textId="38EB6115" w:rsidR="007E0A97" w:rsidRDefault="0020558A" w:rsidP="0020558A">
      <w:pPr>
        <w:spacing w:after="0" w:line="276" w:lineRule="auto"/>
        <w:rPr>
          <w:rFonts w:ascii="Arial Rounded MT Bold" w:hAnsi="Arial Rounded MT Bold" w:cs="Arial"/>
          <w:b/>
          <w:bCs/>
          <w:sz w:val="52"/>
          <w:szCs w:val="52"/>
        </w:rPr>
      </w:pPr>
      <w:r w:rsidRPr="0020558A">
        <w:rPr>
          <w:rFonts w:ascii="Arial Rounded MT Bold" w:hAnsi="Arial Rounded MT Bold" w:cs="Arial"/>
          <w:b/>
          <w:bCs/>
          <w:sz w:val="52"/>
          <w:szCs w:val="52"/>
        </w:rPr>
        <w:t>PRINCIPLES OF HEALTH &amp; SOCIAL CARE PRACTICE</w:t>
      </w:r>
    </w:p>
    <w:p w14:paraId="542D9E53" w14:textId="77777777" w:rsidR="0020558A" w:rsidRDefault="0020558A" w:rsidP="0020558A">
      <w:pPr>
        <w:spacing w:after="0" w:line="276" w:lineRule="auto"/>
        <w:rPr>
          <w:rFonts w:ascii="Arial Rounded MT Bold" w:hAnsi="Arial Rounded MT Bold" w:cs="Arial"/>
          <w:b/>
          <w:bCs/>
          <w:sz w:val="52"/>
          <w:szCs w:val="52"/>
        </w:rPr>
      </w:pPr>
    </w:p>
    <w:p w14:paraId="5D0E252B" w14:textId="4E6919C4" w:rsidR="0020558A" w:rsidRPr="007E0A97" w:rsidRDefault="0020558A" w:rsidP="0020558A">
      <w:pPr>
        <w:spacing w:after="0" w:line="276" w:lineRule="auto"/>
        <w:rPr>
          <w:rFonts w:ascii="Arial Rounded MT Bold" w:hAnsi="Arial Rounded MT Bold" w:cs="Arial"/>
          <w:b/>
          <w:bCs/>
          <w:sz w:val="52"/>
          <w:szCs w:val="52"/>
        </w:rPr>
      </w:pPr>
      <w:r>
        <w:rPr>
          <w:rFonts w:ascii="Arial Rounded MT Bold" w:hAnsi="Arial Rounded MT Bold" w:cs="Arial"/>
          <w:b/>
          <w:bCs/>
          <w:sz w:val="52"/>
          <w:szCs w:val="52"/>
        </w:rPr>
        <w:t>Component 2</w:t>
      </w:r>
    </w:p>
    <w:p w14:paraId="1844381A" w14:textId="77777777" w:rsidR="0020558A" w:rsidRDefault="0020558A" w:rsidP="002B0DF1">
      <w:pPr>
        <w:spacing w:line="360" w:lineRule="auto"/>
        <w:jc w:val="both"/>
        <w:rPr>
          <w:rFonts w:ascii="Arial" w:hAnsi="Arial" w:cs="Arial"/>
          <w:b/>
          <w:bCs/>
          <w:sz w:val="22"/>
          <w:szCs w:val="22"/>
        </w:rPr>
      </w:pPr>
    </w:p>
    <w:p w14:paraId="1C3EC1EC" w14:textId="77777777" w:rsidR="0020558A" w:rsidRDefault="0020558A" w:rsidP="002B0DF1">
      <w:pPr>
        <w:spacing w:line="360" w:lineRule="auto"/>
        <w:jc w:val="both"/>
        <w:rPr>
          <w:rFonts w:ascii="Arial" w:hAnsi="Arial" w:cs="Arial"/>
          <w:b/>
          <w:bCs/>
          <w:sz w:val="22"/>
          <w:szCs w:val="22"/>
        </w:rPr>
      </w:pPr>
    </w:p>
    <w:p w14:paraId="45185C6E" w14:textId="77777777" w:rsidR="0020558A" w:rsidRDefault="0020558A" w:rsidP="002B0DF1">
      <w:pPr>
        <w:spacing w:line="360" w:lineRule="auto"/>
        <w:jc w:val="both"/>
        <w:rPr>
          <w:rFonts w:ascii="Arial" w:hAnsi="Arial" w:cs="Arial"/>
          <w:b/>
          <w:bCs/>
          <w:sz w:val="22"/>
          <w:szCs w:val="22"/>
        </w:rPr>
      </w:pPr>
    </w:p>
    <w:p w14:paraId="21ADBE71" w14:textId="77777777" w:rsidR="0020558A" w:rsidRDefault="0020558A" w:rsidP="002B0DF1">
      <w:pPr>
        <w:spacing w:line="360" w:lineRule="auto"/>
        <w:jc w:val="both"/>
        <w:rPr>
          <w:rFonts w:ascii="Arial" w:hAnsi="Arial" w:cs="Arial"/>
          <w:b/>
          <w:bCs/>
          <w:sz w:val="22"/>
          <w:szCs w:val="22"/>
        </w:rPr>
      </w:pPr>
    </w:p>
    <w:p w14:paraId="57ABE628" w14:textId="77777777" w:rsidR="0020558A" w:rsidRDefault="0020558A" w:rsidP="002B0DF1">
      <w:pPr>
        <w:spacing w:line="360" w:lineRule="auto"/>
        <w:jc w:val="both"/>
        <w:rPr>
          <w:rFonts w:ascii="Arial" w:hAnsi="Arial" w:cs="Arial"/>
          <w:b/>
          <w:bCs/>
          <w:sz w:val="22"/>
          <w:szCs w:val="22"/>
        </w:rPr>
      </w:pPr>
    </w:p>
    <w:p w14:paraId="4D7D4D3C" w14:textId="216FC381" w:rsidR="007E0A97" w:rsidRDefault="007E0A97" w:rsidP="002B0DF1">
      <w:pPr>
        <w:spacing w:line="360" w:lineRule="auto"/>
        <w:jc w:val="both"/>
        <w:rPr>
          <w:rFonts w:ascii="Arial" w:hAnsi="Arial" w:cs="Arial"/>
          <w:b/>
          <w:bCs/>
          <w:sz w:val="32"/>
          <w:szCs w:val="32"/>
        </w:rPr>
      </w:pPr>
      <w:r w:rsidRPr="007E0A97">
        <w:rPr>
          <w:rFonts w:ascii="Arial" w:hAnsi="Arial" w:cs="Arial"/>
          <w:b/>
          <w:bCs/>
          <w:sz w:val="32"/>
          <w:szCs w:val="32"/>
        </w:rPr>
        <w:t xml:space="preserve">Student: </w:t>
      </w:r>
      <w:r w:rsidR="0020558A" w:rsidRPr="0020558A">
        <w:rPr>
          <w:rFonts w:ascii="Arial" w:hAnsi="Arial" w:cs="Arial"/>
          <w:b/>
          <w:bCs/>
          <w:sz w:val="32"/>
          <w:szCs w:val="32"/>
        </w:rPr>
        <w:t>MAMINATA DEMBELE</w:t>
      </w:r>
    </w:p>
    <w:p w14:paraId="3404648C" w14:textId="16CA70C9" w:rsidR="00C92429" w:rsidRPr="0020558A" w:rsidRDefault="00C92429" w:rsidP="002B0DF1">
      <w:pPr>
        <w:spacing w:line="360" w:lineRule="auto"/>
        <w:jc w:val="both"/>
        <w:rPr>
          <w:rFonts w:ascii="Arial" w:hAnsi="Arial" w:cs="Arial"/>
          <w:b/>
          <w:bCs/>
          <w:sz w:val="32"/>
          <w:szCs w:val="32"/>
        </w:rPr>
      </w:pPr>
      <w:r>
        <w:rPr>
          <w:rFonts w:ascii="Arial" w:hAnsi="Arial" w:cs="Arial"/>
          <w:b/>
          <w:bCs/>
          <w:sz w:val="32"/>
          <w:szCs w:val="32"/>
        </w:rPr>
        <w:t>Student No: 2409810</w:t>
      </w:r>
    </w:p>
    <w:p w14:paraId="75770AED" w14:textId="1D292B42" w:rsidR="0020558A" w:rsidRPr="007E0A97" w:rsidRDefault="0020558A" w:rsidP="002B0DF1">
      <w:pPr>
        <w:spacing w:line="360" w:lineRule="auto"/>
        <w:jc w:val="both"/>
        <w:rPr>
          <w:rFonts w:ascii="Arial" w:hAnsi="Arial" w:cs="Arial"/>
          <w:sz w:val="32"/>
          <w:szCs w:val="32"/>
        </w:rPr>
      </w:pPr>
      <w:r w:rsidRPr="0020558A">
        <w:rPr>
          <w:rFonts w:ascii="Arial" w:hAnsi="Arial" w:cs="Arial"/>
          <w:b/>
          <w:bCs/>
          <w:sz w:val="32"/>
          <w:szCs w:val="32"/>
        </w:rPr>
        <w:t xml:space="preserve">Word Count: </w:t>
      </w:r>
      <w:r w:rsidR="00E27989">
        <w:rPr>
          <w:rFonts w:ascii="Arial" w:hAnsi="Arial" w:cs="Arial"/>
          <w:b/>
          <w:bCs/>
          <w:sz w:val="32"/>
          <w:szCs w:val="32"/>
        </w:rPr>
        <w:t>2190</w:t>
      </w:r>
    </w:p>
    <w:p w14:paraId="7E646480" w14:textId="77777777" w:rsidR="007E0A97" w:rsidRPr="002B0DF1" w:rsidRDefault="007E0A97" w:rsidP="002B0DF1">
      <w:pPr>
        <w:spacing w:line="360" w:lineRule="auto"/>
        <w:jc w:val="both"/>
        <w:rPr>
          <w:rFonts w:ascii="Arial" w:hAnsi="Arial" w:cs="Arial"/>
          <w:sz w:val="22"/>
          <w:szCs w:val="22"/>
        </w:rPr>
      </w:pPr>
    </w:p>
    <w:p w14:paraId="60DDEAFC" w14:textId="77777777" w:rsidR="002B0DF1" w:rsidRPr="002B0DF1" w:rsidRDefault="002B0DF1" w:rsidP="002B0DF1">
      <w:pPr>
        <w:spacing w:line="360" w:lineRule="auto"/>
        <w:jc w:val="both"/>
        <w:rPr>
          <w:rFonts w:ascii="Arial" w:hAnsi="Arial" w:cs="Arial"/>
          <w:b/>
          <w:bCs/>
          <w:sz w:val="22"/>
          <w:szCs w:val="22"/>
        </w:rPr>
      </w:pPr>
    </w:p>
    <w:p w14:paraId="7AD6BE9B" w14:textId="77777777" w:rsidR="002B0DF1" w:rsidRPr="002B0DF1" w:rsidRDefault="002B0DF1" w:rsidP="002B0DF1">
      <w:pPr>
        <w:spacing w:line="360" w:lineRule="auto"/>
        <w:jc w:val="both"/>
        <w:rPr>
          <w:rFonts w:ascii="Arial" w:hAnsi="Arial" w:cs="Arial"/>
          <w:b/>
          <w:bCs/>
          <w:sz w:val="22"/>
          <w:szCs w:val="22"/>
        </w:rPr>
      </w:pPr>
    </w:p>
    <w:p w14:paraId="16C3D38B" w14:textId="77777777" w:rsidR="002B0DF1" w:rsidRPr="002B0DF1" w:rsidRDefault="002B0DF1" w:rsidP="002B0DF1">
      <w:pPr>
        <w:spacing w:line="360" w:lineRule="auto"/>
        <w:jc w:val="both"/>
        <w:rPr>
          <w:rFonts w:ascii="Arial" w:hAnsi="Arial" w:cs="Arial"/>
          <w:b/>
          <w:bCs/>
          <w:sz w:val="22"/>
          <w:szCs w:val="22"/>
        </w:rPr>
      </w:pPr>
    </w:p>
    <w:p w14:paraId="7243BA5F" w14:textId="77777777" w:rsidR="002B0DF1" w:rsidRPr="002B0DF1" w:rsidRDefault="002B0DF1" w:rsidP="002B0DF1">
      <w:pPr>
        <w:spacing w:line="360" w:lineRule="auto"/>
        <w:jc w:val="both"/>
        <w:rPr>
          <w:rFonts w:ascii="Arial" w:hAnsi="Arial" w:cs="Arial"/>
          <w:b/>
          <w:bCs/>
          <w:sz w:val="22"/>
          <w:szCs w:val="22"/>
        </w:rPr>
      </w:pPr>
    </w:p>
    <w:p w14:paraId="7AD17F0D" w14:textId="6C938434" w:rsidR="007E0A97" w:rsidRPr="007E0A97" w:rsidRDefault="007E0A97" w:rsidP="0020558A">
      <w:pPr>
        <w:pStyle w:val="Heading1"/>
      </w:pPr>
      <w:r w:rsidRPr="007E0A97">
        <w:t>Introduction</w:t>
      </w:r>
    </w:p>
    <w:p w14:paraId="1645724A" w14:textId="16693532" w:rsidR="0020558A" w:rsidRPr="0020558A" w:rsidRDefault="0020558A" w:rsidP="0020558A">
      <w:pPr>
        <w:spacing w:line="360" w:lineRule="auto"/>
        <w:jc w:val="both"/>
        <w:rPr>
          <w:rFonts w:ascii="Arial" w:hAnsi="Arial" w:cs="Arial"/>
          <w:sz w:val="22"/>
          <w:szCs w:val="22"/>
        </w:rPr>
      </w:pPr>
      <w:r w:rsidRPr="0020558A">
        <w:rPr>
          <w:rFonts w:ascii="Arial" w:hAnsi="Arial" w:cs="Arial"/>
          <w:sz w:val="22"/>
          <w:szCs w:val="22"/>
        </w:rPr>
        <w:t>Three fundamental principles have been identified as key drivers of high-quality care throughout the UK's Health &amp; Social Care System: Person-Centred Care; Partnership Working; and Ethical Practice. All of these principles are key to supporting an individual's Dignity; Autonomy and Equality while receiving services. As Glasby (2020) explains, all three principles also represent a conscious shift in policy direction away from paternalism towards a collaborative approach to Healthcare and Rights-Based Care with an emphasis on Shared Decision Making.</w:t>
      </w:r>
      <w:r>
        <w:rPr>
          <w:rFonts w:ascii="Arial" w:hAnsi="Arial" w:cs="Arial"/>
          <w:sz w:val="22"/>
          <w:szCs w:val="22"/>
        </w:rPr>
        <w:t xml:space="preserve"> </w:t>
      </w:r>
      <w:r w:rsidRPr="0020558A">
        <w:rPr>
          <w:rFonts w:ascii="Arial" w:hAnsi="Arial" w:cs="Arial"/>
          <w:sz w:val="22"/>
          <w:szCs w:val="22"/>
        </w:rPr>
        <w:t>The Care Act 2014 provides a legislative duty to enable Local Authorities and Providers to work collaboratively to facilitate an individual's participation in decision making regarding their own wellbeing. A similar legislative duty exists in relation to the establishment of Integrated Care Systems (ICSs) through the Health &amp; Care Act 2022 with an aim to improve outcomes for service users through improved inter-organisational collaboration.</w:t>
      </w:r>
      <w:r>
        <w:rPr>
          <w:rFonts w:ascii="Arial" w:hAnsi="Arial" w:cs="Arial"/>
          <w:sz w:val="22"/>
          <w:szCs w:val="22"/>
        </w:rPr>
        <w:t xml:space="preserve"> </w:t>
      </w:r>
      <w:r w:rsidRPr="0020558A">
        <w:rPr>
          <w:rFonts w:ascii="Arial" w:hAnsi="Arial" w:cs="Arial"/>
          <w:sz w:val="22"/>
          <w:szCs w:val="22"/>
        </w:rPr>
        <w:t>In addition to providing a framework for decision making, ethical principles such as those proposed by Beauchamp &amp; Childress (2019) provide guidance when faced with difficult decisions and assist in ensuring that fair practices are followed at all times.</w:t>
      </w:r>
    </w:p>
    <w:p w14:paraId="4E95EF1D" w14:textId="6B6A355F" w:rsidR="0020558A" w:rsidRPr="0020558A" w:rsidRDefault="0020558A" w:rsidP="0020558A">
      <w:pPr>
        <w:spacing w:line="360" w:lineRule="auto"/>
        <w:jc w:val="both"/>
        <w:rPr>
          <w:rFonts w:ascii="Arial" w:hAnsi="Arial" w:cs="Arial"/>
          <w:sz w:val="22"/>
          <w:szCs w:val="22"/>
        </w:rPr>
      </w:pPr>
      <w:r w:rsidRPr="0020558A">
        <w:rPr>
          <w:rFonts w:ascii="Arial" w:hAnsi="Arial" w:cs="Arial"/>
          <w:sz w:val="22"/>
          <w:szCs w:val="22"/>
        </w:rPr>
        <w:t>This report will critically evaluate the significance of these principles in determining contemporary Health &amp; Social Care Services. The report will subsequently illustrate how they can be applied using Robyn’s Story from NHS England</w:t>
      </w:r>
      <w:r>
        <w:rPr>
          <w:rFonts w:ascii="Arial" w:hAnsi="Arial" w:cs="Arial"/>
          <w:sz w:val="22"/>
          <w:szCs w:val="22"/>
        </w:rPr>
        <w:t xml:space="preserve"> </w:t>
      </w:r>
      <w:r w:rsidRPr="0020558A">
        <w:rPr>
          <w:rFonts w:ascii="Arial" w:hAnsi="Arial" w:cs="Arial"/>
          <w:sz w:val="22"/>
          <w:szCs w:val="22"/>
        </w:rPr>
        <w:t xml:space="preserve">further </w:t>
      </w:r>
      <w:r>
        <w:rPr>
          <w:rFonts w:ascii="Arial" w:hAnsi="Arial" w:cs="Arial"/>
          <w:sz w:val="22"/>
          <w:szCs w:val="22"/>
        </w:rPr>
        <w:t>examining</w:t>
      </w:r>
      <w:r w:rsidRPr="0020558A">
        <w:rPr>
          <w:rFonts w:ascii="Arial" w:hAnsi="Arial" w:cs="Arial"/>
          <w:sz w:val="22"/>
          <w:szCs w:val="22"/>
        </w:rPr>
        <w:t xml:space="preserve"> the principles' effectiveness.</w:t>
      </w:r>
      <w:r>
        <w:rPr>
          <w:rFonts w:ascii="Arial" w:hAnsi="Arial" w:cs="Arial"/>
          <w:sz w:val="22"/>
          <w:szCs w:val="22"/>
        </w:rPr>
        <w:t xml:space="preserve"> </w:t>
      </w:r>
      <w:r w:rsidRPr="0020558A">
        <w:rPr>
          <w:rFonts w:ascii="Arial" w:hAnsi="Arial" w:cs="Arial"/>
          <w:sz w:val="22"/>
          <w:szCs w:val="22"/>
        </w:rPr>
        <w:t>Finally, the report will provide a reflective account of a professional experience gained while providing Communication Support in a Dementia Care setting and use Gibbs (1988) Reflective Cycle to highlight areas of Learning and Future Development Needs.</w:t>
      </w:r>
    </w:p>
    <w:p w14:paraId="4D7855C6" w14:textId="77777777" w:rsidR="002B0DF1" w:rsidRPr="002B0DF1" w:rsidRDefault="002B0DF1" w:rsidP="002B0DF1">
      <w:pPr>
        <w:spacing w:line="360" w:lineRule="auto"/>
        <w:jc w:val="both"/>
        <w:rPr>
          <w:rFonts w:ascii="Arial" w:hAnsi="Arial" w:cs="Arial"/>
          <w:sz w:val="22"/>
          <w:szCs w:val="22"/>
        </w:rPr>
      </w:pPr>
    </w:p>
    <w:p w14:paraId="759824C0" w14:textId="500791FC" w:rsidR="007E0A97" w:rsidRPr="007E0A97" w:rsidRDefault="007E0A97" w:rsidP="00500A7F">
      <w:pPr>
        <w:pStyle w:val="Heading1"/>
      </w:pPr>
      <w:r w:rsidRPr="007E0A97">
        <w:t>Task 1: Critical Importance of Principles</w:t>
      </w:r>
    </w:p>
    <w:p w14:paraId="5825C244" w14:textId="63D07A3C" w:rsidR="00500A7F" w:rsidRPr="00500A7F" w:rsidRDefault="00500A7F" w:rsidP="00500A7F">
      <w:pPr>
        <w:spacing w:after="0" w:line="360" w:lineRule="auto"/>
        <w:jc w:val="both"/>
        <w:rPr>
          <w:rFonts w:ascii="Arial" w:hAnsi="Arial" w:cs="Arial"/>
          <w:b/>
          <w:bCs/>
          <w:sz w:val="22"/>
          <w:szCs w:val="22"/>
        </w:rPr>
      </w:pPr>
      <w:r w:rsidRPr="00500A7F">
        <w:rPr>
          <w:rFonts w:ascii="Arial" w:hAnsi="Arial" w:cs="Arial"/>
          <w:b/>
          <w:bCs/>
          <w:sz w:val="22"/>
          <w:szCs w:val="22"/>
        </w:rPr>
        <w:t>Patient-centered care</w:t>
      </w:r>
    </w:p>
    <w:p w14:paraId="3B9A9627" w14:textId="1658AEAB"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t>Patient-centered care is based on the premise that patients will participate in their care in a collaborative and not just passively receive it. In addition to focusing on the patients' personal identity, patients lived experiences, cultural needs and personal goals (Santana et al., 2021) it emphasizes that the goal of care is to improve the patients' quality of life. As stated within the Care Act 2014, providing people with the ability to control their own lives, to be involved in their care and to enable them to have a good quality of life is an obligatory duty for both providers and commissioners; it is not optional. Implementing this approach to care has been shown to improve patient satisfaction and to improve the overall health of the patient in addition to increasing the trust that patients have in the service.</w:t>
      </w:r>
    </w:p>
    <w:p w14:paraId="347F1BC7" w14:textId="64BF2810"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lastRenderedPageBreak/>
        <w:t>However, despite the potential benefits, there are still many barriers to implementing patient-centred care. For example, research has indicated that patient-centred care is often implemented superficially; for example, staff record that they provided personalized care to a particular patient; however, in reality the patient received the same level of care as every other patient (Ocloo &amp; Matthews, 2016). A number of factors including workforce shortages, lack of time and institutional routines can cause barriers to listening to patients, adapting to patients' preferences and responding to patients' needs (Wolf, 2022). Therefore, implementing effective patient-centred care requires more than just a culture shift. It also requires additional education and training for staff to develop the necessary communication and relationship-building skills to engage with patients and to create the environment and resources necessary to allow staff to develop an understanding of each patient's individual needs.</w:t>
      </w:r>
    </w:p>
    <w:p w14:paraId="493FF9F5" w14:textId="77777777" w:rsidR="00500A7F" w:rsidRDefault="00500A7F" w:rsidP="00500A7F">
      <w:pPr>
        <w:spacing w:line="360" w:lineRule="auto"/>
        <w:jc w:val="both"/>
        <w:rPr>
          <w:rFonts w:ascii="Arial" w:hAnsi="Arial" w:cs="Arial"/>
          <w:sz w:val="22"/>
          <w:szCs w:val="22"/>
        </w:rPr>
      </w:pPr>
    </w:p>
    <w:p w14:paraId="0B597152" w14:textId="1470DFA2" w:rsidR="00500A7F" w:rsidRPr="00500A7F" w:rsidRDefault="00500A7F" w:rsidP="00500A7F">
      <w:pPr>
        <w:spacing w:after="0" w:line="360" w:lineRule="auto"/>
        <w:jc w:val="both"/>
        <w:rPr>
          <w:rFonts w:ascii="Arial" w:hAnsi="Arial" w:cs="Arial"/>
          <w:b/>
          <w:bCs/>
          <w:sz w:val="22"/>
          <w:szCs w:val="22"/>
        </w:rPr>
      </w:pPr>
      <w:r w:rsidRPr="00500A7F">
        <w:rPr>
          <w:rFonts w:ascii="Arial" w:hAnsi="Arial" w:cs="Arial"/>
          <w:b/>
          <w:bCs/>
          <w:sz w:val="22"/>
          <w:szCs w:val="22"/>
        </w:rPr>
        <w:t>Collaboration and partnerships</w:t>
      </w:r>
    </w:p>
    <w:p w14:paraId="015D09F8" w14:textId="77777777"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t>Individuals who have complex needs use a variety of services delivered by a range of organizations including public sector agencies, voluntary sector organizations and private sector agencies. Collaboration between these organizations is intended to address the fragmentation that occurs when each agency delivers its services independently (The King’s Fund, 2023). As a result of the Health and Care Act 2022, Integrated Care Systems (ICSs) are required to collaborate with each other in order to share responsibility for the health of the population and to work together to address health inequalities (Health and Care Act, 2022).</w:t>
      </w:r>
    </w:p>
    <w:p w14:paraId="5C1828B4" w14:textId="385D0FC5"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t>When successful, collaboration can lead to increased continuity of care, faster decision-making and improved protection for vulnerable adults due to the sharing of information and expertise (Hughes et al., 2022). However, achieving greater levels of collaboration is not always possible and, in some cases, may be difficult. Barriers to collaboration include differences in funding mechanisms, professional cultures and communication systems (Kuluski et al., 2022). Additionally, digital systems used by different agencies may be incompatible, leading to delays in the exchange of information, which contradicts one of the main objectives of collaboration (Kuluski et al., 2022). Another barrier to collaboration includes power imbalances between organizations that can affect whose views are heard and considered in planning discussions.</w:t>
      </w:r>
      <w:r>
        <w:rPr>
          <w:rFonts w:ascii="Arial" w:hAnsi="Arial" w:cs="Arial"/>
          <w:sz w:val="22"/>
          <w:szCs w:val="22"/>
        </w:rPr>
        <w:t xml:space="preserve"> </w:t>
      </w:r>
      <w:r w:rsidRPr="00500A7F">
        <w:rPr>
          <w:rFonts w:ascii="Arial" w:hAnsi="Arial" w:cs="Arial"/>
          <w:sz w:val="22"/>
          <w:szCs w:val="22"/>
        </w:rPr>
        <w:t>Therefore, while collaboration and partnerships are important for delivering effective care, they must be supported by the necessary practical resources, clear leadership and a shared vision and values.</w:t>
      </w:r>
    </w:p>
    <w:p w14:paraId="66DED28F" w14:textId="77777777" w:rsidR="00500A7F" w:rsidRDefault="00500A7F" w:rsidP="00500A7F">
      <w:pPr>
        <w:spacing w:line="360" w:lineRule="auto"/>
        <w:jc w:val="both"/>
        <w:rPr>
          <w:rFonts w:ascii="Arial" w:hAnsi="Arial" w:cs="Arial"/>
          <w:sz w:val="22"/>
          <w:szCs w:val="22"/>
        </w:rPr>
      </w:pPr>
    </w:p>
    <w:p w14:paraId="25DE5995" w14:textId="6532BF39" w:rsidR="00500A7F" w:rsidRPr="00500A7F" w:rsidRDefault="00500A7F" w:rsidP="00500A7F">
      <w:pPr>
        <w:spacing w:after="0" w:line="360" w:lineRule="auto"/>
        <w:jc w:val="both"/>
        <w:rPr>
          <w:rFonts w:ascii="Arial" w:hAnsi="Arial" w:cs="Arial"/>
          <w:b/>
          <w:bCs/>
          <w:sz w:val="22"/>
          <w:szCs w:val="22"/>
        </w:rPr>
      </w:pPr>
      <w:r w:rsidRPr="00500A7F">
        <w:rPr>
          <w:rFonts w:ascii="Arial" w:hAnsi="Arial" w:cs="Arial"/>
          <w:b/>
          <w:bCs/>
          <w:sz w:val="22"/>
          <w:szCs w:val="22"/>
        </w:rPr>
        <w:t>Ethics in Practice</w:t>
      </w:r>
    </w:p>
    <w:p w14:paraId="5E1F7AF3" w14:textId="77777777"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lastRenderedPageBreak/>
        <w:t>Involvement of ethics in practice is a necessity due to the fact that professionals in the field of care are often faced with making decisions regarding conflicting rights, risks and needs of individuals. Ethics provides a framework for examining decisions using four key principles: autonomy, beneficence, non-maleficence and justice (Beauchamp &amp; Childress, 2019). The Mental Capacity Act 2005 supports autonomy by allowing practitioners to presume that individuals have the capacity to make decisions unless it can be demonstrated otherwise. The Act also requires that, when making decisions on behalf of another, the least restrictive alternative be used (Scales et al., 2022). The Human Rights Act 1998 protects dignity and prevents discrimination against individuals (Scales et al., 2022).</w:t>
      </w:r>
    </w:p>
    <w:p w14:paraId="78BCA39A" w14:textId="77777777"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t>While ethics provide a structured way of making decisions, applying ethics is not always a simple process. Professionals are often faced with balancing the need to protect individuals with the need to give individuals independence, which can create conflict particularly in disability and dementia care where autonomy and risk are closely related (Tadd et al., 2024). If professionals do not have the skills and confidence to reason ethically, they may limit the options available to the individual in order to minimize risk, which can ultimately impact on the well-being of the individual (Tadd et al., 2024). Therefore, developing ethical competence is a critical element to supporting rights-based and person-centred care practices.</w:t>
      </w:r>
    </w:p>
    <w:p w14:paraId="77DD374A" w14:textId="77777777" w:rsidR="00500A7F" w:rsidRPr="00500A7F" w:rsidRDefault="00500A7F" w:rsidP="00500A7F">
      <w:pPr>
        <w:spacing w:line="360" w:lineRule="auto"/>
        <w:jc w:val="both"/>
        <w:rPr>
          <w:rFonts w:ascii="Arial" w:hAnsi="Arial" w:cs="Arial"/>
          <w:sz w:val="22"/>
          <w:szCs w:val="22"/>
        </w:rPr>
      </w:pPr>
      <w:r w:rsidRPr="00500A7F">
        <w:rPr>
          <w:rFonts w:ascii="Arial" w:hAnsi="Arial" w:cs="Arial"/>
          <w:sz w:val="22"/>
          <w:szCs w:val="22"/>
        </w:rPr>
        <w:t>Therefore, the three elements of care; person-centred care, partnership working and ethical practice should not be seen as independent of one another. The combination of the three will result in empowering, safe and equitable support being offered to individuals. Conversely, failure to implement any of the three elements will result in fragmented, disempowering or potentially damaging support for individuals. These three elements therefore form the basis of high-quality contemporary practice across UK health and social care settings (Ham, 2021).</w:t>
      </w:r>
    </w:p>
    <w:p w14:paraId="52F4AB10" w14:textId="77777777" w:rsidR="00500A7F" w:rsidRDefault="00500A7F" w:rsidP="002B0DF1">
      <w:pPr>
        <w:spacing w:line="360" w:lineRule="auto"/>
        <w:jc w:val="both"/>
        <w:rPr>
          <w:rFonts w:ascii="Arial" w:hAnsi="Arial" w:cs="Arial"/>
          <w:sz w:val="22"/>
          <w:szCs w:val="22"/>
        </w:rPr>
      </w:pPr>
    </w:p>
    <w:p w14:paraId="4DCB6B24" w14:textId="0784062F" w:rsidR="007E0A97" w:rsidRPr="007E0A97" w:rsidRDefault="007E0A97" w:rsidP="00500A7F">
      <w:pPr>
        <w:pStyle w:val="Heading1"/>
      </w:pPr>
      <w:r w:rsidRPr="007E0A97">
        <w:t>Task 2: Application to Practice</w:t>
      </w:r>
      <w:r w:rsidR="00500A7F">
        <w:t xml:space="preserve">: </w:t>
      </w:r>
      <w:r w:rsidRPr="007E0A97">
        <w:t xml:space="preserve">Robyn’s </w:t>
      </w:r>
      <w:r w:rsidR="005632B9">
        <w:t>Case Study</w:t>
      </w:r>
    </w:p>
    <w:p w14:paraId="11FC9EA5" w14:textId="58936DEA" w:rsidR="00957CD6" w:rsidRPr="00957CD6" w:rsidRDefault="00957CD6" w:rsidP="00957CD6">
      <w:pPr>
        <w:spacing w:line="360" w:lineRule="auto"/>
        <w:jc w:val="both"/>
        <w:rPr>
          <w:rFonts w:ascii="Arial" w:hAnsi="Arial" w:cs="Arial"/>
          <w:sz w:val="22"/>
          <w:szCs w:val="22"/>
        </w:rPr>
      </w:pPr>
      <w:r w:rsidRPr="00957CD6">
        <w:rPr>
          <w:rFonts w:ascii="Arial" w:hAnsi="Arial" w:cs="Arial"/>
          <w:sz w:val="22"/>
          <w:szCs w:val="22"/>
        </w:rPr>
        <w:t xml:space="preserve">Robyn </w:t>
      </w:r>
      <w:r w:rsidR="00002A29">
        <w:rPr>
          <w:rFonts w:ascii="Arial" w:hAnsi="Arial" w:cs="Arial"/>
          <w:sz w:val="22"/>
          <w:szCs w:val="22"/>
        </w:rPr>
        <w:t>the subject of the case study is a young adult, with an autism condition, which caused s</w:t>
      </w:r>
      <w:r w:rsidRPr="00957CD6">
        <w:rPr>
          <w:rFonts w:ascii="Arial" w:hAnsi="Arial" w:cs="Arial"/>
          <w:sz w:val="22"/>
          <w:szCs w:val="22"/>
        </w:rPr>
        <w:t xml:space="preserve">ignificant anxiety during the transition from children to adult services. This transition represents a "cliff edge" for most young people with autism. Robyn experienced anxiety related to this transition; however, she was </w:t>
      </w:r>
      <w:r w:rsidR="00002A29">
        <w:rPr>
          <w:rFonts w:ascii="Arial" w:hAnsi="Arial" w:cs="Arial"/>
          <w:sz w:val="22"/>
          <w:szCs w:val="22"/>
        </w:rPr>
        <w:t xml:space="preserve">supported </w:t>
      </w:r>
      <w:r w:rsidRPr="00957CD6">
        <w:rPr>
          <w:rFonts w:ascii="Arial" w:hAnsi="Arial" w:cs="Arial"/>
          <w:sz w:val="22"/>
          <w:szCs w:val="22"/>
        </w:rPr>
        <w:t>to engage in goal setting and identi</w:t>
      </w:r>
      <w:r w:rsidR="00002A29">
        <w:rPr>
          <w:rFonts w:ascii="Arial" w:hAnsi="Arial" w:cs="Arial"/>
          <w:sz w:val="22"/>
          <w:szCs w:val="22"/>
        </w:rPr>
        <w:t>fication of</w:t>
      </w:r>
      <w:r w:rsidRPr="00957CD6">
        <w:rPr>
          <w:rFonts w:ascii="Arial" w:hAnsi="Arial" w:cs="Arial"/>
          <w:sz w:val="22"/>
          <w:szCs w:val="22"/>
        </w:rPr>
        <w:t xml:space="preserve"> her personal goals, which included engagement in social activities and receipt of communication strategies tailored to her sensory needs.</w:t>
      </w:r>
    </w:p>
    <w:p w14:paraId="235EE268" w14:textId="7CED51FB" w:rsidR="00957CD6" w:rsidRPr="00957CD6" w:rsidRDefault="00957CD6" w:rsidP="00957CD6">
      <w:pPr>
        <w:spacing w:line="360" w:lineRule="auto"/>
        <w:jc w:val="both"/>
        <w:rPr>
          <w:rFonts w:ascii="Arial" w:hAnsi="Arial" w:cs="Arial"/>
          <w:sz w:val="22"/>
          <w:szCs w:val="22"/>
        </w:rPr>
      </w:pPr>
      <w:r w:rsidRPr="00957CD6">
        <w:rPr>
          <w:rFonts w:ascii="Arial" w:hAnsi="Arial" w:cs="Arial"/>
          <w:sz w:val="22"/>
          <w:szCs w:val="22"/>
        </w:rPr>
        <w:t xml:space="preserve">Co-productive approaches were used to improve Robyn's confidence and participation in planning and goal achievement. As noted by Cottini et al. (2021), </w:t>
      </w:r>
      <w:r w:rsidR="00002A29">
        <w:rPr>
          <w:rFonts w:ascii="Arial" w:hAnsi="Arial" w:cs="Arial"/>
          <w:sz w:val="22"/>
          <w:szCs w:val="22"/>
        </w:rPr>
        <w:t xml:space="preserve">supportive approaches has been observed to help reduce the </w:t>
      </w:r>
      <w:r w:rsidRPr="00957CD6">
        <w:rPr>
          <w:rFonts w:ascii="Arial" w:hAnsi="Arial" w:cs="Arial"/>
          <w:sz w:val="22"/>
          <w:szCs w:val="22"/>
        </w:rPr>
        <w:t xml:space="preserve">reliance on stereotypical views of autism and promote </w:t>
      </w:r>
      <w:r w:rsidR="00002A29" w:rsidRPr="00957CD6">
        <w:rPr>
          <w:rFonts w:ascii="Arial" w:hAnsi="Arial" w:cs="Arial"/>
          <w:sz w:val="22"/>
          <w:szCs w:val="22"/>
        </w:rPr>
        <w:lastRenderedPageBreak/>
        <w:t>identity-based</w:t>
      </w:r>
      <w:r w:rsidRPr="00957CD6">
        <w:rPr>
          <w:rFonts w:ascii="Arial" w:hAnsi="Arial" w:cs="Arial"/>
          <w:sz w:val="22"/>
          <w:szCs w:val="22"/>
        </w:rPr>
        <w:t xml:space="preserve"> planning. In addition, co-productive approaches enable participants to develop plans that reflect their unique experiences and needs. As stated by Heslop et al. (2020) and Ocloo and Matthews (2016), these types of approaches are important in order to provide equitable and inclusive support to individuals with disabilities.</w:t>
      </w:r>
    </w:p>
    <w:p w14:paraId="0A2067AE" w14:textId="248E0623" w:rsidR="00957CD6" w:rsidRPr="00957CD6" w:rsidRDefault="00002A29" w:rsidP="00957CD6">
      <w:pPr>
        <w:spacing w:line="360" w:lineRule="auto"/>
        <w:jc w:val="both"/>
        <w:rPr>
          <w:rFonts w:ascii="Arial" w:hAnsi="Arial" w:cs="Arial"/>
          <w:sz w:val="22"/>
          <w:szCs w:val="22"/>
        </w:rPr>
      </w:pPr>
      <w:r>
        <w:rPr>
          <w:rFonts w:ascii="Arial" w:hAnsi="Arial" w:cs="Arial"/>
          <w:sz w:val="22"/>
          <w:szCs w:val="22"/>
        </w:rPr>
        <w:t>It</w:t>
      </w:r>
      <w:r w:rsidR="00957CD6" w:rsidRPr="00957CD6">
        <w:rPr>
          <w:rFonts w:ascii="Arial" w:hAnsi="Arial" w:cs="Arial"/>
          <w:sz w:val="22"/>
          <w:szCs w:val="22"/>
        </w:rPr>
        <w:t xml:space="preserve"> is essential that there is effective coordination and collaboration among all relevant and other professionals. A key worker may facilitate continuity throughout the planning process. However, as stated by Hughes et al. (2022) and The King's Fund (2023), </w:t>
      </w:r>
      <w:r>
        <w:rPr>
          <w:rFonts w:ascii="Arial" w:hAnsi="Arial" w:cs="Arial"/>
          <w:sz w:val="22"/>
          <w:szCs w:val="22"/>
        </w:rPr>
        <w:t xml:space="preserve">while there are clear benefits of support approaches to planning and delivery of services, barriers remain evident due to </w:t>
      </w:r>
      <w:r w:rsidR="00957CD6" w:rsidRPr="00957CD6">
        <w:rPr>
          <w:rFonts w:ascii="Arial" w:hAnsi="Arial" w:cs="Arial"/>
          <w:sz w:val="22"/>
          <w:szCs w:val="22"/>
        </w:rPr>
        <w:t>funding constraints and differences in service provision across local authorities.</w:t>
      </w:r>
    </w:p>
    <w:p w14:paraId="18364505" w14:textId="6666F7E6" w:rsidR="00957CD6" w:rsidRPr="00957CD6" w:rsidRDefault="00957CD6" w:rsidP="00957CD6">
      <w:pPr>
        <w:spacing w:line="360" w:lineRule="auto"/>
        <w:jc w:val="both"/>
        <w:rPr>
          <w:rFonts w:ascii="Arial" w:hAnsi="Arial" w:cs="Arial"/>
          <w:sz w:val="22"/>
          <w:szCs w:val="22"/>
        </w:rPr>
      </w:pPr>
      <w:r w:rsidRPr="00957CD6">
        <w:rPr>
          <w:rFonts w:ascii="Arial" w:hAnsi="Arial" w:cs="Arial"/>
          <w:sz w:val="22"/>
          <w:szCs w:val="22"/>
        </w:rPr>
        <w:t xml:space="preserve">Robyn's autonomy was enhanced by using supportive communication techniques and by providing her with choices regarding her decisions. Kapp (2020) </w:t>
      </w:r>
      <w:r w:rsidR="001A645C">
        <w:rPr>
          <w:rFonts w:ascii="Arial" w:hAnsi="Arial" w:cs="Arial"/>
          <w:sz w:val="22"/>
          <w:szCs w:val="22"/>
        </w:rPr>
        <w:t xml:space="preserve">suggest that in develop and implementing care plan, a strengths-based approach, should be adopted to ensure </w:t>
      </w:r>
      <w:r w:rsidRPr="00957CD6">
        <w:rPr>
          <w:rFonts w:ascii="Arial" w:hAnsi="Arial" w:cs="Arial"/>
          <w:sz w:val="22"/>
          <w:szCs w:val="22"/>
        </w:rPr>
        <w:t xml:space="preserve">fair and equitable access to opportunities. </w:t>
      </w:r>
      <w:r w:rsidR="001A645C">
        <w:rPr>
          <w:rFonts w:ascii="Arial" w:hAnsi="Arial" w:cs="Arial"/>
          <w:sz w:val="22"/>
          <w:szCs w:val="22"/>
        </w:rPr>
        <w:t xml:space="preserve">This is to both </w:t>
      </w:r>
      <w:r w:rsidRPr="00957CD6">
        <w:rPr>
          <w:rFonts w:ascii="Arial" w:hAnsi="Arial" w:cs="Arial"/>
          <w:sz w:val="22"/>
          <w:szCs w:val="22"/>
        </w:rPr>
        <w:t xml:space="preserve">prevent discrimination </w:t>
      </w:r>
      <w:r w:rsidR="001A645C">
        <w:rPr>
          <w:rFonts w:ascii="Arial" w:hAnsi="Arial" w:cs="Arial"/>
          <w:sz w:val="22"/>
          <w:szCs w:val="22"/>
        </w:rPr>
        <w:t xml:space="preserve">and ensure the application of the </w:t>
      </w:r>
      <w:r w:rsidRPr="00957CD6">
        <w:rPr>
          <w:rFonts w:ascii="Arial" w:hAnsi="Arial" w:cs="Arial"/>
          <w:sz w:val="22"/>
          <w:szCs w:val="22"/>
        </w:rPr>
        <w:t>equality legislation</w:t>
      </w:r>
      <w:r w:rsidR="001A645C">
        <w:rPr>
          <w:rFonts w:ascii="Arial" w:hAnsi="Arial" w:cs="Arial"/>
          <w:sz w:val="22"/>
          <w:szCs w:val="22"/>
        </w:rPr>
        <w:t>. Finally, as noted</w:t>
      </w:r>
      <w:r w:rsidRPr="00957CD6">
        <w:rPr>
          <w:rFonts w:ascii="Arial" w:hAnsi="Arial" w:cs="Arial"/>
          <w:sz w:val="22"/>
          <w:szCs w:val="22"/>
        </w:rPr>
        <w:t xml:space="preserve"> by Hughes et al. (2022), this study demonstrates the moral imperative of viewing disability as diversity rather than deficit.</w:t>
      </w:r>
    </w:p>
    <w:p w14:paraId="5A6DB459" w14:textId="77777777" w:rsidR="00500A7F" w:rsidRDefault="00500A7F" w:rsidP="002B0DF1">
      <w:pPr>
        <w:spacing w:line="360" w:lineRule="auto"/>
        <w:jc w:val="both"/>
        <w:rPr>
          <w:rFonts w:ascii="Arial" w:hAnsi="Arial" w:cs="Arial"/>
          <w:b/>
          <w:bCs/>
          <w:sz w:val="22"/>
          <w:szCs w:val="22"/>
        </w:rPr>
      </w:pPr>
    </w:p>
    <w:p w14:paraId="15D81D70" w14:textId="363E1963" w:rsidR="007E0A97" w:rsidRPr="007E0A97" w:rsidRDefault="007E0A97" w:rsidP="00500A7F">
      <w:pPr>
        <w:pStyle w:val="Heading1"/>
      </w:pPr>
      <w:r w:rsidRPr="007E0A97">
        <w:t>Task 3</w:t>
      </w:r>
      <w:r w:rsidR="00500A7F">
        <w:t xml:space="preserve">: </w:t>
      </w:r>
      <w:r w:rsidRPr="007E0A97">
        <w:t>Reflective Practice</w:t>
      </w:r>
      <w:r w:rsidR="00500A7F">
        <w:t xml:space="preserve">: </w:t>
      </w:r>
      <w:r w:rsidRPr="007E0A97">
        <w:rPr>
          <w:sz w:val="22"/>
          <w:szCs w:val="22"/>
        </w:rPr>
        <w:t>Using Gibbs’ Reflective Cycle (1988)</w:t>
      </w:r>
    </w:p>
    <w:p w14:paraId="06C30539" w14:textId="1BAEA21D" w:rsidR="001A645C" w:rsidRPr="001A645C" w:rsidRDefault="001A645C" w:rsidP="001A645C">
      <w:pPr>
        <w:spacing w:line="360" w:lineRule="auto"/>
        <w:jc w:val="both"/>
        <w:rPr>
          <w:rFonts w:ascii="Arial" w:hAnsi="Arial" w:cs="Arial"/>
          <w:sz w:val="22"/>
          <w:szCs w:val="22"/>
        </w:rPr>
      </w:pPr>
      <w:r w:rsidRPr="001A645C">
        <w:rPr>
          <w:rFonts w:ascii="Arial" w:hAnsi="Arial" w:cs="Arial"/>
          <w:sz w:val="22"/>
          <w:szCs w:val="22"/>
        </w:rPr>
        <w:t xml:space="preserve">Supporting a person who lived with dementia during mealtimes provided me with valuable learning opportunities </w:t>
      </w:r>
      <w:r>
        <w:rPr>
          <w:rFonts w:ascii="Arial" w:hAnsi="Arial" w:cs="Arial"/>
          <w:sz w:val="22"/>
          <w:szCs w:val="22"/>
        </w:rPr>
        <w:t xml:space="preserve">enabling me to put to practice all the key lessons, I have learnt as a health and social care professional. </w:t>
      </w:r>
      <w:r w:rsidR="00E27989">
        <w:rPr>
          <w:rFonts w:ascii="Arial" w:hAnsi="Arial" w:cs="Arial"/>
          <w:sz w:val="22"/>
          <w:szCs w:val="22"/>
        </w:rPr>
        <w:t xml:space="preserve">This reflective activity took place at a residential care setting. This subject </w:t>
      </w:r>
      <w:r w:rsidRPr="001A645C">
        <w:rPr>
          <w:rFonts w:ascii="Arial" w:hAnsi="Arial" w:cs="Arial"/>
          <w:sz w:val="22"/>
          <w:szCs w:val="22"/>
        </w:rPr>
        <w:t xml:space="preserve">to </w:t>
      </w:r>
      <w:r w:rsidR="00E27989">
        <w:rPr>
          <w:rFonts w:ascii="Arial" w:hAnsi="Arial" w:cs="Arial"/>
          <w:sz w:val="22"/>
          <w:szCs w:val="22"/>
        </w:rPr>
        <w:t>who</w:t>
      </w:r>
      <w:r w:rsidRPr="001A645C">
        <w:rPr>
          <w:rFonts w:ascii="Arial" w:hAnsi="Arial" w:cs="Arial"/>
          <w:sz w:val="22"/>
          <w:szCs w:val="22"/>
        </w:rPr>
        <w:t xml:space="preserve"> experienced anxiety and agitation during meals because she found it difficult to follow instructions and process information quickly.</w:t>
      </w:r>
      <w:r w:rsidR="00E27989">
        <w:rPr>
          <w:rFonts w:ascii="Arial" w:hAnsi="Arial" w:cs="Arial"/>
          <w:sz w:val="22"/>
          <w:szCs w:val="22"/>
        </w:rPr>
        <w:t xml:space="preserve"> </w:t>
      </w:r>
      <w:r w:rsidRPr="001A645C">
        <w:rPr>
          <w:rFonts w:ascii="Arial" w:hAnsi="Arial" w:cs="Arial"/>
          <w:sz w:val="22"/>
          <w:szCs w:val="22"/>
        </w:rPr>
        <w:t xml:space="preserve">Therefore, I </w:t>
      </w:r>
      <w:r w:rsidR="00E27989">
        <w:rPr>
          <w:rFonts w:ascii="Arial" w:hAnsi="Arial" w:cs="Arial"/>
          <w:sz w:val="22"/>
          <w:szCs w:val="22"/>
        </w:rPr>
        <w:t>decided</w:t>
      </w:r>
      <w:r w:rsidRPr="001A645C">
        <w:rPr>
          <w:rFonts w:ascii="Arial" w:hAnsi="Arial" w:cs="Arial"/>
          <w:sz w:val="22"/>
          <w:szCs w:val="22"/>
        </w:rPr>
        <w:t xml:space="preserve"> to take a different approach </w:t>
      </w:r>
      <w:r w:rsidR="00E27989">
        <w:rPr>
          <w:rFonts w:ascii="Arial" w:hAnsi="Arial" w:cs="Arial"/>
          <w:sz w:val="22"/>
          <w:szCs w:val="22"/>
        </w:rPr>
        <w:t xml:space="preserve">in providing </w:t>
      </w:r>
      <w:r w:rsidRPr="001A645C">
        <w:rPr>
          <w:rFonts w:ascii="Arial" w:hAnsi="Arial" w:cs="Arial"/>
          <w:sz w:val="22"/>
          <w:szCs w:val="22"/>
        </w:rPr>
        <w:t xml:space="preserve">support </w:t>
      </w:r>
      <w:r w:rsidR="00E27989">
        <w:rPr>
          <w:rFonts w:ascii="Arial" w:hAnsi="Arial" w:cs="Arial"/>
          <w:sz w:val="22"/>
          <w:szCs w:val="22"/>
        </w:rPr>
        <w:t xml:space="preserve">for </w:t>
      </w:r>
      <w:r w:rsidRPr="001A645C">
        <w:rPr>
          <w:rFonts w:ascii="Arial" w:hAnsi="Arial" w:cs="Arial"/>
          <w:sz w:val="22"/>
          <w:szCs w:val="22"/>
        </w:rPr>
        <w:t>her communication experience and support her autonomy.</w:t>
      </w:r>
    </w:p>
    <w:p w14:paraId="02AC13AF" w14:textId="77777777" w:rsidR="001A645C" w:rsidRPr="001A645C" w:rsidRDefault="001A645C" w:rsidP="001A645C">
      <w:pPr>
        <w:spacing w:line="360" w:lineRule="auto"/>
        <w:jc w:val="both"/>
        <w:rPr>
          <w:rFonts w:ascii="Arial" w:hAnsi="Arial" w:cs="Arial"/>
          <w:sz w:val="22"/>
          <w:szCs w:val="22"/>
        </w:rPr>
      </w:pPr>
      <w:r w:rsidRPr="001A645C">
        <w:rPr>
          <w:rFonts w:ascii="Arial" w:hAnsi="Arial" w:cs="Arial"/>
          <w:sz w:val="22"/>
          <w:szCs w:val="22"/>
        </w:rPr>
        <w:t>From a personal perspective, I approached the situation with empathy and respect for the person, but I also struggled with uncertainty about whether others would view my alternative approach as inefficient and/or problematic in a fast-paced environment where time seems to be paramount. I was concerned that others would view me as taking too much time to accomplish a task and/or creating unnecessary obstacles in the completion of routine tasks. However, seeing the person's response to respectful communication, and watching her regain a sense of calmness while eating and her regaining some control over her meal, I felt more confident in supporting people in this way.</w:t>
      </w:r>
    </w:p>
    <w:p w14:paraId="1E7BC7FD" w14:textId="017E3E97" w:rsidR="001A645C" w:rsidRPr="001A645C" w:rsidRDefault="00E27989" w:rsidP="001A645C">
      <w:pPr>
        <w:spacing w:line="360" w:lineRule="auto"/>
        <w:jc w:val="both"/>
        <w:rPr>
          <w:rFonts w:ascii="Arial" w:hAnsi="Arial" w:cs="Arial"/>
          <w:sz w:val="22"/>
          <w:szCs w:val="22"/>
        </w:rPr>
      </w:pPr>
      <w:r w:rsidRPr="001A645C">
        <w:rPr>
          <w:rFonts w:ascii="Arial" w:hAnsi="Arial" w:cs="Arial"/>
          <w:sz w:val="22"/>
          <w:szCs w:val="22"/>
        </w:rPr>
        <w:t>Analysing</w:t>
      </w:r>
      <w:r w:rsidR="001A645C" w:rsidRPr="001A645C">
        <w:rPr>
          <w:rFonts w:ascii="Arial" w:hAnsi="Arial" w:cs="Arial"/>
          <w:sz w:val="22"/>
          <w:szCs w:val="22"/>
        </w:rPr>
        <w:t xml:space="preserve"> the impact of the experience, the positive impacts were numerous. The resident was less agitated, made eye contact, and consumed more of her meal than usual. </w:t>
      </w:r>
      <w:r w:rsidR="001A645C" w:rsidRPr="001A645C">
        <w:rPr>
          <w:rFonts w:ascii="Arial" w:hAnsi="Arial" w:cs="Arial"/>
          <w:sz w:val="22"/>
          <w:szCs w:val="22"/>
        </w:rPr>
        <w:lastRenderedPageBreak/>
        <w:t>Furthermore, the method used promoted both nutritional and emotional wellbeing. This aligns with research that states that using dignity enhancing communication decreases distress and promotes independence in dementia care (Lee et al., 2022). The intervention also supported the residents' legal rights as outlined in the Care Act 2014. The Act mandates healthcare professionals to promote wellbeing and maximize the choices available to the person. There were also several challenges. A number of the staff expressed frustration and suggested that assisting the resident quickly would be safer and easier to accomplish. The pressure to complete meals in a timely fashion and the structured nature of the mealtime schedule impacted how staff viewed adapting care to meet the needs of individuals. This illustrates a cultural issue. Healthcare organizations promote person-centered care in policy, but in many cases, the implementation of this type of care is inconsistent due to the workload of staff (Scales et al., 2022).</w:t>
      </w:r>
    </w:p>
    <w:p w14:paraId="0DB3FD39" w14:textId="589EF14A" w:rsidR="001A645C" w:rsidRPr="001A645C" w:rsidRDefault="001A645C" w:rsidP="001A645C">
      <w:pPr>
        <w:spacing w:line="360" w:lineRule="auto"/>
        <w:jc w:val="both"/>
        <w:rPr>
          <w:rFonts w:ascii="Arial" w:hAnsi="Arial" w:cs="Arial"/>
          <w:sz w:val="22"/>
          <w:szCs w:val="22"/>
        </w:rPr>
      </w:pPr>
      <w:r w:rsidRPr="001A645C">
        <w:rPr>
          <w:rFonts w:ascii="Arial" w:hAnsi="Arial" w:cs="Arial"/>
          <w:sz w:val="22"/>
          <w:szCs w:val="22"/>
        </w:rPr>
        <w:t xml:space="preserve">Using theory and policy to </w:t>
      </w:r>
      <w:r w:rsidR="00E27989" w:rsidRPr="001A645C">
        <w:rPr>
          <w:rFonts w:ascii="Arial" w:hAnsi="Arial" w:cs="Arial"/>
          <w:sz w:val="22"/>
          <w:szCs w:val="22"/>
        </w:rPr>
        <w:t>analyse</w:t>
      </w:r>
      <w:r w:rsidRPr="001A645C">
        <w:rPr>
          <w:rFonts w:ascii="Arial" w:hAnsi="Arial" w:cs="Arial"/>
          <w:sz w:val="22"/>
          <w:szCs w:val="22"/>
        </w:rPr>
        <w:t xml:space="preserve"> the experience, there are a few key points that were important to consider. As dementia progresses, it has an impact on memory, language, and perception. Therefore, communication must be adjusted to accommodate the resident's level of understanding (Scales et al., 2022). The approach I used was based on the principles of person-centered care, which includes providing the resident with autonomy, offering them choices, and recognizing the person beyond their diagnosis (Santana et al., 2021). The four ethical principles were also integral to decision making. Autonomy was incorporated into the resident's care through the involvement of the resident; beneficence was motivating for the purpose of promoting the resident's wellbeing; non-maleficence guided my supervision of the resident's care to minimize risk; and justice was incorporated into the resident's care as it was imperative to treat the resident equally, and not exclude her from participating in decision making due to her cognitive impairment (Beauchamp &amp; Childress, 2019). The Mental Capacity Act 2005 further emphasized my responsibility to assume that the resident was able to participate in decision making when appropriate support was given, and to implement the least restrictive alternative.</w:t>
      </w:r>
    </w:p>
    <w:p w14:paraId="5FC2EB6D" w14:textId="77777777" w:rsidR="001A645C" w:rsidRPr="001A645C" w:rsidRDefault="001A645C" w:rsidP="001A645C">
      <w:pPr>
        <w:spacing w:line="360" w:lineRule="auto"/>
        <w:jc w:val="both"/>
        <w:rPr>
          <w:rFonts w:ascii="Arial" w:hAnsi="Arial" w:cs="Arial"/>
          <w:sz w:val="22"/>
          <w:szCs w:val="22"/>
        </w:rPr>
      </w:pPr>
      <w:r w:rsidRPr="001A645C">
        <w:rPr>
          <w:rFonts w:ascii="Arial" w:hAnsi="Arial" w:cs="Arial"/>
          <w:sz w:val="22"/>
          <w:szCs w:val="22"/>
        </w:rPr>
        <w:t xml:space="preserve">Based upon my reflection of the experience, I concluded that there is a significant relationship between communication, dignity and independence. I also identified that even minimal changes to practice can significantly affect a resident's wellbeing. However, true person-centered care requires assertiveness and confidence to effectively challenge traditional, routine-based practices. The experience also illustrated potential avenues for future growth, particularly regarding inter-professional communication. If I had communicated the rationale behind my communication strategy prior to its implementation, I believe that my colleagues may have provided greater support. Therefore, I recognize that simply knowing what is correct </w:t>
      </w:r>
      <w:r w:rsidRPr="001A645C">
        <w:rPr>
          <w:rFonts w:ascii="Arial" w:hAnsi="Arial" w:cs="Arial"/>
          <w:sz w:val="22"/>
          <w:szCs w:val="22"/>
        </w:rPr>
        <w:lastRenderedPageBreak/>
        <w:t>is insufficient; rather, I must also convey the evidence that supports the implementation of each practice decision.</w:t>
      </w:r>
    </w:p>
    <w:p w14:paraId="53CE9ACD" w14:textId="3088FB5E" w:rsidR="001A645C" w:rsidRPr="001A645C" w:rsidRDefault="001A645C" w:rsidP="001A645C">
      <w:pPr>
        <w:spacing w:line="360" w:lineRule="auto"/>
        <w:jc w:val="both"/>
        <w:rPr>
          <w:rFonts w:ascii="Arial" w:hAnsi="Arial" w:cs="Arial"/>
          <w:sz w:val="22"/>
          <w:szCs w:val="22"/>
        </w:rPr>
      </w:pPr>
      <w:r w:rsidRPr="001A645C">
        <w:rPr>
          <w:rFonts w:ascii="Arial" w:hAnsi="Arial" w:cs="Arial"/>
          <w:sz w:val="22"/>
          <w:szCs w:val="22"/>
        </w:rPr>
        <w:t>My development plan for continued education and professional development will focus on formal education, teamwork, and ethical competencies. I intend to obtain recognized dementia communication training within the next six months to develop my skills and build my confidence in adapting communication strategies for individuals with dementia. Additionally, I intend to incorporate communication techniques in handover and/or team meetings, to inform my colleagues of the benefits of implementing a dignified-based approach to care and to develop a consistent, team-based approach to care. To continue developing my ethical reasoning, I intend to engage in regular reflection using recognized models and ensure that all decisions I make are founded in legislation and evidence.</w:t>
      </w:r>
    </w:p>
    <w:p w14:paraId="6FBD93A2" w14:textId="77777777" w:rsidR="001C280E" w:rsidRDefault="001C280E" w:rsidP="002B0DF1">
      <w:pPr>
        <w:spacing w:line="360" w:lineRule="auto"/>
        <w:jc w:val="both"/>
        <w:rPr>
          <w:rFonts w:ascii="Arial" w:hAnsi="Arial" w:cs="Arial"/>
          <w:sz w:val="22"/>
          <w:szCs w:val="22"/>
        </w:rPr>
      </w:pPr>
    </w:p>
    <w:p w14:paraId="4D1F9A9A" w14:textId="77777777" w:rsidR="00E27989" w:rsidRDefault="00E27989" w:rsidP="002B0DF1">
      <w:pPr>
        <w:spacing w:line="360" w:lineRule="auto"/>
        <w:jc w:val="both"/>
        <w:rPr>
          <w:rFonts w:ascii="Arial" w:hAnsi="Arial" w:cs="Arial"/>
          <w:b/>
          <w:bCs/>
          <w:sz w:val="22"/>
          <w:szCs w:val="22"/>
        </w:rPr>
      </w:pPr>
    </w:p>
    <w:p w14:paraId="12C5CC44" w14:textId="77777777" w:rsidR="00E27989" w:rsidRDefault="00E27989" w:rsidP="002B0DF1">
      <w:pPr>
        <w:spacing w:line="360" w:lineRule="auto"/>
        <w:jc w:val="both"/>
        <w:rPr>
          <w:rFonts w:ascii="Arial" w:hAnsi="Arial" w:cs="Arial"/>
          <w:b/>
          <w:bCs/>
          <w:sz w:val="22"/>
          <w:szCs w:val="22"/>
        </w:rPr>
      </w:pPr>
    </w:p>
    <w:p w14:paraId="53701C00" w14:textId="77777777" w:rsidR="00E27989" w:rsidRDefault="00E27989" w:rsidP="002B0DF1">
      <w:pPr>
        <w:spacing w:line="360" w:lineRule="auto"/>
        <w:jc w:val="both"/>
        <w:rPr>
          <w:rFonts w:ascii="Arial" w:hAnsi="Arial" w:cs="Arial"/>
          <w:b/>
          <w:bCs/>
          <w:sz w:val="22"/>
          <w:szCs w:val="22"/>
        </w:rPr>
      </w:pPr>
    </w:p>
    <w:p w14:paraId="032D15DE" w14:textId="77777777" w:rsidR="00E27989" w:rsidRDefault="00E27989" w:rsidP="002B0DF1">
      <w:pPr>
        <w:spacing w:line="360" w:lineRule="auto"/>
        <w:jc w:val="both"/>
        <w:rPr>
          <w:rFonts w:ascii="Arial" w:hAnsi="Arial" w:cs="Arial"/>
          <w:b/>
          <w:bCs/>
          <w:sz w:val="22"/>
          <w:szCs w:val="22"/>
        </w:rPr>
      </w:pPr>
    </w:p>
    <w:p w14:paraId="3EF13882" w14:textId="77777777" w:rsidR="00E27989" w:rsidRDefault="00E27989" w:rsidP="002B0DF1">
      <w:pPr>
        <w:spacing w:line="360" w:lineRule="auto"/>
        <w:jc w:val="both"/>
        <w:rPr>
          <w:rFonts w:ascii="Arial" w:hAnsi="Arial" w:cs="Arial"/>
          <w:b/>
          <w:bCs/>
          <w:sz w:val="22"/>
          <w:szCs w:val="22"/>
        </w:rPr>
      </w:pPr>
    </w:p>
    <w:p w14:paraId="0AB387AA" w14:textId="77777777" w:rsidR="00E27989" w:rsidRDefault="00E27989" w:rsidP="002B0DF1">
      <w:pPr>
        <w:spacing w:line="360" w:lineRule="auto"/>
        <w:jc w:val="both"/>
        <w:rPr>
          <w:rFonts w:ascii="Arial" w:hAnsi="Arial" w:cs="Arial"/>
          <w:b/>
          <w:bCs/>
          <w:sz w:val="22"/>
          <w:szCs w:val="22"/>
        </w:rPr>
      </w:pPr>
    </w:p>
    <w:p w14:paraId="4CFD2A92" w14:textId="77777777" w:rsidR="00E27989" w:rsidRDefault="00E27989" w:rsidP="002B0DF1">
      <w:pPr>
        <w:spacing w:line="360" w:lineRule="auto"/>
        <w:jc w:val="both"/>
        <w:rPr>
          <w:rFonts w:ascii="Arial" w:hAnsi="Arial" w:cs="Arial"/>
          <w:b/>
          <w:bCs/>
          <w:sz w:val="22"/>
          <w:szCs w:val="22"/>
        </w:rPr>
      </w:pPr>
    </w:p>
    <w:p w14:paraId="5271AFE8" w14:textId="77777777" w:rsidR="00E27989" w:rsidRDefault="00E27989" w:rsidP="002B0DF1">
      <w:pPr>
        <w:spacing w:line="360" w:lineRule="auto"/>
        <w:jc w:val="both"/>
        <w:rPr>
          <w:rFonts w:ascii="Arial" w:hAnsi="Arial" w:cs="Arial"/>
          <w:b/>
          <w:bCs/>
          <w:sz w:val="22"/>
          <w:szCs w:val="22"/>
        </w:rPr>
      </w:pPr>
    </w:p>
    <w:p w14:paraId="4655CECC" w14:textId="77777777" w:rsidR="00E27989" w:rsidRDefault="00E27989" w:rsidP="002B0DF1">
      <w:pPr>
        <w:spacing w:line="360" w:lineRule="auto"/>
        <w:jc w:val="both"/>
        <w:rPr>
          <w:rFonts w:ascii="Arial" w:hAnsi="Arial" w:cs="Arial"/>
          <w:b/>
          <w:bCs/>
          <w:sz w:val="22"/>
          <w:szCs w:val="22"/>
        </w:rPr>
      </w:pPr>
    </w:p>
    <w:p w14:paraId="3064D7EA" w14:textId="77777777" w:rsidR="00E27989" w:rsidRDefault="00E27989" w:rsidP="002B0DF1">
      <w:pPr>
        <w:spacing w:line="360" w:lineRule="auto"/>
        <w:jc w:val="both"/>
        <w:rPr>
          <w:rFonts w:ascii="Arial" w:hAnsi="Arial" w:cs="Arial"/>
          <w:b/>
          <w:bCs/>
          <w:sz w:val="22"/>
          <w:szCs w:val="22"/>
        </w:rPr>
      </w:pPr>
    </w:p>
    <w:p w14:paraId="73F6DEF7" w14:textId="77777777" w:rsidR="00E27989" w:rsidRDefault="00E27989" w:rsidP="002B0DF1">
      <w:pPr>
        <w:spacing w:line="360" w:lineRule="auto"/>
        <w:jc w:val="both"/>
        <w:rPr>
          <w:rFonts w:ascii="Arial" w:hAnsi="Arial" w:cs="Arial"/>
          <w:b/>
          <w:bCs/>
          <w:sz w:val="22"/>
          <w:szCs w:val="22"/>
        </w:rPr>
      </w:pPr>
    </w:p>
    <w:p w14:paraId="58F28E4B" w14:textId="77777777" w:rsidR="00E27989" w:rsidRDefault="00E27989" w:rsidP="002B0DF1">
      <w:pPr>
        <w:spacing w:line="360" w:lineRule="auto"/>
        <w:jc w:val="both"/>
        <w:rPr>
          <w:rFonts w:ascii="Arial" w:hAnsi="Arial" w:cs="Arial"/>
          <w:b/>
          <w:bCs/>
          <w:sz w:val="22"/>
          <w:szCs w:val="22"/>
        </w:rPr>
      </w:pPr>
    </w:p>
    <w:p w14:paraId="65DA649D" w14:textId="77777777" w:rsidR="00E27989" w:rsidRDefault="00E27989" w:rsidP="002B0DF1">
      <w:pPr>
        <w:spacing w:line="360" w:lineRule="auto"/>
        <w:jc w:val="both"/>
        <w:rPr>
          <w:rFonts w:ascii="Arial" w:hAnsi="Arial" w:cs="Arial"/>
          <w:b/>
          <w:bCs/>
          <w:sz w:val="22"/>
          <w:szCs w:val="22"/>
        </w:rPr>
      </w:pPr>
    </w:p>
    <w:p w14:paraId="3058EB5F" w14:textId="77777777" w:rsidR="00E27989" w:rsidRDefault="00E27989" w:rsidP="002B0DF1">
      <w:pPr>
        <w:spacing w:line="360" w:lineRule="auto"/>
        <w:jc w:val="both"/>
        <w:rPr>
          <w:rFonts w:ascii="Arial" w:hAnsi="Arial" w:cs="Arial"/>
          <w:b/>
          <w:bCs/>
          <w:sz w:val="22"/>
          <w:szCs w:val="22"/>
        </w:rPr>
      </w:pPr>
    </w:p>
    <w:p w14:paraId="6984CF5D" w14:textId="77777777" w:rsidR="00E27989" w:rsidRDefault="00E27989" w:rsidP="002B0DF1">
      <w:pPr>
        <w:spacing w:line="360" w:lineRule="auto"/>
        <w:jc w:val="both"/>
        <w:rPr>
          <w:rFonts w:ascii="Arial" w:hAnsi="Arial" w:cs="Arial"/>
          <w:b/>
          <w:bCs/>
          <w:sz w:val="22"/>
          <w:szCs w:val="22"/>
        </w:rPr>
      </w:pPr>
    </w:p>
    <w:p w14:paraId="4A7DD65C" w14:textId="77777777" w:rsidR="00E27989" w:rsidRDefault="00E27989" w:rsidP="002B0DF1">
      <w:pPr>
        <w:spacing w:line="360" w:lineRule="auto"/>
        <w:jc w:val="both"/>
        <w:rPr>
          <w:rFonts w:ascii="Arial" w:hAnsi="Arial" w:cs="Arial"/>
          <w:b/>
          <w:bCs/>
          <w:sz w:val="22"/>
          <w:szCs w:val="22"/>
        </w:rPr>
      </w:pPr>
    </w:p>
    <w:p w14:paraId="73A4B152" w14:textId="77777777" w:rsidR="00E27989" w:rsidRDefault="00E27989" w:rsidP="002B0DF1">
      <w:pPr>
        <w:spacing w:line="360" w:lineRule="auto"/>
        <w:jc w:val="both"/>
        <w:rPr>
          <w:rFonts w:ascii="Arial" w:hAnsi="Arial" w:cs="Arial"/>
          <w:b/>
          <w:bCs/>
          <w:sz w:val="22"/>
          <w:szCs w:val="22"/>
        </w:rPr>
      </w:pPr>
    </w:p>
    <w:p w14:paraId="274293DE" w14:textId="77777777" w:rsidR="00E27989" w:rsidRDefault="00E27989" w:rsidP="002B0DF1">
      <w:pPr>
        <w:spacing w:line="360" w:lineRule="auto"/>
        <w:jc w:val="both"/>
        <w:rPr>
          <w:rFonts w:ascii="Arial" w:hAnsi="Arial" w:cs="Arial"/>
          <w:b/>
          <w:bCs/>
          <w:sz w:val="22"/>
          <w:szCs w:val="22"/>
        </w:rPr>
      </w:pPr>
    </w:p>
    <w:p w14:paraId="736F6B75" w14:textId="10339E0A" w:rsidR="007E0A97" w:rsidRPr="007E0A97" w:rsidRDefault="007E0A97" w:rsidP="00E27989">
      <w:pPr>
        <w:pStyle w:val="Heading1"/>
      </w:pPr>
      <w:r w:rsidRPr="007E0A97">
        <w:t>References</w:t>
      </w:r>
    </w:p>
    <w:p w14:paraId="74CB7B82" w14:textId="77777777" w:rsidR="00E27989" w:rsidRDefault="007E0A97" w:rsidP="00E27989">
      <w:pPr>
        <w:spacing w:line="360" w:lineRule="auto"/>
        <w:jc w:val="both"/>
        <w:rPr>
          <w:rFonts w:ascii="Arial" w:hAnsi="Arial" w:cs="Arial"/>
          <w:sz w:val="22"/>
          <w:szCs w:val="22"/>
        </w:rPr>
      </w:pPr>
      <w:r w:rsidRPr="007E0A97">
        <w:rPr>
          <w:rFonts w:ascii="Arial" w:hAnsi="Arial" w:cs="Arial"/>
          <w:sz w:val="22"/>
          <w:szCs w:val="22"/>
        </w:rPr>
        <w:t xml:space="preserve">Beauchamp, T. and Childress, J. (2019) </w:t>
      </w:r>
      <w:r w:rsidRPr="007E0A97">
        <w:rPr>
          <w:rFonts w:ascii="Arial" w:hAnsi="Arial" w:cs="Arial"/>
          <w:i/>
          <w:iCs/>
          <w:sz w:val="22"/>
          <w:szCs w:val="22"/>
        </w:rPr>
        <w:t>Principles of Biomedical Ethics</w:t>
      </w:r>
      <w:r w:rsidRPr="007E0A97">
        <w:rPr>
          <w:rFonts w:ascii="Arial" w:hAnsi="Arial" w:cs="Arial"/>
          <w:sz w:val="22"/>
          <w:szCs w:val="22"/>
        </w:rPr>
        <w:t>. Oxford: Oxford University Press.</w:t>
      </w:r>
    </w:p>
    <w:p w14:paraId="7F8BB837"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Care Act (2014) c.23. London: The Stationery Office.</w:t>
      </w:r>
    </w:p>
    <w:p w14:paraId="2F433B94"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Cottini, L., Palumbo, F. and Zilli, P. (2021) ‘Personalised planning in autism support’, </w:t>
      </w:r>
      <w:r w:rsidRPr="007E0A97">
        <w:rPr>
          <w:rFonts w:ascii="Arial" w:hAnsi="Arial" w:cs="Arial"/>
          <w:i/>
          <w:iCs/>
          <w:sz w:val="22"/>
          <w:szCs w:val="22"/>
        </w:rPr>
        <w:t>Journal of Intellectual Disability Research</w:t>
      </w:r>
      <w:r w:rsidRPr="007E0A97">
        <w:rPr>
          <w:rFonts w:ascii="Arial" w:hAnsi="Arial" w:cs="Arial"/>
          <w:sz w:val="22"/>
          <w:szCs w:val="22"/>
        </w:rPr>
        <w:t>, 65(12), pp.1127–1139.</w:t>
      </w:r>
    </w:p>
    <w:p w14:paraId="5A554337"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CQC (2014) </w:t>
      </w:r>
      <w:r w:rsidRPr="007E0A97">
        <w:rPr>
          <w:rFonts w:ascii="Arial" w:hAnsi="Arial" w:cs="Arial"/>
          <w:i/>
          <w:iCs/>
          <w:sz w:val="22"/>
          <w:szCs w:val="22"/>
        </w:rPr>
        <w:t>Regulated Activities Regulations 2014: Regulation 9</w:t>
      </w:r>
      <w:r w:rsidRPr="007E0A97">
        <w:rPr>
          <w:rFonts w:ascii="Arial" w:hAnsi="Arial" w:cs="Arial"/>
          <w:sz w:val="22"/>
          <w:szCs w:val="22"/>
        </w:rPr>
        <w:t>. London: CQC.</w:t>
      </w:r>
    </w:p>
    <w:p w14:paraId="6F016300"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Entwistle, V.A. and Watt, I.S. (2013) ‘Treating patients as persons’, </w:t>
      </w:r>
      <w:r w:rsidRPr="007E0A97">
        <w:rPr>
          <w:rFonts w:ascii="Arial" w:hAnsi="Arial" w:cs="Arial"/>
          <w:i/>
          <w:iCs/>
          <w:sz w:val="22"/>
          <w:szCs w:val="22"/>
        </w:rPr>
        <w:t>BMJ</w:t>
      </w:r>
      <w:r w:rsidRPr="007E0A97">
        <w:rPr>
          <w:rFonts w:ascii="Arial" w:hAnsi="Arial" w:cs="Arial"/>
          <w:sz w:val="22"/>
          <w:szCs w:val="22"/>
        </w:rPr>
        <w:t>, 347, p.f7186.</w:t>
      </w:r>
    </w:p>
    <w:p w14:paraId="38F261AF"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Frontini, R. et al. (2024) ‘Integrated care and multimorbidity: teamwork challenges for safe care’, </w:t>
      </w:r>
      <w:r w:rsidRPr="007E0A97">
        <w:rPr>
          <w:rFonts w:ascii="Arial" w:hAnsi="Arial" w:cs="Arial"/>
          <w:i/>
          <w:iCs/>
          <w:sz w:val="22"/>
          <w:szCs w:val="22"/>
        </w:rPr>
        <w:t>Frontiers in Sociology</w:t>
      </w:r>
      <w:r w:rsidRPr="007E0A97">
        <w:rPr>
          <w:rFonts w:ascii="Arial" w:hAnsi="Arial" w:cs="Arial"/>
          <w:sz w:val="22"/>
          <w:szCs w:val="22"/>
        </w:rPr>
        <w:t>, 9, pp.1–10.</w:t>
      </w:r>
    </w:p>
    <w:p w14:paraId="62E492B1"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Glasby, J. (2020) </w:t>
      </w:r>
      <w:r w:rsidRPr="007E0A97">
        <w:rPr>
          <w:rFonts w:ascii="Arial" w:hAnsi="Arial" w:cs="Arial"/>
          <w:i/>
          <w:iCs/>
          <w:sz w:val="22"/>
          <w:szCs w:val="22"/>
        </w:rPr>
        <w:t>Understanding Health and Social Care</w:t>
      </w:r>
      <w:r w:rsidRPr="007E0A97">
        <w:rPr>
          <w:rFonts w:ascii="Arial" w:hAnsi="Arial" w:cs="Arial"/>
          <w:sz w:val="22"/>
          <w:szCs w:val="22"/>
        </w:rPr>
        <w:t>. 4th edn. Bristol: Policy Press.</w:t>
      </w:r>
    </w:p>
    <w:p w14:paraId="518B4524"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Ham, C. (2021) ‘Integration in health systems: where next?’, </w:t>
      </w:r>
      <w:r w:rsidRPr="007E0A97">
        <w:rPr>
          <w:rFonts w:ascii="Arial" w:hAnsi="Arial" w:cs="Arial"/>
          <w:i/>
          <w:iCs/>
          <w:sz w:val="22"/>
          <w:szCs w:val="22"/>
        </w:rPr>
        <w:t>The Lancet Public Health</w:t>
      </w:r>
      <w:r w:rsidRPr="007E0A97">
        <w:rPr>
          <w:rFonts w:ascii="Arial" w:hAnsi="Arial" w:cs="Arial"/>
          <w:sz w:val="22"/>
          <w:szCs w:val="22"/>
        </w:rPr>
        <w:t>, 6(4), pp.e334–e336.</w:t>
      </w:r>
    </w:p>
    <w:p w14:paraId="36D963C9"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HCPC (2016) </w:t>
      </w:r>
      <w:r w:rsidRPr="007E0A97">
        <w:rPr>
          <w:rFonts w:ascii="Arial" w:hAnsi="Arial" w:cs="Arial"/>
          <w:i/>
          <w:iCs/>
          <w:sz w:val="22"/>
          <w:szCs w:val="22"/>
        </w:rPr>
        <w:t>Standards of Conduct, Performance and Ethics</w:t>
      </w:r>
      <w:r w:rsidRPr="007E0A97">
        <w:rPr>
          <w:rFonts w:ascii="Arial" w:hAnsi="Arial" w:cs="Arial"/>
          <w:sz w:val="22"/>
          <w:szCs w:val="22"/>
        </w:rPr>
        <w:t>. London: HCPC.</w:t>
      </w:r>
    </w:p>
    <w:p w14:paraId="1EB56D49"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Health and Care Act (2022). London: UK Government.</w:t>
      </w:r>
    </w:p>
    <w:p w14:paraId="4A7F5A7B"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Heslop, P. et al. (2020) ‘Transition support for autistic adults’, </w:t>
      </w:r>
      <w:r w:rsidRPr="007E0A97">
        <w:rPr>
          <w:rFonts w:ascii="Arial" w:hAnsi="Arial" w:cs="Arial"/>
          <w:i/>
          <w:iCs/>
          <w:sz w:val="22"/>
          <w:szCs w:val="22"/>
        </w:rPr>
        <w:t>British Journal of Learning Disabilities</w:t>
      </w:r>
      <w:r w:rsidRPr="007E0A97">
        <w:rPr>
          <w:rFonts w:ascii="Arial" w:hAnsi="Arial" w:cs="Arial"/>
          <w:sz w:val="22"/>
          <w:szCs w:val="22"/>
        </w:rPr>
        <w:t>, 48(2), pp.118–129.</w:t>
      </w:r>
    </w:p>
    <w:p w14:paraId="319CE99D"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HRA (1998) </w:t>
      </w:r>
      <w:r w:rsidRPr="007E0A97">
        <w:rPr>
          <w:rFonts w:ascii="Arial" w:hAnsi="Arial" w:cs="Arial"/>
          <w:i/>
          <w:iCs/>
          <w:sz w:val="22"/>
          <w:szCs w:val="22"/>
        </w:rPr>
        <w:t>Human Rights Act 1998</w:t>
      </w:r>
      <w:r w:rsidRPr="007E0A97">
        <w:rPr>
          <w:rFonts w:ascii="Arial" w:hAnsi="Arial" w:cs="Arial"/>
          <w:sz w:val="22"/>
          <w:szCs w:val="22"/>
        </w:rPr>
        <w:t>. London: The Stationery Office.</w:t>
      </w:r>
    </w:p>
    <w:p w14:paraId="458BE37C"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Hughes, G. et al. (2022) ‘Collaboration across MDTs and its challenges’, </w:t>
      </w:r>
      <w:r w:rsidRPr="007E0A97">
        <w:rPr>
          <w:rFonts w:ascii="Arial" w:hAnsi="Arial" w:cs="Arial"/>
          <w:i/>
          <w:iCs/>
          <w:sz w:val="22"/>
          <w:szCs w:val="22"/>
        </w:rPr>
        <w:t>BMC Health Services Research</w:t>
      </w:r>
      <w:r w:rsidRPr="007E0A97">
        <w:rPr>
          <w:rFonts w:ascii="Arial" w:hAnsi="Arial" w:cs="Arial"/>
          <w:sz w:val="22"/>
          <w:szCs w:val="22"/>
        </w:rPr>
        <w:t>, 22(1), pp.1–10.</w:t>
      </w:r>
    </w:p>
    <w:p w14:paraId="34938025"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Kapp, S.K. (2020) </w:t>
      </w:r>
      <w:r w:rsidRPr="007E0A97">
        <w:rPr>
          <w:rFonts w:ascii="Arial" w:hAnsi="Arial" w:cs="Arial"/>
          <w:i/>
          <w:iCs/>
          <w:sz w:val="22"/>
          <w:szCs w:val="22"/>
        </w:rPr>
        <w:t>Autistic Community and the Neurodiversity Movement</w:t>
      </w:r>
      <w:r w:rsidRPr="007E0A97">
        <w:rPr>
          <w:rFonts w:ascii="Arial" w:hAnsi="Arial" w:cs="Arial"/>
          <w:sz w:val="22"/>
          <w:szCs w:val="22"/>
        </w:rPr>
        <w:t>. Singapore: Springer.</w:t>
      </w:r>
    </w:p>
    <w:p w14:paraId="562A5E82"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Kuluski, K. et al. (2022) ‘Barriers to partnership working in integrated care’, </w:t>
      </w:r>
      <w:r w:rsidRPr="007E0A97">
        <w:rPr>
          <w:rFonts w:ascii="Arial" w:hAnsi="Arial" w:cs="Arial"/>
          <w:i/>
          <w:iCs/>
          <w:sz w:val="22"/>
          <w:szCs w:val="22"/>
        </w:rPr>
        <w:t>International Journal of Integrated Care</w:t>
      </w:r>
      <w:r w:rsidRPr="007E0A97">
        <w:rPr>
          <w:rFonts w:ascii="Arial" w:hAnsi="Arial" w:cs="Arial"/>
          <w:sz w:val="22"/>
          <w:szCs w:val="22"/>
        </w:rPr>
        <w:t>, 22(4), pp.1–13.</w:t>
      </w:r>
    </w:p>
    <w:p w14:paraId="0D9461BC"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Lee, A., Ng, C. and Banerjee, S. (2022) ‘Dementia mealtime experience and dignity’, </w:t>
      </w:r>
      <w:r w:rsidRPr="007E0A97">
        <w:rPr>
          <w:rFonts w:ascii="Arial" w:hAnsi="Arial" w:cs="Arial"/>
          <w:i/>
          <w:iCs/>
          <w:sz w:val="22"/>
          <w:szCs w:val="22"/>
        </w:rPr>
        <w:t>Age and Ageing</w:t>
      </w:r>
      <w:r w:rsidRPr="007E0A97">
        <w:rPr>
          <w:rFonts w:ascii="Arial" w:hAnsi="Arial" w:cs="Arial"/>
          <w:sz w:val="22"/>
          <w:szCs w:val="22"/>
        </w:rPr>
        <w:t>, 51(3), pp.1–9.</w:t>
      </w:r>
    </w:p>
    <w:p w14:paraId="614EEAC9"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lastRenderedPageBreak/>
        <w:t xml:space="preserve">Maslow, A.H. (1943) ‘A theory of human motivation’, </w:t>
      </w:r>
      <w:r w:rsidRPr="007E0A97">
        <w:rPr>
          <w:rFonts w:ascii="Arial" w:hAnsi="Arial" w:cs="Arial"/>
          <w:i/>
          <w:iCs/>
          <w:sz w:val="22"/>
          <w:szCs w:val="22"/>
        </w:rPr>
        <w:t>Psychological Review</w:t>
      </w:r>
      <w:r w:rsidRPr="007E0A97">
        <w:rPr>
          <w:rFonts w:ascii="Arial" w:hAnsi="Arial" w:cs="Arial"/>
          <w:sz w:val="22"/>
          <w:szCs w:val="22"/>
        </w:rPr>
        <w:t>, 50(4), pp.370–396.</w:t>
      </w:r>
    </w:p>
    <w:p w14:paraId="7CD894D3"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MCA (2005) </w:t>
      </w:r>
      <w:r w:rsidRPr="007E0A97">
        <w:rPr>
          <w:rFonts w:ascii="Arial" w:hAnsi="Arial" w:cs="Arial"/>
          <w:i/>
          <w:iCs/>
          <w:sz w:val="22"/>
          <w:szCs w:val="22"/>
        </w:rPr>
        <w:t>Mental Capacity Act 2005</w:t>
      </w:r>
      <w:r w:rsidRPr="007E0A97">
        <w:rPr>
          <w:rFonts w:ascii="Arial" w:hAnsi="Arial" w:cs="Arial"/>
          <w:sz w:val="22"/>
          <w:szCs w:val="22"/>
        </w:rPr>
        <w:t>. London: The Stationery Office.</w:t>
      </w:r>
    </w:p>
    <w:p w14:paraId="4E0CB69E"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NHS England (2022) </w:t>
      </w:r>
      <w:r w:rsidRPr="007E0A97">
        <w:rPr>
          <w:rFonts w:ascii="Arial" w:hAnsi="Arial" w:cs="Arial"/>
          <w:i/>
          <w:iCs/>
          <w:sz w:val="22"/>
          <w:szCs w:val="22"/>
        </w:rPr>
        <w:t>ICS Implementation Guidance</w:t>
      </w:r>
      <w:r w:rsidRPr="007E0A97">
        <w:rPr>
          <w:rFonts w:ascii="Arial" w:hAnsi="Arial" w:cs="Arial"/>
          <w:sz w:val="22"/>
          <w:szCs w:val="22"/>
        </w:rPr>
        <w:t>. London: NHS England.</w:t>
      </w:r>
      <w:r w:rsidRPr="007E0A97">
        <w:rPr>
          <w:rFonts w:ascii="Arial" w:hAnsi="Arial" w:cs="Arial"/>
          <w:sz w:val="22"/>
          <w:szCs w:val="22"/>
        </w:rPr>
        <w:br/>
        <w:t xml:space="preserve">Ocloo, J. and Matthews, R. (2016) ‘The power imbalance in patient involvement’, </w:t>
      </w:r>
      <w:r w:rsidRPr="007E0A97">
        <w:rPr>
          <w:rFonts w:ascii="Arial" w:hAnsi="Arial" w:cs="Arial"/>
          <w:i/>
          <w:iCs/>
          <w:sz w:val="22"/>
          <w:szCs w:val="22"/>
        </w:rPr>
        <w:t>Health Expectations</w:t>
      </w:r>
      <w:r w:rsidRPr="007E0A97">
        <w:rPr>
          <w:rFonts w:ascii="Arial" w:hAnsi="Arial" w:cs="Arial"/>
          <w:sz w:val="22"/>
          <w:szCs w:val="22"/>
        </w:rPr>
        <w:t>, 19(6), pp.1151–1166.</w:t>
      </w:r>
    </w:p>
    <w:p w14:paraId="2B4D52C5"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Santana, M.J. et al. (2021) ‘Person-centred care framework’, </w:t>
      </w:r>
      <w:r w:rsidRPr="007E0A97">
        <w:rPr>
          <w:rFonts w:ascii="Arial" w:hAnsi="Arial" w:cs="Arial"/>
          <w:i/>
          <w:iCs/>
          <w:sz w:val="22"/>
          <w:szCs w:val="22"/>
        </w:rPr>
        <w:t>BMJ Quality &amp; Safety</w:t>
      </w:r>
      <w:r w:rsidRPr="007E0A97">
        <w:rPr>
          <w:rFonts w:ascii="Arial" w:hAnsi="Arial" w:cs="Arial"/>
          <w:sz w:val="22"/>
          <w:szCs w:val="22"/>
        </w:rPr>
        <w:t>, 30(4), pp.292–300.</w:t>
      </w:r>
    </w:p>
    <w:p w14:paraId="3B11BA7A"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Scales, K. et al. (2022) ‘Human rights and older people living with dementia’, </w:t>
      </w:r>
      <w:r w:rsidRPr="007E0A97">
        <w:rPr>
          <w:rFonts w:ascii="Arial" w:hAnsi="Arial" w:cs="Arial"/>
          <w:i/>
          <w:iCs/>
          <w:sz w:val="22"/>
          <w:szCs w:val="22"/>
        </w:rPr>
        <w:t>Dementia</w:t>
      </w:r>
      <w:r w:rsidRPr="007E0A97">
        <w:rPr>
          <w:rFonts w:ascii="Arial" w:hAnsi="Arial" w:cs="Arial"/>
          <w:sz w:val="22"/>
          <w:szCs w:val="22"/>
        </w:rPr>
        <w:t>, 21(4), pp.1374–1392.</w:t>
      </w:r>
    </w:p>
    <w:p w14:paraId="339927CA"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Scholl, I., Zill, J. and Härter, M. (2018) ‘The impact of person-centred care on decision-making’, </w:t>
      </w:r>
      <w:r w:rsidRPr="007E0A97">
        <w:rPr>
          <w:rFonts w:ascii="Arial" w:hAnsi="Arial" w:cs="Arial"/>
          <w:i/>
          <w:iCs/>
          <w:sz w:val="22"/>
          <w:szCs w:val="22"/>
        </w:rPr>
        <w:t>Implementation Science</w:t>
      </w:r>
      <w:r w:rsidRPr="007E0A97">
        <w:rPr>
          <w:rFonts w:ascii="Arial" w:hAnsi="Arial" w:cs="Arial"/>
          <w:sz w:val="22"/>
          <w:szCs w:val="22"/>
        </w:rPr>
        <w:t>, 13(1), pp.1–19.</w:t>
      </w:r>
    </w:p>
    <w:p w14:paraId="5A8A6C2A"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Tadd, W. et al. (2024) ‘Ethical challenges in dementia care’, </w:t>
      </w:r>
      <w:r w:rsidRPr="007E0A97">
        <w:rPr>
          <w:rFonts w:ascii="Arial" w:hAnsi="Arial" w:cs="Arial"/>
          <w:i/>
          <w:iCs/>
          <w:sz w:val="22"/>
          <w:szCs w:val="22"/>
        </w:rPr>
        <w:t>Journal of Medical Ethics</w:t>
      </w:r>
      <w:r w:rsidRPr="007E0A97">
        <w:rPr>
          <w:rFonts w:ascii="Arial" w:hAnsi="Arial" w:cs="Arial"/>
          <w:sz w:val="22"/>
          <w:szCs w:val="22"/>
        </w:rPr>
        <w:t>, 50(1), pp.44–50.</w:t>
      </w:r>
    </w:p>
    <w:p w14:paraId="66E70B34" w14:textId="77777777" w:rsidR="00E27989"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The King’s Fund (2023) </w:t>
      </w:r>
      <w:r w:rsidRPr="007E0A97">
        <w:rPr>
          <w:rFonts w:ascii="Arial" w:hAnsi="Arial" w:cs="Arial"/>
          <w:i/>
          <w:iCs/>
          <w:sz w:val="22"/>
          <w:szCs w:val="22"/>
        </w:rPr>
        <w:t>Integrated care systems explained</w:t>
      </w:r>
      <w:r w:rsidRPr="007E0A97">
        <w:rPr>
          <w:rFonts w:ascii="Arial" w:hAnsi="Arial" w:cs="Arial"/>
          <w:sz w:val="22"/>
          <w:szCs w:val="22"/>
        </w:rPr>
        <w:t>. London: The King’s Fund.</w:t>
      </w:r>
    </w:p>
    <w:p w14:paraId="147A62EA" w14:textId="48A5B962" w:rsidR="007E0A97" w:rsidRDefault="007E0A97" w:rsidP="00E27989">
      <w:pPr>
        <w:spacing w:before="240" w:line="360" w:lineRule="auto"/>
        <w:jc w:val="both"/>
        <w:rPr>
          <w:rFonts w:ascii="Arial" w:hAnsi="Arial" w:cs="Arial"/>
          <w:sz w:val="22"/>
          <w:szCs w:val="22"/>
        </w:rPr>
      </w:pPr>
      <w:r w:rsidRPr="007E0A97">
        <w:rPr>
          <w:rFonts w:ascii="Arial" w:hAnsi="Arial" w:cs="Arial"/>
          <w:sz w:val="22"/>
          <w:szCs w:val="22"/>
        </w:rPr>
        <w:t xml:space="preserve">Wolf, J. (2022) ‘Relational care and compassion in practice’, </w:t>
      </w:r>
      <w:r w:rsidRPr="007E0A97">
        <w:rPr>
          <w:rFonts w:ascii="Arial" w:hAnsi="Arial" w:cs="Arial"/>
          <w:i/>
          <w:iCs/>
          <w:sz w:val="22"/>
          <w:szCs w:val="22"/>
        </w:rPr>
        <w:t>Journal of Nursing Care Quality</w:t>
      </w:r>
      <w:r w:rsidRPr="007E0A97">
        <w:rPr>
          <w:rFonts w:ascii="Arial" w:hAnsi="Arial" w:cs="Arial"/>
          <w:sz w:val="22"/>
          <w:szCs w:val="22"/>
        </w:rPr>
        <w:t>, 37(2), pp.112–118.</w:t>
      </w:r>
    </w:p>
    <w:p w14:paraId="76D67090" w14:textId="77777777" w:rsidR="00E51ABF" w:rsidRPr="002B0DF1" w:rsidRDefault="00E51ABF" w:rsidP="00E27989">
      <w:pPr>
        <w:spacing w:before="240" w:line="360" w:lineRule="auto"/>
        <w:jc w:val="both"/>
        <w:rPr>
          <w:rFonts w:ascii="Arial" w:hAnsi="Arial" w:cs="Arial"/>
          <w:sz w:val="22"/>
          <w:szCs w:val="22"/>
        </w:rPr>
      </w:pPr>
    </w:p>
    <w:sectPr w:rsidR="00E51ABF" w:rsidRPr="002B0DF1" w:rsidSect="00730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A97"/>
    <w:rsid w:val="00002A29"/>
    <w:rsid w:val="001A645C"/>
    <w:rsid w:val="001C280E"/>
    <w:rsid w:val="0020558A"/>
    <w:rsid w:val="00233328"/>
    <w:rsid w:val="002B0DF1"/>
    <w:rsid w:val="00331CB3"/>
    <w:rsid w:val="004E7710"/>
    <w:rsid w:val="00500A7F"/>
    <w:rsid w:val="005632B9"/>
    <w:rsid w:val="00730FAE"/>
    <w:rsid w:val="007E0A97"/>
    <w:rsid w:val="008F18E6"/>
    <w:rsid w:val="00957CD6"/>
    <w:rsid w:val="009E1B49"/>
    <w:rsid w:val="00C92429"/>
    <w:rsid w:val="00DC1E02"/>
    <w:rsid w:val="00E27989"/>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FD36"/>
  <w15:chartTrackingRefBased/>
  <w15:docId w15:val="{CCDB55FA-125E-4E18-9182-354DFB24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58A"/>
    <w:pPr>
      <w:spacing w:after="0" w:line="360" w:lineRule="auto"/>
      <w:jc w:val="both"/>
      <w:outlineLvl w:val="0"/>
    </w:pPr>
    <w:rPr>
      <w:rFonts w:ascii="Arial" w:hAnsi="Arial" w:cs="Arial"/>
      <w:b/>
      <w:bCs/>
    </w:rPr>
  </w:style>
  <w:style w:type="paragraph" w:styleId="Heading2">
    <w:name w:val="heading 2"/>
    <w:basedOn w:val="Normal"/>
    <w:next w:val="Normal"/>
    <w:link w:val="Heading2Char"/>
    <w:uiPriority w:val="9"/>
    <w:semiHidden/>
    <w:unhideWhenUsed/>
    <w:qFormat/>
    <w:rsid w:val="007E0A9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0A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0A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0A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0A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A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A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A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58A"/>
    <w:rPr>
      <w:rFonts w:ascii="Arial" w:hAnsi="Arial" w:cs="Arial"/>
      <w:b/>
      <w:bCs/>
    </w:rPr>
  </w:style>
  <w:style w:type="character" w:customStyle="1" w:styleId="Heading2Char">
    <w:name w:val="Heading 2 Char"/>
    <w:basedOn w:val="DefaultParagraphFont"/>
    <w:link w:val="Heading2"/>
    <w:uiPriority w:val="9"/>
    <w:semiHidden/>
    <w:rsid w:val="007E0A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0A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0A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0A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0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A97"/>
    <w:rPr>
      <w:rFonts w:eastAsiaTheme="majorEastAsia" w:cstheme="majorBidi"/>
      <w:color w:val="272727" w:themeColor="text1" w:themeTint="D8"/>
    </w:rPr>
  </w:style>
  <w:style w:type="paragraph" w:styleId="Title">
    <w:name w:val="Title"/>
    <w:basedOn w:val="Normal"/>
    <w:next w:val="Normal"/>
    <w:link w:val="TitleChar"/>
    <w:uiPriority w:val="10"/>
    <w:qFormat/>
    <w:rsid w:val="007E0A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A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A97"/>
    <w:pPr>
      <w:spacing w:before="160"/>
      <w:jc w:val="center"/>
    </w:pPr>
    <w:rPr>
      <w:i/>
      <w:iCs/>
      <w:color w:val="404040" w:themeColor="text1" w:themeTint="BF"/>
    </w:rPr>
  </w:style>
  <w:style w:type="character" w:customStyle="1" w:styleId="QuoteChar">
    <w:name w:val="Quote Char"/>
    <w:basedOn w:val="DefaultParagraphFont"/>
    <w:link w:val="Quote"/>
    <w:uiPriority w:val="29"/>
    <w:rsid w:val="007E0A97"/>
    <w:rPr>
      <w:i/>
      <w:iCs/>
      <w:color w:val="404040" w:themeColor="text1" w:themeTint="BF"/>
    </w:rPr>
  </w:style>
  <w:style w:type="paragraph" w:styleId="ListParagraph">
    <w:name w:val="List Paragraph"/>
    <w:basedOn w:val="Normal"/>
    <w:uiPriority w:val="34"/>
    <w:qFormat/>
    <w:rsid w:val="007E0A97"/>
    <w:pPr>
      <w:ind w:left="720"/>
      <w:contextualSpacing/>
    </w:pPr>
  </w:style>
  <w:style w:type="character" w:styleId="IntenseEmphasis">
    <w:name w:val="Intense Emphasis"/>
    <w:basedOn w:val="DefaultParagraphFont"/>
    <w:uiPriority w:val="21"/>
    <w:qFormat/>
    <w:rsid w:val="007E0A97"/>
    <w:rPr>
      <w:i/>
      <w:iCs/>
      <w:color w:val="2F5496" w:themeColor="accent1" w:themeShade="BF"/>
    </w:rPr>
  </w:style>
  <w:style w:type="paragraph" w:styleId="IntenseQuote">
    <w:name w:val="Intense Quote"/>
    <w:basedOn w:val="Normal"/>
    <w:next w:val="Normal"/>
    <w:link w:val="IntenseQuoteChar"/>
    <w:uiPriority w:val="30"/>
    <w:qFormat/>
    <w:rsid w:val="007E0A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0A97"/>
    <w:rPr>
      <w:i/>
      <w:iCs/>
      <w:color w:val="2F5496" w:themeColor="accent1" w:themeShade="BF"/>
    </w:rPr>
  </w:style>
  <w:style w:type="character" w:styleId="IntenseReference">
    <w:name w:val="Intense Reference"/>
    <w:basedOn w:val="DefaultParagraphFont"/>
    <w:uiPriority w:val="32"/>
    <w:qFormat/>
    <w:rsid w:val="007E0A9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9</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cp:revision>
  <dcterms:created xsi:type="dcterms:W3CDTF">2025-10-26T17:48:00Z</dcterms:created>
  <dcterms:modified xsi:type="dcterms:W3CDTF">2025-10-27T07:55:00Z</dcterms:modified>
</cp:coreProperties>
</file>