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Calibri" w:cs="Calibri" w:eastAsia="Calibri" w:hAnsi="Calibri"/>
          <w:b w:val="1"/>
          <w:sz w:val="30"/>
          <w:szCs w:val="30"/>
          <w:u w:val="single"/>
        </w:rPr>
      </w:pPr>
      <w:r w:rsidDel="00000000" w:rsidR="00000000" w:rsidRPr="00000000">
        <w:rPr>
          <w:rFonts w:ascii="Calibri" w:cs="Calibri" w:eastAsia="Calibri" w:hAnsi="Calibri"/>
          <w:b w:val="1"/>
          <w:sz w:val="30"/>
          <w:szCs w:val="30"/>
          <w:u w:val="single"/>
          <w:rtl w:val="0"/>
        </w:rPr>
        <w:t xml:space="preserve">Alexander the Great’s relationship with Bagoas the Courtier</w:t>
      </w:r>
    </w:p>
    <w:p w:rsidR="00000000" w:rsidDel="00000000" w:rsidP="00000000" w:rsidRDefault="00000000" w:rsidRPr="00000000" w14:paraId="00000002">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03">
      <w:pPr>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The relationship between Alexander the Great and Bagoas, a eunuch and Alexander's courtier, is a topic of debate among historians. This analysis will draw upon the three primary sources of Dicaearchus in Athenaeus, Quintus Curtius Rufus, and Plutarch's Life of Alexander, which are widely recognised and respected in the academic community. By leveraging these authoritative sources, we aim to provide valuable insight into the relationship between Alexander the Great and Bagoas. Bagoas' transition from being the courtier to King Darius to serving Alexander is not just a shift, but a crucial aspect that invites intrigue and further exploration. This transition, briefly mentioned in Athenaeus (Ath. 603b), marks a pivotal point in their relationship and provides a unique perspective for analysis since supposedly Bagoas was a secret lover of Darius III before Alexander conquered Persia and Darius was assassinated which then Bagoas joined Alexander’s court in which will be investigated now</w:t>
      </w:r>
    </w:p>
    <w:p w:rsidR="00000000" w:rsidDel="00000000" w:rsidP="00000000" w:rsidRDefault="00000000" w:rsidRPr="00000000" w14:paraId="00000004">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05">
      <w:pPr>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To begin with, looking at Dicaerchus as cited in Athenaeus' Deipnosophistae offers a general view of Alexander the Great's court. However, it does not provide relevant details about the personal relationship between Alexander and Bagoas (Ath. 603b). This source focuses on Alexander's reign's broader cultural and moral characteristics, which are attributable to the various types of interactions and behaviours that would have taken place in court (Ath. 603b). While this source lacks explicit details about the relationship between Alexander and his courtier, it sets the stage for the rest of this analysis. It gives us an understanding of the environment in which their relationship would have existed.</w:t>
      </w:r>
    </w:p>
    <w:p w:rsidR="00000000" w:rsidDel="00000000" w:rsidP="00000000" w:rsidRDefault="00000000" w:rsidRPr="00000000" w14:paraId="00000006">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07">
      <w:pPr>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As we delve deeper, the sources of Quintus Curtius Rufus reveal unique events that underscore the distinct nature of Alexander and Bagoas' relationship (Curt. 6.5.22-23). In these sections, a pivotal scene unfolds where Bagoas triumphs in a dancing contest, earning Alexander the Great's favour and the admiration of his men (Curt. 6.5.22-23). This public display of affection challenges traditional notions of the king and courtier relationship, revealing a unique aspect of their bond. Alexander's willingness to openly express his fondness for Bogoas in front of his army highlights the depth of their bond and the level of acceptance of such a relationship in his military culture (Curt. 6.5.22-23). This unique aspect of their relationship, where personal affection is openly displayed in a military setting, is a compelling subject of study.</w:t>
      </w:r>
    </w:p>
    <w:p w:rsidR="00000000" w:rsidDel="00000000" w:rsidP="00000000" w:rsidRDefault="00000000" w:rsidRPr="00000000" w14:paraId="00000008">
      <w:pPr>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In a later section of Curtius Rufus's work, he describes another moment between Alexander and Bagoas (Curt. 6.10.22-42). Here, Alexander the Great demonstrates a much more proactive side when it comes to the safety of Bagoas, who is endangered due to the machinations of court politics (Curt. 6.10.22-42). Through Alexander's intervention on behalf of Bagoas (Curt. 6.10.22-42), readers are again presented with the personal bond these two seem to share. It becomes evident that their relationship goes beyond Alexander simply favouring his courtier; instead, it is a relationship characterised by deep loyalty and emotional attachment, transcending the typical king and courtier dynamic (Curt. 6.10.22-42). This depth of emotions adds a layer of complexity to their relationship, making it a compelling and emotionally rich subject of study, evoking a sense of the richness and depth of their bond.</w:t>
      </w:r>
    </w:p>
    <w:p w:rsidR="00000000" w:rsidDel="00000000" w:rsidP="00000000" w:rsidRDefault="00000000" w:rsidRPr="00000000" w14:paraId="00000009">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0A">
      <w:pPr>
        <w:rPr>
          <w:rFonts w:ascii="Calibri" w:cs="Calibri" w:eastAsia="Calibri" w:hAnsi="Calibri"/>
          <w:color w:val="0e101a"/>
          <w:sz w:val="26"/>
          <w:szCs w:val="26"/>
        </w:rPr>
      </w:pPr>
      <w:r w:rsidDel="00000000" w:rsidR="00000000" w:rsidRPr="00000000">
        <w:rPr>
          <w:rFonts w:ascii="Calibri" w:cs="Calibri" w:eastAsia="Calibri" w:hAnsi="Calibri"/>
          <w:color w:val="0e101a"/>
          <w:sz w:val="26"/>
          <w:szCs w:val="26"/>
          <w:rtl w:val="0"/>
        </w:rPr>
        <w:t xml:space="preserve">Now, let's turn our attention to Plutarch's </w:t>
      </w:r>
      <w:r w:rsidDel="00000000" w:rsidR="00000000" w:rsidRPr="00000000">
        <w:rPr>
          <w:rFonts w:ascii="Calibri" w:cs="Calibri" w:eastAsia="Calibri" w:hAnsi="Calibri"/>
          <w:i w:val="1"/>
          <w:color w:val="0e101a"/>
          <w:sz w:val="26"/>
          <w:szCs w:val="26"/>
          <w:rtl w:val="0"/>
        </w:rPr>
        <w:t xml:space="preserve">Life of Alexander. </w:t>
      </w:r>
      <w:r w:rsidDel="00000000" w:rsidR="00000000" w:rsidRPr="00000000">
        <w:rPr>
          <w:rFonts w:ascii="Calibri" w:cs="Calibri" w:eastAsia="Calibri" w:hAnsi="Calibri"/>
          <w:color w:val="0e101a"/>
          <w:sz w:val="26"/>
          <w:szCs w:val="26"/>
          <w:rtl w:val="0"/>
        </w:rPr>
        <w:t xml:space="preserve">Plutarch provides additional layers to the relationship between Alexander the Great and Bagoas, suggesting that Bogoas was more than just a well-beloved companion of Alexander but also a figure of significant influence within the king of Macedonia’s court (Plut. Alex. 67). Plutarch's portrayal of Bagoas implies that he could sway Alexander the Great's decisions by leveraging his relationship with the macedonia king as a form of political influence (Plut. Alex. 67). This aspect of their relationship, where Bagoas plays a dual role as both a companion and a political advisor to Alexander, adds a new dimension to their interactions. It deepens our understanding of their relationship dynamics and the extent to which emotional connections could influence the state of political affairs (Plut. Alex. 67). </w:t>
      </w:r>
    </w:p>
    <w:p w:rsidR="00000000" w:rsidDel="00000000" w:rsidP="00000000" w:rsidRDefault="00000000" w:rsidRPr="00000000" w14:paraId="0000000B">
      <w:pPr>
        <w:rPr>
          <w:rFonts w:ascii="Calibri" w:cs="Calibri" w:eastAsia="Calibri" w:hAnsi="Calibri"/>
          <w:color w:val="0e101a"/>
          <w:sz w:val="26"/>
          <w:szCs w:val="26"/>
        </w:rPr>
      </w:pPr>
      <w:r w:rsidDel="00000000" w:rsidR="00000000" w:rsidRPr="00000000">
        <w:rPr>
          <w:rtl w:val="0"/>
        </w:rPr>
      </w:r>
    </w:p>
    <w:p w:rsidR="00000000" w:rsidDel="00000000" w:rsidP="00000000" w:rsidRDefault="00000000" w:rsidRPr="00000000" w14:paraId="0000000C">
      <w:pPr>
        <w:rPr>
          <w:rFonts w:ascii="Calibri" w:cs="Calibri" w:eastAsia="Calibri" w:hAnsi="Calibri"/>
          <w:color w:val="0e101a"/>
          <w:sz w:val="26"/>
          <w:szCs w:val="26"/>
        </w:rPr>
      </w:pPr>
      <w:r w:rsidDel="00000000" w:rsidR="00000000" w:rsidRPr="00000000">
        <w:rPr>
          <w:rFonts w:ascii="Calibri" w:cs="Calibri" w:eastAsia="Calibri" w:hAnsi="Calibri"/>
          <w:color w:val="0e101a"/>
          <w:sz w:val="26"/>
          <w:szCs w:val="26"/>
          <w:rtl w:val="0"/>
        </w:rPr>
        <w:t xml:space="preserve">These sources depict an image of a relationship that was multifaceted and integral to Alexander the Great's personal life and the operational aspects of his life as a ruler. Curtius Rufus' descriptions of their public interaction suggest that their relationship was more than accepted and celebrated among his troops (Curt. 6.5.22-23). This suggests that Curtius Rufus was trying to show that Alexander's and Bagoas' relationship was merely a reflection of an acceptance shared by Alexander's troops between leaders and their companions. Meanwhile, in Plutarch, there is an emphasis on Bagoas' influence over the Macedonian king (Plut. Alex. 67), and this could then indicate the significant role that Alexander's relationships took effect during political decisions he would make over his empire where emotional connections could influence the state of political affairs (Plut. Alex. 67).</w:t>
      </w:r>
    </w:p>
    <w:p w:rsidR="00000000" w:rsidDel="00000000" w:rsidP="00000000" w:rsidRDefault="00000000" w:rsidRPr="00000000" w14:paraId="0000000D">
      <w:pPr>
        <w:rPr>
          <w:rFonts w:ascii="Calibri" w:cs="Calibri" w:eastAsia="Calibri" w:hAnsi="Calibri"/>
          <w:color w:val="0e101a"/>
          <w:sz w:val="26"/>
          <w:szCs w:val="26"/>
        </w:rPr>
      </w:pPr>
      <w:r w:rsidDel="00000000" w:rsidR="00000000" w:rsidRPr="00000000">
        <w:rPr>
          <w:rtl w:val="0"/>
        </w:rPr>
      </w:r>
    </w:p>
    <w:p w:rsidR="00000000" w:rsidDel="00000000" w:rsidP="00000000" w:rsidRDefault="00000000" w:rsidRPr="00000000" w14:paraId="0000000E">
      <w:pPr>
        <w:rPr>
          <w:rFonts w:ascii="Calibri" w:cs="Calibri" w:eastAsia="Calibri" w:hAnsi="Calibri"/>
          <w:color w:val="0e101a"/>
          <w:sz w:val="26"/>
          <w:szCs w:val="26"/>
        </w:rPr>
      </w:pPr>
      <w:r w:rsidDel="00000000" w:rsidR="00000000" w:rsidRPr="00000000">
        <w:rPr>
          <w:rFonts w:ascii="Calibri" w:cs="Calibri" w:eastAsia="Calibri" w:hAnsi="Calibri"/>
          <w:color w:val="0e101a"/>
          <w:sz w:val="26"/>
          <w:szCs w:val="26"/>
          <w:rtl w:val="0"/>
        </w:rPr>
        <w:t xml:space="preserve">In conclusion, the relationship between Alexander the Great and the courtier Bagoas, as portrayed by these three sources, exemplifies the intricacy of personal bonds in ruling an empire in ancient times. The sources depict a relationship that could transcend personal affection to impact a much broader political and cultural normality because of the relationship that Alexander and Bagoas shared. This dynamic relationship can create a new narrative from one of history's greatest conquerors, showing a side to him that not many would have experienced, and underscoring the importance of personal relationships in the governance of an empire.</w:t>
      </w:r>
    </w:p>
    <w:p w:rsidR="00000000" w:rsidDel="00000000" w:rsidP="00000000" w:rsidRDefault="00000000" w:rsidRPr="00000000" w14:paraId="0000000F">
      <w:pPr>
        <w:rPr>
          <w:rFonts w:ascii="Calibri" w:cs="Calibri" w:eastAsia="Calibri" w:hAnsi="Calibri"/>
          <w:color w:val="0e101a"/>
          <w:sz w:val="26"/>
          <w:szCs w:val="26"/>
        </w:rPr>
      </w:pPr>
      <w:r w:rsidDel="00000000" w:rsidR="00000000" w:rsidRPr="00000000">
        <w:rPr>
          <w:rtl w:val="0"/>
        </w:rPr>
      </w:r>
    </w:p>
    <w:p w:rsidR="00000000" w:rsidDel="00000000" w:rsidP="00000000" w:rsidRDefault="00000000" w:rsidRPr="00000000" w14:paraId="00000010">
      <w:pPr>
        <w:rPr>
          <w:rFonts w:ascii="Calibri" w:cs="Calibri" w:eastAsia="Calibri" w:hAnsi="Calibri"/>
          <w:b w:val="1"/>
          <w:color w:val="0e101a"/>
          <w:sz w:val="26"/>
          <w:szCs w:val="26"/>
        </w:rPr>
      </w:pPr>
      <w:r w:rsidDel="00000000" w:rsidR="00000000" w:rsidRPr="00000000">
        <w:rPr>
          <w:rFonts w:ascii="Calibri" w:cs="Calibri" w:eastAsia="Calibri" w:hAnsi="Calibri"/>
          <w:b w:val="1"/>
          <w:color w:val="0e101a"/>
          <w:sz w:val="26"/>
          <w:szCs w:val="26"/>
          <w:rtl w:val="0"/>
        </w:rPr>
        <w:t xml:space="preserve">Bibliography </w:t>
      </w:r>
    </w:p>
    <w:p w:rsidR="00000000" w:rsidDel="00000000" w:rsidP="00000000" w:rsidRDefault="00000000" w:rsidRPr="00000000" w14:paraId="00000011">
      <w:pPr>
        <w:rPr>
          <w:rFonts w:ascii="Verdana" w:cs="Verdana" w:eastAsia="Verdana" w:hAnsi="Verdana"/>
          <w:color w:val="0e101a"/>
        </w:rPr>
      </w:pPr>
      <w:r w:rsidDel="00000000" w:rsidR="00000000" w:rsidRPr="00000000">
        <w:rPr>
          <w:rFonts w:ascii="Verdana" w:cs="Verdana" w:eastAsia="Verdana" w:hAnsi="Verdana"/>
          <w:color w:val="0e101a"/>
          <w:rtl w:val="0"/>
        </w:rPr>
        <w:t xml:space="preserve">Athenaeus. The Deipnosophists. with an English Translation by. Charles Burton Gulick. Cambridge, MA. Harvard University Press. London. William Heinemann Ltd. 1927</w:t>
      </w:r>
    </w:p>
    <w:p w:rsidR="00000000" w:rsidDel="00000000" w:rsidP="00000000" w:rsidRDefault="00000000" w:rsidRPr="00000000" w14:paraId="00000012">
      <w:pPr>
        <w:rPr>
          <w:rFonts w:ascii="Verdana" w:cs="Verdana" w:eastAsia="Verdana" w:hAnsi="Verdana"/>
          <w:color w:val="0e101a"/>
        </w:rPr>
      </w:pPr>
      <w:r w:rsidDel="00000000" w:rsidR="00000000" w:rsidRPr="00000000">
        <w:rPr>
          <w:rFonts w:ascii="Verdana" w:cs="Verdana" w:eastAsia="Verdana" w:hAnsi="Verdana"/>
          <w:color w:val="0e101a"/>
          <w:rtl w:val="0"/>
        </w:rPr>
        <w:t xml:space="preserve">Curtius Rufus, Quintus. Historiarum Alexandri Magni Macedonis libri qui supersunt. Edmund Hedicke. in aedibus B.G. Teubneri. Lipsiae. 1908</w:t>
      </w:r>
    </w:p>
    <w:p w:rsidR="00000000" w:rsidDel="00000000" w:rsidP="00000000" w:rsidRDefault="00000000" w:rsidRPr="00000000" w14:paraId="00000013">
      <w:pPr>
        <w:rPr>
          <w:rFonts w:ascii="Verdana" w:cs="Verdana" w:eastAsia="Verdana" w:hAnsi="Verdana"/>
          <w:color w:val="0e101a"/>
        </w:rPr>
      </w:pPr>
      <w:r w:rsidDel="00000000" w:rsidR="00000000" w:rsidRPr="00000000">
        <w:rPr>
          <w:rFonts w:ascii="Verdana" w:cs="Verdana" w:eastAsia="Verdana" w:hAnsi="Verdana"/>
          <w:color w:val="0e101a"/>
          <w:rtl w:val="0"/>
        </w:rPr>
        <w:t xml:space="preserve">Plutarch. Plutarch's Lives. With an English Translation by. Bernadotte Perrin. Cambridge, MA. Harvard University Press. London. William Heinemann Ltd. 1919 </w:t>
      </w:r>
    </w:p>
    <w:p w:rsidR="00000000" w:rsidDel="00000000" w:rsidP="00000000" w:rsidRDefault="00000000" w:rsidRPr="00000000" w14:paraId="00000014">
      <w:pPr>
        <w:rPr>
          <w:rFonts w:ascii="Verdana" w:cs="Verdana" w:eastAsia="Verdana" w:hAnsi="Verdana"/>
          <w:color w:val="0e101a"/>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