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15417317"/>
        <w:docPartObj>
          <w:docPartGallery w:val="Cover Pages"/>
          <w:docPartUnique/>
        </w:docPartObj>
      </w:sdtPr>
      <w:sdtEndPr/>
      <w:sdtContent>
        <w:p w14:paraId="5F1591A5" w14:textId="5763DD33" w:rsidR="008B2643" w:rsidRDefault="008B2643">
          <w:r>
            <w:rPr>
              <w:noProof/>
            </w:rPr>
            <mc:AlternateContent>
              <mc:Choice Requires="wpg">
                <w:drawing>
                  <wp:anchor distT="0" distB="0" distL="114300" distR="114300" simplePos="0" relativeHeight="251659264" behindDoc="1" locked="0" layoutInCell="1" allowOverlap="1" wp14:anchorId="5981492C" wp14:editId="4FE0FBD8">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3C6DC1E" w14:textId="77777777" w:rsidR="008B2643" w:rsidRDefault="008B2643">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EF7676D" w14:textId="300FC2BD" w:rsidR="008B2643" w:rsidRDefault="008B2643">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Tort Law</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447BC74" w14:textId="74C698DC" w:rsidR="008B2643" w:rsidRDefault="007C32FE">
                                      <w:pPr>
                                        <w:pStyle w:val="NoSpacing"/>
                                        <w:spacing w:before="120"/>
                                        <w:rPr>
                                          <w:color w:val="4472C4" w:themeColor="accent1"/>
                                          <w:sz w:val="36"/>
                                          <w:szCs w:val="36"/>
                                        </w:rPr>
                                      </w:pPr>
                                      <w:r>
                                        <w:rPr>
                                          <w:color w:val="4472C4" w:themeColor="accent1"/>
                                          <w:sz w:val="36"/>
                                          <w:szCs w:val="36"/>
                                        </w:rPr>
                                        <w:t>Duty Of Care / 2319007 – Jade Brown</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981492C"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3C6DC1E" w14:textId="77777777" w:rsidR="008B2643" w:rsidRDefault="008B2643">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EF7676D" w14:textId="300FC2BD" w:rsidR="008B2643" w:rsidRDefault="008B2643">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Tort Law</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447BC74" w14:textId="74C698DC" w:rsidR="008B2643" w:rsidRDefault="007C32FE">
                                <w:pPr>
                                  <w:pStyle w:val="NoSpacing"/>
                                  <w:spacing w:before="120"/>
                                  <w:rPr>
                                    <w:color w:val="4472C4" w:themeColor="accent1"/>
                                    <w:sz w:val="36"/>
                                    <w:szCs w:val="36"/>
                                  </w:rPr>
                                </w:pPr>
                                <w:r>
                                  <w:rPr>
                                    <w:color w:val="4472C4" w:themeColor="accent1"/>
                                    <w:sz w:val="36"/>
                                    <w:szCs w:val="36"/>
                                  </w:rPr>
                                  <w:t>Duty Of Care / 2319007 – Jade Brown</w:t>
                                </w:r>
                              </w:p>
                            </w:sdtContent>
                          </w:sdt>
                        </w:txbxContent>
                      </v:textbox>
                    </v:shape>
                    <w10:wrap anchorx="page" anchory="page"/>
                  </v:group>
                </w:pict>
              </mc:Fallback>
            </mc:AlternateContent>
          </w:r>
        </w:p>
        <w:p w14:paraId="10A25F51" w14:textId="4F10ED13" w:rsidR="008B2643" w:rsidRDefault="008B2643">
          <w:r>
            <w:br w:type="page"/>
          </w:r>
        </w:p>
      </w:sdtContent>
    </w:sdt>
    <w:p w14:paraId="6C829DD0" w14:textId="0A2BE475" w:rsidR="008A1A2A" w:rsidRPr="008A1A2A" w:rsidRDefault="008A1A2A" w:rsidP="008A1A2A">
      <w:r w:rsidRPr="008A1A2A">
        <w:lastRenderedPageBreak/>
        <w:t>In the Law of Tort, a duty of care refers to the legal obligation placed on an individual to exercise reasonable care to avoid causing harm to others, this concept was firmly established in Donoghue v Stevenson [1932] where Lord Atkin formulated the “neighbour principle” suggesting that individuals must take reasonable care to avoid acts or omissions that could foreseeably harm their “neighbours</w:t>
      </w:r>
      <w:r w:rsidR="009963D5" w:rsidRPr="00113BDB">
        <w:t>”</w:t>
      </w:r>
      <w:r w:rsidRPr="008A1A2A">
        <w:t xml:space="preserve"> referring to those who are closely and directly affected by ones actions or inactions (Castle,2003). Establishing a breach of duty of care is a critical element in deciding liability. A breach occurs when a defendant does not meet the standard of care expected in each situation, leading to harm. However, it is not enough to simply demonstrate a breach, the claimant must also prove that the breach caused the damage suffered. Establishing causation is a complex legal concept, often requiring the application of specific tests. The primary tests used to establish causation in negligence claims are the "but for" test and the "thin skull" test, alongside considerations of legal causation and remoteness of damage (Bermingham and Brennan, 2008). This essay will evaluate the effectiveness of these tests in determining causation, analysing their limitations and applicability in different contexts. By examining key case law and legal principles, the essay will argue that while these tests are foundational in establishing causation, they present challenges in cases involving multiple causes or scientific uncertainty, often requiring a flexible approach to achieve justice. </w:t>
      </w:r>
    </w:p>
    <w:p w14:paraId="69ED1837" w14:textId="77777777" w:rsidR="008A1A2A" w:rsidRPr="008A1A2A" w:rsidRDefault="008A1A2A" w:rsidP="008A1A2A">
      <w:r w:rsidRPr="008A1A2A">
        <w:t> </w:t>
      </w:r>
    </w:p>
    <w:p w14:paraId="47C6E64C" w14:textId="57613B87" w:rsidR="008A1A2A" w:rsidRPr="008A1A2A" w:rsidRDefault="008A1A2A" w:rsidP="008A1A2A">
      <w:r w:rsidRPr="008A1A2A">
        <w:t xml:space="preserve">Elliott and Quinn (2019, p.17), explain that negligence focuses on compensating individuals who have suffered harm due to another’s carelessness, but the law does not guarantee a remedy for every instance of harm. One significant way in which access to compensation is limited is through the doctrine of duty of care. This legal principle establishes the conditions under which one party can be held liable to another in negligence. If the law determines that no duty of care exists towards the injured party, liability for negligence cannot arise, regardless of the severity of the harm, the extent of the carelessness, or how evident it is that the damage was caused by the defendant. They also state that in most typical </w:t>
      </w:r>
      <w:r w:rsidR="00B76B37">
        <w:t>T</w:t>
      </w:r>
      <w:r w:rsidRPr="008A1A2A">
        <w:t>ort cases that proceed through the court system, it is generally straightforward, and that the defendant owes a claimant a duty of care. Consequently, the courts primarily focus on whether the claimant can demonstrate a breach of that duty and if so, determine the appropriate level of compensation.  </w:t>
      </w:r>
    </w:p>
    <w:p w14:paraId="4518CEEB" w14:textId="097EF07F" w:rsidR="006E47AB" w:rsidRDefault="008A1A2A">
      <w:r w:rsidRPr="008A1A2A">
        <w:t>Where a duty of care is established, the tort of negligence examines the link between a wrongful act or omission and whether the risk that resulted could have been foreseen. This standard is typically assessed by considering what a "reasonable person" would have done in similar circumstances. Specific contexts, such as professional roles, illustrate situations where a breach of duty may be</w:t>
      </w:r>
      <w:r w:rsidR="008D2CD4">
        <w:rPr>
          <w:lang w:val="en-US"/>
        </w:rPr>
        <w:t xml:space="preserve"> </w:t>
      </w:r>
      <w:r w:rsidR="008D2CD4" w:rsidRPr="008D2CD4">
        <w:t>identified. For instance, professionals like doctors are held to a heightened standard of care reflecting the expertise required in their field</w:t>
      </w:r>
      <w:r w:rsidR="00536A6B">
        <w:t>,</w:t>
      </w:r>
      <w:r w:rsidR="008D2CD4" w:rsidRPr="008D2CD4">
        <w:t xml:space="preserve"> a breach occurs if they act contrary to what a competent professional would consider reasonable. </w:t>
      </w:r>
      <w:r w:rsidR="008D2CD4" w:rsidRPr="00C43E01">
        <w:t>In Bolam v Friern Hospital Management Committee [1957],</w:t>
      </w:r>
      <w:r w:rsidR="008D2CD4" w:rsidRPr="008D2CD4">
        <w:t xml:space="preserve"> it was affirmed that a professional’s conduct must adhere to the accepted standards within their area of practice. Additionally, employers owe a duty of care to employees to ensure a safe working environment, and a breach may arise if they disregard health and safety regulations or fail to address foreseeable risks, as demonstrated </w:t>
      </w:r>
      <w:r w:rsidR="008D2CD4" w:rsidRPr="00C43E01">
        <w:t>in Wilson v Tyneside Window Cleaning Co [1958].</w:t>
      </w:r>
      <w:r w:rsidR="008D2CD4" w:rsidRPr="008D2CD4">
        <w:t xml:space="preserve"> Determining a breach involves assessing whether actions deviated from the expected standard of care and whether the risk of harm was reasonably foreseeable </w:t>
      </w:r>
      <w:r w:rsidR="008D2CD4" w:rsidRPr="00E57736">
        <w:t>(Halsbury’s Laws of England</w:t>
      </w:r>
      <w:r w:rsidR="00CE5E5D" w:rsidRPr="00E57736">
        <w:t>, 2018</w:t>
      </w:r>
      <w:r w:rsidR="008D2CD4" w:rsidRPr="00E57736">
        <w:t>).</w:t>
      </w:r>
      <w:r w:rsidR="008D2CD4" w:rsidRPr="008D2CD4">
        <w:t> </w:t>
      </w:r>
    </w:p>
    <w:p w14:paraId="1554B8F6" w14:textId="77777777" w:rsidR="008D2CD4" w:rsidRDefault="008D2CD4"/>
    <w:p w14:paraId="6B9A5040" w14:textId="77777777" w:rsidR="008D2CD4" w:rsidRDefault="008D2CD4"/>
    <w:p w14:paraId="5A48C292" w14:textId="77777777" w:rsidR="00627D43" w:rsidRDefault="00E764C6" w:rsidP="00E764C6">
      <w:pPr>
        <w:rPr>
          <w:lang w:val="en-US"/>
        </w:rPr>
      </w:pPr>
      <w:r w:rsidRPr="00E764C6">
        <w:lastRenderedPageBreak/>
        <w:t xml:space="preserve">Cooke (2019) describes the first aspect as “causation in fact” and the second as “causation in law.” This differentiation can be misleading, as it may imply that causation in fact is purely an evidentiary question, unaffected by policy considerations, which is not always the case. Legal causation, on the other hand, is a somewhat ambiguous term, as it involves less of the traditional concept of causation and is more concerned with policy issues, particularly around the allocation of losses. Causation in fact pertains to determining whether, as a factual matter, the harm resulted from the breach of duty. He also argues that the issue of remoteness of damage arises when causation in fact is proven, but the court determines that, legally, the damage is too remote. To prevent indefinite liability for the defendant, the court sets a limit beyond which damage is considered too remote. For instance, consider a case where a defendant drives negligently, causing their car to veer off the motorway and onto railway tracks. This results in a train derailment, which subsequently causes a dam to burst and flood a nearby town, leading to extensive damages. Although the defendant’s actions initiated a chain of events, establishing factual causation, the court is likely to limit liability, perhaps ending it at the train damage. Any resulting harm beyond this point would be considered too remote. </w:t>
      </w:r>
    </w:p>
    <w:p w14:paraId="5894BBFD" w14:textId="2EBC9DBF" w:rsidR="00E764C6" w:rsidRDefault="00E764C6" w:rsidP="00E764C6">
      <w:pPr>
        <w:rPr>
          <w:lang w:val="en-US"/>
        </w:rPr>
      </w:pPr>
      <w:r w:rsidRPr="00E764C6">
        <w:t>To establish causation in fact, the process traditionally begins with a hypothetical "but for" test. This test involves asking whether the claimant’s damage would still have occurred "but for" the defendant's breach of duty. If the answer is "yes," the defendant's breach can generally be dismissed as a factual cause of the damage. However, if the answer is "no," it indicates that the defendant's breach is at least one contributing factor to the harm suffered (</w:t>
      </w:r>
      <w:r w:rsidR="008B3373" w:rsidRPr="00113BDB">
        <w:t>Buckley</w:t>
      </w:r>
      <w:r w:rsidRPr="00E764C6">
        <w:t>, 2024). The case of Barnett v Kensington &amp; Chelsea Management Committee [1969] clearly illustrates the application of the "but for" test. In this case, three nightwatchmen fell ill after drinking tea and went to the local hospital. The casualty officer on duty, however, did not examine them, instead advising by telephone that they return home and consult their own doctors. Hours later, one of the men died from arsenic poisoning. Evidence suggested that, on the balance of probabilities, any treatment available from the doctor would not have saved him. While the court acknowledged the casualty officer’s negligence in not examining the men, it found that, "but for" this omission, the death would still have occurred</w:t>
      </w:r>
      <w:r w:rsidR="00287608">
        <w:t xml:space="preserve"> </w:t>
      </w:r>
      <w:r w:rsidRPr="00E764C6">
        <w:t xml:space="preserve">thus, the officer’s breach was not considered a factual cause of the death. Conaghan and Mansell (1999, p.63) argue that it is widely accepted that the "but for" test cannot address all causation issues and may even yield absurd outcomes when </w:t>
      </w:r>
      <w:r w:rsidR="00726F40" w:rsidRPr="00E764C6">
        <w:t>applied</w:t>
      </w:r>
      <w:r w:rsidR="00726F40">
        <w:t xml:space="preserve">, the case of Fairchild v </w:t>
      </w:r>
      <w:proofErr w:type="spellStart"/>
      <w:r w:rsidR="00726F40">
        <w:t>Glenhaven</w:t>
      </w:r>
      <w:proofErr w:type="spellEnd"/>
      <w:r w:rsidR="00726F40">
        <w:t xml:space="preserve"> Funeral Services Ltd [2002] is another notable case where the “but for” test could not adequately address causation issues.</w:t>
      </w:r>
      <w:r w:rsidRPr="00E764C6">
        <w:t xml:space="preserve"> Nevertheless, despite instances where its logic may contradict common sense, the "but for" test is generally considered a valuable, though limited, tool in causal analysis. Gascoigne (2024) argues that the law should refrain from a strict application of the "but for" test if it produces outcomes clearly misaligned with common-sense principles. The "but for" test serves as a robust, though flexible, guide for assessing liability in </w:t>
      </w:r>
      <w:r w:rsidR="008147A3">
        <w:t>T</w:t>
      </w:r>
      <w:r w:rsidRPr="00E764C6">
        <w:t>ort</w:t>
      </w:r>
      <w:r w:rsidR="008147A3">
        <w:t xml:space="preserve"> Law</w:t>
      </w:r>
      <w:r w:rsidRPr="00E764C6">
        <w:t xml:space="preserve"> but is not the sole method available. Its application should be guided by common sense to determine whether liability for a particular loss arises directly from, rather than preceding, a breach of duty.</w:t>
      </w:r>
      <w:r w:rsidRPr="00E764C6">
        <w:rPr>
          <w:lang w:val="en-US"/>
        </w:rPr>
        <w:t> </w:t>
      </w:r>
    </w:p>
    <w:p w14:paraId="5EC90E8B" w14:textId="58500220" w:rsidR="00AE1911" w:rsidRPr="00385474" w:rsidRDefault="00AE1911" w:rsidP="00E764C6">
      <w:pPr>
        <w:rPr>
          <w:rFonts w:cstheme="minorHAnsi"/>
        </w:rPr>
      </w:pPr>
      <w:r w:rsidRPr="0004104F">
        <w:t>Abraham and Sharkey (2024) explain that a defendant is liable to the claimant for all harm that proximately arises from the defendant's wrongful conduct, regardless of whether the extent of the harm was foreseeable. This principle, known as the "</w:t>
      </w:r>
      <w:r w:rsidR="00F1473A" w:rsidRPr="0004104F">
        <w:t>thin skull</w:t>
      </w:r>
      <w:r w:rsidRPr="0004104F">
        <w:t xml:space="preserve">" rule (or "you take your victim as you find them"), requires the defendant to bear liability that may be disproportionately severe compared to the degree of wrongdoing or the harm that could have reasonably been anticipated. A clear illustration of this rule is seen in Smith v Leech Brain </w:t>
      </w:r>
      <w:r w:rsidR="00AD16F4" w:rsidRPr="0004104F">
        <w:t>[</w:t>
      </w:r>
      <w:r w:rsidRPr="0004104F">
        <w:t>1962</w:t>
      </w:r>
      <w:r w:rsidR="00AD16F4" w:rsidRPr="0004104F">
        <w:t>]</w:t>
      </w:r>
      <w:r w:rsidRPr="0004104F">
        <w:t xml:space="preserve">, where the claimant suffered a burn on his lip from molten metal due to his employer’s negligence. This injury triggered a pre-existing precancerous condition, ultimately leading to his death. Although the development of fatal cancer from the initial burn was unforeseeable at the time, the employer was held fully liable for the resulting harm. According to </w:t>
      </w:r>
      <w:proofErr w:type="spellStart"/>
      <w:r w:rsidRPr="0004104F">
        <w:t>Petruzella</w:t>
      </w:r>
      <w:proofErr w:type="spellEnd"/>
      <w:r w:rsidRPr="0004104F">
        <w:t xml:space="preserve"> (2024, pp. 8-19) Currently</w:t>
      </w:r>
      <w:r w:rsidRPr="00AE1911">
        <w:t xml:space="preserve">, cases involving the chain of </w:t>
      </w:r>
      <w:r w:rsidRPr="00AE1911">
        <w:lastRenderedPageBreak/>
        <w:t>causation and the "thin skull" rule are frequently discussed in civil liability contexts. In criminal cases, the prosecution must prove the defendant's guilt "beyond a reasonable doubt." In contrast, civil cases require the claimant to demonstrate that it is more "likely than not" that their claim is valid, using a "preponderance of evidence." Due to this distinction in the burden of proof between criminal and civil law, the application of the "thin skull" rule can be advantageous for claimants, necessitating a different analysis in civil law where its impact is more significant. Civil cases often apply the "but-for" rule to establish causation, adapting it for tort law. This rule is commonly relied upon in negligence cases to determine the extent of the defendant's responsibility for the harm suffered by the claimant. The thin skull rule ensures that individuals are held liable for the consequences of their actions, regardless of the victim's pre-existing vulnerabilities. However, this may create opportunities for dishonest claimants to assert that their emotional distress was a</w:t>
      </w:r>
      <w:r w:rsidR="008637D6">
        <w:t xml:space="preserve"> </w:t>
      </w:r>
      <w:r w:rsidR="008637D6" w:rsidRPr="008637D6">
        <w:t xml:space="preserve">result of a traumatic event with no direct connection or to seek compensation for pre-existing mental health issues or conditions. Although there is an ongoing ethical debate surrounding the application of the thin skull rule in both criminal and civil law, its presence offers significant advantages to victims by safeguarding them against discrimination based on their health or identity. However, the extent of the thin skull rule's application remains unclear. As a principle of common law, it is essential to understand when navigating the legal systems in the UK, Canada, and the United States, it can impose greater liability on a </w:t>
      </w:r>
      <w:r w:rsidR="008637D6" w:rsidRPr="00385474">
        <w:rPr>
          <w:rFonts w:cstheme="minorHAnsi"/>
        </w:rPr>
        <w:t>defendant regardless of their awareness of the harm inflicted on the victim. The rule's relationship to the chain of causation is distinctive, as it clarifies which actions or omissions can disrupt novus actus interveniens, thereby influencing the sequence of events that lead to the defendant's legal responsibility.</w:t>
      </w:r>
      <w:r w:rsidR="00726F40" w:rsidRPr="00385474">
        <w:rPr>
          <w:rStyle w:val="CommentReference"/>
          <w:rFonts w:cstheme="minorHAnsi"/>
          <w:sz w:val="22"/>
          <w:szCs w:val="22"/>
        </w:rPr>
        <w:t xml:space="preserve"> This was established in the case of </w:t>
      </w:r>
      <w:r w:rsidR="00385474" w:rsidRPr="00385474">
        <w:rPr>
          <w:rStyle w:val="CommentReference"/>
          <w:rFonts w:cstheme="minorHAnsi"/>
          <w:sz w:val="22"/>
          <w:szCs w:val="22"/>
        </w:rPr>
        <w:t xml:space="preserve">Baker v Willoughby [1970] </w:t>
      </w:r>
      <w:r w:rsidR="00385474">
        <w:rPr>
          <w:rFonts w:cstheme="minorHAnsi"/>
        </w:rPr>
        <w:t xml:space="preserve">which </w:t>
      </w:r>
      <w:r w:rsidR="00385474" w:rsidRPr="00385474">
        <w:rPr>
          <w:rFonts w:cstheme="minorHAnsi"/>
        </w:rPr>
        <w:t xml:space="preserve">highlights how the </w:t>
      </w:r>
      <w:r w:rsidR="00385474">
        <w:rPr>
          <w:rFonts w:cstheme="minorHAnsi"/>
        </w:rPr>
        <w:t xml:space="preserve">“thin skull” </w:t>
      </w:r>
      <w:r w:rsidR="00385474" w:rsidRPr="00385474">
        <w:rPr>
          <w:rFonts w:cstheme="minorHAnsi"/>
        </w:rPr>
        <w:t>rule serves to prevent defendants from avoiding liability for severe consequences that arise due to factors beyond the victim's control.</w:t>
      </w:r>
      <w:r w:rsidR="00726F40" w:rsidRPr="00385474">
        <w:rPr>
          <w:rFonts w:cstheme="minorHAnsi"/>
        </w:rPr>
        <w:t xml:space="preserve"> </w:t>
      </w:r>
    </w:p>
    <w:p w14:paraId="064F1737" w14:textId="44071560" w:rsidR="001A7F90" w:rsidRPr="001A7F90" w:rsidRDefault="001A7F90" w:rsidP="001A7F90">
      <w:r w:rsidRPr="001A7F90">
        <w:t>In conclusion,</w:t>
      </w:r>
      <w:r>
        <w:t xml:space="preserve"> this essay has looked at</w:t>
      </w:r>
      <w:r w:rsidRPr="001A7F90">
        <w:t xml:space="preserve"> the concepts of duty of care, </w:t>
      </w:r>
      <w:r w:rsidR="00415F0C">
        <w:t xml:space="preserve">a </w:t>
      </w:r>
      <w:r w:rsidRPr="001A7F90">
        <w:t>breach</w:t>
      </w:r>
      <w:r w:rsidR="00415F0C">
        <w:t xml:space="preserve"> of duty of care</w:t>
      </w:r>
      <w:r w:rsidRPr="001A7F90">
        <w:t xml:space="preserve">, causation, and the thin skull rule </w:t>
      </w:r>
      <w:r w:rsidR="0004104F" w:rsidRPr="001A7F90">
        <w:t>plays</w:t>
      </w:r>
      <w:r w:rsidRPr="001A7F90">
        <w:t xml:space="preserve"> fundamental roles in establishing liability in tort law, guiding the courts in determining the extent of a defendant’s responsibility for harm caused to a claimant. Each element serves a distinct function</w:t>
      </w:r>
      <w:r w:rsidR="002959DA">
        <w:t xml:space="preserve">, </w:t>
      </w:r>
      <w:r w:rsidRPr="001A7F90">
        <w:t>duty of care creates the foundation for a legal obligation</w:t>
      </w:r>
      <w:r w:rsidR="009D3133">
        <w:t>,</w:t>
      </w:r>
      <w:r w:rsidRPr="001A7F90">
        <w:t xml:space="preserve"> breach assesses whether the defendant failed to meet expected standards of care</w:t>
      </w:r>
      <w:r w:rsidR="009D3133">
        <w:t xml:space="preserve"> </w:t>
      </w:r>
      <w:r w:rsidRPr="001A7F90">
        <w:t xml:space="preserve">and causation, both factual and legal, explores whether and to what extent a defendant’s actions contributed to the harm. Through the analysis of these principles, it becomes evident that while the "but for" and </w:t>
      </w:r>
      <w:r w:rsidR="009D3133">
        <w:t>“</w:t>
      </w:r>
      <w:r w:rsidRPr="001A7F90">
        <w:t>thin skull</w:t>
      </w:r>
      <w:r w:rsidR="009D3133">
        <w:t>”</w:t>
      </w:r>
      <w:r w:rsidRPr="001A7F90">
        <w:t xml:space="preserve"> rules offer practical frameworks for assessing causation, they also present interpretative challenges that courts must navigate carefully, particularly in cases involving complex or unforeseen consequences.</w:t>
      </w:r>
      <w:r w:rsidR="00733436">
        <w:t xml:space="preserve"> </w:t>
      </w:r>
      <w:r w:rsidRPr="001A7F90">
        <w:t xml:space="preserve">This analysis highlights that the "but for" test, while an essential tool in establishing causation, cannot address all causational issues and occasionally produces results that are logically and ethically debatable. Similarly, the </w:t>
      </w:r>
      <w:r w:rsidR="008357E9">
        <w:t>“</w:t>
      </w:r>
      <w:r w:rsidRPr="001A7F90">
        <w:t>thin skull rule</w:t>
      </w:r>
      <w:r w:rsidR="008357E9">
        <w:t>”</w:t>
      </w:r>
      <w:r w:rsidRPr="001A7F90">
        <w:t>, despite its advantages in protecting vulnerable claimants from discrimination, requires careful application to prevent exploitation or disproportionate liability for defendants. As demonstrated in cases such as Smith v Leech Brain</w:t>
      </w:r>
      <w:r w:rsidR="00DD6CB7">
        <w:t xml:space="preserve"> [</w:t>
      </w:r>
      <w:r w:rsidR="00D92162">
        <w:t>1962]</w:t>
      </w:r>
      <w:r w:rsidRPr="001A7F90">
        <w:t xml:space="preserve"> and Barnett v Kensington &amp; Chelsea Management Committee</w:t>
      </w:r>
      <w:r w:rsidR="00D92162">
        <w:t xml:space="preserve"> [1969]</w:t>
      </w:r>
      <w:r w:rsidRPr="001A7F90">
        <w:t>, these principles can sometimes produce outcomes where liability may seem excessive or insufficient, underscoring the need for a nuanced approach that considers both legal doctrines and common-sense principles.</w:t>
      </w:r>
      <w:r w:rsidR="00765C2C">
        <w:t xml:space="preserve"> </w:t>
      </w:r>
      <w:r w:rsidRPr="001A7F90">
        <w:t xml:space="preserve">Ultimately, these rules are valuable yet flexible guidelines within </w:t>
      </w:r>
      <w:r w:rsidR="00765C2C">
        <w:t>T</w:t>
      </w:r>
      <w:r w:rsidRPr="001A7F90">
        <w:t xml:space="preserve">ort </w:t>
      </w:r>
      <w:r w:rsidR="000B1FD2">
        <w:t>L</w:t>
      </w:r>
      <w:r w:rsidRPr="001A7F90">
        <w:t xml:space="preserve">aw, enabling courts to adapt their application according to the circumstances of each case. The varying levels of proof required in civil and criminal cases further distinguish the approach to causation in each domain, with civil law’s lower burden of proof making it particularly beneficial for claimants seeking compensation. However, the ongoing debate surrounding these tests reflects an evolving understanding of justice in </w:t>
      </w:r>
      <w:r w:rsidR="000B1FD2">
        <w:t>T</w:t>
      </w:r>
      <w:r w:rsidRPr="001A7F90">
        <w:t xml:space="preserve">ort </w:t>
      </w:r>
      <w:r w:rsidR="000B1FD2">
        <w:t>L</w:t>
      </w:r>
      <w:r w:rsidRPr="001A7F90">
        <w:t>aw, with courts continually balancing doctrinal integrity with the need to achieve fair outcomes for both claimants and defendants.</w:t>
      </w:r>
    </w:p>
    <w:p w14:paraId="233A49C3" w14:textId="2B4AAD5B" w:rsidR="001A7F90" w:rsidRPr="001A7F90" w:rsidRDefault="001A7F90" w:rsidP="001A7F90"/>
    <w:p w14:paraId="1C3EBBB3" w14:textId="77777777" w:rsidR="001A7F90" w:rsidRPr="00E764C6" w:rsidRDefault="001A7F90" w:rsidP="00E764C6">
      <w:pPr>
        <w:rPr>
          <w:lang w:val="en-US"/>
        </w:rPr>
      </w:pPr>
    </w:p>
    <w:p w14:paraId="79607A64" w14:textId="77777777" w:rsidR="0004104F" w:rsidRDefault="0004104F">
      <w:pPr>
        <w:rPr>
          <w:lang w:val="en-US"/>
        </w:rPr>
      </w:pPr>
    </w:p>
    <w:p w14:paraId="6C2DF52F" w14:textId="37D8206B" w:rsidR="00E764C6" w:rsidRPr="000B1FD2" w:rsidRDefault="000B1FD2">
      <w:pPr>
        <w:rPr>
          <w:u w:val="single"/>
          <w:lang w:val="en-US"/>
        </w:rPr>
      </w:pPr>
      <w:r w:rsidRPr="000B1FD2">
        <w:rPr>
          <w:u w:val="single"/>
          <w:lang w:val="en-US"/>
        </w:rPr>
        <w:t>References</w:t>
      </w:r>
    </w:p>
    <w:p w14:paraId="13487982" w14:textId="77777777" w:rsidR="00E764C6" w:rsidRDefault="00E764C6">
      <w:pPr>
        <w:rPr>
          <w:lang w:val="en-US"/>
        </w:rPr>
      </w:pPr>
    </w:p>
    <w:p w14:paraId="3376777C" w14:textId="09A6121E" w:rsidR="002E1CD5" w:rsidRPr="00185C0A" w:rsidRDefault="002E1CD5" w:rsidP="002E1CD5">
      <w:pPr>
        <w:rPr>
          <w:lang w:val="en-US"/>
        </w:rPr>
      </w:pPr>
      <w:r w:rsidRPr="00185C0A">
        <w:t xml:space="preserve">Abraham, K.S. and Sharkey, C.M. (2024) </w:t>
      </w:r>
      <w:r w:rsidRPr="00185C0A">
        <w:rPr>
          <w:i/>
          <w:iCs/>
        </w:rPr>
        <w:t>‘The glaring gap in tort theory’,</w:t>
      </w:r>
      <w:r w:rsidRPr="00185C0A">
        <w:t xml:space="preserve"> The Yale law journal, 133(7), pp. 2165–2255. Available at: </w:t>
      </w:r>
      <w:hyperlink r:id="rId7" w:tgtFrame="_blank" w:history="1">
        <w:r w:rsidRPr="00185C0A">
          <w:rPr>
            <w:rStyle w:val="Hyperlink"/>
          </w:rPr>
          <w:t>https://research-ebsco-com.ezproxy.uwtsd.ac.uk/c/onvpsy/viewer/pdf/ip3cozdijf?route=details</w:t>
        </w:r>
      </w:hyperlink>
      <w:r w:rsidRPr="00185C0A">
        <w:t xml:space="preserve"> (Accessed: 30.10.24).</w:t>
      </w:r>
      <w:r w:rsidRPr="00185C0A">
        <w:rPr>
          <w:lang w:val="en-US"/>
        </w:rPr>
        <w:t> </w:t>
      </w:r>
    </w:p>
    <w:p w14:paraId="6AAEC14A" w14:textId="44A4F8B9" w:rsidR="00DD6CB7" w:rsidRPr="00185C0A" w:rsidRDefault="00B63EC5" w:rsidP="00185C0A">
      <w:r w:rsidRPr="00185C0A">
        <w:t>Bermingham, V. and Brennan, C. (2008) </w:t>
      </w:r>
      <w:r w:rsidRPr="00185C0A">
        <w:rPr>
          <w:i/>
          <w:iCs/>
        </w:rPr>
        <w:t>Tort law directions</w:t>
      </w:r>
      <w:r w:rsidRPr="00185C0A">
        <w:t>. Oxford</w:t>
      </w:r>
      <w:r>
        <w:t>:</w:t>
      </w:r>
      <w:r w:rsidRPr="00185C0A">
        <w:t xml:space="preserve"> Oxford University Press. </w:t>
      </w:r>
    </w:p>
    <w:p w14:paraId="57A864CD" w14:textId="123AC5B2" w:rsidR="00174580" w:rsidRPr="00185C0A" w:rsidRDefault="00185C0A" w:rsidP="00174580">
      <w:pPr>
        <w:rPr>
          <w:lang w:val="en-US"/>
        </w:rPr>
      </w:pPr>
      <w:r w:rsidRPr="00185C0A">
        <w:t>​</w:t>
      </w:r>
      <w:r w:rsidR="00174580" w:rsidRPr="00185C0A">
        <w:t>Buckley, R. (2024)</w:t>
      </w:r>
      <w:r w:rsidR="00174580" w:rsidRPr="00185C0A">
        <w:rPr>
          <w:i/>
          <w:iCs/>
        </w:rPr>
        <w:t xml:space="preserve"> Buckley: The Law of Negligence and Nuisance. </w:t>
      </w:r>
      <w:r w:rsidR="00174580" w:rsidRPr="00185C0A">
        <w:t>Butterworths Common Law Series:</w:t>
      </w:r>
      <w:r w:rsidR="00174580" w:rsidRPr="00185C0A">
        <w:rPr>
          <w:i/>
          <w:iCs/>
        </w:rPr>
        <w:t xml:space="preserve"> </w:t>
      </w:r>
      <w:r w:rsidR="00174580" w:rsidRPr="00185C0A">
        <w:t xml:space="preserve">Available at: </w:t>
      </w:r>
      <w:hyperlink r:id="rId8" w:tgtFrame="_blank" w:history="1">
        <w:r w:rsidR="00174580" w:rsidRPr="00185C0A">
          <w:rPr>
            <w:rStyle w:val="Hyperlink"/>
          </w:rPr>
          <w:t>https://plus-lexis-com.ezproxy.uwtsd.ac.uk/uk/document/?pdmfid=1001073&amp;crid=4532b83f-f894-448e-b36f-4780d002178c&amp;pddocfullpath=%2Fshared%2Fdocument%2Fanalytical-materials-uk%2Furn:contentItem:564M-JWR1-F0C5-R41D-00000-00&amp;pdcontentcomponentid=312685&amp;pdteaserkey=&amp;pdislpamode=false&amp;pddocumentnumber=1&amp;ecomp=5t5k&amp;earg=sr0&amp;prid=b99657c2-aabd-4957-b9c2-3b8a30bb3455</w:t>
        </w:r>
      </w:hyperlink>
      <w:r w:rsidR="00174580" w:rsidRPr="00185C0A">
        <w:t>. (Accessed: 31.10.24).</w:t>
      </w:r>
      <w:r w:rsidR="00174580" w:rsidRPr="00185C0A">
        <w:rPr>
          <w:lang w:val="en-US"/>
        </w:rPr>
        <w:t> </w:t>
      </w:r>
    </w:p>
    <w:p w14:paraId="732BB49C" w14:textId="11CE6AB5" w:rsidR="00185C0A" w:rsidRDefault="00185C0A" w:rsidP="00185C0A">
      <w:r w:rsidRPr="00185C0A">
        <w:t>Castle, R. (2003) ‘Lord Atkin and the Neighbour Test: Origins of the Principles of Negligence in Donoghue v Stevenson’, </w:t>
      </w:r>
      <w:r w:rsidRPr="00185C0A">
        <w:rPr>
          <w:i/>
          <w:iCs/>
        </w:rPr>
        <w:t>Ecclesiastical law journal</w:t>
      </w:r>
      <w:r w:rsidRPr="00185C0A">
        <w:t xml:space="preserve">, 7(33), pp. 210–214. Available at: </w:t>
      </w:r>
      <w:hyperlink r:id="rId9" w:tgtFrame="_blank" w:history="1">
        <w:r w:rsidRPr="00185C0A">
          <w:rPr>
            <w:rStyle w:val="Hyperlink"/>
          </w:rPr>
          <w:t>https://doi.org/10.1017/S0956618X00005214</w:t>
        </w:r>
      </w:hyperlink>
      <w:r w:rsidRPr="00185C0A">
        <w:t>. (Accessed: 28.10.24). </w:t>
      </w:r>
    </w:p>
    <w:p w14:paraId="7ED43FF1" w14:textId="36F78CFD" w:rsidR="003C2E56" w:rsidRPr="00185C0A" w:rsidRDefault="003C2E56" w:rsidP="00185C0A">
      <w:r w:rsidRPr="00185C0A">
        <w:t>Conaghan, J. and Mansell, W. (1998) </w:t>
      </w:r>
      <w:r w:rsidRPr="00185C0A">
        <w:rPr>
          <w:i/>
          <w:iCs/>
        </w:rPr>
        <w:t>The wrongs of tort</w:t>
      </w:r>
      <w:r w:rsidRPr="00185C0A">
        <w:t>. 2nd ed. London: Pluto</w:t>
      </w:r>
      <w:r>
        <w:t xml:space="preserve"> Press</w:t>
      </w:r>
    </w:p>
    <w:p w14:paraId="162B3129" w14:textId="20B28A95" w:rsidR="00AC5D97" w:rsidRPr="00185C0A" w:rsidRDefault="00185C0A" w:rsidP="00AC5D97">
      <w:pPr>
        <w:rPr>
          <w:lang w:val="en-US"/>
        </w:rPr>
      </w:pPr>
      <w:r w:rsidRPr="00185C0A">
        <w:t>​</w:t>
      </w:r>
      <w:r w:rsidR="00AC5D97" w:rsidRPr="00185C0A">
        <w:t xml:space="preserve">Cooke, J. (2019) </w:t>
      </w:r>
      <w:r w:rsidR="00AC5D97" w:rsidRPr="00185C0A">
        <w:rPr>
          <w:i/>
          <w:iCs/>
        </w:rPr>
        <w:t xml:space="preserve">Law of Tort. </w:t>
      </w:r>
      <w:r w:rsidR="00AC5D97" w:rsidRPr="00185C0A">
        <w:t xml:space="preserve">14th </w:t>
      </w:r>
      <w:proofErr w:type="spellStart"/>
      <w:r w:rsidR="00AC5D97" w:rsidRPr="00185C0A">
        <w:t>Edn</w:t>
      </w:r>
      <w:proofErr w:type="spellEnd"/>
      <w:r w:rsidR="00AC5D97" w:rsidRPr="00185C0A">
        <w:t>. Harlow England: Pearson Education Limited.</w:t>
      </w:r>
      <w:r w:rsidR="00AC5D97" w:rsidRPr="00185C0A">
        <w:rPr>
          <w:lang w:val="en-US"/>
        </w:rPr>
        <w:t> </w:t>
      </w:r>
    </w:p>
    <w:p w14:paraId="5BEEFA9A" w14:textId="00C853E9" w:rsidR="00185C0A" w:rsidRDefault="00185C0A" w:rsidP="00185C0A">
      <w:r w:rsidRPr="00185C0A">
        <w:t>Elliott, C. and Quinn, F. (2019) </w:t>
      </w:r>
      <w:r w:rsidRPr="00185C0A">
        <w:rPr>
          <w:i/>
          <w:iCs/>
        </w:rPr>
        <w:t>Elliott and Quinn’s tort law</w:t>
      </w:r>
      <w:r w:rsidRPr="00185C0A">
        <w:t>. 12</w:t>
      </w:r>
      <w:r w:rsidRPr="00185C0A">
        <w:rPr>
          <w:vertAlign w:val="superscript"/>
        </w:rPr>
        <w:t>th</w:t>
      </w:r>
      <w:r w:rsidRPr="00185C0A">
        <w:t xml:space="preserve"> </w:t>
      </w:r>
      <w:proofErr w:type="spellStart"/>
      <w:r w:rsidRPr="00185C0A">
        <w:t>edn</w:t>
      </w:r>
      <w:proofErr w:type="spellEnd"/>
      <w:r w:rsidRPr="00185C0A">
        <w:t>. Harlow, England: Pearson Education Limited. </w:t>
      </w:r>
    </w:p>
    <w:p w14:paraId="15510C33" w14:textId="77777777" w:rsidR="00B934E1" w:rsidRPr="00185C0A" w:rsidRDefault="00B934E1" w:rsidP="00B934E1">
      <w:pPr>
        <w:rPr>
          <w:lang w:val="en-US"/>
        </w:rPr>
      </w:pPr>
      <w:r w:rsidRPr="00185C0A">
        <w:t xml:space="preserve">Gascoigne, I. (2024) </w:t>
      </w:r>
      <w:r w:rsidRPr="00185C0A">
        <w:rPr>
          <w:i/>
          <w:iCs/>
        </w:rPr>
        <w:t>The New Law Journal, Causation &amp; the ’but for’ test</w:t>
      </w:r>
      <w:r w:rsidRPr="00185C0A">
        <w:t xml:space="preserve">, 174 NLJ 8077, p12. Available at: </w:t>
      </w:r>
      <w:hyperlink r:id="rId10" w:tgtFrame="_blank" w:history="1">
        <w:r w:rsidRPr="00185C0A">
          <w:rPr>
            <w:rStyle w:val="Hyperlink"/>
          </w:rPr>
          <w:t>https://plus-lexis-com.ezproxy.uwtsd.ac.uk/api/permalink/1af07e87-4dab-4c0d-8c1e-88e8c43343cb/?context=1001073</w:t>
        </w:r>
      </w:hyperlink>
      <w:r w:rsidRPr="00185C0A">
        <w:t xml:space="preserve"> (Accessed: 31.10.24).</w:t>
      </w:r>
      <w:r w:rsidRPr="00185C0A">
        <w:rPr>
          <w:lang w:val="en-US"/>
        </w:rPr>
        <w:t> </w:t>
      </w:r>
    </w:p>
    <w:p w14:paraId="51A2488A" w14:textId="273B7D0E" w:rsidR="003E3767" w:rsidRDefault="00185C0A" w:rsidP="00185C0A">
      <w:pPr>
        <w:rPr>
          <w:lang w:val="en-US"/>
        </w:rPr>
      </w:pPr>
      <w:r w:rsidRPr="00185C0A">
        <w:t>Halsbury Laws Of England</w:t>
      </w:r>
      <w:r w:rsidR="00E1733E">
        <w:rPr>
          <w:lang w:val="en-US"/>
        </w:rPr>
        <w:t xml:space="preserve"> (2018) Negligence (Volume 78 2018)</w:t>
      </w:r>
      <w:r w:rsidR="00EC1A1C">
        <w:rPr>
          <w:lang w:val="en-US"/>
        </w:rPr>
        <w:t xml:space="preserve"> Available at:</w:t>
      </w:r>
      <w:r w:rsidR="003E3767">
        <w:rPr>
          <w:lang w:val="en-US"/>
        </w:rPr>
        <w:t xml:space="preserve"> </w:t>
      </w:r>
      <w:hyperlink r:id="rId11" w:history="1">
        <w:r w:rsidR="003E3767" w:rsidRPr="00EF0EFD">
          <w:rPr>
            <w:rStyle w:val="Hyperlink"/>
            <w:lang w:val="en-US"/>
          </w:rPr>
          <w:t>https://plus-lexis-com.ezproxy.uwtsd.ac.uk/uk/document/?pddocfullpath=%2Fshared%2Fdocument%2Fanalytical-materials-uk%2Furn:contentItem:5TJ9-MG01-DYCB-R0TH-00000-00&amp;tocnodeid=TADY&amp;isviewwholeof=true&amp;fontType=verdana&amp;fontSize=Small&amp;doccollection=analytical-materials-uk&amp;tocid=urn:contentItem:5M8K-C9S1-FBXB-D000-00000-00&amp;docProviderId=fg4k&amp;pct=urn:pct:545&amp;hlct=urn:hlct:50&amp;pageNumber=0&amp;new-toc=1&amp;docLni=5TJ9-MG01-DYCB-R0TH-00000-00&amp;crid=9a9d5f5c-e1a6-4c5b-8ec4-869df86dbc80</w:t>
        </w:r>
      </w:hyperlink>
      <w:r w:rsidR="0004104F">
        <w:rPr>
          <w:lang w:val="en-US"/>
        </w:rPr>
        <w:t xml:space="preserve"> (</w:t>
      </w:r>
      <w:r w:rsidR="003E3767">
        <w:rPr>
          <w:lang w:val="en-US"/>
        </w:rPr>
        <w:t>Acc</w:t>
      </w:r>
      <w:r w:rsidR="0004104F">
        <w:rPr>
          <w:lang w:val="en-US"/>
        </w:rPr>
        <w:t>essed: 28.10.24).</w:t>
      </w:r>
    </w:p>
    <w:p w14:paraId="795A6F58" w14:textId="0B8B779A" w:rsidR="008B4E20" w:rsidRPr="00185C0A" w:rsidRDefault="008B4E20" w:rsidP="008B4E20">
      <w:pPr>
        <w:rPr>
          <w:lang w:val="en-US"/>
        </w:rPr>
      </w:pPr>
      <w:proofErr w:type="spellStart"/>
      <w:r w:rsidRPr="00185C0A">
        <w:t>Petruzella</w:t>
      </w:r>
      <w:proofErr w:type="spellEnd"/>
      <w:r w:rsidRPr="00185C0A">
        <w:t xml:space="preserve">, M. (2024) Chain of Causation, pp 8-19. Available at: </w:t>
      </w:r>
      <w:hyperlink r:id="rId12" w:tgtFrame="_blank" w:history="1">
        <w:r w:rsidRPr="00185C0A">
          <w:rPr>
            <w:rStyle w:val="Hyperlink"/>
          </w:rPr>
          <w:t>https://tcpls.domains.trincoll.edu/wp-content/uploads/2024/08/Petruzella-Chain-of-Causation-RSO-Edits.pdf</w:t>
        </w:r>
      </w:hyperlink>
      <w:r w:rsidRPr="00185C0A">
        <w:t xml:space="preserve">  (Accessed: 31.10.24).</w:t>
      </w:r>
      <w:r w:rsidRPr="00185C0A">
        <w:rPr>
          <w:lang w:val="en-US"/>
        </w:rPr>
        <w:t> </w:t>
      </w:r>
    </w:p>
    <w:p w14:paraId="0DE73149" w14:textId="77777777" w:rsidR="008B4E20" w:rsidRDefault="008B4E20" w:rsidP="00185C0A">
      <w:pPr>
        <w:rPr>
          <w:lang w:val="en-US"/>
        </w:rPr>
      </w:pPr>
    </w:p>
    <w:p w14:paraId="05CAEB4C" w14:textId="77777777" w:rsidR="0004104F" w:rsidRPr="00185C0A" w:rsidRDefault="0004104F" w:rsidP="0004104F">
      <w:r w:rsidRPr="00185C0A">
        <w:rPr>
          <w:u w:val="single"/>
        </w:rPr>
        <w:t xml:space="preserve">Case Law </w:t>
      </w:r>
      <w:r w:rsidRPr="00185C0A">
        <w:t> </w:t>
      </w:r>
    </w:p>
    <w:p w14:paraId="749EF1EB" w14:textId="208E4913" w:rsidR="00385474" w:rsidRDefault="0004104F" w:rsidP="0004104F">
      <w:r w:rsidRPr="00185C0A">
        <w:lastRenderedPageBreak/>
        <w:t>​</w:t>
      </w:r>
      <w:r w:rsidR="00385474">
        <w:t>Baker v Willoughby [1970] AC 467</w:t>
      </w:r>
    </w:p>
    <w:p w14:paraId="54B16A52" w14:textId="106E5AD2" w:rsidR="0004104F" w:rsidRDefault="0004104F" w:rsidP="0004104F">
      <w:r w:rsidRPr="00185C0A">
        <w:t>Barnett v Kensington &amp; Chelsea Management Committee [1969] 1 QB 428</w:t>
      </w:r>
      <w:r w:rsidRPr="00185C0A">
        <w:rPr>
          <w:lang w:val="en-US"/>
        </w:rPr>
        <w:t> </w:t>
      </w:r>
    </w:p>
    <w:p w14:paraId="3548AFF8" w14:textId="77777777" w:rsidR="0004104F" w:rsidRDefault="0004104F" w:rsidP="0004104F">
      <w:pPr>
        <w:rPr>
          <w:lang w:val="en-US"/>
        </w:rPr>
      </w:pPr>
      <w:r w:rsidRPr="00185C0A">
        <w:t>Bolam v Friern Hospital Management Committee [1957] 1 WLR 583</w:t>
      </w:r>
      <w:r w:rsidRPr="00185C0A">
        <w:rPr>
          <w:lang w:val="en-US"/>
        </w:rPr>
        <w:t> </w:t>
      </w:r>
    </w:p>
    <w:p w14:paraId="40939150" w14:textId="77777777" w:rsidR="0004104F" w:rsidRDefault="0004104F" w:rsidP="0004104F">
      <w:r w:rsidRPr="00185C0A">
        <w:t>Donoghue v Stevenson [1932] A.C. 562 </w:t>
      </w:r>
    </w:p>
    <w:p w14:paraId="35E33F54" w14:textId="7ED922DF" w:rsidR="00726F40" w:rsidRDefault="00726F40" w:rsidP="0004104F">
      <w:r>
        <w:t xml:space="preserve">Fairchild v </w:t>
      </w:r>
      <w:proofErr w:type="spellStart"/>
      <w:r>
        <w:t>Glenhaven</w:t>
      </w:r>
      <w:proofErr w:type="spellEnd"/>
      <w:r>
        <w:t xml:space="preserve"> Funeral Services Ltd [2002] UKHL 22</w:t>
      </w:r>
    </w:p>
    <w:p w14:paraId="783A8A31" w14:textId="77777777" w:rsidR="0004104F" w:rsidRDefault="0004104F" w:rsidP="0004104F">
      <w:pPr>
        <w:rPr>
          <w:lang w:val="en-US"/>
        </w:rPr>
      </w:pPr>
      <w:r>
        <w:rPr>
          <w:lang w:val="en-US"/>
        </w:rPr>
        <w:t>Smith v Leech Brain [1962] 2 QB 405</w:t>
      </w:r>
    </w:p>
    <w:p w14:paraId="78D47BB9" w14:textId="77777777" w:rsidR="0004104F" w:rsidRDefault="0004104F" w:rsidP="0004104F">
      <w:pPr>
        <w:rPr>
          <w:lang w:val="en-US"/>
        </w:rPr>
      </w:pPr>
      <w:r w:rsidRPr="00185C0A">
        <w:t xml:space="preserve">Wilson v Tyneside Window Cleaning Co [1958] 2 QB 110 </w:t>
      </w:r>
      <w:r w:rsidRPr="00185C0A">
        <w:rPr>
          <w:lang w:val="en-US"/>
        </w:rPr>
        <w:t> </w:t>
      </w:r>
    </w:p>
    <w:p w14:paraId="180EAB36" w14:textId="77777777" w:rsidR="0004104F" w:rsidRPr="00185C0A" w:rsidRDefault="0004104F" w:rsidP="00185C0A">
      <w:pPr>
        <w:rPr>
          <w:lang w:val="en-US"/>
        </w:rPr>
      </w:pPr>
    </w:p>
    <w:p w14:paraId="7FCD2FBB" w14:textId="3F97ECBB" w:rsidR="00185C0A" w:rsidRPr="00185C0A" w:rsidRDefault="00185C0A" w:rsidP="00185C0A">
      <w:pPr>
        <w:rPr>
          <w:lang w:val="en-US"/>
        </w:rPr>
      </w:pPr>
      <w:r w:rsidRPr="00185C0A">
        <w:t>​</w:t>
      </w:r>
    </w:p>
    <w:p w14:paraId="7DAD1B9B" w14:textId="51E89675" w:rsidR="00185C0A" w:rsidRPr="00185C0A" w:rsidRDefault="00185C0A" w:rsidP="00185C0A">
      <w:pPr>
        <w:rPr>
          <w:lang w:val="en-US"/>
        </w:rPr>
      </w:pPr>
      <w:r w:rsidRPr="00185C0A">
        <w:t>​</w:t>
      </w:r>
    </w:p>
    <w:p w14:paraId="7509011E" w14:textId="211D8AF1" w:rsidR="00185C0A" w:rsidRPr="00185C0A" w:rsidRDefault="00185C0A" w:rsidP="00185C0A">
      <w:pPr>
        <w:rPr>
          <w:lang w:val="en-US"/>
        </w:rPr>
      </w:pPr>
      <w:r w:rsidRPr="00185C0A">
        <w:t>​</w:t>
      </w:r>
    </w:p>
    <w:p w14:paraId="757CC6D1" w14:textId="05FA40B2" w:rsidR="00185C0A" w:rsidRPr="00185C0A" w:rsidRDefault="00185C0A" w:rsidP="00185C0A">
      <w:pPr>
        <w:rPr>
          <w:lang w:val="en-US"/>
        </w:rPr>
      </w:pPr>
      <w:r w:rsidRPr="00185C0A">
        <w:rPr>
          <w:u w:val="single"/>
        </w:rPr>
        <w:t>​</w:t>
      </w:r>
    </w:p>
    <w:p w14:paraId="4EE447EC" w14:textId="311A6361" w:rsidR="00185C0A" w:rsidRPr="00185C0A" w:rsidRDefault="00185C0A" w:rsidP="00185C0A">
      <w:pPr>
        <w:rPr>
          <w:lang w:val="en-US"/>
        </w:rPr>
      </w:pPr>
      <w:r w:rsidRPr="00185C0A">
        <w:t>​</w:t>
      </w:r>
    </w:p>
    <w:p w14:paraId="5CC251F3" w14:textId="77777777" w:rsidR="00185C0A" w:rsidRDefault="00185C0A">
      <w:pPr>
        <w:rPr>
          <w:lang w:val="en-US"/>
        </w:rPr>
      </w:pPr>
    </w:p>
    <w:p w14:paraId="285BA867" w14:textId="77777777" w:rsidR="00E764C6" w:rsidRDefault="00E764C6">
      <w:pPr>
        <w:rPr>
          <w:lang w:val="en-US"/>
        </w:rPr>
      </w:pPr>
    </w:p>
    <w:p w14:paraId="55E5342E" w14:textId="77777777" w:rsidR="00E764C6" w:rsidRDefault="00E764C6">
      <w:pPr>
        <w:rPr>
          <w:lang w:val="en-US"/>
        </w:rPr>
      </w:pPr>
    </w:p>
    <w:p w14:paraId="549C643B" w14:textId="77777777" w:rsidR="00E764C6" w:rsidRDefault="00E764C6">
      <w:pPr>
        <w:rPr>
          <w:lang w:val="en-US"/>
        </w:rPr>
      </w:pPr>
    </w:p>
    <w:p w14:paraId="29A98DF1" w14:textId="77777777" w:rsidR="00E764C6" w:rsidRDefault="00E764C6">
      <w:pPr>
        <w:rPr>
          <w:lang w:val="en-US"/>
        </w:rPr>
      </w:pPr>
    </w:p>
    <w:p w14:paraId="53CE8045" w14:textId="77777777" w:rsidR="00E764C6" w:rsidRPr="008D2CD4" w:rsidRDefault="00E764C6">
      <w:pPr>
        <w:rPr>
          <w:lang w:val="en-US"/>
        </w:rPr>
      </w:pPr>
    </w:p>
    <w:sectPr w:rsidR="00E764C6" w:rsidRPr="008D2CD4" w:rsidSect="004C05F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CB3"/>
    <w:rsid w:val="00015CB3"/>
    <w:rsid w:val="0004104F"/>
    <w:rsid w:val="00085DB2"/>
    <w:rsid w:val="000B1FD2"/>
    <w:rsid w:val="001025CB"/>
    <w:rsid w:val="00113BDB"/>
    <w:rsid w:val="001400C7"/>
    <w:rsid w:val="00174580"/>
    <w:rsid w:val="00185C0A"/>
    <w:rsid w:val="001A7F90"/>
    <w:rsid w:val="00244C50"/>
    <w:rsid w:val="00283B8E"/>
    <w:rsid w:val="00287608"/>
    <w:rsid w:val="002959DA"/>
    <w:rsid w:val="002E1CD5"/>
    <w:rsid w:val="00332671"/>
    <w:rsid w:val="00385474"/>
    <w:rsid w:val="003A6A84"/>
    <w:rsid w:val="003C2E56"/>
    <w:rsid w:val="003D4021"/>
    <w:rsid w:val="003E3767"/>
    <w:rsid w:val="00415F0C"/>
    <w:rsid w:val="00437DBC"/>
    <w:rsid w:val="0047607B"/>
    <w:rsid w:val="0047795F"/>
    <w:rsid w:val="004C05F6"/>
    <w:rsid w:val="0051211B"/>
    <w:rsid w:val="00536A6B"/>
    <w:rsid w:val="005B2FCC"/>
    <w:rsid w:val="005D02A3"/>
    <w:rsid w:val="005D701C"/>
    <w:rsid w:val="00627D43"/>
    <w:rsid w:val="006E47AB"/>
    <w:rsid w:val="00726F40"/>
    <w:rsid w:val="00731FEC"/>
    <w:rsid w:val="00733436"/>
    <w:rsid w:val="00765C2C"/>
    <w:rsid w:val="007A12D1"/>
    <w:rsid w:val="007C32FE"/>
    <w:rsid w:val="007E7D20"/>
    <w:rsid w:val="008147A3"/>
    <w:rsid w:val="008357E9"/>
    <w:rsid w:val="008637D6"/>
    <w:rsid w:val="008A1A2A"/>
    <w:rsid w:val="008B2643"/>
    <w:rsid w:val="008B3373"/>
    <w:rsid w:val="008B4E20"/>
    <w:rsid w:val="008D2CD4"/>
    <w:rsid w:val="009656C4"/>
    <w:rsid w:val="009963D5"/>
    <w:rsid w:val="009A3116"/>
    <w:rsid w:val="009A3D69"/>
    <w:rsid w:val="009D3133"/>
    <w:rsid w:val="00A8470B"/>
    <w:rsid w:val="00A92AB8"/>
    <w:rsid w:val="00AC5D97"/>
    <w:rsid w:val="00AD16F4"/>
    <w:rsid w:val="00AE1911"/>
    <w:rsid w:val="00B03700"/>
    <w:rsid w:val="00B63EC5"/>
    <w:rsid w:val="00B76B37"/>
    <w:rsid w:val="00B934E1"/>
    <w:rsid w:val="00BD3C6C"/>
    <w:rsid w:val="00C42AA1"/>
    <w:rsid w:val="00C43E01"/>
    <w:rsid w:val="00CE5E5D"/>
    <w:rsid w:val="00D92162"/>
    <w:rsid w:val="00D9435F"/>
    <w:rsid w:val="00DD6CB7"/>
    <w:rsid w:val="00E1733E"/>
    <w:rsid w:val="00E3167E"/>
    <w:rsid w:val="00E41F84"/>
    <w:rsid w:val="00E57736"/>
    <w:rsid w:val="00E764C6"/>
    <w:rsid w:val="00EB058D"/>
    <w:rsid w:val="00EC1A1C"/>
    <w:rsid w:val="00EE20AC"/>
    <w:rsid w:val="00F1473A"/>
    <w:rsid w:val="00FE75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BBFAC"/>
  <w15:chartTrackingRefBased/>
  <w15:docId w15:val="{1AD41833-9535-43BD-813D-6BE96E57C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CB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15CB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15CB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5CB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5CB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5C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C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C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C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CB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15C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15CB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5CB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5CB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5C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C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C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CB3"/>
    <w:rPr>
      <w:rFonts w:eastAsiaTheme="majorEastAsia" w:cstheme="majorBidi"/>
      <w:color w:val="272727" w:themeColor="text1" w:themeTint="D8"/>
    </w:rPr>
  </w:style>
  <w:style w:type="paragraph" w:styleId="Title">
    <w:name w:val="Title"/>
    <w:basedOn w:val="Normal"/>
    <w:next w:val="Normal"/>
    <w:link w:val="TitleChar"/>
    <w:uiPriority w:val="10"/>
    <w:qFormat/>
    <w:rsid w:val="00015C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C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C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C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CB3"/>
    <w:pPr>
      <w:spacing w:before="160"/>
      <w:jc w:val="center"/>
    </w:pPr>
    <w:rPr>
      <w:i/>
      <w:iCs/>
      <w:color w:val="404040" w:themeColor="text1" w:themeTint="BF"/>
    </w:rPr>
  </w:style>
  <w:style w:type="character" w:customStyle="1" w:styleId="QuoteChar">
    <w:name w:val="Quote Char"/>
    <w:basedOn w:val="DefaultParagraphFont"/>
    <w:link w:val="Quote"/>
    <w:uiPriority w:val="29"/>
    <w:rsid w:val="00015CB3"/>
    <w:rPr>
      <w:i/>
      <w:iCs/>
      <w:color w:val="404040" w:themeColor="text1" w:themeTint="BF"/>
    </w:rPr>
  </w:style>
  <w:style w:type="paragraph" w:styleId="ListParagraph">
    <w:name w:val="List Paragraph"/>
    <w:basedOn w:val="Normal"/>
    <w:uiPriority w:val="34"/>
    <w:qFormat/>
    <w:rsid w:val="00015CB3"/>
    <w:pPr>
      <w:ind w:left="720"/>
      <w:contextualSpacing/>
    </w:pPr>
  </w:style>
  <w:style w:type="character" w:styleId="IntenseEmphasis">
    <w:name w:val="Intense Emphasis"/>
    <w:basedOn w:val="DefaultParagraphFont"/>
    <w:uiPriority w:val="21"/>
    <w:qFormat/>
    <w:rsid w:val="00015CB3"/>
    <w:rPr>
      <w:i/>
      <w:iCs/>
      <w:color w:val="2F5496" w:themeColor="accent1" w:themeShade="BF"/>
    </w:rPr>
  </w:style>
  <w:style w:type="paragraph" w:styleId="IntenseQuote">
    <w:name w:val="Intense Quote"/>
    <w:basedOn w:val="Normal"/>
    <w:next w:val="Normal"/>
    <w:link w:val="IntenseQuoteChar"/>
    <w:uiPriority w:val="30"/>
    <w:qFormat/>
    <w:rsid w:val="00015C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5CB3"/>
    <w:rPr>
      <w:i/>
      <w:iCs/>
      <w:color w:val="2F5496" w:themeColor="accent1" w:themeShade="BF"/>
    </w:rPr>
  </w:style>
  <w:style w:type="character" w:styleId="IntenseReference">
    <w:name w:val="Intense Reference"/>
    <w:basedOn w:val="DefaultParagraphFont"/>
    <w:uiPriority w:val="32"/>
    <w:qFormat/>
    <w:rsid w:val="00015CB3"/>
    <w:rPr>
      <w:b/>
      <w:bCs/>
      <w:smallCaps/>
      <w:color w:val="2F5496" w:themeColor="accent1" w:themeShade="BF"/>
      <w:spacing w:val="5"/>
    </w:rPr>
  </w:style>
  <w:style w:type="paragraph" w:styleId="NoSpacing">
    <w:name w:val="No Spacing"/>
    <w:link w:val="NoSpacingChar"/>
    <w:uiPriority w:val="1"/>
    <w:qFormat/>
    <w:rsid w:val="004C05F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05F6"/>
    <w:rPr>
      <w:rFonts w:eastAsiaTheme="minorEastAsia"/>
      <w:kern w:val="0"/>
      <w:lang w:val="en-US"/>
      <w14:ligatures w14:val="none"/>
    </w:rPr>
  </w:style>
  <w:style w:type="character" w:styleId="Hyperlink">
    <w:name w:val="Hyperlink"/>
    <w:basedOn w:val="DefaultParagraphFont"/>
    <w:uiPriority w:val="99"/>
    <w:unhideWhenUsed/>
    <w:rsid w:val="00185C0A"/>
    <w:rPr>
      <w:color w:val="0563C1" w:themeColor="hyperlink"/>
      <w:u w:val="single"/>
    </w:rPr>
  </w:style>
  <w:style w:type="character" w:styleId="UnresolvedMention">
    <w:name w:val="Unresolved Mention"/>
    <w:basedOn w:val="DefaultParagraphFont"/>
    <w:uiPriority w:val="99"/>
    <w:semiHidden/>
    <w:unhideWhenUsed/>
    <w:rsid w:val="00185C0A"/>
    <w:rPr>
      <w:color w:val="605E5C"/>
      <w:shd w:val="clear" w:color="auto" w:fill="E1DFDD"/>
    </w:rPr>
  </w:style>
  <w:style w:type="character" w:styleId="CommentReference">
    <w:name w:val="annotation reference"/>
    <w:basedOn w:val="DefaultParagraphFont"/>
    <w:uiPriority w:val="99"/>
    <w:semiHidden/>
    <w:unhideWhenUsed/>
    <w:rsid w:val="009A3116"/>
    <w:rPr>
      <w:sz w:val="16"/>
      <w:szCs w:val="16"/>
    </w:rPr>
  </w:style>
  <w:style w:type="paragraph" w:styleId="CommentText">
    <w:name w:val="annotation text"/>
    <w:basedOn w:val="Normal"/>
    <w:link w:val="CommentTextChar"/>
    <w:uiPriority w:val="99"/>
    <w:unhideWhenUsed/>
    <w:rsid w:val="009A3116"/>
    <w:pPr>
      <w:spacing w:line="240" w:lineRule="auto"/>
    </w:pPr>
    <w:rPr>
      <w:sz w:val="20"/>
      <w:szCs w:val="20"/>
    </w:rPr>
  </w:style>
  <w:style w:type="character" w:customStyle="1" w:styleId="CommentTextChar">
    <w:name w:val="Comment Text Char"/>
    <w:basedOn w:val="DefaultParagraphFont"/>
    <w:link w:val="CommentText"/>
    <w:uiPriority w:val="99"/>
    <w:rsid w:val="009A3116"/>
    <w:rPr>
      <w:sz w:val="20"/>
      <w:szCs w:val="20"/>
    </w:rPr>
  </w:style>
  <w:style w:type="paragraph" w:styleId="CommentSubject">
    <w:name w:val="annotation subject"/>
    <w:basedOn w:val="CommentText"/>
    <w:next w:val="CommentText"/>
    <w:link w:val="CommentSubjectChar"/>
    <w:uiPriority w:val="99"/>
    <w:semiHidden/>
    <w:unhideWhenUsed/>
    <w:rsid w:val="009A3116"/>
    <w:rPr>
      <w:b/>
      <w:bCs/>
    </w:rPr>
  </w:style>
  <w:style w:type="character" w:customStyle="1" w:styleId="CommentSubjectChar">
    <w:name w:val="Comment Subject Char"/>
    <w:basedOn w:val="CommentTextChar"/>
    <w:link w:val="CommentSubject"/>
    <w:uiPriority w:val="99"/>
    <w:semiHidden/>
    <w:rsid w:val="009A311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037926">
      <w:bodyDiv w:val="1"/>
      <w:marLeft w:val="0"/>
      <w:marRight w:val="0"/>
      <w:marTop w:val="0"/>
      <w:marBottom w:val="0"/>
      <w:divBdr>
        <w:top w:val="none" w:sz="0" w:space="0" w:color="auto"/>
        <w:left w:val="none" w:sz="0" w:space="0" w:color="auto"/>
        <w:bottom w:val="none" w:sz="0" w:space="0" w:color="auto"/>
        <w:right w:val="none" w:sz="0" w:space="0" w:color="auto"/>
      </w:divBdr>
      <w:divsChild>
        <w:div w:id="1564366818">
          <w:marLeft w:val="0"/>
          <w:marRight w:val="0"/>
          <w:marTop w:val="0"/>
          <w:marBottom w:val="0"/>
          <w:divBdr>
            <w:top w:val="none" w:sz="0" w:space="0" w:color="auto"/>
            <w:left w:val="none" w:sz="0" w:space="0" w:color="auto"/>
            <w:bottom w:val="none" w:sz="0" w:space="0" w:color="auto"/>
            <w:right w:val="none" w:sz="0" w:space="0" w:color="auto"/>
          </w:divBdr>
          <w:divsChild>
            <w:div w:id="983850500">
              <w:marLeft w:val="0"/>
              <w:marRight w:val="0"/>
              <w:marTop w:val="0"/>
              <w:marBottom w:val="0"/>
              <w:divBdr>
                <w:top w:val="none" w:sz="0" w:space="0" w:color="auto"/>
                <w:left w:val="none" w:sz="0" w:space="0" w:color="auto"/>
                <w:bottom w:val="none" w:sz="0" w:space="0" w:color="auto"/>
                <w:right w:val="none" w:sz="0" w:space="0" w:color="auto"/>
              </w:divBdr>
              <w:divsChild>
                <w:div w:id="1429231153">
                  <w:marLeft w:val="0"/>
                  <w:marRight w:val="0"/>
                  <w:marTop w:val="0"/>
                  <w:marBottom w:val="0"/>
                  <w:divBdr>
                    <w:top w:val="none" w:sz="0" w:space="0" w:color="auto"/>
                    <w:left w:val="none" w:sz="0" w:space="0" w:color="auto"/>
                    <w:bottom w:val="none" w:sz="0" w:space="0" w:color="auto"/>
                    <w:right w:val="none" w:sz="0" w:space="0" w:color="auto"/>
                  </w:divBdr>
                  <w:divsChild>
                    <w:div w:id="56819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913874">
          <w:marLeft w:val="0"/>
          <w:marRight w:val="0"/>
          <w:marTop w:val="0"/>
          <w:marBottom w:val="0"/>
          <w:divBdr>
            <w:top w:val="none" w:sz="0" w:space="0" w:color="auto"/>
            <w:left w:val="none" w:sz="0" w:space="0" w:color="auto"/>
            <w:bottom w:val="none" w:sz="0" w:space="0" w:color="auto"/>
            <w:right w:val="none" w:sz="0" w:space="0" w:color="auto"/>
          </w:divBdr>
          <w:divsChild>
            <w:div w:id="19936617">
              <w:marLeft w:val="0"/>
              <w:marRight w:val="0"/>
              <w:marTop w:val="0"/>
              <w:marBottom w:val="0"/>
              <w:divBdr>
                <w:top w:val="none" w:sz="0" w:space="0" w:color="auto"/>
                <w:left w:val="none" w:sz="0" w:space="0" w:color="auto"/>
                <w:bottom w:val="none" w:sz="0" w:space="0" w:color="auto"/>
                <w:right w:val="none" w:sz="0" w:space="0" w:color="auto"/>
              </w:divBdr>
              <w:divsChild>
                <w:div w:id="1202400349">
                  <w:marLeft w:val="0"/>
                  <w:marRight w:val="0"/>
                  <w:marTop w:val="0"/>
                  <w:marBottom w:val="0"/>
                  <w:divBdr>
                    <w:top w:val="none" w:sz="0" w:space="0" w:color="auto"/>
                    <w:left w:val="none" w:sz="0" w:space="0" w:color="auto"/>
                    <w:bottom w:val="none" w:sz="0" w:space="0" w:color="auto"/>
                    <w:right w:val="none" w:sz="0" w:space="0" w:color="auto"/>
                  </w:divBdr>
                  <w:divsChild>
                    <w:div w:id="14929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424859">
      <w:bodyDiv w:val="1"/>
      <w:marLeft w:val="0"/>
      <w:marRight w:val="0"/>
      <w:marTop w:val="0"/>
      <w:marBottom w:val="0"/>
      <w:divBdr>
        <w:top w:val="none" w:sz="0" w:space="0" w:color="auto"/>
        <w:left w:val="none" w:sz="0" w:space="0" w:color="auto"/>
        <w:bottom w:val="none" w:sz="0" w:space="0" w:color="auto"/>
        <w:right w:val="none" w:sz="0" w:space="0" w:color="auto"/>
      </w:divBdr>
      <w:divsChild>
        <w:div w:id="419986076">
          <w:marLeft w:val="0"/>
          <w:marRight w:val="0"/>
          <w:marTop w:val="0"/>
          <w:marBottom w:val="0"/>
          <w:divBdr>
            <w:top w:val="none" w:sz="0" w:space="0" w:color="auto"/>
            <w:left w:val="none" w:sz="0" w:space="0" w:color="auto"/>
            <w:bottom w:val="none" w:sz="0" w:space="0" w:color="auto"/>
            <w:right w:val="none" w:sz="0" w:space="0" w:color="auto"/>
          </w:divBdr>
        </w:div>
        <w:div w:id="1889875332">
          <w:marLeft w:val="0"/>
          <w:marRight w:val="0"/>
          <w:marTop w:val="0"/>
          <w:marBottom w:val="0"/>
          <w:divBdr>
            <w:top w:val="none" w:sz="0" w:space="0" w:color="auto"/>
            <w:left w:val="none" w:sz="0" w:space="0" w:color="auto"/>
            <w:bottom w:val="none" w:sz="0" w:space="0" w:color="auto"/>
            <w:right w:val="none" w:sz="0" w:space="0" w:color="auto"/>
          </w:divBdr>
        </w:div>
        <w:div w:id="785463441">
          <w:marLeft w:val="0"/>
          <w:marRight w:val="0"/>
          <w:marTop w:val="0"/>
          <w:marBottom w:val="0"/>
          <w:divBdr>
            <w:top w:val="none" w:sz="0" w:space="0" w:color="auto"/>
            <w:left w:val="none" w:sz="0" w:space="0" w:color="auto"/>
            <w:bottom w:val="none" w:sz="0" w:space="0" w:color="auto"/>
            <w:right w:val="none" w:sz="0" w:space="0" w:color="auto"/>
          </w:divBdr>
        </w:div>
        <w:div w:id="983629979">
          <w:marLeft w:val="0"/>
          <w:marRight w:val="0"/>
          <w:marTop w:val="0"/>
          <w:marBottom w:val="0"/>
          <w:divBdr>
            <w:top w:val="none" w:sz="0" w:space="0" w:color="auto"/>
            <w:left w:val="none" w:sz="0" w:space="0" w:color="auto"/>
            <w:bottom w:val="none" w:sz="0" w:space="0" w:color="auto"/>
            <w:right w:val="none" w:sz="0" w:space="0" w:color="auto"/>
          </w:divBdr>
        </w:div>
        <w:div w:id="1015578330">
          <w:marLeft w:val="0"/>
          <w:marRight w:val="0"/>
          <w:marTop w:val="0"/>
          <w:marBottom w:val="0"/>
          <w:divBdr>
            <w:top w:val="none" w:sz="0" w:space="0" w:color="auto"/>
            <w:left w:val="none" w:sz="0" w:space="0" w:color="auto"/>
            <w:bottom w:val="none" w:sz="0" w:space="0" w:color="auto"/>
            <w:right w:val="none" w:sz="0" w:space="0" w:color="auto"/>
          </w:divBdr>
        </w:div>
      </w:divsChild>
    </w:div>
    <w:div w:id="541023042">
      <w:bodyDiv w:val="1"/>
      <w:marLeft w:val="0"/>
      <w:marRight w:val="0"/>
      <w:marTop w:val="0"/>
      <w:marBottom w:val="0"/>
      <w:divBdr>
        <w:top w:val="none" w:sz="0" w:space="0" w:color="auto"/>
        <w:left w:val="none" w:sz="0" w:space="0" w:color="auto"/>
        <w:bottom w:val="none" w:sz="0" w:space="0" w:color="auto"/>
        <w:right w:val="none" w:sz="0" w:space="0" w:color="auto"/>
      </w:divBdr>
      <w:divsChild>
        <w:div w:id="1450121462">
          <w:marLeft w:val="0"/>
          <w:marRight w:val="0"/>
          <w:marTop w:val="0"/>
          <w:marBottom w:val="0"/>
          <w:divBdr>
            <w:top w:val="none" w:sz="0" w:space="0" w:color="auto"/>
            <w:left w:val="none" w:sz="0" w:space="0" w:color="auto"/>
            <w:bottom w:val="none" w:sz="0" w:space="0" w:color="auto"/>
            <w:right w:val="none" w:sz="0" w:space="0" w:color="auto"/>
          </w:divBdr>
        </w:div>
        <w:div w:id="740253080">
          <w:marLeft w:val="0"/>
          <w:marRight w:val="0"/>
          <w:marTop w:val="0"/>
          <w:marBottom w:val="0"/>
          <w:divBdr>
            <w:top w:val="none" w:sz="0" w:space="0" w:color="auto"/>
            <w:left w:val="none" w:sz="0" w:space="0" w:color="auto"/>
            <w:bottom w:val="none" w:sz="0" w:space="0" w:color="auto"/>
            <w:right w:val="none" w:sz="0" w:space="0" w:color="auto"/>
          </w:divBdr>
        </w:div>
        <w:div w:id="780875820">
          <w:marLeft w:val="0"/>
          <w:marRight w:val="0"/>
          <w:marTop w:val="0"/>
          <w:marBottom w:val="0"/>
          <w:divBdr>
            <w:top w:val="none" w:sz="0" w:space="0" w:color="auto"/>
            <w:left w:val="none" w:sz="0" w:space="0" w:color="auto"/>
            <w:bottom w:val="none" w:sz="0" w:space="0" w:color="auto"/>
            <w:right w:val="none" w:sz="0" w:space="0" w:color="auto"/>
          </w:divBdr>
        </w:div>
        <w:div w:id="2021002788">
          <w:marLeft w:val="0"/>
          <w:marRight w:val="0"/>
          <w:marTop w:val="0"/>
          <w:marBottom w:val="0"/>
          <w:divBdr>
            <w:top w:val="none" w:sz="0" w:space="0" w:color="auto"/>
            <w:left w:val="none" w:sz="0" w:space="0" w:color="auto"/>
            <w:bottom w:val="none" w:sz="0" w:space="0" w:color="auto"/>
            <w:right w:val="none" w:sz="0" w:space="0" w:color="auto"/>
          </w:divBdr>
        </w:div>
        <w:div w:id="117721860">
          <w:marLeft w:val="0"/>
          <w:marRight w:val="0"/>
          <w:marTop w:val="0"/>
          <w:marBottom w:val="0"/>
          <w:divBdr>
            <w:top w:val="none" w:sz="0" w:space="0" w:color="auto"/>
            <w:left w:val="none" w:sz="0" w:space="0" w:color="auto"/>
            <w:bottom w:val="none" w:sz="0" w:space="0" w:color="auto"/>
            <w:right w:val="none" w:sz="0" w:space="0" w:color="auto"/>
          </w:divBdr>
        </w:div>
        <w:div w:id="93327454">
          <w:marLeft w:val="0"/>
          <w:marRight w:val="0"/>
          <w:marTop w:val="0"/>
          <w:marBottom w:val="0"/>
          <w:divBdr>
            <w:top w:val="none" w:sz="0" w:space="0" w:color="auto"/>
            <w:left w:val="none" w:sz="0" w:space="0" w:color="auto"/>
            <w:bottom w:val="none" w:sz="0" w:space="0" w:color="auto"/>
            <w:right w:val="none" w:sz="0" w:space="0" w:color="auto"/>
          </w:divBdr>
        </w:div>
        <w:div w:id="2081632875">
          <w:marLeft w:val="0"/>
          <w:marRight w:val="0"/>
          <w:marTop w:val="0"/>
          <w:marBottom w:val="0"/>
          <w:divBdr>
            <w:top w:val="none" w:sz="0" w:space="0" w:color="auto"/>
            <w:left w:val="none" w:sz="0" w:space="0" w:color="auto"/>
            <w:bottom w:val="none" w:sz="0" w:space="0" w:color="auto"/>
            <w:right w:val="none" w:sz="0" w:space="0" w:color="auto"/>
          </w:divBdr>
        </w:div>
        <w:div w:id="1209611921">
          <w:marLeft w:val="0"/>
          <w:marRight w:val="0"/>
          <w:marTop w:val="0"/>
          <w:marBottom w:val="0"/>
          <w:divBdr>
            <w:top w:val="none" w:sz="0" w:space="0" w:color="auto"/>
            <w:left w:val="none" w:sz="0" w:space="0" w:color="auto"/>
            <w:bottom w:val="none" w:sz="0" w:space="0" w:color="auto"/>
            <w:right w:val="none" w:sz="0" w:space="0" w:color="auto"/>
          </w:divBdr>
        </w:div>
        <w:div w:id="2078474687">
          <w:marLeft w:val="0"/>
          <w:marRight w:val="0"/>
          <w:marTop w:val="0"/>
          <w:marBottom w:val="0"/>
          <w:divBdr>
            <w:top w:val="none" w:sz="0" w:space="0" w:color="auto"/>
            <w:left w:val="none" w:sz="0" w:space="0" w:color="auto"/>
            <w:bottom w:val="none" w:sz="0" w:space="0" w:color="auto"/>
            <w:right w:val="none" w:sz="0" w:space="0" w:color="auto"/>
          </w:divBdr>
        </w:div>
        <w:div w:id="363412261">
          <w:marLeft w:val="0"/>
          <w:marRight w:val="0"/>
          <w:marTop w:val="0"/>
          <w:marBottom w:val="0"/>
          <w:divBdr>
            <w:top w:val="none" w:sz="0" w:space="0" w:color="auto"/>
            <w:left w:val="none" w:sz="0" w:space="0" w:color="auto"/>
            <w:bottom w:val="none" w:sz="0" w:space="0" w:color="auto"/>
            <w:right w:val="none" w:sz="0" w:space="0" w:color="auto"/>
          </w:divBdr>
        </w:div>
        <w:div w:id="344286913">
          <w:marLeft w:val="0"/>
          <w:marRight w:val="0"/>
          <w:marTop w:val="0"/>
          <w:marBottom w:val="0"/>
          <w:divBdr>
            <w:top w:val="none" w:sz="0" w:space="0" w:color="auto"/>
            <w:left w:val="none" w:sz="0" w:space="0" w:color="auto"/>
            <w:bottom w:val="none" w:sz="0" w:space="0" w:color="auto"/>
            <w:right w:val="none" w:sz="0" w:space="0" w:color="auto"/>
          </w:divBdr>
        </w:div>
        <w:div w:id="753089095">
          <w:marLeft w:val="0"/>
          <w:marRight w:val="0"/>
          <w:marTop w:val="0"/>
          <w:marBottom w:val="0"/>
          <w:divBdr>
            <w:top w:val="none" w:sz="0" w:space="0" w:color="auto"/>
            <w:left w:val="none" w:sz="0" w:space="0" w:color="auto"/>
            <w:bottom w:val="none" w:sz="0" w:space="0" w:color="auto"/>
            <w:right w:val="none" w:sz="0" w:space="0" w:color="auto"/>
          </w:divBdr>
        </w:div>
        <w:div w:id="1603606535">
          <w:marLeft w:val="0"/>
          <w:marRight w:val="0"/>
          <w:marTop w:val="0"/>
          <w:marBottom w:val="0"/>
          <w:divBdr>
            <w:top w:val="none" w:sz="0" w:space="0" w:color="auto"/>
            <w:left w:val="none" w:sz="0" w:space="0" w:color="auto"/>
            <w:bottom w:val="none" w:sz="0" w:space="0" w:color="auto"/>
            <w:right w:val="none" w:sz="0" w:space="0" w:color="auto"/>
          </w:divBdr>
        </w:div>
        <w:div w:id="1349407288">
          <w:marLeft w:val="0"/>
          <w:marRight w:val="0"/>
          <w:marTop w:val="0"/>
          <w:marBottom w:val="0"/>
          <w:divBdr>
            <w:top w:val="none" w:sz="0" w:space="0" w:color="auto"/>
            <w:left w:val="none" w:sz="0" w:space="0" w:color="auto"/>
            <w:bottom w:val="none" w:sz="0" w:space="0" w:color="auto"/>
            <w:right w:val="none" w:sz="0" w:space="0" w:color="auto"/>
          </w:divBdr>
        </w:div>
        <w:div w:id="1622416862">
          <w:marLeft w:val="0"/>
          <w:marRight w:val="0"/>
          <w:marTop w:val="0"/>
          <w:marBottom w:val="0"/>
          <w:divBdr>
            <w:top w:val="none" w:sz="0" w:space="0" w:color="auto"/>
            <w:left w:val="none" w:sz="0" w:space="0" w:color="auto"/>
            <w:bottom w:val="none" w:sz="0" w:space="0" w:color="auto"/>
            <w:right w:val="none" w:sz="0" w:space="0" w:color="auto"/>
          </w:divBdr>
        </w:div>
        <w:div w:id="1827285738">
          <w:marLeft w:val="0"/>
          <w:marRight w:val="0"/>
          <w:marTop w:val="0"/>
          <w:marBottom w:val="0"/>
          <w:divBdr>
            <w:top w:val="none" w:sz="0" w:space="0" w:color="auto"/>
            <w:left w:val="none" w:sz="0" w:space="0" w:color="auto"/>
            <w:bottom w:val="none" w:sz="0" w:space="0" w:color="auto"/>
            <w:right w:val="none" w:sz="0" w:space="0" w:color="auto"/>
          </w:divBdr>
        </w:div>
        <w:div w:id="1448087675">
          <w:marLeft w:val="0"/>
          <w:marRight w:val="0"/>
          <w:marTop w:val="0"/>
          <w:marBottom w:val="0"/>
          <w:divBdr>
            <w:top w:val="none" w:sz="0" w:space="0" w:color="auto"/>
            <w:left w:val="none" w:sz="0" w:space="0" w:color="auto"/>
            <w:bottom w:val="none" w:sz="0" w:space="0" w:color="auto"/>
            <w:right w:val="none" w:sz="0" w:space="0" w:color="auto"/>
          </w:divBdr>
        </w:div>
        <w:div w:id="1545632581">
          <w:marLeft w:val="0"/>
          <w:marRight w:val="0"/>
          <w:marTop w:val="0"/>
          <w:marBottom w:val="0"/>
          <w:divBdr>
            <w:top w:val="none" w:sz="0" w:space="0" w:color="auto"/>
            <w:left w:val="none" w:sz="0" w:space="0" w:color="auto"/>
            <w:bottom w:val="none" w:sz="0" w:space="0" w:color="auto"/>
            <w:right w:val="none" w:sz="0" w:space="0" w:color="auto"/>
          </w:divBdr>
        </w:div>
      </w:divsChild>
    </w:div>
    <w:div w:id="718632924">
      <w:bodyDiv w:val="1"/>
      <w:marLeft w:val="0"/>
      <w:marRight w:val="0"/>
      <w:marTop w:val="0"/>
      <w:marBottom w:val="0"/>
      <w:divBdr>
        <w:top w:val="none" w:sz="0" w:space="0" w:color="auto"/>
        <w:left w:val="none" w:sz="0" w:space="0" w:color="auto"/>
        <w:bottom w:val="none" w:sz="0" w:space="0" w:color="auto"/>
        <w:right w:val="none" w:sz="0" w:space="0" w:color="auto"/>
      </w:divBdr>
      <w:divsChild>
        <w:div w:id="256712478">
          <w:marLeft w:val="0"/>
          <w:marRight w:val="0"/>
          <w:marTop w:val="0"/>
          <w:marBottom w:val="0"/>
          <w:divBdr>
            <w:top w:val="none" w:sz="0" w:space="0" w:color="auto"/>
            <w:left w:val="none" w:sz="0" w:space="0" w:color="auto"/>
            <w:bottom w:val="none" w:sz="0" w:space="0" w:color="auto"/>
            <w:right w:val="none" w:sz="0" w:space="0" w:color="auto"/>
          </w:divBdr>
        </w:div>
        <w:div w:id="1166703635">
          <w:marLeft w:val="0"/>
          <w:marRight w:val="0"/>
          <w:marTop w:val="0"/>
          <w:marBottom w:val="0"/>
          <w:divBdr>
            <w:top w:val="none" w:sz="0" w:space="0" w:color="auto"/>
            <w:left w:val="none" w:sz="0" w:space="0" w:color="auto"/>
            <w:bottom w:val="none" w:sz="0" w:space="0" w:color="auto"/>
            <w:right w:val="none" w:sz="0" w:space="0" w:color="auto"/>
          </w:divBdr>
        </w:div>
        <w:div w:id="467673508">
          <w:marLeft w:val="0"/>
          <w:marRight w:val="0"/>
          <w:marTop w:val="0"/>
          <w:marBottom w:val="0"/>
          <w:divBdr>
            <w:top w:val="none" w:sz="0" w:space="0" w:color="auto"/>
            <w:left w:val="none" w:sz="0" w:space="0" w:color="auto"/>
            <w:bottom w:val="none" w:sz="0" w:space="0" w:color="auto"/>
            <w:right w:val="none" w:sz="0" w:space="0" w:color="auto"/>
          </w:divBdr>
        </w:div>
      </w:divsChild>
    </w:div>
    <w:div w:id="766316100">
      <w:bodyDiv w:val="1"/>
      <w:marLeft w:val="0"/>
      <w:marRight w:val="0"/>
      <w:marTop w:val="0"/>
      <w:marBottom w:val="0"/>
      <w:divBdr>
        <w:top w:val="none" w:sz="0" w:space="0" w:color="auto"/>
        <w:left w:val="none" w:sz="0" w:space="0" w:color="auto"/>
        <w:bottom w:val="none" w:sz="0" w:space="0" w:color="auto"/>
        <w:right w:val="none" w:sz="0" w:space="0" w:color="auto"/>
      </w:divBdr>
      <w:divsChild>
        <w:div w:id="1450205422">
          <w:marLeft w:val="0"/>
          <w:marRight w:val="0"/>
          <w:marTop w:val="0"/>
          <w:marBottom w:val="0"/>
          <w:divBdr>
            <w:top w:val="none" w:sz="0" w:space="0" w:color="auto"/>
            <w:left w:val="none" w:sz="0" w:space="0" w:color="auto"/>
            <w:bottom w:val="none" w:sz="0" w:space="0" w:color="auto"/>
            <w:right w:val="none" w:sz="0" w:space="0" w:color="auto"/>
          </w:divBdr>
          <w:divsChild>
            <w:div w:id="1666205289">
              <w:marLeft w:val="0"/>
              <w:marRight w:val="0"/>
              <w:marTop w:val="0"/>
              <w:marBottom w:val="0"/>
              <w:divBdr>
                <w:top w:val="none" w:sz="0" w:space="0" w:color="auto"/>
                <w:left w:val="none" w:sz="0" w:space="0" w:color="auto"/>
                <w:bottom w:val="none" w:sz="0" w:space="0" w:color="auto"/>
                <w:right w:val="none" w:sz="0" w:space="0" w:color="auto"/>
              </w:divBdr>
              <w:divsChild>
                <w:div w:id="1850244751">
                  <w:marLeft w:val="0"/>
                  <w:marRight w:val="0"/>
                  <w:marTop w:val="0"/>
                  <w:marBottom w:val="0"/>
                  <w:divBdr>
                    <w:top w:val="none" w:sz="0" w:space="0" w:color="auto"/>
                    <w:left w:val="none" w:sz="0" w:space="0" w:color="auto"/>
                    <w:bottom w:val="none" w:sz="0" w:space="0" w:color="auto"/>
                    <w:right w:val="none" w:sz="0" w:space="0" w:color="auto"/>
                  </w:divBdr>
                  <w:divsChild>
                    <w:div w:id="14690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963127">
          <w:marLeft w:val="0"/>
          <w:marRight w:val="0"/>
          <w:marTop w:val="0"/>
          <w:marBottom w:val="0"/>
          <w:divBdr>
            <w:top w:val="none" w:sz="0" w:space="0" w:color="auto"/>
            <w:left w:val="none" w:sz="0" w:space="0" w:color="auto"/>
            <w:bottom w:val="none" w:sz="0" w:space="0" w:color="auto"/>
            <w:right w:val="none" w:sz="0" w:space="0" w:color="auto"/>
          </w:divBdr>
          <w:divsChild>
            <w:div w:id="1021782492">
              <w:marLeft w:val="0"/>
              <w:marRight w:val="0"/>
              <w:marTop w:val="0"/>
              <w:marBottom w:val="0"/>
              <w:divBdr>
                <w:top w:val="none" w:sz="0" w:space="0" w:color="auto"/>
                <w:left w:val="none" w:sz="0" w:space="0" w:color="auto"/>
                <w:bottom w:val="none" w:sz="0" w:space="0" w:color="auto"/>
                <w:right w:val="none" w:sz="0" w:space="0" w:color="auto"/>
              </w:divBdr>
              <w:divsChild>
                <w:div w:id="2129203473">
                  <w:marLeft w:val="0"/>
                  <w:marRight w:val="0"/>
                  <w:marTop w:val="0"/>
                  <w:marBottom w:val="0"/>
                  <w:divBdr>
                    <w:top w:val="none" w:sz="0" w:space="0" w:color="auto"/>
                    <w:left w:val="none" w:sz="0" w:space="0" w:color="auto"/>
                    <w:bottom w:val="none" w:sz="0" w:space="0" w:color="auto"/>
                    <w:right w:val="none" w:sz="0" w:space="0" w:color="auto"/>
                  </w:divBdr>
                  <w:divsChild>
                    <w:div w:id="53373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001636">
      <w:bodyDiv w:val="1"/>
      <w:marLeft w:val="0"/>
      <w:marRight w:val="0"/>
      <w:marTop w:val="0"/>
      <w:marBottom w:val="0"/>
      <w:divBdr>
        <w:top w:val="none" w:sz="0" w:space="0" w:color="auto"/>
        <w:left w:val="none" w:sz="0" w:space="0" w:color="auto"/>
        <w:bottom w:val="none" w:sz="0" w:space="0" w:color="auto"/>
        <w:right w:val="none" w:sz="0" w:space="0" w:color="auto"/>
      </w:divBdr>
      <w:divsChild>
        <w:div w:id="890964928">
          <w:marLeft w:val="0"/>
          <w:marRight w:val="0"/>
          <w:marTop w:val="0"/>
          <w:marBottom w:val="0"/>
          <w:divBdr>
            <w:top w:val="none" w:sz="0" w:space="0" w:color="auto"/>
            <w:left w:val="none" w:sz="0" w:space="0" w:color="auto"/>
            <w:bottom w:val="none" w:sz="0" w:space="0" w:color="auto"/>
            <w:right w:val="none" w:sz="0" w:space="0" w:color="auto"/>
          </w:divBdr>
        </w:div>
        <w:div w:id="1197619161">
          <w:marLeft w:val="0"/>
          <w:marRight w:val="0"/>
          <w:marTop w:val="0"/>
          <w:marBottom w:val="0"/>
          <w:divBdr>
            <w:top w:val="none" w:sz="0" w:space="0" w:color="auto"/>
            <w:left w:val="none" w:sz="0" w:space="0" w:color="auto"/>
            <w:bottom w:val="none" w:sz="0" w:space="0" w:color="auto"/>
            <w:right w:val="none" w:sz="0" w:space="0" w:color="auto"/>
          </w:divBdr>
        </w:div>
        <w:div w:id="464586477">
          <w:marLeft w:val="0"/>
          <w:marRight w:val="0"/>
          <w:marTop w:val="0"/>
          <w:marBottom w:val="0"/>
          <w:divBdr>
            <w:top w:val="none" w:sz="0" w:space="0" w:color="auto"/>
            <w:left w:val="none" w:sz="0" w:space="0" w:color="auto"/>
            <w:bottom w:val="none" w:sz="0" w:space="0" w:color="auto"/>
            <w:right w:val="none" w:sz="0" w:space="0" w:color="auto"/>
          </w:divBdr>
        </w:div>
      </w:divsChild>
    </w:div>
    <w:div w:id="1307854001">
      <w:bodyDiv w:val="1"/>
      <w:marLeft w:val="0"/>
      <w:marRight w:val="0"/>
      <w:marTop w:val="0"/>
      <w:marBottom w:val="0"/>
      <w:divBdr>
        <w:top w:val="none" w:sz="0" w:space="0" w:color="auto"/>
        <w:left w:val="none" w:sz="0" w:space="0" w:color="auto"/>
        <w:bottom w:val="none" w:sz="0" w:space="0" w:color="auto"/>
        <w:right w:val="none" w:sz="0" w:space="0" w:color="auto"/>
      </w:divBdr>
      <w:divsChild>
        <w:div w:id="1865316025">
          <w:marLeft w:val="0"/>
          <w:marRight w:val="0"/>
          <w:marTop w:val="0"/>
          <w:marBottom w:val="0"/>
          <w:divBdr>
            <w:top w:val="none" w:sz="0" w:space="0" w:color="auto"/>
            <w:left w:val="none" w:sz="0" w:space="0" w:color="auto"/>
            <w:bottom w:val="none" w:sz="0" w:space="0" w:color="auto"/>
            <w:right w:val="none" w:sz="0" w:space="0" w:color="auto"/>
          </w:divBdr>
        </w:div>
        <w:div w:id="966349205">
          <w:marLeft w:val="0"/>
          <w:marRight w:val="0"/>
          <w:marTop w:val="0"/>
          <w:marBottom w:val="0"/>
          <w:divBdr>
            <w:top w:val="none" w:sz="0" w:space="0" w:color="auto"/>
            <w:left w:val="none" w:sz="0" w:space="0" w:color="auto"/>
            <w:bottom w:val="none" w:sz="0" w:space="0" w:color="auto"/>
            <w:right w:val="none" w:sz="0" w:space="0" w:color="auto"/>
          </w:divBdr>
        </w:div>
        <w:div w:id="1430927836">
          <w:marLeft w:val="0"/>
          <w:marRight w:val="0"/>
          <w:marTop w:val="0"/>
          <w:marBottom w:val="0"/>
          <w:divBdr>
            <w:top w:val="none" w:sz="0" w:space="0" w:color="auto"/>
            <w:left w:val="none" w:sz="0" w:space="0" w:color="auto"/>
            <w:bottom w:val="none" w:sz="0" w:space="0" w:color="auto"/>
            <w:right w:val="none" w:sz="0" w:space="0" w:color="auto"/>
          </w:divBdr>
        </w:div>
        <w:div w:id="1138181922">
          <w:marLeft w:val="0"/>
          <w:marRight w:val="0"/>
          <w:marTop w:val="0"/>
          <w:marBottom w:val="0"/>
          <w:divBdr>
            <w:top w:val="none" w:sz="0" w:space="0" w:color="auto"/>
            <w:left w:val="none" w:sz="0" w:space="0" w:color="auto"/>
            <w:bottom w:val="none" w:sz="0" w:space="0" w:color="auto"/>
            <w:right w:val="none" w:sz="0" w:space="0" w:color="auto"/>
          </w:divBdr>
        </w:div>
        <w:div w:id="318923278">
          <w:marLeft w:val="0"/>
          <w:marRight w:val="0"/>
          <w:marTop w:val="0"/>
          <w:marBottom w:val="0"/>
          <w:divBdr>
            <w:top w:val="none" w:sz="0" w:space="0" w:color="auto"/>
            <w:left w:val="none" w:sz="0" w:space="0" w:color="auto"/>
            <w:bottom w:val="none" w:sz="0" w:space="0" w:color="auto"/>
            <w:right w:val="none" w:sz="0" w:space="0" w:color="auto"/>
          </w:divBdr>
        </w:div>
      </w:divsChild>
    </w:div>
    <w:div w:id="1960453674">
      <w:bodyDiv w:val="1"/>
      <w:marLeft w:val="0"/>
      <w:marRight w:val="0"/>
      <w:marTop w:val="0"/>
      <w:marBottom w:val="0"/>
      <w:divBdr>
        <w:top w:val="none" w:sz="0" w:space="0" w:color="auto"/>
        <w:left w:val="none" w:sz="0" w:space="0" w:color="auto"/>
        <w:bottom w:val="none" w:sz="0" w:space="0" w:color="auto"/>
        <w:right w:val="none" w:sz="0" w:space="0" w:color="auto"/>
      </w:divBdr>
      <w:divsChild>
        <w:div w:id="1062291857">
          <w:marLeft w:val="0"/>
          <w:marRight w:val="0"/>
          <w:marTop w:val="0"/>
          <w:marBottom w:val="0"/>
          <w:divBdr>
            <w:top w:val="none" w:sz="0" w:space="0" w:color="auto"/>
            <w:left w:val="none" w:sz="0" w:space="0" w:color="auto"/>
            <w:bottom w:val="none" w:sz="0" w:space="0" w:color="auto"/>
            <w:right w:val="none" w:sz="0" w:space="0" w:color="auto"/>
          </w:divBdr>
        </w:div>
        <w:div w:id="1617830112">
          <w:marLeft w:val="0"/>
          <w:marRight w:val="0"/>
          <w:marTop w:val="0"/>
          <w:marBottom w:val="0"/>
          <w:divBdr>
            <w:top w:val="none" w:sz="0" w:space="0" w:color="auto"/>
            <w:left w:val="none" w:sz="0" w:space="0" w:color="auto"/>
            <w:bottom w:val="none" w:sz="0" w:space="0" w:color="auto"/>
            <w:right w:val="none" w:sz="0" w:space="0" w:color="auto"/>
          </w:divBdr>
        </w:div>
        <w:div w:id="977303217">
          <w:marLeft w:val="0"/>
          <w:marRight w:val="0"/>
          <w:marTop w:val="0"/>
          <w:marBottom w:val="0"/>
          <w:divBdr>
            <w:top w:val="none" w:sz="0" w:space="0" w:color="auto"/>
            <w:left w:val="none" w:sz="0" w:space="0" w:color="auto"/>
            <w:bottom w:val="none" w:sz="0" w:space="0" w:color="auto"/>
            <w:right w:val="none" w:sz="0" w:space="0" w:color="auto"/>
          </w:divBdr>
        </w:div>
        <w:div w:id="569539650">
          <w:marLeft w:val="0"/>
          <w:marRight w:val="0"/>
          <w:marTop w:val="0"/>
          <w:marBottom w:val="0"/>
          <w:divBdr>
            <w:top w:val="none" w:sz="0" w:space="0" w:color="auto"/>
            <w:left w:val="none" w:sz="0" w:space="0" w:color="auto"/>
            <w:bottom w:val="none" w:sz="0" w:space="0" w:color="auto"/>
            <w:right w:val="none" w:sz="0" w:space="0" w:color="auto"/>
          </w:divBdr>
        </w:div>
        <w:div w:id="182284565">
          <w:marLeft w:val="0"/>
          <w:marRight w:val="0"/>
          <w:marTop w:val="0"/>
          <w:marBottom w:val="0"/>
          <w:divBdr>
            <w:top w:val="none" w:sz="0" w:space="0" w:color="auto"/>
            <w:left w:val="none" w:sz="0" w:space="0" w:color="auto"/>
            <w:bottom w:val="none" w:sz="0" w:space="0" w:color="auto"/>
            <w:right w:val="none" w:sz="0" w:space="0" w:color="auto"/>
          </w:divBdr>
        </w:div>
        <w:div w:id="1625773970">
          <w:marLeft w:val="0"/>
          <w:marRight w:val="0"/>
          <w:marTop w:val="0"/>
          <w:marBottom w:val="0"/>
          <w:divBdr>
            <w:top w:val="none" w:sz="0" w:space="0" w:color="auto"/>
            <w:left w:val="none" w:sz="0" w:space="0" w:color="auto"/>
            <w:bottom w:val="none" w:sz="0" w:space="0" w:color="auto"/>
            <w:right w:val="none" w:sz="0" w:space="0" w:color="auto"/>
          </w:divBdr>
        </w:div>
        <w:div w:id="579825242">
          <w:marLeft w:val="0"/>
          <w:marRight w:val="0"/>
          <w:marTop w:val="0"/>
          <w:marBottom w:val="0"/>
          <w:divBdr>
            <w:top w:val="none" w:sz="0" w:space="0" w:color="auto"/>
            <w:left w:val="none" w:sz="0" w:space="0" w:color="auto"/>
            <w:bottom w:val="none" w:sz="0" w:space="0" w:color="auto"/>
            <w:right w:val="none" w:sz="0" w:space="0" w:color="auto"/>
          </w:divBdr>
        </w:div>
        <w:div w:id="362479769">
          <w:marLeft w:val="0"/>
          <w:marRight w:val="0"/>
          <w:marTop w:val="0"/>
          <w:marBottom w:val="0"/>
          <w:divBdr>
            <w:top w:val="none" w:sz="0" w:space="0" w:color="auto"/>
            <w:left w:val="none" w:sz="0" w:space="0" w:color="auto"/>
            <w:bottom w:val="none" w:sz="0" w:space="0" w:color="auto"/>
            <w:right w:val="none" w:sz="0" w:space="0" w:color="auto"/>
          </w:divBdr>
        </w:div>
        <w:div w:id="32002726">
          <w:marLeft w:val="0"/>
          <w:marRight w:val="0"/>
          <w:marTop w:val="0"/>
          <w:marBottom w:val="0"/>
          <w:divBdr>
            <w:top w:val="none" w:sz="0" w:space="0" w:color="auto"/>
            <w:left w:val="none" w:sz="0" w:space="0" w:color="auto"/>
            <w:bottom w:val="none" w:sz="0" w:space="0" w:color="auto"/>
            <w:right w:val="none" w:sz="0" w:space="0" w:color="auto"/>
          </w:divBdr>
        </w:div>
        <w:div w:id="1097755780">
          <w:marLeft w:val="0"/>
          <w:marRight w:val="0"/>
          <w:marTop w:val="0"/>
          <w:marBottom w:val="0"/>
          <w:divBdr>
            <w:top w:val="none" w:sz="0" w:space="0" w:color="auto"/>
            <w:left w:val="none" w:sz="0" w:space="0" w:color="auto"/>
            <w:bottom w:val="none" w:sz="0" w:space="0" w:color="auto"/>
            <w:right w:val="none" w:sz="0" w:space="0" w:color="auto"/>
          </w:divBdr>
        </w:div>
        <w:div w:id="1030952624">
          <w:marLeft w:val="0"/>
          <w:marRight w:val="0"/>
          <w:marTop w:val="0"/>
          <w:marBottom w:val="0"/>
          <w:divBdr>
            <w:top w:val="none" w:sz="0" w:space="0" w:color="auto"/>
            <w:left w:val="none" w:sz="0" w:space="0" w:color="auto"/>
            <w:bottom w:val="none" w:sz="0" w:space="0" w:color="auto"/>
            <w:right w:val="none" w:sz="0" w:space="0" w:color="auto"/>
          </w:divBdr>
        </w:div>
        <w:div w:id="1500343379">
          <w:marLeft w:val="0"/>
          <w:marRight w:val="0"/>
          <w:marTop w:val="0"/>
          <w:marBottom w:val="0"/>
          <w:divBdr>
            <w:top w:val="none" w:sz="0" w:space="0" w:color="auto"/>
            <w:left w:val="none" w:sz="0" w:space="0" w:color="auto"/>
            <w:bottom w:val="none" w:sz="0" w:space="0" w:color="auto"/>
            <w:right w:val="none" w:sz="0" w:space="0" w:color="auto"/>
          </w:divBdr>
        </w:div>
        <w:div w:id="1220283072">
          <w:marLeft w:val="0"/>
          <w:marRight w:val="0"/>
          <w:marTop w:val="0"/>
          <w:marBottom w:val="0"/>
          <w:divBdr>
            <w:top w:val="none" w:sz="0" w:space="0" w:color="auto"/>
            <w:left w:val="none" w:sz="0" w:space="0" w:color="auto"/>
            <w:bottom w:val="none" w:sz="0" w:space="0" w:color="auto"/>
            <w:right w:val="none" w:sz="0" w:space="0" w:color="auto"/>
          </w:divBdr>
        </w:div>
        <w:div w:id="1978756296">
          <w:marLeft w:val="0"/>
          <w:marRight w:val="0"/>
          <w:marTop w:val="0"/>
          <w:marBottom w:val="0"/>
          <w:divBdr>
            <w:top w:val="none" w:sz="0" w:space="0" w:color="auto"/>
            <w:left w:val="none" w:sz="0" w:space="0" w:color="auto"/>
            <w:bottom w:val="none" w:sz="0" w:space="0" w:color="auto"/>
            <w:right w:val="none" w:sz="0" w:space="0" w:color="auto"/>
          </w:divBdr>
        </w:div>
        <w:div w:id="1280457557">
          <w:marLeft w:val="0"/>
          <w:marRight w:val="0"/>
          <w:marTop w:val="0"/>
          <w:marBottom w:val="0"/>
          <w:divBdr>
            <w:top w:val="none" w:sz="0" w:space="0" w:color="auto"/>
            <w:left w:val="none" w:sz="0" w:space="0" w:color="auto"/>
            <w:bottom w:val="none" w:sz="0" w:space="0" w:color="auto"/>
            <w:right w:val="none" w:sz="0" w:space="0" w:color="auto"/>
          </w:divBdr>
        </w:div>
        <w:div w:id="977298953">
          <w:marLeft w:val="0"/>
          <w:marRight w:val="0"/>
          <w:marTop w:val="0"/>
          <w:marBottom w:val="0"/>
          <w:divBdr>
            <w:top w:val="none" w:sz="0" w:space="0" w:color="auto"/>
            <w:left w:val="none" w:sz="0" w:space="0" w:color="auto"/>
            <w:bottom w:val="none" w:sz="0" w:space="0" w:color="auto"/>
            <w:right w:val="none" w:sz="0" w:space="0" w:color="auto"/>
          </w:divBdr>
        </w:div>
        <w:div w:id="71702814">
          <w:marLeft w:val="0"/>
          <w:marRight w:val="0"/>
          <w:marTop w:val="0"/>
          <w:marBottom w:val="0"/>
          <w:divBdr>
            <w:top w:val="none" w:sz="0" w:space="0" w:color="auto"/>
            <w:left w:val="none" w:sz="0" w:space="0" w:color="auto"/>
            <w:bottom w:val="none" w:sz="0" w:space="0" w:color="auto"/>
            <w:right w:val="none" w:sz="0" w:space="0" w:color="auto"/>
          </w:divBdr>
        </w:div>
        <w:div w:id="8981306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document/?pdmfid=1001073&amp;crid=4532b83f-f894-448e-b36f-4780d002178c&amp;pddocfullpath=%2Fshared%2Fdocument%2Fanalytical-materials-uk%2Furn:contentItem:564M-JWR1-F0C5-R41D-00000-00&amp;pdcontentcomponentid=312685&amp;pdteaserkey=&amp;pdislpamode=false&amp;pddocumentnumber=1&amp;ecomp=5t5k&amp;earg=sr0&amp;prid=b99657c2-aabd-4957-b9c2-3b8a30bb3455"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research-ebsco-com.ezproxy.uwtsd.ac.uk/c/onvpsy/viewer/pdf/ip3cozdijf?route=details" TargetMode="External"/><Relationship Id="rId12" Type="http://schemas.openxmlformats.org/officeDocument/2006/relationships/hyperlink" Target="https://tcpls.domains.trincoll.edu/wp-content/uploads/2024/08/Petruzella-Chain-of-Causation-RSO-Edits.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lus-lexis-com.ezproxy.uwtsd.ac.uk/uk/document/?pddocfullpath=%2Fshared%2Fdocument%2Fanalytical-materials-uk%2Furn:contentItem:5TJ9-MG01-DYCB-R0TH-00000-00&amp;tocnodeid=TADY&amp;isviewwholeof=true&amp;fontType=verdana&amp;fontSize=Small&amp;doccollection=analytical-materials-uk&amp;tocid=urn:contentItem:5M8K-C9S1-FBXB-D000-00000-00&amp;docProviderId=fg4k&amp;pct=urn:pct:545&amp;hlct=urn:hlct:50&amp;pageNumber=0&amp;new-toc=1&amp;docLni=5TJ9-MG01-DYCB-R0TH-00000-00&amp;crid=9a9d5f5c-e1a6-4c5b-8ec4-869df86dbc80" TargetMode="External"/><Relationship Id="rId5" Type="http://schemas.openxmlformats.org/officeDocument/2006/relationships/settings" Target="settings.xml"/><Relationship Id="rId10" Type="http://schemas.openxmlformats.org/officeDocument/2006/relationships/hyperlink" Target="https://plus-lexis-com.ezproxy.uwtsd.ac.uk/api/permalink/1af07e87-4dab-4c0d-8c1e-88e8c43343cb/?context=1001073" TargetMode="External"/><Relationship Id="rId4" Type="http://schemas.openxmlformats.org/officeDocument/2006/relationships/styles" Target="styles.xml"/><Relationship Id="rId9" Type="http://schemas.openxmlformats.org/officeDocument/2006/relationships/hyperlink" Target="https://doi.org/10.1017/S0956618X0000521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55e8ec80885699e4d742ed18328677e9">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645825a97448ff2d6ad301539a221dbc" ns3:_="" ns4:_="">
    <xsd:import namespace="ad7316b1-23f1-480c-8fa6-cbf037f4db9c"/>
    <xsd:import namespace="bd2b2a82-bc2e-4fcc-b8ad-fd63686c78d2"/>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D510960-392C-4EC8-8514-42F7D1926CA7}">
  <ds:schemaRefs>
    <ds:schemaRef ds:uri="http://schemas.microsoft.com/sharepoint/v3/contenttype/forms"/>
  </ds:schemaRefs>
</ds:datastoreItem>
</file>

<file path=customXml/itemProps2.xml><?xml version="1.0" encoding="utf-8"?>
<ds:datastoreItem xmlns:ds="http://schemas.openxmlformats.org/officeDocument/2006/customXml" ds:itemID="{9DAA825E-BA5F-42DE-B31F-B95487B0A3EB}">
  <ds:schemaRefs>
    <ds:schemaRef ds:uri="http://schemas.microsoft.com/office/2006/metadata/properties"/>
    <ds:schemaRef ds:uri="ad7316b1-23f1-480c-8fa6-cbf037f4db9c"/>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bd2b2a82-bc2e-4fcc-b8ad-fd63686c78d2"/>
    <ds:schemaRef ds:uri="http://www.w3.org/XML/1998/namespace"/>
    <ds:schemaRef ds:uri="http://purl.org/dc/dcmitype/"/>
  </ds:schemaRefs>
</ds:datastoreItem>
</file>

<file path=customXml/itemProps3.xml><?xml version="1.0" encoding="utf-8"?>
<ds:datastoreItem xmlns:ds="http://schemas.openxmlformats.org/officeDocument/2006/customXml" ds:itemID="{273A1BE6-87A6-408E-B8DE-E4DD4CFC64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2572</Words>
  <Characters>14663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Tort Law</vt:lpstr>
    </vt:vector>
  </TitlesOfParts>
  <Company/>
  <LinksUpToDate>false</LinksUpToDate>
  <CharactersWithSpaces>17201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Tort Law</dc:title>
  <dc:subject>Duty Of Care / 2319007 – Jade Brown</dc:subject>
  <dc:creator>Jade Brown (2319007)</dc:creator>
  <cp:keywords/>
  <dc:description/>
  <cp:lastModifiedBy>Jade Brown (2319007)</cp:lastModifiedBy>
  <cp:revision>2</cp:revision>
  <dcterms:created xsi:type="dcterms:W3CDTF">2024-11-06T15:18:00Z</dcterms:created>
  <dcterms:modified xsi:type="dcterms:W3CDTF">2024-11-06T15:18:00Z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