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61A7F1" w14:textId="290E91B2" w:rsidR="009C11B3" w:rsidRPr="002B0F53" w:rsidRDefault="009C11B3" w:rsidP="00E03F89">
      <w:pPr>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t>VIDEO LINK:</w:t>
      </w:r>
      <w:r w:rsidR="00E03F89" w:rsidRPr="002B0F53">
        <w:rPr>
          <w:rFonts w:ascii="Calibri" w:eastAsia="Times New Roman" w:hAnsi="Calibri" w:cs="Calibri"/>
          <w:b/>
          <w:bCs/>
          <w:color w:val="000000"/>
          <w:kern w:val="0"/>
          <w:sz w:val="22"/>
          <w:szCs w:val="22"/>
          <w:lang w:eastAsia="en-GB"/>
          <w14:ligatures w14:val="none"/>
        </w:rPr>
        <w:t xml:space="preserve"> </w:t>
      </w:r>
      <w:hyperlink r:id="rId8" w:history="1">
        <w:r w:rsidR="00E03F89" w:rsidRPr="002B0F53">
          <w:rPr>
            <w:rFonts w:ascii="Calibri" w:eastAsia="Times New Roman" w:hAnsi="Calibri" w:cs="Calibri"/>
            <w:color w:val="0000FF"/>
            <w:kern w:val="0"/>
            <w:sz w:val="22"/>
            <w:szCs w:val="22"/>
            <w:u w:val="single"/>
            <w:lang w:eastAsia="en-GB"/>
            <w14:ligatures w14:val="none"/>
          </w:rPr>
          <w:t>PMDD rehabilitative proposal.pptx</w:t>
        </w:r>
      </w:hyperlink>
    </w:p>
    <w:p w14:paraId="37B13E33" w14:textId="77777777" w:rsidR="009C11B3" w:rsidRPr="002B0F53" w:rsidRDefault="009C11B3" w:rsidP="00061EEB">
      <w:pPr>
        <w:spacing w:after="0" w:line="240" w:lineRule="auto"/>
        <w:rPr>
          <w:rFonts w:ascii="Calibri" w:eastAsia="Times New Roman" w:hAnsi="Calibri" w:cs="Calibri"/>
          <w:b/>
          <w:bCs/>
          <w:color w:val="000000"/>
          <w:kern w:val="0"/>
          <w:sz w:val="22"/>
          <w:szCs w:val="22"/>
          <w:lang w:eastAsia="en-GB"/>
          <w14:ligatures w14:val="none"/>
        </w:rPr>
      </w:pPr>
    </w:p>
    <w:p w14:paraId="521DC585" w14:textId="0B32D20F"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t>A rehabilitative proposal for premenstrual dysphoric disorder using cognitive behavioural therapy</w:t>
      </w:r>
    </w:p>
    <w:p w14:paraId="5B2F6DD6" w14:textId="4555F9F5"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p>
    <w:p w14:paraId="54AAC405" w14:textId="0E62FE0E" w:rsidR="001E60DF"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r w:rsidRPr="002B0F53">
        <w:rPr>
          <w:rFonts w:ascii="Calibri" w:hAnsi="Calibri" w:cs="Calibri"/>
          <w:noProof/>
          <w:sz w:val="22"/>
          <w:szCs w:val="22"/>
        </w:rPr>
        <w:drawing>
          <wp:anchor distT="0" distB="0" distL="114300" distR="114300" simplePos="0" relativeHeight="251659264" behindDoc="1" locked="0" layoutInCell="1" allowOverlap="1" wp14:anchorId="70F18402" wp14:editId="06B90E98">
            <wp:simplePos x="0" y="0"/>
            <wp:positionH relativeFrom="margin">
              <wp:align>left</wp:align>
            </wp:positionH>
            <wp:positionV relativeFrom="paragraph">
              <wp:posOffset>5080</wp:posOffset>
            </wp:positionV>
            <wp:extent cx="4062413" cy="2285051"/>
            <wp:effectExtent l="0" t="0" r="0" b="1270"/>
            <wp:wrapTight wrapText="bothSides">
              <wp:wrapPolygon edited="0">
                <wp:start x="0" y="0"/>
                <wp:lineTo x="0" y="21432"/>
                <wp:lineTo x="21475" y="21432"/>
                <wp:lineTo x="21475" y="0"/>
                <wp:lineTo x="0" y="0"/>
              </wp:wrapPolygon>
            </wp:wrapTight>
            <wp:docPr id="21092235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223598" nam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4062413" cy="2285051"/>
                    </a:xfrm>
                    <a:prstGeom prst="rect">
                      <a:avLst/>
                    </a:prstGeom>
                  </pic:spPr>
                </pic:pic>
              </a:graphicData>
            </a:graphic>
          </wp:anchor>
        </w:drawing>
      </w:r>
    </w:p>
    <w:p w14:paraId="47079C71"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274C26B6"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554B9A52"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5DC01092"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7AD8B3CC"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6DB97142"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327A8F1E"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4FC400D1"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603EF00F"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4920484F"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1504B472"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14B483BC"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45958182" w14:textId="047196D8"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t>Lay Summary</w:t>
      </w:r>
    </w:p>
    <w:p w14:paraId="13963F1B"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Cognitive Behavioural Therapy (CBT) is the main method of treating individuals suffering from Premenstrual Dysphoric Disorder (PMDD). The symptoms of the condition itself are severe, including mood fluctuations and physical discomfort before menstruation. CBT provides individuals with achievable means of coping to navigate the difficulties of PMDD by systematically addressing negative thought patterns and maladaptive behaviours (</w:t>
      </w:r>
      <w:proofErr w:type="spellStart"/>
      <w:r w:rsidRPr="002B0F53">
        <w:rPr>
          <w:rFonts w:ascii="Calibri" w:eastAsia="Times New Roman" w:hAnsi="Calibri" w:cs="Calibri"/>
          <w:color w:val="000000"/>
          <w:kern w:val="0"/>
          <w:sz w:val="22"/>
          <w:szCs w:val="22"/>
          <w:lang w:eastAsia="en-GB"/>
          <w14:ligatures w14:val="none"/>
        </w:rPr>
        <w:t>Kancheva</w:t>
      </w:r>
      <w:proofErr w:type="spellEnd"/>
      <w:r w:rsidRPr="002B0F53">
        <w:rPr>
          <w:rFonts w:ascii="Calibri" w:eastAsia="Times New Roman" w:hAnsi="Calibri" w:cs="Calibri"/>
          <w:color w:val="000000"/>
          <w:kern w:val="0"/>
          <w:sz w:val="22"/>
          <w:szCs w:val="22"/>
          <w:lang w:eastAsia="en-GB"/>
          <w14:ligatures w14:val="none"/>
        </w:rPr>
        <w:t xml:space="preserve"> Landolt &amp; Ivanov, 2020; </w:t>
      </w:r>
      <w:proofErr w:type="spellStart"/>
      <w:r w:rsidRPr="002B0F53">
        <w:rPr>
          <w:rFonts w:ascii="Calibri" w:eastAsia="Times New Roman" w:hAnsi="Calibri" w:cs="Calibri"/>
          <w:color w:val="000000"/>
          <w:kern w:val="0"/>
          <w:sz w:val="22"/>
          <w:szCs w:val="22"/>
          <w:lang w:eastAsia="en-GB"/>
          <w14:ligatures w14:val="none"/>
        </w:rPr>
        <w:t>Tiranini</w:t>
      </w:r>
      <w:proofErr w:type="spellEnd"/>
      <w:r w:rsidRPr="002B0F53">
        <w:rPr>
          <w:rFonts w:ascii="Calibri" w:eastAsia="Times New Roman" w:hAnsi="Calibri" w:cs="Calibri"/>
          <w:color w:val="000000"/>
          <w:kern w:val="0"/>
          <w:sz w:val="22"/>
          <w:szCs w:val="22"/>
          <w:lang w:eastAsia="en-GB"/>
          <w14:ligatures w14:val="none"/>
        </w:rPr>
        <w:t xml:space="preserve"> &amp; Nappi, 2022). Recent research has demonstrated the efficacy of CBT in PMDD treatment, with significant decreases in mood disturbances and physical symptoms (Izadi-</w:t>
      </w:r>
      <w:proofErr w:type="spellStart"/>
      <w:r w:rsidRPr="002B0F53">
        <w:rPr>
          <w:rFonts w:ascii="Calibri" w:eastAsia="Times New Roman" w:hAnsi="Calibri" w:cs="Calibri"/>
          <w:color w:val="000000"/>
          <w:kern w:val="0"/>
          <w:sz w:val="22"/>
          <w:szCs w:val="22"/>
          <w:lang w:eastAsia="en-GB"/>
          <w14:ligatures w14:val="none"/>
        </w:rPr>
        <w:t>Mazidi</w:t>
      </w:r>
      <w:proofErr w:type="spellEnd"/>
      <w:r w:rsidRPr="002B0F53">
        <w:rPr>
          <w:rFonts w:ascii="Calibri" w:eastAsia="Times New Roman" w:hAnsi="Calibri" w:cs="Calibri"/>
          <w:color w:val="000000"/>
          <w:kern w:val="0"/>
          <w:sz w:val="22"/>
          <w:szCs w:val="22"/>
          <w:lang w:eastAsia="en-GB"/>
          <w14:ligatures w14:val="none"/>
        </w:rPr>
        <w:t xml:space="preserve"> et al., 2016; Weise et al., 2019). In order to measure the efficacy,  the use of quantitative data analysis will be employed and the use of t-tests, ANOVAs, and linear regression analyses will allow for monitoring of symptoms. Implementing CBT into the treatment process not only addresses the psychological underlying causes of the condition, but also promotes increased awareness of triggers and adaptability (Hardy &amp; Hardie, 2017). </w:t>
      </w:r>
    </w:p>
    <w:p w14:paraId="05FFB159" w14:textId="245CC324" w:rsidR="00061EEB" w:rsidRPr="002B0F53" w:rsidRDefault="00961586" w:rsidP="00061EEB">
      <w:pPr>
        <w:spacing w:after="0" w:line="240" w:lineRule="auto"/>
        <w:rPr>
          <w:rFonts w:ascii="Calibri" w:eastAsia="Times New Roman" w:hAnsi="Calibri" w:cs="Calibri"/>
          <w:kern w:val="0"/>
          <w:sz w:val="22"/>
          <w:szCs w:val="22"/>
          <w:lang w:eastAsia="en-GB"/>
          <w14:ligatures w14:val="none"/>
        </w:rPr>
      </w:pPr>
      <w:r w:rsidRPr="002B0F53">
        <w:rPr>
          <w:rFonts w:ascii="Calibri" w:hAnsi="Calibri" w:cs="Calibri"/>
          <w:noProof/>
          <w:sz w:val="22"/>
          <w:szCs w:val="22"/>
        </w:rPr>
        <w:drawing>
          <wp:anchor distT="0" distB="0" distL="114300" distR="114300" simplePos="0" relativeHeight="251660288" behindDoc="1" locked="0" layoutInCell="1" allowOverlap="1" wp14:anchorId="15B71027" wp14:editId="78B476DF">
            <wp:simplePos x="0" y="0"/>
            <wp:positionH relativeFrom="column">
              <wp:posOffset>0</wp:posOffset>
            </wp:positionH>
            <wp:positionV relativeFrom="paragraph">
              <wp:posOffset>2223</wp:posOffset>
            </wp:positionV>
            <wp:extent cx="3995738" cy="2247547"/>
            <wp:effectExtent l="0" t="0" r="5080" b="635"/>
            <wp:wrapTight wrapText="bothSides">
              <wp:wrapPolygon edited="0">
                <wp:start x="0" y="0"/>
                <wp:lineTo x="0" y="21423"/>
                <wp:lineTo x="21524" y="21423"/>
                <wp:lineTo x="21524" y="0"/>
                <wp:lineTo x="0" y="0"/>
              </wp:wrapPolygon>
            </wp:wrapTight>
            <wp:docPr id="8387370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737003" name=""/>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995738" cy="2247547"/>
                    </a:xfrm>
                    <a:prstGeom prst="rect">
                      <a:avLst/>
                    </a:prstGeom>
                  </pic:spPr>
                </pic:pic>
              </a:graphicData>
            </a:graphic>
          </wp:anchor>
        </w:drawing>
      </w:r>
    </w:p>
    <w:p w14:paraId="2C3B6FF9" w14:textId="77777777" w:rsidR="00961586" w:rsidRPr="002B0F53" w:rsidRDefault="00961586" w:rsidP="00061EEB">
      <w:pPr>
        <w:spacing w:after="0" w:line="240" w:lineRule="auto"/>
        <w:rPr>
          <w:rFonts w:ascii="Calibri" w:eastAsia="Times New Roman" w:hAnsi="Calibri" w:cs="Calibri"/>
          <w:b/>
          <w:bCs/>
          <w:color w:val="000000"/>
          <w:kern w:val="0"/>
          <w:sz w:val="22"/>
          <w:szCs w:val="22"/>
          <w:lang w:eastAsia="en-GB"/>
          <w14:ligatures w14:val="none"/>
        </w:rPr>
      </w:pPr>
    </w:p>
    <w:p w14:paraId="4E97CFB4"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1C84CFDE"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2F85FE1C"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33D5B063"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5572B8F0"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4E9A221B"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553434A5"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48C77C89"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5805204B"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4D1F7ECC"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3E7EA795"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3D436233" w14:textId="4C504548"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t>Background literature</w:t>
      </w:r>
    </w:p>
    <w:p w14:paraId="5D1B0136"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 xml:space="preserve">A significant percentage of women suffer from PMDD, the most serious form of Premenstrual Syndromes (PMS), with estimated rates varying from 3 to 9% (Robinson &amp; Ismail, 2015). PMDD is a condition that manifests as a range of emotional, behavioural, and physical symptoms that result from the ovulatory menstrual cycle's natural fluctuation in sex steroids (Rafique &amp; </w:t>
      </w:r>
      <w:proofErr w:type="gramStart"/>
      <w:r w:rsidRPr="002B0F53">
        <w:rPr>
          <w:rFonts w:ascii="Calibri" w:eastAsia="Times New Roman" w:hAnsi="Calibri" w:cs="Calibri"/>
          <w:color w:val="000000"/>
          <w:kern w:val="0"/>
          <w:sz w:val="22"/>
          <w:szCs w:val="22"/>
          <w:lang w:eastAsia="en-GB"/>
          <w14:ligatures w14:val="none"/>
        </w:rPr>
        <w:t>Al-Sheikh</w:t>
      </w:r>
      <w:proofErr w:type="gramEnd"/>
      <w:r w:rsidRPr="002B0F53">
        <w:rPr>
          <w:rFonts w:ascii="Calibri" w:eastAsia="Times New Roman" w:hAnsi="Calibri" w:cs="Calibri"/>
          <w:color w:val="000000"/>
          <w:kern w:val="0"/>
          <w:sz w:val="22"/>
          <w:szCs w:val="22"/>
          <w:lang w:eastAsia="en-GB"/>
          <w14:ligatures w14:val="none"/>
        </w:rPr>
        <w:t xml:space="preserve">, 2018; Thakrar et al., 2021). According to Eisenlohr-Moul (2019) and the International Classification of Diseases (2022), the symptoms must appear during the luteal stage of the menstrual cycle, usually </w:t>
      </w:r>
      <w:r w:rsidRPr="002B0F53">
        <w:rPr>
          <w:rFonts w:ascii="Calibri" w:eastAsia="Times New Roman" w:hAnsi="Calibri" w:cs="Calibri"/>
          <w:color w:val="000000"/>
          <w:kern w:val="0"/>
          <w:sz w:val="22"/>
          <w:szCs w:val="22"/>
          <w:lang w:eastAsia="en-GB"/>
          <w14:ligatures w14:val="none"/>
        </w:rPr>
        <w:lastRenderedPageBreak/>
        <w:t>three to four days before menstrual bleeding, and they must additionally improve in the first week after the bleeding begins.</w:t>
      </w:r>
    </w:p>
    <w:p w14:paraId="700A67C8"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p>
    <w:p w14:paraId="5A3C4476" w14:textId="6DBBA1E9" w:rsidR="00061EEB" w:rsidRPr="002B0F53" w:rsidRDefault="00061EEB" w:rsidP="00061EEB">
      <w:pPr>
        <w:spacing w:after="0" w:line="240" w:lineRule="auto"/>
        <w:rPr>
          <w:rFonts w:ascii="Calibri" w:eastAsia="Times New Roman" w:hAnsi="Calibri" w:cs="Calibri"/>
          <w:color w:val="000000"/>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A well-known method for treating the maladaptive thought patterns that underlie a variety of psychological disorders is CBT (Hofmann et al., 2012). Especially relevant in the setting of PMDD, where stress intensifies symptoms, CBT provides individuals with the techniques needed to overcome negativity and improve their ability to resolve problems through using balanced cognitive restructuring.</w:t>
      </w:r>
    </w:p>
    <w:p w14:paraId="551B56C8" w14:textId="523F4AD9" w:rsidR="00061EEB" w:rsidRPr="002B0F53" w:rsidRDefault="00E90EE3" w:rsidP="00061EEB">
      <w:pPr>
        <w:spacing w:after="0" w:line="240" w:lineRule="auto"/>
        <w:rPr>
          <w:rFonts w:ascii="Calibri" w:eastAsia="Times New Roman" w:hAnsi="Calibri" w:cs="Calibri"/>
          <w:kern w:val="0"/>
          <w:sz w:val="22"/>
          <w:szCs w:val="22"/>
          <w:lang w:eastAsia="en-GB"/>
          <w14:ligatures w14:val="none"/>
        </w:rPr>
      </w:pPr>
      <w:r w:rsidRPr="002B0F53">
        <w:rPr>
          <w:rFonts w:ascii="Calibri" w:hAnsi="Calibri" w:cs="Calibri"/>
          <w:noProof/>
          <w:sz w:val="22"/>
          <w:szCs w:val="22"/>
        </w:rPr>
        <w:drawing>
          <wp:anchor distT="0" distB="0" distL="114300" distR="114300" simplePos="0" relativeHeight="251661312" behindDoc="1" locked="0" layoutInCell="1" allowOverlap="1" wp14:anchorId="789F9202" wp14:editId="68CBB314">
            <wp:simplePos x="0" y="0"/>
            <wp:positionH relativeFrom="margin">
              <wp:align>left</wp:align>
            </wp:positionH>
            <wp:positionV relativeFrom="paragraph">
              <wp:posOffset>-2540</wp:posOffset>
            </wp:positionV>
            <wp:extent cx="3547745" cy="1995170"/>
            <wp:effectExtent l="0" t="0" r="0" b="5080"/>
            <wp:wrapTight wrapText="bothSides">
              <wp:wrapPolygon edited="0">
                <wp:start x="0" y="0"/>
                <wp:lineTo x="0" y="21449"/>
                <wp:lineTo x="21457" y="21449"/>
                <wp:lineTo x="21457" y="0"/>
                <wp:lineTo x="0" y="0"/>
              </wp:wrapPolygon>
            </wp:wrapTight>
            <wp:docPr id="170887577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875772" name=""/>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547745" cy="1995170"/>
                    </a:xfrm>
                    <a:prstGeom prst="rect">
                      <a:avLst/>
                    </a:prstGeom>
                  </pic:spPr>
                </pic:pic>
              </a:graphicData>
            </a:graphic>
            <wp14:sizeRelH relativeFrom="margin">
              <wp14:pctWidth>0</wp14:pctWidth>
            </wp14:sizeRelH>
            <wp14:sizeRelV relativeFrom="margin">
              <wp14:pctHeight>0</wp14:pctHeight>
            </wp14:sizeRelV>
          </wp:anchor>
        </w:drawing>
      </w:r>
    </w:p>
    <w:p w14:paraId="14DD106C"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Premenstrual diseases continue to be poorly understood, despite advances in the understanding of the underlying pathophysiological processes. Hypotheses include increased susceptibility to hormonal variations during the luteal phase, abnormal serotonin activity, and abnormalities in progesterone and gamma-aminobutyric acid (GABA) neurotransmission. Interestingly, PMDD differs from other mood disorders in that its symptoms can be caused by fluctuations in ovarian hormone levels as opposed to long-term hormone exposure (Schmidt et al., 2017). In addition, PMDD symptoms disappear when menstrual cycling is absent, highlighting the disorder's unique connection to reproductive events including menopause and pregnancy (Reproductive Psychiatry Resource &amp; Information Centre, 2008).</w:t>
      </w:r>
    </w:p>
    <w:p w14:paraId="7FCBC9EF" w14:textId="3B888811" w:rsidR="00061EEB" w:rsidRPr="002B0F53" w:rsidRDefault="00E90EE3" w:rsidP="00061EEB">
      <w:pPr>
        <w:spacing w:after="0" w:line="240" w:lineRule="auto"/>
        <w:rPr>
          <w:rFonts w:ascii="Calibri" w:eastAsia="Times New Roman" w:hAnsi="Calibri" w:cs="Calibri"/>
          <w:kern w:val="0"/>
          <w:sz w:val="22"/>
          <w:szCs w:val="22"/>
          <w:lang w:eastAsia="en-GB"/>
          <w14:ligatures w14:val="none"/>
        </w:rPr>
      </w:pPr>
      <w:r w:rsidRPr="002B0F53">
        <w:rPr>
          <w:rFonts w:ascii="Calibri" w:hAnsi="Calibri" w:cs="Calibri"/>
          <w:noProof/>
          <w:sz w:val="22"/>
          <w:szCs w:val="22"/>
        </w:rPr>
        <w:drawing>
          <wp:anchor distT="0" distB="0" distL="114300" distR="114300" simplePos="0" relativeHeight="251658240" behindDoc="1" locked="0" layoutInCell="1" allowOverlap="1" wp14:anchorId="08DA2160" wp14:editId="59F51ECC">
            <wp:simplePos x="0" y="0"/>
            <wp:positionH relativeFrom="column">
              <wp:posOffset>-485775</wp:posOffset>
            </wp:positionH>
            <wp:positionV relativeFrom="paragraph">
              <wp:posOffset>31115</wp:posOffset>
            </wp:positionV>
            <wp:extent cx="3557270" cy="2000885"/>
            <wp:effectExtent l="0" t="0" r="5080" b="0"/>
            <wp:wrapTight wrapText="bothSides">
              <wp:wrapPolygon edited="0">
                <wp:start x="0" y="0"/>
                <wp:lineTo x="0" y="21387"/>
                <wp:lineTo x="21515" y="21387"/>
                <wp:lineTo x="21515" y="0"/>
                <wp:lineTo x="0" y="0"/>
              </wp:wrapPolygon>
            </wp:wrapTight>
            <wp:docPr id="4065780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578022" name=""/>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3557270" cy="2000885"/>
                    </a:xfrm>
                    <a:prstGeom prst="rect">
                      <a:avLst/>
                    </a:prstGeom>
                  </pic:spPr>
                </pic:pic>
              </a:graphicData>
            </a:graphic>
          </wp:anchor>
        </w:drawing>
      </w:r>
    </w:p>
    <w:p w14:paraId="480ED9B3" w14:textId="3A4D1E19"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With the current literature missing key aspects such as definitions of both CBT and PMDD as well as its effectiveness, it was difficult to only include recent literature on this subject matter. This rehabilitation plan could have provided additional relevant data for those with PMDD symptoms if it had made use of recent findings. A more thorough examination of therapeutic approaches, such as medication and lifestyle changes, would enhance the subject matter and provide readers a more complete understanding of managing PMDD, regardless of whether CBT is mentioned as a treatment option.</w:t>
      </w:r>
      <w:r w:rsidR="00B15CA2" w:rsidRPr="002B0F53">
        <w:rPr>
          <w:rFonts w:ascii="Calibri" w:hAnsi="Calibri" w:cs="Calibri"/>
          <w:noProof/>
          <w:sz w:val="22"/>
          <w:szCs w:val="22"/>
        </w:rPr>
        <w:t xml:space="preserve"> </w:t>
      </w:r>
    </w:p>
    <w:p w14:paraId="7CC275E0" w14:textId="2E8F8A94"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p>
    <w:p w14:paraId="4B310803"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shd w:val="clear" w:color="auto" w:fill="FFFFFF"/>
          <w:lang w:eastAsia="en-GB"/>
          <w14:ligatures w14:val="none"/>
        </w:rPr>
        <w:t>Treatment</w:t>
      </w:r>
    </w:p>
    <w:p w14:paraId="330D3BD3"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color w:val="000000"/>
          <w:kern w:val="0"/>
          <w:sz w:val="22"/>
          <w:szCs w:val="22"/>
          <w:shd w:val="clear" w:color="auto" w:fill="FFFFFF"/>
          <w:lang w:eastAsia="en-GB"/>
          <w14:ligatures w14:val="none"/>
        </w:rPr>
        <w:t>Treatment options for PMDD are restricted due to the complexity of the behavioural and emotional symptoms, the lack of knowledge regarding the cause of the disorder, and the inability to test for abnormalities (</w:t>
      </w:r>
      <w:proofErr w:type="spellStart"/>
      <w:r w:rsidRPr="002B0F53">
        <w:rPr>
          <w:rFonts w:ascii="Calibri" w:eastAsia="Times New Roman" w:hAnsi="Calibri" w:cs="Calibri"/>
          <w:color w:val="000000"/>
          <w:kern w:val="0"/>
          <w:sz w:val="22"/>
          <w:szCs w:val="22"/>
          <w:shd w:val="clear" w:color="auto" w:fill="FFFFFF"/>
          <w:lang w:eastAsia="en-GB"/>
          <w14:ligatures w14:val="none"/>
        </w:rPr>
        <w:t>Alevizou</w:t>
      </w:r>
      <w:proofErr w:type="spellEnd"/>
      <w:r w:rsidRPr="002B0F53">
        <w:rPr>
          <w:rFonts w:ascii="Calibri" w:eastAsia="Times New Roman" w:hAnsi="Calibri" w:cs="Calibri"/>
          <w:color w:val="000000"/>
          <w:kern w:val="0"/>
          <w:sz w:val="22"/>
          <w:szCs w:val="22"/>
          <w:shd w:val="clear" w:color="auto" w:fill="FFFFFF"/>
          <w:lang w:eastAsia="en-GB"/>
          <w14:ligatures w14:val="none"/>
        </w:rPr>
        <w:t xml:space="preserve"> et al., 2018).</w:t>
      </w:r>
    </w:p>
    <w:p w14:paraId="1DBCD43D"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p>
    <w:p w14:paraId="7026DFAE"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color w:val="000000"/>
          <w:kern w:val="0"/>
          <w:sz w:val="22"/>
          <w:szCs w:val="22"/>
          <w:shd w:val="clear" w:color="auto" w:fill="FFFFFF"/>
          <w:lang w:eastAsia="en-GB"/>
          <w14:ligatures w14:val="none"/>
        </w:rPr>
        <w:t>It has also been demonstrated that fluoxetine administered in the luteal phase, at a dose of 90 mg two times a week, starting 14 days before menstruation, is effective (Miner et al., 2002). Additional research has demonstrated the effectiveness of sertraline (Kornstein et al., 2006) and fluoxetine (Nazari et al., 2012) at consistent doses in the treatment of severe PMDD. These studies were conducted during the luteal phase or at the beginning of symptoms.</w:t>
      </w:r>
    </w:p>
    <w:p w14:paraId="1E6006E8"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p>
    <w:p w14:paraId="64F5ACF3" w14:textId="39293724" w:rsidR="00061EEB" w:rsidRPr="002B0F53" w:rsidRDefault="00E90EE3" w:rsidP="00061EEB">
      <w:pPr>
        <w:spacing w:after="0" w:line="240" w:lineRule="auto"/>
        <w:rPr>
          <w:rFonts w:ascii="Calibri" w:eastAsia="Times New Roman" w:hAnsi="Calibri" w:cs="Calibri"/>
          <w:kern w:val="0"/>
          <w:sz w:val="22"/>
          <w:szCs w:val="22"/>
          <w:lang w:eastAsia="en-GB"/>
          <w14:ligatures w14:val="none"/>
        </w:rPr>
      </w:pPr>
      <w:r w:rsidRPr="002B0F53">
        <w:rPr>
          <w:rFonts w:ascii="Calibri" w:hAnsi="Calibri" w:cs="Calibri"/>
          <w:noProof/>
          <w:sz w:val="22"/>
          <w:szCs w:val="22"/>
        </w:rPr>
        <w:lastRenderedPageBreak/>
        <w:drawing>
          <wp:anchor distT="0" distB="0" distL="114300" distR="114300" simplePos="0" relativeHeight="251662336" behindDoc="1" locked="0" layoutInCell="1" allowOverlap="1" wp14:anchorId="60F5E91E" wp14:editId="2B770606">
            <wp:simplePos x="0" y="0"/>
            <wp:positionH relativeFrom="margin">
              <wp:posOffset>-490855</wp:posOffset>
            </wp:positionH>
            <wp:positionV relativeFrom="paragraph">
              <wp:posOffset>304800</wp:posOffset>
            </wp:positionV>
            <wp:extent cx="3810000" cy="2142490"/>
            <wp:effectExtent l="0" t="0" r="0" b="0"/>
            <wp:wrapTight wrapText="bothSides">
              <wp:wrapPolygon edited="0">
                <wp:start x="0" y="0"/>
                <wp:lineTo x="0" y="21318"/>
                <wp:lineTo x="21492" y="21318"/>
                <wp:lineTo x="21492" y="0"/>
                <wp:lineTo x="0" y="0"/>
              </wp:wrapPolygon>
            </wp:wrapTight>
            <wp:docPr id="17601898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189802" name=""/>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810000" cy="2142490"/>
                    </a:xfrm>
                    <a:prstGeom prst="rect">
                      <a:avLst/>
                    </a:prstGeom>
                  </pic:spPr>
                </pic:pic>
              </a:graphicData>
            </a:graphic>
            <wp14:sizeRelH relativeFrom="margin">
              <wp14:pctWidth>0</wp14:pctWidth>
            </wp14:sizeRelH>
            <wp14:sizeRelV relativeFrom="margin">
              <wp14:pctHeight>0</wp14:pctHeight>
            </wp14:sizeRelV>
          </wp:anchor>
        </w:drawing>
      </w:r>
      <w:r w:rsidR="00061EEB" w:rsidRPr="002B0F53">
        <w:rPr>
          <w:rFonts w:ascii="Calibri" w:eastAsia="Times New Roman" w:hAnsi="Calibri" w:cs="Calibri"/>
          <w:color w:val="000000"/>
          <w:kern w:val="0"/>
          <w:sz w:val="22"/>
          <w:szCs w:val="22"/>
          <w:lang w:eastAsia="en-GB"/>
          <w14:ligatures w14:val="none"/>
        </w:rPr>
        <w:t>SSRI therap</w:t>
      </w:r>
      <w:r w:rsidR="00061EEB" w:rsidRPr="002B0F53">
        <w:rPr>
          <w:rFonts w:ascii="Calibri" w:eastAsia="Times New Roman" w:hAnsi="Calibri" w:cs="Calibri"/>
          <w:color w:val="000000"/>
          <w:kern w:val="0"/>
          <w:sz w:val="22"/>
          <w:szCs w:val="22"/>
          <w:shd w:val="clear" w:color="auto" w:fill="FFFFFF"/>
          <w:lang w:eastAsia="en-GB"/>
          <w14:ligatures w14:val="none"/>
        </w:rPr>
        <w:t>y has been successfully administered with CBT. At the 6-month mark, all CBT groups within the study conducted by Hunter et al., (2002) and Rapkin &amp; Lewis, (2013), showed an improvement of statistical significance in PMS symptoms when compared with selective serotonin reuptake inhibitors (SSRIs) either individually or in conjunction. Moreover, there was better long-term recovery in the treatment groups that received CBT (Hunter et al., 2002: Rapkin &amp; Lewis, 2013).</w:t>
      </w:r>
    </w:p>
    <w:p w14:paraId="3FF8C8BC" w14:textId="6E39C436"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p>
    <w:p w14:paraId="4639A1B3" w14:textId="7306E11F"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color w:val="000000"/>
          <w:kern w:val="0"/>
          <w:sz w:val="22"/>
          <w:szCs w:val="22"/>
          <w:shd w:val="clear" w:color="auto" w:fill="FFFFFF"/>
          <w:lang w:eastAsia="en-GB"/>
          <w14:ligatures w14:val="none"/>
        </w:rPr>
        <w:t>The research highlights how challenging it is to treat Premenstrual Dysphoric Disorder (PMDD) because of its complicated emotional and behavioural symptoms, our limited knowledge of its origin, and the absence of diagnostic tools. It does, however, offer confirmation of the effectiveness of some pharmaceutical treatments, specificall</w:t>
      </w:r>
      <w:r w:rsidRPr="002B0F53">
        <w:rPr>
          <w:rFonts w:ascii="Calibri" w:eastAsia="Times New Roman" w:hAnsi="Calibri" w:cs="Calibri"/>
          <w:color w:val="000000"/>
          <w:kern w:val="0"/>
          <w:sz w:val="22"/>
          <w:szCs w:val="22"/>
          <w:lang w:eastAsia="en-GB"/>
          <w14:ligatures w14:val="none"/>
        </w:rPr>
        <w:t>y when taken during the luteal phase. It also highlights the collaborative advantages of combining cognitive behavioural therapy (CBT) with SSRIs, as evidenced b</w:t>
      </w:r>
      <w:r w:rsidRPr="002B0F53">
        <w:rPr>
          <w:rFonts w:ascii="Calibri" w:eastAsia="Times New Roman" w:hAnsi="Calibri" w:cs="Calibri"/>
          <w:color w:val="000000"/>
          <w:kern w:val="0"/>
          <w:sz w:val="22"/>
          <w:szCs w:val="22"/>
          <w:shd w:val="clear" w:color="auto" w:fill="FFFFFF"/>
          <w:lang w:eastAsia="en-GB"/>
          <w14:ligatures w14:val="none"/>
        </w:rPr>
        <w:t>y studies conducted by Rapkin &amp; Lewis (2013) and Hunter et al. (2002), and this not only show a significant reduction in PMDD symptoms but additionally point to improved long-term outcomes with CBT. Ultimately, the combination of medication and CBT presents a promising route for long-term recovery and symptom management, even though treatment choices for PMDD are limited due to its complexity.</w:t>
      </w:r>
      <w:r w:rsidR="005D6F82" w:rsidRPr="002B0F53">
        <w:rPr>
          <w:rFonts w:ascii="Calibri" w:hAnsi="Calibri" w:cs="Calibri"/>
          <w:noProof/>
          <w:sz w:val="22"/>
          <w:szCs w:val="22"/>
        </w:rPr>
        <w:t xml:space="preserve"> </w:t>
      </w:r>
    </w:p>
    <w:p w14:paraId="2BFD1BDB" w14:textId="506A1348"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p>
    <w:p w14:paraId="28227382"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t>Proposed methodology</w:t>
      </w:r>
    </w:p>
    <w:p w14:paraId="4CB5F8A0"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t>Design - </w:t>
      </w:r>
    </w:p>
    <w:p w14:paraId="7C0FE704"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For those with a diagnosis of PMDD,, this study uses a randomised controlled trial (RCT) design to explore the effectiveness of a rehabilitative intervention utilising CBT. Participants will be allocated at random to one of two groups: the intervention group, which will get CBT, or the control group, which will receive conventional treatment (</w:t>
      </w:r>
      <w:proofErr w:type="spellStart"/>
      <w:r w:rsidRPr="002B0F53">
        <w:rPr>
          <w:rFonts w:ascii="Calibri" w:eastAsia="Times New Roman" w:hAnsi="Calibri" w:cs="Calibri"/>
          <w:color w:val="000000"/>
          <w:kern w:val="0"/>
          <w:sz w:val="22"/>
          <w:szCs w:val="22"/>
          <w:lang w:eastAsia="en-GB"/>
          <w14:ligatures w14:val="none"/>
        </w:rPr>
        <w:t>Borji</w:t>
      </w:r>
      <w:proofErr w:type="spellEnd"/>
      <w:r w:rsidRPr="002B0F53">
        <w:rPr>
          <w:rFonts w:ascii="Calibri" w:eastAsia="Times New Roman" w:hAnsi="Calibri" w:cs="Calibri"/>
          <w:color w:val="000000"/>
          <w:kern w:val="0"/>
          <w:sz w:val="22"/>
          <w:szCs w:val="22"/>
          <w:lang w:eastAsia="en-GB"/>
          <w14:ligatures w14:val="none"/>
        </w:rPr>
        <w:t>-Navan et al., 2022).</w:t>
      </w:r>
    </w:p>
    <w:p w14:paraId="091E7CF1" w14:textId="63D5C380" w:rsidR="00061EEB" w:rsidRPr="002B0F53" w:rsidRDefault="00E90EE3" w:rsidP="00061EEB">
      <w:pPr>
        <w:spacing w:after="0" w:line="240" w:lineRule="auto"/>
        <w:rPr>
          <w:rFonts w:ascii="Calibri" w:eastAsia="Times New Roman" w:hAnsi="Calibri" w:cs="Calibri"/>
          <w:kern w:val="0"/>
          <w:sz w:val="22"/>
          <w:szCs w:val="22"/>
          <w:lang w:eastAsia="en-GB"/>
          <w14:ligatures w14:val="none"/>
        </w:rPr>
      </w:pPr>
      <w:r w:rsidRPr="002B0F53">
        <w:rPr>
          <w:rFonts w:ascii="Calibri" w:hAnsi="Calibri" w:cs="Calibri"/>
          <w:noProof/>
          <w:sz w:val="22"/>
          <w:szCs w:val="22"/>
        </w:rPr>
        <w:drawing>
          <wp:anchor distT="0" distB="0" distL="114300" distR="114300" simplePos="0" relativeHeight="251663360" behindDoc="1" locked="0" layoutInCell="1" allowOverlap="1" wp14:anchorId="1FD834EB" wp14:editId="682FB8F9">
            <wp:simplePos x="0" y="0"/>
            <wp:positionH relativeFrom="margin">
              <wp:align>left</wp:align>
            </wp:positionH>
            <wp:positionV relativeFrom="paragraph">
              <wp:posOffset>175895</wp:posOffset>
            </wp:positionV>
            <wp:extent cx="3638550" cy="2046605"/>
            <wp:effectExtent l="0" t="0" r="0" b="0"/>
            <wp:wrapTight wrapText="bothSides">
              <wp:wrapPolygon edited="0">
                <wp:start x="0" y="0"/>
                <wp:lineTo x="0" y="21312"/>
                <wp:lineTo x="21487" y="21312"/>
                <wp:lineTo x="21487" y="0"/>
                <wp:lineTo x="0" y="0"/>
              </wp:wrapPolygon>
            </wp:wrapTight>
            <wp:docPr id="361367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36709" name=""/>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3638550" cy="2046605"/>
                    </a:xfrm>
                    <a:prstGeom prst="rect">
                      <a:avLst/>
                    </a:prstGeom>
                  </pic:spPr>
                </pic:pic>
              </a:graphicData>
            </a:graphic>
            <wp14:sizeRelH relativeFrom="margin">
              <wp14:pctWidth>0</wp14:pctWidth>
            </wp14:sizeRelH>
            <wp14:sizeRelV relativeFrom="margin">
              <wp14:pctHeight>0</wp14:pctHeight>
            </wp14:sizeRelV>
          </wp:anchor>
        </w:drawing>
      </w:r>
    </w:p>
    <w:p w14:paraId="71ABE005" w14:textId="064ECE3A"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t>Participants -</w:t>
      </w:r>
    </w:p>
    <w:p w14:paraId="69BE220A" w14:textId="5D1AAFC3"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The target population consists of adult females who meet the DSM-5's diagnostic standards for PMDD (American Psychiatric Association, 2022). The recruitment of participants will take place through internet forums, community health facilities, and gynaecological clinics. A verified PMDD diagnosis, being between the ages of 18 and 45, and being competent to converse effectively in English are requirements for participation and will aid in the reliability of the rehabilitative proposal. </w:t>
      </w:r>
    </w:p>
    <w:p w14:paraId="3E2CCE26"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p>
    <w:p w14:paraId="29C455A6" w14:textId="77777777" w:rsidR="00D32313" w:rsidRDefault="00D32313" w:rsidP="00061EEB">
      <w:pPr>
        <w:spacing w:after="0" w:line="240" w:lineRule="auto"/>
        <w:rPr>
          <w:rFonts w:ascii="Calibri" w:eastAsia="Times New Roman" w:hAnsi="Calibri" w:cs="Calibri"/>
          <w:b/>
          <w:bCs/>
          <w:color w:val="000000"/>
          <w:kern w:val="0"/>
          <w:sz w:val="22"/>
          <w:szCs w:val="22"/>
          <w:lang w:eastAsia="en-GB"/>
          <w14:ligatures w14:val="none"/>
        </w:rPr>
      </w:pPr>
    </w:p>
    <w:p w14:paraId="36231BF7" w14:textId="77777777" w:rsidR="00D32313" w:rsidRDefault="00D32313" w:rsidP="00061EEB">
      <w:pPr>
        <w:spacing w:after="0" w:line="240" w:lineRule="auto"/>
        <w:rPr>
          <w:rFonts w:ascii="Calibri" w:eastAsia="Times New Roman" w:hAnsi="Calibri" w:cs="Calibri"/>
          <w:b/>
          <w:bCs/>
          <w:color w:val="000000"/>
          <w:kern w:val="0"/>
          <w:sz w:val="22"/>
          <w:szCs w:val="22"/>
          <w:lang w:eastAsia="en-GB"/>
          <w14:ligatures w14:val="none"/>
        </w:rPr>
      </w:pPr>
    </w:p>
    <w:p w14:paraId="7306404C" w14:textId="77777777" w:rsidR="00D32313" w:rsidRDefault="00D32313" w:rsidP="00061EEB">
      <w:pPr>
        <w:spacing w:after="0" w:line="240" w:lineRule="auto"/>
        <w:rPr>
          <w:rFonts w:ascii="Calibri" w:eastAsia="Times New Roman" w:hAnsi="Calibri" w:cs="Calibri"/>
          <w:b/>
          <w:bCs/>
          <w:color w:val="000000"/>
          <w:kern w:val="0"/>
          <w:sz w:val="22"/>
          <w:szCs w:val="22"/>
          <w:lang w:eastAsia="en-GB"/>
          <w14:ligatures w14:val="none"/>
        </w:rPr>
      </w:pPr>
    </w:p>
    <w:p w14:paraId="3C97CEB1" w14:textId="77777777" w:rsidR="00D32313" w:rsidRDefault="00D32313" w:rsidP="00061EEB">
      <w:pPr>
        <w:spacing w:after="0" w:line="240" w:lineRule="auto"/>
        <w:rPr>
          <w:rFonts w:ascii="Calibri" w:eastAsia="Times New Roman" w:hAnsi="Calibri" w:cs="Calibri"/>
          <w:b/>
          <w:bCs/>
          <w:color w:val="000000"/>
          <w:kern w:val="0"/>
          <w:sz w:val="22"/>
          <w:szCs w:val="22"/>
          <w:lang w:eastAsia="en-GB"/>
          <w14:ligatures w14:val="none"/>
        </w:rPr>
      </w:pPr>
    </w:p>
    <w:p w14:paraId="57ED4C96" w14:textId="51DD948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lastRenderedPageBreak/>
        <w:t>Criteria for exclusion -</w:t>
      </w:r>
    </w:p>
    <w:p w14:paraId="45A00CF4" w14:textId="3284D5A0" w:rsidR="00061EEB" w:rsidRPr="002B0F53" w:rsidRDefault="00F511A1" w:rsidP="00061EEB">
      <w:pPr>
        <w:spacing w:after="0" w:line="240" w:lineRule="auto"/>
        <w:rPr>
          <w:rFonts w:ascii="Calibri" w:eastAsia="Times New Roman" w:hAnsi="Calibri" w:cs="Calibri"/>
          <w:kern w:val="0"/>
          <w:sz w:val="22"/>
          <w:szCs w:val="22"/>
          <w:lang w:eastAsia="en-GB"/>
          <w14:ligatures w14:val="none"/>
        </w:rPr>
      </w:pPr>
      <w:r w:rsidRPr="002B0F53">
        <w:rPr>
          <w:rFonts w:ascii="Calibri" w:hAnsi="Calibri" w:cs="Calibri"/>
          <w:noProof/>
          <w:sz w:val="22"/>
          <w:szCs w:val="22"/>
        </w:rPr>
        <w:drawing>
          <wp:anchor distT="0" distB="0" distL="114300" distR="114300" simplePos="0" relativeHeight="251664384" behindDoc="1" locked="0" layoutInCell="1" allowOverlap="1" wp14:anchorId="59A1C0B4" wp14:editId="0BEC9F4A">
            <wp:simplePos x="0" y="0"/>
            <wp:positionH relativeFrom="column">
              <wp:posOffset>-176018</wp:posOffset>
            </wp:positionH>
            <wp:positionV relativeFrom="paragraph">
              <wp:posOffset>-165</wp:posOffset>
            </wp:positionV>
            <wp:extent cx="3133725" cy="1762125"/>
            <wp:effectExtent l="0" t="0" r="0" b="9525"/>
            <wp:wrapTight wrapText="bothSides">
              <wp:wrapPolygon edited="0">
                <wp:start x="0" y="0"/>
                <wp:lineTo x="0" y="21483"/>
                <wp:lineTo x="21403" y="21483"/>
                <wp:lineTo x="21403" y="0"/>
                <wp:lineTo x="0" y="0"/>
              </wp:wrapPolygon>
            </wp:wrapTight>
            <wp:docPr id="115741464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414641" name=""/>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3133725" cy="1762125"/>
                    </a:xfrm>
                    <a:prstGeom prst="rect">
                      <a:avLst/>
                    </a:prstGeom>
                  </pic:spPr>
                </pic:pic>
              </a:graphicData>
            </a:graphic>
          </wp:anchor>
        </w:drawing>
      </w:r>
      <w:r w:rsidR="00061EEB" w:rsidRPr="002B0F53">
        <w:rPr>
          <w:rFonts w:ascii="Calibri" w:eastAsia="Times New Roman" w:hAnsi="Calibri" w:cs="Calibri"/>
          <w:color w:val="000000"/>
          <w:kern w:val="0"/>
          <w:sz w:val="22"/>
          <w:szCs w:val="22"/>
          <w:lang w:eastAsia="en-GB"/>
          <w14:ligatures w14:val="none"/>
        </w:rPr>
        <w:t>Severe comorbid mental illnesses, hormone therapy started within the previous three months, and being pregnant or breastfeeding at the time of application as well as those experiencing menopausal or pre-menopausal symptoms are all factors for exclusion (Reproductive psychiatry resource &amp; information centre, 2008). </w:t>
      </w:r>
    </w:p>
    <w:p w14:paraId="281DCD26" w14:textId="59B03AB1"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p>
    <w:p w14:paraId="1A5402D9" w14:textId="5CE0FD95"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t>Materials - </w:t>
      </w:r>
    </w:p>
    <w:p w14:paraId="23FE02B8"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The intervention procedure will commence with structured clinical interviews and the completion of standardised questionnaires, such as the Premenstrual Dysphoric Disorder Impact Questionnaire (PDDIQ) as described by Wallenstein et al., (2008) and the Premenstrual Symptoms Screening Tool (PSST) by Takeda et al., (2020). These tests are intended to evaluate symptom severity and validate the diagnosis of PMDD. In addition, participants will use a mood tracking app or diary, such as "Me v PMDD," "Clue app," or "Flo Health," to record daily fluctuations in mood, physical symptoms, and contextual factors. Participant comprehension of their PMDD experiences is deepened through regular monitoring with this tool, which increases the efficacy of the intervention (Adnan et al., 2021).</w:t>
      </w:r>
    </w:p>
    <w:p w14:paraId="62BB160C"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p>
    <w:p w14:paraId="3E49B5F5"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t>Procedure - </w:t>
      </w:r>
    </w:p>
    <w:p w14:paraId="2CD64B8D" w14:textId="6C5C58A3" w:rsidR="00061EEB" w:rsidRPr="002B0F53" w:rsidRDefault="00E336BC" w:rsidP="00061EEB">
      <w:pPr>
        <w:spacing w:after="0" w:line="240" w:lineRule="auto"/>
        <w:rPr>
          <w:rFonts w:ascii="Calibri" w:eastAsia="Times New Roman" w:hAnsi="Calibri" w:cs="Calibri"/>
          <w:kern w:val="0"/>
          <w:sz w:val="22"/>
          <w:szCs w:val="22"/>
          <w:lang w:eastAsia="en-GB"/>
          <w14:ligatures w14:val="none"/>
        </w:rPr>
      </w:pPr>
      <w:r w:rsidRPr="002B0F53">
        <w:rPr>
          <w:rFonts w:ascii="Calibri" w:hAnsi="Calibri" w:cs="Calibri"/>
          <w:noProof/>
          <w:sz w:val="22"/>
          <w:szCs w:val="22"/>
        </w:rPr>
        <w:drawing>
          <wp:anchor distT="0" distB="0" distL="114300" distR="114300" simplePos="0" relativeHeight="251665408" behindDoc="1" locked="0" layoutInCell="1" allowOverlap="1" wp14:anchorId="77EAE86B" wp14:editId="70E99EC5">
            <wp:simplePos x="0" y="0"/>
            <wp:positionH relativeFrom="column">
              <wp:posOffset>33338</wp:posOffset>
            </wp:positionH>
            <wp:positionV relativeFrom="paragraph">
              <wp:posOffset>-47625</wp:posOffset>
            </wp:positionV>
            <wp:extent cx="3014663" cy="1695706"/>
            <wp:effectExtent l="0" t="0" r="0" b="0"/>
            <wp:wrapTight wrapText="bothSides">
              <wp:wrapPolygon edited="0">
                <wp:start x="0" y="0"/>
                <wp:lineTo x="0" y="21357"/>
                <wp:lineTo x="21432" y="21357"/>
                <wp:lineTo x="21432" y="0"/>
                <wp:lineTo x="0" y="0"/>
              </wp:wrapPolygon>
            </wp:wrapTight>
            <wp:docPr id="10107289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728923" name=""/>
                    <pic:cNvPicPr/>
                  </pic:nvPicPr>
                  <pic:blipFill>
                    <a:blip r:embed="rId23" cstate="print">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3014663" cy="1695706"/>
                    </a:xfrm>
                    <a:prstGeom prst="rect">
                      <a:avLst/>
                    </a:prstGeom>
                  </pic:spPr>
                </pic:pic>
              </a:graphicData>
            </a:graphic>
          </wp:anchor>
        </w:drawing>
      </w:r>
      <w:r w:rsidR="00061EEB" w:rsidRPr="002B0F53">
        <w:rPr>
          <w:rFonts w:ascii="Calibri" w:eastAsia="Times New Roman" w:hAnsi="Calibri" w:cs="Calibri"/>
          <w:color w:val="000000"/>
          <w:kern w:val="0"/>
          <w:sz w:val="22"/>
          <w:szCs w:val="22"/>
          <w:lang w:eastAsia="en-GB"/>
          <w14:ligatures w14:val="none"/>
        </w:rPr>
        <w:t>To confirm the diagnosis of PMDD, eligible individuals must complete an initial screening. Participants will also have an initial assessment of their quality of life and the severity of their symptoms (Takeda et al., 2020). Randomization codes generated by the computer will be used to assign participants at random to the intervention or control group. Individual CBT sessions aimed at treating PMDD symptoms will be provided to the intervention group for twelve weeks. The sessions will include behavioural therapy, cognitive restructuring as well as mindfulness. Participants in the control group will get routine medical attention (</w:t>
      </w:r>
      <w:proofErr w:type="spellStart"/>
      <w:r w:rsidR="00061EEB" w:rsidRPr="002B0F53">
        <w:rPr>
          <w:rFonts w:ascii="Calibri" w:eastAsia="Times New Roman" w:hAnsi="Calibri" w:cs="Calibri"/>
          <w:color w:val="000000"/>
          <w:kern w:val="0"/>
          <w:sz w:val="22"/>
          <w:szCs w:val="22"/>
          <w:lang w:eastAsia="en-GB"/>
          <w14:ligatures w14:val="none"/>
        </w:rPr>
        <w:t>Kleinstäuber</w:t>
      </w:r>
      <w:proofErr w:type="spellEnd"/>
      <w:r w:rsidR="00061EEB" w:rsidRPr="002B0F53">
        <w:rPr>
          <w:rFonts w:ascii="Calibri" w:eastAsia="Times New Roman" w:hAnsi="Calibri" w:cs="Calibri"/>
          <w:color w:val="000000"/>
          <w:kern w:val="0"/>
          <w:sz w:val="22"/>
          <w:szCs w:val="22"/>
          <w:lang w:eastAsia="en-GB"/>
          <w14:ligatures w14:val="none"/>
        </w:rPr>
        <w:t xml:space="preserve"> et al., 2012). In order to measure long-term results, post-intervention evaluations will be carried out shortly after the period of intervention, with subsequent evaluations scheduled at 3- and 6-month intervals (Rapkin et al., 2019).</w:t>
      </w:r>
    </w:p>
    <w:p w14:paraId="341D2801"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p>
    <w:p w14:paraId="5D9488A7"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t>Outcome measures</w:t>
      </w:r>
    </w:p>
    <w:p w14:paraId="264B43CA" w14:textId="77777777" w:rsidR="00061EEB" w:rsidRPr="002B0F53" w:rsidRDefault="00061EEB" w:rsidP="00061EEB">
      <w:pPr>
        <w:numPr>
          <w:ilvl w:val="0"/>
          <w:numId w:val="1"/>
        </w:numPr>
        <w:spacing w:after="0" w:line="240" w:lineRule="auto"/>
        <w:textAlignment w:val="baseline"/>
        <w:rPr>
          <w:rFonts w:ascii="Calibri" w:eastAsia="Times New Roman" w:hAnsi="Calibri" w:cs="Calibri"/>
          <w:color w:val="000000"/>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Premenstrual Symptoms Screening Tool (PSST): A questionnaire where individuals can self-report their symptoms (Steege &amp; Blumenthal, 2018).</w:t>
      </w:r>
    </w:p>
    <w:p w14:paraId="30745D0C" w14:textId="0EFF09B0" w:rsidR="00061EEB" w:rsidRPr="002B0F53" w:rsidRDefault="00EE329B" w:rsidP="00061EEB">
      <w:pPr>
        <w:numPr>
          <w:ilvl w:val="0"/>
          <w:numId w:val="1"/>
        </w:numPr>
        <w:shd w:val="clear" w:color="auto" w:fill="FFFFFF"/>
        <w:spacing w:after="0" w:line="240" w:lineRule="auto"/>
        <w:textAlignment w:val="baseline"/>
        <w:rPr>
          <w:rFonts w:ascii="Calibri" w:eastAsia="Times New Roman" w:hAnsi="Calibri" w:cs="Calibri"/>
          <w:b/>
          <w:bCs/>
          <w:color w:val="000000"/>
          <w:kern w:val="0"/>
          <w:sz w:val="22"/>
          <w:szCs w:val="22"/>
          <w:lang w:eastAsia="en-GB"/>
          <w14:ligatures w14:val="none"/>
        </w:rPr>
      </w:pPr>
      <w:r w:rsidRPr="002B0F53">
        <w:rPr>
          <w:rFonts w:ascii="Calibri" w:hAnsi="Calibri" w:cs="Calibri"/>
          <w:noProof/>
          <w:sz w:val="22"/>
          <w:szCs w:val="22"/>
        </w:rPr>
        <w:drawing>
          <wp:anchor distT="0" distB="0" distL="114300" distR="114300" simplePos="0" relativeHeight="251666432" behindDoc="1" locked="0" layoutInCell="1" allowOverlap="1" wp14:anchorId="3CE2E4E3" wp14:editId="57F3B3E2">
            <wp:simplePos x="0" y="0"/>
            <wp:positionH relativeFrom="column">
              <wp:posOffset>-35016</wp:posOffset>
            </wp:positionH>
            <wp:positionV relativeFrom="paragraph">
              <wp:posOffset>117574</wp:posOffset>
            </wp:positionV>
            <wp:extent cx="2981325" cy="1676400"/>
            <wp:effectExtent l="0" t="0" r="0" b="0"/>
            <wp:wrapTight wrapText="bothSides">
              <wp:wrapPolygon edited="0">
                <wp:start x="0" y="0"/>
                <wp:lineTo x="0" y="21355"/>
                <wp:lineTo x="21393" y="21355"/>
                <wp:lineTo x="21393" y="0"/>
                <wp:lineTo x="0" y="0"/>
              </wp:wrapPolygon>
            </wp:wrapTight>
            <wp:docPr id="13280985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098575" name=""/>
                    <pic:cNvPicPr/>
                  </pic:nvPicPr>
                  <pic:blipFill>
                    <a:blip r:embed="rId25" cstate="print">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2981325" cy="1676400"/>
                    </a:xfrm>
                    <a:prstGeom prst="rect">
                      <a:avLst/>
                    </a:prstGeom>
                  </pic:spPr>
                </pic:pic>
              </a:graphicData>
            </a:graphic>
          </wp:anchor>
        </w:drawing>
      </w:r>
      <w:r w:rsidR="00061EEB" w:rsidRPr="002B0F53">
        <w:rPr>
          <w:rFonts w:ascii="Calibri" w:eastAsia="Times New Roman" w:hAnsi="Calibri" w:cs="Calibri"/>
          <w:color w:val="000000"/>
          <w:kern w:val="0"/>
          <w:sz w:val="22"/>
          <w:szCs w:val="22"/>
          <w:lang w:eastAsia="en-GB"/>
          <w14:ligatures w14:val="none"/>
        </w:rPr>
        <w:t>Daily Record of Severity of Problems (DRSP): An app or diary used daily to track any changes in symptoms (Endicott et al., 2006).</w:t>
      </w:r>
    </w:p>
    <w:p w14:paraId="7B2265D4" w14:textId="04C3CECE" w:rsidR="00061EEB" w:rsidRPr="002B0F53" w:rsidRDefault="00061EEB" w:rsidP="00061EEB">
      <w:pPr>
        <w:numPr>
          <w:ilvl w:val="0"/>
          <w:numId w:val="1"/>
        </w:numPr>
        <w:shd w:val="clear" w:color="auto" w:fill="FFFFFF"/>
        <w:spacing w:after="0" w:line="240" w:lineRule="auto"/>
        <w:textAlignment w:val="baseline"/>
        <w:rPr>
          <w:rFonts w:ascii="Calibri" w:eastAsia="Times New Roman" w:hAnsi="Calibri" w:cs="Calibri"/>
          <w:b/>
          <w:bCs/>
          <w:color w:val="000000"/>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Premenstrual Dysphoric Disorder Impact Questionnaire (PDDIQ): A questionnaire in which PMDD patients receive tailored data to better understand the impairments associated with PMDD (Halbreich et al., 2003).</w:t>
      </w:r>
    </w:p>
    <w:p w14:paraId="71A9795D" w14:textId="11AE7222" w:rsidR="00061EEB" w:rsidRPr="002B0F53" w:rsidRDefault="00061EEB" w:rsidP="00061EEB">
      <w:pPr>
        <w:numPr>
          <w:ilvl w:val="0"/>
          <w:numId w:val="1"/>
        </w:numPr>
        <w:shd w:val="clear" w:color="auto" w:fill="FFFFFF"/>
        <w:spacing w:after="0" w:line="240" w:lineRule="auto"/>
        <w:textAlignment w:val="baseline"/>
        <w:rPr>
          <w:rFonts w:ascii="Calibri" w:eastAsia="Times New Roman" w:hAnsi="Calibri" w:cs="Calibri"/>
          <w:b/>
          <w:bCs/>
          <w:color w:val="000000"/>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 xml:space="preserve">Quality of Life Enjoyment and Satisfaction Questionnaire (Q-LES-Q): A questionnaire </w:t>
      </w:r>
      <w:r w:rsidRPr="002B0F53">
        <w:rPr>
          <w:rFonts w:ascii="Calibri" w:eastAsia="Times New Roman" w:hAnsi="Calibri" w:cs="Calibri"/>
          <w:color w:val="000000"/>
          <w:kern w:val="0"/>
          <w:sz w:val="22"/>
          <w:szCs w:val="22"/>
          <w:lang w:eastAsia="en-GB"/>
          <w14:ligatures w14:val="none"/>
        </w:rPr>
        <w:lastRenderedPageBreak/>
        <w:t>which shows the quality of life of the participants and whether they are physically healthy (Endicott et al., 1993).</w:t>
      </w:r>
    </w:p>
    <w:p w14:paraId="0DA1CEAA" w14:textId="77777777" w:rsidR="00061EEB" w:rsidRPr="002B0F53" w:rsidRDefault="00061EEB" w:rsidP="00061EEB">
      <w:pPr>
        <w:shd w:val="clear" w:color="auto" w:fill="FFFFFF"/>
        <w:spacing w:after="0" w:line="240" w:lineRule="auto"/>
        <w:rPr>
          <w:rFonts w:ascii="Calibri" w:eastAsia="Times New Roman" w:hAnsi="Calibri" w:cs="Calibri"/>
          <w:kern w:val="0"/>
          <w:sz w:val="22"/>
          <w:szCs w:val="22"/>
          <w:lang w:eastAsia="en-GB"/>
          <w14:ligatures w14:val="none"/>
        </w:rPr>
      </w:pPr>
    </w:p>
    <w:p w14:paraId="1381F633" w14:textId="77777777" w:rsidR="00061EEB" w:rsidRPr="002B0F53" w:rsidRDefault="00061EEB" w:rsidP="00061EEB">
      <w:pPr>
        <w:shd w:val="clear" w:color="auto" w:fill="FFFFFF"/>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t>Ethical considerations</w:t>
      </w:r>
    </w:p>
    <w:p w14:paraId="7BCEBCF8" w14:textId="77777777" w:rsidR="00061EEB" w:rsidRPr="002B0F53" w:rsidRDefault="00061EEB" w:rsidP="00061EEB">
      <w:pPr>
        <w:numPr>
          <w:ilvl w:val="0"/>
          <w:numId w:val="2"/>
        </w:numPr>
        <w:spacing w:after="0" w:line="240" w:lineRule="auto"/>
        <w:textAlignment w:val="baseline"/>
        <w:rPr>
          <w:rFonts w:ascii="Calibri" w:eastAsia="Times New Roman" w:hAnsi="Calibri" w:cs="Calibri"/>
          <w:color w:val="000000"/>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Informed consent: In order to give their informed consent, study participants must be aware of the goals, risks, and advantages. Two components of mitigation are voluntary involvement and clear information.</w:t>
      </w:r>
    </w:p>
    <w:p w14:paraId="45346A02" w14:textId="68F362B9" w:rsidR="00061EEB" w:rsidRPr="002B0F53" w:rsidRDefault="00D847F1" w:rsidP="00061EEB">
      <w:pPr>
        <w:numPr>
          <w:ilvl w:val="0"/>
          <w:numId w:val="2"/>
        </w:numPr>
        <w:spacing w:after="0" w:line="240" w:lineRule="auto"/>
        <w:textAlignment w:val="baseline"/>
        <w:rPr>
          <w:rFonts w:ascii="Calibri" w:eastAsia="Times New Roman" w:hAnsi="Calibri" w:cs="Calibri"/>
          <w:color w:val="000000"/>
          <w:kern w:val="0"/>
          <w:sz w:val="22"/>
          <w:szCs w:val="22"/>
          <w:lang w:eastAsia="en-GB"/>
          <w14:ligatures w14:val="none"/>
        </w:rPr>
      </w:pPr>
      <w:r w:rsidRPr="002B0F53">
        <w:rPr>
          <w:rFonts w:ascii="Calibri" w:hAnsi="Calibri" w:cs="Calibri"/>
          <w:noProof/>
          <w:sz w:val="22"/>
          <w:szCs w:val="22"/>
        </w:rPr>
        <w:drawing>
          <wp:anchor distT="0" distB="0" distL="114300" distR="114300" simplePos="0" relativeHeight="251667456" behindDoc="1" locked="0" layoutInCell="1" allowOverlap="1" wp14:anchorId="22914F8C" wp14:editId="72934E79">
            <wp:simplePos x="0" y="0"/>
            <wp:positionH relativeFrom="column">
              <wp:posOffset>14287</wp:posOffset>
            </wp:positionH>
            <wp:positionV relativeFrom="paragraph">
              <wp:posOffset>94298</wp:posOffset>
            </wp:positionV>
            <wp:extent cx="3709670" cy="2086610"/>
            <wp:effectExtent l="0" t="0" r="5080" b="8890"/>
            <wp:wrapTight wrapText="bothSides">
              <wp:wrapPolygon edited="0">
                <wp:start x="0" y="0"/>
                <wp:lineTo x="0" y="21495"/>
                <wp:lineTo x="21519" y="21495"/>
                <wp:lineTo x="21519" y="0"/>
                <wp:lineTo x="0" y="0"/>
              </wp:wrapPolygon>
            </wp:wrapTight>
            <wp:docPr id="7364116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411670" name=""/>
                    <pic:cNvPicPr/>
                  </pic:nvPicPr>
                  <pic:blipFill>
                    <a:blip r:embed="rId27" cstate="print">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3709670" cy="2086610"/>
                    </a:xfrm>
                    <a:prstGeom prst="rect">
                      <a:avLst/>
                    </a:prstGeom>
                  </pic:spPr>
                </pic:pic>
              </a:graphicData>
            </a:graphic>
            <wp14:sizeRelH relativeFrom="margin">
              <wp14:pctWidth>0</wp14:pctWidth>
            </wp14:sizeRelH>
            <wp14:sizeRelV relativeFrom="margin">
              <wp14:pctHeight>0</wp14:pctHeight>
            </wp14:sizeRelV>
          </wp:anchor>
        </w:drawing>
      </w:r>
      <w:r w:rsidR="00061EEB" w:rsidRPr="002B0F53">
        <w:rPr>
          <w:rFonts w:ascii="Calibri" w:eastAsia="Times New Roman" w:hAnsi="Calibri" w:cs="Calibri"/>
          <w:color w:val="000000"/>
          <w:kern w:val="0"/>
          <w:sz w:val="22"/>
          <w:szCs w:val="22"/>
          <w:lang w:eastAsia="en-GB"/>
          <w14:ligatures w14:val="none"/>
        </w:rPr>
        <w:t>Confidentiality: Personal data needs to be safeguarded. Strict data management methods and anonymity are necessary for mitigation.</w:t>
      </w:r>
      <w:r w:rsidRPr="002B0F53">
        <w:rPr>
          <w:rFonts w:ascii="Calibri" w:eastAsia="Times New Roman" w:hAnsi="Calibri" w:cs="Calibri"/>
          <w:color w:val="000000"/>
          <w:kern w:val="0"/>
          <w:sz w:val="22"/>
          <w:szCs w:val="22"/>
          <w:lang w:eastAsia="en-GB"/>
          <w14:ligatures w14:val="none"/>
        </w:rPr>
        <w:t xml:space="preserve"> </w:t>
      </w:r>
    </w:p>
    <w:p w14:paraId="06D3A892" w14:textId="1DBFFA55" w:rsidR="00061EEB" w:rsidRPr="002B0F53" w:rsidRDefault="00061EEB" w:rsidP="00061EEB">
      <w:pPr>
        <w:numPr>
          <w:ilvl w:val="0"/>
          <w:numId w:val="2"/>
        </w:numPr>
        <w:spacing w:after="0" w:line="240" w:lineRule="auto"/>
        <w:textAlignment w:val="baseline"/>
        <w:rPr>
          <w:rFonts w:ascii="Calibri" w:eastAsia="Times New Roman" w:hAnsi="Calibri" w:cs="Calibri"/>
          <w:color w:val="000000"/>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Respect for Autonomy: It's important to honour the decisions made by participants, throughout the investigation, mitigation takes preferences into account. </w:t>
      </w:r>
    </w:p>
    <w:p w14:paraId="00F6945A" w14:textId="0CB61EE9" w:rsidR="00061EEB" w:rsidRPr="002B0F53" w:rsidRDefault="00061EEB" w:rsidP="00061EEB">
      <w:pPr>
        <w:numPr>
          <w:ilvl w:val="0"/>
          <w:numId w:val="2"/>
        </w:numPr>
        <w:spacing w:after="0" w:line="240" w:lineRule="auto"/>
        <w:textAlignment w:val="baseline"/>
        <w:rPr>
          <w:rFonts w:ascii="Calibri" w:eastAsia="Times New Roman" w:hAnsi="Calibri" w:cs="Calibri"/>
          <w:color w:val="000000"/>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 xml:space="preserve">Fair Treatment: Ensuring equal access for every individual </w:t>
      </w:r>
      <w:r w:rsidR="00D847F1" w:rsidRPr="002B0F53">
        <w:rPr>
          <w:rFonts w:ascii="Calibri" w:eastAsia="Times New Roman" w:hAnsi="Calibri" w:cs="Calibri"/>
          <w:color w:val="000000"/>
          <w:kern w:val="0"/>
          <w:sz w:val="22"/>
          <w:szCs w:val="22"/>
          <w:lang w:eastAsia="en-GB"/>
          <w14:ligatures w14:val="none"/>
        </w:rPr>
        <w:t>involved</w:t>
      </w:r>
      <w:r w:rsidRPr="002B0F53">
        <w:rPr>
          <w:rFonts w:ascii="Calibri" w:eastAsia="Times New Roman" w:hAnsi="Calibri" w:cs="Calibri"/>
          <w:color w:val="000000"/>
          <w:kern w:val="0"/>
          <w:sz w:val="22"/>
          <w:szCs w:val="22"/>
          <w:lang w:eastAsia="en-GB"/>
          <w14:ligatures w14:val="none"/>
        </w:rPr>
        <w:t xml:space="preserve"> diversity would mitigate this.</w:t>
      </w:r>
    </w:p>
    <w:p w14:paraId="0EA5F3BA" w14:textId="77777777" w:rsidR="00061EEB" w:rsidRPr="002B0F53" w:rsidRDefault="00061EEB" w:rsidP="00061EEB">
      <w:pPr>
        <w:numPr>
          <w:ilvl w:val="0"/>
          <w:numId w:val="2"/>
        </w:numPr>
        <w:spacing w:after="0" w:line="240" w:lineRule="auto"/>
        <w:textAlignment w:val="baseline"/>
        <w:rPr>
          <w:rFonts w:ascii="Calibri" w:eastAsia="Times New Roman" w:hAnsi="Calibri" w:cs="Calibri"/>
          <w:color w:val="000000"/>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Conflicts of interest: Transparency is essential when dealing with conflicts of interest. Mitigation strategies include transparency and accountable oversight.</w:t>
      </w:r>
    </w:p>
    <w:p w14:paraId="0F83CE70" w14:textId="77777777" w:rsidR="00061EEB" w:rsidRPr="002B0F53" w:rsidRDefault="00061EEB" w:rsidP="00061EEB">
      <w:pPr>
        <w:numPr>
          <w:ilvl w:val="0"/>
          <w:numId w:val="2"/>
        </w:numPr>
        <w:spacing w:after="0" w:line="240" w:lineRule="auto"/>
        <w:textAlignment w:val="baseline"/>
        <w:rPr>
          <w:rFonts w:ascii="Calibri" w:eastAsia="Times New Roman" w:hAnsi="Calibri" w:cs="Calibri"/>
          <w:color w:val="000000"/>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Regulatory compliance: Detailed documentation of the study is required and approval of an ethics panel or Institutional review board is required. </w:t>
      </w:r>
    </w:p>
    <w:p w14:paraId="4E934F94"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p>
    <w:p w14:paraId="0460BB65" w14:textId="3CB640C8"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 xml:space="preserve">The study improves the internal validity of findings by guaranteeing comparability and fairness between the intervention and control groups by randomised allocation. The customised 12-week CBT sessions may result in improved symptom management. However, the study's generalizability may be limited by the recruiting strategies. Ethical issues have been taken into </w:t>
      </w:r>
      <w:proofErr w:type="gramStart"/>
      <w:r w:rsidRPr="002B0F53">
        <w:rPr>
          <w:rFonts w:ascii="Calibri" w:eastAsia="Times New Roman" w:hAnsi="Calibri" w:cs="Calibri"/>
          <w:color w:val="000000"/>
          <w:kern w:val="0"/>
          <w:sz w:val="22"/>
          <w:szCs w:val="22"/>
          <w:lang w:eastAsia="en-GB"/>
          <w14:ligatures w14:val="none"/>
        </w:rPr>
        <w:t>consideration,</w:t>
      </w:r>
      <w:proofErr w:type="gramEnd"/>
      <w:r w:rsidRPr="002B0F53">
        <w:rPr>
          <w:rFonts w:ascii="Calibri" w:eastAsia="Times New Roman" w:hAnsi="Calibri" w:cs="Calibri"/>
          <w:color w:val="000000"/>
          <w:kern w:val="0"/>
          <w:sz w:val="22"/>
          <w:szCs w:val="22"/>
          <w:lang w:eastAsia="en-GB"/>
          <w14:ligatures w14:val="none"/>
        </w:rPr>
        <w:t xml:space="preserve"> however it may be strengthened through focusing more attention to control group design and measurement tool validation.</w:t>
      </w:r>
    </w:p>
    <w:p w14:paraId="0E01CC97" w14:textId="5C2945AE" w:rsidR="00061EEB" w:rsidRPr="002B0F53" w:rsidRDefault="00D32313" w:rsidP="00061EEB">
      <w:pPr>
        <w:spacing w:after="0" w:line="240" w:lineRule="auto"/>
        <w:rPr>
          <w:rFonts w:ascii="Calibri" w:eastAsia="Times New Roman" w:hAnsi="Calibri" w:cs="Calibri"/>
          <w:kern w:val="0"/>
          <w:sz w:val="22"/>
          <w:szCs w:val="22"/>
          <w:lang w:eastAsia="en-GB"/>
          <w14:ligatures w14:val="none"/>
        </w:rPr>
      </w:pPr>
      <w:r w:rsidRPr="002B0F53">
        <w:rPr>
          <w:rFonts w:ascii="Calibri" w:hAnsi="Calibri" w:cs="Calibri"/>
          <w:noProof/>
          <w:sz w:val="22"/>
          <w:szCs w:val="22"/>
        </w:rPr>
        <w:drawing>
          <wp:anchor distT="0" distB="0" distL="114300" distR="114300" simplePos="0" relativeHeight="251668480" behindDoc="1" locked="0" layoutInCell="1" allowOverlap="1" wp14:anchorId="3B63B187" wp14:editId="70686CEC">
            <wp:simplePos x="0" y="0"/>
            <wp:positionH relativeFrom="margin">
              <wp:posOffset>-196215</wp:posOffset>
            </wp:positionH>
            <wp:positionV relativeFrom="paragraph">
              <wp:posOffset>-2540</wp:posOffset>
            </wp:positionV>
            <wp:extent cx="3562350" cy="2003425"/>
            <wp:effectExtent l="0" t="0" r="0" b="0"/>
            <wp:wrapTight wrapText="bothSides">
              <wp:wrapPolygon edited="0">
                <wp:start x="0" y="0"/>
                <wp:lineTo x="0" y="21360"/>
                <wp:lineTo x="21484" y="21360"/>
                <wp:lineTo x="21484" y="0"/>
                <wp:lineTo x="0" y="0"/>
              </wp:wrapPolygon>
            </wp:wrapTight>
            <wp:docPr id="1873834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8346" name=""/>
                    <pic:cNvPicPr/>
                  </pic:nvPicPr>
                  <pic:blipFill>
                    <a:blip r:embed="rId29" cstate="print">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3562350" cy="2003425"/>
                    </a:xfrm>
                    <a:prstGeom prst="rect">
                      <a:avLst/>
                    </a:prstGeom>
                  </pic:spPr>
                </pic:pic>
              </a:graphicData>
            </a:graphic>
            <wp14:sizeRelH relativeFrom="margin">
              <wp14:pctWidth>0</wp14:pctWidth>
            </wp14:sizeRelH>
            <wp14:sizeRelV relativeFrom="margin">
              <wp14:pctHeight>0</wp14:pctHeight>
            </wp14:sizeRelV>
          </wp:anchor>
        </w:drawing>
      </w:r>
    </w:p>
    <w:p w14:paraId="7612677D" w14:textId="10D52641"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t>Conclusion</w:t>
      </w:r>
    </w:p>
    <w:p w14:paraId="3B190DD0" w14:textId="557F7EAF"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CBT has allowed individuals with PMDD to feel that they have a control over their symptoms and CBT has aided in minimising the overall symptoms experienced in PMDD patients (Weise et al., 2019; Izadi-</w:t>
      </w:r>
      <w:proofErr w:type="spellStart"/>
      <w:r w:rsidRPr="002B0F53">
        <w:rPr>
          <w:rFonts w:ascii="Calibri" w:eastAsia="Times New Roman" w:hAnsi="Calibri" w:cs="Calibri"/>
          <w:color w:val="000000"/>
          <w:kern w:val="0"/>
          <w:sz w:val="22"/>
          <w:szCs w:val="22"/>
          <w:lang w:eastAsia="en-GB"/>
          <w14:ligatures w14:val="none"/>
        </w:rPr>
        <w:t>Mazidi</w:t>
      </w:r>
      <w:proofErr w:type="spellEnd"/>
      <w:r w:rsidRPr="002B0F53">
        <w:rPr>
          <w:rFonts w:ascii="Calibri" w:eastAsia="Times New Roman" w:hAnsi="Calibri" w:cs="Calibri"/>
          <w:color w:val="000000"/>
          <w:kern w:val="0"/>
          <w:sz w:val="22"/>
          <w:szCs w:val="22"/>
          <w:lang w:eastAsia="en-GB"/>
          <w14:ligatures w14:val="none"/>
        </w:rPr>
        <w:t xml:space="preserve"> et al., 2016). Some studies criticised the use of CBT, however more recent research revealed it to be effective with PMDD </w:t>
      </w:r>
      <w:r w:rsidRPr="002B0F53">
        <w:rPr>
          <w:rFonts w:ascii="Calibri" w:eastAsia="Times New Roman" w:hAnsi="Calibri" w:cs="Calibri"/>
          <w:color w:val="000000"/>
          <w:kern w:val="0"/>
          <w:sz w:val="22"/>
          <w:szCs w:val="22"/>
          <w:shd w:val="clear" w:color="auto" w:fill="FFFFFF"/>
          <w:lang w:eastAsia="en-GB"/>
          <w14:ligatures w14:val="none"/>
        </w:rPr>
        <w:t xml:space="preserve">(Hunter et al., 2002: Rapkin &amp; Lewis, 2013). </w:t>
      </w:r>
      <w:r w:rsidRPr="002B0F53">
        <w:rPr>
          <w:rFonts w:ascii="Calibri" w:eastAsia="Times New Roman" w:hAnsi="Calibri" w:cs="Calibri"/>
          <w:color w:val="000000"/>
          <w:kern w:val="0"/>
          <w:sz w:val="22"/>
          <w:szCs w:val="22"/>
          <w:lang w:eastAsia="en-GB"/>
          <w14:ligatures w14:val="none"/>
        </w:rPr>
        <w:t>With the use of quantitative analysis and apps or diaries individuals are able to track their symptoms for any changes (Adnan et al., 2021) allowing those with PMDD to have a better quality of life overall. </w:t>
      </w:r>
    </w:p>
    <w:p w14:paraId="4B33B183" w14:textId="1E9FF0E0"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p>
    <w:p w14:paraId="192DDD56" w14:textId="40632C20"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t>Bibliography</w:t>
      </w:r>
    </w:p>
    <w:p w14:paraId="2F8BA1FF"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Adnan, T., Coull, B. A., Jukic, A. M., &amp; </w:t>
      </w:r>
      <w:proofErr w:type="spellStart"/>
      <w:r w:rsidRPr="002B0F53">
        <w:rPr>
          <w:rFonts w:ascii="Calibri" w:hAnsi="Calibri" w:cs="Calibri"/>
          <w:sz w:val="22"/>
          <w:szCs w:val="22"/>
        </w:rPr>
        <w:t>Mahalingaiah</w:t>
      </w:r>
      <w:proofErr w:type="spellEnd"/>
      <w:r w:rsidRPr="002B0F53">
        <w:rPr>
          <w:rFonts w:ascii="Calibri" w:hAnsi="Calibri" w:cs="Calibri"/>
          <w:sz w:val="22"/>
          <w:szCs w:val="22"/>
        </w:rPr>
        <w:t xml:space="preserve">, S. (2021). The real-world applications of the symptom tracking functionality available to menstrual health tracking apps. </w:t>
      </w:r>
      <w:r w:rsidRPr="002B0F53">
        <w:rPr>
          <w:rFonts w:ascii="Calibri" w:hAnsi="Calibri" w:cs="Calibri"/>
          <w:i/>
          <w:iCs/>
          <w:sz w:val="22"/>
          <w:szCs w:val="22"/>
        </w:rPr>
        <w:t xml:space="preserve">Current Opinion </w:t>
      </w:r>
      <w:r w:rsidRPr="002B0F53">
        <w:rPr>
          <w:rFonts w:ascii="Calibri" w:hAnsi="Calibri" w:cs="Calibri"/>
          <w:i/>
          <w:iCs/>
          <w:sz w:val="22"/>
          <w:szCs w:val="22"/>
        </w:rPr>
        <w:lastRenderedPageBreak/>
        <w:t>in Endocrinology, Diabetes &amp; Obesity</w:t>
      </w:r>
      <w:r w:rsidRPr="002B0F53">
        <w:rPr>
          <w:rFonts w:ascii="Calibri" w:hAnsi="Calibri" w:cs="Calibri"/>
          <w:sz w:val="22"/>
          <w:szCs w:val="22"/>
        </w:rPr>
        <w:t xml:space="preserve">, </w:t>
      </w:r>
      <w:r w:rsidRPr="002B0F53">
        <w:rPr>
          <w:rFonts w:ascii="Calibri" w:hAnsi="Calibri" w:cs="Calibri"/>
          <w:i/>
          <w:iCs/>
          <w:sz w:val="22"/>
          <w:szCs w:val="22"/>
        </w:rPr>
        <w:t>Publish Ahead of Print</w:t>
      </w:r>
      <w:r w:rsidRPr="002B0F53">
        <w:rPr>
          <w:rFonts w:ascii="Calibri" w:hAnsi="Calibri" w:cs="Calibri"/>
          <w:sz w:val="22"/>
          <w:szCs w:val="22"/>
        </w:rPr>
        <w:t>(3), 574–586. PubMed Central. https://doi.org/10.1097/med.0000000000000682</w:t>
      </w:r>
    </w:p>
    <w:p w14:paraId="1AD2871C"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proofErr w:type="spellStart"/>
      <w:r w:rsidRPr="002B0F53">
        <w:rPr>
          <w:rFonts w:ascii="Calibri" w:hAnsi="Calibri" w:cs="Calibri"/>
          <w:sz w:val="22"/>
          <w:szCs w:val="22"/>
        </w:rPr>
        <w:t>Alevizou</w:t>
      </w:r>
      <w:proofErr w:type="spellEnd"/>
      <w:r w:rsidRPr="002B0F53">
        <w:rPr>
          <w:rFonts w:ascii="Calibri" w:hAnsi="Calibri" w:cs="Calibri"/>
          <w:sz w:val="22"/>
          <w:szCs w:val="22"/>
        </w:rPr>
        <w:t xml:space="preserve">, F., </w:t>
      </w:r>
      <w:proofErr w:type="spellStart"/>
      <w:r w:rsidRPr="002B0F53">
        <w:rPr>
          <w:rFonts w:ascii="Calibri" w:hAnsi="Calibri" w:cs="Calibri"/>
          <w:sz w:val="22"/>
          <w:szCs w:val="22"/>
        </w:rPr>
        <w:t>Vousoura</w:t>
      </w:r>
      <w:proofErr w:type="spellEnd"/>
      <w:r w:rsidRPr="002B0F53">
        <w:rPr>
          <w:rFonts w:ascii="Calibri" w:hAnsi="Calibri" w:cs="Calibri"/>
          <w:sz w:val="22"/>
          <w:szCs w:val="22"/>
        </w:rPr>
        <w:t xml:space="preserve">, E., &amp; Leonardou, A. (2018). Premenstrual Dysphoric Disorder: A Critical Review of Its Phenomenology, </w:t>
      </w:r>
      <w:proofErr w:type="spellStart"/>
      <w:r w:rsidRPr="002B0F53">
        <w:rPr>
          <w:rFonts w:ascii="Calibri" w:hAnsi="Calibri" w:cs="Calibri"/>
          <w:sz w:val="22"/>
          <w:szCs w:val="22"/>
        </w:rPr>
        <w:t>Etiology</w:t>
      </w:r>
      <w:proofErr w:type="spellEnd"/>
      <w:r w:rsidRPr="002B0F53">
        <w:rPr>
          <w:rFonts w:ascii="Calibri" w:hAnsi="Calibri" w:cs="Calibri"/>
          <w:sz w:val="22"/>
          <w:szCs w:val="22"/>
        </w:rPr>
        <w:t xml:space="preserve">, Treatment and Clinical Status. </w:t>
      </w:r>
      <w:r w:rsidRPr="002B0F53">
        <w:rPr>
          <w:rFonts w:ascii="Calibri" w:hAnsi="Calibri" w:cs="Calibri"/>
          <w:i/>
          <w:iCs/>
          <w:sz w:val="22"/>
          <w:szCs w:val="22"/>
        </w:rPr>
        <w:t>Current Women S Health Reviews</w:t>
      </w:r>
      <w:r w:rsidRPr="002B0F53">
        <w:rPr>
          <w:rFonts w:ascii="Calibri" w:hAnsi="Calibri" w:cs="Calibri"/>
          <w:sz w:val="22"/>
          <w:szCs w:val="22"/>
        </w:rPr>
        <w:t xml:space="preserve">, </w:t>
      </w:r>
      <w:r w:rsidRPr="002B0F53">
        <w:rPr>
          <w:rFonts w:ascii="Calibri" w:hAnsi="Calibri" w:cs="Calibri"/>
          <w:i/>
          <w:iCs/>
          <w:sz w:val="22"/>
          <w:szCs w:val="22"/>
        </w:rPr>
        <w:t>14</w:t>
      </w:r>
      <w:r w:rsidRPr="002B0F53">
        <w:rPr>
          <w:rFonts w:ascii="Calibri" w:hAnsi="Calibri" w:cs="Calibri"/>
          <w:sz w:val="22"/>
          <w:szCs w:val="22"/>
        </w:rPr>
        <w:t xml:space="preserve">(1), 59–66. </w:t>
      </w:r>
      <w:proofErr w:type="spellStart"/>
      <w:r w:rsidRPr="002B0F53">
        <w:rPr>
          <w:rFonts w:ascii="Calibri" w:hAnsi="Calibri" w:cs="Calibri"/>
          <w:sz w:val="22"/>
          <w:szCs w:val="22"/>
        </w:rPr>
        <w:t>Ingenta</w:t>
      </w:r>
      <w:proofErr w:type="spellEnd"/>
      <w:r w:rsidRPr="002B0F53">
        <w:rPr>
          <w:rFonts w:ascii="Calibri" w:hAnsi="Calibri" w:cs="Calibri"/>
          <w:sz w:val="22"/>
          <w:szCs w:val="22"/>
        </w:rPr>
        <w:t xml:space="preserve"> connect. https://doi.org/10.2174/1573404813666171027141849</w:t>
      </w:r>
    </w:p>
    <w:p w14:paraId="1995FDFD"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American Psychiatric Association. (2022). Diagnostic and statistical manual of mental disorders. </w:t>
      </w:r>
      <w:r w:rsidRPr="002B0F53">
        <w:rPr>
          <w:rFonts w:ascii="Calibri" w:hAnsi="Calibri" w:cs="Calibri"/>
          <w:i/>
          <w:iCs/>
          <w:sz w:val="22"/>
          <w:szCs w:val="22"/>
        </w:rPr>
        <w:t>Diagnostic and Statistical Manual of Mental Disorders, Fifth Edition, Text Revision (DSM-5-TR)</w:t>
      </w:r>
      <w:r w:rsidRPr="002B0F53">
        <w:rPr>
          <w:rFonts w:ascii="Calibri" w:hAnsi="Calibri" w:cs="Calibri"/>
          <w:sz w:val="22"/>
          <w:szCs w:val="22"/>
        </w:rPr>
        <w:t xml:space="preserve">, </w:t>
      </w:r>
      <w:r w:rsidRPr="002B0F53">
        <w:rPr>
          <w:rFonts w:ascii="Calibri" w:hAnsi="Calibri" w:cs="Calibri"/>
          <w:i/>
          <w:iCs/>
          <w:sz w:val="22"/>
          <w:szCs w:val="22"/>
        </w:rPr>
        <w:t>5</w:t>
      </w:r>
      <w:r w:rsidRPr="002B0F53">
        <w:rPr>
          <w:rFonts w:ascii="Calibri" w:hAnsi="Calibri" w:cs="Calibri"/>
          <w:sz w:val="22"/>
          <w:szCs w:val="22"/>
        </w:rPr>
        <w:t>(5), 171–175. Psychiatry Online. https://doi.org/10.1176/appi.books.9780890425787</w:t>
      </w:r>
    </w:p>
    <w:p w14:paraId="2A3D8AF5"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proofErr w:type="spellStart"/>
      <w:r w:rsidRPr="002B0F53">
        <w:rPr>
          <w:rFonts w:ascii="Calibri" w:hAnsi="Calibri" w:cs="Calibri"/>
          <w:sz w:val="22"/>
          <w:szCs w:val="22"/>
        </w:rPr>
        <w:t>Borji</w:t>
      </w:r>
      <w:proofErr w:type="spellEnd"/>
      <w:r w:rsidRPr="002B0F53">
        <w:rPr>
          <w:rFonts w:ascii="Calibri" w:hAnsi="Calibri" w:cs="Calibri"/>
          <w:sz w:val="22"/>
          <w:szCs w:val="22"/>
        </w:rPr>
        <w:t>-Navan, S., Mohammad-Alizadeh-</w:t>
      </w:r>
      <w:proofErr w:type="spellStart"/>
      <w:r w:rsidRPr="002B0F53">
        <w:rPr>
          <w:rFonts w:ascii="Calibri" w:hAnsi="Calibri" w:cs="Calibri"/>
          <w:sz w:val="22"/>
          <w:szCs w:val="22"/>
        </w:rPr>
        <w:t>Charandabi</w:t>
      </w:r>
      <w:proofErr w:type="spellEnd"/>
      <w:r w:rsidRPr="002B0F53">
        <w:rPr>
          <w:rFonts w:ascii="Calibri" w:hAnsi="Calibri" w:cs="Calibri"/>
          <w:sz w:val="22"/>
          <w:szCs w:val="22"/>
        </w:rPr>
        <w:t xml:space="preserve">, S., Esmaeilpour, K., </w:t>
      </w:r>
      <w:proofErr w:type="spellStart"/>
      <w:r w:rsidRPr="002B0F53">
        <w:rPr>
          <w:rFonts w:ascii="Calibri" w:hAnsi="Calibri" w:cs="Calibri"/>
          <w:sz w:val="22"/>
          <w:szCs w:val="22"/>
        </w:rPr>
        <w:t>Mirghafourvand</w:t>
      </w:r>
      <w:proofErr w:type="spellEnd"/>
      <w:r w:rsidRPr="002B0F53">
        <w:rPr>
          <w:rFonts w:ascii="Calibri" w:hAnsi="Calibri" w:cs="Calibri"/>
          <w:sz w:val="22"/>
          <w:szCs w:val="22"/>
        </w:rPr>
        <w:t>, M., &amp; Ahmadian-</w:t>
      </w:r>
      <w:proofErr w:type="spellStart"/>
      <w:r w:rsidRPr="002B0F53">
        <w:rPr>
          <w:rFonts w:ascii="Calibri" w:hAnsi="Calibri" w:cs="Calibri"/>
          <w:sz w:val="22"/>
          <w:szCs w:val="22"/>
        </w:rPr>
        <w:t>Khooinarood</w:t>
      </w:r>
      <w:proofErr w:type="spellEnd"/>
      <w:r w:rsidRPr="002B0F53">
        <w:rPr>
          <w:rFonts w:ascii="Calibri" w:hAnsi="Calibri" w:cs="Calibri"/>
          <w:sz w:val="22"/>
          <w:szCs w:val="22"/>
        </w:rPr>
        <w:t>, A. (2022). Internet-based cognitive-</w:t>
      </w:r>
      <w:proofErr w:type="spellStart"/>
      <w:r w:rsidRPr="002B0F53">
        <w:rPr>
          <w:rFonts w:ascii="Calibri" w:hAnsi="Calibri" w:cs="Calibri"/>
          <w:sz w:val="22"/>
          <w:szCs w:val="22"/>
        </w:rPr>
        <w:t>behavioral</w:t>
      </w:r>
      <w:proofErr w:type="spellEnd"/>
      <w:r w:rsidRPr="002B0F53">
        <w:rPr>
          <w:rFonts w:ascii="Calibri" w:hAnsi="Calibri" w:cs="Calibri"/>
          <w:sz w:val="22"/>
          <w:szCs w:val="22"/>
        </w:rPr>
        <w:t xml:space="preserve"> therapy for premenstrual syndrome: a randomized controlled trial. </w:t>
      </w:r>
      <w:r w:rsidRPr="002B0F53">
        <w:rPr>
          <w:rFonts w:ascii="Calibri" w:hAnsi="Calibri" w:cs="Calibri"/>
          <w:i/>
          <w:iCs/>
          <w:sz w:val="22"/>
          <w:szCs w:val="22"/>
        </w:rPr>
        <w:t>BMC Women’s Health</w:t>
      </w:r>
      <w:r w:rsidRPr="002B0F53">
        <w:rPr>
          <w:rFonts w:ascii="Calibri" w:hAnsi="Calibri" w:cs="Calibri"/>
          <w:sz w:val="22"/>
          <w:szCs w:val="22"/>
        </w:rPr>
        <w:t xml:space="preserve">, </w:t>
      </w:r>
      <w:r w:rsidRPr="002B0F53">
        <w:rPr>
          <w:rFonts w:ascii="Calibri" w:hAnsi="Calibri" w:cs="Calibri"/>
          <w:i/>
          <w:iCs/>
          <w:sz w:val="22"/>
          <w:szCs w:val="22"/>
        </w:rPr>
        <w:t>22</w:t>
      </w:r>
      <w:r w:rsidRPr="002B0F53">
        <w:rPr>
          <w:rFonts w:ascii="Calibri" w:hAnsi="Calibri" w:cs="Calibri"/>
          <w:sz w:val="22"/>
          <w:szCs w:val="22"/>
        </w:rPr>
        <w:t>(1), 1–11. Springer Link. https://doi.org/10.1186/s12905-021-01589-7</w:t>
      </w:r>
    </w:p>
    <w:p w14:paraId="1608ADC0"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Chan, K., Rubtsova, A. A., &amp; Cari Jo Clark. (2023). Exploring diagnosis and treatment of premenstrual dysphoric disorder in the U.S. healthcare system: a qualitative investigation. </w:t>
      </w:r>
      <w:r w:rsidRPr="002B0F53">
        <w:rPr>
          <w:rFonts w:ascii="Calibri" w:hAnsi="Calibri" w:cs="Calibri"/>
          <w:i/>
          <w:iCs/>
          <w:sz w:val="22"/>
          <w:szCs w:val="22"/>
        </w:rPr>
        <w:t>BMC Women’s Health</w:t>
      </w:r>
      <w:r w:rsidRPr="002B0F53">
        <w:rPr>
          <w:rFonts w:ascii="Calibri" w:hAnsi="Calibri" w:cs="Calibri"/>
          <w:sz w:val="22"/>
          <w:szCs w:val="22"/>
        </w:rPr>
        <w:t xml:space="preserve">, </w:t>
      </w:r>
      <w:r w:rsidRPr="002B0F53">
        <w:rPr>
          <w:rFonts w:ascii="Calibri" w:hAnsi="Calibri" w:cs="Calibri"/>
          <w:i/>
          <w:iCs/>
          <w:sz w:val="22"/>
          <w:szCs w:val="22"/>
        </w:rPr>
        <w:t>23</w:t>
      </w:r>
      <w:r w:rsidRPr="002B0F53">
        <w:rPr>
          <w:rFonts w:ascii="Calibri" w:hAnsi="Calibri" w:cs="Calibri"/>
          <w:sz w:val="22"/>
          <w:szCs w:val="22"/>
        </w:rPr>
        <w:t>(1), 33–58. BMC. https://doi.org/10.1186/s12905-023-02334-y</w:t>
      </w:r>
    </w:p>
    <w:p w14:paraId="65FE62EF"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Eisenlohr-Moul, T. (2019). Premenstrual Disorders: A Primer and Research Agenda for Psychologists. </w:t>
      </w:r>
      <w:r w:rsidRPr="002B0F53">
        <w:rPr>
          <w:rFonts w:ascii="Calibri" w:hAnsi="Calibri" w:cs="Calibri"/>
          <w:i/>
          <w:iCs/>
          <w:sz w:val="22"/>
          <w:szCs w:val="22"/>
        </w:rPr>
        <w:t>The Clinical Psychologist</w:t>
      </w:r>
      <w:r w:rsidRPr="002B0F53">
        <w:rPr>
          <w:rFonts w:ascii="Calibri" w:hAnsi="Calibri" w:cs="Calibri"/>
          <w:sz w:val="22"/>
          <w:szCs w:val="22"/>
        </w:rPr>
        <w:t xml:space="preserve">, </w:t>
      </w:r>
      <w:r w:rsidRPr="002B0F53">
        <w:rPr>
          <w:rFonts w:ascii="Calibri" w:hAnsi="Calibri" w:cs="Calibri"/>
          <w:i/>
          <w:iCs/>
          <w:sz w:val="22"/>
          <w:szCs w:val="22"/>
        </w:rPr>
        <w:t>72</w:t>
      </w:r>
      <w:r w:rsidRPr="002B0F53">
        <w:rPr>
          <w:rFonts w:ascii="Calibri" w:hAnsi="Calibri" w:cs="Calibri"/>
          <w:sz w:val="22"/>
          <w:szCs w:val="22"/>
        </w:rPr>
        <w:t>(1), 5–17. PubMed Central. https://doi.org/32362679</w:t>
      </w:r>
    </w:p>
    <w:p w14:paraId="6B264FE6"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Hardy, C., &amp; Hardie, J. (2017). Exploring premenstrual dysphoric disorder (PMDD) in the work context: a qualitative study. </w:t>
      </w:r>
      <w:r w:rsidRPr="002B0F53">
        <w:rPr>
          <w:rFonts w:ascii="Calibri" w:hAnsi="Calibri" w:cs="Calibri"/>
          <w:i/>
          <w:iCs/>
          <w:sz w:val="22"/>
          <w:szCs w:val="22"/>
        </w:rPr>
        <w:t xml:space="preserve">Journal of Psychosomatic Obstetrics &amp; </w:t>
      </w:r>
      <w:proofErr w:type="spellStart"/>
      <w:r w:rsidRPr="002B0F53">
        <w:rPr>
          <w:rFonts w:ascii="Calibri" w:hAnsi="Calibri" w:cs="Calibri"/>
          <w:i/>
          <w:iCs/>
          <w:sz w:val="22"/>
          <w:szCs w:val="22"/>
        </w:rPr>
        <w:t>Gynecology</w:t>
      </w:r>
      <w:proofErr w:type="spellEnd"/>
      <w:r w:rsidRPr="002B0F53">
        <w:rPr>
          <w:rFonts w:ascii="Calibri" w:hAnsi="Calibri" w:cs="Calibri"/>
          <w:sz w:val="22"/>
          <w:szCs w:val="22"/>
        </w:rPr>
        <w:t xml:space="preserve">, </w:t>
      </w:r>
      <w:r w:rsidRPr="002B0F53">
        <w:rPr>
          <w:rFonts w:ascii="Calibri" w:hAnsi="Calibri" w:cs="Calibri"/>
          <w:i/>
          <w:iCs/>
          <w:sz w:val="22"/>
          <w:szCs w:val="22"/>
        </w:rPr>
        <w:t>38</w:t>
      </w:r>
      <w:r w:rsidRPr="002B0F53">
        <w:rPr>
          <w:rFonts w:ascii="Calibri" w:hAnsi="Calibri" w:cs="Calibri"/>
          <w:sz w:val="22"/>
          <w:szCs w:val="22"/>
        </w:rPr>
        <w:t>(4), 292–300. Taylor &amp; Francis Online. https://doi.org/10.1080/0167482x.2017.1286473</w:t>
      </w:r>
    </w:p>
    <w:p w14:paraId="37D42C08"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Hofmann, S. G., </w:t>
      </w:r>
      <w:proofErr w:type="spellStart"/>
      <w:r w:rsidRPr="002B0F53">
        <w:rPr>
          <w:rFonts w:ascii="Calibri" w:hAnsi="Calibri" w:cs="Calibri"/>
          <w:sz w:val="22"/>
          <w:szCs w:val="22"/>
        </w:rPr>
        <w:t>Asnaani</w:t>
      </w:r>
      <w:proofErr w:type="spellEnd"/>
      <w:r w:rsidRPr="002B0F53">
        <w:rPr>
          <w:rFonts w:ascii="Calibri" w:hAnsi="Calibri" w:cs="Calibri"/>
          <w:sz w:val="22"/>
          <w:szCs w:val="22"/>
        </w:rPr>
        <w:t xml:space="preserve">, A., Vonk, I. J. J., Sawyer, A. T., &amp; Fang, A. (2012). The Efficacy of Cognitive </w:t>
      </w:r>
      <w:proofErr w:type="spellStart"/>
      <w:r w:rsidRPr="002B0F53">
        <w:rPr>
          <w:rFonts w:ascii="Calibri" w:hAnsi="Calibri" w:cs="Calibri"/>
          <w:sz w:val="22"/>
          <w:szCs w:val="22"/>
        </w:rPr>
        <w:t>Behavioral</w:t>
      </w:r>
      <w:proofErr w:type="spellEnd"/>
      <w:r w:rsidRPr="002B0F53">
        <w:rPr>
          <w:rFonts w:ascii="Calibri" w:hAnsi="Calibri" w:cs="Calibri"/>
          <w:sz w:val="22"/>
          <w:szCs w:val="22"/>
        </w:rPr>
        <w:t xml:space="preserve"> Therapy: a Review of Meta-Analyses. </w:t>
      </w:r>
      <w:r w:rsidRPr="002B0F53">
        <w:rPr>
          <w:rFonts w:ascii="Calibri" w:hAnsi="Calibri" w:cs="Calibri"/>
          <w:i/>
          <w:iCs/>
          <w:sz w:val="22"/>
          <w:szCs w:val="22"/>
        </w:rPr>
        <w:t>Cognitive Therapy and Research</w:t>
      </w:r>
      <w:r w:rsidRPr="002B0F53">
        <w:rPr>
          <w:rFonts w:ascii="Calibri" w:hAnsi="Calibri" w:cs="Calibri"/>
          <w:sz w:val="22"/>
          <w:szCs w:val="22"/>
        </w:rPr>
        <w:t xml:space="preserve">, </w:t>
      </w:r>
      <w:r w:rsidRPr="002B0F53">
        <w:rPr>
          <w:rFonts w:ascii="Calibri" w:hAnsi="Calibri" w:cs="Calibri"/>
          <w:i/>
          <w:iCs/>
          <w:sz w:val="22"/>
          <w:szCs w:val="22"/>
        </w:rPr>
        <w:t>36</w:t>
      </w:r>
      <w:r w:rsidRPr="002B0F53">
        <w:rPr>
          <w:rFonts w:ascii="Calibri" w:hAnsi="Calibri" w:cs="Calibri"/>
          <w:sz w:val="22"/>
          <w:szCs w:val="22"/>
        </w:rPr>
        <w:t>(5), 427–440. Springer Link. https://doi.org/10.1007/s10608-012-9476-1</w:t>
      </w:r>
    </w:p>
    <w:p w14:paraId="61AA03F3"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Hunter, M. S., Ussher, J. M., Browne, S. J., Cariss, M., Jelley, R., &amp; Katz, M. (2002). A randomized comparison of psychological (cognitive </w:t>
      </w:r>
      <w:proofErr w:type="spellStart"/>
      <w:r w:rsidRPr="002B0F53">
        <w:rPr>
          <w:rFonts w:ascii="Calibri" w:hAnsi="Calibri" w:cs="Calibri"/>
          <w:sz w:val="22"/>
          <w:szCs w:val="22"/>
        </w:rPr>
        <w:t>behavior</w:t>
      </w:r>
      <w:proofErr w:type="spellEnd"/>
      <w:r w:rsidRPr="002B0F53">
        <w:rPr>
          <w:rFonts w:ascii="Calibri" w:hAnsi="Calibri" w:cs="Calibri"/>
          <w:sz w:val="22"/>
          <w:szCs w:val="22"/>
        </w:rPr>
        <w:t xml:space="preserve"> therapy), medical (fluoxetine) and combined treatment for women with premenstrual dysphoric disorder. </w:t>
      </w:r>
      <w:r w:rsidRPr="002B0F53">
        <w:rPr>
          <w:rFonts w:ascii="Calibri" w:hAnsi="Calibri" w:cs="Calibri"/>
          <w:i/>
          <w:iCs/>
          <w:sz w:val="22"/>
          <w:szCs w:val="22"/>
        </w:rPr>
        <w:t xml:space="preserve">Journal of Psychosomatic Obstetrics &amp; </w:t>
      </w:r>
      <w:proofErr w:type="spellStart"/>
      <w:r w:rsidRPr="002B0F53">
        <w:rPr>
          <w:rFonts w:ascii="Calibri" w:hAnsi="Calibri" w:cs="Calibri"/>
          <w:i/>
          <w:iCs/>
          <w:sz w:val="22"/>
          <w:szCs w:val="22"/>
        </w:rPr>
        <w:t>Gynecology</w:t>
      </w:r>
      <w:proofErr w:type="spellEnd"/>
      <w:r w:rsidRPr="002B0F53">
        <w:rPr>
          <w:rFonts w:ascii="Calibri" w:hAnsi="Calibri" w:cs="Calibri"/>
          <w:sz w:val="22"/>
          <w:szCs w:val="22"/>
        </w:rPr>
        <w:t xml:space="preserve">, </w:t>
      </w:r>
      <w:r w:rsidRPr="002B0F53">
        <w:rPr>
          <w:rFonts w:ascii="Calibri" w:hAnsi="Calibri" w:cs="Calibri"/>
          <w:i/>
          <w:iCs/>
          <w:sz w:val="22"/>
          <w:szCs w:val="22"/>
        </w:rPr>
        <w:t>23</w:t>
      </w:r>
      <w:r w:rsidRPr="002B0F53">
        <w:rPr>
          <w:rFonts w:ascii="Calibri" w:hAnsi="Calibri" w:cs="Calibri"/>
          <w:sz w:val="22"/>
          <w:szCs w:val="22"/>
        </w:rPr>
        <w:t>(3), 193–199. Taylor &amp; Francis Online. https://doi.org/10.3109/01674820209074672</w:t>
      </w:r>
    </w:p>
    <w:p w14:paraId="52666156"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International Classification of Diseases. (2022). </w:t>
      </w:r>
      <w:r w:rsidRPr="002B0F53">
        <w:rPr>
          <w:rFonts w:ascii="Calibri" w:hAnsi="Calibri" w:cs="Calibri"/>
          <w:i/>
          <w:iCs/>
          <w:sz w:val="22"/>
          <w:szCs w:val="22"/>
        </w:rPr>
        <w:t>ICD-11 for Mortality and Morbidity Statistics</w:t>
      </w:r>
      <w:r w:rsidRPr="002B0F53">
        <w:rPr>
          <w:rFonts w:ascii="Calibri" w:hAnsi="Calibri" w:cs="Calibri"/>
          <w:sz w:val="22"/>
          <w:szCs w:val="22"/>
        </w:rPr>
        <w:t>. Icd.who.int; International Classification of Diseases. https://icd.who.int/browse/2024-01/mms/en#1526774088</w:t>
      </w:r>
    </w:p>
    <w:p w14:paraId="3CB0F4D6"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proofErr w:type="spellStart"/>
      <w:r w:rsidRPr="002B0F53">
        <w:rPr>
          <w:rFonts w:ascii="Calibri" w:hAnsi="Calibri" w:cs="Calibri"/>
          <w:sz w:val="22"/>
          <w:szCs w:val="22"/>
        </w:rPr>
        <w:t>Itriyeva</w:t>
      </w:r>
      <w:proofErr w:type="spellEnd"/>
      <w:r w:rsidRPr="002B0F53">
        <w:rPr>
          <w:rFonts w:ascii="Calibri" w:hAnsi="Calibri" w:cs="Calibri"/>
          <w:sz w:val="22"/>
          <w:szCs w:val="22"/>
        </w:rPr>
        <w:t xml:space="preserve">, K. (2022). Premenstrual syndrome and premenstrual dysphoric disorder in adolescents. </w:t>
      </w:r>
      <w:r w:rsidRPr="002B0F53">
        <w:rPr>
          <w:rFonts w:ascii="Calibri" w:hAnsi="Calibri" w:cs="Calibri"/>
          <w:i/>
          <w:iCs/>
          <w:sz w:val="22"/>
          <w:szCs w:val="22"/>
        </w:rPr>
        <w:t xml:space="preserve">Current Problems in </w:t>
      </w:r>
      <w:proofErr w:type="spellStart"/>
      <w:r w:rsidRPr="002B0F53">
        <w:rPr>
          <w:rFonts w:ascii="Calibri" w:hAnsi="Calibri" w:cs="Calibri"/>
          <w:i/>
          <w:iCs/>
          <w:sz w:val="22"/>
          <w:szCs w:val="22"/>
        </w:rPr>
        <w:t>Pediatric</w:t>
      </w:r>
      <w:proofErr w:type="spellEnd"/>
      <w:r w:rsidRPr="002B0F53">
        <w:rPr>
          <w:rFonts w:ascii="Calibri" w:hAnsi="Calibri" w:cs="Calibri"/>
          <w:i/>
          <w:iCs/>
          <w:sz w:val="22"/>
          <w:szCs w:val="22"/>
        </w:rPr>
        <w:t xml:space="preserve"> and Adolescent Health Care</w:t>
      </w:r>
      <w:r w:rsidRPr="002B0F53">
        <w:rPr>
          <w:rFonts w:ascii="Calibri" w:hAnsi="Calibri" w:cs="Calibri"/>
          <w:sz w:val="22"/>
          <w:szCs w:val="22"/>
        </w:rPr>
        <w:t xml:space="preserve">, </w:t>
      </w:r>
      <w:r w:rsidRPr="002B0F53">
        <w:rPr>
          <w:rFonts w:ascii="Calibri" w:hAnsi="Calibri" w:cs="Calibri"/>
          <w:i/>
          <w:iCs/>
          <w:sz w:val="22"/>
          <w:szCs w:val="22"/>
        </w:rPr>
        <w:t>52</w:t>
      </w:r>
      <w:r w:rsidRPr="002B0F53">
        <w:rPr>
          <w:rFonts w:ascii="Calibri" w:hAnsi="Calibri" w:cs="Calibri"/>
          <w:sz w:val="22"/>
          <w:szCs w:val="22"/>
        </w:rPr>
        <w:t>(5), 101187. Science Direct. https://doi.org/10.1016/j.cppeds.2022.101187</w:t>
      </w:r>
    </w:p>
    <w:p w14:paraId="6BAD925A"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Izadi-</w:t>
      </w:r>
      <w:proofErr w:type="spellStart"/>
      <w:r w:rsidRPr="002B0F53">
        <w:rPr>
          <w:rFonts w:ascii="Calibri" w:hAnsi="Calibri" w:cs="Calibri"/>
          <w:sz w:val="22"/>
          <w:szCs w:val="22"/>
        </w:rPr>
        <w:t>Mazidi</w:t>
      </w:r>
      <w:proofErr w:type="spellEnd"/>
      <w:r w:rsidRPr="002B0F53">
        <w:rPr>
          <w:rFonts w:ascii="Calibri" w:hAnsi="Calibri" w:cs="Calibri"/>
          <w:sz w:val="22"/>
          <w:szCs w:val="22"/>
        </w:rPr>
        <w:t xml:space="preserve">, M., Davoudi, I., &amp; </w:t>
      </w:r>
      <w:proofErr w:type="spellStart"/>
      <w:r w:rsidRPr="002B0F53">
        <w:rPr>
          <w:rFonts w:ascii="Calibri" w:hAnsi="Calibri" w:cs="Calibri"/>
          <w:sz w:val="22"/>
          <w:szCs w:val="22"/>
        </w:rPr>
        <w:t>Mehrabizadeh</w:t>
      </w:r>
      <w:proofErr w:type="spellEnd"/>
      <w:r w:rsidRPr="002B0F53">
        <w:rPr>
          <w:rFonts w:ascii="Calibri" w:hAnsi="Calibri" w:cs="Calibri"/>
          <w:sz w:val="22"/>
          <w:szCs w:val="22"/>
        </w:rPr>
        <w:t>, M. (2016). Group Cognitive-</w:t>
      </w:r>
      <w:proofErr w:type="spellStart"/>
      <w:r w:rsidRPr="002B0F53">
        <w:rPr>
          <w:rFonts w:ascii="Calibri" w:hAnsi="Calibri" w:cs="Calibri"/>
          <w:sz w:val="22"/>
          <w:szCs w:val="22"/>
        </w:rPr>
        <w:t>Behavioral</w:t>
      </w:r>
      <w:proofErr w:type="spellEnd"/>
      <w:r w:rsidRPr="002B0F53">
        <w:rPr>
          <w:rFonts w:ascii="Calibri" w:hAnsi="Calibri" w:cs="Calibri"/>
          <w:sz w:val="22"/>
          <w:szCs w:val="22"/>
        </w:rPr>
        <w:t xml:space="preserve"> Therapy and Health-Related Quality of Life in Females With Premenstrual Syndrome. </w:t>
      </w:r>
      <w:r w:rsidRPr="002B0F53">
        <w:rPr>
          <w:rFonts w:ascii="Calibri" w:hAnsi="Calibri" w:cs="Calibri"/>
          <w:i/>
          <w:iCs/>
          <w:sz w:val="22"/>
          <w:szCs w:val="22"/>
        </w:rPr>
        <w:t xml:space="preserve">Iranian Journal of Psychiatry and </w:t>
      </w:r>
      <w:proofErr w:type="spellStart"/>
      <w:r w:rsidRPr="002B0F53">
        <w:rPr>
          <w:rFonts w:ascii="Calibri" w:hAnsi="Calibri" w:cs="Calibri"/>
          <w:i/>
          <w:iCs/>
          <w:sz w:val="22"/>
          <w:szCs w:val="22"/>
        </w:rPr>
        <w:t>Behavioral</w:t>
      </w:r>
      <w:proofErr w:type="spellEnd"/>
      <w:r w:rsidRPr="002B0F53">
        <w:rPr>
          <w:rFonts w:ascii="Calibri" w:hAnsi="Calibri" w:cs="Calibri"/>
          <w:i/>
          <w:iCs/>
          <w:sz w:val="22"/>
          <w:szCs w:val="22"/>
        </w:rPr>
        <w:t xml:space="preserve"> Sciences</w:t>
      </w:r>
      <w:r w:rsidRPr="002B0F53">
        <w:rPr>
          <w:rFonts w:ascii="Calibri" w:hAnsi="Calibri" w:cs="Calibri"/>
          <w:sz w:val="22"/>
          <w:szCs w:val="22"/>
        </w:rPr>
        <w:t xml:space="preserve">, </w:t>
      </w:r>
      <w:r w:rsidRPr="002B0F53">
        <w:rPr>
          <w:rFonts w:ascii="Calibri" w:hAnsi="Calibri" w:cs="Calibri"/>
          <w:i/>
          <w:iCs/>
          <w:sz w:val="22"/>
          <w:szCs w:val="22"/>
        </w:rPr>
        <w:t>In Press</w:t>
      </w:r>
      <w:r w:rsidRPr="002B0F53">
        <w:rPr>
          <w:rFonts w:ascii="Calibri" w:hAnsi="Calibri" w:cs="Calibri"/>
          <w:sz w:val="22"/>
          <w:szCs w:val="22"/>
        </w:rPr>
        <w:t>(</w:t>
      </w:r>
      <w:proofErr w:type="spellStart"/>
      <w:r w:rsidRPr="002B0F53">
        <w:rPr>
          <w:rFonts w:ascii="Calibri" w:hAnsi="Calibri" w:cs="Calibri"/>
          <w:sz w:val="22"/>
          <w:szCs w:val="22"/>
        </w:rPr>
        <w:t>InPress</w:t>
      </w:r>
      <w:proofErr w:type="spellEnd"/>
      <w:r w:rsidRPr="002B0F53">
        <w:rPr>
          <w:rFonts w:ascii="Calibri" w:hAnsi="Calibri" w:cs="Calibri"/>
          <w:sz w:val="22"/>
          <w:szCs w:val="22"/>
        </w:rPr>
        <w:t>), 3. PubMed Central. https://doi.org/10.17795/ijpbs-4961</w:t>
      </w:r>
    </w:p>
    <w:p w14:paraId="7CD47403"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proofErr w:type="spellStart"/>
      <w:r w:rsidRPr="002B0F53">
        <w:rPr>
          <w:rFonts w:ascii="Calibri" w:hAnsi="Calibri" w:cs="Calibri"/>
          <w:sz w:val="22"/>
          <w:szCs w:val="22"/>
        </w:rPr>
        <w:t>Kancheva</w:t>
      </w:r>
      <w:proofErr w:type="spellEnd"/>
      <w:r w:rsidRPr="002B0F53">
        <w:rPr>
          <w:rFonts w:ascii="Calibri" w:hAnsi="Calibri" w:cs="Calibri"/>
          <w:sz w:val="22"/>
          <w:szCs w:val="22"/>
        </w:rPr>
        <w:t xml:space="preserve"> Landolt, N., &amp; Ivanov, K. (2020). Short report: cognitive </w:t>
      </w:r>
      <w:proofErr w:type="spellStart"/>
      <w:r w:rsidRPr="002B0F53">
        <w:rPr>
          <w:rFonts w:ascii="Calibri" w:hAnsi="Calibri" w:cs="Calibri"/>
          <w:sz w:val="22"/>
          <w:szCs w:val="22"/>
        </w:rPr>
        <w:t>behavioral</w:t>
      </w:r>
      <w:proofErr w:type="spellEnd"/>
      <w:r w:rsidRPr="002B0F53">
        <w:rPr>
          <w:rFonts w:ascii="Calibri" w:hAnsi="Calibri" w:cs="Calibri"/>
          <w:sz w:val="22"/>
          <w:szCs w:val="22"/>
        </w:rPr>
        <w:t xml:space="preserve"> therapy - a primary mode for premenstrual syndrome management: systematic literature review. </w:t>
      </w:r>
      <w:r w:rsidRPr="002B0F53">
        <w:rPr>
          <w:rFonts w:ascii="Calibri" w:hAnsi="Calibri" w:cs="Calibri"/>
          <w:i/>
          <w:iCs/>
          <w:sz w:val="22"/>
          <w:szCs w:val="22"/>
        </w:rPr>
        <w:t>Psychology, Health &amp; Medicine</w:t>
      </w:r>
      <w:r w:rsidRPr="002B0F53">
        <w:rPr>
          <w:rFonts w:ascii="Calibri" w:hAnsi="Calibri" w:cs="Calibri"/>
          <w:sz w:val="22"/>
          <w:szCs w:val="22"/>
        </w:rPr>
        <w:t xml:space="preserve">, </w:t>
      </w:r>
      <w:r w:rsidRPr="002B0F53">
        <w:rPr>
          <w:rFonts w:ascii="Calibri" w:hAnsi="Calibri" w:cs="Calibri"/>
          <w:i/>
          <w:iCs/>
          <w:sz w:val="22"/>
          <w:szCs w:val="22"/>
        </w:rPr>
        <w:t>26</w:t>
      </w:r>
      <w:r w:rsidRPr="002B0F53">
        <w:rPr>
          <w:rFonts w:ascii="Calibri" w:hAnsi="Calibri" w:cs="Calibri"/>
          <w:sz w:val="22"/>
          <w:szCs w:val="22"/>
        </w:rPr>
        <w:t>(10), 1–12. Taylor &amp; Francis Online. https://doi.org/10.1080/13548506.2020.1810718</w:t>
      </w:r>
    </w:p>
    <w:p w14:paraId="7D7397E3"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Kirkby, R. J. (1994). Changes in premenstrual symptoms and irrational thinking following cognitive-</w:t>
      </w:r>
      <w:proofErr w:type="spellStart"/>
      <w:r w:rsidRPr="002B0F53">
        <w:rPr>
          <w:rFonts w:ascii="Calibri" w:hAnsi="Calibri" w:cs="Calibri"/>
          <w:sz w:val="22"/>
          <w:szCs w:val="22"/>
        </w:rPr>
        <w:t>behavioral</w:t>
      </w:r>
      <w:proofErr w:type="spellEnd"/>
      <w:r w:rsidRPr="002B0F53">
        <w:rPr>
          <w:rFonts w:ascii="Calibri" w:hAnsi="Calibri" w:cs="Calibri"/>
          <w:sz w:val="22"/>
          <w:szCs w:val="22"/>
        </w:rPr>
        <w:t xml:space="preserve"> coping skills training. </w:t>
      </w:r>
      <w:r w:rsidRPr="002B0F53">
        <w:rPr>
          <w:rFonts w:ascii="Calibri" w:hAnsi="Calibri" w:cs="Calibri"/>
          <w:i/>
          <w:iCs/>
          <w:sz w:val="22"/>
          <w:szCs w:val="22"/>
        </w:rPr>
        <w:t>Journal of Consulting and Clinical Psychology</w:t>
      </w:r>
      <w:r w:rsidRPr="002B0F53">
        <w:rPr>
          <w:rFonts w:ascii="Calibri" w:hAnsi="Calibri" w:cs="Calibri"/>
          <w:sz w:val="22"/>
          <w:szCs w:val="22"/>
        </w:rPr>
        <w:t xml:space="preserve">, </w:t>
      </w:r>
      <w:r w:rsidRPr="002B0F53">
        <w:rPr>
          <w:rFonts w:ascii="Calibri" w:hAnsi="Calibri" w:cs="Calibri"/>
          <w:i/>
          <w:iCs/>
          <w:sz w:val="22"/>
          <w:szCs w:val="22"/>
        </w:rPr>
        <w:t>62</w:t>
      </w:r>
      <w:r w:rsidRPr="002B0F53">
        <w:rPr>
          <w:rFonts w:ascii="Calibri" w:hAnsi="Calibri" w:cs="Calibri"/>
          <w:sz w:val="22"/>
          <w:szCs w:val="22"/>
        </w:rPr>
        <w:t xml:space="preserve">(5), 1026–1032. APA </w:t>
      </w:r>
      <w:proofErr w:type="spellStart"/>
      <w:r w:rsidRPr="002B0F53">
        <w:rPr>
          <w:rFonts w:ascii="Calibri" w:hAnsi="Calibri" w:cs="Calibri"/>
          <w:sz w:val="22"/>
          <w:szCs w:val="22"/>
        </w:rPr>
        <w:t>PsycNet</w:t>
      </w:r>
      <w:proofErr w:type="spellEnd"/>
      <w:r w:rsidRPr="002B0F53">
        <w:rPr>
          <w:rFonts w:ascii="Calibri" w:hAnsi="Calibri" w:cs="Calibri"/>
          <w:sz w:val="22"/>
          <w:szCs w:val="22"/>
        </w:rPr>
        <w:t>. https://doi.org/10.1037/0022-006x.62.5.1026</w:t>
      </w:r>
    </w:p>
    <w:p w14:paraId="5696E8F5"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proofErr w:type="spellStart"/>
      <w:r w:rsidRPr="002B0F53">
        <w:rPr>
          <w:rFonts w:ascii="Calibri" w:hAnsi="Calibri" w:cs="Calibri"/>
          <w:sz w:val="22"/>
          <w:szCs w:val="22"/>
        </w:rPr>
        <w:t>Kleinstäuber</w:t>
      </w:r>
      <w:proofErr w:type="spellEnd"/>
      <w:r w:rsidRPr="002B0F53">
        <w:rPr>
          <w:rFonts w:ascii="Calibri" w:hAnsi="Calibri" w:cs="Calibri"/>
          <w:sz w:val="22"/>
          <w:szCs w:val="22"/>
        </w:rPr>
        <w:t xml:space="preserve">, M., </w:t>
      </w:r>
      <w:proofErr w:type="spellStart"/>
      <w:r w:rsidRPr="002B0F53">
        <w:rPr>
          <w:rFonts w:ascii="Calibri" w:hAnsi="Calibri" w:cs="Calibri"/>
          <w:sz w:val="22"/>
          <w:szCs w:val="22"/>
        </w:rPr>
        <w:t>Witthöft</w:t>
      </w:r>
      <w:proofErr w:type="spellEnd"/>
      <w:r w:rsidRPr="002B0F53">
        <w:rPr>
          <w:rFonts w:ascii="Calibri" w:hAnsi="Calibri" w:cs="Calibri"/>
          <w:sz w:val="22"/>
          <w:szCs w:val="22"/>
        </w:rPr>
        <w:t>, M., &amp; Hiller, W. (2012). Cognitive-</w:t>
      </w:r>
      <w:proofErr w:type="spellStart"/>
      <w:r w:rsidRPr="002B0F53">
        <w:rPr>
          <w:rFonts w:ascii="Calibri" w:hAnsi="Calibri" w:cs="Calibri"/>
          <w:sz w:val="22"/>
          <w:szCs w:val="22"/>
        </w:rPr>
        <w:t>Behavioral</w:t>
      </w:r>
      <w:proofErr w:type="spellEnd"/>
      <w:r w:rsidRPr="002B0F53">
        <w:rPr>
          <w:rFonts w:ascii="Calibri" w:hAnsi="Calibri" w:cs="Calibri"/>
          <w:sz w:val="22"/>
          <w:szCs w:val="22"/>
        </w:rPr>
        <w:t xml:space="preserve"> and Pharmacological Interventions for Premenstrual Syndrome or Premenstrual Dysphoric Disorder: A Meta-Analysis. </w:t>
      </w:r>
      <w:r w:rsidRPr="002B0F53">
        <w:rPr>
          <w:rFonts w:ascii="Calibri" w:hAnsi="Calibri" w:cs="Calibri"/>
          <w:i/>
          <w:iCs/>
          <w:sz w:val="22"/>
          <w:szCs w:val="22"/>
        </w:rPr>
        <w:t>Journal of Clinical Psychology in Medical Settings</w:t>
      </w:r>
      <w:r w:rsidRPr="002B0F53">
        <w:rPr>
          <w:rFonts w:ascii="Calibri" w:hAnsi="Calibri" w:cs="Calibri"/>
          <w:sz w:val="22"/>
          <w:szCs w:val="22"/>
        </w:rPr>
        <w:t xml:space="preserve">, </w:t>
      </w:r>
      <w:r w:rsidRPr="002B0F53">
        <w:rPr>
          <w:rFonts w:ascii="Calibri" w:hAnsi="Calibri" w:cs="Calibri"/>
          <w:i/>
          <w:iCs/>
          <w:sz w:val="22"/>
          <w:szCs w:val="22"/>
        </w:rPr>
        <w:t>19</w:t>
      </w:r>
      <w:r w:rsidRPr="002B0F53">
        <w:rPr>
          <w:rFonts w:ascii="Calibri" w:hAnsi="Calibri" w:cs="Calibri"/>
          <w:sz w:val="22"/>
          <w:szCs w:val="22"/>
        </w:rPr>
        <w:t>(3), 308–319. Research Gate. https://doi.org/10.1007/s10880-012-9299-y</w:t>
      </w:r>
    </w:p>
    <w:p w14:paraId="7673E4D4"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lastRenderedPageBreak/>
        <w:t>Kornstein, S. G., Pearlstein, T. B., Fayyad, R., Farfel, G. M., &amp; Gillespie, J. A. (2006). Low-dose sertraline in the treatment of moderate-to-severe premenstrual syndrome: efficacy of 3 dosing strategies. </w:t>
      </w:r>
      <w:r w:rsidRPr="002B0F53">
        <w:rPr>
          <w:rFonts w:ascii="Calibri" w:hAnsi="Calibri" w:cs="Calibri"/>
          <w:i/>
          <w:iCs/>
          <w:sz w:val="22"/>
          <w:szCs w:val="22"/>
        </w:rPr>
        <w:t>Journal of Clinical Psychiatry</w:t>
      </w:r>
      <w:r w:rsidRPr="002B0F53">
        <w:rPr>
          <w:rFonts w:ascii="Calibri" w:hAnsi="Calibri" w:cs="Calibri"/>
          <w:sz w:val="22"/>
          <w:szCs w:val="22"/>
        </w:rPr>
        <w:t>, </w:t>
      </w:r>
      <w:r w:rsidRPr="002B0F53">
        <w:rPr>
          <w:rFonts w:ascii="Calibri" w:hAnsi="Calibri" w:cs="Calibri"/>
          <w:i/>
          <w:iCs/>
          <w:sz w:val="22"/>
          <w:szCs w:val="22"/>
        </w:rPr>
        <w:t>67</w:t>
      </w:r>
      <w:r w:rsidRPr="002B0F53">
        <w:rPr>
          <w:rFonts w:ascii="Calibri" w:hAnsi="Calibri" w:cs="Calibri"/>
          <w:sz w:val="22"/>
          <w:szCs w:val="22"/>
        </w:rPr>
        <w:t xml:space="preserve">(10), 1624. </w:t>
      </w:r>
    </w:p>
    <w:p w14:paraId="571E9373"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Miner, C., Brown, E., McCray, S., Gonzales, J., &amp; </w:t>
      </w:r>
      <w:proofErr w:type="spellStart"/>
      <w:r w:rsidRPr="002B0F53">
        <w:rPr>
          <w:rFonts w:ascii="Calibri" w:hAnsi="Calibri" w:cs="Calibri"/>
          <w:sz w:val="22"/>
          <w:szCs w:val="22"/>
        </w:rPr>
        <w:t>Wohlreich</w:t>
      </w:r>
      <w:proofErr w:type="spellEnd"/>
      <w:r w:rsidRPr="002B0F53">
        <w:rPr>
          <w:rFonts w:ascii="Calibri" w:hAnsi="Calibri" w:cs="Calibri"/>
          <w:sz w:val="22"/>
          <w:szCs w:val="22"/>
        </w:rPr>
        <w:t xml:space="preserve">, M. (2002). Weekly luteal-phase dosing with enteric-coated fluoxetine 90 mg in premenstrual dysphoric disorder: A randomized, double-blind, placebo-controlled clinical trial. </w:t>
      </w:r>
      <w:r w:rsidRPr="002B0F53">
        <w:rPr>
          <w:rFonts w:ascii="Calibri" w:hAnsi="Calibri" w:cs="Calibri"/>
          <w:i/>
          <w:iCs/>
          <w:sz w:val="22"/>
          <w:szCs w:val="22"/>
        </w:rPr>
        <w:t>Clinical Therapeutics</w:t>
      </w:r>
      <w:r w:rsidRPr="002B0F53">
        <w:rPr>
          <w:rFonts w:ascii="Calibri" w:hAnsi="Calibri" w:cs="Calibri"/>
          <w:sz w:val="22"/>
          <w:szCs w:val="22"/>
        </w:rPr>
        <w:t xml:space="preserve">, </w:t>
      </w:r>
      <w:r w:rsidRPr="002B0F53">
        <w:rPr>
          <w:rFonts w:ascii="Calibri" w:hAnsi="Calibri" w:cs="Calibri"/>
          <w:i/>
          <w:iCs/>
          <w:sz w:val="22"/>
          <w:szCs w:val="22"/>
        </w:rPr>
        <w:t>24</w:t>
      </w:r>
      <w:r w:rsidRPr="002B0F53">
        <w:rPr>
          <w:rFonts w:ascii="Calibri" w:hAnsi="Calibri" w:cs="Calibri"/>
          <w:sz w:val="22"/>
          <w:szCs w:val="22"/>
        </w:rPr>
        <w:t>(3), 417–433. Science Direct. https://doi.org/10.1016/s0149-2918(02)85043-3</w:t>
      </w:r>
    </w:p>
    <w:p w14:paraId="4B0B7520"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Nakao, M., </w:t>
      </w:r>
      <w:proofErr w:type="spellStart"/>
      <w:r w:rsidRPr="002B0F53">
        <w:rPr>
          <w:rFonts w:ascii="Calibri" w:hAnsi="Calibri" w:cs="Calibri"/>
          <w:sz w:val="22"/>
          <w:szCs w:val="22"/>
        </w:rPr>
        <w:t>Shirotsuki</w:t>
      </w:r>
      <w:proofErr w:type="spellEnd"/>
      <w:r w:rsidRPr="002B0F53">
        <w:rPr>
          <w:rFonts w:ascii="Calibri" w:hAnsi="Calibri" w:cs="Calibri"/>
          <w:sz w:val="22"/>
          <w:szCs w:val="22"/>
        </w:rPr>
        <w:t>, K., &amp; Sugaya, N. (2021). Cognitive–</w:t>
      </w:r>
      <w:proofErr w:type="spellStart"/>
      <w:r w:rsidRPr="002B0F53">
        <w:rPr>
          <w:rFonts w:ascii="Calibri" w:hAnsi="Calibri" w:cs="Calibri"/>
          <w:sz w:val="22"/>
          <w:szCs w:val="22"/>
        </w:rPr>
        <w:t>behavioral</w:t>
      </w:r>
      <w:proofErr w:type="spellEnd"/>
      <w:r w:rsidRPr="002B0F53">
        <w:rPr>
          <w:rFonts w:ascii="Calibri" w:hAnsi="Calibri" w:cs="Calibri"/>
          <w:sz w:val="22"/>
          <w:szCs w:val="22"/>
        </w:rPr>
        <w:t xml:space="preserve"> therapy for management of mental health and stress-related disorders: Recent advances in techniques and technologies. </w:t>
      </w:r>
      <w:proofErr w:type="spellStart"/>
      <w:r w:rsidRPr="002B0F53">
        <w:rPr>
          <w:rFonts w:ascii="Calibri" w:hAnsi="Calibri" w:cs="Calibri"/>
          <w:i/>
          <w:iCs/>
          <w:sz w:val="22"/>
          <w:szCs w:val="22"/>
        </w:rPr>
        <w:t>BioPsychoSocial</w:t>
      </w:r>
      <w:proofErr w:type="spellEnd"/>
      <w:r w:rsidRPr="002B0F53">
        <w:rPr>
          <w:rFonts w:ascii="Calibri" w:hAnsi="Calibri" w:cs="Calibri"/>
          <w:i/>
          <w:iCs/>
          <w:sz w:val="22"/>
          <w:szCs w:val="22"/>
        </w:rPr>
        <w:t xml:space="preserve"> Medicine</w:t>
      </w:r>
      <w:r w:rsidRPr="002B0F53">
        <w:rPr>
          <w:rFonts w:ascii="Calibri" w:hAnsi="Calibri" w:cs="Calibri"/>
          <w:sz w:val="22"/>
          <w:szCs w:val="22"/>
        </w:rPr>
        <w:t xml:space="preserve">, </w:t>
      </w:r>
      <w:r w:rsidRPr="002B0F53">
        <w:rPr>
          <w:rFonts w:ascii="Calibri" w:hAnsi="Calibri" w:cs="Calibri"/>
          <w:i/>
          <w:iCs/>
          <w:sz w:val="22"/>
          <w:szCs w:val="22"/>
        </w:rPr>
        <w:t>15</w:t>
      </w:r>
      <w:r w:rsidRPr="002B0F53">
        <w:rPr>
          <w:rFonts w:ascii="Calibri" w:hAnsi="Calibri" w:cs="Calibri"/>
          <w:sz w:val="22"/>
          <w:szCs w:val="22"/>
        </w:rPr>
        <w:t xml:space="preserve">(1), 1–4. </w:t>
      </w:r>
      <w:proofErr w:type="spellStart"/>
      <w:r w:rsidRPr="002B0F53">
        <w:rPr>
          <w:rFonts w:ascii="Calibri" w:hAnsi="Calibri" w:cs="Calibri"/>
          <w:sz w:val="22"/>
          <w:szCs w:val="22"/>
        </w:rPr>
        <w:t>BioPsychoSocial</w:t>
      </w:r>
      <w:proofErr w:type="spellEnd"/>
      <w:r w:rsidRPr="002B0F53">
        <w:rPr>
          <w:rFonts w:ascii="Calibri" w:hAnsi="Calibri" w:cs="Calibri"/>
          <w:sz w:val="22"/>
          <w:szCs w:val="22"/>
        </w:rPr>
        <w:t xml:space="preserve"> Medicine. https://doi.org/10.1186/s13030-021-00219-w</w:t>
      </w:r>
    </w:p>
    <w:p w14:paraId="11991802"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Nazari, H., Yari, F., </w:t>
      </w:r>
      <w:proofErr w:type="spellStart"/>
      <w:r w:rsidRPr="002B0F53">
        <w:rPr>
          <w:rFonts w:ascii="Calibri" w:hAnsi="Calibri" w:cs="Calibri"/>
          <w:sz w:val="22"/>
          <w:szCs w:val="22"/>
        </w:rPr>
        <w:t>Jariani</w:t>
      </w:r>
      <w:proofErr w:type="spellEnd"/>
      <w:r w:rsidRPr="002B0F53">
        <w:rPr>
          <w:rFonts w:ascii="Calibri" w:hAnsi="Calibri" w:cs="Calibri"/>
          <w:sz w:val="22"/>
          <w:szCs w:val="22"/>
        </w:rPr>
        <w:t xml:space="preserve">, M., Marzban, A., &amp; </w:t>
      </w:r>
      <w:proofErr w:type="spellStart"/>
      <w:r w:rsidRPr="002B0F53">
        <w:rPr>
          <w:rFonts w:ascii="Calibri" w:hAnsi="Calibri" w:cs="Calibri"/>
          <w:sz w:val="22"/>
          <w:szCs w:val="22"/>
        </w:rPr>
        <w:t>Birgandy</w:t>
      </w:r>
      <w:proofErr w:type="spellEnd"/>
      <w:r w:rsidRPr="002B0F53">
        <w:rPr>
          <w:rFonts w:ascii="Calibri" w:hAnsi="Calibri" w:cs="Calibri"/>
          <w:sz w:val="22"/>
          <w:szCs w:val="22"/>
        </w:rPr>
        <w:t xml:space="preserve">, M. (2012). Premenstrual syndrome: a single-blind study of treatment with buspirone versus fluoxetine. </w:t>
      </w:r>
      <w:r w:rsidRPr="002B0F53">
        <w:rPr>
          <w:rFonts w:ascii="Calibri" w:hAnsi="Calibri" w:cs="Calibri"/>
          <w:i/>
          <w:iCs/>
          <w:sz w:val="22"/>
          <w:szCs w:val="22"/>
        </w:rPr>
        <w:t xml:space="preserve">Archives of </w:t>
      </w:r>
      <w:proofErr w:type="spellStart"/>
      <w:r w:rsidRPr="002B0F53">
        <w:rPr>
          <w:rFonts w:ascii="Calibri" w:hAnsi="Calibri" w:cs="Calibri"/>
          <w:i/>
          <w:iCs/>
          <w:sz w:val="22"/>
          <w:szCs w:val="22"/>
        </w:rPr>
        <w:t>Gynecology</w:t>
      </w:r>
      <w:proofErr w:type="spellEnd"/>
      <w:r w:rsidRPr="002B0F53">
        <w:rPr>
          <w:rFonts w:ascii="Calibri" w:hAnsi="Calibri" w:cs="Calibri"/>
          <w:i/>
          <w:iCs/>
          <w:sz w:val="22"/>
          <w:szCs w:val="22"/>
        </w:rPr>
        <w:t xml:space="preserve"> and Obstetrics</w:t>
      </w:r>
      <w:r w:rsidRPr="002B0F53">
        <w:rPr>
          <w:rFonts w:ascii="Calibri" w:hAnsi="Calibri" w:cs="Calibri"/>
          <w:sz w:val="22"/>
          <w:szCs w:val="22"/>
        </w:rPr>
        <w:t xml:space="preserve">, </w:t>
      </w:r>
      <w:r w:rsidRPr="002B0F53">
        <w:rPr>
          <w:rFonts w:ascii="Calibri" w:hAnsi="Calibri" w:cs="Calibri"/>
          <w:i/>
          <w:iCs/>
          <w:sz w:val="22"/>
          <w:szCs w:val="22"/>
        </w:rPr>
        <w:t>287</w:t>
      </w:r>
      <w:r w:rsidRPr="002B0F53">
        <w:rPr>
          <w:rFonts w:ascii="Calibri" w:hAnsi="Calibri" w:cs="Calibri"/>
          <w:sz w:val="22"/>
          <w:szCs w:val="22"/>
        </w:rPr>
        <w:t>(3), 469–472. Springer Link. https://doi.org/10.1007/s00404-012-2594-x</w:t>
      </w:r>
    </w:p>
    <w:p w14:paraId="393AADDD"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Rafique, N., &amp; </w:t>
      </w:r>
      <w:proofErr w:type="gramStart"/>
      <w:r w:rsidRPr="002B0F53">
        <w:rPr>
          <w:rFonts w:ascii="Calibri" w:hAnsi="Calibri" w:cs="Calibri"/>
          <w:sz w:val="22"/>
          <w:szCs w:val="22"/>
        </w:rPr>
        <w:t>Al-Sheikh</w:t>
      </w:r>
      <w:proofErr w:type="gramEnd"/>
      <w:r w:rsidRPr="002B0F53">
        <w:rPr>
          <w:rFonts w:ascii="Calibri" w:hAnsi="Calibri" w:cs="Calibri"/>
          <w:sz w:val="22"/>
          <w:szCs w:val="22"/>
        </w:rPr>
        <w:t xml:space="preserve">, M. (2018). Prevalence of menstrual problems and their association with psychological stress in young female students studying health sciences. </w:t>
      </w:r>
      <w:r w:rsidRPr="002B0F53">
        <w:rPr>
          <w:rFonts w:ascii="Calibri" w:hAnsi="Calibri" w:cs="Calibri"/>
          <w:i/>
          <w:iCs/>
          <w:sz w:val="22"/>
          <w:szCs w:val="22"/>
        </w:rPr>
        <w:t>Saudi Medical Journal</w:t>
      </w:r>
      <w:r w:rsidRPr="002B0F53">
        <w:rPr>
          <w:rFonts w:ascii="Calibri" w:hAnsi="Calibri" w:cs="Calibri"/>
          <w:sz w:val="22"/>
          <w:szCs w:val="22"/>
        </w:rPr>
        <w:t xml:space="preserve">, </w:t>
      </w:r>
      <w:r w:rsidRPr="002B0F53">
        <w:rPr>
          <w:rFonts w:ascii="Calibri" w:hAnsi="Calibri" w:cs="Calibri"/>
          <w:i/>
          <w:iCs/>
          <w:sz w:val="22"/>
          <w:szCs w:val="22"/>
        </w:rPr>
        <w:t>39</w:t>
      </w:r>
      <w:r w:rsidRPr="002B0F53">
        <w:rPr>
          <w:rFonts w:ascii="Calibri" w:hAnsi="Calibri" w:cs="Calibri"/>
          <w:sz w:val="22"/>
          <w:szCs w:val="22"/>
        </w:rPr>
        <w:t>(1), 67–73. Taylor &amp; Francis Online. https://doi.org/10.15537/smj.2018.1.21438</w:t>
      </w:r>
    </w:p>
    <w:p w14:paraId="1B2CC669"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Rapkin, A. J., </w:t>
      </w:r>
      <w:proofErr w:type="spellStart"/>
      <w:r w:rsidRPr="002B0F53">
        <w:rPr>
          <w:rFonts w:ascii="Calibri" w:hAnsi="Calibri" w:cs="Calibri"/>
          <w:sz w:val="22"/>
          <w:szCs w:val="22"/>
        </w:rPr>
        <w:t>Korotkaya</w:t>
      </w:r>
      <w:proofErr w:type="spellEnd"/>
      <w:r w:rsidRPr="002B0F53">
        <w:rPr>
          <w:rFonts w:ascii="Calibri" w:hAnsi="Calibri" w:cs="Calibri"/>
          <w:sz w:val="22"/>
          <w:szCs w:val="22"/>
        </w:rPr>
        <w:t xml:space="preserve">, Y., &amp; Taylor, K. C. (2019). Contraception </w:t>
      </w:r>
      <w:proofErr w:type="spellStart"/>
      <w:r w:rsidRPr="002B0F53">
        <w:rPr>
          <w:rFonts w:ascii="Calibri" w:hAnsi="Calibri" w:cs="Calibri"/>
          <w:sz w:val="22"/>
          <w:szCs w:val="22"/>
        </w:rPr>
        <w:t>counseling</w:t>
      </w:r>
      <w:proofErr w:type="spellEnd"/>
      <w:r w:rsidRPr="002B0F53">
        <w:rPr>
          <w:rFonts w:ascii="Calibri" w:hAnsi="Calibri" w:cs="Calibri"/>
          <w:sz w:val="22"/>
          <w:szCs w:val="22"/>
        </w:rPr>
        <w:t xml:space="preserve"> for women with premenstrual dysphoric disorder (PMDD): current perspectives. </w:t>
      </w:r>
      <w:r w:rsidRPr="002B0F53">
        <w:rPr>
          <w:rFonts w:ascii="Calibri" w:hAnsi="Calibri" w:cs="Calibri"/>
          <w:i/>
          <w:iCs/>
          <w:sz w:val="22"/>
          <w:szCs w:val="22"/>
        </w:rPr>
        <w:t>Open Access Journal of Contraception</w:t>
      </w:r>
      <w:r w:rsidRPr="002B0F53">
        <w:rPr>
          <w:rFonts w:ascii="Calibri" w:hAnsi="Calibri" w:cs="Calibri"/>
          <w:sz w:val="22"/>
          <w:szCs w:val="22"/>
        </w:rPr>
        <w:t xml:space="preserve">, </w:t>
      </w:r>
      <w:r w:rsidRPr="002B0F53">
        <w:rPr>
          <w:rFonts w:ascii="Calibri" w:hAnsi="Calibri" w:cs="Calibri"/>
          <w:i/>
          <w:iCs/>
          <w:sz w:val="22"/>
          <w:szCs w:val="22"/>
        </w:rPr>
        <w:t>Volume 10</w:t>
      </w:r>
      <w:r w:rsidRPr="002B0F53">
        <w:rPr>
          <w:rFonts w:ascii="Calibri" w:hAnsi="Calibri" w:cs="Calibri"/>
          <w:sz w:val="22"/>
          <w:szCs w:val="22"/>
        </w:rPr>
        <w:t>(2), 27–39. https://doi.org/10.2147/oajc.s183193</w:t>
      </w:r>
    </w:p>
    <w:p w14:paraId="1FC47CCB"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Rapkin, A. J., &amp; Lewis, E. I. (2013). Treatment of Premenstrual Dysphoric Disorder. </w:t>
      </w:r>
      <w:r w:rsidRPr="002B0F53">
        <w:rPr>
          <w:rFonts w:ascii="Calibri" w:hAnsi="Calibri" w:cs="Calibri"/>
          <w:i/>
          <w:iCs/>
          <w:sz w:val="22"/>
          <w:szCs w:val="22"/>
        </w:rPr>
        <w:t>Women’s Health</w:t>
      </w:r>
      <w:r w:rsidRPr="002B0F53">
        <w:rPr>
          <w:rFonts w:ascii="Calibri" w:hAnsi="Calibri" w:cs="Calibri"/>
          <w:sz w:val="22"/>
          <w:szCs w:val="22"/>
        </w:rPr>
        <w:t xml:space="preserve">, </w:t>
      </w:r>
      <w:r w:rsidRPr="002B0F53">
        <w:rPr>
          <w:rFonts w:ascii="Calibri" w:hAnsi="Calibri" w:cs="Calibri"/>
          <w:i/>
          <w:iCs/>
          <w:sz w:val="22"/>
          <w:szCs w:val="22"/>
        </w:rPr>
        <w:t>9</w:t>
      </w:r>
      <w:r w:rsidRPr="002B0F53">
        <w:rPr>
          <w:rFonts w:ascii="Calibri" w:hAnsi="Calibri" w:cs="Calibri"/>
          <w:sz w:val="22"/>
          <w:szCs w:val="22"/>
        </w:rPr>
        <w:t>(6), 537–556. Sage Journals. https://doi.org/10.2217/whe.13.62</w:t>
      </w:r>
    </w:p>
    <w:p w14:paraId="4FF438A2"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Reproductive psychiatry resource &amp; information centre. (2008, February 22). </w:t>
      </w:r>
      <w:r w:rsidRPr="002B0F53">
        <w:rPr>
          <w:rFonts w:ascii="Calibri" w:hAnsi="Calibri" w:cs="Calibri"/>
          <w:i/>
          <w:iCs/>
          <w:sz w:val="22"/>
          <w:szCs w:val="22"/>
        </w:rPr>
        <w:t xml:space="preserve">PMS &amp; PMDD - MGH </w:t>
      </w:r>
      <w:proofErr w:type="spellStart"/>
      <w:r w:rsidRPr="002B0F53">
        <w:rPr>
          <w:rFonts w:ascii="Calibri" w:hAnsi="Calibri" w:cs="Calibri"/>
          <w:i/>
          <w:iCs/>
          <w:sz w:val="22"/>
          <w:szCs w:val="22"/>
        </w:rPr>
        <w:t>Center</w:t>
      </w:r>
      <w:proofErr w:type="spellEnd"/>
      <w:r w:rsidRPr="002B0F53">
        <w:rPr>
          <w:rFonts w:ascii="Calibri" w:hAnsi="Calibri" w:cs="Calibri"/>
          <w:i/>
          <w:iCs/>
          <w:sz w:val="22"/>
          <w:szCs w:val="22"/>
        </w:rPr>
        <w:t xml:space="preserve"> for Women’s Mental Health</w:t>
      </w:r>
      <w:r w:rsidRPr="002B0F53">
        <w:rPr>
          <w:rFonts w:ascii="Calibri" w:hAnsi="Calibri" w:cs="Calibri"/>
          <w:sz w:val="22"/>
          <w:szCs w:val="22"/>
        </w:rPr>
        <w:t>. MGH Centre for Women’s Mental Health; Harvard medical school. https://womensmentalhealth.org/specialty-clinics-2/pms-and-pmdd/#:~:text=In%20addition%2C%20PMDD%20mood%20symptoms</w:t>
      </w:r>
    </w:p>
    <w:p w14:paraId="672D843A"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Robinson, L. L., &amp; Ismail, K. M. (2015). Clinical epidemiology of premenstrual disorder: informing optimized patient outcomes. </w:t>
      </w:r>
      <w:r w:rsidRPr="002B0F53">
        <w:rPr>
          <w:rFonts w:ascii="Calibri" w:hAnsi="Calibri" w:cs="Calibri"/>
          <w:i/>
          <w:iCs/>
          <w:sz w:val="22"/>
          <w:szCs w:val="22"/>
        </w:rPr>
        <w:t>International Journal of Women’s Health</w:t>
      </w:r>
      <w:r w:rsidRPr="002B0F53">
        <w:rPr>
          <w:rFonts w:ascii="Calibri" w:hAnsi="Calibri" w:cs="Calibri"/>
          <w:sz w:val="22"/>
          <w:szCs w:val="22"/>
        </w:rPr>
        <w:t xml:space="preserve">, </w:t>
      </w:r>
      <w:r w:rsidRPr="002B0F53">
        <w:rPr>
          <w:rFonts w:ascii="Calibri" w:hAnsi="Calibri" w:cs="Calibri"/>
          <w:i/>
          <w:iCs/>
          <w:sz w:val="22"/>
          <w:szCs w:val="22"/>
        </w:rPr>
        <w:t>7</w:t>
      </w:r>
      <w:r w:rsidRPr="002B0F53">
        <w:rPr>
          <w:rFonts w:ascii="Calibri" w:hAnsi="Calibri" w:cs="Calibri"/>
          <w:sz w:val="22"/>
          <w:szCs w:val="22"/>
        </w:rPr>
        <w:t>(7), 811–818. Taylor &amp; Francis Online. https://doi.org/10.2147/IJWH.S48426</w:t>
      </w:r>
    </w:p>
    <w:p w14:paraId="58369C0E"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Schmidt, P. J., Martinez, P. E., Nieman, L. K., Koziol, D. E., Thompson, K. D., Schenkel, L., Wakim, P. G., &amp; Rubinow, D. R. (2017). Premenstrual Dysphoric Disorder Symptoms Following Ovarian Suppression: Triggered by Change in Ovarian Steroid Levels But Not Continuous Stable Levels. </w:t>
      </w:r>
      <w:r w:rsidRPr="002B0F53">
        <w:rPr>
          <w:rFonts w:ascii="Calibri" w:hAnsi="Calibri" w:cs="Calibri"/>
          <w:i/>
          <w:iCs/>
          <w:sz w:val="22"/>
          <w:szCs w:val="22"/>
        </w:rPr>
        <w:t>American Journal of Psychiatry</w:t>
      </w:r>
      <w:r w:rsidRPr="002B0F53">
        <w:rPr>
          <w:rFonts w:ascii="Calibri" w:hAnsi="Calibri" w:cs="Calibri"/>
          <w:sz w:val="22"/>
          <w:szCs w:val="22"/>
        </w:rPr>
        <w:t xml:space="preserve">, </w:t>
      </w:r>
      <w:r w:rsidRPr="002B0F53">
        <w:rPr>
          <w:rFonts w:ascii="Calibri" w:hAnsi="Calibri" w:cs="Calibri"/>
          <w:i/>
          <w:iCs/>
          <w:sz w:val="22"/>
          <w:szCs w:val="22"/>
        </w:rPr>
        <w:t>174</w:t>
      </w:r>
      <w:r w:rsidRPr="002B0F53">
        <w:rPr>
          <w:rFonts w:ascii="Calibri" w:hAnsi="Calibri" w:cs="Calibri"/>
          <w:sz w:val="22"/>
          <w:szCs w:val="22"/>
        </w:rPr>
        <w:t>(10), 980–989. Science Direct. https://doi.org/10.1176/appi.ajp.2017.16101113</w:t>
      </w:r>
    </w:p>
    <w:p w14:paraId="420DB002"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Takeda, T., Yoshimi, K., &amp; Yamada, K. (2020). Psychometric Testing of the Premenstrual Symptoms Questionnaire and the Association Between Perceived Injustice and Premenstrual Symptoms: A Cross-Sectional Study Among Japanese High School Students. </w:t>
      </w:r>
      <w:r w:rsidRPr="002B0F53">
        <w:rPr>
          <w:rFonts w:ascii="Calibri" w:hAnsi="Calibri" w:cs="Calibri"/>
          <w:i/>
          <w:iCs/>
          <w:sz w:val="22"/>
          <w:szCs w:val="22"/>
        </w:rPr>
        <w:t>International Journal of Women’s Health</w:t>
      </w:r>
      <w:r w:rsidRPr="002B0F53">
        <w:rPr>
          <w:rFonts w:ascii="Calibri" w:hAnsi="Calibri" w:cs="Calibri"/>
          <w:sz w:val="22"/>
          <w:szCs w:val="22"/>
        </w:rPr>
        <w:t xml:space="preserve">, </w:t>
      </w:r>
      <w:r w:rsidRPr="002B0F53">
        <w:rPr>
          <w:rFonts w:ascii="Calibri" w:hAnsi="Calibri" w:cs="Calibri"/>
          <w:i/>
          <w:iCs/>
          <w:sz w:val="22"/>
          <w:szCs w:val="22"/>
        </w:rPr>
        <w:t>Volume 12</w:t>
      </w:r>
      <w:r w:rsidRPr="002B0F53">
        <w:rPr>
          <w:rFonts w:ascii="Calibri" w:hAnsi="Calibri" w:cs="Calibri"/>
          <w:sz w:val="22"/>
          <w:szCs w:val="22"/>
        </w:rPr>
        <w:t xml:space="preserve">(6), 755–763. </w:t>
      </w:r>
      <w:proofErr w:type="spellStart"/>
      <w:r w:rsidRPr="002B0F53">
        <w:rPr>
          <w:rFonts w:ascii="Calibri" w:hAnsi="Calibri" w:cs="Calibri"/>
          <w:sz w:val="22"/>
          <w:szCs w:val="22"/>
        </w:rPr>
        <w:t>Dovepress</w:t>
      </w:r>
      <w:proofErr w:type="spellEnd"/>
      <w:r w:rsidRPr="002B0F53">
        <w:rPr>
          <w:rFonts w:ascii="Calibri" w:hAnsi="Calibri" w:cs="Calibri"/>
          <w:sz w:val="22"/>
          <w:szCs w:val="22"/>
        </w:rPr>
        <w:t>. https://doi.org/10.2147/ijwh.s269392</w:t>
      </w:r>
    </w:p>
    <w:p w14:paraId="22261E49"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Thakrar, P., </w:t>
      </w:r>
      <w:proofErr w:type="spellStart"/>
      <w:r w:rsidRPr="002B0F53">
        <w:rPr>
          <w:rFonts w:ascii="Calibri" w:hAnsi="Calibri" w:cs="Calibri"/>
          <w:sz w:val="22"/>
          <w:szCs w:val="22"/>
        </w:rPr>
        <w:t>Bhukar</w:t>
      </w:r>
      <w:proofErr w:type="spellEnd"/>
      <w:r w:rsidRPr="002B0F53">
        <w:rPr>
          <w:rFonts w:ascii="Calibri" w:hAnsi="Calibri" w:cs="Calibri"/>
          <w:sz w:val="22"/>
          <w:szCs w:val="22"/>
        </w:rPr>
        <w:t xml:space="preserve">, K., &amp; </w:t>
      </w:r>
      <w:proofErr w:type="spellStart"/>
      <w:r w:rsidRPr="002B0F53">
        <w:rPr>
          <w:rFonts w:ascii="Calibri" w:hAnsi="Calibri" w:cs="Calibri"/>
          <w:sz w:val="22"/>
          <w:szCs w:val="22"/>
        </w:rPr>
        <w:t>Oswal</w:t>
      </w:r>
      <w:proofErr w:type="spellEnd"/>
      <w:r w:rsidRPr="002B0F53">
        <w:rPr>
          <w:rFonts w:ascii="Calibri" w:hAnsi="Calibri" w:cs="Calibri"/>
          <w:sz w:val="22"/>
          <w:szCs w:val="22"/>
        </w:rPr>
        <w:t xml:space="preserve">, R. (2021). Premenstrual dysphoric disorder: Prevalence, quality of life and disability due to illness among medical and paramedical students. </w:t>
      </w:r>
      <w:r w:rsidRPr="002B0F53">
        <w:rPr>
          <w:rFonts w:ascii="Calibri" w:hAnsi="Calibri" w:cs="Calibri"/>
          <w:i/>
          <w:iCs/>
          <w:sz w:val="22"/>
          <w:szCs w:val="22"/>
        </w:rPr>
        <w:t>Journal of Affective Disorders Reports</w:t>
      </w:r>
      <w:r w:rsidRPr="002B0F53">
        <w:rPr>
          <w:rFonts w:ascii="Calibri" w:hAnsi="Calibri" w:cs="Calibri"/>
          <w:sz w:val="22"/>
          <w:szCs w:val="22"/>
        </w:rPr>
        <w:t xml:space="preserve">, </w:t>
      </w:r>
      <w:r w:rsidRPr="002B0F53">
        <w:rPr>
          <w:rFonts w:ascii="Calibri" w:hAnsi="Calibri" w:cs="Calibri"/>
          <w:i/>
          <w:iCs/>
          <w:sz w:val="22"/>
          <w:szCs w:val="22"/>
        </w:rPr>
        <w:t>4</w:t>
      </w:r>
      <w:r w:rsidRPr="002B0F53">
        <w:rPr>
          <w:rFonts w:ascii="Calibri" w:hAnsi="Calibri" w:cs="Calibri"/>
          <w:sz w:val="22"/>
          <w:szCs w:val="22"/>
        </w:rPr>
        <w:t>(4), 100112. Science Direct. https://doi.org/10.1016/j.jadr.2021.100112</w:t>
      </w:r>
    </w:p>
    <w:p w14:paraId="2B649D07"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proofErr w:type="spellStart"/>
      <w:r w:rsidRPr="002B0F53">
        <w:rPr>
          <w:rFonts w:ascii="Calibri" w:hAnsi="Calibri" w:cs="Calibri"/>
          <w:sz w:val="22"/>
          <w:szCs w:val="22"/>
        </w:rPr>
        <w:t>Tiranini</w:t>
      </w:r>
      <w:proofErr w:type="spellEnd"/>
      <w:r w:rsidRPr="002B0F53">
        <w:rPr>
          <w:rFonts w:ascii="Calibri" w:hAnsi="Calibri" w:cs="Calibri"/>
          <w:sz w:val="22"/>
          <w:szCs w:val="22"/>
        </w:rPr>
        <w:t xml:space="preserve">, L., &amp; Nappi, R. E. (2022). Recent advances in understanding/management of premenstrual dysphoric disorder/premenstrual syndrome. </w:t>
      </w:r>
      <w:r w:rsidRPr="002B0F53">
        <w:rPr>
          <w:rFonts w:ascii="Calibri" w:hAnsi="Calibri" w:cs="Calibri"/>
          <w:i/>
          <w:iCs/>
          <w:sz w:val="22"/>
          <w:szCs w:val="22"/>
        </w:rPr>
        <w:t>Faculty Reviews</w:t>
      </w:r>
      <w:r w:rsidRPr="002B0F53">
        <w:rPr>
          <w:rFonts w:ascii="Calibri" w:hAnsi="Calibri" w:cs="Calibri"/>
          <w:sz w:val="22"/>
          <w:szCs w:val="22"/>
        </w:rPr>
        <w:t xml:space="preserve">, </w:t>
      </w:r>
      <w:r w:rsidRPr="002B0F53">
        <w:rPr>
          <w:rFonts w:ascii="Calibri" w:hAnsi="Calibri" w:cs="Calibri"/>
          <w:i/>
          <w:iCs/>
          <w:sz w:val="22"/>
          <w:szCs w:val="22"/>
        </w:rPr>
        <w:t>11</w:t>
      </w:r>
      <w:r w:rsidRPr="002B0F53">
        <w:rPr>
          <w:rFonts w:ascii="Calibri" w:hAnsi="Calibri" w:cs="Calibri"/>
          <w:sz w:val="22"/>
          <w:szCs w:val="22"/>
        </w:rPr>
        <w:t>(11), 1–5. PubMed Central. https://doi.org/10.12703/r/11-11</w:t>
      </w:r>
    </w:p>
    <w:p w14:paraId="4DE8EC76"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Wallenstein, G. V., Blaisdell-Gross, B., </w:t>
      </w:r>
      <w:proofErr w:type="spellStart"/>
      <w:r w:rsidRPr="002B0F53">
        <w:rPr>
          <w:rFonts w:ascii="Calibri" w:hAnsi="Calibri" w:cs="Calibri"/>
          <w:sz w:val="22"/>
          <w:szCs w:val="22"/>
        </w:rPr>
        <w:t>Gajria</w:t>
      </w:r>
      <w:proofErr w:type="spellEnd"/>
      <w:r w:rsidRPr="002B0F53">
        <w:rPr>
          <w:rFonts w:ascii="Calibri" w:hAnsi="Calibri" w:cs="Calibri"/>
          <w:sz w:val="22"/>
          <w:szCs w:val="22"/>
        </w:rPr>
        <w:t xml:space="preserve">, K., Guo, A., Hagan, M., Kornstein, S. G., &amp; Yonkers, K. A. (2008). Development and Validation of the Premenstrual Symptoms Impact Survey (PMSIS): A Disease-Specific Quality of Life Assessment Tool. </w:t>
      </w:r>
      <w:r w:rsidRPr="002B0F53">
        <w:rPr>
          <w:rFonts w:ascii="Calibri" w:hAnsi="Calibri" w:cs="Calibri"/>
          <w:i/>
          <w:iCs/>
          <w:sz w:val="22"/>
          <w:szCs w:val="22"/>
        </w:rPr>
        <w:t>Journal of Women’s Health</w:t>
      </w:r>
      <w:r w:rsidRPr="002B0F53">
        <w:rPr>
          <w:rFonts w:ascii="Calibri" w:hAnsi="Calibri" w:cs="Calibri"/>
          <w:sz w:val="22"/>
          <w:szCs w:val="22"/>
        </w:rPr>
        <w:t xml:space="preserve">, </w:t>
      </w:r>
      <w:r w:rsidRPr="002B0F53">
        <w:rPr>
          <w:rFonts w:ascii="Calibri" w:hAnsi="Calibri" w:cs="Calibri"/>
          <w:i/>
          <w:iCs/>
          <w:sz w:val="22"/>
          <w:szCs w:val="22"/>
        </w:rPr>
        <w:t>17</w:t>
      </w:r>
      <w:r w:rsidRPr="002B0F53">
        <w:rPr>
          <w:rFonts w:ascii="Calibri" w:hAnsi="Calibri" w:cs="Calibri"/>
          <w:sz w:val="22"/>
          <w:szCs w:val="22"/>
        </w:rPr>
        <w:t>(3), 439–450. PubMed Central. https://doi.org/10.1089/jwh.2007.0377</w:t>
      </w:r>
    </w:p>
    <w:p w14:paraId="7BC43950"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lastRenderedPageBreak/>
        <w:t xml:space="preserve">Weise, C., Kaiser, G., Janda, C., Kues, Johanna N., Andersson, G., Strahler, J., &amp; </w:t>
      </w:r>
      <w:proofErr w:type="spellStart"/>
      <w:r w:rsidRPr="002B0F53">
        <w:rPr>
          <w:rFonts w:ascii="Calibri" w:hAnsi="Calibri" w:cs="Calibri"/>
          <w:sz w:val="22"/>
          <w:szCs w:val="22"/>
        </w:rPr>
        <w:t>Kleinstäuber</w:t>
      </w:r>
      <w:proofErr w:type="spellEnd"/>
      <w:r w:rsidRPr="002B0F53">
        <w:rPr>
          <w:rFonts w:ascii="Calibri" w:hAnsi="Calibri" w:cs="Calibri"/>
          <w:sz w:val="22"/>
          <w:szCs w:val="22"/>
        </w:rPr>
        <w:t xml:space="preserve">, M. (2019). Internet-Based Cognitive-Behavioural Intervention for Women with Premenstrual Dysphoric Disorder: A Randomized Controlled Trial. </w:t>
      </w:r>
      <w:r w:rsidRPr="002B0F53">
        <w:rPr>
          <w:rFonts w:ascii="Calibri" w:hAnsi="Calibri" w:cs="Calibri"/>
          <w:i/>
          <w:iCs/>
          <w:sz w:val="22"/>
          <w:szCs w:val="22"/>
        </w:rPr>
        <w:t>Psychotherapy and Psychosomatics</w:t>
      </w:r>
      <w:r w:rsidRPr="002B0F53">
        <w:rPr>
          <w:rFonts w:ascii="Calibri" w:hAnsi="Calibri" w:cs="Calibri"/>
          <w:sz w:val="22"/>
          <w:szCs w:val="22"/>
        </w:rPr>
        <w:t xml:space="preserve">, </w:t>
      </w:r>
      <w:r w:rsidRPr="002B0F53">
        <w:rPr>
          <w:rFonts w:ascii="Calibri" w:hAnsi="Calibri" w:cs="Calibri"/>
          <w:i/>
          <w:iCs/>
          <w:sz w:val="22"/>
          <w:szCs w:val="22"/>
        </w:rPr>
        <w:t>88</w:t>
      </w:r>
      <w:r w:rsidRPr="002B0F53">
        <w:rPr>
          <w:rFonts w:ascii="Calibri" w:hAnsi="Calibri" w:cs="Calibri"/>
          <w:sz w:val="22"/>
          <w:szCs w:val="22"/>
        </w:rPr>
        <w:t>(1), 16–29. Karger. https://doi.org/10.1159/000496237</w:t>
      </w:r>
    </w:p>
    <w:p w14:paraId="0DFCB3B7" w14:textId="370C3FA1" w:rsidR="00061EEB" w:rsidRPr="002B0F53" w:rsidRDefault="00061EEB">
      <w:pPr>
        <w:rPr>
          <w:rFonts w:ascii="Calibri" w:hAnsi="Calibri" w:cs="Calibri"/>
          <w:sz w:val="22"/>
          <w:szCs w:val="22"/>
        </w:rPr>
      </w:pPr>
    </w:p>
    <w:p w14:paraId="3B08D787" w14:textId="2C8AC314" w:rsidR="00A828FE" w:rsidRPr="002B0F53" w:rsidRDefault="005F6AF9">
      <w:pPr>
        <w:rPr>
          <w:rFonts w:ascii="Calibri" w:hAnsi="Calibri" w:cs="Calibri"/>
          <w:sz w:val="22"/>
          <w:szCs w:val="22"/>
        </w:rPr>
      </w:pPr>
      <w:r w:rsidRPr="002B0F53">
        <w:rPr>
          <w:rFonts w:ascii="Calibri" w:hAnsi="Calibri" w:cs="Calibri"/>
          <w:noProof/>
          <w:sz w:val="22"/>
          <w:szCs w:val="22"/>
        </w:rPr>
        <w:drawing>
          <wp:inline distT="0" distB="0" distL="0" distR="0" wp14:anchorId="626AA337" wp14:editId="48785C1F">
            <wp:extent cx="5731510" cy="3223895"/>
            <wp:effectExtent l="0" t="0" r="2540" b="0"/>
            <wp:docPr id="2983418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341852"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72BC1364" w14:textId="7E6C1D98" w:rsidR="00A828FE" w:rsidRPr="002B0F53" w:rsidRDefault="00A828FE">
      <w:pPr>
        <w:rPr>
          <w:rFonts w:ascii="Calibri" w:hAnsi="Calibri" w:cs="Calibri"/>
          <w:sz w:val="22"/>
          <w:szCs w:val="22"/>
        </w:rPr>
      </w:pPr>
      <w:r w:rsidRPr="002B0F53">
        <w:rPr>
          <w:rFonts w:ascii="Calibri" w:hAnsi="Calibri" w:cs="Calibri"/>
          <w:noProof/>
          <w:sz w:val="22"/>
          <w:szCs w:val="22"/>
        </w:rPr>
        <w:drawing>
          <wp:inline distT="0" distB="0" distL="0" distR="0" wp14:anchorId="14B85179" wp14:editId="4A7E0346">
            <wp:extent cx="5731510" cy="3223895"/>
            <wp:effectExtent l="0" t="0" r="2540" b="0"/>
            <wp:docPr id="14948925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892549"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p>
    <w:sectPr w:rsidR="00A828FE" w:rsidRPr="002B0F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BA3FD4"/>
    <w:multiLevelType w:val="multilevel"/>
    <w:tmpl w:val="BDC22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D205EE8"/>
    <w:multiLevelType w:val="multilevel"/>
    <w:tmpl w:val="79182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3035002">
    <w:abstractNumId w:val="0"/>
  </w:num>
  <w:num w:numId="2" w16cid:durableId="11126247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EEB"/>
    <w:rsid w:val="00061EEB"/>
    <w:rsid w:val="001E60DF"/>
    <w:rsid w:val="002B0F53"/>
    <w:rsid w:val="003153C6"/>
    <w:rsid w:val="004B0793"/>
    <w:rsid w:val="005917AC"/>
    <w:rsid w:val="005D6F82"/>
    <w:rsid w:val="005F6AF9"/>
    <w:rsid w:val="00961586"/>
    <w:rsid w:val="00964700"/>
    <w:rsid w:val="009C11B3"/>
    <w:rsid w:val="00A828FE"/>
    <w:rsid w:val="00B15CA2"/>
    <w:rsid w:val="00C642D6"/>
    <w:rsid w:val="00CB35E9"/>
    <w:rsid w:val="00D32313"/>
    <w:rsid w:val="00D847F1"/>
    <w:rsid w:val="00E03F89"/>
    <w:rsid w:val="00E336BC"/>
    <w:rsid w:val="00E90EE3"/>
    <w:rsid w:val="00EE329B"/>
    <w:rsid w:val="00F511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473FC"/>
  <w15:chartTrackingRefBased/>
  <w15:docId w15:val="{486E3D47-4AE4-4E27-AC40-31396E0FB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1E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1E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1E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1E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1E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1E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1E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1E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1E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1E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1E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1E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1E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1E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1E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1E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1E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1EEB"/>
    <w:rPr>
      <w:rFonts w:eastAsiaTheme="majorEastAsia" w:cstheme="majorBidi"/>
      <w:color w:val="272727" w:themeColor="text1" w:themeTint="D8"/>
    </w:rPr>
  </w:style>
  <w:style w:type="paragraph" w:styleId="Title">
    <w:name w:val="Title"/>
    <w:basedOn w:val="Normal"/>
    <w:next w:val="Normal"/>
    <w:link w:val="TitleChar"/>
    <w:uiPriority w:val="10"/>
    <w:qFormat/>
    <w:rsid w:val="00061E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1E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1E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1E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1EEB"/>
    <w:pPr>
      <w:spacing w:before="160"/>
      <w:jc w:val="center"/>
    </w:pPr>
    <w:rPr>
      <w:i/>
      <w:iCs/>
      <w:color w:val="404040" w:themeColor="text1" w:themeTint="BF"/>
    </w:rPr>
  </w:style>
  <w:style w:type="character" w:customStyle="1" w:styleId="QuoteChar">
    <w:name w:val="Quote Char"/>
    <w:basedOn w:val="DefaultParagraphFont"/>
    <w:link w:val="Quote"/>
    <w:uiPriority w:val="29"/>
    <w:rsid w:val="00061EEB"/>
    <w:rPr>
      <w:i/>
      <w:iCs/>
      <w:color w:val="404040" w:themeColor="text1" w:themeTint="BF"/>
    </w:rPr>
  </w:style>
  <w:style w:type="paragraph" w:styleId="ListParagraph">
    <w:name w:val="List Paragraph"/>
    <w:basedOn w:val="Normal"/>
    <w:uiPriority w:val="34"/>
    <w:qFormat/>
    <w:rsid w:val="00061EEB"/>
    <w:pPr>
      <w:ind w:left="720"/>
      <w:contextualSpacing/>
    </w:pPr>
  </w:style>
  <w:style w:type="character" w:styleId="IntenseEmphasis">
    <w:name w:val="Intense Emphasis"/>
    <w:basedOn w:val="DefaultParagraphFont"/>
    <w:uiPriority w:val="21"/>
    <w:qFormat/>
    <w:rsid w:val="00061EEB"/>
    <w:rPr>
      <w:i/>
      <w:iCs/>
      <w:color w:val="0F4761" w:themeColor="accent1" w:themeShade="BF"/>
    </w:rPr>
  </w:style>
  <w:style w:type="paragraph" w:styleId="IntenseQuote">
    <w:name w:val="Intense Quote"/>
    <w:basedOn w:val="Normal"/>
    <w:next w:val="Normal"/>
    <w:link w:val="IntenseQuoteChar"/>
    <w:uiPriority w:val="30"/>
    <w:qFormat/>
    <w:rsid w:val="00061E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1EEB"/>
    <w:rPr>
      <w:i/>
      <w:iCs/>
      <w:color w:val="0F4761" w:themeColor="accent1" w:themeShade="BF"/>
    </w:rPr>
  </w:style>
  <w:style w:type="character" w:styleId="IntenseReference">
    <w:name w:val="Intense Reference"/>
    <w:basedOn w:val="DefaultParagraphFont"/>
    <w:uiPriority w:val="32"/>
    <w:qFormat/>
    <w:rsid w:val="00061EEB"/>
    <w:rPr>
      <w:b/>
      <w:bCs/>
      <w:smallCaps/>
      <w:color w:val="0F4761" w:themeColor="accent1" w:themeShade="BF"/>
      <w:spacing w:val="5"/>
    </w:rPr>
  </w:style>
  <w:style w:type="paragraph" w:styleId="NormalWeb">
    <w:name w:val="Normal (Web)"/>
    <w:basedOn w:val="Normal"/>
    <w:uiPriority w:val="99"/>
    <w:semiHidden/>
    <w:unhideWhenUsed/>
    <w:rsid w:val="00061EE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E03F8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0159578">
      <w:bodyDiv w:val="1"/>
      <w:marLeft w:val="0"/>
      <w:marRight w:val="0"/>
      <w:marTop w:val="0"/>
      <w:marBottom w:val="0"/>
      <w:divBdr>
        <w:top w:val="none" w:sz="0" w:space="0" w:color="auto"/>
        <w:left w:val="none" w:sz="0" w:space="0" w:color="auto"/>
        <w:bottom w:val="none" w:sz="0" w:space="0" w:color="auto"/>
        <w:right w:val="none" w:sz="0" w:space="0" w:color="auto"/>
      </w:divBdr>
      <w:divsChild>
        <w:div w:id="1032804356">
          <w:marLeft w:val="-720"/>
          <w:marRight w:val="0"/>
          <w:marTop w:val="0"/>
          <w:marBottom w:val="0"/>
          <w:divBdr>
            <w:top w:val="none" w:sz="0" w:space="0" w:color="auto"/>
            <w:left w:val="none" w:sz="0" w:space="0" w:color="auto"/>
            <w:bottom w:val="none" w:sz="0" w:space="0" w:color="auto"/>
            <w:right w:val="none" w:sz="0" w:space="0" w:color="auto"/>
          </w:divBdr>
        </w:div>
      </w:divsChild>
    </w:div>
    <w:div w:id="1274170667">
      <w:bodyDiv w:val="1"/>
      <w:marLeft w:val="0"/>
      <w:marRight w:val="0"/>
      <w:marTop w:val="0"/>
      <w:marBottom w:val="0"/>
      <w:divBdr>
        <w:top w:val="none" w:sz="0" w:space="0" w:color="auto"/>
        <w:left w:val="none" w:sz="0" w:space="0" w:color="auto"/>
        <w:bottom w:val="none" w:sz="0" w:space="0" w:color="auto"/>
        <w:right w:val="none" w:sz="0" w:space="0" w:color="auto"/>
      </w:divBdr>
    </w:div>
    <w:div w:id="1749109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svg"/><Relationship Id="rId26" Type="http://schemas.openxmlformats.org/officeDocument/2006/relationships/image" Target="media/image18.svg"/><Relationship Id="rId3" Type="http://schemas.openxmlformats.org/officeDocument/2006/relationships/customXml" Target="../customXml/item3.xml"/><Relationship Id="rId21" Type="http://schemas.openxmlformats.org/officeDocument/2006/relationships/image" Target="media/image13.png"/><Relationship Id="rId34" Type="http://schemas.openxmlformats.org/officeDocument/2006/relationships/image" Target="media/image26.svg"/><Relationship Id="rId7" Type="http://schemas.openxmlformats.org/officeDocument/2006/relationships/webSettings" Target="webSettings.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customXml" Target="../customXml/item2.xml"/><Relationship Id="rId16" Type="http://schemas.openxmlformats.org/officeDocument/2006/relationships/image" Target="media/image8.svg"/><Relationship Id="rId20" Type="http://schemas.openxmlformats.org/officeDocument/2006/relationships/image" Target="media/image12.sv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image" Target="media/image16.svg"/><Relationship Id="rId32" Type="http://schemas.openxmlformats.org/officeDocument/2006/relationships/image" Target="media/image24.svg"/><Relationship Id="rId5"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svg"/><Relationship Id="rId36" Type="http://schemas.openxmlformats.org/officeDocument/2006/relationships/theme" Target="theme/theme1.xml"/><Relationship Id="rId10" Type="http://schemas.openxmlformats.org/officeDocument/2006/relationships/image" Target="media/image2.sv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image" Target="media/image6.svg"/><Relationship Id="rId22" Type="http://schemas.openxmlformats.org/officeDocument/2006/relationships/image" Target="media/image14.svg"/><Relationship Id="rId27" Type="http://schemas.openxmlformats.org/officeDocument/2006/relationships/image" Target="media/image19.png"/><Relationship Id="rId30" Type="http://schemas.openxmlformats.org/officeDocument/2006/relationships/image" Target="media/image22.svg"/><Relationship Id="rId35" Type="http://schemas.openxmlformats.org/officeDocument/2006/relationships/fontTable" Target="fontTable.xml"/><Relationship Id="rId8" Type="http://schemas.openxmlformats.org/officeDocument/2006/relationships/hyperlink" Target="https://uowtsd-my.sharepoint.com/:p:/g/personal/2103554_student_uwtsd_ac_uk/EbQ96Dlhfl1Emit9jNpsalYBrUvJsmyLCPx-gyNwLlWSrg?e=p2juL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7" ma:contentTypeDescription="Create a new document." ma:contentTypeScope="" ma:versionID="72e7860d1c4b13296140d8e4ec62940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b06fa2a51dce7bfc4450ad928d26e6c7"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SearchProperties" minOccurs="0"/>
                <xsd:element ref="ns3:_activity"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1A437E-8F1F-4768-812C-AC7857B807F1}">
  <ds:schemaRefs>
    <ds:schemaRef ds:uri="http://schemas.microsoft.com/office/2006/metadata/properties"/>
    <ds:schemaRef ds:uri="http://schemas.microsoft.com/office/infopath/2007/PartnerControls"/>
    <ds:schemaRef ds:uri="be49ff73-cec0-4379-9da8-63ff3cc411bb"/>
  </ds:schemaRefs>
</ds:datastoreItem>
</file>

<file path=customXml/itemProps2.xml><?xml version="1.0" encoding="utf-8"?>
<ds:datastoreItem xmlns:ds="http://schemas.openxmlformats.org/officeDocument/2006/customXml" ds:itemID="{31936552-BCF8-41CA-BEDB-ED6530B52B4D}">
  <ds:schemaRefs>
    <ds:schemaRef ds:uri="http://schemas.microsoft.com/sharepoint/v3/contenttype/forms"/>
  </ds:schemaRefs>
</ds:datastoreItem>
</file>

<file path=customXml/itemProps3.xml><?xml version="1.0" encoding="utf-8"?>
<ds:datastoreItem xmlns:ds="http://schemas.openxmlformats.org/officeDocument/2006/customXml" ds:itemID="{1FB10B8D-758D-49F5-BE15-BD52ABEAF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3008</Words>
  <Characters>17149</Characters>
  <Application>Microsoft Office Word</Application>
  <DocSecurity>0</DocSecurity>
  <Lines>142</Lines>
  <Paragraphs>40</Paragraphs>
  <ScaleCrop>false</ScaleCrop>
  <Company/>
  <LinksUpToDate>false</LinksUpToDate>
  <CharactersWithSpaces>20117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Willow Quick (2103554)</dc:creator>
  <cp:keywords/>
  <dc:description/>
  <cp:lastModifiedBy>Willow Quick (2103554)</cp:lastModifiedBy>
  <cp:revision>20</cp:revision>
  <dcterms:created xsi:type="dcterms:W3CDTF">2024-05-19T16:18:00Z</dcterms:created>
  <dcterms:modified xsi:type="dcterms:W3CDTF">2024-05-19T16:36:00Z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