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8D140A" w14:textId="7918E1A5" w:rsidR="005D16E4" w:rsidRDefault="00DA7669" w:rsidP="005D16E4">
      <w:pPr>
        <w:ind w:left="1440" w:firstLine="720"/>
        <w:rPr>
          <w:rFonts w:ascii="Times New Roman" w:hAnsi="Times New Roman" w:cs="Times New Roman"/>
          <w:sz w:val="40"/>
          <w:szCs w:val="40"/>
        </w:rPr>
      </w:pPr>
      <w:r>
        <w:rPr>
          <w:noProof/>
        </w:rPr>
        <w:drawing>
          <wp:inline distT="0" distB="0" distL="0" distR="0" wp14:anchorId="4A95678F" wp14:editId="60B2B316">
            <wp:extent cx="3639820" cy="1816735"/>
            <wp:effectExtent l="0" t="0" r="0" b="0"/>
            <wp:docPr id="12299093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9093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39820" cy="1816735"/>
                    </a:xfrm>
                    <a:prstGeom prst="rect">
                      <a:avLst/>
                    </a:prstGeom>
                    <a:noFill/>
                  </pic:spPr>
                </pic:pic>
              </a:graphicData>
            </a:graphic>
          </wp:inline>
        </w:drawing>
      </w:r>
    </w:p>
    <w:p w14:paraId="55173385" w14:textId="77777777" w:rsidR="005D16E4" w:rsidRDefault="005D16E4" w:rsidP="005D16E4">
      <w:pPr>
        <w:ind w:left="1440" w:firstLine="720"/>
        <w:rPr>
          <w:rFonts w:ascii="Times New Roman" w:hAnsi="Times New Roman" w:cs="Times New Roman"/>
          <w:sz w:val="40"/>
          <w:szCs w:val="40"/>
        </w:rPr>
      </w:pPr>
    </w:p>
    <w:p w14:paraId="5BB804FC" w14:textId="77777777" w:rsidR="004B0464" w:rsidRDefault="004B0464" w:rsidP="005D16E4">
      <w:pPr>
        <w:ind w:left="1440" w:firstLine="720"/>
        <w:rPr>
          <w:rFonts w:ascii="Times New Roman" w:hAnsi="Times New Roman" w:cs="Times New Roman"/>
          <w:sz w:val="40"/>
          <w:szCs w:val="40"/>
        </w:rPr>
      </w:pPr>
    </w:p>
    <w:p w14:paraId="5A167651" w14:textId="77777777" w:rsidR="004B0464" w:rsidRDefault="004B0464" w:rsidP="005D16E4">
      <w:pPr>
        <w:ind w:left="1440" w:firstLine="720"/>
        <w:rPr>
          <w:rFonts w:ascii="Times New Roman" w:hAnsi="Times New Roman" w:cs="Times New Roman"/>
          <w:sz w:val="40"/>
          <w:szCs w:val="40"/>
        </w:rPr>
      </w:pPr>
    </w:p>
    <w:p w14:paraId="1C15ADD5" w14:textId="77777777" w:rsidR="004B0464" w:rsidRDefault="005D16E4" w:rsidP="004B0464">
      <w:pPr>
        <w:jc w:val="center"/>
        <w:rPr>
          <w:rFonts w:ascii="Times New Roman" w:hAnsi="Times New Roman" w:cs="Times New Roman"/>
          <w:sz w:val="40"/>
          <w:szCs w:val="40"/>
        </w:rPr>
      </w:pPr>
      <w:r w:rsidRPr="00F71B97">
        <w:rPr>
          <w:rFonts w:ascii="Times New Roman" w:hAnsi="Times New Roman" w:cs="Times New Roman"/>
          <w:sz w:val="40"/>
          <w:szCs w:val="40"/>
        </w:rPr>
        <w:t>Assessment 2</w:t>
      </w:r>
    </w:p>
    <w:p w14:paraId="2B5A68E8" w14:textId="25FDFE68" w:rsidR="004B0464" w:rsidRPr="004B0464" w:rsidRDefault="004B0464" w:rsidP="004B0464">
      <w:pPr>
        <w:jc w:val="center"/>
        <w:rPr>
          <w:rFonts w:ascii="Times New Roman" w:hAnsi="Times New Roman" w:cs="Times New Roman"/>
          <w:sz w:val="40"/>
          <w:szCs w:val="40"/>
        </w:rPr>
      </w:pPr>
      <w:r w:rsidRPr="008218A4">
        <w:rPr>
          <w:rFonts w:ascii="Arial" w:hAnsi="Arial" w:cs="Arial"/>
          <w:sz w:val="24"/>
          <w:szCs w:val="24"/>
        </w:rPr>
        <w:t>Contracting Methods in Project Management</w:t>
      </w:r>
    </w:p>
    <w:p w14:paraId="31A5C8F9" w14:textId="77777777" w:rsidR="005D16E4" w:rsidRDefault="005D16E4" w:rsidP="005D16E4">
      <w:pPr>
        <w:rPr>
          <w:b/>
          <w:bCs/>
        </w:rPr>
      </w:pPr>
    </w:p>
    <w:p w14:paraId="794E0CD1" w14:textId="77777777" w:rsidR="004B0464" w:rsidRDefault="004B0464" w:rsidP="005D16E4">
      <w:pPr>
        <w:rPr>
          <w:b/>
          <w:bCs/>
        </w:rPr>
      </w:pPr>
    </w:p>
    <w:p w14:paraId="401BB78C" w14:textId="77777777" w:rsidR="005D16E4" w:rsidRDefault="005D16E4" w:rsidP="005D16E4">
      <w:pPr>
        <w:rPr>
          <w:b/>
          <w:bCs/>
        </w:rPr>
      </w:pPr>
    </w:p>
    <w:p w14:paraId="025D4D74" w14:textId="77777777" w:rsidR="005D16E4" w:rsidRDefault="005D16E4" w:rsidP="005D16E4">
      <w:pPr>
        <w:rPr>
          <w:b/>
          <w:bCs/>
        </w:rPr>
      </w:pPr>
    </w:p>
    <w:p w14:paraId="50711B94" w14:textId="77777777" w:rsidR="005D16E4" w:rsidRPr="006F695A" w:rsidRDefault="005D16E4" w:rsidP="005D16E4">
      <w:pPr>
        <w:rPr>
          <w:rFonts w:ascii="Times New Roman" w:hAnsi="Times New Roman" w:cs="Times New Roman"/>
          <w:sz w:val="24"/>
          <w:szCs w:val="24"/>
        </w:rPr>
      </w:pPr>
      <w:r w:rsidRPr="006F695A">
        <w:rPr>
          <w:rFonts w:ascii="Times New Roman" w:hAnsi="Times New Roman" w:cs="Times New Roman"/>
          <w:sz w:val="24"/>
          <w:szCs w:val="24"/>
        </w:rPr>
        <w:t>Name: Sorin Daniel Dascalu</w:t>
      </w:r>
    </w:p>
    <w:p w14:paraId="1E3BDEB4" w14:textId="77777777" w:rsidR="005D16E4" w:rsidRPr="006F695A" w:rsidRDefault="005D16E4" w:rsidP="005D16E4">
      <w:pPr>
        <w:rPr>
          <w:rFonts w:ascii="Times New Roman" w:hAnsi="Times New Roman" w:cs="Times New Roman"/>
          <w:sz w:val="24"/>
          <w:szCs w:val="24"/>
        </w:rPr>
      </w:pPr>
      <w:r w:rsidRPr="006F695A">
        <w:rPr>
          <w:rFonts w:ascii="Times New Roman" w:hAnsi="Times New Roman" w:cs="Times New Roman"/>
          <w:sz w:val="24"/>
          <w:szCs w:val="24"/>
        </w:rPr>
        <w:t>Student ID: 2237755</w:t>
      </w:r>
    </w:p>
    <w:p w14:paraId="79DB5303" w14:textId="77777777" w:rsidR="005D16E4" w:rsidRPr="005D16E4" w:rsidRDefault="005D16E4" w:rsidP="005D16E4">
      <w:pPr>
        <w:rPr>
          <w:rFonts w:ascii="Times New Roman" w:hAnsi="Times New Roman" w:cs="Times New Roman"/>
          <w:sz w:val="24"/>
          <w:szCs w:val="24"/>
        </w:rPr>
      </w:pPr>
      <w:r w:rsidRPr="005D16E4">
        <w:rPr>
          <w:rFonts w:ascii="Times New Roman" w:hAnsi="Times New Roman" w:cs="Times New Roman"/>
          <w:sz w:val="24"/>
          <w:szCs w:val="24"/>
        </w:rPr>
        <w:t>Module code: LCBB6006</w:t>
      </w:r>
    </w:p>
    <w:p w14:paraId="6E0CA00F" w14:textId="77777777" w:rsidR="005D16E4" w:rsidRPr="005D16E4" w:rsidRDefault="005D16E4" w:rsidP="005D16E4">
      <w:pPr>
        <w:rPr>
          <w:rFonts w:ascii="Times New Roman" w:hAnsi="Times New Roman" w:cs="Times New Roman"/>
          <w:sz w:val="24"/>
          <w:szCs w:val="24"/>
        </w:rPr>
      </w:pPr>
      <w:r w:rsidRPr="005D16E4">
        <w:rPr>
          <w:rFonts w:ascii="Times New Roman" w:hAnsi="Times New Roman" w:cs="Times New Roman"/>
          <w:sz w:val="24"/>
          <w:szCs w:val="24"/>
        </w:rPr>
        <w:t>Module Name: Project Management</w:t>
      </w:r>
    </w:p>
    <w:p w14:paraId="756556F5" w14:textId="77777777" w:rsidR="005D16E4" w:rsidRPr="005D16E4" w:rsidRDefault="005D16E4" w:rsidP="005D16E4">
      <w:pPr>
        <w:rPr>
          <w:rFonts w:ascii="Times New Roman" w:hAnsi="Times New Roman" w:cs="Times New Roman"/>
          <w:sz w:val="24"/>
          <w:szCs w:val="24"/>
        </w:rPr>
      </w:pPr>
      <w:r w:rsidRPr="005D16E4">
        <w:rPr>
          <w:rFonts w:ascii="Times New Roman" w:hAnsi="Times New Roman" w:cs="Times New Roman"/>
          <w:sz w:val="24"/>
          <w:szCs w:val="24"/>
        </w:rPr>
        <w:t xml:space="preserve">Lecturer: </w:t>
      </w:r>
      <w:r w:rsidRPr="004B0FA1">
        <w:rPr>
          <w:rFonts w:ascii="Times New Roman" w:hAnsi="Times New Roman" w:cs="Times New Roman"/>
          <w:sz w:val="24"/>
          <w:szCs w:val="24"/>
        </w:rPr>
        <w:t> Dr Zainab Atta</w:t>
      </w:r>
    </w:p>
    <w:p w14:paraId="4BC5EA6B" w14:textId="77777777" w:rsidR="005D16E4" w:rsidRDefault="005D16E4" w:rsidP="005D16E4">
      <w:pPr>
        <w:rPr>
          <w:b/>
          <w:bCs/>
        </w:rPr>
      </w:pPr>
    </w:p>
    <w:p w14:paraId="00C948DC" w14:textId="77777777" w:rsidR="005D16E4" w:rsidRDefault="005D16E4" w:rsidP="008218A4">
      <w:pPr>
        <w:spacing w:line="360" w:lineRule="auto"/>
        <w:jc w:val="both"/>
        <w:rPr>
          <w:rFonts w:ascii="Arial" w:hAnsi="Arial" w:cs="Arial"/>
          <w:sz w:val="24"/>
          <w:szCs w:val="24"/>
        </w:rPr>
      </w:pPr>
    </w:p>
    <w:p w14:paraId="39FC8516" w14:textId="77777777" w:rsidR="004B0464" w:rsidRDefault="004B0464" w:rsidP="008218A4">
      <w:pPr>
        <w:spacing w:line="360" w:lineRule="auto"/>
        <w:jc w:val="both"/>
        <w:rPr>
          <w:rFonts w:ascii="Arial" w:hAnsi="Arial" w:cs="Arial"/>
          <w:sz w:val="24"/>
          <w:szCs w:val="24"/>
        </w:rPr>
      </w:pPr>
    </w:p>
    <w:p w14:paraId="04291023" w14:textId="77777777" w:rsidR="004B0464" w:rsidRDefault="004B0464" w:rsidP="008218A4">
      <w:pPr>
        <w:spacing w:line="360" w:lineRule="auto"/>
        <w:jc w:val="both"/>
        <w:rPr>
          <w:rFonts w:ascii="Arial" w:hAnsi="Arial" w:cs="Arial"/>
          <w:sz w:val="24"/>
          <w:szCs w:val="24"/>
        </w:rPr>
      </w:pPr>
    </w:p>
    <w:p w14:paraId="1CAFE4B6" w14:textId="77777777" w:rsidR="004B0464" w:rsidRDefault="004B0464" w:rsidP="008218A4">
      <w:pPr>
        <w:spacing w:line="360" w:lineRule="auto"/>
        <w:jc w:val="both"/>
        <w:rPr>
          <w:rFonts w:ascii="Arial" w:hAnsi="Arial" w:cs="Arial"/>
          <w:sz w:val="24"/>
          <w:szCs w:val="24"/>
        </w:rPr>
      </w:pPr>
    </w:p>
    <w:p w14:paraId="6879CA72" w14:textId="77777777" w:rsidR="004B0464" w:rsidRDefault="004B0464" w:rsidP="008218A4">
      <w:pPr>
        <w:spacing w:line="360" w:lineRule="auto"/>
        <w:jc w:val="both"/>
        <w:rPr>
          <w:rFonts w:ascii="Arial" w:hAnsi="Arial" w:cs="Arial"/>
          <w:sz w:val="24"/>
          <w:szCs w:val="24"/>
        </w:rPr>
      </w:pPr>
    </w:p>
    <w:p w14:paraId="0F7C8D6A" w14:textId="77777777" w:rsidR="004B0464" w:rsidRDefault="004B0464" w:rsidP="008218A4">
      <w:pPr>
        <w:spacing w:line="360" w:lineRule="auto"/>
        <w:jc w:val="both"/>
        <w:rPr>
          <w:rFonts w:ascii="Arial" w:hAnsi="Arial" w:cs="Arial"/>
          <w:sz w:val="24"/>
          <w:szCs w:val="24"/>
        </w:rPr>
      </w:pPr>
    </w:p>
    <w:sdt>
      <w:sdtPr>
        <w:id w:val="-1479909622"/>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rPr>
      </w:sdtEndPr>
      <w:sdtContent>
        <w:p w14:paraId="3CA6B98B" w14:textId="14852B95" w:rsidR="00042570" w:rsidRDefault="00042570">
          <w:pPr>
            <w:pStyle w:val="TOCHeading"/>
            <w:rPr>
              <w:rStyle w:val="Heading1Char"/>
            </w:rPr>
          </w:pPr>
          <w:r w:rsidRPr="00042570">
            <w:rPr>
              <w:rStyle w:val="Heading1Char"/>
            </w:rPr>
            <w:t>Table of Contents</w:t>
          </w:r>
        </w:p>
        <w:p w14:paraId="4D8E1DA4" w14:textId="77777777" w:rsidR="00042570" w:rsidRDefault="00042570" w:rsidP="00042570">
          <w:pPr>
            <w:rPr>
              <w:lang w:val="en-US"/>
            </w:rPr>
          </w:pPr>
        </w:p>
        <w:p w14:paraId="79263570" w14:textId="77777777" w:rsidR="00042570" w:rsidRPr="00042570" w:rsidRDefault="00042570" w:rsidP="00042570">
          <w:pPr>
            <w:rPr>
              <w:lang w:val="en-US"/>
            </w:rPr>
          </w:pPr>
        </w:p>
        <w:p w14:paraId="53DCE4B7" w14:textId="67480E85" w:rsidR="00042570" w:rsidRPr="00042570" w:rsidRDefault="00042570" w:rsidP="00042570">
          <w:pPr>
            <w:pStyle w:val="TOC1"/>
            <w:tabs>
              <w:tab w:val="right" w:leader="dot" w:pos="9016"/>
            </w:tabs>
            <w:spacing w:line="360" w:lineRule="auto"/>
            <w:rPr>
              <w:rFonts w:ascii="Arial" w:hAnsi="Arial" w:cs="Arial"/>
              <w:noProof/>
              <w:sz w:val="24"/>
              <w:szCs w:val="24"/>
            </w:rPr>
          </w:pPr>
          <w:r>
            <w:fldChar w:fldCharType="begin"/>
          </w:r>
          <w:r>
            <w:instrText xml:space="preserve"> TOC \o "1-3" \h \z \u </w:instrText>
          </w:r>
          <w:r>
            <w:fldChar w:fldCharType="separate"/>
          </w:r>
          <w:hyperlink w:anchor="_Toc227475310" w:history="1">
            <w:r w:rsidRPr="00042570">
              <w:rPr>
                <w:rStyle w:val="Hyperlink"/>
                <w:rFonts w:ascii="Arial" w:hAnsi="Arial" w:cs="Arial"/>
                <w:noProof/>
                <w:sz w:val="24"/>
                <w:szCs w:val="24"/>
              </w:rPr>
              <w:t>1. Introduction</w:t>
            </w:r>
            <w:r w:rsidRPr="00042570">
              <w:rPr>
                <w:rFonts w:ascii="Arial" w:hAnsi="Arial" w:cs="Arial"/>
                <w:noProof/>
                <w:webHidden/>
                <w:sz w:val="24"/>
                <w:szCs w:val="24"/>
              </w:rPr>
              <w:tab/>
            </w:r>
            <w:r w:rsidRPr="00042570">
              <w:rPr>
                <w:rFonts w:ascii="Arial" w:hAnsi="Arial" w:cs="Arial"/>
                <w:noProof/>
                <w:webHidden/>
                <w:sz w:val="24"/>
                <w:szCs w:val="24"/>
              </w:rPr>
              <w:fldChar w:fldCharType="begin"/>
            </w:r>
            <w:r w:rsidRPr="00042570">
              <w:rPr>
                <w:rFonts w:ascii="Arial" w:hAnsi="Arial" w:cs="Arial"/>
                <w:noProof/>
                <w:webHidden/>
                <w:sz w:val="24"/>
                <w:szCs w:val="24"/>
              </w:rPr>
              <w:instrText xml:space="preserve"> PAGEREF _Toc227475310 \h </w:instrText>
            </w:r>
            <w:r w:rsidRPr="00042570">
              <w:rPr>
                <w:rFonts w:ascii="Arial" w:hAnsi="Arial" w:cs="Arial"/>
                <w:noProof/>
                <w:webHidden/>
                <w:sz w:val="24"/>
                <w:szCs w:val="24"/>
              </w:rPr>
            </w:r>
            <w:r w:rsidRPr="00042570">
              <w:rPr>
                <w:rFonts w:ascii="Arial" w:hAnsi="Arial" w:cs="Arial"/>
                <w:noProof/>
                <w:webHidden/>
                <w:sz w:val="24"/>
                <w:szCs w:val="24"/>
              </w:rPr>
              <w:fldChar w:fldCharType="separate"/>
            </w:r>
            <w:r w:rsidRPr="00042570">
              <w:rPr>
                <w:rFonts w:ascii="Arial" w:hAnsi="Arial" w:cs="Arial"/>
                <w:noProof/>
                <w:webHidden/>
                <w:sz w:val="24"/>
                <w:szCs w:val="24"/>
              </w:rPr>
              <w:t>2</w:t>
            </w:r>
            <w:r w:rsidRPr="00042570">
              <w:rPr>
                <w:rFonts w:ascii="Arial" w:hAnsi="Arial" w:cs="Arial"/>
                <w:noProof/>
                <w:webHidden/>
                <w:sz w:val="24"/>
                <w:szCs w:val="24"/>
              </w:rPr>
              <w:fldChar w:fldCharType="end"/>
            </w:r>
          </w:hyperlink>
        </w:p>
        <w:p w14:paraId="5C3F18F8" w14:textId="129113CE" w:rsidR="00042570" w:rsidRPr="00042570" w:rsidRDefault="00042570" w:rsidP="00042570">
          <w:pPr>
            <w:pStyle w:val="TOC1"/>
            <w:tabs>
              <w:tab w:val="right" w:leader="dot" w:pos="9016"/>
            </w:tabs>
            <w:spacing w:line="360" w:lineRule="auto"/>
            <w:rPr>
              <w:rFonts w:ascii="Arial" w:hAnsi="Arial" w:cs="Arial"/>
              <w:noProof/>
              <w:sz w:val="24"/>
              <w:szCs w:val="24"/>
            </w:rPr>
          </w:pPr>
          <w:hyperlink w:anchor="_Toc227475311" w:history="1">
            <w:r w:rsidRPr="00042570">
              <w:rPr>
                <w:rStyle w:val="Hyperlink"/>
                <w:rFonts w:ascii="Arial" w:hAnsi="Arial" w:cs="Arial"/>
                <w:noProof/>
                <w:sz w:val="24"/>
                <w:szCs w:val="24"/>
              </w:rPr>
              <w:t>2. Contracting in Project Management</w:t>
            </w:r>
            <w:r w:rsidRPr="00042570">
              <w:rPr>
                <w:rFonts w:ascii="Arial" w:hAnsi="Arial" w:cs="Arial"/>
                <w:noProof/>
                <w:webHidden/>
                <w:sz w:val="24"/>
                <w:szCs w:val="24"/>
              </w:rPr>
              <w:tab/>
            </w:r>
            <w:r w:rsidRPr="00042570">
              <w:rPr>
                <w:rFonts w:ascii="Arial" w:hAnsi="Arial" w:cs="Arial"/>
                <w:noProof/>
                <w:webHidden/>
                <w:sz w:val="24"/>
                <w:szCs w:val="24"/>
              </w:rPr>
              <w:fldChar w:fldCharType="begin"/>
            </w:r>
            <w:r w:rsidRPr="00042570">
              <w:rPr>
                <w:rFonts w:ascii="Arial" w:hAnsi="Arial" w:cs="Arial"/>
                <w:noProof/>
                <w:webHidden/>
                <w:sz w:val="24"/>
                <w:szCs w:val="24"/>
              </w:rPr>
              <w:instrText xml:space="preserve"> PAGEREF _Toc227475311 \h </w:instrText>
            </w:r>
            <w:r w:rsidRPr="00042570">
              <w:rPr>
                <w:rFonts w:ascii="Arial" w:hAnsi="Arial" w:cs="Arial"/>
                <w:noProof/>
                <w:webHidden/>
                <w:sz w:val="24"/>
                <w:szCs w:val="24"/>
              </w:rPr>
            </w:r>
            <w:r w:rsidRPr="00042570">
              <w:rPr>
                <w:rFonts w:ascii="Arial" w:hAnsi="Arial" w:cs="Arial"/>
                <w:noProof/>
                <w:webHidden/>
                <w:sz w:val="24"/>
                <w:szCs w:val="24"/>
              </w:rPr>
              <w:fldChar w:fldCharType="separate"/>
            </w:r>
            <w:r w:rsidRPr="00042570">
              <w:rPr>
                <w:rFonts w:ascii="Arial" w:hAnsi="Arial" w:cs="Arial"/>
                <w:noProof/>
                <w:webHidden/>
                <w:sz w:val="24"/>
                <w:szCs w:val="24"/>
              </w:rPr>
              <w:t>2</w:t>
            </w:r>
            <w:r w:rsidRPr="00042570">
              <w:rPr>
                <w:rFonts w:ascii="Arial" w:hAnsi="Arial" w:cs="Arial"/>
                <w:noProof/>
                <w:webHidden/>
                <w:sz w:val="24"/>
                <w:szCs w:val="24"/>
              </w:rPr>
              <w:fldChar w:fldCharType="end"/>
            </w:r>
          </w:hyperlink>
        </w:p>
        <w:p w14:paraId="7BADCFC9" w14:textId="4FE92851" w:rsidR="00042570" w:rsidRPr="00042570" w:rsidRDefault="00042570" w:rsidP="00042570">
          <w:pPr>
            <w:pStyle w:val="TOC1"/>
            <w:tabs>
              <w:tab w:val="right" w:leader="dot" w:pos="9016"/>
            </w:tabs>
            <w:spacing w:line="360" w:lineRule="auto"/>
            <w:rPr>
              <w:rFonts w:ascii="Arial" w:hAnsi="Arial" w:cs="Arial"/>
              <w:noProof/>
              <w:sz w:val="24"/>
              <w:szCs w:val="24"/>
            </w:rPr>
          </w:pPr>
          <w:hyperlink w:anchor="_Toc227475312" w:history="1">
            <w:r w:rsidRPr="00042570">
              <w:rPr>
                <w:rStyle w:val="Hyperlink"/>
                <w:rFonts w:ascii="Arial" w:hAnsi="Arial" w:cs="Arial"/>
                <w:noProof/>
                <w:sz w:val="24"/>
                <w:szCs w:val="24"/>
              </w:rPr>
              <w:t>3. Turnkey Contracting</w:t>
            </w:r>
            <w:r w:rsidRPr="00042570">
              <w:rPr>
                <w:rFonts w:ascii="Arial" w:hAnsi="Arial" w:cs="Arial"/>
                <w:noProof/>
                <w:webHidden/>
                <w:sz w:val="24"/>
                <w:szCs w:val="24"/>
              </w:rPr>
              <w:tab/>
            </w:r>
            <w:r w:rsidRPr="00042570">
              <w:rPr>
                <w:rFonts w:ascii="Arial" w:hAnsi="Arial" w:cs="Arial"/>
                <w:noProof/>
                <w:webHidden/>
                <w:sz w:val="24"/>
                <w:szCs w:val="24"/>
              </w:rPr>
              <w:fldChar w:fldCharType="begin"/>
            </w:r>
            <w:r w:rsidRPr="00042570">
              <w:rPr>
                <w:rFonts w:ascii="Arial" w:hAnsi="Arial" w:cs="Arial"/>
                <w:noProof/>
                <w:webHidden/>
                <w:sz w:val="24"/>
                <w:szCs w:val="24"/>
              </w:rPr>
              <w:instrText xml:space="preserve"> PAGEREF _Toc227475312 \h </w:instrText>
            </w:r>
            <w:r w:rsidRPr="00042570">
              <w:rPr>
                <w:rFonts w:ascii="Arial" w:hAnsi="Arial" w:cs="Arial"/>
                <w:noProof/>
                <w:webHidden/>
                <w:sz w:val="24"/>
                <w:szCs w:val="24"/>
              </w:rPr>
            </w:r>
            <w:r w:rsidRPr="00042570">
              <w:rPr>
                <w:rFonts w:ascii="Arial" w:hAnsi="Arial" w:cs="Arial"/>
                <w:noProof/>
                <w:webHidden/>
                <w:sz w:val="24"/>
                <w:szCs w:val="24"/>
              </w:rPr>
              <w:fldChar w:fldCharType="separate"/>
            </w:r>
            <w:r w:rsidRPr="00042570">
              <w:rPr>
                <w:rFonts w:ascii="Arial" w:hAnsi="Arial" w:cs="Arial"/>
                <w:noProof/>
                <w:webHidden/>
                <w:sz w:val="24"/>
                <w:szCs w:val="24"/>
              </w:rPr>
              <w:t>3</w:t>
            </w:r>
            <w:r w:rsidRPr="00042570">
              <w:rPr>
                <w:rFonts w:ascii="Arial" w:hAnsi="Arial" w:cs="Arial"/>
                <w:noProof/>
                <w:webHidden/>
                <w:sz w:val="24"/>
                <w:szCs w:val="24"/>
              </w:rPr>
              <w:fldChar w:fldCharType="end"/>
            </w:r>
          </w:hyperlink>
        </w:p>
        <w:p w14:paraId="56094F39" w14:textId="628D8526" w:rsidR="00042570" w:rsidRPr="00042570" w:rsidRDefault="00042570" w:rsidP="00042570">
          <w:pPr>
            <w:pStyle w:val="TOC1"/>
            <w:tabs>
              <w:tab w:val="right" w:leader="dot" w:pos="9016"/>
            </w:tabs>
            <w:spacing w:line="360" w:lineRule="auto"/>
            <w:rPr>
              <w:rFonts w:ascii="Arial" w:hAnsi="Arial" w:cs="Arial"/>
              <w:noProof/>
              <w:sz w:val="24"/>
              <w:szCs w:val="24"/>
            </w:rPr>
          </w:pPr>
          <w:hyperlink w:anchor="_Toc227475313" w:history="1">
            <w:r w:rsidRPr="00042570">
              <w:rPr>
                <w:rStyle w:val="Hyperlink"/>
                <w:rFonts w:ascii="Arial" w:hAnsi="Arial" w:cs="Arial"/>
                <w:noProof/>
                <w:sz w:val="24"/>
                <w:szCs w:val="24"/>
              </w:rPr>
              <w:t>4. Multicontracting</w:t>
            </w:r>
            <w:r w:rsidRPr="00042570">
              <w:rPr>
                <w:rFonts w:ascii="Arial" w:hAnsi="Arial" w:cs="Arial"/>
                <w:noProof/>
                <w:webHidden/>
                <w:sz w:val="24"/>
                <w:szCs w:val="24"/>
              </w:rPr>
              <w:tab/>
            </w:r>
            <w:r w:rsidRPr="00042570">
              <w:rPr>
                <w:rFonts w:ascii="Arial" w:hAnsi="Arial" w:cs="Arial"/>
                <w:noProof/>
                <w:webHidden/>
                <w:sz w:val="24"/>
                <w:szCs w:val="24"/>
              </w:rPr>
              <w:fldChar w:fldCharType="begin"/>
            </w:r>
            <w:r w:rsidRPr="00042570">
              <w:rPr>
                <w:rFonts w:ascii="Arial" w:hAnsi="Arial" w:cs="Arial"/>
                <w:noProof/>
                <w:webHidden/>
                <w:sz w:val="24"/>
                <w:szCs w:val="24"/>
              </w:rPr>
              <w:instrText xml:space="preserve"> PAGEREF _Toc227475313 \h </w:instrText>
            </w:r>
            <w:r w:rsidRPr="00042570">
              <w:rPr>
                <w:rFonts w:ascii="Arial" w:hAnsi="Arial" w:cs="Arial"/>
                <w:noProof/>
                <w:webHidden/>
                <w:sz w:val="24"/>
                <w:szCs w:val="24"/>
              </w:rPr>
            </w:r>
            <w:r w:rsidRPr="00042570">
              <w:rPr>
                <w:rFonts w:ascii="Arial" w:hAnsi="Arial" w:cs="Arial"/>
                <w:noProof/>
                <w:webHidden/>
                <w:sz w:val="24"/>
                <w:szCs w:val="24"/>
              </w:rPr>
              <w:fldChar w:fldCharType="separate"/>
            </w:r>
            <w:r w:rsidRPr="00042570">
              <w:rPr>
                <w:rFonts w:ascii="Arial" w:hAnsi="Arial" w:cs="Arial"/>
                <w:noProof/>
                <w:webHidden/>
                <w:sz w:val="24"/>
                <w:szCs w:val="24"/>
              </w:rPr>
              <w:t>4</w:t>
            </w:r>
            <w:r w:rsidRPr="00042570">
              <w:rPr>
                <w:rFonts w:ascii="Arial" w:hAnsi="Arial" w:cs="Arial"/>
                <w:noProof/>
                <w:webHidden/>
                <w:sz w:val="24"/>
                <w:szCs w:val="24"/>
              </w:rPr>
              <w:fldChar w:fldCharType="end"/>
            </w:r>
          </w:hyperlink>
        </w:p>
        <w:p w14:paraId="3E312BA1" w14:textId="49CF6C3B" w:rsidR="00042570" w:rsidRPr="00042570" w:rsidRDefault="00042570" w:rsidP="00042570">
          <w:pPr>
            <w:pStyle w:val="TOC1"/>
            <w:tabs>
              <w:tab w:val="right" w:leader="dot" w:pos="9016"/>
            </w:tabs>
            <w:spacing w:line="360" w:lineRule="auto"/>
            <w:rPr>
              <w:rFonts w:ascii="Arial" w:hAnsi="Arial" w:cs="Arial"/>
              <w:noProof/>
              <w:sz w:val="24"/>
              <w:szCs w:val="24"/>
            </w:rPr>
          </w:pPr>
          <w:hyperlink w:anchor="_Toc227475314" w:history="1">
            <w:r w:rsidRPr="00042570">
              <w:rPr>
                <w:rStyle w:val="Hyperlink"/>
                <w:rFonts w:ascii="Arial" w:hAnsi="Arial" w:cs="Arial"/>
                <w:noProof/>
                <w:sz w:val="24"/>
                <w:szCs w:val="24"/>
              </w:rPr>
              <w:t>5. Do-It-Yourself (DIY)</w:t>
            </w:r>
            <w:r w:rsidRPr="00042570">
              <w:rPr>
                <w:rFonts w:ascii="Arial" w:hAnsi="Arial" w:cs="Arial"/>
                <w:noProof/>
                <w:webHidden/>
                <w:sz w:val="24"/>
                <w:szCs w:val="24"/>
              </w:rPr>
              <w:tab/>
            </w:r>
            <w:r w:rsidRPr="00042570">
              <w:rPr>
                <w:rFonts w:ascii="Arial" w:hAnsi="Arial" w:cs="Arial"/>
                <w:noProof/>
                <w:webHidden/>
                <w:sz w:val="24"/>
                <w:szCs w:val="24"/>
              </w:rPr>
              <w:fldChar w:fldCharType="begin"/>
            </w:r>
            <w:r w:rsidRPr="00042570">
              <w:rPr>
                <w:rFonts w:ascii="Arial" w:hAnsi="Arial" w:cs="Arial"/>
                <w:noProof/>
                <w:webHidden/>
                <w:sz w:val="24"/>
                <w:szCs w:val="24"/>
              </w:rPr>
              <w:instrText xml:space="preserve"> PAGEREF _Toc227475314 \h </w:instrText>
            </w:r>
            <w:r w:rsidRPr="00042570">
              <w:rPr>
                <w:rFonts w:ascii="Arial" w:hAnsi="Arial" w:cs="Arial"/>
                <w:noProof/>
                <w:webHidden/>
                <w:sz w:val="24"/>
                <w:szCs w:val="24"/>
              </w:rPr>
            </w:r>
            <w:r w:rsidRPr="00042570">
              <w:rPr>
                <w:rFonts w:ascii="Arial" w:hAnsi="Arial" w:cs="Arial"/>
                <w:noProof/>
                <w:webHidden/>
                <w:sz w:val="24"/>
                <w:szCs w:val="24"/>
              </w:rPr>
              <w:fldChar w:fldCharType="separate"/>
            </w:r>
            <w:r w:rsidRPr="00042570">
              <w:rPr>
                <w:rFonts w:ascii="Arial" w:hAnsi="Arial" w:cs="Arial"/>
                <w:noProof/>
                <w:webHidden/>
                <w:sz w:val="24"/>
                <w:szCs w:val="24"/>
              </w:rPr>
              <w:t>5</w:t>
            </w:r>
            <w:r w:rsidRPr="00042570">
              <w:rPr>
                <w:rFonts w:ascii="Arial" w:hAnsi="Arial" w:cs="Arial"/>
                <w:noProof/>
                <w:webHidden/>
                <w:sz w:val="24"/>
                <w:szCs w:val="24"/>
              </w:rPr>
              <w:fldChar w:fldCharType="end"/>
            </w:r>
          </w:hyperlink>
        </w:p>
        <w:p w14:paraId="7F6384DE" w14:textId="57EA04AA" w:rsidR="00042570" w:rsidRPr="00042570" w:rsidRDefault="00042570" w:rsidP="00042570">
          <w:pPr>
            <w:pStyle w:val="TOC1"/>
            <w:tabs>
              <w:tab w:val="right" w:leader="dot" w:pos="9016"/>
            </w:tabs>
            <w:spacing w:line="360" w:lineRule="auto"/>
            <w:rPr>
              <w:rFonts w:ascii="Arial" w:hAnsi="Arial" w:cs="Arial"/>
              <w:noProof/>
              <w:sz w:val="24"/>
              <w:szCs w:val="24"/>
            </w:rPr>
          </w:pPr>
          <w:hyperlink w:anchor="_Toc227475315" w:history="1">
            <w:r w:rsidRPr="00042570">
              <w:rPr>
                <w:rStyle w:val="Hyperlink"/>
                <w:rFonts w:ascii="Arial" w:hAnsi="Arial" w:cs="Arial"/>
                <w:noProof/>
                <w:sz w:val="24"/>
                <w:szCs w:val="24"/>
              </w:rPr>
              <w:t>6. Multicontract + DIY</w:t>
            </w:r>
            <w:r w:rsidRPr="00042570">
              <w:rPr>
                <w:rFonts w:ascii="Arial" w:hAnsi="Arial" w:cs="Arial"/>
                <w:noProof/>
                <w:webHidden/>
                <w:sz w:val="24"/>
                <w:szCs w:val="24"/>
              </w:rPr>
              <w:tab/>
            </w:r>
            <w:r w:rsidRPr="00042570">
              <w:rPr>
                <w:rFonts w:ascii="Arial" w:hAnsi="Arial" w:cs="Arial"/>
                <w:noProof/>
                <w:webHidden/>
                <w:sz w:val="24"/>
                <w:szCs w:val="24"/>
              </w:rPr>
              <w:fldChar w:fldCharType="begin"/>
            </w:r>
            <w:r w:rsidRPr="00042570">
              <w:rPr>
                <w:rFonts w:ascii="Arial" w:hAnsi="Arial" w:cs="Arial"/>
                <w:noProof/>
                <w:webHidden/>
                <w:sz w:val="24"/>
                <w:szCs w:val="24"/>
              </w:rPr>
              <w:instrText xml:space="preserve"> PAGEREF _Toc227475315 \h </w:instrText>
            </w:r>
            <w:r w:rsidRPr="00042570">
              <w:rPr>
                <w:rFonts w:ascii="Arial" w:hAnsi="Arial" w:cs="Arial"/>
                <w:noProof/>
                <w:webHidden/>
                <w:sz w:val="24"/>
                <w:szCs w:val="24"/>
              </w:rPr>
            </w:r>
            <w:r w:rsidRPr="00042570">
              <w:rPr>
                <w:rFonts w:ascii="Arial" w:hAnsi="Arial" w:cs="Arial"/>
                <w:noProof/>
                <w:webHidden/>
                <w:sz w:val="24"/>
                <w:szCs w:val="24"/>
              </w:rPr>
              <w:fldChar w:fldCharType="separate"/>
            </w:r>
            <w:r w:rsidRPr="00042570">
              <w:rPr>
                <w:rFonts w:ascii="Arial" w:hAnsi="Arial" w:cs="Arial"/>
                <w:noProof/>
                <w:webHidden/>
                <w:sz w:val="24"/>
                <w:szCs w:val="24"/>
              </w:rPr>
              <w:t>6</w:t>
            </w:r>
            <w:r w:rsidRPr="00042570">
              <w:rPr>
                <w:rFonts w:ascii="Arial" w:hAnsi="Arial" w:cs="Arial"/>
                <w:noProof/>
                <w:webHidden/>
                <w:sz w:val="24"/>
                <w:szCs w:val="24"/>
              </w:rPr>
              <w:fldChar w:fldCharType="end"/>
            </w:r>
          </w:hyperlink>
        </w:p>
        <w:p w14:paraId="27ED407F" w14:textId="73436586" w:rsidR="00042570" w:rsidRPr="00042570" w:rsidRDefault="00042570" w:rsidP="00042570">
          <w:pPr>
            <w:pStyle w:val="TOC1"/>
            <w:tabs>
              <w:tab w:val="right" w:leader="dot" w:pos="9016"/>
            </w:tabs>
            <w:spacing w:line="360" w:lineRule="auto"/>
            <w:rPr>
              <w:rFonts w:ascii="Arial" w:hAnsi="Arial" w:cs="Arial"/>
              <w:noProof/>
              <w:sz w:val="24"/>
              <w:szCs w:val="24"/>
            </w:rPr>
          </w:pPr>
          <w:hyperlink w:anchor="_Toc227475316" w:history="1">
            <w:r w:rsidRPr="00042570">
              <w:rPr>
                <w:rStyle w:val="Hyperlink"/>
                <w:rFonts w:ascii="Arial" w:hAnsi="Arial" w:cs="Arial"/>
                <w:noProof/>
                <w:sz w:val="24"/>
                <w:szCs w:val="24"/>
              </w:rPr>
              <w:t>7. Critical Evaluation and Application</w:t>
            </w:r>
            <w:r w:rsidRPr="00042570">
              <w:rPr>
                <w:rFonts w:ascii="Arial" w:hAnsi="Arial" w:cs="Arial"/>
                <w:noProof/>
                <w:webHidden/>
                <w:sz w:val="24"/>
                <w:szCs w:val="24"/>
              </w:rPr>
              <w:tab/>
            </w:r>
            <w:r w:rsidRPr="00042570">
              <w:rPr>
                <w:rFonts w:ascii="Arial" w:hAnsi="Arial" w:cs="Arial"/>
                <w:noProof/>
                <w:webHidden/>
                <w:sz w:val="24"/>
                <w:szCs w:val="24"/>
              </w:rPr>
              <w:fldChar w:fldCharType="begin"/>
            </w:r>
            <w:r w:rsidRPr="00042570">
              <w:rPr>
                <w:rFonts w:ascii="Arial" w:hAnsi="Arial" w:cs="Arial"/>
                <w:noProof/>
                <w:webHidden/>
                <w:sz w:val="24"/>
                <w:szCs w:val="24"/>
              </w:rPr>
              <w:instrText xml:space="preserve"> PAGEREF _Toc227475316 \h </w:instrText>
            </w:r>
            <w:r w:rsidRPr="00042570">
              <w:rPr>
                <w:rFonts w:ascii="Arial" w:hAnsi="Arial" w:cs="Arial"/>
                <w:noProof/>
                <w:webHidden/>
                <w:sz w:val="24"/>
                <w:szCs w:val="24"/>
              </w:rPr>
            </w:r>
            <w:r w:rsidRPr="00042570">
              <w:rPr>
                <w:rFonts w:ascii="Arial" w:hAnsi="Arial" w:cs="Arial"/>
                <w:noProof/>
                <w:webHidden/>
                <w:sz w:val="24"/>
                <w:szCs w:val="24"/>
              </w:rPr>
              <w:fldChar w:fldCharType="separate"/>
            </w:r>
            <w:r w:rsidRPr="00042570">
              <w:rPr>
                <w:rFonts w:ascii="Arial" w:hAnsi="Arial" w:cs="Arial"/>
                <w:noProof/>
                <w:webHidden/>
                <w:sz w:val="24"/>
                <w:szCs w:val="24"/>
              </w:rPr>
              <w:t>6</w:t>
            </w:r>
            <w:r w:rsidRPr="00042570">
              <w:rPr>
                <w:rFonts w:ascii="Arial" w:hAnsi="Arial" w:cs="Arial"/>
                <w:noProof/>
                <w:webHidden/>
                <w:sz w:val="24"/>
                <w:szCs w:val="24"/>
              </w:rPr>
              <w:fldChar w:fldCharType="end"/>
            </w:r>
          </w:hyperlink>
        </w:p>
        <w:p w14:paraId="53D007C0" w14:textId="78A9A33F" w:rsidR="00042570" w:rsidRPr="00042570" w:rsidRDefault="00042570" w:rsidP="00042570">
          <w:pPr>
            <w:pStyle w:val="TOC1"/>
            <w:tabs>
              <w:tab w:val="right" w:leader="dot" w:pos="9016"/>
            </w:tabs>
            <w:spacing w:line="360" w:lineRule="auto"/>
            <w:rPr>
              <w:rFonts w:ascii="Arial" w:hAnsi="Arial" w:cs="Arial"/>
              <w:noProof/>
              <w:sz w:val="24"/>
              <w:szCs w:val="24"/>
            </w:rPr>
          </w:pPr>
          <w:hyperlink w:anchor="_Toc227475317" w:history="1">
            <w:r w:rsidRPr="00042570">
              <w:rPr>
                <w:rStyle w:val="Hyperlink"/>
                <w:rFonts w:ascii="Arial" w:hAnsi="Arial" w:cs="Arial"/>
                <w:noProof/>
                <w:sz w:val="24"/>
                <w:szCs w:val="24"/>
              </w:rPr>
              <w:t>8. Conclusion</w:t>
            </w:r>
            <w:r w:rsidRPr="00042570">
              <w:rPr>
                <w:rFonts w:ascii="Arial" w:hAnsi="Arial" w:cs="Arial"/>
                <w:noProof/>
                <w:webHidden/>
                <w:sz w:val="24"/>
                <w:szCs w:val="24"/>
              </w:rPr>
              <w:tab/>
            </w:r>
            <w:r w:rsidRPr="00042570">
              <w:rPr>
                <w:rFonts w:ascii="Arial" w:hAnsi="Arial" w:cs="Arial"/>
                <w:noProof/>
                <w:webHidden/>
                <w:sz w:val="24"/>
                <w:szCs w:val="24"/>
              </w:rPr>
              <w:fldChar w:fldCharType="begin"/>
            </w:r>
            <w:r w:rsidRPr="00042570">
              <w:rPr>
                <w:rFonts w:ascii="Arial" w:hAnsi="Arial" w:cs="Arial"/>
                <w:noProof/>
                <w:webHidden/>
                <w:sz w:val="24"/>
                <w:szCs w:val="24"/>
              </w:rPr>
              <w:instrText xml:space="preserve"> PAGEREF _Toc227475317 \h </w:instrText>
            </w:r>
            <w:r w:rsidRPr="00042570">
              <w:rPr>
                <w:rFonts w:ascii="Arial" w:hAnsi="Arial" w:cs="Arial"/>
                <w:noProof/>
                <w:webHidden/>
                <w:sz w:val="24"/>
                <w:szCs w:val="24"/>
              </w:rPr>
            </w:r>
            <w:r w:rsidRPr="00042570">
              <w:rPr>
                <w:rFonts w:ascii="Arial" w:hAnsi="Arial" w:cs="Arial"/>
                <w:noProof/>
                <w:webHidden/>
                <w:sz w:val="24"/>
                <w:szCs w:val="24"/>
              </w:rPr>
              <w:fldChar w:fldCharType="separate"/>
            </w:r>
            <w:r w:rsidRPr="00042570">
              <w:rPr>
                <w:rFonts w:ascii="Arial" w:hAnsi="Arial" w:cs="Arial"/>
                <w:noProof/>
                <w:webHidden/>
                <w:sz w:val="24"/>
                <w:szCs w:val="24"/>
              </w:rPr>
              <w:t>8</w:t>
            </w:r>
            <w:r w:rsidRPr="00042570">
              <w:rPr>
                <w:rFonts w:ascii="Arial" w:hAnsi="Arial" w:cs="Arial"/>
                <w:noProof/>
                <w:webHidden/>
                <w:sz w:val="24"/>
                <w:szCs w:val="24"/>
              </w:rPr>
              <w:fldChar w:fldCharType="end"/>
            </w:r>
          </w:hyperlink>
        </w:p>
        <w:p w14:paraId="6EC632C1" w14:textId="5D0F9CEA" w:rsidR="00042570" w:rsidRDefault="00042570">
          <w:pPr>
            <w:pStyle w:val="TOC1"/>
            <w:tabs>
              <w:tab w:val="right" w:leader="dot" w:pos="9016"/>
            </w:tabs>
            <w:rPr>
              <w:noProof/>
            </w:rPr>
          </w:pPr>
          <w:hyperlink w:anchor="_Toc227475318" w:history="1">
            <w:r w:rsidRPr="00F329A8">
              <w:rPr>
                <w:rStyle w:val="Hyperlink"/>
                <w:noProof/>
              </w:rPr>
              <w:t>9. References</w:t>
            </w:r>
            <w:r>
              <w:rPr>
                <w:noProof/>
                <w:webHidden/>
              </w:rPr>
              <w:tab/>
            </w:r>
            <w:r>
              <w:rPr>
                <w:noProof/>
                <w:webHidden/>
              </w:rPr>
              <w:fldChar w:fldCharType="begin"/>
            </w:r>
            <w:r>
              <w:rPr>
                <w:noProof/>
                <w:webHidden/>
              </w:rPr>
              <w:instrText xml:space="preserve"> PAGEREF _Toc227475318 \h </w:instrText>
            </w:r>
            <w:r>
              <w:rPr>
                <w:noProof/>
                <w:webHidden/>
              </w:rPr>
            </w:r>
            <w:r>
              <w:rPr>
                <w:noProof/>
                <w:webHidden/>
              </w:rPr>
              <w:fldChar w:fldCharType="separate"/>
            </w:r>
            <w:r>
              <w:rPr>
                <w:noProof/>
                <w:webHidden/>
              </w:rPr>
              <w:t>9</w:t>
            </w:r>
            <w:r>
              <w:rPr>
                <w:noProof/>
                <w:webHidden/>
              </w:rPr>
              <w:fldChar w:fldCharType="end"/>
            </w:r>
          </w:hyperlink>
        </w:p>
        <w:p w14:paraId="6328D060" w14:textId="3B039C04" w:rsidR="00042570" w:rsidRDefault="00042570">
          <w:r>
            <w:rPr>
              <w:b/>
              <w:bCs/>
              <w:noProof/>
            </w:rPr>
            <w:fldChar w:fldCharType="end"/>
          </w:r>
        </w:p>
      </w:sdtContent>
    </w:sdt>
    <w:p w14:paraId="79A4867C" w14:textId="77777777" w:rsidR="009275A2" w:rsidRDefault="009275A2" w:rsidP="004B0464">
      <w:pPr>
        <w:pStyle w:val="Heading1"/>
      </w:pPr>
    </w:p>
    <w:p w14:paraId="46840072" w14:textId="77777777" w:rsidR="00042570" w:rsidRDefault="00042570" w:rsidP="00042570"/>
    <w:p w14:paraId="35821FE7" w14:textId="77777777" w:rsidR="00042570" w:rsidRDefault="00042570" w:rsidP="00042570"/>
    <w:p w14:paraId="07DBD6B3" w14:textId="77777777" w:rsidR="00042570" w:rsidRDefault="00042570" w:rsidP="00042570"/>
    <w:p w14:paraId="260181C2" w14:textId="77777777" w:rsidR="00042570" w:rsidRDefault="00042570" w:rsidP="00042570"/>
    <w:p w14:paraId="775DAF6D" w14:textId="77777777" w:rsidR="00042570" w:rsidRDefault="00042570" w:rsidP="00042570"/>
    <w:p w14:paraId="4E480DFB" w14:textId="77777777" w:rsidR="00042570" w:rsidRDefault="00042570" w:rsidP="00042570"/>
    <w:p w14:paraId="5765EFE8" w14:textId="77777777" w:rsidR="00042570" w:rsidRDefault="00042570" w:rsidP="00042570"/>
    <w:p w14:paraId="76FE5B9C" w14:textId="77777777" w:rsidR="00042570" w:rsidRDefault="00042570" w:rsidP="00042570"/>
    <w:p w14:paraId="460B2449" w14:textId="77777777" w:rsidR="00042570" w:rsidRDefault="00042570" w:rsidP="00042570"/>
    <w:p w14:paraId="1C359B45" w14:textId="77777777" w:rsidR="00042570" w:rsidRDefault="00042570" w:rsidP="00042570"/>
    <w:p w14:paraId="7052AD02" w14:textId="77777777" w:rsidR="00042570" w:rsidRDefault="00042570" w:rsidP="00042570"/>
    <w:p w14:paraId="00B65379" w14:textId="77777777" w:rsidR="00042570" w:rsidRDefault="00042570" w:rsidP="00042570"/>
    <w:p w14:paraId="41479E02" w14:textId="77777777" w:rsidR="00042570" w:rsidRDefault="00042570" w:rsidP="00042570"/>
    <w:p w14:paraId="335C9F60" w14:textId="77777777" w:rsidR="00042570" w:rsidRDefault="00042570" w:rsidP="00042570"/>
    <w:p w14:paraId="580EBCB7" w14:textId="77777777" w:rsidR="00042570" w:rsidRDefault="00042570" w:rsidP="00042570"/>
    <w:p w14:paraId="70C14E9A" w14:textId="77777777" w:rsidR="00042570" w:rsidRDefault="00042570" w:rsidP="00042570"/>
    <w:p w14:paraId="015A1BAF" w14:textId="77777777" w:rsidR="00042570" w:rsidRDefault="00042570" w:rsidP="00042570"/>
    <w:p w14:paraId="703CB827" w14:textId="77777777" w:rsidR="00042570" w:rsidRDefault="00042570" w:rsidP="00042570"/>
    <w:p w14:paraId="4CDD4DE6" w14:textId="77777777" w:rsidR="00042570" w:rsidRDefault="00042570" w:rsidP="00042570"/>
    <w:p w14:paraId="019FD528" w14:textId="77777777" w:rsidR="00042570" w:rsidRPr="00042570" w:rsidRDefault="00042570" w:rsidP="00042570"/>
    <w:p w14:paraId="7DC6EE6B" w14:textId="1ACE5BCD" w:rsidR="008218A4" w:rsidRPr="008218A4" w:rsidRDefault="008218A4" w:rsidP="004B0464">
      <w:pPr>
        <w:pStyle w:val="Heading1"/>
      </w:pPr>
      <w:bookmarkStart w:id="0" w:name="_Toc227475310"/>
      <w:r w:rsidRPr="008218A4">
        <w:t>1. Introduction</w:t>
      </w:r>
      <w:bookmarkEnd w:id="0"/>
    </w:p>
    <w:p w14:paraId="53B582AB" w14:textId="77777777"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t>Project management (PM) is a structured discipline concerned with planning, organising, and controlling resources in order to achieve defined objectives within constraints such as time, cost, and quality (Kerzner, 2022). In modern business environments, projects have become increasingly complex, often involving multiple stakeholders, advanced technologies, and interdependent activities. As a result, organisations frequently rely on external parties to deliver projects efficiently, making contracting a fundamental element of project management practice.</w:t>
      </w:r>
    </w:p>
    <w:p w14:paraId="7562C770" w14:textId="77777777"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t>Contracting in project management refers to the process of engaging external organisations or individuals to perform specific tasks or deliver complete project outcomes. This decision is influenced by several factors, including access to specialised expertise, cost efficiency, time constraints, and risk allocation (PMI, 2021). However, the choice of contracting method is not merely operational; it is a strategic decision that determines how responsibilities, risks, and control are distributed between the client and contractors.</w:t>
      </w:r>
    </w:p>
    <w:p w14:paraId="698A1469" w14:textId="77777777"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t xml:space="preserve">This essay critically evaluates four key contracting methods: turnkey, </w:t>
      </w:r>
      <w:proofErr w:type="spellStart"/>
      <w:r w:rsidRPr="008218A4">
        <w:rPr>
          <w:rFonts w:ascii="Arial" w:hAnsi="Arial" w:cs="Arial"/>
          <w:sz w:val="24"/>
          <w:szCs w:val="24"/>
        </w:rPr>
        <w:t>multicontracting</w:t>
      </w:r>
      <w:proofErr w:type="spellEnd"/>
      <w:r w:rsidRPr="008218A4">
        <w:rPr>
          <w:rFonts w:ascii="Arial" w:hAnsi="Arial" w:cs="Arial"/>
          <w:sz w:val="24"/>
          <w:szCs w:val="24"/>
        </w:rPr>
        <w:t xml:space="preserve">, do-it-yourself (DIY), and </w:t>
      </w:r>
      <w:proofErr w:type="spellStart"/>
      <w:r w:rsidRPr="008218A4">
        <w:rPr>
          <w:rFonts w:ascii="Arial" w:hAnsi="Arial" w:cs="Arial"/>
          <w:sz w:val="24"/>
          <w:szCs w:val="24"/>
        </w:rPr>
        <w:t>multicontract</w:t>
      </w:r>
      <w:proofErr w:type="spellEnd"/>
      <w:r w:rsidRPr="008218A4">
        <w:rPr>
          <w:rFonts w:ascii="Arial" w:hAnsi="Arial" w:cs="Arial"/>
          <w:sz w:val="24"/>
          <w:szCs w:val="24"/>
        </w:rPr>
        <w:t xml:space="preserve"> combined with DIY. It argues that no single method is universally superior. Instead, the effectiveness of each approach depends on the alignment between project complexity and organisational capability. The discussion integrates real-world examples to illustrate how these methods are applied in practice and highlights their advantages and limitations in different project contexts.</w:t>
      </w:r>
    </w:p>
    <w:p w14:paraId="713E02BE" w14:textId="77777777" w:rsidR="008218A4" w:rsidRPr="008218A4" w:rsidRDefault="008218A4" w:rsidP="004B0464">
      <w:pPr>
        <w:pStyle w:val="Heading1"/>
      </w:pPr>
      <w:bookmarkStart w:id="1" w:name="_Toc227475311"/>
      <w:r w:rsidRPr="008218A4">
        <w:t>2. Contracting in Project Management</w:t>
      </w:r>
      <w:bookmarkEnd w:id="1"/>
    </w:p>
    <w:p w14:paraId="72FC23DD" w14:textId="77777777"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t xml:space="preserve">Contracts play a central role in project management by establishing the legal and operational framework within which projects are delivered. According to Lock (2020), contracting strategies determine how responsibilities and risks are allocated, directly </w:t>
      </w:r>
      <w:r w:rsidRPr="008218A4">
        <w:rPr>
          <w:rFonts w:ascii="Arial" w:hAnsi="Arial" w:cs="Arial"/>
          <w:sz w:val="24"/>
          <w:szCs w:val="24"/>
        </w:rPr>
        <w:lastRenderedPageBreak/>
        <w:t>influencing project performance and outcomes. Therefore, selecting an appropriate contracting method is a critical decision for project managers.</w:t>
      </w:r>
    </w:p>
    <w:p w14:paraId="4DF8C467" w14:textId="77777777"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t>Organisations choose to contract work for several reasons. One of the most important is access to specialised knowledge and expertise that may not be available internally. For example, in highly technical sectors such as renewable energy or audiovisual (AV) systems, external contractors often possess advanced skills and experience that enable them to deliver complex solutions more efficiently (Turner, 2016). Additionally, contracting can improve project speed by allowing experienced suppliers to perform tasks more effectively.</w:t>
      </w:r>
    </w:p>
    <w:p w14:paraId="5B938BA4" w14:textId="77777777"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t>Another important factor is risk management. Contracting allows organisations to transfer certain risks—such as design, construction, or technical risks—to external contractors. However, as Walker (2015) notes, risk is not eliminated but redistributed, meaning that the client still retains responsibility for overall project success.</w:t>
      </w:r>
    </w:p>
    <w:p w14:paraId="466105D1" w14:textId="77777777"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t>External environmental factors also influence contracting decisions. These can be analysed using frameworks such as STEEPLE (social, technological, economic, environmental, political, legal, and ethical factors). For instance, technological complexity may require outsourcing to specialists, while economic pressures may encourage cost-efficient contracting strategies.</w:t>
      </w:r>
    </w:p>
    <w:p w14:paraId="13290AB4" w14:textId="77777777"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t>Despite its advantages, contracting introduces challenges, including reduced control, dependency on contractors, and potential communication issues. These challenges highlight the importance of selecting the most appropriate contracting method based on project characteristics and organisational capability.</w:t>
      </w:r>
    </w:p>
    <w:p w14:paraId="288C64D2" w14:textId="77777777" w:rsidR="008218A4" w:rsidRPr="008218A4" w:rsidRDefault="008218A4" w:rsidP="004B0464">
      <w:pPr>
        <w:pStyle w:val="Heading1"/>
      </w:pPr>
      <w:bookmarkStart w:id="2" w:name="_Toc227475312"/>
      <w:r w:rsidRPr="008218A4">
        <w:t>3. Turnkey Contracting</w:t>
      </w:r>
      <w:bookmarkEnd w:id="2"/>
    </w:p>
    <w:p w14:paraId="2D04A66E" w14:textId="77777777"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t>Turnkey contracting is a method in which a single contractor is responsible for delivering the entire project, from initial design to final completion, resulting in a fully operational system ready for use (Fewings, 2013). This approach is commonly used in large-scale and technically complex projects where integration and coordination are critical.</w:t>
      </w:r>
    </w:p>
    <w:p w14:paraId="26719125" w14:textId="77777777"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t xml:space="preserve">One of the main advantages of turnkey contracting is its simplicity from the client’s perspective. By engaging a single contractor, the client reduces the need for managing </w:t>
      </w:r>
      <w:r w:rsidRPr="008218A4">
        <w:rPr>
          <w:rFonts w:ascii="Arial" w:hAnsi="Arial" w:cs="Arial"/>
          <w:sz w:val="24"/>
          <w:szCs w:val="24"/>
        </w:rPr>
        <w:lastRenderedPageBreak/>
        <w:t>multiple stakeholders, which can significantly simplify coordination and communication. This is particularly beneficial in complex projects where multiple systems must be integrated seamlessly.</w:t>
      </w:r>
    </w:p>
    <w:p w14:paraId="6DDA0158" w14:textId="77777777"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t>Another key advantage is risk transfer. In turnkey contracts, the contractor assumes responsibility for design, procurement, and execution, which reduces the client’s exposure to certain risks (Lock, 2020). This can improve predictability in terms of cost and schedule, making it easier for organisations to manage projects effectively.</w:t>
      </w:r>
    </w:p>
    <w:p w14:paraId="5F72830E" w14:textId="77777777"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t>A strong real-world example of turnkey contracting can be observed in offshore wind farm developments delivered by Siemens Gamesa Renewable Energy. In these projects, the contractor is responsible for the full lifecycle, including design, manufacturing, installation, and commissioning of wind turbines. This enables clients to receive a fully operational energy system without managing multiple suppliers, demonstrating the effectiveness of turnkey contracting in highly complex and technology-intensive environments (Siemens Gamesa, 2023; GWEC, 2022).</w:t>
      </w:r>
    </w:p>
    <w:p w14:paraId="471A941D" w14:textId="77777777"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t>However, turnkey contracting also has limitations. The most significant is the reduced level of client control, as the contractor has considerable autonomy over project execution. In addition, costs may be higher due to risk premiums included in contractor pricing (Meredith and Mantel, 2017). Furthermore, there is a risk of over-reliance on the contractor’s competence, which can negatively affect project outcomes if performance is inadequate.</w:t>
      </w:r>
    </w:p>
    <w:p w14:paraId="61B1092E" w14:textId="77777777" w:rsidR="008218A4" w:rsidRPr="008218A4" w:rsidRDefault="008218A4" w:rsidP="004B0464">
      <w:pPr>
        <w:pStyle w:val="Heading1"/>
      </w:pPr>
      <w:bookmarkStart w:id="3" w:name="_Toc227475313"/>
      <w:r w:rsidRPr="008218A4">
        <w:t xml:space="preserve">4. </w:t>
      </w:r>
      <w:proofErr w:type="spellStart"/>
      <w:r w:rsidRPr="008218A4">
        <w:t>Multicontracting</w:t>
      </w:r>
      <w:bookmarkEnd w:id="3"/>
      <w:proofErr w:type="spellEnd"/>
    </w:p>
    <w:p w14:paraId="5FBA1216" w14:textId="77777777" w:rsidR="008218A4" w:rsidRPr="008218A4" w:rsidRDefault="008218A4" w:rsidP="008218A4">
      <w:pPr>
        <w:spacing w:line="360" w:lineRule="auto"/>
        <w:jc w:val="both"/>
        <w:rPr>
          <w:rFonts w:ascii="Arial" w:hAnsi="Arial" w:cs="Arial"/>
          <w:sz w:val="24"/>
          <w:szCs w:val="24"/>
        </w:rPr>
      </w:pPr>
      <w:proofErr w:type="spellStart"/>
      <w:r w:rsidRPr="008218A4">
        <w:rPr>
          <w:rFonts w:ascii="Arial" w:hAnsi="Arial" w:cs="Arial"/>
          <w:sz w:val="24"/>
          <w:szCs w:val="24"/>
        </w:rPr>
        <w:t>Multicontracting</w:t>
      </w:r>
      <w:proofErr w:type="spellEnd"/>
      <w:r w:rsidRPr="008218A4">
        <w:rPr>
          <w:rFonts w:ascii="Arial" w:hAnsi="Arial" w:cs="Arial"/>
          <w:sz w:val="24"/>
          <w:szCs w:val="24"/>
        </w:rPr>
        <w:t xml:space="preserve"> involves the client engaging multiple contractors, each responsible for a specific component of the project (Winch, 2014). This approach distributes responsibility across several parties rather than centralising it with a single contractor.</w:t>
      </w:r>
    </w:p>
    <w:p w14:paraId="0054B0CF" w14:textId="77777777"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t xml:space="preserve">The primary advantage of </w:t>
      </w:r>
      <w:proofErr w:type="spellStart"/>
      <w:r w:rsidRPr="008218A4">
        <w:rPr>
          <w:rFonts w:ascii="Arial" w:hAnsi="Arial" w:cs="Arial"/>
          <w:sz w:val="24"/>
          <w:szCs w:val="24"/>
        </w:rPr>
        <w:t>multicontracting</w:t>
      </w:r>
      <w:proofErr w:type="spellEnd"/>
      <w:r w:rsidRPr="008218A4">
        <w:rPr>
          <w:rFonts w:ascii="Arial" w:hAnsi="Arial" w:cs="Arial"/>
          <w:sz w:val="24"/>
          <w:szCs w:val="24"/>
        </w:rPr>
        <w:t xml:space="preserve"> is the high level of control it provides to the client. By selecting specialised contractors for different tasks, the client can ensure that each component of the project is delivered by experts, potentially improving quality and performance. Additionally, this method can offer cost advantages, as the client can negotiate directly with contractors and avoid the mark-ups associated with a main contractor.</w:t>
      </w:r>
    </w:p>
    <w:p w14:paraId="4C0FAE5E" w14:textId="2886F5FD"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lastRenderedPageBreak/>
        <w:t>Another benefit is flexibility</w:t>
      </w:r>
      <w:r w:rsidR="00915054">
        <w:rPr>
          <w:rFonts w:ascii="Arial" w:hAnsi="Arial" w:cs="Arial"/>
          <w:sz w:val="24"/>
          <w:szCs w:val="24"/>
        </w:rPr>
        <w:t xml:space="preserve">; </w:t>
      </w:r>
      <w:proofErr w:type="spellStart"/>
      <w:r w:rsidR="00915054">
        <w:rPr>
          <w:rFonts w:ascii="Arial" w:hAnsi="Arial" w:cs="Arial"/>
          <w:sz w:val="24"/>
          <w:szCs w:val="24"/>
        </w:rPr>
        <w:t>m</w:t>
      </w:r>
      <w:r w:rsidRPr="008218A4">
        <w:rPr>
          <w:rFonts w:ascii="Arial" w:hAnsi="Arial" w:cs="Arial"/>
          <w:sz w:val="24"/>
          <w:szCs w:val="24"/>
        </w:rPr>
        <w:t>ulticontracting</w:t>
      </w:r>
      <w:proofErr w:type="spellEnd"/>
      <w:r w:rsidRPr="008218A4">
        <w:rPr>
          <w:rFonts w:ascii="Arial" w:hAnsi="Arial" w:cs="Arial"/>
          <w:sz w:val="24"/>
          <w:szCs w:val="24"/>
        </w:rPr>
        <w:t xml:space="preserve"> allows the client to modify individual elements of the project without affecting the entire system, which can be useful in dynamic environments where requirements may change.</w:t>
      </w:r>
    </w:p>
    <w:p w14:paraId="10A13CB2" w14:textId="77777777"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t xml:space="preserve">A clear real-world example of </w:t>
      </w:r>
      <w:proofErr w:type="spellStart"/>
      <w:r w:rsidRPr="008218A4">
        <w:rPr>
          <w:rFonts w:ascii="Arial" w:hAnsi="Arial" w:cs="Arial"/>
          <w:sz w:val="24"/>
          <w:szCs w:val="24"/>
        </w:rPr>
        <w:t>multicontracting</w:t>
      </w:r>
      <w:proofErr w:type="spellEnd"/>
      <w:r w:rsidRPr="008218A4">
        <w:rPr>
          <w:rFonts w:ascii="Arial" w:hAnsi="Arial" w:cs="Arial"/>
          <w:sz w:val="24"/>
          <w:szCs w:val="24"/>
        </w:rPr>
        <w:t xml:space="preserve"> is the Crossrail (Elizabeth Line) project in London. In this large-scale infrastructure project, multiple contractors were responsible for different elements, including tunnelling, station construction, and rail systems. While this approach allowed the project to benefit from specialised expertise, it also introduced significant coordination challenges, contributing to delays and cost overruns (NAO, 2019).</w:t>
      </w:r>
    </w:p>
    <w:p w14:paraId="14A233C9" w14:textId="77777777"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t xml:space="preserve">Despite its advantages, </w:t>
      </w:r>
      <w:proofErr w:type="spellStart"/>
      <w:r w:rsidRPr="008218A4">
        <w:rPr>
          <w:rFonts w:ascii="Arial" w:hAnsi="Arial" w:cs="Arial"/>
          <w:sz w:val="24"/>
          <w:szCs w:val="24"/>
        </w:rPr>
        <w:t>multicontracting</w:t>
      </w:r>
      <w:proofErr w:type="spellEnd"/>
      <w:r w:rsidRPr="008218A4">
        <w:rPr>
          <w:rFonts w:ascii="Arial" w:hAnsi="Arial" w:cs="Arial"/>
          <w:sz w:val="24"/>
          <w:szCs w:val="24"/>
        </w:rPr>
        <w:t xml:space="preserve"> increases management complexity. Coordinating multiple contractors requires strong project management skills, particularly in communication and scheduling. There is also a higher risk of integration issues, especially in projects where systems must work together, such as AV installations. In such cases, the client bears responsibility for ensuring compatibility between different components.</w:t>
      </w:r>
    </w:p>
    <w:p w14:paraId="2DA9658F" w14:textId="77777777" w:rsidR="008218A4" w:rsidRPr="008218A4" w:rsidRDefault="008218A4" w:rsidP="004B0464">
      <w:pPr>
        <w:pStyle w:val="Heading1"/>
      </w:pPr>
      <w:bookmarkStart w:id="4" w:name="_Toc227475314"/>
      <w:r w:rsidRPr="008218A4">
        <w:t>5. Do-It-Yourself (DIY)</w:t>
      </w:r>
      <w:bookmarkEnd w:id="4"/>
    </w:p>
    <w:p w14:paraId="56A9F9FC" w14:textId="77777777"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t>The Do-It-Yourself (DIY) approach involves completing a project using internal resources without relying on external contractors (Burke, 2013). This method is typically used for smaller or less complex projects.</w:t>
      </w:r>
    </w:p>
    <w:p w14:paraId="51E82CFC" w14:textId="77777777"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t>One of the main advantages of the DIY approach is the high level of control it provides. The organisation retains full authority over decision-making and can respond quickly to changes. This can be particularly beneficial in projects where flexibility and adaptability are important.</w:t>
      </w:r>
    </w:p>
    <w:p w14:paraId="5312A3BA" w14:textId="77777777"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t>Another advantage is cost reduction, as there are no contractor fees or profit margins. Additionally, the DIY approach supports the development of internal capabilities, which can be valuable for future projects.</w:t>
      </w:r>
    </w:p>
    <w:p w14:paraId="0D1FEACB" w14:textId="77777777"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t>A real-world example of internal project delivery can be seen in Tesla, Inc., where significant elements of production systems and factory automation are developed in-house. This approach allows Tesla to maintain control over innovation and technology, although it requires substantial internal expertise and resources (Vance, 2015).</w:t>
      </w:r>
    </w:p>
    <w:p w14:paraId="1C7F2785" w14:textId="77777777"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lastRenderedPageBreak/>
        <w:t>However, the DIY approach has significant limitations. The lack of specialised expertise can affect project quality and efficiency, particularly in complex projects. In addition, DIY projects often involve hidden costs, such as inefficiencies, rework, and extended timelines (Meredith and Mantel, 2017). Furthermore, all project risks are borne by the organisation, making this approach less suitable for high-complexity projects.</w:t>
      </w:r>
    </w:p>
    <w:p w14:paraId="551BCE84" w14:textId="77777777" w:rsidR="008218A4" w:rsidRPr="008218A4" w:rsidRDefault="008218A4" w:rsidP="004B0464">
      <w:pPr>
        <w:pStyle w:val="Heading1"/>
      </w:pPr>
      <w:bookmarkStart w:id="5" w:name="_Toc227475315"/>
      <w:r w:rsidRPr="008218A4">
        <w:t xml:space="preserve">6. </w:t>
      </w:r>
      <w:proofErr w:type="spellStart"/>
      <w:r w:rsidRPr="008218A4">
        <w:t>Multicontract</w:t>
      </w:r>
      <w:proofErr w:type="spellEnd"/>
      <w:r w:rsidRPr="008218A4">
        <w:t xml:space="preserve"> + DIY</w:t>
      </w:r>
      <w:bookmarkEnd w:id="5"/>
    </w:p>
    <w:p w14:paraId="26CE7672" w14:textId="77777777"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t xml:space="preserve">The hybrid approach combines elements of </w:t>
      </w:r>
      <w:proofErr w:type="spellStart"/>
      <w:r w:rsidRPr="008218A4">
        <w:rPr>
          <w:rFonts w:ascii="Arial" w:hAnsi="Arial" w:cs="Arial"/>
          <w:sz w:val="24"/>
          <w:szCs w:val="24"/>
        </w:rPr>
        <w:t>multicontracting</w:t>
      </w:r>
      <w:proofErr w:type="spellEnd"/>
      <w:r w:rsidRPr="008218A4">
        <w:rPr>
          <w:rFonts w:ascii="Arial" w:hAnsi="Arial" w:cs="Arial"/>
          <w:sz w:val="24"/>
          <w:szCs w:val="24"/>
        </w:rPr>
        <w:t xml:space="preserve"> and DIY, allowing organisations to perform some tasks internally while outsourcing others (Turner, 2016). This approach aims to balance control, cost, and access to expertise.</w:t>
      </w:r>
    </w:p>
    <w:p w14:paraId="59A2BABF" w14:textId="77777777"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t>One of the main advantages of this method is its flexibility. Organisations can retain control over critical aspects of the project while outsourcing specialised tasks to external contractors. This can result in cost savings, as only complex components are outsourced, while simpler tasks are handled internally.</w:t>
      </w:r>
    </w:p>
    <w:p w14:paraId="52E3083A" w14:textId="77777777"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t>Additionally, the hybrid approach supports organisational learning, as internal teams gain experience while working alongside external specialists. This can enhance long-term capabilities and reduce reliance on external contractors in future projects.</w:t>
      </w:r>
    </w:p>
    <w:p w14:paraId="6ABF86EA" w14:textId="77777777"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t>A practical real-world example of this approach can be observed in companies such as Amazon, which use a combination of internal teams and external contractors when developing fulfilment centres. Internal teams manage operations and coordination, while external contractors deliver specialised construction and technical systems. This approach allows for both operational alignment and access to expertise (PMI, 2021).</w:t>
      </w:r>
    </w:p>
    <w:p w14:paraId="50A7A3C9" w14:textId="77777777"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t>However, the hybrid method also introduces challenges. Coordination becomes more complex, as both internal teams and external contractors must work together effectively. There is also a risk of unclear responsibilities, which can lead to inefficiencies or conflicts. Successful implementation requires strong project management skills and clear communication.</w:t>
      </w:r>
    </w:p>
    <w:p w14:paraId="4A433B9F" w14:textId="77777777" w:rsidR="008218A4" w:rsidRPr="008218A4" w:rsidRDefault="008218A4" w:rsidP="004B0464">
      <w:pPr>
        <w:pStyle w:val="Heading1"/>
      </w:pPr>
      <w:bookmarkStart w:id="6" w:name="_Toc227475316"/>
      <w:r w:rsidRPr="008218A4">
        <w:lastRenderedPageBreak/>
        <w:t>7. Critical Evaluation and Application</w:t>
      </w:r>
      <w:bookmarkEnd w:id="6"/>
    </w:p>
    <w:p w14:paraId="1053284B" w14:textId="77777777"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t>A critical evaluation of contracting methods highlights that their effectiveness depends on several key factors, including project complexity, resource availability, risk allocation, and the desired level of control. Rather than viewing these methods as fixed options, they should be considered as strategic tools that can be adapted to different project contexts.</w:t>
      </w:r>
    </w:p>
    <w:p w14:paraId="613D7D71" w14:textId="77777777"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t>Turnkey contracting is often perceived as a low-risk option due to risk transfer. However, this perception can be misleading. While certain risks are transferred to the contractor, others—such as performance and contractual risks—remain with the client (Lock, 2020). In complex projects, issues may only become apparent at the final stages, making them difficult to resolve.</w:t>
      </w:r>
    </w:p>
    <w:p w14:paraId="0F023ABC" w14:textId="77777777" w:rsidR="008218A4" w:rsidRPr="008218A4" w:rsidRDefault="008218A4" w:rsidP="008218A4">
      <w:pPr>
        <w:spacing w:line="360" w:lineRule="auto"/>
        <w:jc w:val="both"/>
        <w:rPr>
          <w:rFonts w:ascii="Arial" w:hAnsi="Arial" w:cs="Arial"/>
          <w:sz w:val="24"/>
          <w:szCs w:val="24"/>
        </w:rPr>
      </w:pPr>
      <w:proofErr w:type="spellStart"/>
      <w:r w:rsidRPr="008218A4">
        <w:rPr>
          <w:rFonts w:ascii="Arial" w:hAnsi="Arial" w:cs="Arial"/>
          <w:sz w:val="24"/>
          <w:szCs w:val="24"/>
        </w:rPr>
        <w:t>Multicontracting</w:t>
      </w:r>
      <w:proofErr w:type="spellEnd"/>
      <w:r w:rsidRPr="008218A4">
        <w:rPr>
          <w:rFonts w:ascii="Arial" w:hAnsi="Arial" w:cs="Arial"/>
          <w:sz w:val="24"/>
          <w:szCs w:val="24"/>
        </w:rPr>
        <w:t>, in contrast, provides greater control but introduces coordination risk. The involvement of multiple contractors increases the likelihood of communication failures and integration issues. This highlights the importance of strong project management capabilities in ensuring successful outcomes.</w:t>
      </w:r>
    </w:p>
    <w:p w14:paraId="6393FA3D" w14:textId="77777777"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t>The DIY approach, although cost-effective in theory, often underestimates hidden costs and risks associated with lack of expertise and inefficiencies (Meredith and Mantel, 2017). As a result, it should be used selectively and only in appropriate contexts.</w:t>
      </w:r>
    </w:p>
    <w:p w14:paraId="3EF3DBFD" w14:textId="77777777"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t>The hybrid approach offers a balanced solution but requires a high level of organisational maturity. Real-world evidence suggests that organisations rarely rely on a single contracting method; instead, they adopt flexible strategies depending on project requirements, resource availability, and risk exposure (PMI, 2021).</w:t>
      </w:r>
    </w:p>
    <w:p w14:paraId="2C4B4CFB" w14:textId="77777777"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t xml:space="preserve">An additional consideration in selecting a contracting method is the dynamic nature of projects and the fact that different phases may require different approaches. For instance, in the early stages of a project, organisations may prefer a </w:t>
      </w:r>
      <w:proofErr w:type="spellStart"/>
      <w:r w:rsidRPr="008218A4">
        <w:rPr>
          <w:rFonts w:ascii="Arial" w:hAnsi="Arial" w:cs="Arial"/>
          <w:sz w:val="24"/>
          <w:szCs w:val="24"/>
        </w:rPr>
        <w:t>multicontracting</w:t>
      </w:r>
      <w:proofErr w:type="spellEnd"/>
      <w:r w:rsidRPr="008218A4">
        <w:rPr>
          <w:rFonts w:ascii="Arial" w:hAnsi="Arial" w:cs="Arial"/>
          <w:sz w:val="24"/>
          <w:szCs w:val="24"/>
        </w:rPr>
        <w:t xml:space="preserve"> approach to maintain flexibility and control over design decisions. However, as the project progresses into execution and delivery phases, a turnkey approach may become more suitable to ensure efficiency and accountability. This highlights the importance of viewing contracting not as a one-time decision but as an evolving strategy aligned with project lifecycle stages (PMI, 2021; Turner, 2016).</w:t>
      </w:r>
    </w:p>
    <w:p w14:paraId="5FD50B61" w14:textId="77777777"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lastRenderedPageBreak/>
        <w:t xml:space="preserve">Furthermore, the role of the project manager becomes increasingly critical when managing complex contracting arrangements. In </w:t>
      </w:r>
      <w:proofErr w:type="spellStart"/>
      <w:r w:rsidRPr="008218A4">
        <w:rPr>
          <w:rFonts w:ascii="Arial" w:hAnsi="Arial" w:cs="Arial"/>
          <w:sz w:val="24"/>
          <w:szCs w:val="24"/>
        </w:rPr>
        <w:t>multicontracting</w:t>
      </w:r>
      <w:proofErr w:type="spellEnd"/>
      <w:r w:rsidRPr="008218A4">
        <w:rPr>
          <w:rFonts w:ascii="Arial" w:hAnsi="Arial" w:cs="Arial"/>
          <w:sz w:val="24"/>
          <w:szCs w:val="24"/>
        </w:rPr>
        <w:t xml:space="preserve"> and hybrid approaches, the project manager must act as an integrator, ensuring that different contractors and internal teams work towards a common objective. This requires not only technical knowledge but also strong communication and leadership skills. Without effective coordination, even well-planned contracting strategies can fail due to misalignment between stakeholders (Kerzner, 2022; Lock, 2020).</w:t>
      </w:r>
    </w:p>
    <w:p w14:paraId="0B226C0C" w14:textId="77777777"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t xml:space="preserve">In addition, digital transformation and the increasing use of project management technologies are influencing how contracting methods are applied in practice. Tools such as Building Information Modelling (BIM) and integrated project management systems can improve communication and coordination between multiple contractors, reducing some of the risks traditionally associated with </w:t>
      </w:r>
      <w:proofErr w:type="spellStart"/>
      <w:r w:rsidRPr="008218A4">
        <w:rPr>
          <w:rFonts w:ascii="Arial" w:hAnsi="Arial" w:cs="Arial"/>
          <w:sz w:val="24"/>
          <w:szCs w:val="24"/>
        </w:rPr>
        <w:t>multicontracting</w:t>
      </w:r>
      <w:proofErr w:type="spellEnd"/>
      <w:r w:rsidRPr="008218A4">
        <w:rPr>
          <w:rFonts w:ascii="Arial" w:hAnsi="Arial" w:cs="Arial"/>
          <w:sz w:val="24"/>
          <w:szCs w:val="24"/>
        </w:rPr>
        <w:t>. As a result, organisations are increasingly able to manage more complex contracting structures than in the past (Winch, 2014; Walker, 2015).</w:t>
      </w:r>
    </w:p>
    <w:p w14:paraId="4297B9BD" w14:textId="77777777"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t>Overall, these considerations reinforce the argument that contracting methods should be selected and adapted based on project context, organisational capability, and technological support, rather than relying on a single predefined approach.</w:t>
      </w:r>
    </w:p>
    <w:p w14:paraId="51BD5609" w14:textId="77777777" w:rsidR="008218A4" w:rsidRPr="008218A4" w:rsidRDefault="008218A4" w:rsidP="004B0464">
      <w:pPr>
        <w:pStyle w:val="Heading1"/>
      </w:pPr>
      <w:bookmarkStart w:id="7" w:name="_Toc227475317"/>
      <w:r w:rsidRPr="008218A4">
        <w:t>8. Conclusion</w:t>
      </w:r>
      <w:bookmarkEnd w:id="7"/>
    </w:p>
    <w:p w14:paraId="679A70F5" w14:textId="77777777"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t xml:space="preserve">In conclusion, contracting methods are essential tools in project management that determine how projects are structured and delivered. This essay has examined four key methods—Turnkey, </w:t>
      </w:r>
      <w:proofErr w:type="spellStart"/>
      <w:r w:rsidRPr="008218A4">
        <w:rPr>
          <w:rFonts w:ascii="Arial" w:hAnsi="Arial" w:cs="Arial"/>
          <w:sz w:val="24"/>
          <w:szCs w:val="24"/>
        </w:rPr>
        <w:t>Multicontracting</w:t>
      </w:r>
      <w:proofErr w:type="spellEnd"/>
      <w:r w:rsidRPr="008218A4">
        <w:rPr>
          <w:rFonts w:ascii="Arial" w:hAnsi="Arial" w:cs="Arial"/>
          <w:sz w:val="24"/>
          <w:szCs w:val="24"/>
        </w:rPr>
        <w:t xml:space="preserve">, DIY, and </w:t>
      </w:r>
      <w:proofErr w:type="spellStart"/>
      <w:r w:rsidRPr="008218A4">
        <w:rPr>
          <w:rFonts w:ascii="Arial" w:hAnsi="Arial" w:cs="Arial"/>
          <w:sz w:val="24"/>
          <w:szCs w:val="24"/>
        </w:rPr>
        <w:t>Multicontract</w:t>
      </w:r>
      <w:proofErr w:type="spellEnd"/>
      <w:r w:rsidRPr="008218A4">
        <w:rPr>
          <w:rFonts w:ascii="Arial" w:hAnsi="Arial" w:cs="Arial"/>
          <w:sz w:val="24"/>
          <w:szCs w:val="24"/>
        </w:rPr>
        <w:t xml:space="preserve"> combined with DIY—highlighting their advantages, disadvantages, and practical applications.</w:t>
      </w:r>
    </w:p>
    <w:p w14:paraId="2AEC511B" w14:textId="77777777" w:rsidR="008218A4" w:rsidRPr="008218A4" w:rsidRDefault="008218A4" w:rsidP="008218A4">
      <w:pPr>
        <w:spacing w:line="360" w:lineRule="auto"/>
        <w:jc w:val="both"/>
        <w:rPr>
          <w:rFonts w:ascii="Arial" w:hAnsi="Arial" w:cs="Arial"/>
          <w:sz w:val="24"/>
          <w:szCs w:val="24"/>
        </w:rPr>
      </w:pPr>
      <w:r w:rsidRPr="008218A4">
        <w:rPr>
          <w:rFonts w:ascii="Arial" w:hAnsi="Arial" w:cs="Arial"/>
          <w:sz w:val="24"/>
          <w:szCs w:val="24"/>
        </w:rPr>
        <w:t xml:space="preserve">The analysis demonstrates that no single method is universally superior. Turnkey contracting simplifies project delivery but reduces control, while </w:t>
      </w:r>
      <w:proofErr w:type="spellStart"/>
      <w:r w:rsidRPr="008218A4">
        <w:rPr>
          <w:rFonts w:ascii="Arial" w:hAnsi="Arial" w:cs="Arial"/>
          <w:sz w:val="24"/>
          <w:szCs w:val="24"/>
        </w:rPr>
        <w:t>multicontracting</w:t>
      </w:r>
      <w:proofErr w:type="spellEnd"/>
      <w:r w:rsidRPr="008218A4">
        <w:rPr>
          <w:rFonts w:ascii="Arial" w:hAnsi="Arial" w:cs="Arial"/>
          <w:sz w:val="24"/>
          <w:szCs w:val="24"/>
        </w:rPr>
        <w:t xml:space="preserve"> enhances flexibility at the cost of increased complexity. DIY offers full control but carries significant risks, and hybrid approaches provide balance but require strong management capabilities.</w:t>
      </w:r>
    </w:p>
    <w:p w14:paraId="46F03414" w14:textId="77777777" w:rsidR="008218A4" w:rsidRDefault="008218A4" w:rsidP="008218A4">
      <w:pPr>
        <w:spacing w:line="360" w:lineRule="auto"/>
        <w:jc w:val="both"/>
        <w:rPr>
          <w:rFonts w:ascii="Arial" w:hAnsi="Arial" w:cs="Arial"/>
          <w:sz w:val="24"/>
          <w:szCs w:val="24"/>
        </w:rPr>
      </w:pPr>
      <w:r w:rsidRPr="008218A4">
        <w:rPr>
          <w:rFonts w:ascii="Arial" w:hAnsi="Arial" w:cs="Arial"/>
          <w:sz w:val="24"/>
          <w:szCs w:val="24"/>
        </w:rPr>
        <w:lastRenderedPageBreak/>
        <w:t>Ultimately, the choice of contracting method should be based on the alignment between project complexity and organisational capability. A strategic and flexible approach to contracting decisions is essential for achieving successful project outcomes.</w:t>
      </w:r>
    </w:p>
    <w:p w14:paraId="2925D73C" w14:textId="77777777" w:rsidR="00AB6C92" w:rsidRDefault="00AB6C92" w:rsidP="00AB6C92">
      <w:pPr>
        <w:spacing w:line="360" w:lineRule="auto"/>
        <w:jc w:val="both"/>
        <w:rPr>
          <w:rFonts w:ascii="Arial" w:hAnsi="Arial" w:cs="Arial"/>
          <w:b/>
          <w:bCs/>
          <w:sz w:val="24"/>
          <w:szCs w:val="24"/>
        </w:rPr>
      </w:pPr>
    </w:p>
    <w:p w14:paraId="55EDFA37" w14:textId="77777777" w:rsidR="00AB6C92" w:rsidRDefault="00AB6C92" w:rsidP="00AB6C92">
      <w:pPr>
        <w:spacing w:line="360" w:lineRule="auto"/>
        <w:jc w:val="both"/>
        <w:rPr>
          <w:rFonts w:ascii="Arial" w:hAnsi="Arial" w:cs="Arial"/>
          <w:b/>
          <w:bCs/>
          <w:sz w:val="24"/>
          <w:szCs w:val="24"/>
        </w:rPr>
      </w:pPr>
    </w:p>
    <w:p w14:paraId="6410DE87" w14:textId="1C38907D" w:rsidR="00AB6C92" w:rsidRPr="00AB6C92" w:rsidRDefault="00AB6C92" w:rsidP="00AB6C92">
      <w:pPr>
        <w:pStyle w:val="Heading1"/>
      </w:pPr>
      <w:bookmarkStart w:id="8" w:name="_Toc227475318"/>
      <w:r>
        <w:t xml:space="preserve">9. </w:t>
      </w:r>
      <w:r w:rsidRPr="00AB6C92">
        <w:t>References</w:t>
      </w:r>
      <w:bookmarkEnd w:id="8"/>
    </w:p>
    <w:p w14:paraId="7635DC39" w14:textId="77777777" w:rsidR="00AB6C92" w:rsidRPr="00AB6C92" w:rsidRDefault="00AB6C92" w:rsidP="00AB6C92">
      <w:pPr>
        <w:spacing w:line="360" w:lineRule="auto"/>
        <w:jc w:val="both"/>
        <w:rPr>
          <w:rFonts w:ascii="Arial" w:hAnsi="Arial" w:cs="Arial"/>
          <w:sz w:val="24"/>
          <w:szCs w:val="24"/>
        </w:rPr>
      </w:pPr>
      <w:r w:rsidRPr="00AB6C92">
        <w:rPr>
          <w:rFonts w:ascii="Arial" w:hAnsi="Arial" w:cs="Arial"/>
          <w:sz w:val="24"/>
          <w:szCs w:val="24"/>
        </w:rPr>
        <w:t xml:space="preserve">Burke, R. (2013) </w:t>
      </w:r>
      <w:r w:rsidRPr="00AB6C92">
        <w:rPr>
          <w:rFonts w:ascii="Arial" w:hAnsi="Arial" w:cs="Arial"/>
          <w:i/>
          <w:iCs/>
          <w:sz w:val="24"/>
          <w:szCs w:val="24"/>
        </w:rPr>
        <w:t>Project Management: Planning and Control Techniques</w:t>
      </w:r>
      <w:r w:rsidRPr="00AB6C92">
        <w:rPr>
          <w:rFonts w:ascii="Arial" w:hAnsi="Arial" w:cs="Arial"/>
          <w:sz w:val="24"/>
          <w:szCs w:val="24"/>
        </w:rPr>
        <w:t xml:space="preserve">. 5th </w:t>
      </w:r>
      <w:proofErr w:type="spellStart"/>
      <w:r w:rsidRPr="00AB6C92">
        <w:rPr>
          <w:rFonts w:ascii="Arial" w:hAnsi="Arial" w:cs="Arial"/>
          <w:sz w:val="24"/>
          <w:szCs w:val="24"/>
        </w:rPr>
        <w:t>edn</w:t>
      </w:r>
      <w:proofErr w:type="spellEnd"/>
      <w:r w:rsidRPr="00AB6C92">
        <w:rPr>
          <w:rFonts w:ascii="Arial" w:hAnsi="Arial" w:cs="Arial"/>
          <w:sz w:val="24"/>
          <w:szCs w:val="24"/>
        </w:rPr>
        <w:t>. Chichester: Wiley.</w:t>
      </w:r>
    </w:p>
    <w:p w14:paraId="0B4E683A" w14:textId="77777777" w:rsidR="00AB6C92" w:rsidRPr="00AB6C92" w:rsidRDefault="00AB6C92" w:rsidP="00AB6C92">
      <w:pPr>
        <w:spacing w:line="360" w:lineRule="auto"/>
        <w:jc w:val="both"/>
        <w:rPr>
          <w:rFonts w:ascii="Arial" w:hAnsi="Arial" w:cs="Arial"/>
          <w:sz w:val="24"/>
          <w:szCs w:val="24"/>
        </w:rPr>
      </w:pPr>
      <w:r w:rsidRPr="00AB6C92">
        <w:rPr>
          <w:rFonts w:ascii="Arial" w:hAnsi="Arial" w:cs="Arial"/>
          <w:sz w:val="24"/>
          <w:szCs w:val="24"/>
        </w:rPr>
        <w:t xml:space="preserve">Fewings, P. (2013) </w:t>
      </w:r>
      <w:r w:rsidRPr="00AB6C92">
        <w:rPr>
          <w:rFonts w:ascii="Arial" w:hAnsi="Arial" w:cs="Arial"/>
          <w:i/>
          <w:iCs/>
          <w:sz w:val="24"/>
          <w:szCs w:val="24"/>
        </w:rPr>
        <w:t>Construction Project Management: An Integrated Approach</w:t>
      </w:r>
      <w:r w:rsidRPr="00AB6C92">
        <w:rPr>
          <w:rFonts w:ascii="Arial" w:hAnsi="Arial" w:cs="Arial"/>
          <w:sz w:val="24"/>
          <w:szCs w:val="24"/>
        </w:rPr>
        <w:t xml:space="preserve">. 2nd </w:t>
      </w:r>
      <w:proofErr w:type="spellStart"/>
      <w:r w:rsidRPr="00AB6C92">
        <w:rPr>
          <w:rFonts w:ascii="Arial" w:hAnsi="Arial" w:cs="Arial"/>
          <w:sz w:val="24"/>
          <w:szCs w:val="24"/>
        </w:rPr>
        <w:t>edn</w:t>
      </w:r>
      <w:proofErr w:type="spellEnd"/>
      <w:r w:rsidRPr="00AB6C92">
        <w:rPr>
          <w:rFonts w:ascii="Arial" w:hAnsi="Arial" w:cs="Arial"/>
          <w:sz w:val="24"/>
          <w:szCs w:val="24"/>
        </w:rPr>
        <w:t>. London: Routledge.</w:t>
      </w:r>
    </w:p>
    <w:p w14:paraId="5A0133BD" w14:textId="77777777" w:rsidR="00AB6C92" w:rsidRPr="00AB6C92" w:rsidRDefault="00AB6C92" w:rsidP="00AB6C92">
      <w:pPr>
        <w:spacing w:line="360" w:lineRule="auto"/>
        <w:jc w:val="both"/>
        <w:rPr>
          <w:rFonts w:ascii="Arial" w:hAnsi="Arial" w:cs="Arial"/>
          <w:sz w:val="24"/>
          <w:szCs w:val="24"/>
        </w:rPr>
      </w:pPr>
      <w:r w:rsidRPr="00AB6C92">
        <w:rPr>
          <w:rFonts w:ascii="Arial" w:hAnsi="Arial" w:cs="Arial"/>
          <w:sz w:val="24"/>
          <w:szCs w:val="24"/>
        </w:rPr>
        <w:t xml:space="preserve">Global Wind Energy Council (GWEC) (2022) </w:t>
      </w:r>
      <w:r w:rsidRPr="00AB6C92">
        <w:rPr>
          <w:rFonts w:ascii="Arial" w:hAnsi="Arial" w:cs="Arial"/>
          <w:i/>
          <w:iCs/>
          <w:sz w:val="24"/>
          <w:szCs w:val="24"/>
        </w:rPr>
        <w:t>Global Wind Report 2022</w:t>
      </w:r>
      <w:r w:rsidRPr="00AB6C92">
        <w:rPr>
          <w:rFonts w:ascii="Arial" w:hAnsi="Arial" w:cs="Arial"/>
          <w:sz w:val="24"/>
          <w:szCs w:val="24"/>
        </w:rPr>
        <w:t xml:space="preserve">. Available at: </w:t>
      </w:r>
      <w:hyperlink r:id="rId8" w:tgtFrame="_new" w:history="1">
        <w:r w:rsidRPr="00AB6C92">
          <w:rPr>
            <w:rStyle w:val="Hyperlink"/>
            <w:rFonts w:ascii="Arial" w:hAnsi="Arial" w:cs="Arial"/>
            <w:sz w:val="24"/>
            <w:szCs w:val="24"/>
          </w:rPr>
          <w:t>https://gwec.net</w:t>
        </w:r>
      </w:hyperlink>
      <w:r w:rsidRPr="00AB6C92">
        <w:rPr>
          <w:rFonts w:ascii="Arial" w:hAnsi="Arial" w:cs="Arial"/>
          <w:sz w:val="24"/>
          <w:szCs w:val="24"/>
        </w:rPr>
        <w:t xml:space="preserve"> (Accessed: 18 April 2026).</w:t>
      </w:r>
    </w:p>
    <w:p w14:paraId="7B2ABC1D" w14:textId="77777777" w:rsidR="00AB6C92" w:rsidRPr="00AB6C92" w:rsidRDefault="00AB6C92" w:rsidP="00AB6C92">
      <w:pPr>
        <w:spacing w:line="360" w:lineRule="auto"/>
        <w:jc w:val="both"/>
        <w:rPr>
          <w:rFonts w:ascii="Arial" w:hAnsi="Arial" w:cs="Arial"/>
          <w:sz w:val="24"/>
          <w:szCs w:val="24"/>
        </w:rPr>
      </w:pPr>
      <w:r w:rsidRPr="00AB6C92">
        <w:rPr>
          <w:rFonts w:ascii="Arial" w:hAnsi="Arial" w:cs="Arial"/>
          <w:sz w:val="24"/>
          <w:szCs w:val="24"/>
        </w:rPr>
        <w:t xml:space="preserve">Kerzner, H. (2022) </w:t>
      </w:r>
      <w:r w:rsidRPr="00AB6C92">
        <w:rPr>
          <w:rFonts w:ascii="Arial" w:hAnsi="Arial" w:cs="Arial"/>
          <w:i/>
          <w:iCs/>
          <w:sz w:val="24"/>
          <w:szCs w:val="24"/>
        </w:rPr>
        <w:t>Project Management: A Systems Approach to Planning, Scheduling, and Controlling</w:t>
      </w:r>
      <w:r w:rsidRPr="00AB6C92">
        <w:rPr>
          <w:rFonts w:ascii="Arial" w:hAnsi="Arial" w:cs="Arial"/>
          <w:sz w:val="24"/>
          <w:szCs w:val="24"/>
        </w:rPr>
        <w:t xml:space="preserve">. 13th </w:t>
      </w:r>
      <w:proofErr w:type="spellStart"/>
      <w:r w:rsidRPr="00AB6C92">
        <w:rPr>
          <w:rFonts w:ascii="Arial" w:hAnsi="Arial" w:cs="Arial"/>
          <w:sz w:val="24"/>
          <w:szCs w:val="24"/>
        </w:rPr>
        <w:t>edn</w:t>
      </w:r>
      <w:proofErr w:type="spellEnd"/>
      <w:r w:rsidRPr="00AB6C92">
        <w:rPr>
          <w:rFonts w:ascii="Arial" w:hAnsi="Arial" w:cs="Arial"/>
          <w:sz w:val="24"/>
          <w:szCs w:val="24"/>
        </w:rPr>
        <w:t>. Hoboken: Wiley.</w:t>
      </w:r>
    </w:p>
    <w:p w14:paraId="317F984D" w14:textId="77777777" w:rsidR="00AB6C92" w:rsidRPr="00AB6C92" w:rsidRDefault="00AB6C92" w:rsidP="00AB6C92">
      <w:pPr>
        <w:spacing w:line="360" w:lineRule="auto"/>
        <w:jc w:val="both"/>
        <w:rPr>
          <w:rFonts w:ascii="Arial" w:hAnsi="Arial" w:cs="Arial"/>
          <w:sz w:val="24"/>
          <w:szCs w:val="24"/>
        </w:rPr>
      </w:pPr>
      <w:r w:rsidRPr="00AB6C92">
        <w:rPr>
          <w:rFonts w:ascii="Arial" w:hAnsi="Arial" w:cs="Arial"/>
          <w:sz w:val="24"/>
          <w:szCs w:val="24"/>
        </w:rPr>
        <w:t xml:space="preserve">Lock, D. (2020) </w:t>
      </w:r>
      <w:r w:rsidRPr="00AB6C92">
        <w:rPr>
          <w:rFonts w:ascii="Arial" w:hAnsi="Arial" w:cs="Arial"/>
          <w:i/>
          <w:iCs/>
          <w:sz w:val="24"/>
          <w:szCs w:val="24"/>
        </w:rPr>
        <w:t>Project Management</w:t>
      </w:r>
      <w:r w:rsidRPr="00AB6C92">
        <w:rPr>
          <w:rFonts w:ascii="Arial" w:hAnsi="Arial" w:cs="Arial"/>
          <w:sz w:val="24"/>
          <w:szCs w:val="24"/>
        </w:rPr>
        <w:t xml:space="preserve">. 11th </w:t>
      </w:r>
      <w:proofErr w:type="spellStart"/>
      <w:r w:rsidRPr="00AB6C92">
        <w:rPr>
          <w:rFonts w:ascii="Arial" w:hAnsi="Arial" w:cs="Arial"/>
          <w:sz w:val="24"/>
          <w:szCs w:val="24"/>
        </w:rPr>
        <w:t>edn</w:t>
      </w:r>
      <w:proofErr w:type="spellEnd"/>
      <w:r w:rsidRPr="00AB6C92">
        <w:rPr>
          <w:rFonts w:ascii="Arial" w:hAnsi="Arial" w:cs="Arial"/>
          <w:sz w:val="24"/>
          <w:szCs w:val="24"/>
        </w:rPr>
        <w:t>. London: Routledge.</w:t>
      </w:r>
    </w:p>
    <w:p w14:paraId="07028DE1" w14:textId="77777777" w:rsidR="00AB6C92" w:rsidRPr="00AB6C92" w:rsidRDefault="00AB6C92" w:rsidP="00AB6C92">
      <w:pPr>
        <w:spacing w:line="360" w:lineRule="auto"/>
        <w:jc w:val="both"/>
        <w:rPr>
          <w:rFonts w:ascii="Arial" w:hAnsi="Arial" w:cs="Arial"/>
          <w:sz w:val="24"/>
          <w:szCs w:val="24"/>
        </w:rPr>
      </w:pPr>
      <w:r w:rsidRPr="00AB6C92">
        <w:rPr>
          <w:rFonts w:ascii="Arial" w:hAnsi="Arial" w:cs="Arial"/>
          <w:sz w:val="24"/>
          <w:szCs w:val="24"/>
        </w:rPr>
        <w:t xml:space="preserve">Meredith, J.R. and Mantel, S.J. (2017) </w:t>
      </w:r>
      <w:r w:rsidRPr="00AB6C92">
        <w:rPr>
          <w:rFonts w:ascii="Arial" w:hAnsi="Arial" w:cs="Arial"/>
          <w:i/>
          <w:iCs/>
          <w:sz w:val="24"/>
          <w:szCs w:val="24"/>
        </w:rPr>
        <w:t>Project Management: A Managerial Approach</w:t>
      </w:r>
      <w:r w:rsidRPr="00AB6C92">
        <w:rPr>
          <w:rFonts w:ascii="Arial" w:hAnsi="Arial" w:cs="Arial"/>
          <w:sz w:val="24"/>
          <w:szCs w:val="24"/>
        </w:rPr>
        <w:t xml:space="preserve">. 9th </w:t>
      </w:r>
      <w:proofErr w:type="spellStart"/>
      <w:r w:rsidRPr="00AB6C92">
        <w:rPr>
          <w:rFonts w:ascii="Arial" w:hAnsi="Arial" w:cs="Arial"/>
          <w:sz w:val="24"/>
          <w:szCs w:val="24"/>
        </w:rPr>
        <w:t>edn</w:t>
      </w:r>
      <w:proofErr w:type="spellEnd"/>
      <w:r w:rsidRPr="00AB6C92">
        <w:rPr>
          <w:rFonts w:ascii="Arial" w:hAnsi="Arial" w:cs="Arial"/>
          <w:sz w:val="24"/>
          <w:szCs w:val="24"/>
        </w:rPr>
        <w:t>. Hoboken: Wiley.</w:t>
      </w:r>
    </w:p>
    <w:p w14:paraId="0809A44B" w14:textId="77777777" w:rsidR="00AB6C92" w:rsidRPr="00AB6C92" w:rsidRDefault="00AB6C92" w:rsidP="00AB6C92">
      <w:pPr>
        <w:spacing w:line="360" w:lineRule="auto"/>
        <w:jc w:val="both"/>
        <w:rPr>
          <w:rFonts w:ascii="Arial" w:hAnsi="Arial" w:cs="Arial"/>
          <w:sz w:val="24"/>
          <w:szCs w:val="24"/>
        </w:rPr>
      </w:pPr>
      <w:r w:rsidRPr="00AB6C92">
        <w:rPr>
          <w:rFonts w:ascii="Arial" w:hAnsi="Arial" w:cs="Arial"/>
          <w:sz w:val="24"/>
          <w:szCs w:val="24"/>
        </w:rPr>
        <w:t xml:space="preserve">National Audit Office (NAO) (2019) </w:t>
      </w:r>
      <w:r w:rsidRPr="00AB6C92">
        <w:rPr>
          <w:rFonts w:ascii="Arial" w:hAnsi="Arial" w:cs="Arial"/>
          <w:i/>
          <w:iCs/>
          <w:sz w:val="24"/>
          <w:szCs w:val="24"/>
        </w:rPr>
        <w:t>Completing Crossrail</w:t>
      </w:r>
      <w:r w:rsidRPr="00AB6C92">
        <w:rPr>
          <w:rFonts w:ascii="Arial" w:hAnsi="Arial" w:cs="Arial"/>
          <w:sz w:val="24"/>
          <w:szCs w:val="24"/>
        </w:rPr>
        <w:t xml:space="preserve">. Available at: </w:t>
      </w:r>
      <w:hyperlink r:id="rId9" w:tgtFrame="_new" w:history="1">
        <w:r w:rsidRPr="00AB6C92">
          <w:rPr>
            <w:rStyle w:val="Hyperlink"/>
            <w:rFonts w:ascii="Arial" w:hAnsi="Arial" w:cs="Arial"/>
            <w:sz w:val="24"/>
            <w:szCs w:val="24"/>
          </w:rPr>
          <w:t>https://www.nao.org.uk</w:t>
        </w:r>
      </w:hyperlink>
      <w:r w:rsidRPr="00AB6C92">
        <w:rPr>
          <w:rFonts w:ascii="Arial" w:hAnsi="Arial" w:cs="Arial"/>
          <w:sz w:val="24"/>
          <w:szCs w:val="24"/>
        </w:rPr>
        <w:t xml:space="preserve"> (Accessed: 18 April 2026).</w:t>
      </w:r>
    </w:p>
    <w:p w14:paraId="74F08385" w14:textId="77777777" w:rsidR="00AB6C92" w:rsidRPr="00AB6C92" w:rsidRDefault="00AB6C92" w:rsidP="00AB6C92">
      <w:pPr>
        <w:spacing w:line="360" w:lineRule="auto"/>
        <w:jc w:val="both"/>
        <w:rPr>
          <w:rFonts w:ascii="Arial" w:hAnsi="Arial" w:cs="Arial"/>
          <w:sz w:val="24"/>
          <w:szCs w:val="24"/>
        </w:rPr>
      </w:pPr>
      <w:r w:rsidRPr="00AB6C92">
        <w:rPr>
          <w:rFonts w:ascii="Arial" w:hAnsi="Arial" w:cs="Arial"/>
          <w:sz w:val="24"/>
          <w:szCs w:val="24"/>
        </w:rPr>
        <w:t xml:space="preserve">Project Management Institute (PMI) (2021) </w:t>
      </w:r>
      <w:r w:rsidRPr="00AB6C92">
        <w:rPr>
          <w:rFonts w:ascii="Arial" w:hAnsi="Arial" w:cs="Arial"/>
          <w:i/>
          <w:iCs/>
          <w:sz w:val="24"/>
          <w:szCs w:val="24"/>
        </w:rPr>
        <w:t>A Guide to the Project Management Body of Knowledge (PMBOK Guide)</w:t>
      </w:r>
      <w:r w:rsidRPr="00AB6C92">
        <w:rPr>
          <w:rFonts w:ascii="Arial" w:hAnsi="Arial" w:cs="Arial"/>
          <w:sz w:val="24"/>
          <w:szCs w:val="24"/>
        </w:rPr>
        <w:t xml:space="preserve">. 7th </w:t>
      </w:r>
      <w:proofErr w:type="spellStart"/>
      <w:r w:rsidRPr="00AB6C92">
        <w:rPr>
          <w:rFonts w:ascii="Arial" w:hAnsi="Arial" w:cs="Arial"/>
          <w:sz w:val="24"/>
          <w:szCs w:val="24"/>
        </w:rPr>
        <w:t>edn</w:t>
      </w:r>
      <w:proofErr w:type="spellEnd"/>
      <w:r w:rsidRPr="00AB6C92">
        <w:rPr>
          <w:rFonts w:ascii="Arial" w:hAnsi="Arial" w:cs="Arial"/>
          <w:sz w:val="24"/>
          <w:szCs w:val="24"/>
        </w:rPr>
        <w:t>. Pennsylvania: PMI.</w:t>
      </w:r>
    </w:p>
    <w:p w14:paraId="49F280F3" w14:textId="77777777" w:rsidR="00AB6C92" w:rsidRPr="00AB6C92" w:rsidRDefault="00AB6C92" w:rsidP="00AB6C92">
      <w:pPr>
        <w:spacing w:line="360" w:lineRule="auto"/>
        <w:jc w:val="both"/>
        <w:rPr>
          <w:rFonts w:ascii="Arial" w:hAnsi="Arial" w:cs="Arial"/>
          <w:sz w:val="24"/>
          <w:szCs w:val="24"/>
        </w:rPr>
      </w:pPr>
      <w:r w:rsidRPr="00AB6C92">
        <w:rPr>
          <w:rFonts w:ascii="Arial" w:hAnsi="Arial" w:cs="Arial"/>
          <w:sz w:val="24"/>
          <w:szCs w:val="24"/>
        </w:rPr>
        <w:t xml:space="preserve">Siemens Gamesa Renewable Energy (2023) </w:t>
      </w:r>
      <w:r w:rsidRPr="00AB6C92">
        <w:rPr>
          <w:rFonts w:ascii="Arial" w:hAnsi="Arial" w:cs="Arial"/>
          <w:i/>
          <w:iCs/>
          <w:sz w:val="24"/>
          <w:szCs w:val="24"/>
        </w:rPr>
        <w:t>Offshore Wind Projects</w:t>
      </w:r>
      <w:r w:rsidRPr="00AB6C92">
        <w:rPr>
          <w:rFonts w:ascii="Arial" w:hAnsi="Arial" w:cs="Arial"/>
          <w:sz w:val="24"/>
          <w:szCs w:val="24"/>
        </w:rPr>
        <w:t xml:space="preserve">. Available at: </w:t>
      </w:r>
      <w:hyperlink r:id="rId10" w:tgtFrame="_new" w:history="1">
        <w:r w:rsidRPr="00AB6C92">
          <w:rPr>
            <w:rStyle w:val="Hyperlink"/>
            <w:rFonts w:ascii="Arial" w:hAnsi="Arial" w:cs="Arial"/>
            <w:sz w:val="24"/>
            <w:szCs w:val="24"/>
          </w:rPr>
          <w:t>https://www.siemensgamesa.com</w:t>
        </w:r>
      </w:hyperlink>
      <w:r w:rsidRPr="00AB6C92">
        <w:rPr>
          <w:rFonts w:ascii="Arial" w:hAnsi="Arial" w:cs="Arial"/>
          <w:sz w:val="24"/>
          <w:szCs w:val="24"/>
        </w:rPr>
        <w:t xml:space="preserve"> (Accessed: 18 April 2026).</w:t>
      </w:r>
    </w:p>
    <w:p w14:paraId="7749B906" w14:textId="77777777" w:rsidR="00AB6C92" w:rsidRPr="00AB6C92" w:rsidRDefault="00AB6C92" w:rsidP="00AB6C92">
      <w:pPr>
        <w:spacing w:line="360" w:lineRule="auto"/>
        <w:jc w:val="both"/>
        <w:rPr>
          <w:rFonts w:ascii="Arial" w:hAnsi="Arial" w:cs="Arial"/>
          <w:sz w:val="24"/>
          <w:szCs w:val="24"/>
        </w:rPr>
      </w:pPr>
      <w:r w:rsidRPr="00AB6C92">
        <w:rPr>
          <w:rFonts w:ascii="Arial" w:hAnsi="Arial" w:cs="Arial"/>
          <w:sz w:val="24"/>
          <w:szCs w:val="24"/>
        </w:rPr>
        <w:t xml:space="preserve">Turner, J.R. (2016) </w:t>
      </w:r>
      <w:r w:rsidRPr="00AB6C92">
        <w:rPr>
          <w:rFonts w:ascii="Arial" w:hAnsi="Arial" w:cs="Arial"/>
          <w:i/>
          <w:iCs/>
          <w:sz w:val="24"/>
          <w:szCs w:val="24"/>
        </w:rPr>
        <w:t>Gower Handbook of Project Management</w:t>
      </w:r>
      <w:r w:rsidRPr="00AB6C92">
        <w:rPr>
          <w:rFonts w:ascii="Arial" w:hAnsi="Arial" w:cs="Arial"/>
          <w:sz w:val="24"/>
          <w:szCs w:val="24"/>
        </w:rPr>
        <w:t xml:space="preserve">. 5th </w:t>
      </w:r>
      <w:proofErr w:type="spellStart"/>
      <w:r w:rsidRPr="00AB6C92">
        <w:rPr>
          <w:rFonts w:ascii="Arial" w:hAnsi="Arial" w:cs="Arial"/>
          <w:sz w:val="24"/>
          <w:szCs w:val="24"/>
        </w:rPr>
        <w:t>edn</w:t>
      </w:r>
      <w:proofErr w:type="spellEnd"/>
      <w:r w:rsidRPr="00AB6C92">
        <w:rPr>
          <w:rFonts w:ascii="Arial" w:hAnsi="Arial" w:cs="Arial"/>
          <w:sz w:val="24"/>
          <w:szCs w:val="24"/>
        </w:rPr>
        <w:t>. London: Routledge.</w:t>
      </w:r>
    </w:p>
    <w:p w14:paraId="624C17B5" w14:textId="77777777" w:rsidR="00AB6C92" w:rsidRPr="00AB6C92" w:rsidRDefault="00AB6C92" w:rsidP="00AB6C92">
      <w:pPr>
        <w:spacing w:line="360" w:lineRule="auto"/>
        <w:jc w:val="both"/>
        <w:rPr>
          <w:rFonts w:ascii="Arial" w:hAnsi="Arial" w:cs="Arial"/>
          <w:sz w:val="24"/>
          <w:szCs w:val="24"/>
        </w:rPr>
      </w:pPr>
      <w:r w:rsidRPr="00AB6C92">
        <w:rPr>
          <w:rFonts w:ascii="Arial" w:hAnsi="Arial" w:cs="Arial"/>
          <w:sz w:val="24"/>
          <w:szCs w:val="24"/>
        </w:rPr>
        <w:t xml:space="preserve">Vance, A. (2015) </w:t>
      </w:r>
      <w:r w:rsidRPr="00AB6C92">
        <w:rPr>
          <w:rFonts w:ascii="Arial" w:hAnsi="Arial" w:cs="Arial"/>
          <w:i/>
          <w:iCs/>
          <w:sz w:val="24"/>
          <w:szCs w:val="24"/>
        </w:rPr>
        <w:t>Elon Musk: Tesla, SpaceX, and the Quest for a Fantastic Future</w:t>
      </w:r>
      <w:r w:rsidRPr="00AB6C92">
        <w:rPr>
          <w:rFonts w:ascii="Arial" w:hAnsi="Arial" w:cs="Arial"/>
          <w:sz w:val="24"/>
          <w:szCs w:val="24"/>
        </w:rPr>
        <w:t>. New York: HarperCollins.</w:t>
      </w:r>
    </w:p>
    <w:p w14:paraId="1C3676C3" w14:textId="77777777" w:rsidR="00AB6C92" w:rsidRPr="00AB6C92" w:rsidRDefault="00AB6C92" w:rsidP="00AB6C92">
      <w:pPr>
        <w:spacing w:line="360" w:lineRule="auto"/>
        <w:jc w:val="both"/>
        <w:rPr>
          <w:rFonts w:ascii="Arial" w:hAnsi="Arial" w:cs="Arial"/>
          <w:sz w:val="24"/>
          <w:szCs w:val="24"/>
        </w:rPr>
      </w:pPr>
      <w:r w:rsidRPr="00AB6C92">
        <w:rPr>
          <w:rFonts w:ascii="Arial" w:hAnsi="Arial" w:cs="Arial"/>
          <w:sz w:val="24"/>
          <w:szCs w:val="24"/>
        </w:rPr>
        <w:lastRenderedPageBreak/>
        <w:t xml:space="preserve">Walker, A. (2015) </w:t>
      </w:r>
      <w:r w:rsidRPr="00AB6C92">
        <w:rPr>
          <w:rFonts w:ascii="Arial" w:hAnsi="Arial" w:cs="Arial"/>
          <w:i/>
          <w:iCs/>
          <w:sz w:val="24"/>
          <w:szCs w:val="24"/>
        </w:rPr>
        <w:t>Project Management in Construction</w:t>
      </w:r>
      <w:r w:rsidRPr="00AB6C92">
        <w:rPr>
          <w:rFonts w:ascii="Arial" w:hAnsi="Arial" w:cs="Arial"/>
          <w:sz w:val="24"/>
          <w:szCs w:val="24"/>
        </w:rPr>
        <w:t xml:space="preserve">. 6th </w:t>
      </w:r>
      <w:proofErr w:type="spellStart"/>
      <w:r w:rsidRPr="00AB6C92">
        <w:rPr>
          <w:rFonts w:ascii="Arial" w:hAnsi="Arial" w:cs="Arial"/>
          <w:sz w:val="24"/>
          <w:szCs w:val="24"/>
        </w:rPr>
        <w:t>edn</w:t>
      </w:r>
      <w:proofErr w:type="spellEnd"/>
      <w:r w:rsidRPr="00AB6C92">
        <w:rPr>
          <w:rFonts w:ascii="Arial" w:hAnsi="Arial" w:cs="Arial"/>
          <w:sz w:val="24"/>
          <w:szCs w:val="24"/>
        </w:rPr>
        <w:t>. Oxford: Wiley-Blackwell.</w:t>
      </w:r>
    </w:p>
    <w:p w14:paraId="7076E1EA" w14:textId="77777777" w:rsidR="00AB6C92" w:rsidRPr="00AB6C92" w:rsidRDefault="00AB6C92" w:rsidP="00AB6C92">
      <w:pPr>
        <w:spacing w:line="360" w:lineRule="auto"/>
        <w:jc w:val="both"/>
        <w:rPr>
          <w:rFonts w:ascii="Arial" w:hAnsi="Arial" w:cs="Arial"/>
          <w:sz w:val="24"/>
          <w:szCs w:val="24"/>
        </w:rPr>
      </w:pPr>
      <w:r w:rsidRPr="00AB6C92">
        <w:rPr>
          <w:rFonts w:ascii="Arial" w:hAnsi="Arial" w:cs="Arial"/>
          <w:sz w:val="24"/>
          <w:szCs w:val="24"/>
        </w:rPr>
        <w:t xml:space="preserve">Winch, G. (2014) </w:t>
      </w:r>
      <w:r w:rsidRPr="00AB6C92">
        <w:rPr>
          <w:rFonts w:ascii="Arial" w:hAnsi="Arial" w:cs="Arial"/>
          <w:i/>
          <w:iCs/>
          <w:sz w:val="24"/>
          <w:szCs w:val="24"/>
        </w:rPr>
        <w:t>Managing Construction Projects</w:t>
      </w:r>
      <w:r w:rsidRPr="00AB6C92">
        <w:rPr>
          <w:rFonts w:ascii="Arial" w:hAnsi="Arial" w:cs="Arial"/>
          <w:sz w:val="24"/>
          <w:szCs w:val="24"/>
        </w:rPr>
        <w:t xml:space="preserve">. 2nd </w:t>
      </w:r>
      <w:proofErr w:type="spellStart"/>
      <w:r w:rsidRPr="00AB6C92">
        <w:rPr>
          <w:rFonts w:ascii="Arial" w:hAnsi="Arial" w:cs="Arial"/>
          <w:sz w:val="24"/>
          <w:szCs w:val="24"/>
        </w:rPr>
        <w:t>edn</w:t>
      </w:r>
      <w:proofErr w:type="spellEnd"/>
      <w:r w:rsidRPr="00AB6C92">
        <w:rPr>
          <w:rFonts w:ascii="Arial" w:hAnsi="Arial" w:cs="Arial"/>
          <w:sz w:val="24"/>
          <w:szCs w:val="24"/>
        </w:rPr>
        <w:t>. Oxford: Wiley-Blackwell.</w:t>
      </w:r>
    </w:p>
    <w:p w14:paraId="0BA88F50" w14:textId="77777777" w:rsidR="00AB6C92" w:rsidRPr="008218A4" w:rsidRDefault="00AB6C92" w:rsidP="008218A4">
      <w:pPr>
        <w:spacing w:line="360" w:lineRule="auto"/>
        <w:jc w:val="both"/>
        <w:rPr>
          <w:rFonts w:ascii="Arial" w:hAnsi="Arial" w:cs="Arial"/>
          <w:sz w:val="24"/>
          <w:szCs w:val="24"/>
        </w:rPr>
      </w:pPr>
    </w:p>
    <w:p w14:paraId="773CA3C3" w14:textId="77777777" w:rsidR="00E94A6B" w:rsidRPr="008218A4" w:rsidRDefault="00E94A6B" w:rsidP="008218A4">
      <w:pPr>
        <w:spacing w:line="360" w:lineRule="auto"/>
        <w:jc w:val="both"/>
        <w:rPr>
          <w:rFonts w:ascii="Arial" w:hAnsi="Arial" w:cs="Arial"/>
          <w:sz w:val="24"/>
          <w:szCs w:val="24"/>
        </w:rPr>
      </w:pPr>
    </w:p>
    <w:sectPr w:rsidR="00E94A6B" w:rsidRPr="008218A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9AEE4A" w14:textId="77777777" w:rsidR="00C16A96" w:rsidRDefault="00C16A96" w:rsidP="005C38EB">
      <w:pPr>
        <w:spacing w:after="0" w:line="240" w:lineRule="auto"/>
      </w:pPr>
      <w:r>
        <w:separator/>
      </w:r>
    </w:p>
  </w:endnote>
  <w:endnote w:type="continuationSeparator" w:id="0">
    <w:p w14:paraId="53735ABF" w14:textId="77777777" w:rsidR="00C16A96" w:rsidRDefault="00C16A96" w:rsidP="005C38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6652164"/>
      <w:docPartObj>
        <w:docPartGallery w:val="Page Numbers (Bottom of Page)"/>
        <w:docPartUnique/>
      </w:docPartObj>
    </w:sdtPr>
    <w:sdtEndPr>
      <w:rPr>
        <w:noProof/>
      </w:rPr>
    </w:sdtEndPr>
    <w:sdtContent>
      <w:p w14:paraId="254A8F51" w14:textId="283BA766" w:rsidR="005C38EB" w:rsidRDefault="005C38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0E3BCD" w14:textId="77777777" w:rsidR="005C38EB" w:rsidRDefault="005C38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9C0830" w14:textId="77777777" w:rsidR="00C16A96" w:rsidRDefault="00C16A96" w:rsidP="005C38EB">
      <w:pPr>
        <w:spacing w:after="0" w:line="240" w:lineRule="auto"/>
      </w:pPr>
      <w:r>
        <w:separator/>
      </w:r>
    </w:p>
  </w:footnote>
  <w:footnote w:type="continuationSeparator" w:id="0">
    <w:p w14:paraId="4E382A4D" w14:textId="77777777" w:rsidR="00C16A96" w:rsidRDefault="00C16A96" w:rsidP="005C38E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8A4"/>
    <w:rsid w:val="00042570"/>
    <w:rsid w:val="001834A8"/>
    <w:rsid w:val="00276A9E"/>
    <w:rsid w:val="003D756C"/>
    <w:rsid w:val="003F090F"/>
    <w:rsid w:val="004B0464"/>
    <w:rsid w:val="005C38EB"/>
    <w:rsid w:val="005D16E4"/>
    <w:rsid w:val="0065064E"/>
    <w:rsid w:val="008218A4"/>
    <w:rsid w:val="00915054"/>
    <w:rsid w:val="009275A2"/>
    <w:rsid w:val="00A91648"/>
    <w:rsid w:val="00AB6C92"/>
    <w:rsid w:val="00C16A96"/>
    <w:rsid w:val="00C85E11"/>
    <w:rsid w:val="00DA7669"/>
    <w:rsid w:val="00E94A6B"/>
    <w:rsid w:val="00FB30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EA6AE"/>
  <w15:chartTrackingRefBased/>
  <w15:docId w15:val="{F99595E2-4D22-4610-9457-1111D79E8F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18A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218A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218A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218A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218A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218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18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18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18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18A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218A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218A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218A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218A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218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18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18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18A4"/>
    <w:rPr>
      <w:rFonts w:eastAsiaTheme="majorEastAsia" w:cstheme="majorBidi"/>
      <w:color w:val="272727" w:themeColor="text1" w:themeTint="D8"/>
    </w:rPr>
  </w:style>
  <w:style w:type="paragraph" w:styleId="Title">
    <w:name w:val="Title"/>
    <w:basedOn w:val="Normal"/>
    <w:next w:val="Normal"/>
    <w:link w:val="TitleChar"/>
    <w:uiPriority w:val="10"/>
    <w:qFormat/>
    <w:rsid w:val="008218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18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18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18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18A4"/>
    <w:pPr>
      <w:spacing w:before="160"/>
      <w:jc w:val="center"/>
    </w:pPr>
    <w:rPr>
      <w:i/>
      <w:iCs/>
      <w:color w:val="404040" w:themeColor="text1" w:themeTint="BF"/>
    </w:rPr>
  </w:style>
  <w:style w:type="character" w:customStyle="1" w:styleId="QuoteChar">
    <w:name w:val="Quote Char"/>
    <w:basedOn w:val="DefaultParagraphFont"/>
    <w:link w:val="Quote"/>
    <w:uiPriority w:val="29"/>
    <w:rsid w:val="008218A4"/>
    <w:rPr>
      <w:i/>
      <w:iCs/>
      <w:color w:val="404040" w:themeColor="text1" w:themeTint="BF"/>
    </w:rPr>
  </w:style>
  <w:style w:type="paragraph" w:styleId="ListParagraph">
    <w:name w:val="List Paragraph"/>
    <w:basedOn w:val="Normal"/>
    <w:uiPriority w:val="34"/>
    <w:qFormat/>
    <w:rsid w:val="008218A4"/>
    <w:pPr>
      <w:ind w:left="720"/>
      <w:contextualSpacing/>
    </w:pPr>
  </w:style>
  <w:style w:type="character" w:styleId="IntenseEmphasis">
    <w:name w:val="Intense Emphasis"/>
    <w:basedOn w:val="DefaultParagraphFont"/>
    <w:uiPriority w:val="21"/>
    <w:qFormat/>
    <w:rsid w:val="008218A4"/>
    <w:rPr>
      <w:i/>
      <w:iCs/>
      <w:color w:val="2F5496" w:themeColor="accent1" w:themeShade="BF"/>
    </w:rPr>
  </w:style>
  <w:style w:type="paragraph" w:styleId="IntenseQuote">
    <w:name w:val="Intense Quote"/>
    <w:basedOn w:val="Normal"/>
    <w:next w:val="Normal"/>
    <w:link w:val="IntenseQuoteChar"/>
    <w:uiPriority w:val="30"/>
    <w:qFormat/>
    <w:rsid w:val="008218A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218A4"/>
    <w:rPr>
      <w:i/>
      <w:iCs/>
      <w:color w:val="2F5496" w:themeColor="accent1" w:themeShade="BF"/>
    </w:rPr>
  </w:style>
  <w:style w:type="character" w:styleId="IntenseReference">
    <w:name w:val="Intense Reference"/>
    <w:basedOn w:val="DefaultParagraphFont"/>
    <w:uiPriority w:val="32"/>
    <w:qFormat/>
    <w:rsid w:val="008218A4"/>
    <w:rPr>
      <w:b/>
      <w:bCs/>
      <w:smallCaps/>
      <w:color w:val="2F5496" w:themeColor="accent1" w:themeShade="BF"/>
      <w:spacing w:val="5"/>
    </w:rPr>
  </w:style>
  <w:style w:type="paragraph" w:styleId="NoSpacing">
    <w:name w:val="No Spacing"/>
    <w:link w:val="NoSpacingChar"/>
    <w:uiPriority w:val="1"/>
    <w:qFormat/>
    <w:rsid w:val="0065064E"/>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65064E"/>
    <w:rPr>
      <w:rFonts w:eastAsiaTheme="minorEastAsia"/>
      <w:kern w:val="0"/>
      <w:lang w:val="en-US"/>
    </w:rPr>
  </w:style>
  <w:style w:type="character" w:styleId="Hyperlink">
    <w:name w:val="Hyperlink"/>
    <w:basedOn w:val="DefaultParagraphFont"/>
    <w:uiPriority w:val="99"/>
    <w:unhideWhenUsed/>
    <w:rsid w:val="00AB6C92"/>
    <w:rPr>
      <w:color w:val="0563C1" w:themeColor="hyperlink"/>
      <w:u w:val="single"/>
    </w:rPr>
  </w:style>
  <w:style w:type="character" w:styleId="UnresolvedMention">
    <w:name w:val="Unresolved Mention"/>
    <w:basedOn w:val="DefaultParagraphFont"/>
    <w:uiPriority w:val="99"/>
    <w:semiHidden/>
    <w:unhideWhenUsed/>
    <w:rsid w:val="00AB6C92"/>
    <w:rPr>
      <w:color w:val="605E5C"/>
      <w:shd w:val="clear" w:color="auto" w:fill="E1DFDD"/>
    </w:rPr>
  </w:style>
  <w:style w:type="paragraph" w:styleId="TOCHeading">
    <w:name w:val="TOC Heading"/>
    <w:basedOn w:val="Heading1"/>
    <w:next w:val="Normal"/>
    <w:uiPriority w:val="39"/>
    <w:unhideWhenUsed/>
    <w:qFormat/>
    <w:rsid w:val="00042570"/>
    <w:pPr>
      <w:spacing w:before="240" w:after="0"/>
      <w:outlineLvl w:val="9"/>
    </w:pPr>
    <w:rPr>
      <w:kern w:val="0"/>
      <w:sz w:val="32"/>
      <w:szCs w:val="32"/>
      <w:lang w:val="en-US"/>
    </w:rPr>
  </w:style>
  <w:style w:type="paragraph" w:styleId="TOC1">
    <w:name w:val="toc 1"/>
    <w:basedOn w:val="Normal"/>
    <w:next w:val="Normal"/>
    <w:autoRedefine/>
    <w:uiPriority w:val="39"/>
    <w:unhideWhenUsed/>
    <w:rsid w:val="00042570"/>
    <w:pPr>
      <w:spacing w:after="100"/>
    </w:pPr>
  </w:style>
  <w:style w:type="paragraph" w:styleId="Header">
    <w:name w:val="header"/>
    <w:basedOn w:val="Normal"/>
    <w:link w:val="HeaderChar"/>
    <w:uiPriority w:val="99"/>
    <w:unhideWhenUsed/>
    <w:rsid w:val="005C38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38EB"/>
  </w:style>
  <w:style w:type="paragraph" w:styleId="Footer">
    <w:name w:val="footer"/>
    <w:basedOn w:val="Normal"/>
    <w:link w:val="FooterChar"/>
    <w:uiPriority w:val="99"/>
    <w:unhideWhenUsed/>
    <w:rsid w:val="005C38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38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wec.ne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siemensgamesa.com" TargetMode="External"/><Relationship Id="rId4" Type="http://schemas.openxmlformats.org/officeDocument/2006/relationships/webSettings" Target="webSettings.xml"/><Relationship Id="rId9" Type="http://schemas.openxmlformats.org/officeDocument/2006/relationships/hyperlink" Target="https://www.nao.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1E91760-280D-4E1E-84C3-5A60B9703D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2662</Words>
  <Characters>15178</Characters>
  <Application>Microsoft Office Word</Application>
  <DocSecurity>0</DocSecurity>
  <Lines>126</Lines>
  <Paragraphs>35</Paragraphs>
  <ScaleCrop>false</ScaleCrop>
  <Company/>
  <LinksUpToDate>false</LinksUpToDate>
  <CharactersWithSpaces>17805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 Dascalu</dc:creator>
  <cp:keywords/>
  <dc:description/>
  <cp:lastModifiedBy>Sorin Dascalu</cp:lastModifiedBy>
  <cp:revision>2</cp:revision>
  <dcterms:created xsi:type="dcterms:W3CDTF">2026-04-19T06:18:00Z</dcterms:created>
  <dcterms:modified xsi:type="dcterms:W3CDTF">2026-04-19T06:18:00Z</dcterms:modified>
</cp:coreProperties>
</file>