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BB14D" w14:textId="77777777" w:rsidR="009319A1" w:rsidRDefault="009319A1" w:rsidP="009319A1">
      <w:pPr>
        <w:spacing w:line="480" w:lineRule="auto"/>
        <w:rPr>
          <w:rFonts w:eastAsia="Times New Roman"/>
          <w:b/>
          <w:bCs/>
          <w:sz w:val="32"/>
          <w:szCs w:val="32"/>
          <w:lang w:val="en-GB"/>
        </w:rPr>
      </w:pPr>
    </w:p>
    <w:p w14:paraId="10FB32E5" w14:textId="77777777" w:rsidR="009319A1" w:rsidRDefault="009319A1">
      <w:pPr>
        <w:spacing w:line="240" w:lineRule="auto"/>
        <w:rPr>
          <w:rFonts w:eastAsia="Times New Roman"/>
          <w:b/>
          <w:bCs/>
          <w:sz w:val="32"/>
          <w:szCs w:val="32"/>
          <w:lang w:val="en-GB"/>
        </w:rPr>
      </w:pPr>
      <w:r>
        <w:rPr>
          <w:rFonts w:eastAsia="Times New Roman"/>
          <w:b/>
          <w:bCs/>
          <w:sz w:val="32"/>
          <w:szCs w:val="32"/>
          <w:lang w:val="en-GB"/>
        </w:rPr>
        <w:t xml:space="preserve">       </w:t>
      </w:r>
    </w:p>
    <w:p w14:paraId="2BB2FC38" w14:textId="3A1FFA24" w:rsidR="009319A1" w:rsidRDefault="009319A1">
      <w:pPr>
        <w:spacing w:line="240" w:lineRule="auto"/>
        <w:rPr>
          <w:rFonts w:eastAsia="Times New Roman"/>
          <w:b/>
          <w:bCs/>
          <w:sz w:val="32"/>
          <w:szCs w:val="32"/>
          <w:lang w:val="en-GB"/>
        </w:rPr>
      </w:pPr>
      <w:r>
        <w:rPr>
          <w:rFonts w:eastAsia="Times New Roman"/>
          <w:b/>
          <w:bCs/>
          <w:sz w:val="32"/>
          <w:szCs w:val="32"/>
          <w:lang w:val="en-GB"/>
        </w:rPr>
        <w:t xml:space="preserve">   </w:t>
      </w:r>
      <w:r>
        <w:rPr>
          <w:rFonts w:ascii="SimSun" w:eastAsia="SimSun" w:hAnsi="SimSun" w:cs="SimSun"/>
          <w:noProof/>
          <w:sz w:val="24"/>
          <w:szCs w:val="24"/>
        </w:rPr>
        <w:drawing>
          <wp:inline distT="0" distB="0" distL="114300" distR="114300" wp14:anchorId="77CC0A3F" wp14:editId="69B2048D">
            <wp:extent cx="4859383" cy="2079625"/>
            <wp:effectExtent l="0" t="0" r="0" b="0"/>
            <wp:docPr id="1440332892" name="Picture 144033289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7"/>
                    <a:stretch>
                      <a:fillRect/>
                    </a:stretch>
                  </pic:blipFill>
                  <pic:spPr>
                    <a:xfrm>
                      <a:off x="0" y="0"/>
                      <a:ext cx="4865166" cy="2082100"/>
                    </a:xfrm>
                    <a:prstGeom prst="rect">
                      <a:avLst/>
                    </a:prstGeom>
                    <a:noFill/>
                    <a:ln w="9525">
                      <a:noFill/>
                    </a:ln>
                  </pic:spPr>
                </pic:pic>
              </a:graphicData>
            </a:graphic>
          </wp:inline>
        </w:drawing>
      </w:r>
    </w:p>
    <w:p w14:paraId="0BB0D702" w14:textId="77777777" w:rsidR="009319A1" w:rsidRDefault="009319A1">
      <w:pPr>
        <w:spacing w:line="240" w:lineRule="auto"/>
        <w:rPr>
          <w:rFonts w:eastAsia="Times New Roman"/>
          <w:b/>
          <w:bCs/>
          <w:sz w:val="32"/>
          <w:szCs w:val="32"/>
          <w:lang w:val="en-GB"/>
        </w:rPr>
      </w:pPr>
    </w:p>
    <w:p w14:paraId="00C09E52" w14:textId="77777777" w:rsidR="009319A1" w:rsidRDefault="009319A1">
      <w:pPr>
        <w:spacing w:line="240" w:lineRule="auto"/>
        <w:rPr>
          <w:rFonts w:eastAsia="Times New Roman"/>
          <w:b/>
          <w:bCs/>
          <w:sz w:val="32"/>
          <w:szCs w:val="32"/>
          <w:lang w:val="en-GB"/>
        </w:rPr>
      </w:pPr>
    </w:p>
    <w:p w14:paraId="5419F637" w14:textId="77777777" w:rsidR="009319A1" w:rsidRDefault="009319A1">
      <w:pPr>
        <w:spacing w:line="240" w:lineRule="auto"/>
        <w:rPr>
          <w:rFonts w:eastAsia="Times New Roman"/>
          <w:b/>
          <w:bCs/>
          <w:sz w:val="32"/>
          <w:szCs w:val="32"/>
          <w:lang w:val="en-GB"/>
        </w:rPr>
      </w:pPr>
    </w:p>
    <w:p w14:paraId="51A9FAAA" w14:textId="77777777" w:rsidR="009319A1" w:rsidRDefault="009319A1">
      <w:pPr>
        <w:spacing w:line="240" w:lineRule="auto"/>
        <w:rPr>
          <w:rFonts w:eastAsia="Times New Roman"/>
          <w:b/>
          <w:bCs/>
          <w:sz w:val="32"/>
          <w:szCs w:val="32"/>
          <w:lang w:val="en-GB"/>
        </w:rPr>
      </w:pPr>
    </w:p>
    <w:p w14:paraId="4D042941" w14:textId="77777777" w:rsidR="009319A1" w:rsidRDefault="009319A1">
      <w:pPr>
        <w:spacing w:line="240" w:lineRule="auto"/>
        <w:rPr>
          <w:rFonts w:eastAsia="Times New Roman"/>
          <w:b/>
          <w:bCs/>
          <w:sz w:val="32"/>
          <w:szCs w:val="32"/>
          <w:lang w:val="en-GB"/>
        </w:rPr>
      </w:pPr>
    </w:p>
    <w:p w14:paraId="6D4C3687" w14:textId="77777777" w:rsidR="009319A1" w:rsidRDefault="009319A1">
      <w:pPr>
        <w:spacing w:line="240" w:lineRule="auto"/>
        <w:rPr>
          <w:rFonts w:eastAsia="Times New Roman"/>
          <w:b/>
          <w:bCs/>
          <w:sz w:val="32"/>
          <w:szCs w:val="32"/>
          <w:lang w:val="en-GB"/>
        </w:rPr>
      </w:pPr>
    </w:p>
    <w:p w14:paraId="4FC4EFE2" w14:textId="77777777" w:rsidR="009319A1" w:rsidRDefault="009319A1">
      <w:pPr>
        <w:spacing w:line="240" w:lineRule="auto"/>
        <w:rPr>
          <w:rFonts w:eastAsia="Times New Roman"/>
          <w:b/>
          <w:bCs/>
          <w:sz w:val="32"/>
          <w:szCs w:val="32"/>
          <w:lang w:val="en-GB"/>
        </w:rPr>
      </w:pPr>
    </w:p>
    <w:p w14:paraId="43969801" w14:textId="77777777" w:rsidR="009319A1" w:rsidRDefault="009319A1">
      <w:pPr>
        <w:spacing w:line="240" w:lineRule="auto"/>
        <w:rPr>
          <w:rFonts w:eastAsia="Times New Roman"/>
          <w:b/>
          <w:bCs/>
          <w:sz w:val="32"/>
          <w:szCs w:val="32"/>
          <w:lang w:val="en-GB"/>
        </w:rPr>
      </w:pPr>
    </w:p>
    <w:p w14:paraId="047F51DA" w14:textId="77777777" w:rsidR="009319A1" w:rsidRDefault="009319A1">
      <w:pPr>
        <w:spacing w:line="240" w:lineRule="auto"/>
        <w:rPr>
          <w:rFonts w:eastAsia="Times New Roman"/>
          <w:b/>
          <w:bCs/>
          <w:sz w:val="32"/>
          <w:szCs w:val="32"/>
          <w:lang w:val="en-GB"/>
        </w:rPr>
      </w:pPr>
    </w:p>
    <w:p w14:paraId="3A67DEE5" w14:textId="33AF75F0" w:rsidR="009319A1" w:rsidRDefault="009319A1">
      <w:pPr>
        <w:spacing w:line="240" w:lineRule="auto"/>
        <w:rPr>
          <w:rFonts w:eastAsia="Times New Roman"/>
          <w:b/>
          <w:bCs/>
          <w:sz w:val="32"/>
          <w:szCs w:val="32"/>
          <w:lang w:val="en-GB"/>
        </w:rPr>
      </w:pPr>
      <w:r>
        <w:rPr>
          <w:rFonts w:eastAsia="Times New Roman"/>
          <w:b/>
          <w:bCs/>
          <w:sz w:val="32"/>
          <w:szCs w:val="32"/>
          <w:lang w:val="en-GB"/>
        </w:rPr>
        <w:t xml:space="preserve"> NAME - PALAVBEN SHIRSAT</w:t>
      </w:r>
    </w:p>
    <w:p w14:paraId="2AC2FA97" w14:textId="77777777" w:rsidR="009319A1" w:rsidRDefault="009319A1">
      <w:pPr>
        <w:spacing w:line="240" w:lineRule="auto"/>
        <w:rPr>
          <w:rFonts w:eastAsia="Times New Roman"/>
          <w:b/>
          <w:bCs/>
          <w:sz w:val="32"/>
          <w:szCs w:val="32"/>
          <w:lang w:val="en-GB"/>
        </w:rPr>
      </w:pPr>
    </w:p>
    <w:p w14:paraId="43682186" w14:textId="2ED50746" w:rsidR="009319A1" w:rsidRDefault="009319A1">
      <w:pPr>
        <w:spacing w:line="240" w:lineRule="auto"/>
        <w:rPr>
          <w:rFonts w:eastAsia="Times New Roman"/>
          <w:b/>
          <w:bCs/>
          <w:sz w:val="32"/>
          <w:szCs w:val="32"/>
          <w:lang w:val="en-GB"/>
        </w:rPr>
      </w:pPr>
      <w:r>
        <w:rPr>
          <w:rFonts w:eastAsia="Times New Roman"/>
          <w:b/>
          <w:bCs/>
          <w:sz w:val="32"/>
          <w:szCs w:val="32"/>
          <w:lang w:val="en-GB"/>
        </w:rPr>
        <w:t>STUDENT ID - 2534450</w:t>
      </w:r>
    </w:p>
    <w:p w14:paraId="3F71B691" w14:textId="32340B99" w:rsidR="009319A1" w:rsidRDefault="009319A1">
      <w:pPr>
        <w:spacing w:line="240" w:lineRule="auto"/>
        <w:rPr>
          <w:rFonts w:eastAsia="Times New Roman"/>
          <w:b/>
          <w:bCs/>
          <w:sz w:val="32"/>
          <w:szCs w:val="32"/>
          <w:lang w:val="en-GB"/>
        </w:rPr>
      </w:pPr>
      <w:r>
        <w:rPr>
          <w:rFonts w:eastAsia="Times New Roman"/>
          <w:b/>
          <w:bCs/>
          <w:sz w:val="32"/>
          <w:szCs w:val="32"/>
          <w:lang w:val="en-GB"/>
        </w:rPr>
        <w:br/>
        <w:t>PROFESSOR NAME – DR ITSE OLAOYE</w:t>
      </w:r>
    </w:p>
    <w:p w14:paraId="0DB21665" w14:textId="3CB65857" w:rsidR="009319A1" w:rsidRDefault="009319A1">
      <w:pPr>
        <w:spacing w:line="240" w:lineRule="auto"/>
        <w:rPr>
          <w:rFonts w:eastAsia="Times New Roman"/>
          <w:b/>
          <w:bCs/>
          <w:sz w:val="32"/>
          <w:szCs w:val="32"/>
          <w:lang w:val="en-GB"/>
        </w:rPr>
      </w:pPr>
      <w:r>
        <w:rPr>
          <w:rFonts w:eastAsia="Times New Roman"/>
          <w:b/>
          <w:bCs/>
          <w:sz w:val="32"/>
          <w:szCs w:val="32"/>
          <w:lang w:val="en-GB"/>
        </w:rPr>
        <w:br w:type="page"/>
      </w:r>
      <w:r>
        <w:rPr>
          <w:rFonts w:eastAsia="Times New Roman"/>
          <w:b/>
          <w:bCs/>
          <w:sz w:val="32"/>
          <w:szCs w:val="32"/>
          <w:lang w:val="en-GB"/>
        </w:rPr>
        <w:lastRenderedPageBreak/>
        <w:t xml:space="preserve"> </w:t>
      </w:r>
    </w:p>
    <w:p w14:paraId="1BEA9206" w14:textId="67CCB61B" w:rsidR="009319A1" w:rsidRDefault="009319A1">
      <w:pPr>
        <w:spacing w:line="240" w:lineRule="auto"/>
        <w:rPr>
          <w:rFonts w:eastAsia="Times New Roman"/>
          <w:b/>
          <w:bCs/>
          <w:sz w:val="32"/>
          <w:szCs w:val="32"/>
          <w:lang w:val="en-GB"/>
        </w:rPr>
      </w:pPr>
    </w:p>
    <w:p w14:paraId="3D8FEC9F" w14:textId="486E2352" w:rsidR="00B35A00" w:rsidRDefault="00B35A00" w:rsidP="009319A1">
      <w:pPr>
        <w:spacing w:line="480" w:lineRule="auto"/>
        <w:rPr>
          <w:rFonts w:eastAsia="Times New Roman"/>
          <w:b/>
          <w:bCs/>
          <w:sz w:val="32"/>
          <w:szCs w:val="32"/>
          <w:lang w:val="en-GB"/>
        </w:rPr>
      </w:pPr>
    </w:p>
    <w:p w14:paraId="55756FF8" w14:textId="77777777" w:rsidR="00B35A00" w:rsidRDefault="00B35A00">
      <w:pPr>
        <w:spacing w:line="480" w:lineRule="auto"/>
        <w:jc w:val="center"/>
        <w:rPr>
          <w:rFonts w:eastAsia="Times New Roman"/>
          <w:b/>
          <w:bCs/>
          <w:sz w:val="32"/>
          <w:szCs w:val="32"/>
          <w:lang w:val="en-GB"/>
        </w:rPr>
      </w:pPr>
    </w:p>
    <w:p w14:paraId="15555FA1" w14:textId="77777777" w:rsidR="00B35A00" w:rsidRDefault="00B35A00">
      <w:pPr>
        <w:spacing w:line="480" w:lineRule="auto"/>
        <w:jc w:val="center"/>
        <w:rPr>
          <w:rFonts w:eastAsia="Times New Roman"/>
          <w:b/>
          <w:bCs/>
          <w:sz w:val="32"/>
          <w:szCs w:val="32"/>
          <w:lang w:val="en-GB"/>
        </w:rPr>
      </w:pPr>
    </w:p>
    <w:p w14:paraId="0742517F" w14:textId="77777777" w:rsidR="00B35A00" w:rsidRDefault="00B35A00">
      <w:pPr>
        <w:spacing w:line="480" w:lineRule="auto"/>
        <w:jc w:val="center"/>
        <w:rPr>
          <w:rFonts w:eastAsia="Times New Roman"/>
          <w:b/>
          <w:bCs/>
          <w:sz w:val="32"/>
          <w:szCs w:val="32"/>
          <w:lang w:val="en-GB"/>
        </w:rPr>
      </w:pPr>
    </w:p>
    <w:p w14:paraId="163D3CD9" w14:textId="77777777" w:rsidR="00B35A00" w:rsidRDefault="00B35A00">
      <w:pPr>
        <w:spacing w:line="480" w:lineRule="auto"/>
        <w:jc w:val="center"/>
        <w:rPr>
          <w:rFonts w:eastAsia="Times New Roman"/>
          <w:b/>
          <w:bCs/>
          <w:sz w:val="32"/>
          <w:szCs w:val="32"/>
          <w:lang w:val="en-GB"/>
        </w:rPr>
      </w:pPr>
    </w:p>
    <w:p w14:paraId="4653FDCA" w14:textId="77777777" w:rsidR="00B35A00" w:rsidRDefault="00000000">
      <w:pPr>
        <w:spacing w:line="480" w:lineRule="auto"/>
        <w:jc w:val="center"/>
        <w:rPr>
          <w:rFonts w:eastAsia="Times New Roman"/>
          <w:b/>
          <w:bCs/>
          <w:sz w:val="32"/>
          <w:szCs w:val="32"/>
          <w:lang w:val="en-GB"/>
        </w:rPr>
      </w:pPr>
      <w:r>
        <w:rPr>
          <w:rFonts w:eastAsia="Times New Roman"/>
          <w:b/>
          <w:bCs/>
          <w:sz w:val="32"/>
          <w:szCs w:val="32"/>
          <w:lang w:val="en-GB"/>
        </w:rPr>
        <w:t>SOCIAL EPIDEMIOLOGY AND PUBLIC HEALTH DEVELOPMENT</w:t>
      </w:r>
    </w:p>
    <w:p w14:paraId="1F3C07A0" w14:textId="77777777" w:rsidR="00B35A00" w:rsidRDefault="00000000">
      <w:pPr>
        <w:spacing w:line="480" w:lineRule="auto"/>
        <w:jc w:val="both"/>
        <w:rPr>
          <w:rFonts w:eastAsia="Times New Roman"/>
          <w:sz w:val="24"/>
          <w:szCs w:val="24"/>
          <w:lang w:val="en-GB"/>
        </w:rPr>
      </w:pPr>
      <w:r>
        <w:rPr>
          <w:lang w:val="en-GB"/>
        </w:rPr>
        <w:br w:type="page"/>
      </w:r>
    </w:p>
    <w:sdt>
      <w:sdtPr>
        <w:rPr>
          <w:rFonts w:ascii="Arial" w:eastAsia="Arial" w:hAnsi="Arial" w:cs="Arial"/>
          <w:color w:val="auto"/>
          <w:sz w:val="24"/>
          <w:szCs w:val="24"/>
          <w:lang w:val="en" w:eastAsia="en-IN"/>
        </w:rPr>
        <w:id w:val="-690837319"/>
        <w:docPartObj>
          <w:docPartGallery w:val="Table of Contents"/>
          <w:docPartUnique/>
        </w:docPartObj>
      </w:sdtPr>
      <w:sdtEndPr>
        <w:rPr>
          <w:b/>
          <w:bCs/>
        </w:rPr>
      </w:sdtEndPr>
      <w:sdtContent>
        <w:p w14:paraId="5CFD4569" w14:textId="77777777" w:rsidR="00B35A00" w:rsidRDefault="00000000">
          <w:pPr>
            <w:pStyle w:val="TOCHeading1"/>
            <w:spacing w:line="480" w:lineRule="auto"/>
            <w:jc w:val="center"/>
            <w:rPr>
              <w:rFonts w:ascii="Arial" w:hAnsi="Arial" w:cs="Arial"/>
              <w:b/>
              <w:bCs/>
              <w:color w:val="auto"/>
              <w:sz w:val="28"/>
              <w:szCs w:val="28"/>
            </w:rPr>
          </w:pPr>
          <w:r>
            <w:rPr>
              <w:rFonts w:ascii="Arial" w:hAnsi="Arial" w:cs="Arial"/>
              <w:b/>
              <w:bCs/>
              <w:color w:val="auto"/>
              <w:sz w:val="28"/>
              <w:szCs w:val="28"/>
            </w:rPr>
            <w:t>Table of Contents</w:t>
          </w:r>
        </w:p>
        <w:p w14:paraId="7B5CC780" w14:textId="77777777" w:rsidR="00B35A00" w:rsidRDefault="00000000">
          <w:pPr>
            <w:pStyle w:val="TOC1"/>
            <w:tabs>
              <w:tab w:val="right" w:leader="dot" w:pos="9350"/>
            </w:tabs>
            <w:spacing w:line="480" w:lineRule="auto"/>
            <w:jc w:val="both"/>
            <w:rPr>
              <w:sz w:val="24"/>
              <w:szCs w:val="24"/>
            </w:rPr>
          </w:pPr>
          <w:r>
            <w:rPr>
              <w:sz w:val="24"/>
              <w:szCs w:val="24"/>
            </w:rPr>
            <w:fldChar w:fldCharType="begin"/>
          </w:r>
          <w:r>
            <w:rPr>
              <w:sz w:val="24"/>
              <w:szCs w:val="24"/>
            </w:rPr>
            <w:instrText xml:space="preserve"> TOC \o "1-3" \h \z \u </w:instrText>
          </w:r>
          <w:r>
            <w:rPr>
              <w:sz w:val="24"/>
              <w:szCs w:val="24"/>
            </w:rPr>
            <w:fldChar w:fldCharType="separate"/>
          </w:r>
          <w:hyperlink w:anchor="_Toc236996160" w:history="1">
            <w:r>
              <w:rPr>
                <w:rStyle w:val="Hyperlink"/>
                <w:color w:val="auto"/>
                <w:sz w:val="24"/>
                <w:szCs w:val="24"/>
              </w:rPr>
              <w:t>Task 1: Social Epidemiological Analysis</w:t>
            </w:r>
            <w:r>
              <w:rPr>
                <w:sz w:val="24"/>
                <w:szCs w:val="24"/>
              </w:rPr>
              <w:tab/>
            </w:r>
            <w:r>
              <w:rPr>
                <w:sz w:val="24"/>
                <w:szCs w:val="24"/>
              </w:rPr>
              <w:fldChar w:fldCharType="begin"/>
            </w:r>
            <w:r>
              <w:rPr>
                <w:sz w:val="24"/>
                <w:szCs w:val="24"/>
              </w:rPr>
              <w:instrText xml:space="preserve"> PAGEREF _Toc236996160 \h </w:instrText>
            </w:r>
            <w:r>
              <w:rPr>
                <w:sz w:val="24"/>
                <w:szCs w:val="24"/>
              </w:rPr>
            </w:r>
            <w:r>
              <w:rPr>
                <w:sz w:val="24"/>
                <w:szCs w:val="24"/>
              </w:rPr>
              <w:fldChar w:fldCharType="separate"/>
            </w:r>
            <w:r>
              <w:rPr>
                <w:sz w:val="24"/>
                <w:szCs w:val="24"/>
              </w:rPr>
              <w:t>3</w:t>
            </w:r>
            <w:r>
              <w:rPr>
                <w:sz w:val="24"/>
                <w:szCs w:val="24"/>
              </w:rPr>
              <w:fldChar w:fldCharType="end"/>
            </w:r>
          </w:hyperlink>
        </w:p>
        <w:p w14:paraId="315E6B18" w14:textId="77777777" w:rsidR="00B35A00" w:rsidRDefault="00000000">
          <w:pPr>
            <w:pStyle w:val="TOC2"/>
            <w:tabs>
              <w:tab w:val="right" w:leader="dot" w:pos="9350"/>
            </w:tabs>
            <w:spacing w:line="480" w:lineRule="auto"/>
            <w:jc w:val="both"/>
            <w:rPr>
              <w:sz w:val="24"/>
              <w:szCs w:val="24"/>
            </w:rPr>
          </w:pPr>
          <w:hyperlink w:anchor="_Toc236996161" w:history="1">
            <w:r>
              <w:rPr>
                <w:rStyle w:val="Hyperlink"/>
                <w:color w:val="auto"/>
                <w:sz w:val="24"/>
                <w:szCs w:val="24"/>
              </w:rPr>
              <w:t>Introduction</w:t>
            </w:r>
            <w:r>
              <w:rPr>
                <w:sz w:val="24"/>
                <w:szCs w:val="24"/>
              </w:rPr>
              <w:tab/>
            </w:r>
            <w:r>
              <w:rPr>
                <w:sz w:val="24"/>
                <w:szCs w:val="24"/>
              </w:rPr>
              <w:fldChar w:fldCharType="begin"/>
            </w:r>
            <w:r>
              <w:rPr>
                <w:sz w:val="24"/>
                <w:szCs w:val="24"/>
              </w:rPr>
              <w:instrText xml:space="preserve"> PAGEREF _Toc236996161 \h </w:instrText>
            </w:r>
            <w:r>
              <w:rPr>
                <w:sz w:val="24"/>
                <w:szCs w:val="24"/>
              </w:rPr>
            </w:r>
            <w:r>
              <w:rPr>
                <w:sz w:val="24"/>
                <w:szCs w:val="24"/>
              </w:rPr>
              <w:fldChar w:fldCharType="separate"/>
            </w:r>
            <w:r>
              <w:rPr>
                <w:sz w:val="24"/>
                <w:szCs w:val="24"/>
              </w:rPr>
              <w:t>3</w:t>
            </w:r>
            <w:r>
              <w:rPr>
                <w:sz w:val="24"/>
                <w:szCs w:val="24"/>
              </w:rPr>
              <w:fldChar w:fldCharType="end"/>
            </w:r>
          </w:hyperlink>
        </w:p>
        <w:p w14:paraId="0E3F3949" w14:textId="77777777" w:rsidR="00B35A00" w:rsidRDefault="00000000">
          <w:pPr>
            <w:pStyle w:val="TOC2"/>
            <w:tabs>
              <w:tab w:val="right" w:leader="dot" w:pos="9350"/>
            </w:tabs>
            <w:spacing w:line="480" w:lineRule="auto"/>
            <w:jc w:val="both"/>
            <w:rPr>
              <w:sz w:val="24"/>
              <w:szCs w:val="24"/>
            </w:rPr>
          </w:pPr>
          <w:hyperlink w:anchor="_Toc236996162" w:history="1">
            <w:r>
              <w:rPr>
                <w:rStyle w:val="Hyperlink"/>
                <w:color w:val="auto"/>
                <w:sz w:val="24"/>
                <w:szCs w:val="24"/>
              </w:rPr>
              <w:t>Contextual background and underlying factor</w:t>
            </w:r>
            <w:r>
              <w:rPr>
                <w:sz w:val="24"/>
                <w:szCs w:val="24"/>
              </w:rPr>
              <w:tab/>
            </w:r>
            <w:r>
              <w:rPr>
                <w:sz w:val="24"/>
                <w:szCs w:val="24"/>
              </w:rPr>
              <w:fldChar w:fldCharType="begin"/>
            </w:r>
            <w:r>
              <w:rPr>
                <w:sz w:val="24"/>
                <w:szCs w:val="24"/>
              </w:rPr>
              <w:instrText xml:space="preserve"> PAGEREF _Toc236996162 \h </w:instrText>
            </w:r>
            <w:r>
              <w:rPr>
                <w:sz w:val="24"/>
                <w:szCs w:val="24"/>
              </w:rPr>
            </w:r>
            <w:r>
              <w:rPr>
                <w:sz w:val="24"/>
                <w:szCs w:val="24"/>
              </w:rPr>
              <w:fldChar w:fldCharType="separate"/>
            </w:r>
            <w:r>
              <w:rPr>
                <w:sz w:val="24"/>
                <w:szCs w:val="24"/>
              </w:rPr>
              <w:t>3</w:t>
            </w:r>
            <w:r>
              <w:rPr>
                <w:sz w:val="24"/>
                <w:szCs w:val="24"/>
              </w:rPr>
              <w:fldChar w:fldCharType="end"/>
            </w:r>
          </w:hyperlink>
        </w:p>
        <w:p w14:paraId="2A855686" w14:textId="77777777" w:rsidR="00B35A00" w:rsidRDefault="00000000">
          <w:pPr>
            <w:pStyle w:val="TOC2"/>
            <w:tabs>
              <w:tab w:val="right" w:leader="dot" w:pos="9350"/>
            </w:tabs>
            <w:spacing w:line="480" w:lineRule="auto"/>
            <w:jc w:val="both"/>
            <w:rPr>
              <w:sz w:val="24"/>
              <w:szCs w:val="24"/>
            </w:rPr>
          </w:pPr>
          <w:hyperlink w:anchor="_Toc236996163" w:history="1">
            <w:r>
              <w:rPr>
                <w:rStyle w:val="Hyperlink"/>
                <w:color w:val="auto"/>
                <w:sz w:val="24"/>
                <w:szCs w:val="24"/>
              </w:rPr>
              <w:t>Explain the statistics you have found under each heading:</w:t>
            </w:r>
            <w:r>
              <w:rPr>
                <w:sz w:val="24"/>
                <w:szCs w:val="24"/>
              </w:rPr>
              <w:tab/>
            </w:r>
            <w:r>
              <w:rPr>
                <w:sz w:val="24"/>
                <w:szCs w:val="24"/>
              </w:rPr>
              <w:fldChar w:fldCharType="begin"/>
            </w:r>
            <w:r>
              <w:rPr>
                <w:sz w:val="24"/>
                <w:szCs w:val="24"/>
              </w:rPr>
              <w:instrText xml:space="preserve"> PAGEREF _Toc236996163 \h </w:instrText>
            </w:r>
            <w:r>
              <w:rPr>
                <w:sz w:val="24"/>
                <w:szCs w:val="24"/>
              </w:rPr>
            </w:r>
            <w:r>
              <w:rPr>
                <w:sz w:val="24"/>
                <w:szCs w:val="24"/>
              </w:rPr>
              <w:fldChar w:fldCharType="separate"/>
            </w:r>
            <w:r>
              <w:rPr>
                <w:sz w:val="24"/>
                <w:szCs w:val="24"/>
              </w:rPr>
              <w:t>4</w:t>
            </w:r>
            <w:r>
              <w:rPr>
                <w:sz w:val="24"/>
                <w:szCs w:val="24"/>
              </w:rPr>
              <w:fldChar w:fldCharType="end"/>
            </w:r>
          </w:hyperlink>
        </w:p>
        <w:p w14:paraId="58552493" w14:textId="77777777" w:rsidR="00B35A00" w:rsidRDefault="00000000">
          <w:pPr>
            <w:pStyle w:val="TOC2"/>
            <w:tabs>
              <w:tab w:val="right" w:leader="dot" w:pos="9350"/>
            </w:tabs>
            <w:spacing w:line="480" w:lineRule="auto"/>
            <w:jc w:val="both"/>
            <w:rPr>
              <w:sz w:val="24"/>
              <w:szCs w:val="24"/>
            </w:rPr>
          </w:pPr>
          <w:hyperlink w:anchor="_Toc236996164" w:history="1">
            <w:r>
              <w:rPr>
                <w:rStyle w:val="Hyperlink"/>
                <w:color w:val="auto"/>
                <w:sz w:val="24"/>
                <w:szCs w:val="24"/>
              </w:rPr>
              <w:t>National Response to reduce health inequalities in your chosen group</w:t>
            </w:r>
            <w:r>
              <w:rPr>
                <w:sz w:val="24"/>
                <w:szCs w:val="24"/>
              </w:rPr>
              <w:tab/>
            </w:r>
            <w:r>
              <w:rPr>
                <w:sz w:val="24"/>
                <w:szCs w:val="24"/>
              </w:rPr>
              <w:fldChar w:fldCharType="begin"/>
            </w:r>
            <w:r>
              <w:rPr>
                <w:sz w:val="24"/>
                <w:szCs w:val="24"/>
              </w:rPr>
              <w:instrText xml:space="preserve"> PAGEREF _Toc236996164 \h </w:instrText>
            </w:r>
            <w:r>
              <w:rPr>
                <w:sz w:val="24"/>
                <w:szCs w:val="24"/>
              </w:rPr>
            </w:r>
            <w:r>
              <w:rPr>
                <w:sz w:val="24"/>
                <w:szCs w:val="24"/>
              </w:rPr>
              <w:fldChar w:fldCharType="separate"/>
            </w:r>
            <w:r>
              <w:rPr>
                <w:sz w:val="24"/>
                <w:szCs w:val="24"/>
              </w:rPr>
              <w:t>5</w:t>
            </w:r>
            <w:r>
              <w:rPr>
                <w:sz w:val="24"/>
                <w:szCs w:val="24"/>
              </w:rPr>
              <w:fldChar w:fldCharType="end"/>
            </w:r>
          </w:hyperlink>
        </w:p>
        <w:p w14:paraId="556909B2" w14:textId="77777777" w:rsidR="00B35A00" w:rsidRDefault="00000000">
          <w:pPr>
            <w:pStyle w:val="TOC2"/>
            <w:tabs>
              <w:tab w:val="right" w:leader="dot" w:pos="9350"/>
            </w:tabs>
            <w:spacing w:line="480" w:lineRule="auto"/>
            <w:jc w:val="both"/>
            <w:rPr>
              <w:sz w:val="24"/>
              <w:szCs w:val="24"/>
            </w:rPr>
          </w:pPr>
          <w:hyperlink w:anchor="_Toc236996165" w:history="1">
            <w:r>
              <w:rPr>
                <w:rStyle w:val="Hyperlink"/>
                <w:color w:val="auto"/>
                <w:sz w:val="24"/>
                <w:szCs w:val="24"/>
              </w:rPr>
              <w:t>Organisations that support chosen group:</w:t>
            </w:r>
            <w:r>
              <w:rPr>
                <w:sz w:val="24"/>
                <w:szCs w:val="24"/>
              </w:rPr>
              <w:tab/>
            </w:r>
            <w:r>
              <w:rPr>
                <w:sz w:val="24"/>
                <w:szCs w:val="24"/>
              </w:rPr>
              <w:fldChar w:fldCharType="begin"/>
            </w:r>
            <w:r>
              <w:rPr>
                <w:sz w:val="24"/>
                <w:szCs w:val="24"/>
              </w:rPr>
              <w:instrText xml:space="preserve"> PAGEREF _Toc236996165 \h </w:instrText>
            </w:r>
            <w:r>
              <w:rPr>
                <w:sz w:val="24"/>
                <w:szCs w:val="24"/>
              </w:rPr>
            </w:r>
            <w:r>
              <w:rPr>
                <w:sz w:val="24"/>
                <w:szCs w:val="24"/>
              </w:rPr>
              <w:fldChar w:fldCharType="separate"/>
            </w:r>
            <w:r>
              <w:rPr>
                <w:sz w:val="24"/>
                <w:szCs w:val="24"/>
              </w:rPr>
              <w:t>6</w:t>
            </w:r>
            <w:r>
              <w:rPr>
                <w:sz w:val="24"/>
                <w:szCs w:val="24"/>
              </w:rPr>
              <w:fldChar w:fldCharType="end"/>
            </w:r>
          </w:hyperlink>
        </w:p>
        <w:p w14:paraId="39A5D9E4" w14:textId="77777777" w:rsidR="00B35A00" w:rsidRDefault="00000000">
          <w:pPr>
            <w:pStyle w:val="TOC2"/>
            <w:tabs>
              <w:tab w:val="right" w:leader="dot" w:pos="9350"/>
            </w:tabs>
            <w:spacing w:line="480" w:lineRule="auto"/>
            <w:jc w:val="both"/>
            <w:rPr>
              <w:sz w:val="24"/>
              <w:szCs w:val="24"/>
            </w:rPr>
          </w:pPr>
          <w:hyperlink w:anchor="_Toc236996166" w:history="1">
            <w:r>
              <w:rPr>
                <w:rStyle w:val="Hyperlink"/>
                <w:color w:val="auto"/>
                <w:sz w:val="24"/>
                <w:szCs w:val="24"/>
              </w:rPr>
              <w:t>Conclusion</w:t>
            </w:r>
            <w:r>
              <w:rPr>
                <w:sz w:val="24"/>
                <w:szCs w:val="24"/>
              </w:rPr>
              <w:tab/>
            </w:r>
            <w:r>
              <w:rPr>
                <w:sz w:val="24"/>
                <w:szCs w:val="24"/>
              </w:rPr>
              <w:fldChar w:fldCharType="begin"/>
            </w:r>
            <w:r>
              <w:rPr>
                <w:sz w:val="24"/>
                <w:szCs w:val="24"/>
              </w:rPr>
              <w:instrText xml:space="preserve"> PAGEREF _Toc236996166 \h </w:instrText>
            </w:r>
            <w:r>
              <w:rPr>
                <w:sz w:val="24"/>
                <w:szCs w:val="24"/>
              </w:rPr>
            </w:r>
            <w:r>
              <w:rPr>
                <w:sz w:val="24"/>
                <w:szCs w:val="24"/>
              </w:rPr>
              <w:fldChar w:fldCharType="separate"/>
            </w:r>
            <w:r>
              <w:rPr>
                <w:sz w:val="24"/>
                <w:szCs w:val="24"/>
              </w:rPr>
              <w:t>6</w:t>
            </w:r>
            <w:r>
              <w:rPr>
                <w:sz w:val="24"/>
                <w:szCs w:val="24"/>
              </w:rPr>
              <w:fldChar w:fldCharType="end"/>
            </w:r>
          </w:hyperlink>
        </w:p>
        <w:p w14:paraId="2AA4CCB5" w14:textId="77777777" w:rsidR="00B35A00" w:rsidRDefault="00000000">
          <w:pPr>
            <w:pStyle w:val="TOC1"/>
            <w:tabs>
              <w:tab w:val="right" w:leader="dot" w:pos="9350"/>
            </w:tabs>
            <w:spacing w:line="480" w:lineRule="auto"/>
            <w:jc w:val="both"/>
            <w:rPr>
              <w:sz w:val="24"/>
              <w:szCs w:val="24"/>
            </w:rPr>
          </w:pPr>
          <w:hyperlink w:anchor="_Toc236996167" w:history="1">
            <w:r>
              <w:rPr>
                <w:rStyle w:val="Hyperlink"/>
                <w:color w:val="auto"/>
                <w:sz w:val="24"/>
                <w:szCs w:val="24"/>
              </w:rPr>
              <w:t>Task 2:  Epidemiological Analysis</w:t>
            </w:r>
            <w:r>
              <w:rPr>
                <w:sz w:val="24"/>
                <w:szCs w:val="24"/>
              </w:rPr>
              <w:tab/>
            </w:r>
            <w:r>
              <w:rPr>
                <w:sz w:val="24"/>
                <w:szCs w:val="24"/>
              </w:rPr>
              <w:fldChar w:fldCharType="begin"/>
            </w:r>
            <w:r>
              <w:rPr>
                <w:sz w:val="24"/>
                <w:szCs w:val="24"/>
              </w:rPr>
              <w:instrText xml:space="preserve"> PAGEREF _Toc236996167 \h </w:instrText>
            </w:r>
            <w:r>
              <w:rPr>
                <w:sz w:val="24"/>
                <w:szCs w:val="24"/>
              </w:rPr>
            </w:r>
            <w:r>
              <w:rPr>
                <w:sz w:val="24"/>
                <w:szCs w:val="24"/>
              </w:rPr>
              <w:fldChar w:fldCharType="separate"/>
            </w:r>
            <w:r>
              <w:rPr>
                <w:sz w:val="24"/>
                <w:szCs w:val="24"/>
              </w:rPr>
              <w:t>7</w:t>
            </w:r>
            <w:r>
              <w:rPr>
                <w:sz w:val="24"/>
                <w:szCs w:val="24"/>
              </w:rPr>
              <w:fldChar w:fldCharType="end"/>
            </w:r>
          </w:hyperlink>
        </w:p>
        <w:p w14:paraId="0F4DFD2B" w14:textId="77777777" w:rsidR="00B35A00" w:rsidRDefault="00000000">
          <w:pPr>
            <w:pStyle w:val="TOC2"/>
            <w:tabs>
              <w:tab w:val="right" w:leader="dot" w:pos="9350"/>
            </w:tabs>
            <w:spacing w:line="480" w:lineRule="auto"/>
            <w:jc w:val="both"/>
            <w:rPr>
              <w:sz w:val="24"/>
              <w:szCs w:val="24"/>
            </w:rPr>
          </w:pPr>
          <w:hyperlink w:anchor="_Toc236996168" w:history="1">
            <w:r>
              <w:rPr>
                <w:rStyle w:val="Hyperlink"/>
                <w:color w:val="auto"/>
                <w:sz w:val="24"/>
                <w:szCs w:val="24"/>
              </w:rPr>
              <w:t>Introduction</w:t>
            </w:r>
            <w:r>
              <w:rPr>
                <w:sz w:val="24"/>
                <w:szCs w:val="24"/>
              </w:rPr>
              <w:tab/>
            </w:r>
            <w:r>
              <w:rPr>
                <w:sz w:val="24"/>
                <w:szCs w:val="24"/>
              </w:rPr>
              <w:fldChar w:fldCharType="begin"/>
            </w:r>
            <w:r>
              <w:rPr>
                <w:sz w:val="24"/>
                <w:szCs w:val="24"/>
              </w:rPr>
              <w:instrText xml:space="preserve"> PAGEREF _Toc236996168 \h </w:instrText>
            </w:r>
            <w:r>
              <w:rPr>
                <w:sz w:val="24"/>
                <w:szCs w:val="24"/>
              </w:rPr>
            </w:r>
            <w:r>
              <w:rPr>
                <w:sz w:val="24"/>
                <w:szCs w:val="24"/>
              </w:rPr>
              <w:fldChar w:fldCharType="separate"/>
            </w:r>
            <w:r>
              <w:rPr>
                <w:sz w:val="24"/>
                <w:szCs w:val="24"/>
              </w:rPr>
              <w:t>7</w:t>
            </w:r>
            <w:r>
              <w:rPr>
                <w:sz w:val="24"/>
                <w:szCs w:val="24"/>
              </w:rPr>
              <w:fldChar w:fldCharType="end"/>
            </w:r>
          </w:hyperlink>
        </w:p>
        <w:p w14:paraId="3DF6240D" w14:textId="77777777" w:rsidR="00B35A00" w:rsidRDefault="00000000">
          <w:pPr>
            <w:pStyle w:val="TOC2"/>
            <w:tabs>
              <w:tab w:val="right" w:leader="dot" w:pos="9350"/>
            </w:tabs>
            <w:spacing w:line="480" w:lineRule="auto"/>
            <w:jc w:val="both"/>
            <w:rPr>
              <w:sz w:val="24"/>
              <w:szCs w:val="24"/>
            </w:rPr>
          </w:pPr>
          <w:hyperlink w:anchor="_Toc236996169" w:history="1">
            <w:r>
              <w:rPr>
                <w:rStyle w:val="Hyperlink"/>
                <w:color w:val="auto"/>
                <w:sz w:val="24"/>
                <w:szCs w:val="24"/>
              </w:rPr>
              <w:t>Identification &amp; Health Needs Assessment (HNA)</w:t>
            </w:r>
            <w:r>
              <w:rPr>
                <w:sz w:val="24"/>
                <w:szCs w:val="24"/>
              </w:rPr>
              <w:tab/>
            </w:r>
            <w:r>
              <w:rPr>
                <w:sz w:val="24"/>
                <w:szCs w:val="24"/>
              </w:rPr>
              <w:fldChar w:fldCharType="begin"/>
            </w:r>
            <w:r>
              <w:rPr>
                <w:sz w:val="24"/>
                <w:szCs w:val="24"/>
              </w:rPr>
              <w:instrText xml:space="preserve"> PAGEREF _Toc236996169 \h </w:instrText>
            </w:r>
            <w:r>
              <w:rPr>
                <w:sz w:val="24"/>
                <w:szCs w:val="24"/>
              </w:rPr>
            </w:r>
            <w:r>
              <w:rPr>
                <w:sz w:val="24"/>
                <w:szCs w:val="24"/>
              </w:rPr>
              <w:fldChar w:fldCharType="separate"/>
            </w:r>
            <w:r>
              <w:rPr>
                <w:sz w:val="24"/>
                <w:szCs w:val="24"/>
              </w:rPr>
              <w:t>7</w:t>
            </w:r>
            <w:r>
              <w:rPr>
                <w:sz w:val="24"/>
                <w:szCs w:val="24"/>
              </w:rPr>
              <w:fldChar w:fldCharType="end"/>
            </w:r>
          </w:hyperlink>
        </w:p>
        <w:p w14:paraId="26D1E0DD" w14:textId="77777777" w:rsidR="00B35A00" w:rsidRDefault="00000000">
          <w:pPr>
            <w:pStyle w:val="TOC2"/>
            <w:tabs>
              <w:tab w:val="right" w:leader="dot" w:pos="9350"/>
            </w:tabs>
            <w:spacing w:line="480" w:lineRule="auto"/>
            <w:jc w:val="both"/>
            <w:rPr>
              <w:sz w:val="24"/>
              <w:szCs w:val="24"/>
            </w:rPr>
          </w:pPr>
          <w:hyperlink w:anchor="_Toc236996170" w:history="1">
            <w:r>
              <w:rPr>
                <w:rStyle w:val="Hyperlink"/>
                <w:color w:val="auto"/>
                <w:sz w:val="24"/>
                <w:szCs w:val="24"/>
              </w:rPr>
              <w:t>Surveillance &amp; Impact Planning</w:t>
            </w:r>
            <w:r>
              <w:rPr>
                <w:sz w:val="24"/>
                <w:szCs w:val="24"/>
              </w:rPr>
              <w:tab/>
            </w:r>
            <w:r>
              <w:rPr>
                <w:sz w:val="24"/>
                <w:szCs w:val="24"/>
              </w:rPr>
              <w:fldChar w:fldCharType="begin"/>
            </w:r>
            <w:r>
              <w:rPr>
                <w:sz w:val="24"/>
                <w:szCs w:val="24"/>
              </w:rPr>
              <w:instrText xml:space="preserve"> PAGEREF _Toc236996170 \h </w:instrText>
            </w:r>
            <w:r>
              <w:rPr>
                <w:sz w:val="24"/>
                <w:szCs w:val="24"/>
              </w:rPr>
            </w:r>
            <w:r>
              <w:rPr>
                <w:sz w:val="24"/>
                <w:szCs w:val="24"/>
              </w:rPr>
              <w:fldChar w:fldCharType="separate"/>
            </w:r>
            <w:r>
              <w:rPr>
                <w:sz w:val="24"/>
                <w:szCs w:val="24"/>
              </w:rPr>
              <w:t>9</w:t>
            </w:r>
            <w:r>
              <w:rPr>
                <w:sz w:val="24"/>
                <w:szCs w:val="24"/>
              </w:rPr>
              <w:fldChar w:fldCharType="end"/>
            </w:r>
          </w:hyperlink>
        </w:p>
        <w:p w14:paraId="5CAC4577" w14:textId="77777777" w:rsidR="00B35A00" w:rsidRDefault="00000000">
          <w:pPr>
            <w:pStyle w:val="TOC2"/>
            <w:tabs>
              <w:tab w:val="right" w:leader="dot" w:pos="9350"/>
            </w:tabs>
            <w:spacing w:line="480" w:lineRule="auto"/>
            <w:jc w:val="both"/>
            <w:rPr>
              <w:sz w:val="24"/>
              <w:szCs w:val="24"/>
            </w:rPr>
          </w:pPr>
          <w:hyperlink w:anchor="_Toc236996171" w:history="1">
            <w:r>
              <w:rPr>
                <w:rStyle w:val="Hyperlink"/>
                <w:color w:val="auto"/>
                <w:sz w:val="24"/>
                <w:szCs w:val="24"/>
              </w:rPr>
              <w:t>Management, Intervention &amp; Evaluation, The 3 P’s Framework</w:t>
            </w:r>
            <w:r>
              <w:rPr>
                <w:sz w:val="24"/>
                <w:szCs w:val="24"/>
              </w:rPr>
              <w:tab/>
            </w:r>
            <w:r>
              <w:rPr>
                <w:sz w:val="24"/>
                <w:szCs w:val="24"/>
              </w:rPr>
              <w:fldChar w:fldCharType="begin"/>
            </w:r>
            <w:r>
              <w:rPr>
                <w:sz w:val="24"/>
                <w:szCs w:val="24"/>
              </w:rPr>
              <w:instrText xml:space="preserve"> PAGEREF _Toc236996171 \h </w:instrText>
            </w:r>
            <w:r>
              <w:rPr>
                <w:sz w:val="24"/>
                <w:szCs w:val="24"/>
              </w:rPr>
            </w:r>
            <w:r>
              <w:rPr>
                <w:sz w:val="24"/>
                <w:szCs w:val="24"/>
              </w:rPr>
              <w:fldChar w:fldCharType="separate"/>
            </w:r>
            <w:r>
              <w:rPr>
                <w:sz w:val="24"/>
                <w:szCs w:val="24"/>
              </w:rPr>
              <w:t>9</w:t>
            </w:r>
            <w:r>
              <w:rPr>
                <w:sz w:val="24"/>
                <w:szCs w:val="24"/>
              </w:rPr>
              <w:fldChar w:fldCharType="end"/>
            </w:r>
          </w:hyperlink>
        </w:p>
        <w:p w14:paraId="57F1D57F" w14:textId="77777777" w:rsidR="00B35A00" w:rsidRDefault="00000000">
          <w:pPr>
            <w:pStyle w:val="TOC2"/>
            <w:tabs>
              <w:tab w:val="right" w:leader="dot" w:pos="9350"/>
            </w:tabs>
            <w:spacing w:line="480" w:lineRule="auto"/>
            <w:jc w:val="both"/>
            <w:rPr>
              <w:sz w:val="24"/>
              <w:szCs w:val="24"/>
            </w:rPr>
          </w:pPr>
          <w:hyperlink w:anchor="_Toc236996172" w:history="1">
            <w:r>
              <w:rPr>
                <w:rStyle w:val="Hyperlink"/>
                <w:color w:val="auto"/>
                <w:sz w:val="24"/>
                <w:szCs w:val="24"/>
              </w:rPr>
              <w:t>Critical Appraisal of Methodological Approach</w:t>
            </w:r>
            <w:r>
              <w:rPr>
                <w:sz w:val="24"/>
                <w:szCs w:val="24"/>
              </w:rPr>
              <w:tab/>
            </w:r>
            <w:r>
              <w:rPr>
                <w:sz w:val="24"/>
                <w:szCs w:val="24"/>
              </w:rPr>
              <w:fldChar w:fldCharType="begin"/>
            </w:r>
            <w:r>
              <w:rPr>
                <w:sz w:val="24"/>
                <w:szCs w:val="24"/>
              </w:rPr>
              <w:instrText xml:space="preserve"> PAGEREF _Toc236996172 \h </w:instrText>
            </w:r>
            <w:r>
              <w:rPr>
                <w:sz w:val="24"/>
                <w:szCs w:val="24"/>
              </w:rPr>
            </w:r>
            <w:r>
              <w:rPr>
                <w:sz w:val="24"/>
                <w:szCs w:val="24"/>
              </w:rPr>
              <w:fldChar w:fldCharType="separate"/>
            </w:r>
            <w:r>
              <w:rPr>
                <w:sz w:val="24"/>
                <w:szCs w:val="24"/>
              </w:rPr>
              <w:t>10</w:t>
            </w:r>
            <w:r>
              <w:rPr>
                <w:sz w:val="24"/>
                <w:szCs w:val="24"/>
              </w:rPr>
              <w:fldChar w:fldCharType="end"/>
            </w:r>
          </w:hyperlink>
        </w:p>
        <w:p w14:paraId="73985F39" w14:textId="77777777" w:rsidR="00B35A00" w:rsidRDefault="00000000">
          <w:pPr>
            <w:pStyle w:val="TOC2"/>
            <w:tabs>
              <w:tab w:val="right" w:leader="dot" w:pos="9350"/>
            </w:tabs>
            <w:spacing w:line="480" w:lineRule="auto"/>
            <w:jc w:val="both"/>
            <w:rPr>
              <w:sz w:val="24"/>
              <w:szCs w:val="24"/>
            </w:rPr>
          </w:pPr>
          <w:hyperlink w:anchor="_Toc236996173" w:history="1">
            <w:r>
              <w:rPr>
                <w:rStyle w:val="Hyperlink"/>
                <w:color w:val="auto"/>
                <w:sz w:val="24"/>
                <w:szCs w:val="24"/>
              </w:rPr>
              <w:t>Conclusion</w:t>
            </w:r>
            <w:r>
              <w:rPr>
                <w:sz w:val="24"/>
                <w:szCs w:val="24"/>
              </w:rPr>
              <w:tab/>
            </w:r>
            <w:r>
              <w:rPr>
                <w:sz w:val="24"/>
                <w:szCs w:val="24"/>
              </w:rPr>
              <w:fldChar w:fldCharType="begin"/>
            </w:r>
            <w:r>
              <w:rPr>
                <w:sz w:val="24"/>
                <w:szCs w:val="24"/>
              </w:rPr>
              <w:instrText xml:space="preserve"> PAGEREF _Toc236996173 \h </w:instrText>
            </w:r>
            <w:r>
              <w:rPr>
                <w:sz w:val="24"/>
                <w:szCs w:val="24"/>
              </w:rPr>
            </w:r>
            <w:r>
              <w:rPr>
                <w:sz w:val="24"/>
                <w:szCs w:val="24"/>
              </w:rPr>
              <w:fldChar w:fldCharType="separate"/>
            </w:r>
            <w:r>
              <w:rPr>
                <w:sz w:val="24"/>
                <w:szCs w:val="24"/>
              </w:rPr>
              <w:t>11</w:t>
            </w:r>
            <w:r>
              <w:rPr>
                <w:sz w:val="24"/>
                <w:szCs w:val="24"/>
              </w:rPr>
              <w:fldChar w:fldCharType="end"/>
            </w:r>
          </w:hyperlink>
        </w:p>
        <w:p w14:paraId="3789F1BD" w14:textId="77777777" w:rsidR="00B35A00" w:rsidRDefault="00000000">
          <w:pPr>
            <w:pStyle w:val="TOC1"/>
            <w:tabs>
              <w:tab w:val="right" w:leader="dot" w:pos="9350"/>
            </w:tabs>
            <w:spacing w:line="480" w:lineRule="auto"/>
            <w:jc w:val="both"/>
            <w:rPr>
              <w:sz w:val="24"/>
              <w:szCs w:val="24"/>
            </w:rPr>
          </w:pPr>
          <w:hyperlink w:anchor="_Toc236996174" w:history="1">
            <w:r>
              <w:rPr>
                <w:rStyle w:val="Hyperlink"/>
                <w:color w:val="auto"/>
                <w:sz w:val="24"/>
                <w:szCs w:val="24"/>
              </w:rPr>
              <w:t>Reference list</w:t>
            </w:r>
            <w:r>
              <w:rPr>
                <w:sz w:val="24"/>
                <w:szCs w:val="24"/>
              </w:rPr>
              <w:tab/>
            </w:r>
            <w:r>
              <w:rPr>
                <w:sz w:val="24"/>
                <w:szCs w:val="24"/>
              </w:rPr>
              <w:fldChar w:fldCharType="begin"/>
            </w:r>
            <w:r>
              <w:rPr>
                <w:sz w:val="24"/>
                <w:szCs w:val="24"/>
              </w:rPr>
              <w:instrText xml:space="preserve"> PAGEREF _Toc236996174 \h </w:instrText>
            </w:r>
            <w:r>
              <w:rPr>
                <w:sz w:val="24"/>
                <w:szCs w:val="24"/>
              </w:rPr>
            </w:r>
            <w:r>
              <w:rPr>
                <w:sz w:val="24"/>
                <w:szCs w:val="24"/>
              </w:rPr>
              <w:fldChar w:fldCharType="separate"/>
            </w:r>
            <w:r>
              <w:rPr>
                <w:sz w:val="24"/>
                <w:szCs w:val="24"/>
              </w:rPr>
              <w:t>13</w:t>
            </w:r>
            <w:r>
              <w:rPr>
                <w:sz w:val="24"/>
                <w:szCs w:val="24"/>
              </w:rPr>
              <w:fldChar w:fldCharType="end"/>
            </w:r>
          </w:hyperlink>
        </w:p>
        <w:p w14:paraId="420BA605" w14:textId="77777777" w:rsidR="00B35A00" w:rsidRDefault="00000000">
          <w:pPr>
            <w:spacing w:line="480" w:lineRule="auto"/>
            <w:jc w:val="both"/>
            <w:rPr>
              <w:sz w:val="24"/>
              <w:szCs w:val="24"/>
            </w:rPr>
          </w:pPr>
          <w:r>
            <w:rPr>
              <w:b/>
              <w:bCs/>
              <w:sz w:val="24"/>
              <w:szCs w:val="24"/>
            </w:rPr>
            <w:fldChar w:fldCharType="end"/>
          </w:r>
        </w:p>
      </w:sdtContent>
    </w:sdt>
    <w:p w14:paraId="53ECD6CC" w14:textId="77777777" w:rsidR="00B35A00" w:rsidRDefault="00000000">
      <w:pPr>
        <w:spacing w:line="480" w:lineRule="auto"/>
        <w:jc w:val="both"/>
        <w:rPr>
          <w:rFonts w:eastAsia="Times New Roman"/>
          <w:b/>
          <w:bCs/>
          <w:sz w:val="24"/>
          <w:szCs w:val="24"/>
          <w:lang w:val="en-GB"/>
        </w:rPr>
      </w:pPr>
      <w:r>
        <w:rPr>
          <w:rFonts w:eastAsia="Times New Roman"/>
          <w:b/>
          <w:bCs/>
          <w:sz w:val="24"/>
          <w:szCs w:val="24"/>
          <w:lang w:val="en-GB"/>
        </w:rPr>
        <w:br w:type="page"/>
      </w:r>
    </w:p>
    <w:p w14:paraId="3FF926CD" w14:textId="77777777" w:rsidR="00B35A00" w:rsidRDefault="00000000">
      <w:pPr>
        <w:pStyle w:val="Heading1"/>
        <w:spacing w:line="480" w:lineRule="auto"/>
        <w:rPr>
          <w:rFonts w:ascii="Arial" w:hAnsi="Arial" w:cs="Arial"/>
        </w:rPr>
      </w:pPr>
      <w:bookmarkStart w:id="0" w:name="_Toc236996160"/>
      <w:r>
        <w:rPr>
          <w:rFonts w:ascii="Arial" w:hAnsi="Arial" w:cs="Arial"/>
        </w:rPr>
        <w:lastRenderedPageBreak/>
        <w:t>Task 1: Social Epidemiological Analysis</w:t>
      </w:r>
      <w:bookmarkEnd w:id="0"/>
    </w:p>
    <w:p w14:paraId="25019309" w14:textId="48728E6B" w:rsidR="009319A1" w:rsidRPr="009319A1" w:rsidRDefault="009319A1" w:rsidP="009319A1">
      <w:pPr>
        <w:rPr>
          <w:lang w:val="en-GB"/>
        </w:rPr>
      </w:pPr>
      <w:r>
        <w:rPr>
          <w:lang w:val="en-GB"/>
        </w:rPr>
        <w:t xml:space="preserve"> </w:t>
      </w:r>
    </w:p>
    <w:p w14:paraId="54526661" w14:textId="77777777" w:rsidR="00B35A00" w:rsidRDefault="00000000">
      <w:pPr>
        <w:pStyle w:val="Heading2"/>
        <w:spacing w:line="480" w:lineRule="auto"/>
        <w:rPr>
          <w:rFonts w:ascii="Arial" w:hAnsi="Arial" w:cs="Arial"/>
        </w:rPr>
      </w:pPr>
      <w:bookmarkStart w:id="1" w:name="_Toc236996161"/>
      <w:r>
        <w:rPr>
          <w:rFonts w:ascii="Arial" w:hAnsi="Arial" w:cs="Arial"/>
        </w:rPr>
        <w:t>Introduction</w:t>
      </w:r>
      <w:bookmarkEnd w:id="1"/>
    </w:p>
    <w:p w14:paraId="782E8441"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The ethnic minority population, especially South Asian and Black ethnic groups are also very much affected by inequalities in health, suffering from higher rates of chronic conditions like cardiovascular disease and type 2 diabetes than the majority population. These differences are rooted in the socio-economic disadvantage, culture and language barriers, and systemically caused discrimination. These risks are compounded by increased levels of deprivation, low-quality housing and low access to culturally competent healthcare services. Addressing these factors is critical to decrease health disparities and equitable health outcomes in these at-risk communities. </w:t>
      </w:r>
    </w:p>
    <w:p w14:paraId="2B94BCD5" w14:textId="77777777" w:rsidR="00B35A00" w:rsidRDefault="00000000">
      <w:pPr>
        <w:pStyle w:val="Heading2"/>
        <w:spacing w:line="480" w:lineRule="auto"/>
        <w:rPr>
          <w:rFonts w:ascii="Arial" w:hAnsi="Arial" w:cs="Arial"/>
        </w:rPr>
      </w:pPr>
      <w:bookmarkStart w:id="2" w:name="_Toc236996162"/>
      <w:r>
        <w:rPr>
          <w:rFonts w:ascii="Arial" w:hAnsi="Arial" w:cs="Arial"/>
        </w:rPr>
        <w:t>Contextual background and underlying factor</w:t>
      </w:r>
      <w:bookmarkEnd w:id="2"/>
    </w:p>
    <w:p w14:paraId="041CFDBE" w14:textId="77777777" w:rsidR="00B35A00" w:rsidRDefault="00000000">
      <w:pPr>
        <w:spacing w:line="480" w:lineRule="auto"/>
        <w:jc w:val="both"/>
        <w:rPr>
          <w:rFonts w:eastAsia="Times New Roman"/>
          <w:b/>
          <w:bCs/>
          <w:i/>
          <w:iCs/>
          <w:sz w:val="24"/>
          <w:szCs w:val="24"/>
          <w:lang w:val="en-GB"/>
        </w:rPr>
      </w:pPr>
      <w:r>
        <w:rPr>
          <w:rFonts w:eastAsia="Times New Roman"/>
          <w:b/>
          <w:bCs/>
          <w:i/>
          <w:iCs/>
          <w:sz w:val="24"/>
          <w:szCs w:val="24"/>
          <w:lang w:val="en-GB"/>
        </w:rPr>
        <w:t xml:space="preserve">High Prevalence of Type 2 Diabetes </w:t>
      </w:r>
    </w:p>
    <w:p w14:paraId="673F04A3"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South Asian adults have up to 6-fold higher rates of type 2 diabetes than the White British population as a result of complicated metabolic risk profiles and dietary shifts.</w:t>
      </w:r>
    </w:p>
    <w:p w14:paraId="77A1DE44" w14:textId="77777777" w:rsidR="00B35A00" w:rsidRDefault="00000000">
      <w:pPr>
        <w:spacing w:line="480" w:lineRule="auto"/>
        <w:jc w:val="both"/>
        <w:rPr>
          <w:rFonts w:eastAsia="Times New Roman"/>
          <w:b/>
          <w:bCs/>
          <w:i/>
          <w:iCs/>
          <w:sz w:val="24"/>
          <w:szCs w:val="24"/>
          <w:lang w:val="en-GB"/>
        </w:rPr>
      </w:pPr>
      <w:r>
        <w:rPr>
          <w:rFonts w:eastAsia="Times New Roman"/>
          <w:b/>
          <w:bCs/>
          <w:i/>
          <w:iCs/>
          <w:sz w:val="24"/>
          <w:szCs w:val="24"/>
          <w:lang w:val="en-GB"/>
        </w:rPr>
        <w:t>Elevated Risk of Cardiovascular Disease</w:t>
      </w:r>
    </w:p>
    <w:p w14:paraId="17D8DCFA"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There is greater premature mortality from heart attack and stroke in black and South Asian communities relative to all other groups, due to higher rates of hypertension and CHD (Naseri et al. 2022).</w:t>
      </w:r>
    </w:p>
    <w:p w14:paraId="75A2297A" w14:textId="77777777" w:rsidR="00B35A00" w:rsidRDefault="00000000">
      <w:pPr>
        <w:spacing w:line="480" w:lineRule="auto"/>
        <w:jc w:val="both"/>
        <w:rPr>
          <w:rFonts w:eastAsia="Times New Roman"/>
          <w:b/>
          <w:bCs/>
          <w:i/>
          <w:iCs/>
          <w:sz w:val="24"/>
          <w:szCs w:val="24"/>
          <w:lang w:val="en-GB"/>
        </w:rPr>
      </w:pPr>
      <w:r>
        <w:rPr>
          <w:rFonts w:eastAsia="Times New Roman"/>
          <w:b/>
          <w:bCs/>
          <w:i/>
          <w:iCs/>
          <w:sz w:val="24"/>
          <w:szCs w:val="24"/>
          <w:lang w:val="en-GB"/>
        </w:rPr>
        <w:t>Poor Maternal Health Outcomes</w:t>
      </w:r>
    </w:p>
    <w:p w14:paraId="691E122C"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Maternal mortality is disproportionately higher in Black women (nearly 4x) than in White women, and Asian women (2x) than White women.</w:t>
      </w:r>
    </w:p>
    <w:p w14:paraId="41AC0EB5" w14:textId="77777777" w:rsidR="00B35A00" w:rsidRDefault="00000000">
      <w:pPr>
        <w:spacing w:line="480" w:lineRule="auto"/>
        <w:jc w:val="both"/>
        <w:rPr>
          <w:rFonts w:eastAsia="Times New Roman"/>
          <w:b/>
          <w:bCs/>
          <w:i/>
          <w:iCs/>
          <w:sz w:val="24"/>
          <w:szCs w:val="24"/>
          <w:lang w:val="en-GB"/>
        </w:rPr>
      </w:pPr>
      <w:r>
        <w:rPr>
          <w:rFonts w:eastAsia="Times New Roman"/>
          <w:b/>
          <w:bCs/>
          <w:i/>
          <w:iCs/>
          <w:sz w:val="24"/>
          <w:szCs w:val="24"/>
          <w:lang w:val="en-GB"/>
        </w:rPr>
        <w:t>Socioeconomic Deprivation and Poverty</w:t>
      </w:r>
    </w:p>
    <w:p w14:paraId="00BCFEBD" w14:textId="77777777" w:rsidR="00B35A00" w:rsidRDefault="00000000">
      <w:pPr>
        <w:spacing w:line="480" w:lineRule="auto"/>
        <w:jc w:val="both"/>
        <w:rPr>
          <w:rFonts w:eastAsia="Times New Roman"/>
          <w:sz w:val="24"/>
          <w:szCs w:val="24"/>
          <w:lang w:val="en-GB"/>
        </w:rPr>
      </w:pPr>
      <w:r>
        <w:rPr>
          <w:rFonts w:eastAsia="Times New Roman"/>
          <w:sz w:val="24"/>
          <w:szCs w:val="24"/>
          <w:lang w:val="en-GB"/>
        </w:rPr>
        <w:lastRenderedPageBreak/>
        <w:t>Ethnic minority households have been over-represented in lower income categories, and are less likely to be able to access health and medical services, healthy food and sufficient heating (Akhtar et al. 2022).</w:t>
      </w:r>
    </w:p>
    <w:p w14:paraId="6D8548FD" w14:textId="77777777" w:rsidR="00B35A00" w:rsidRDefault="00000000">
      <w:pPr>
        <w:spacing w:line="480" w:lineRule="auto"/>
        <w:jc w:val="both"/>
        <w:rPr>
          <w:rFonts w:eastAsia="Times New Roman"/>
          <w:b/>
          <w:bCs/>
          <w:i/>
          <w:iCs/>
          <w:sz w:val="24"/>
          <w:szCs w:val="24"/>
          <w:lang w:val="en-GB"/>
        </w:rPr>
      </w:pPr>
      <w:r>
        <w:rPr>
          <w:rFonts w:eastAsia="Times New Roman"/>
          <w:b/>
          <w:bCs/>
          <w:i/>
          <w:iCs/>
          <w:sz w:val="24"/>
          <w:szCs w:val="24"/>
          <w:lang w:val="en-GB"/>
        </w:rPr>
        <w:t xml:space="preserve">Substandard and Overcrowded Housing </w:t>
      </w:r>
    </w:p>
    <w:p w14:paraId="2D4DF1D2"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Many ethnic minority families reside in urban areas and in housing units that are wet and crowded, directly impacting respiratory health, mental health, and spread of infectious disease.</w:t>
      </w:r>
    </w:p>
    <w:p w14:paraId="2242D77D" w14:textId="77777777" w:rsidR="00B35A00" w:rsidRDefault="00000000">
      <w:pPr>
        <w:spacing w:line="480" w:lineRule="auto"/>
        <w:jc w:val="both"/>
        <w:rPr>
          <w:rFonts w:eastAsia="Times New Roman"/>
          <w:b/>
          <w:bCs/>
          <w:i/>
          <w:iCs/>
          <w:sz w:val="24"/>
          <w:szCs w:val="24"/>
          <w:lang w:val="en-GB"/>
        </w:rPr>
      </w:pPr>
      <w:r>
        <w:rPr>
          <w:rFonts w:eastAsia="Times New Roman"/>
          <w:b/>
          <w:bCs/>
          <w:i/>
          <w:iCs/>
          <w:sz w:val="24"/>
          <w:szCs w:val="24"/>
          <w:lang w:val="en-GB"/>
        </w:rPr>
        <w:t>Institutional Racism and Healthcare Bias</w:t>
      </w:r>
    </w:p>
    <w:p w14:paraId="795193D9"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Delays in diagnosis, non-adherence to therapy and distrust of healthcare services are problems with effective communication that often occur as a result of implicit provider bias, cultural insensitivity and language barriers (Lin et al. 2025).</w:t>
      </w:r>
    </w:p>
    <w:p w14:paraId="49A1E9F0" w14:textId="77777777" w:rsidR="00B35A00" w:rsidRDefault="00000000">
      <w:pPr>
        <w:pStyle w:val="Heading2"/>
        <w:spacing w:line="480" w:lineRule="auto"/>
        <w:rPr>
          <w:rFonts w:ascii="Arial" w:hAnsi="Arial" w:cs="Arial"/>
        </w:rPr>
      </w:pPr>
      <w:bookmarkStart w:id="3" w:name="_Toc236996163"/>
      <w:r>
        <w:rPr>
          <w:rFonts w:ascii="Arial" w:hAnsi="Arial" w:cs="Arial"/>
        </w:rPr>
        <w:t>Explain the statistics you have found under each heading:</w:t>
      </w:r>
      <w:bookmarkEnd w:id="3"/>
      <w:r>
        <w:rPr>
          <w:rFonts w:ascii="Arial" w:hAnsi="Arial" w:cs="Arial"/>
        </w:rPr>
        <w:t xml:space="preserve"> </w:t>
      </w:r>
    </w:p>
    <w:p w14:paraId="63986AA3"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There are significant gaps between ethnic minorities and the majority population in both clinical and social terms, as evidenced statistically. The prevalence of Type 2 diabetes in the adult South Asian population is almost 6 times higher than in the White population (15.2%) and risk of cardiovascular mortality is up to 50% higher. Additionally, the MBRRACE-UK data show that women from a black ethnic group are almost 3 times more likely to die from pregnancy and childbirth (Misra et al. 2025). These increased clinical risks are due to genetic metabolic predispositions, late screening for early diagnostics and implicit biases which affect the quality of care delivered. Systemic changes are needed to address these health issues: culturally adapted primary prevention programs, targeted community health checks, anti-racism training for clinical staff, and perinatal advocate teams to guarantee equitable health care among others.</w:t>
      </w:r>
    </w:p>
    <w:p w14:paraId="693FCFDF" w14:textId="77777777" w:rsidR="00B35A00" w:rsidRDefault="00000000">
      <w:pPr>
        <w:spacing w:line="480" w:lineRule="auto"/>
        <w:jc w:val="both"/>
        <w:rPr>
          <w:rFonts w:eastAsia="Times New Roman"/>
          <w:sz w:val="24"/>
          <w:szCs w:val="24"/>
          <w:lang w:val="en-GB"/>
        </w:rPr>
      </w:pPr>
      <w:r>
        <w:rPr>
          <w:rFonts w:eastAsia="Times New Roman"/>
          <w:sz w:val="24"/>
          <w:szCs w:val="24"/>
          <w:lang w:val="en-GB"/>
        </w:rPr>
        <w:lastRenderedPageBreak/>
        <w:t>Structural inequalities exacerbate these medical risks in a social way. More than 20% of Black, Bangladeshi and Pakistani families live in relative poverty after housing costs and are significantly more likely to be living in damp, overcrowded housing in urban areas. Moreover, mistrust and delayed seeking of care related to institutional racism and language barriers (Cao et al. 2025). These social and economic factors limit access to healthy food, exposure to respiratory pollutants and chronic stress. Never before has targeted policy action been required, including, for example, fair wages laws, the robust investment in public housing, cultural safety training across the health workforce and the general availability of professional translation services.</w:t>
      </w:r>
    </w:p>
    <w:p w14:paraId="501683FD" w14:textId="77777777" w:rsidR="00B35A00" w:rsidRDefault="00000000">
      <w:pPr>
        <w:pStyle w:val="Heading2"/>
        <w:spacing w:line="480" w:lineRule="auto"/>
        <w:rPr>
          <w:rFonts w:ascii="Arial" w:hAnsi="Arial" w:cs="Arial"/>
        </w:rPr>
      </w:pPr>
      <w:bookmarkStart w:id="4" w:name="_Toc236996164"/>
      <w:r>
        <w:rPr>
          <w:rFonts w:ascii="Arial" w:hAnsi="Arial" w:cs="Arial"/>
        </w:rPr>
        <w:t>National Response to reduce health inequalities in your chosen group</w:t>
      </w:r>
      <w:bookmarkEnd w:id="4"/>
    </w:p>
    <w:p w14:paraId="0AD262EC"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At the national level, there are targeted strategies in place to reduce ethnic health inequalities and structural social inequities. One of the clearest examples of this is NHS England's Core20PLUS5 framework to drive clinical progress faster in five </w:t>
      </w:r>
      <w:proofErr w:type="gramStart"/>
      <w:r>
        <w:rPr>
          <w:rFonts w:eastAsia="Times New Roman"/>
          <w:sz w:val="24"/>
          <w:szCs w:val="24"/>
          <w:lang w:val="en-GB"/>
        </w:rPr>
        <w:t>high priority</w:t>
      </w:r>
      <w:proofErr w:type="gramEnd"/>
      <w:r>
        <w:rPr>
          <w:rFonts w:eastAsia="Times New Roman"/>
          <w:sz w:val="24"/>
          <w:szCs w:val="24"/>
          <w:lang w:val="en-GB"/>
        </w:rPr>
        <w:t xml:space="preserve"> groups, such as those with severe mental illness (SMI), diabetes management and maternity services, which explicitly include ethnic minority groups (Treharne et al. 2023). The national maternity policies also include the provision of dedicated midwifery continuity-of-career models and recognises the difficulties facing Black and Asian women due to institutional bias, and the need to lower maternal mortality rates.  Furthermore, there are public health initiatives, including the NHS Diabetes Prevention Programme, with a national focus on high risk South Asian, Black and Afro-Caribbean communities (Elliott et al. 2025). These national programs provide culturally responsive lifestyle coaching, diet plans and community engagement in various languages, to reduce </w:t>
      </w:r>
      <w:r>
        <w:rPr>
          <w:rFonts w:eastAsia="Times New Roman"/>
          <w:sz w:val="24"/>
          <w:szCs w:val="24"/>
          <w:lang w:val="en-GB"/>
        </w:rPr>
        <w:lastRenderedPageBreak/>
        <w:t>biological and social risk factors early on in life to help increase health literacy and access to primary lifestyle prevention across the country.</w:t>
      </w:r>
    </w:p>
    <w:p w14:paraId="44299B53" w14:textId="77777777" w:rsidR="00B35A00" w:rsidRDefault="00000000">
      <w:pPr>
        <w:pStyle w:val="Heading2"/>
        <w:spacing w:line="480" w:lineRule="auto"/>
        <w:rPr>
          <w:rFonts w:ascii="Arial" w:hAnsi="Arial" w:cs="Arial"/>
        </w:rPr>
      </w:pPr>
      <w:bookmarkStart w:id="5" w:name="_Toc236996165"/>
      <w:r>
        <w:rPr>
          <w:rFonts w:ascii="Arial" w:hAnsi="Arial" w:cs="Arial"/>
        </w:rPr>
        <w:t>Organisations that support chosen group:</w:t>
      </w:r>
      <w:bookmarkEnd w:id="5"/>
      <w:r>
        <w:rPr>
          <w:rFonts w:ascii="Arial" w:hAnsi="Arial" w:cs="Arial"/>
        </w:rPr>
        <w:t xml:space="preserve">  </w:t>
      </w:r>
    </w:p>
    <w:p w14:paraId="0B38A3B6"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Independent charitable organisations are vital in raising the profile of ethnic health inequalities and campaigning for structural change in the UK. The NHS Race and Health Observatory (RHO), and others, such as Diabetes UK, are among the key organisations leading the way in this change (Naqvi et al. 2022). The organizations focus on addressing systemic inequity in health by producing strong empirical evidence, shaping national health policies and calling out health systems to be racially equitable.</w:t>
      </w:r>
    </w:p>
    <w:p w14:paraId="16ED2774"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Diabetes UK champions South Asian and Black communities, which are most at risk of Type 2 diabetes. The aims of the charity </w:t>
      </w:r>
      <w:proofErr w:type="gramStart"/>
      <w:r>
        <w:rPr>
          <w:rFonts w:eastAsia="Times New Roman"/>
          <w:sz w:val="24"/>
          <w:szCs w:val="24"/>
          <w:lang w:val="en-GB"/>
        </w:rPr>
        <w:t>is</w:t>
      </w:r>
      <w:proofErr w:type="gramEnd"/>
      <w:r>
        <w:rPr>
          <w:rFonts w:eastAsia="Times New Roman"/>
          <w:sz w:val="24"/>
          <w:szCs w:val="24"/>
          <w:lang w:val="en-GB"/>
        </w:rPr>
        <w:t xml:space="preserve"> to fund culturally designed prevention programmes, to fund specific research on the risks of disease in ethnic communities, and to eliminate health inequalities and improve clinical outcomes. Diabetes UK publishes accessible health information in multiple languages, organises awareness-raising events and lobbies for policies to provide everyone with equal access to diabetes management technology (van Brakel et al. 2024). The charity is striving to improve health inequities by working closely with health services and community leaders to ensure that ethnic minority people receive key health literacy and helping to tackle the social and institutional determinants of health inequities directly.</w:t>
      </w:r>
    </w:p>
    <w:p w14:paraId="230F58AC" w14:textId="77777777" w:rsidR="00B35A00" w:rsidRDefault="00000000">
      <w:pPr>
        <w:pStyle w:val="Heading2"/>
        <w:spacing w:line="480" w:lineRule="auto"/>
        <w:rPr>
          <w:rFonts w:ascii="Arial" w:hAnsi="Arial" w:cs="Arial"/>
        </w:rPr>
      </w:pPr>
      <w:bookmarkStart w:id="6" w:name="_Toc236996166"/>
      <w:r>
        <w:rPr>
          <w:rFonts w:ascii="Arial" w:hAnsi="Arial" w:cs="Arial"/>
        </w:rPr>
        <w:t>Conclusion</w:t>
      </w:r>
      <w:bookmarkEnd w:id="6"/>
    </w:p>
    <w:p w14:paraId="1EC9758F"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The need for structural reform to tackle ethnic minority inequalities in the UK urgently and on a long-term basis is crucial if we are to address inequalities faced by people of minority ethnic origin (including people of Black and South Asian ethnic groups). The inequalities </w:t>
      </w:r>
      <w:r>
        <w:rPr>
          <w:rFonts w:eastAsia="Times New Roman"/>
          <w:sz w:val="24"/>
          <w:szCs w:val="24"/>
          <w:lang w:val="en-GB"/>
        </w:rPr>
        <w:lastRenderedPageBreak/>
        <w:t xml:space="preserve">in morbidity of non-communicable diseases, maternal mortality, and life expectancy are not only biological but also strongly associated with deep-rooted social determinants of health, such as poverty, poor housing conditions, and social discrimination. National initiatives such as Core20PLUS5 and targeted charities such as Diabetes UK are important steps towards improving health equity; a multi-level approach is needed to overcome these persistent inequalities. Healthcare providers, policy makers and community leaders need to work together to continue to remove institutional biases, enhance cultural competence, and increase access to preventative health care. Finally, ethnic health inequalities are a public health and social justice issue and key to building the kind of fair health society all people deserve. </w:t>
      </w:r>
    </w:p>
    <w:p w14:paraId="31AFB5D5" w14:textId="77777777" w:rsidR="00B35A00" w:rsidRDefault="00000000">
      <w:pPr>
        <w:pStyle w:val="Heading1"/>
        <w:spacing w:line="480" w:lineRule="auto"/>
        <w:rPr>
          <w:rFonts w:ascii="Arial" w:hAnsi="Arial" w:cs="Arial"/>
        </w:rPr>
      </w:pPr>
      <w:bookmarkStart w:id="7" w:name="_Toc236996167"/>
      <w:r>
        <w:rPr>
          <w:rFonts w:ascii="Arial" w:hAnsi="Arial" w:cs="Arial"/>
        </w:rPr>
        <w:t>Task 2:  Epidemiological Analysis</w:t>
      </w:r>
      <w:bookmarkEnd w:id="7"/>
      <w:r>
        <w:rPr>
          <w:rFonts w:ascii="Arial" w:hAnsi="Arial" w:cs="Arial"/>
        </w:rPr>
        <w:t xml:space="preserve"> </w:t>
      </w:r>
    </w:p>
    <w:p w14:paraId="3CDF7FC6" w14:textId="77777777" w:rsidR="00B35A00" w:rsidRDefault="00000000">
      <w:pPr>
        <w:pStyle w:val="Heading2"/>
        <w:spacing w:line="480" w:lineRule="auto"/>
        <w:rPr>
          <w:rFonts w:ascii="Arial" w:hAnsi="Arial" w:cs="Arial"/>
        </w:rPr>
      </w:pPr>
      <w:bookmarkStart w:id="8" w:name="_Toc236996168"/>
      <w:r>
        <w:rPr>
          <w:rFonts w:ascii="Arial" w:hAnsi="Arial" w:cs="Arial"/>
        </w:rPr>
        <w:t>Introduction</w:t>
      </w:r>
      <w:bookmarkEnd w:id="8"/>
    </w:p>
    <w:p w14:paraId="6535AF23"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This report is an overview of the situation with respect to Type 2 Diabetes Mellitus (T2DM) in Tower Hamlets Borough from the point of view of a Regional Epidemiologist. T2DM is a long-term chronic metabolic syndrome with a significant health, social and economic burden, including a high risk of cardiovascular complications, neuropathy and premature deaths. Worldwide, more than 530 million adults have Diabetes and there are almost 4.4 million in the UK. Given the background for prevalence, nationally the prevalence is about 7%, but in Tower Hamlets it is a much higher level of about 9.5%, because of a high proportion of South Asian people and significant socioeconomic deprivation. </w:t>
      </w:r>
    </w:p>
    <w:p w14:paraId="578CB43F" w14:textId="77777777" w:rsidR="00B35A00" w:rsidRDefault="00000000">
      <w:pPr>
        <w:pStyle w:val="Heading2"/>
        <w:spacing w:line="480" w:lineRule="auto"/>
        <w:rPr>
          <w:rFonts w:ascii="Arial" w:hAnsi="Arial" w:cs="Arial"/>
        </w:rPr>
      </w:pPr>
      <w:bookmarkStart w:id="9" w:name="_Toc236996169"/>
      <w:r>
        <w:rPr>
          <w:rFonts w:ascii="Arial" w:hAnsi="Arial" w:cs="Arial"/>
        </w:rPr>
        <w:t>Identification &amp; Health Needs Assessment (HNA)</w:t>
      </w:r>
      <w:bookmarkEnd w:id="9"/>
    </w:p>
    <w:p w14:paraId="4BEBA941"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A clear epidemiological picture of health needs is essential for identifying at-risk sub-populations and evaluating unmet medical needs within the London Borough of Tower </w:t>
      </w:r>
      <w:r>
        <w:rPr>
          <w:rFonts w:eastAsia="Times New Roman"/>
          <w:sz w:val="24"/>
          <w:szCs w:val="24"/>
          <w:lang w:val="en-GB"/>
        </w:rPr>
        <w:lastRenderedPageBreak/>
        <w:t>Hamlets and as such a robust Health Needs Assessment (HNA) needs to be carried out. The main factors influencing this inequitable distribution of Type 2 Diabetes Mellitus (T2DM) are a combination of genetic risk, high levels of social and economic disadvantage and environmental influences (Thompson, 2023). The prevalence and incidence of T2DM in people of South Asian origin consistently show up to six-fold higher risk than in White Europeans, and is also reported to occur earlier in life and at lower levels of BMI. However, in Tower Hamlets where more than a third of the population is from the South Asian region, this biological given is markedly compounded by structural socioeconomic issues (Tabish, 2024). Especially in terms of child poverty, low income in the household, under inflation food prices, and overcrowding, the borough is consistently ranked one of the most deprived in England. These structure factors contribute to creating obesogenic environments that support sedentary lifestyles and eating unhealthy options.</w:t>
      </w:r>
    </w:p>
    <w:p w14:paraId="2AC910AF"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The Targeted Health Needs Assessment (HNA) collates existing data for routine primary care provided by local GP registries, Quality and Outcomes Framework (QOF) health indicators and hospital admissions. The data from HNA highlights that there are reasonably high rates of diagnosis in Tower Hamlets, with routine screening for early microvascular complication testing, monitoring of HbA1c and long-term </w:t>
      </w:r>
      <w:proofErr w:type="spellStart"/>
      <w:r>
        <w:rPr>
          <w:rFonts w:eastAsia="Times New Roman"/>
          <w:sz w:val="24"/>
          <w:szCs w:val="24"/>
          <w:lang w:val="en-GB"/>
        </w:rPr>
        <w:t>glycemic</w:t>
      </w:r>
      <w:proofErr w:type="spellEnd"/>
      <w:r>
        <w:rPr>
          <w:rFonts w:eastAsia="Times New Roman"/>
          <w:sz w:val="24"/>
          <w:szCs w:val="24"/>
          <w:lang w:val="en-GB"/>
        </w:rPr>
        <w:t xml:space="preserve"> control all being significantly poorer when compared to the national picture. Access to care is disproportionately low for non-English speaking populations, low-income families, and older adults who are at higher risk for having unmanaged HbA1c levels, diabetic retinopathy, and cardiovascular events (Sayed, 2024). The HNA generates a framework that systematically identifies the high-risk people and structural vulnerabilities under which they operate, so that public health teams can prioritise how resources are allocated, </w:t>
      </w:r>
      <w:r>
        <w:rPr>
          <w:rFonts w:eastAsia="Times New Roman"/>
          <w:sz w:val="24"/>
          <w:szCs w:val="24"/>
          <w:lang w:val="en-GB"/>
        </w:rPr>
        <w:lastRenderedPageBreak/>
        <w:t>how barriers to service delivery are minimised, and how culturally responsive, tailored and effective preventative interventions are designed across the borough.</w:t>
      </w:r>
    </w:p>
    <w:p w14:paraId="7E91DCE4" w14:textId="77777777" w:rsidR="00B35A00" w:rsidRDefault="00000000">
      <w:pPr>
        <w:pStyle w:val="Heading2"/>
        <w:spacing w:line="480" w:lineRule="auto"/>
        <w:rPr>
          <w:rFonts w:ascii="Arial" w:hAnsi="Arial" w:cs="Arial"/>
        </w:rPr>
      </w:pPr>
      <w:bookmarkStart w:id="10" w:name="_Toc236996170"/>
      <w:r>
        <w:rPr>
          <w:rFonts w:ascii="Arial" w:hAnsi="Arial" w:cs="Arial"/>
        </w:rPr>
        <w:t>Surveillance &amp; Impact Planning</w:t>
      </w:r>
      <w:bookmarkEnd w:id="10"/>
    </w:p>
    <w:p w14:paraId="3CD4166E"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Passive surveillance of primary care, using electronic health records, or EHRs, through GP networks and Quality and Outcomes Framework (QOF), is the way to monitor primary care. This system collects regularly scheduled HbA1C testing, BMI monitoring, and clinical diagnostic coding in local surgeries in a systematic fashion (Majeed, 2023). Secondary Surveillance data from Hospital Episode Statistics (HES) records acute hospital admissions, attendances at acute hospitals at the emergency department for </w:t>
      </w:r>
      <w:proofErr w:type="spellStart"/>
      <w:r>
        <w:rPr>
          <w:rFonts w:eastAsia="Times New Roman"/>
          <w:sz w:val="24"/>
          <w:szCs w:val="24"/>
          <w:lang w:val="en-GB"/>
        </w:rPr>
        <w:t>glycemic</w:t>
      </w:r>
      <w:proofErr w:type="spellEnd"/>
      <w:r>
        <w:rPr>
          <w:rFonts w:eastAsia="Times New Roman"/>
          <w:sz w:val="24"/>
          <w:szCs w:val="24"/>
          <w:lang w:val="en-GB"/>
        </w:rPr>
        <w:t xml:space="preserve"> crisis and surgical care for advanced diabetic complications.</w:t>
      </w:r>
    </w:p>
    <w:p w14:paraId="2F6D60B0"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The public health impact planning component enables epidemiologists to visualize the burden of disease both acute and chronic at the community level and add it to existing surveillance activities. Poorly controlled diabetes leads to high numbers of emergency attendances for DKA, hypoglycaemic episodes and acute cardiovascular events, which places an immediate strain on local hospital trusts such as Barts Health NHS Trust (Hamilton, 2025). These long-term outcomes substantially increase Disability Adjusted Life Years (DALYs) and massive costs of social care and healthcare are incurred. </w:t>
      </w:r>
    </w:p>
    <w:p w14:paraId="12231AE7" w14:textId="77777777" w:rsidR="00B35A00" w:rsidRDefault="00000000">
      <w:pPr>
        <w:pStyle w:val="Heading2"/>
        <w:spacing w:line="480" w:lineRule="auto"/>
        <w:rPr>
          <w:rFonts w:ascii="Arial" w:hAnsi="Arial" w:cs="Arial"/>
        </w:rPr>
      </w:pPr>
      <w:bookmarkStart w:id="11" w:name="_Toc236996171"/>
      <w:r>
        <w:rPr>
          <w:rFonts w:ascii="Arial" w:hAnsi="Arial" w:cs="Arial"/>
        </w:rPr>
        <w:t>Management, Intervention &amp; Evaluation, The 3 P’s Framework</w:t>
      </w:r>
      <w:bookmarkEnd w:id="11"/>
    </w:p>
    <w:p w14:paraId="67CBD706"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The London Borough of Tower Hamlets has a population with a higher prevalence of Type 2 Diabetes Mellitus (T2DM) than the national average, and an integrated public health approach to the management of the condition needs to be developed using a 3 P framework: Prevention, Protection and Promotion. Prevention emphasizes primary and secondary clinical disease prevention measures that would help to delay or slow the onset </w:t>
      </w:r>
      <w:r>
        <w:rPr>
          <w:rFonts w:eastAsia="Times New Roman"/>
          <w:sz w:val="24"/>
          <w:szCs w:val="24"/>
          <w:lang w:val="en-GB"/>
        </w:rPr>
        <w:lastRenderedPageBreak/>
        <w:t>and development of disease (</w:t>
      </w:r>
      <w:proofErr w:type="spellStart"/>
      <w:r>
        <w:rPr>
          <w:rFonts w:eastAsia="Times New Roman"/>
          <w:sz w:val="24"/>
          <w:szCs w:val="24"/>
          <w:lang w:val="en-GB"/>
        </w:rPr>
        <w:t>AbdulRaheem</w:t>
      </w:r>
      <w:proofErr w:type="spellEnd"/>
      <w:r>
        <w:rPr>
          <w:rFonts w:eastAsia="Times New Roman"/>
          <w:sz w:val="24"/>
          <w:szCs w:val="24"/>
          <w:lang w:val="en-GB"/>
        </w:rPr>
        <w:t xml:space="preserve">, 2023). Any individual identified as at high risk of developing Type 2 diabetes, as diagnosed by screening, is referred to a culturally tailored diet and exercise program, the NHS Diabetes Prevention Programme (NDPP) at the primary level. </w:t>
      </w:r>
    </w:p>
    <w:p w14:paraId="1204E97C"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The Quality and Outcomes Framework (QOF) is a routine screening program for diabetes in primary care which allows for the appropriate assessment and management of </w:t>
      </w:r>
      <w:proofErr w:type="spellStart"/>
      <w:r>
        <w:rPr>
          <w:rFonts w:eastAsia="Times New Roman"/>
          <w:sz w:val="24"/>
          <w:szCs w:val="24"/>
          <w:lang w:val="en-GB"/>
        </w:rPr>
        <w:t>glycemic</w:t>
      </w:r>
      <w:proofErr w:type="spellEnd"/>
      <w:r>
        <w:rPr>
          <w:rFonts w:eastAsia="Times New Roman"/>
          <w:sz w:val="24"/>
          <w:szCs w:val="24"/>
          <w:lang w:val="en-GB"/>
        </w:rPr>
        <w:t xml:space="preserve"> control at the secondary level, in order to limit long term microvascular and macrovascular diabetes complications. Protection refers to a level of structural determinants and institutional barriers on the population level (Latimore et al. 2023). This includes municipal urban planning policies that seek to limit the number of fast-food take-away outlets in the vicinity of schools, build infrastructure for walking to school, and ensure local health care environments are linguistically and culturally inclusive and safe for vulnerable minority groups from healthcare inequities. </w:t>
      </w:r>
    </w:p>
    <w:p w14:paraId="617DE787"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The focus of promotion is to educate and support the community by raising health literacy and providing peer support. Local public health teams co-create community educational workshops, teach them in Bengali and Somali, collaborate with local places of worship on health awareness campaigns, and build capacity of trusted community health champions to destigmatize diabetes management (</w:t>
      </w:r>
      <w:proofErr w:type="spellStart"/>
      <w:r>
        <w:rPr>
          <w:rFonts w:eastAsia="Times New Roman"/>
          <w:sz w:val="24"/>
          <w:szCs w:val="24"/>
          <w:lang w:val="en-GB"/>
        </w:rPr>
        <w:t>Laffond</w:t>
      </w:r>
      <w:proofErr w:type="spellEnd"/>
      <w:r>
        <w:rPr>
          <w:rFonts w:eastAsia="Times New Roman"/>
          <w:sz w:val="24"/>
          <w:szCs w:val="24"/>
          <w:lang w:val="en-GB"/>
        </w:rPr>
        <w:t xml:space="preserve"> et al. 2023). A mixed-methods evaluation framework is used to assess the effects of these proposed public health interventions in each of the areas of clinical and social indicators. Qualitative patient-reported outcome measures (PROMs) and focus groups measure changes in health literacy, self-efficacy, and satisfaction with culturally tailored care. </w:t>
      </w:r>
    </w:p>
    <w:p w14:paraId="362809B3" w14:textId="77777777" w:rsidR="00B35A00" w:rsidRDefault="00000000">
      <w:pPr>
        <w:pStyle w:val="Heading2"/>
        <w:spacing w:line="480" w:lineRule="auto"/>
        <w:rPr>
          <w:rFonts w:ascii="Arial" w:hAnsi="Arial" w:cs="Arial"/>
        </w:rPr>
      </w:pPr>
      <w:bookmarkStart w:id="12" w:name="_Toc236996172"/>
      <w:r>
        <w:rPr>
          <w:rFonts w:ascii="Arial" w:hAnsi="Arial" w:cs="Arial"/>
        </w:rPr>
        <w:t>Critical Appraisal of Methodological Approach</w:t>
      </w:r>
      <w:bookmarkEnd w:id="12"/>
    </w:p>
    <w:p w14:paraId="3908E1D5" w14:textId="77777777" w:rsidR="00B35A00" w:rsidRDefault="00000000">
      <w:pPr>
        <w:spacing w:line="480" w:lineRule="auto"/>
        <w:jc w:val="both"/>
        <w:rPr>
          <w:rFonts w:eastAsia="Times New Roman"/>
          <w:sz w:val="24"/>
          <w:szCs w:val="24"/>
          <w:lang w:val="en-GB"/>
        </w:rPr>
      </w:pPr>
      <w:r>
        <w:rPr>
          <w:rFonts w:eastAsia="Times New Roman"/>
          <w:sz w:val="24"/>
          <w:szCs w:val="24"/>
          <w:lang w:val="en-GB"/>
        </w:rPr>
        <w:lastRenderedPageBreak/>
        <w:t>A critical analysis of the epidemiological method used in Tower Hamlets reveals very good qualities as well as some major methodologic shortcomings. One of its key advantages is the use of high volume, real world primary care datasets, for example GP electronic health records and Quality and Outcomes Framework (QOF) registries (Edwards et al. 2023). In addition, use of a local Health Needs Assessment (HNA) means that public health strategies are specifically relevant and efficient in terms of resources for the particular cultural and socio-economic profile of the borough.</w:t>
      </w:r>
    </w:p>
    <w:p w14:paraId="24CC7EFF"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Some methodological weaknesses and biases limit the overall validity and usefulness of the data. Passive surveillance is heavily dependent on routine primary health care visits, which leads to strong selection bias and under-reporting. Language barriers, digital exclusion and structural health care access difficulties are contributors to systematic underrepresentation in routine registries, resulting in an underestimation of the true prevalence in the community of individuals with these needs (Aldridge et al. 2024). Data misclassification is also problematic. “South Asian” provides no meaningful clinical or cultural distinction between the different subgroups, such as Bangladeshi, Indian, or Pakistani. Understanding these assumptions and limitations is essential – otherwise, public health resources could be misdirected and the same health disparities that the strategy seeks to address could be reinforced.</w:t>
      </w:r>
    </w:p>
    <w:p w14:paraId="5430D593" w14:textId="77777777" w:rsidR="00B35A00" w:rsidRDefault="00000000">
      <w:pPr>
        <w:pStyle w:val="Heading2"/>
        <w:spacing w:line="480" w:lineRule="auto"/>
        <w:rPr>
          <w:rFonts w:ascii="Arial" w:hAnsi="Arial" w:cs="Arial"/>
        </w:rPr>
      </w:pPr>
      <w:bookmarkStart w:id="13" w:name="_Toc236996173"/>
      <w:r>
        <w:rPr>
          <w:rFonts w:ascii="Arial" w:hAnsi="Arial" w:cs="Arial"/>
        </w:rPr>
        <w:t>Conclusion</w:t>
      </w:r>
      <w:bookmarkEnd w:id="13"/>
    </w:p>
    <w:p w14:paraId="707E598B" w14:textId="77777777" w:rsidR="00B35A00" w:rsidRDefault="00000000">
      <w:pPr>
        <w:spacing w:line="480" w:lineRule="auto"/>
        <w:jc w:val="both"/>
        <w:rPr>
          <w:rFonts w:eastAsia="Times New Roman"/>
          <w:sz w:val="24"/>
          <w:szCs w:val="24"/>
          <w:lang w:val="en-GB"/>
        </w:rPr>
      </w:pPr>
      <w:r>
        <w:rPr>
          <w:rFonts w:eastAsia="Times New Roman"/>
          <w:sz w:val="24"/>
          <w:szCs w:val="24"/>
          <w:lang w:val="en-GB"/>
        </w:rPr>
        <w:t xml:space="preserve">To tackle Type 2 Diabetes Mellitus in the London Borough of Tower Hamlets a swift, evidence-informed approach to public health is needed which brings together the epidemiological monitoring of the disease with community action. Important to note in this Southwest region is that ethnicity is a major contributor to the high prevalence of diabetes </w:t>
      </w:r>
      <w:r>
        <w:rPr>
          <w:rFonts w:eastAsia="Times New Roman"/>
          <w:sz w:val="24"/>
          <w:szCs w:val="24"/>
          <w:lang w:val="en-GB"/>
        </w:rPr>
        <w:lastRenderedPageBreak/>
        <w:t xml:space="preserve">and that high socioeconomic deprivation and structural barriers to healthcare are also important factors. Primary care registries and tailored interventions within the 3 P’s approach are a good first step towards disease management, but methodological challenges like selection bias and under-reporting of disease data need to be tackled on-going. Looking forward, public health officials need to focus on culturally informed primary prevention, increase comprehensive community monitoring and tackle a wider range of social determinants of health. If equity is built into all aspects of epidemiological planning, then diabetes can be substantially prevented in Tower Hamlets, thereby minimising the risk of severe long-term diabetes health consequences and ultimately achieving health equity across all the diversity of Tower Hamlets' population. </w:t>
      </w:r>
    </w:p>
    <w:p w14:paraId="3A3E0DFA" w14:textId="77777777" w:rsidR="00B35A00" w:rsidRDefault="00000000">
      <w:pPr>
        <w:spacing w:line="480" w:lineRule="auto"/>
        <w:jc w:val="both"/>
        <w:rPr>
          <w:rFonts w:eastAsia="Times New Roman"/>
          <w:sz w:val="24"/>
          <w:szCs w:val="24"/>
          <w:lang w:val="en-GB"/>
        </w:rPr>
      </w:pPr>
      <w:r>
        <w:rPr>
          <w:lang w:val="en-GB"/>
        </w:rPr>
        <w:br w:type="page"/>
      </w:r>
    </w:p>
    <w:p w14:paraId="79AAF99F" w14:textId="77777777" w:rsidR="00B35A00" w:rsidRDefault="00000000">
      <w:pPr>
        <w:pStyle w:val="Heading1"/>
        <w:spacing w:line="480" w:lineRule="auto"/>
        <w:rPr>
          <w:rFonts w:ascii="Arial" w:hAnsi="Arial" w:cs="Arial"/>
        </w:rPr>
      </w:pPr>
      <w:bookmarkStart w:id="14" w:name="_Toc236996174"/>
      <w:r>
        <w:rPr>
          <w:rFonts w:ascii="Arial" w:hAnsi="Arial" w:cs="Arial"/>
        </w:rPr>
        <w:lastRenderedPageBreak/>
        <w:t>Reference list</w:t>
      </w:r>
      <w:bookmarkEnd w:id="14"/>
    </w:p>
    <w:p w14:paraId="2F3745BE" w14:textId="77777777" w:rsidR="00B35A00" w:rsidRDefault="00000000">
      <w:pPr>
        <w:spacing w:after="160" w:line="480" w:lineRule="auto"/>
        <w:jc w:val="both"/>
        <w:rPr>
          <w:rFonts w:eastAsia="Times New Roman"/>
          <w:sz w:val="24"/>
          <w:szCs w:val="24"/>
          <w:lang w:val="en-GB"/>
        </w:rPr>
      </w:pPr>
      <w:proofErr w:type="spellStart"/>
      <w:r>
        <w:rPr>
          <w:rFonts w:eastAsia="Times New Roman"/>
          <w:sz w:val="24"/>
          <w:szCs w:val="24"/>
          <w:lang w:val="en-GB"/>
        </w:rPr>
        <w:t>AbdulRaheem</w:t>
      </w:r>
      <w:proofErr w:type="spellEnd"/>
      <w:r>
        <w:rPr>
          <w:rFonts w:eastAsia="Times New Roman"/>
          <w:sz w:val="24"/>
          <w:szCs w:val="24"/>
          <w:lang w:val="en-GB"/>
        </w:rPr>
        <w:t xml:space="preserve">, Y., 2023. Unveiling the significance and challenges of integrating prevention levels in healthcare practice. </w:t>
      </w:r>
      <w:r>
        <w:rPr>
          <w:rFonts w:eastAsia="Times New Roman"/>
          <w:i/>
          <w:iCs/>
          <w:sz w:val="24"/>
          <w:szCs w:val="24"/>
          <w:lang w:val="en-GB"/>
        </w:rPr>
        <w:t>Journal of primary care &amp; community health</w:t>
      </w:r>
      <w:r>
        <w:rPr>
          <w:rFonts w:eastAsia="Times New Roman"/>
          <w:sz w:val="24"/>
          <w:szCs w:val="24"/>
          <w:lang w:val="en-GB"/>
        </w:rPr>
        <w:t xml:space="preserve">, </w:t>
      </w:r>
      <w:r>
        <w:rPr>
          <w:rFonts w:eastAsia="Times New Roman"/>
          <w:i/>
          <w:iCs/>
          <w:sz w:val="24"/>
          <w:szCs w:val="24"/>
          <w:lang w:val="en-GB"/>
        </w:rPr>
        <w:t>14</w:t>
      </w:r>
      <w:r>
        <w:rPr>
          <w:rFonts w:eastAsia="Times New Roman"/>
          <w:sz w:val="24"/>
          <w:szCs w:val="24"/>
          <w:lang w:val="en-GB"/>
        </w:rPr>
        <w:t>, p.21501319231186500.</w:t>
      </w:r>
    </w:p>
    <w:p w14:paraId="767B62F6"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Akhtar, S., Nasir, J.A., Ali, A., Asghar, M., Majeed, R. and Sarwar, A., 2022. Prevalence of type-2 diabetes and prediabetes in Malaysia: A systematic review and meta-analysis. </w:t>
      </w:r>
      <w:proofErr w:type="spellStart"/>
      <w:r>
        <w:rPr>
          <w:rFonts w:eastAsia="Times New Roman"/>
          <w:i/>
          <w:iCs/>
          <w:sz w:val="24"/>
          <w:szCs w:val="24"/>
          <w:lang w:val="en-GB"/>
        </w:rPr>
        <w:t>PloS</w:t>
      </w:r>
      <w:proofErr w:type="spellEnd"/>
      <w:r>
        <w:rPr>
          <w:rFonts w:eastAsia="Times New Roman"/>
          <w:i/>
          <w:iCs/>
          <w:sz w:val="24"/>
          <w:szCs w:val="24"/>
          <w:lang w:val="en-GB"/>
        </w:rPr>
        <w:t xml:space="preserve"> one</w:t>
      </w:r>
      <w:r>
        <w:rPr>
          <w:rFonts w:eastAsia="Times New Roman"/>
          <w:sz w:val="24"/>
          <w:szCs w:val="24"/>
          <w:lang w:val="en-GB"/>
        </w:rPr>
        <w:t xml:space="preserve">, </w:t>
      </w:r>
      <w:r>
        <w:rPr>
          <w:rFonts w:eastAsia="Times New Roman"/>
          <w:i/>
          <w:iCs/>
          <w:sz w:val="24"/>
          <w:szCs w:val="24"/>
          <w:lang w:val="en-GB"/>
        </w:rPr>
        <w:t>17</w:t>
      </w:r>
      <w:r>
        <w:rPr>
          <w:rFonts w:eastAsia="Times New Roman"/>
          <w:sz w:val="24"/>
          <w:szCs w:val="24"/>
          <w:lang w:val="en-GB"/>
        </w:rPr>
        <w:t>(1), p.e0263139.</w:t>
      </w:r>
    </w:p>
    <w:p w14:paraId="76906882"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Aldridge, R.W., Evans, H.E., Yavlinsky, A., </w:t>
      </w:r>
      <w:proofErr w:type="spellStart"/>
      <w:r>
        <w:rPr>
          <w:rFonts w:eastAsia="Times New Roman"/>
          <w:sz w:val="24"/>
          <w:szCs w:val="24"/>
          <w:lang w:val="en-GB"/>
        </w:rPr>
        <w:t>Moayyeri</w:t>
      </w:r>
      <w:proofErr w:type="spellEnd"/>
      <w:r>
        <w:rPr>
          <w:rFonts w:eastAsia="Times New Roman"/>
          <w:sz w:val="24"/>
          <w:szCs w:val="24"/>
          <w:lang w:val="en-GB"/>
        </w:rPr>
        <w:t xml:space="preserve">, A., Bhaskaran, K., Mathur, R., Jordan, K.P., Croft, P., Denaxas, S., Shah, A.D. and Blackburn, R.M., 2024. Estimating disease burden using national linked electronic health records: a study using an English population-based cohort. </w:t>
      </w:r>
      <w:proofErr w:type="spellStart"/>
      <w:r>
        <w:rPr>
          <w:rFonts w:eastAsia="Times New Roman"/>
          <w:i/>
          <w:iCs/>
          <w:sz w:val="24"/>
          <w:szCs w:val="24"/>
          <w:lang w:val="en-GB"/>
        </w:rPr>
        <w:t>Wellcome</w:t>
      </w:r>
      <w:proofErr w:type="spellEnd"/>
      <w:r>
        <w:rPr>
          <w:rFonts w:eastAsia="Times New Roman"/>
          <w:i/>
          <w:iCs/>
          <w:sz w:val="24"/>
          <w:szCs w:val="24"/>
          <w:lang w:val="en-GB"/>
        </w:rPr>
        <w:t xml:space="preserve"> open research</w:t>
      </w:r>
      <w:r>
        <w:rPr>
          <w:rFonts w:eastAsia="Times New Roman"/>
          <w:sz w:val="24"/>
          <w:szCs w:val="24"/>
          <w:lang w:val="en-GB"/>
        </w:rPr>
        <w:t xml:space="preserve">, </w:t>
      </w:r>
      <w:r>
        <w:rPr>
          <w:rFonts w:eastAsia="Times New Roman"/>
          <w:i/>
          <w:iCs/>
          <w:sz w:val="24"/>
          <w:szCs w:val="24"/>
          <w:lang w:val="en-GB"/>
        </w:rPr>
        <w:t>8</w:t>
      </w:r>
      <w:r>
        <w:rPr>
          <w:rFonts w:eastAsia="Times New Roman"/>
          <w:sz w:val="24"/>
          <w:szCs w:val="24"/>
          <w:lang w:val="en-GB"/>
        </w:rPr>
        <w:t>, p.262.</w:t>
      </w:r>
    </w:p>
    <w:p w14:paraId="1D0627DC"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Cao, Y., </w:t>
      </w:r>
      <w:proofErr w:type="spellStart"/>
      <w:r>
        <w:rPr>
          <w:rFonts w:eastAsia="Times New Roman"/>
          <w:sz w:val="24"/>
          <w:szCs w:val="24"/>
          <w:lang w:val="en-GB"/>
        </w:rPr>
        <w:t>Widyahening</w:t>
      </w:r>
      <w:proofErr w:type="spellEnd"/>
      <w:r>
        <w:rPr>
          <w:rFonts w:eastAsia="Times New Roman"/>
          <w:sz w:val="24"/>
          <w:szCs w:val="24"/>
          <w:lang w:val="en-GB"/>
        </w:rPr>
        <w:t xml:space="preserve">, I., Sun, X. and Li, S., 2025. Pathophysiology of type 2 diabetes: A focus on the metabolic differences among southeast Asian, Chinese and Indian populations and how this impacts treatment. </w:t>
      </w:r>
      <w:r>
        <w:rPr>
          <w:rFonts w:eastAsia="Times New Roman"/>
          <w:i/>
          <w:iCs/>
          <w:sz w:val="24"/>
          <w:szCs w:val="24"/>
          <w:lang w:val="en-GB"/>
        </w:rPr>
        <w:t>Diabetes, Obesity and Metabolism</w:t>
      </w:r>
      <w:r>
        <w:rPr>
          <w:rFonts w:eastAsia="Times New Roman"/>
          <w:sz w:val="24"/>
          <w:szCs w:val="24"/>
          <w:lang w:val="en-GB"/>
        </w:rPr>
        <w:t xml:space="preserve">, </w:t>
      </w:r>
      <w:r>
        <w:rPr>
          <w:rFonts w:eastAsia="Times New Roman"/>
          <w:i/>
          <w:iCs/>
          <w:sz w:val="24"/>
          <w:szCs w:val="24"/>
          <w:lang w:val="en-GB"/>
        </w:rPr>
        <w:t>27</w:t>
      </w:r>
      <w:r>
        <w:rPr>
          <w:rFonts w:eastAsia="Times New Roman"/>
          <w:sz w:val="24"/>
          <w:szCs w:val="24"/>
          <w:lang w:val="en-GB"/>
        </w:rPr>
        <w:t>, pp.3-14.</w:t>
      </w:r>
    </w:p>
    <w:p w14:paraId="1033D44E"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Edwards, L., Pickett, J., Ashcroft, D.M., Dambha-Miller, H., Majeed, A., Mallen, C., Petersen, I., Qureshi, N., van Staa, T., Abel, G. and Carvalho, C., 2023. UK research data resources based on primary care electronic health records: review and summary for potential users. </w:t>
      </w:r>
      <w:r>
        <w:rPr>
          <w:rFonts w:eastAsia="Times New Roman"/>
          <w:i/>
          <w:iCs/>
          <w:sz w:val="24"/>
          <w:szCs w:val="24"/>
          <w:lang w:val="en-GB"/>
        </w:rPr>
        <w:t>BJGP open</w:t>
      </w:r>
      <w:r>
        <w:rPr>
          <w:rFonts w:eastAsia="Times New Roman"/>
          <w:sz w:val="24"/>
          <w:szCs w:val="24"/>
          <w:lang w:val="en-GB"/>
        </w:rPr>
        <w:t xml:space="preserve">, </w:t>
      </w:r>
      <w:r>
        <w:rPr>
          <w:rFonts w:eastAsia="Times New Roman"/>
          <w:i/>
          <w:iCs/>
          <w:sz w:val="24"/>
          <w:szCs w:val="24"/>
          <w:lang w:val="en-GB"/>
        </w:rPr>
        <w:t>7</w:t>
      </w:r>
      <w:r>
        <w:rPr>
          <w:rFonts w:eastAsia="Times New Roman"/>
          <w:sz w:val="24"/>
          <w:szCs w:val="24"/>
          <w:lang w:val="en-GB"/>
        </w:rPr>
        <w:t xml:space="preserve">(3), </w:t>
      </w:r>
      <w:proofErr w:type="gramStart"/>
      <w:r>
        <w:rPr>
          <w:rFonts w:eastAsia="Times New Roman"/>
          <w:sz w:val="24"/>
          <w:szCs w:val="24"/>
          <w:lang w:val="en-GB"/>
        </w:rPr>
        <w:t>pp.BJGPO</w:t>
      </w:r>
      <w:proofErr w:type="gramEnd"/>
      <w:r>
        <w:rPr>
          <w:rFonts w:eastAsia="Times New Roman"/>
          <w:sz w:val="24"/>
          <w:szCs w:val="24"/>
          <w:lang w:val="en-GB"/>
        </w:rPr>
        <w:t>-2023.</w:t>
      </w:r>
    </w:p>
    <w:p w14:paraId="2F645C59"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Elliott, H., Tozer, C., Fenton, A., Powers, C., Lines, C., Hill, M., Owolabi, B. and Ford, J.A., 2025. From policy to action: a document content analysis reviewing the adoption of </w:t>
      </w:r>
      <w:r>
        <w:rPr>
          <w:rFonts w:eastAsia="Times New Roman"/>
          <w:sz w:val="24"/>
          <w:szCs w:val="24"/>
          <w:lang w:val="en-GB"/>
        </w:rPr>
        <w:lastRenderedPageBreak/>
        <w:t xml:space="preserve">the healthcare inequalities programme in local health system plans in England. </w:t>
      </w:r>
      <w:r>
        <w:rPr>
          <w:rFonts w:eastAsia="Times New Roman"/>
          <w:i/>
          <w:iCs/>
          <w:sz w:val="24"/>
          <w:szCs w:val="24"/>
          <w:lang w:val="en-GB"/>
        </w:rPr>
        <w:t>BMJ open</w:t>
      </w:r>
      <w:r>
        <w:rPr>
          <w:rFonts w:eastAsia="Times New Roman"/>
          <w:sz w:val="24"/>
          <w:szCs w:val="24"/>
          <w:lang w:val="en-GB"/>
        </w:rPr>
        <w:t xml:space="preserve">, </w:t>
      </w:r>
      <w:r>
        <w:rPr>
          <w:rFonts w:eastAsia="Times New Roman"/>
          <w:i/>
          <w:iCs/>
          <w:sz w:val="24"/>
          <w:szCs w:val="24"/>
          <w:lang w:val="en-GB"/>
        </w:rPr>
        <w:t>15</w:t>
      </w:r>
      <w:r>
        <w:rPr>
          <w:rFonts w:eastAsia="Times New Roman"/>
          <w:sz w:val="24"/>
          <w:szCs w:val="24"/>
          <w:lang w:val="en-GB"/>
        </w:rPr>
        <w:t>(10), p.e102163.</w:t>
      </w:r>
    </w:p>
    <w:p w14:paraId="38379C06"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Hamilton, M.S.J., 2025. A Systems Approach to Implementing Digital Tools for Earlier Alzheimer Detection in Scottish Primary Care Services.</w:t>
      </w:r>
    </w:p>
    <w:p w14:paraId="486955EA"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Laffond, A., Rivera-</w:t>
      </w:r>
      <w:proofErr w:type="spellStart"/>
      <w:r>
        <w:rPr>
          <w:rFonts w:eastAsia="Times New Roman"/>
          <w:sz w:val="24"/>
          <w:szCs w:val="24"/>
          <w:lang w:val="en-GB"/>
        </w:rPr>
        <w:t>Picón</w:t>
      </w:r>
      <w:proofErr w:type="spellEnd"/>
      <w:r>
        <w:rPr>
          <w:rFonts w:eastAsia="Times New Roman"/>
          <w:sz w:val="24"/>
          <w:szCs w:val="24"/>
          <w:lang w:val="en-GB"/>
        </w:rPr>
        <w:t xml:space="preserve">, C., Rodríguez-Muñoz, P.M., Juárez-Vela, R., Ruiz de </w:t>
      </w:r>
      <w:proofErr w:type="spellStart"/>
      <w:r>
        <w:rPr>
          <w:rFonts w:eastAsia="Times New Roman"/>
          <w:sz w:val="24"/>
          <w:szCs w:val="24"/>
          <w:lang w:val="en-GB"/>
        </w:rPr>
        <w:t>Viñaspre</w:t>
      </w:r>
      <w:proofErr w:type="spellEnd"/>
      <w:r>
        <w:rPr>
          <w:rFonts w:eastAsia="Times New Roman"/>
          <w:sz w:val="24"/>
          <w:szCs w:val="24"/>
          <w:lang w:val="en-GB"/>
        </w:rPr>
        <w:t>-Hernández, R., Navas-</w:t>
      </w:r>
      <w:proofErr w:type="spellStart"/>
      <w:r>
        <w:rPr>
          <w:rFonts w:eastAsia="Times New Roman"/>
          <w:sz w:val="24"/>
          <w:szCs w:val="24"/>
          <w:lang w:val="en-GB"/>
        </w:rPr>
        <w:t>Echazarreta</w:t>
      </w:r>
      <w:proofErr w:type="spellEnd"/>
      <w:r>
        <w:rPr>
          <w:rFonts w:eastAsia="Times New Roman"/>
          <w:sz w:val="24"/>
          <w:szCs w:val="24"/>
          <w:lang w:val="en-GB"/>
        </w:rPr>
        <w:t xml:space="preserve">, N. and Sánchez-González, J.L., 2023. Mediterranean diet for primary and secondary prevention of cardiovascular disease and mortality: an updated systematic review. </w:t>
      </w:r>
      <w:r>
        <w:rPr>
          <w:rFonts w:eastAsia="Times New Roman"/>
          <w:i/>
          <w:iCs/>
          <w:sz w:val="24"/>
          <w:szCs w:val="24"/>
          <w:lang w:val="en-GB"/>
        </w:rPr>
        <w:t>Nutrients</w:t>
      </w:r>
      <w:r>
        <w:rPr>
          <w:rFonts w:eastAsia="Times New Roman"/>
          <w:sz w:val="24"/>
          <w:szCs w:val="24"/>
          <w:lang w:val="en-GB"/>
        </w:rPr>
        <w:t xml:space="preserve">, </w:t>
      </w:r>
      <w:r>
        <w:rPr>
          <w:rFonts w:eastAsia="Times New Roman"/>
          <w:i/>
          <w:iCs/>
          <w:sz w:val="24"/>
          <w:szCs w:val="24"/>
          <w:lang w:val="en-GB"/>
        </w:rPr>
        <w:t>15</w:t>
      </w:r>
      <w:r>
        <w:rPr>
          <w:rFonts w:eastAsia="Times New Roman"/>
          <w:sz w:val="24"/>
          <w:szCs w:val="24"/>
          <w:lang w:val="en-GB"/>
        </w:rPr>
        <w:t>(15), p.3356.</w:t>
      </w:r>
    </w:p>
    <w:p w14:paraId="0C11D3A5"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Latimore, A.D., Salisbury-Afshar, E., Duff, N., Freiling, E., Kellett, B., Sullenger, R.D. and Salman, A., 2023. Primary, secondary, and tertiary prevention of substance use disorders through socioecological strategies. </w:t>
      </w:r>
      <w:r>
        <w:rPr>
          <w:rFonts w:eastAsia="Times New Roman"/>
          <w:i/>
          <w:iCs/>
          <w:sz w:val="24"/>
          <w:szCs w:val="24"/>
          <w:lang w:val="en-GB"/>
        </w:rPr>
        <w:t>NAM perspectives</w:t>
      </w:r>
      <w:r>
        <w:rPr>
          <w:rFonts w:eastAsia="Times New Roman"/>
          <w:sz w:val="24"/>
          <w:szCs w:val="24"/>
          <w:lang w:val="en-GB"/>
        </w:rPr>
        <w:t xml:space="preserve">, </w:t>
      </w:r>
      <w:r>
        <w:rPr>
          <w:rFonts w:eastAsia="Times New Roman"/>
          <w:i/>
          <w:iCs/>
          <w:sz w:val="24"/>
          <w:szCs w:val="24"/>
          <w:lang w:val="en-GB"/>
        </w:rPr>
        <w:t>2023</w:t>
      </w:r>
      <w:r>
        <w:rPr>
          <w:rFonts w:eastAsia="Times New Roman"/>
          <w:sz w:val="24"/>
          <w:szCs w:val="24"/>
          <w:lang w:val="en-GB"/>
        </w:rPr>
        <w:t>, pp.10-31478.</w:t>
      </w:r>
    </w:p>
    <w:p w14:paraId="22F1080E"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Lin, L., Chen, P., Zhang, Y., Long, J., Wang, W., Sun, X. and Zhang, X., 2025. Burden of type 2 diabetes mellitus and risk factor attribution among older adults: A global, regional, and national analysis from 1990 to 2021, with projections up to 2040. </w:t>
      </w:r>
      <w:r>
        <w:rPr>
          <w:rFonts w:eastAsia="Times New Roman"/>
          <w:i/>
          <w:iCs/>
          <w:sz w:val="24"/>
          <w:szCs w:val="24"/>
          <w:lang w:val="en-GB"/>
        </w:rPr>
        <w:t>Diabetes, Obesity and Metabolism</w:t>
      </w:r>
      <w:r>
        <w:rPr>
          <w:rFonts w:eastAsia="Times New Roman"/>
          <w:sz w:val="24"/>
          <w:szCs w:val="24"/>
          <w:lang w:val="en-GB"/>
        </w:rPr>
        <w:t xml:space="preserve">, </w:t>
      </w:r>
      <w:r>
        <w:rPr>
          <w:rFonts w:eastAsia="Times New Roman"/>
          <w:i/>
          <w:iCs/>
          <w:sz w:val="24"/>
          <w:szCs w:val="24"/>
          <w:lang w:val="en-GB"/>
        </w:rPr>
        <w:t>27</w:t>
      </w:r>
      <w:r>
        <w:rPr>
          <w:rFonts w:eastAsia="Times New Roman"/>
          <w:sz w:val="24"/>
          <w:szCs w:val="24"/>
          <w:lang w:val="en-GB"/>
        </w:rPr>
        <w:t>(8), pp.4330-4343.</w:t>
      </w:r>
    </w:p>
    <w:p w14:paraId="13CED3E2"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Majeed, A. and </w:t>
      </w:r>
      <w:proofErr w:type="spellStart"/>
      <w:r>
        <w:rPr>
          <w:rFonts w:eastAsia="Times New Roman"/>
          <w:sz w:val="24"/>
          <w:szCs w:val="24"/>
          <w:lang w:val="en-GB"/>
        </w:rPr>
        <w:t>Molokhia</w:t>
      </w:r>
      <w:proofErr w:type="spellEnd"/>
      <w:r>
        <w:rPr>
          <w:rFonts w:eastAsia="Times New Roman"/>
          <w:sz w:val="24"/>
          <w:szCs w:val="24"/>
          <w:lang w:val="en-GB"/>
        </w:rPr>
        <w:t xml:space="preserve">, M., 2023. The future role of the GP Quality and Outcomes Framework in England. </w:t>
      </w:r>
      <w:r>
        <w:rPr>
          <w:rFonts w:eastAsia="Times New Roman"/>
          <w:i/>
          <w:iCs/>
          <w:sz w:val="24"/>
          <w:szCs w:val="24"/>
          <w:lang w:val="en-GB"/>
        </w:rPr>
        <w:t>BJGP open</w:t>
      </w:r>
      <w:r>
        <w:rPr>
          <w:rFonts w:eastAsia="Times New Roman"/>
          <w:sz w:val="24"/>
          <w:szCs w:val="24"/>
          <w:lang w:val="en-GB"/>
        </w:rPr>
        <w:t xml:space="preserve">, </w:t>
      </w:r>
      <w:r>
        <w:rPr>
          <w:rFonts w:eastAsia="Times New Roman"/>
          <w:i/>
          <w:iCs/>
          <w:sz w:val="24"/>
          <w:szCs w:val="24"/>
          <w:lang w:val="en-GB"/>
        </w:rPr>
        <w:t>7</w:t>
      </w:r>
      <w:r>
        <w:rPr>
          <w:rFonts w:eastAsia="Times New Roman"/>
          <w:sz w:val="24"/>
          <w:szCs w:val="24"/>
          <w:lang w:val="en-GB"/>
        </w:rPr>
        <w:t>(3).</w:t>
      </w:r>
    </w:p>
    <w:p w14:paraId="00A353EE"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Misra, A., Sattar, N., Ghosh, A., Nassar, M., Jayawardena, R. and Gupta, R., 2025. Type 2 diabetes in south Asians. </w:t>
      </w:r>
      <w:proofErr w:type="spellStart"/>
      <w:r>
        <w:rPr>
          <w:rFonts w:eastAsia="Times New Roman"/>
          <w:i/>
          <w:iCs/>
          <w:sz w:val="24"/>
          <w:szCs w:val="24"/>
          <w:lang w:val="en-GB"/>
        </w:rPr>
        <w:t>bmj</w:t>
      </w:r>
      <w:proofErr w:type="spellEnd"/>
      <w:r>
        <w:rPr>
          <w:rFonts w:eastAsia="Times New Roman"/>
          <w:sz w:val="24"/>
          <w:szCs w:val="24"/>
          <w:lang w:val="en-GB"/>
        </w:rPr>
        <w:t xml:space="preserve">, </w:t>
      </w:r>
      <w:r>
        <w:rPr>
          <w:rFonts w:eastAsia="Times New Roman"/>
          <w:i/>
          <w:iCs/>
          <w:sz w:val="24"/>
          <w:szCs w:val="24"/>
          <w:lang w:val="en-GB"/>
        </w:rPr>
        <w:t>390</w:t>
      </w:r>
      <w:r>
        <w:rPr>
          <w:rFonts w:eastAsia="Times New Roman"/>
          <w:sz w:val="24"/>
          <w:szCs w:val="24"/>
          <w:lang w:val="en-GB"/>
        </w:rPr>
        <w:t>.</w:t>
      </w:r>
    </w:p>
    <w:p w14:paraId="14D7883D"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Naqvi, H., Gabriel, M. and Adebowale, V., 2022. The critical role of the NHS Race and Health Observatory. </w:t>
      </w:r>
      <w:r>
        <w:rPr>
          <w:rFonts w:eastAsia="Times New Roman"/>
          <w:i/>
          <w:iCs/>
          <w:sz w:val="24"/>
          <w:szCs w:val="24"/>
          <w:lang w:val="en-GB"/>
        </w:rPr>
        <w:t>BMJ leader</w:t>
      </w:r>
      <w:r>
        <w:rPr>
          <w:rFonts w:eastAsia="Times New Roman"/>
          <w:sz w:val="24"/>
          <w:szCs w:val="24"/>
          <w:lang w:val="en-GB"/>
        </w:rPr>
        <w:t xml:space="preserve">, </w:t>
      </w:r>
      <w:r>
        <w:rPr>
          <w:rFonts w:eastAsia="Times New Roman"/>
          <w:i/>
          <w:iCs/>
          <w:sz w:val="24"/>
          <w:szCs w:val="24"/>
          <w:lang w:val="en-GB"/>
        </w:rPr>
        <w:t>6</w:t>
      </w:r>
      <w:r>
        <w:rPr>
          <w:rFonts w:eastAsia="Times New Roman"/>
          <w:sz w:val="24"/>
          <w:szCs w:val="24"/>
          <w:lang w:val="en-GB"/>
        </w:rPr>
        <w:t>(2), pp.130-131.</w:t>
      </w:r>
    </w:p>
    <w:p w14:paraId="2B92372C"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lastRenderedPageBreak/>
        <w:t xml:space="preserve">Naseri, M.W., Esmat, H.A. and Bahee, M.D., 2022. Prevalence of hypertension in Type-2 diabetes mellitus. </w:t>
      </w:r>
      <w:r>
        <w:rPr>
          <w:rFonts w:eastAsia="Times New Roman"/>
          <w:i/>
          <w:iCs/>
          <w:sz w:val="24"/>
          <w:szCs w:val="24"/>
          <w:lang w:val="en-GB"/>
        </w:rPr>
        <w:t>Annals of Medicine and Surgery</w:t>
      </w:r>
      <w:r>
        <w:rPr>
          <w:rFonts w:eastAsia="Times New Roman"/>
          <w:sz w:val="24"/>
          <w:szCs w:val="24"/>
          <w:lang w:val="en-GB"/>
        </w:rPr>
        <w:t xml:space="preserve">, </w:t>
      </w:r>
      <w:r>
        <w:rPr>
          <w:rFonts w:eastAsia="Times New Roman"/>
          <w:i/>
          <w:iCs/>
          <w:sz w:val="24"/>
          <w:szCs w:val="24"/>
          <w:lang w:val="en-GB"/>
        </w:rPr>
        <w:t>78</w:t>
      </w:r>
      <w:r>
        <w:rPr>
          <w:rFonts w:eastAsia="Times New Roman"/>
          <w:sz w:val="24"/>
          <w:szCs w:val="24"/>
          <w:lang w:val="en-GB"/>
        </w:rPr>
        <w:t>, p.103758.</w:t>
      </w:r>
    </w:p>
    <w:p w14:paraId="235B5C01"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Sayed, A.A., 2024. A Framework for Assessing the Health Needs of Disabled Adult Patients with Autoimmune Disorders and Depression in Madinah, Saudi Arabia. </w:t>
      </w:r>
      <w:r>
        <w:rPr>
          <w:rFonts w:eastAsia="Times New Roman"/>
          <w:i/>
          <w:iCs/>
          <w:sz w:val="24"/>
          <w:szCs w:val="24"/>
          <w:lang w:val="en-GB"/>
        </w:rPr>
        <w:t>Journal of Disability Research</w:t>
      </w:r>
      <w:r>
        <w:rPr>
          <w:rFonts w:eastAsia="Times New Roman"/>
          <w:sz w:val="24"/>
          <w:szCs w:val="24"/>
          <w:lang w:val="en-GB"/>
        </w:rPr>
        <w:t xml:space="preserve">, </w:t>
      </w:r>
      <w:r>
        <w:rPr>
          <w:rFonts w:eastAsia="Times New Roman"/>
          <w:i/>
          <w:iCs/>
          <w:sz w:val="24"/>
          <w:szCs w:val="24"/>
          <w:lang w:val="en-GB"/>
        </w:rPr>
        <w:t>3</w:t>
      </w:r>
      <w:r>
        <w:rPr>
          <w:rFonts w:eastAsia="Times New Roman"/>
          <w:sz w:val="24"/>
          <w:szCs w:val="24"/>
          <w:lang w:val="en-GB"/>
        </w:rPr>
        <w:t>(3), p.20240043.</w:t>
      </w:r>
    </w:p>
    <w:p w14:paraId="02E5595D"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Tabish, S.A., 2024. Approaches to Health Care Needs Assessment. In </w:t>
      </w:r>
      <w:r>
        <w:rPr>
          <w:rFonts w:eastAsia="Times New Roman"/>
          <w:i/>
          <w:iCs/>
          <w:sz w:val="24"/>
          <w:szCs w:val="24"/>
          <w:lang w:val="en-GB"/>
        </w:rPr>
        <w:t>Health Care Management: Principles and Practice</w:t>
      </w:r>
      <w:r>
        <w:rPr>
          <w:rFonts w:eastAsia="Times New Roman"/>
          <w:sz w:val="24"/>
          <w:szCs w:val="24"/>
          <w:lang w:val="en-GB"/>
        </w:rPr>
        <w:t xml:space="preserve"> (pp. 157-174). Singapore: Springer Nature Singapore.</w:t>
      </w:r>
    </w:p>
    <w:p w14:paraId="33A1E917"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Thompson, S.R., 2023. Health needs assessment. </w:t>
      </w:r>
      <w:r>
        <w:rPr>
          <w:rFonts w:eastAsia="Times New Roman"/>
          <w:i/>
          <w:iCs/>
          <w:sz w:val="24"/>
          <w:szCs w:val="24"/>
          <w:lang w:val="en-GB"/>
        </w:rPr>
        <w:t>The Essential Guide to Public Health and Health Promotion</w:t>
      </w:r>
      <w:r>
        <w:rPr>
          <w:rFonts w:eastAsia="Times New Roman"/>
          <w:sz w:val="24"/>
          <w:szCs w:val="24"/>
          <w:lang w:val="en-GB"/>
        </w:rPr>
        <w:t>, pp.56-68.</w:t>
      </w:r>
    </w:p>
    <w:p w14:paraId="6577DE33"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Treharne, C., Beattie, A., Mitchell, G. and Chan, M., 2023. HTA191 discussion of health inequalities in the NICE single technology appraisal process: a review of recent submissions in NHS England Core20PLUS5 focus clinical areas. </w:t>
      </w:r>
      <w:r>
        <w:rPr>
          <w:rFonts w:eastAsia="Times New Roman"/>
          <w:i/>
          <w:iCs/>
          <w:sz w:val="24"/>
          <w:szCs w:val="24"/>
          <w:lang w:val="en-GB"/>
        </w:rPr>
        <w:t>Value in Health</w:t>
      </w:r>
      <w:r>
        <w:rPr>
          <w:rFonts w:eastAsia="Times New Roman"/>
          <w:sz w:val="24"/>
          <w:szCs w:val="24"/>
          <w:lang w:val="en-GB"/>
        </w:rPr>
        <w:t xml:space="preserve">, </w:t>
      </w:r>
      <w:r>
        <w:rPr>
          <w:rFonts w:eastAsia="Times New Roman"/>
          <w:i/>
          <w:iCs/>
          <w:sz w:val="24"/>
          <w:szCs w:val="24"/>
          <w:lang w:val="en-GB"/>
        </w:rPr>
        <w:t>26</w:t>
      </w:r>
      <w:r>
        <w:rPr>
          <w:rFonts w:eastAsia="Times New Roman"/>
          <w:sz w:val="24"/>
          <w:szCs w:val="24"/>
          <w:lang w:val="en-GB"/>
        </w:rPr>
        <w:t>(12), p.S356.</w:t>
      </w:r>
    </w:p>
    <w:p w14:paraId="429444A0"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van Brakel, W.H., Warne, G., </w:t>
      </w:r>
      <w:proofErr w:type="spellStart"/>
      <w:r>
        <w:rPr>
          <w:rFonts w:eastAsia="Times New Roman"/>
          <w:sz w:val="24"/>
          <w:szCs w:val="24"/>
          <w:lang w:val="en-GB"/>
        </w:rPr>
        <w:t>Cambau</w:t>
      </w:r>
      <w:proofErr w:type="spellEnd"/>
      <w:r>
        <w:rPr>
          <w:rFonts w:eastAsia="Times New Roman"/>
          <w:sz w:val="24"/>
          <w:szCs w:val="24"/>
          <w:lang w:val="en-GB"/>
        </w:rPr>
        <w:t xml:space="preserve">, E., </w:t>
      </w:r>
      <w:proofErr w:type="spellStart"/>
      <w:r>
        <w:rPr>
          <w:rFonts w:eastAsia="Times New Roman"/>
          <w:sz w:val="24"/>
          <w:szCs w:val="24"/>
          <w:lang w:val="en-GB"/>
        </w:rPr>
        <w:t>Vedithi</w:t>
      </w:r>
      <w:proofErr w:type="spellEnd"/>
      <w:r>
        <w:rPr>
          <w:rFonts w:eastAsia="Times New Roman"/>
          <w:sz w:val="24"/>
          <w:szCs w:val="24"/>
          <w:lang w:val="en-GB"/>
        </w:rPr>
        <w:t xml:space="preserve">, S.C., Chukwu, J., </w:t>
      </w:r>
      <w:proofErr w:type="spellStart"/>
      <w:r>
        <w:rPr>
          <w:rFonts w:eastAsia="Times New Roman"/>
          <w:sz w:val="24"/>
          <w:szCs w:val="24"/>
          <w:lang w:val="en-GB"/>
        </w:rPr>
        <w:t>Ebenso</w:t>
      </w:r>
      <w:proofErr w:type="spellEnd"/>
      <w:r>
        <w:rPr>
          <w:rFonts w:eastAsia="Times New Roman"/>
          <w:sz w:val="24"/>
          <w:szCs w:val="24"/>
          <w:lang w:val="en-GB"/>
        </w:rPr>
        <w:t xml:space="preserve">, J., </w:t>
      </w:r>
      <w:proofErr w:type="spellStart"/>
      <w:r>
        <w:rPr>
          <w:rFonts w:eastAsia="Times New Roman"/>
          <w:sz w:val="24"/>
          <w:szCs w:val="24"/>
          <w:lang w:val="en-GB"/>
        </w:rPr>
        <w:t>Fenenga</w:t>
      </w:r>
      <w:proofErr w:type="spellEnd"/>
      <w:r>
        <w:rPr>
          <w:rFonts w:eastAsia="Times New Roman"/>
          <w:sz w:val="24"/>
          <w:szCs w:val="24"/>
          <w:lang w:val="en-GB"/>
        </w:rPr>
        <w:t xml:space="preserve">, C., Fiebig, L., </w:t>
      </w:r>
      <w:proofErr w:type="spellStart"/>
      <w:r>
        <w:rPr>
          <w:rFonts w:eastAsia="Times New Roman"/>
          <w:sz w:val="24"/>
          <w:szCs w:val="24"/>
          <w:lang w:val="en-GB"/>
        </w:rPr>
        <w:t>Groenendijk</w:t>
      </w:r>
      <w:proofErr w:type="spellEnd"/>
      <w:r>
        <w:rPr>
          <w:rFonts w:eastAsia="Times New Roman"/>
          <w:sz w:val="24"/>
          <w:szCs w:val="24"/>
          <w:lang w:val="en-GB"/>
        </w:rPr>
        <w:t xml:space="preserve">, J., Hambridge, T. and Kreibich, S., 2024. Strategies for leprosy services in low-endemic areas and countries. </w:t>
      </w:r>
      <w:r>
        <w:rPr>
          <w:rFonts w:eastAsia="Times New Roman"/>
          <w:i/>
          <w:iCs/>
          <w:sz w:val="24"/>
          <w:szCs w:val="24"/>
          <w:lang w:val="en-GB"/>
        </w:rPr>
        <w:t>Leprosy Review</w:t>
      </w:r>
      <w:r>
        <w:rPr>
          <w:rFonts w:eastAsia="Times New Roman"/>
          <w:sz w:val="24"/>
          <w:szCs w:val="24"/>
          <w:lang w:val="en-GB"/>
        </w:rPr>
        <w:t xml:space="preserve">, </w:t>
      </w:r>
      <w:r>
        <w:rPr>
          <w:rFonts w:eastAsia="Times New Roman"/>
          <w:i/>
          <w:iCs/>
          <w:sz w:val="24"/>
          <w:szCs w:val="24"/>
          <w:lang w:val="en-GB"/>
        </w:rPr>
        <w:t>95</w:t>
      </w:r>
      <w:r>
        <w:rPr>
          <w:rFonts w:eastAsia="Times New Roman"/>
          <w:sz w:val="24"/>
          <w:szCs w:val="24"/>
          <w:lang w:val="en-GB"/>
        </w:rPr>
        <w:t>(3), pp.0-0.</w:t>
      </w:r>
    </w:p>
    <w:p w14:paraId="4D19741C" w14:textId="77777777" w:rsidR="00B35A00" w:rsidRDefault="00000000">
      <w:pPr>
        <w:spacing w:after="160" w:line="480" w:lineRule="auto"/>
        <w:jc w:val="both"/>
        <w:rPr>
          <w:rFonts w:eastAsia="Times New Roman"/>
          <w:sz w:val="24"/>
          <w:szCs w:val="24"/>
          <w:lang w:val="en-GB"/>
        </w:rPr>
      </w:pPr>
      <w:r>
        <w:rPr>
          <w:rFonts w:eastAsia="Times New Roman"/>
          <w:sz w:val="24"/>
          <w:szCs w:val="24"/>
          <w:lang w:val="en-GB"/>
        </w:rPr>
        <w:t xml:space="preserve"> </w:t>
      </w:r>
    </w:p>
    <w:p w14:paraId="648822AC" w14:textId="77777777" w:rsidR="00B35A00" w:rsidRDefault="00B35A00">
      <w:pPr>
        <w:spacing w:line="480" w:lineRule="auto"/>
        <w:jc w:val="both"/>
        <w:rPr>
          <w:rFonts w:eastAsia="Times New Roman"/>
          <w:sz w:val="24"/>
          <w:szCs w:val="24"/>
          <w:lang w:val="en-GB"/>
        </w:rPr>
      </w:pPr>
    </w:p>
    <w:sectPr w:rsidR="00B35A0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7681E" w14:textId="77777777" w:rsidR="00BE252E" w:rsidRDefault="00BE252E">
      <w:pPr>
        <w:spacing w:line="240" w:lineRule="auto"/>
      </w:pPr>
      <w:r>
        <w:separator/>
      </w:r>
    </w:p>
  </w:endnote>
  <w:endnote w:type="continuationSeparator" w:id="0">
    <w:p w14:paraId="2BB03978" w14:textId="77777777" w:rsidR="00BE252E" w:rsidRDefault="00BE25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F15059A-3609-42BD-A2AC-81951E1E5981}"/>
  </w:font>
  <w:font w:name="Cambria">
    <w:panose1 w:val="02040503050406030204"/>
    <w:charset w:val="00"/>
    <w:family w:val="roman"/>
    <w:pitch w:val="variable"/>
    <w:sig w:usb0="E00006FF" w:usb1="420024FF" w:usb2="02000000" w:usb3="00000000" w:csb0="0000019F" w:csb1="00000000"/>
    <w:embedRegular r:id="rId2" w:fontKey="{18F970FD-8A19-4961-9957-D8990B8C0B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322960"/>
      <w:docPartObj>
        <w:docPartGallery w:val="AutoText"/>
      </w:docPartObj>
    </w:sdtPr>
    <w:sdtContent>
      <w:p w14:paraId="77AA54DF" w14:textId="77777777" w:rsidR="00B35A00" w:rsidRDefault="00000000">
        <w:pPr>
          <w:pStyle w:val="Footer"/>
          <w:jc w:val="right"/>
        </w:pPr>
        <w:r>
          <w:fldChar w:fldCharType="begin"/>
        </w:r>
        <w:r>
          <w:instrText xml:space="preserve"> PAGE   \* MERGEFORMAT </w:instrText>
        </w:r>
        <w:r>
          <w:fldChar w:fldCharType="separate"/>
        </w:r>
        <w:r>
          <w:t>2</w:t>
        </w:r>
        <w:r>
          <w:fldChar w:fldCharType="end"/>
        </w:r>
      </w:p>
    </w:sdtContent>
  </w:sdt>
  <w:p w14:paraId="5C86E0D4" w14:textId="77777777" w:rsidR="00B35A00" w:rsidRDefault="00B35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B74FB" w14:textId="77777777" w:rsidR="00BE252E" w:rsidRDefault="00BE252E">
      <w:r>
        <w:separator/>
      </w:r>
    </w:p>
  </w:footnote>
  <w:footnote w:type="continuationSeparator" w:id="0">
    <w:p w14:paraId="76A04C39" w14:textId="77777777" w:rsidR="00BE252E" w:rsidRDefault="00BE252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embedTrueTypeFonts/>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289"/>
    <w:rsid w:val="003A2289"/>
    <w:rsid w:val="0056179E"/>
    <w:rsid w:val="00616DBC"/>
    <w:rsid w:val="009319A1"/>
    <w:rsid w:val="009415E9"/>
    <w:rsid w:val="009A5EF2"/>
    <w:rsid w:val="00B35A00"/>
    <w:rsid w:val="00BB2FA8"/>
    <w:rsid w:val="00BE252E"/>
    <w:rsid w:val="387B3EF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C78508"/>
  <w15:docId w15:val="{38255927-00E1-43BA-8F80-F6208CE29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rPr>
      <w:rFonts w:ascii="Arial" w:eastAsia="Arial" w:hAnsi="Arial" w:cs="Arial"/>
      <w:sz w:val="22"/>
      <w:szCs w:val="22"/>
      <w:lang w:val="en" w:eastAsia="en-IN"/>
    </w:rPr>
  </w:style>
  <w:style w:type="paragraph" w:styleId="Heading1">
    <w:name w:val="heading 1"/>
    <w:basedOn w:val="Normal"/>
    <w:next w:val="Normal"/>
    <w:uiPriority w:val="9"/>
    <w:qFormat/>
    <w:pPr>
      <w:spacing w:line="360" w:lineRule="auto"/>
      <w:jc w:val="both"/>
      <w:outlineLvl w:val="0"/>
    </w:pPr>
    <w:rPr>
      <w:rFonts w:ascii="Times New Roman" w:eastAsia="Times New Roman" w:hAnsi="Times New Roman" w:cs="Times New Roman"/>
      <w:b/>
      <w:bCs/>
      <w:sz w:val="28"/>
      <w:szCs w:val="28"/>
      <w:lang w:val="en-GB"/>
    </w:rPr>
  </w:style>
  <w:style w:type="paragraph" w:styleId="Heading2">
    <w:name w:val="heading 2"/>
    <w:basedOn w:val="Normal"/>
    <w:next w:val="Normal"/>
    <w:uiPriority w:val="9"/>
    <w:unhideWhenUsed/>
    <w:qFormat/>
    <w:pPr>
      <w:spacing w:line="360" w:lineRule="auto"/>
      <w:jc w:val="both"/>
      <w:outlineLvl w:val="1"/>
    </w:pPr>
    <w:rPr>
      <w:rFonts w:ascii="Times New Roman" w:eastAsia="Times New Roman" w:hAnsi="Times New Roman" w:cs="Times New Roman"/>
      <w:b/>
      <w:bCs/>
      <w:sz w:val="24"/>
      <w:szCs w:val="24"/>
      <w:lang w:val="en-G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table" w:customStyle="1" w:styleId="TableNormal0">
    <w:name w:val="TableNormal"/>
    <w:qFormat/>
    <w:tblPr>
      <w:tblCellMar>
        <w:top w:w="100" w:type="dxa"/>
        <w:left w:w="100" w:type="dxa"/>
        <w:bottom w:w="100" w:type="dxa"/>
        <w:right w:w="100" w:type="dxa"/>
      </w:tblCellMar>
    </w:tblPr>
  </w:style>
  <w:style w:type="paragraph" w:customStyle="1" w:styleId="TOCHeading1">
    <w:name w:val="TOC Heading1"/>
    <w:basedOn w:val="Heading1"/>
    <w:next w:val="Normal"/>
    <w:uiPriority w:val="39"/>
    <w:unhideWhenUsed/>
    <w:qFormat/>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B1753-412E-4253-B75A-B9224CB1B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3409</Words>
  <Characters>19433</Characters>
  <Application>Microsoft Office Word</Application>
  <DocSecurity>0</DocSecurity>
  <Lines>161</Lines>
  <Paragraphs>45</Paragraphs>
  <ScaleCrop>false</ScaleCrop>
  <Company/>
  <LinksUpToDate>false</LinksUpToDate>
  <CharactersWithSpaces>22797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vikas nagar</cp:lastModifiedBy>
  <cp:revision>2</cp:revision>
  <dcterms:created xsi:type="dcterms:W3CDTF">2026-08-12T12:07:00Z</dcterms:created>
  <dcterms:modified xsi:type="dcterms:W3CDTF">2026-08-12T12:07:00Z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eyJoZGlkIjoiZTExYmFhZGJjZTcwMjU3MTA5OTFlZTkyMmZkNThkNGQiLCJ1c2VySWQiOiI1Njc1ODMwNDQzOTMifQ==</vt:lpwstr>
  </property>
  <property fmtid="{D5CDD505-2E9C-101B-9397-08002B2CF9AE}" pid="3" name="KSOProductBuildVer">
    <vt:lpwstr>1033-12.1.0.28032</vt:lpwstr>
  </property>
  <property fmtid="{D5CDD505-2E9C-101B-9397-08002B2CF9AE}" pid="4" name="ICV">
    <vt:lpwstr>AF810D689DB4464880E520EE8160D416_13</vt:lpwstr>
  </property>
</Properties>
</file>